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RPr="00A176EA">
        <w:trPr>
          <w:trHeight w:hRule="exact" w:val="851"/>
        </w:trPr>
        <w:tc>
          <w:tcPr>
            <w:tcW w:w="1276" w:type="dxa"/>
            <w:tcBorders>
              <w:bottom w:val="single" w:sz="4" w:space="0" w:color="auto"/>
            </w:tcBorders>
            <w:vAlign w:val="bottom"/>
          </w:tcPr>
          <w:p w:rsidR="00B56E9C" w:rsidRPr="00A176EA" w:rsidRDefault="00B56E9C" w:rsidP="00B6553F">
            <w:pPr>
              <w:spacing w:after="80"/>
              <w:rPr>
                <w:rtl/>
                <w:lang w:val="fr-FR"/>
              </w:rPr>
            </w:pPr>
          </w:p>
        </w:tc>
        <w:tc>
          <w:tcPr>
            <w:tcW w:w="1985" w:type="dxa"/>
            <w:tcBorders>
              <w:bottom w:val="single" w:sz="4" w:space="0" w:color="auto"/>
            </w:tcBorders>
            <w:vAlign w:val="bottom"/>
          </w:tcPr>
          <w:p w:rsidR="00B56E9C" w:rsidRPr="00A176EA" w:rsidRDefault="0098730A" w:rsidP="00B6553F">
            <w:pPr>
              <w:spacing w:after="80" w:line="300" w:lineRule="exact"/>
              <w:rPr>
                <w:b/>
                <w:sz w:val="24"/>
                <w:szCs w:val="24"/>
                <w:lang w:val="fr-FR"/>
              </w:rPr>
            </w:pPr>
            <w:r w:rsidRPr="00A176EA">
              <w:rPr>
                <w:sz w:val="28"/>
                <w:lang w:val="fr-FR"/>
              </w:rPr>
              <w:t>Nations Unies</w:t>
            </w:r>
          </w:p>
        </w:tc>
        <w:tc>
          <w:tcPr>
            <w:tcW w:w="6378" w:type="dxa"/>
            <w:gridSpan w:val="2"/>
            <w:tcBorders>
              <w:bottom w:val="single" w:sz="4" w:space="0" w:color="auto"/>
            </w:tcBorders>
            <w:vAlign w:val="bottom"/>
          </w:tcPr>
          <w:p w:rsidR="00B56E9C" w:rsidRPr="00A176EA" w:rsidRDefault="002E0CB9" w:rsidP="002E0CB9">
            <w:pPr>
              <w:jc w:val="right"/>
              <w:rPr>
                <w:lang w:val="fr-FR"/>
              </w:rPr>
            </w:pPr>
            <w:r w:rsidRPr="00A176EA">
              <w:rPr>
                <w:sz w:val="40"/>
                <w:lang w:val="fr-FR"/>
              </w:rPr>
              <w:t>CAT</w:t>
            </w:r>
            <w:r w:rsidR="00C550FB" w:rsidRPr="00A176EA">
              <w:rPr>
                <w:lang w:val="fr-FR"/>
              </w:rPr>
              <w:t>/</w:t>
            </w:r>
            <w:r w:rsidRPr="00A176EA">
              <w:rPr>
                <w:lang w:val="fr-FR"/>
              </w:rPr>
              <w:t>C</w:t>
            </w:r>
            <w:r w:rsidR="00C550FB" w:rsidRPr="00A176EA">
              <w:rPr>
                <w:lang w:val="fr-FR"/>
              </w:rPr>
              <w:t>/</w:t>
            </w:r>
            <w:r w:rsidR="00355EA8" w:rsidRPr="00A176EA">
              <w:rPr>
                <w:lang w:val="fr-FR"/>
              </w:rPr>
              <w:t>GBR</w:t>
            </w:r>
            <w:r w:rsidR="00C550FB" w:rsidRPr="00A176EA">
              <w:rPr>
                <w:lang w:val="fr-FR"/>
              </w:rPr>
              <w:t>/</w:t>
            </w:r>
            <w:r w:rsidR="00355EA8" w:rsidRPr="00A176EA">
              <w:rPr>
                <w:lang w:val="fr-FR"/>
              </w:rPr>
              <w:t>5</w:t>
            </w:r>
          </w:p>
        </w:tc>
      </w:tr>
      <w:tr w:rsidR="00B56E9C" w:rsidRPr="00A176EA">
        <w:trPr>
          <w:cantSplit/>
          <w:trHeight w:hRule="exact" w:val="2835"/>
        </w:trPr>
        <w:tc>
          <w:tcPr>
            <w:tcW w:w="1276" w:type="dxa"/>
            <w:tcBorders>
              <w:top w:val="single" w:sz="4" w:space="0" w:color="auto"/>
              <w:bottom w:val="single" w:sz="12" w:space="0" w:color="auto"/>
            </w:tcBorders>
          </w:tcPr>
          <w:p w:rsidR="00B56E9C" w:rsidRPr="00A176EA" w:rsidRDefault="00B56E9C" w:rsidP="00B6553F">
            <w:pPr>
              <w:spacing w:before="120"/>
              <w:rPr>
                <w:lang w:val="fr-FR"/>
              </w:rPr>
            </w:pPr>
            <w:r w:rsidRPr="00A176EA">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A176EA" w:rsidRDefault="0098730A" w:rsidP="00267F5F">
            <w:pPr>
              <w:spacing w:before="120" w:line="380" w:lineRule="exact"/>
              <w:rPr>
                <w:sz w:val="34"/>
                <w:lang w:val="fr-FR"/>
              </w:rPr>
            </w:pPr>
            <w:r w:rsidRPr="00A176EA">
              <w:rPr>
                <w:b/>
                <w:sz w:val="34"/>
                <w:szCs w:val="34"/>
                <w:lang w:val="fr-FR"/>
              </w:rPr>
              <w:t>Convention contre</w:t>
            </w:r>
            <w:r w:rsidRPr="00A176EA">
              <w:rPr>
                <w:b/>
                <w:sz w:val="34"/>
                <w:szCs w:val="40"/>
                <w:lang w:val="fr-FR"/>
              </w:rPr>
              <w:t xml:space="preserve"> </w:t>
            </w:r>
            <w:r w:rsidR="001450BD" w:rsidRPr="00A176EA">
              <w:rPr>
                <w:b/>
                <w:sz w:val="34"/>
                <w:szCs w:val="40"/>
                <w:lang w:val="fr-FR"/>
              </w:rPr>
              <w:br/>
            </w:r>
            <w:r w:rsidRPr="00A176EA">
              <w:rPr>
                <w:b/>
                <w:sz w:val="34"/>
                <w:szCs w:val="34"/>
                <w:lang w:val="fr-FR"/>
              </w:rPr>
              <w:t>la torture et autres peines</w:t>
            </w:r>
            <w:r w:rsidRPr="00A176EA">
              <w:rPr>
                <w:b/>
                <w:sz w:val="34"/>
                <w:szCs w:val="40"/>
                <w:lang w:val="fr-FR"/>
              </w:rPr>
              <w:t xml:space="preserve"> </w:t>
            </w:r>
            <w:r w:rsidR="001450BD" w:rsidRPr="00A176EA">
              <w:rPr>
                <w:b/>
                <w:sz w:val="34"/>
                <w:szCs w:val="40"/>
                <w:lang w:val="fr-FR"/>
              </w:rPr>
              <w:br/>
            </w:r>
            <w:r w:rsidRPr="00A176EA">
              <w:rPr>
                <w:b/>
                <w:sz w:val="34"/>
                <w:szCs w:val="34"/>
                <w:lang w:val="fr-FR"/>
              </w:rPr>
              <w:t>ou traitements cruels,</w:t>
            </w:r>
            <w:r w:rsidR="00B54F31" w:rsidRPr="00A176EA">
              <w:rPr>
                <w:b/>
                <w:sz w:val="34"/>
                <w:szCs w:val="40"/>
                <w:lang w:val="fr-FR"/>
              </w:rPr>
              <w:br/>
            </w:r>
            <w:r w:rsidRPr="00A176EA">
              <w:rPr>
                <w:b/>
                <w:sz w:val="34"/>
                <w:szCs w:val="34"/>
                <w:lang w:val="fr-FR"/>
              </w:rPr>
              <w:t>inhumains ou dégradants</w:t>
            </w:r>
          </w:p>
        </w:tc>
        <w:tc>
          <w:tcPr>
            <w:tcW w:w="2835" w:type="dxa"/>
            <w:tcBorders>
              <w:top w:val="single" w:sz="4" w:space="0" w:color="auto"/>
              <w:bottom w:val="single" w:sz="12" w:space="0" w:color="auto"/>
            </w:tcBorders>
          </w:tcPr>
          <w:p w:rsidR="0098730A" w:rsidRPr="00A176EA" w:rsidRDefault="0098730A" w:rsidP="0098730A">
            <w:pPr>
              <w:spacing w:before="240"/>
              <w:rPr>
                <w:lang w:val="fr-FR"/>
              </w:rPr>
            </w:pPr>
            <w:r w:rsidRPr="00A176EA">
              <w:rPr>
                <w:lang w:val="fr-FR"/>
              </w:rPr>
              <w:t>Distr. générale</w:t>
            </w:r>
          </w:p>
          <w:p w:rsidR="002E0CB9" w:rsidRPr="00A176EA" w:rsidRDefault="00916340" w:rsidP="002E029D">
            <w:pPr>
              <w:spacing w:line="240" w:lineRule="exact"/>
              <w:rPr>
                <w:lang w:val="fr-FR"/>
              </w:rPr>
            </w:pPr>
            <w:r w:rsidRPr="00A176EA">
              <w:rPr>
                <w:lang w:val="fr-FR"/>
              </w:rPr>
              <w:t>21</w:t>
            </w:r>
            <w:r w:rsidR="00C034F9" w:rsidRPr="00A176EA">
              <w:rPr>
                <w:lang w:val="fr-FR"/>
              </w:rPr>
              <w:t xml:space="preserve"> </w:t>
            </w:r>
            <w:r w:rsidR="0098730A" w:rsidRPr="00A176EA">
              <w:rPr>
                <w:lang w:val="fr-FR"/>
              </w:rPr>
              <w:t>mai</w:t>
            </w:r>
            <w:r w:rsidR="00C034F9" w:rsidRPr="00A176EA">
              <w:rPr>
                <w:lang w:val="fr-FR"/>
              </w:rPr>
              <w:t xml:space="preserve"> </w:t>
            </w:r>
            <w:r w:rsidR="00355EA8" w:rsidRPr="00A176EA">
              <w:rPr>
                <w:lang w:val="fr-FR"/>
              </w:rPr>
              <w:t>201</w:t>
            </w:r>
            <w:r w:rsidR="00CB7715" w:rsidRPr="00A176EA">
              <w:rPr>
                <w:lang w:val="fr-FR"/>
              </w:rPr>
              <w:t>2</w:t>
            </w:r>
          </w:p>
          <w:p w:rsidR="00355EA8" w:rsidRPr="00A176EA" w:rsidRDefault="001C740A" w:rsidP="002E029D">
            <w:pPr>
              <w:spacing w:line="240" w:lineRule="exact"/>
              <w:rPr>
                <w:lang w:val="fr-FR"/>
              </w:rPr>
            </w:pPr>
            <w:r>
              <w:rPr>
                <w:lang w:val="fr-FR"/>
              </w:rPr>
              <w:t>Français</w:t>
            </w:r>
          </w:p>
          <w:p w:rsidR="00B56E9C" w:rsidRPr="00A176EA" w:rsidRDefault="002E0CB9" w:rsidP="001C740A">
            <w:pPr>
              <w:spacing w:line="240" w:lineRule="exact"/>
              <w:rPr>
                <w:lang w:val="fr-FR"/>
              </w:rPr>
            </w:pPr>
            <w:r w:rsidRPr="00A176EA">
              <w:rPr>
                <w:lang w:val="fr-FR"/>
              </w:rPr>
              <w:t xml:space="preserve">Original: </w:t>
            </w:r>
            <w:r w:rsidR="0098730A" w:rsidRPr="00A176EA">
              <w:rPr>
                <w:lang w:val="fr-FR"/>
              </w:rPr>
              <w:t>anglais</w:t>
            </w:r>
          </w:p>
        </w:tc>
      </w:tr>
    </w:tbl>
    <w:p w:rsidR="0098730A" w:rsidRPr="00A176EA" w:rsidRDefault="0098730A" w:rsidP="0098730A">
      <w:pPr>
        <w:spacing w:before="120"/>
        <w:rPr>
          <w:b/>
          <w:sz w:val="24"/>
          <w:szCs w:val="24"/>
          <w:lang w:val="fr-FR"/>
        </w:rPr>
      </w:pPr>
      <w:r w:rsidRPr="00A176EA">
        <w:rPr>
          <w:b/>
          <w:sz w:val="24"/>
          <w:szCs w:val="24"/>
          <w:lang w:val="fr-FR"/>
        </w:rPr>
        <w:t xml:space="preserve">Comité contre la torture </w:t>
      </w:r>
    </w:p>
    <w:p w:rsidR="002E0CB9" w:rsidRPr="00A176EA" w:rsidRDefault="002E0CB9" w:rsidP="00285B7A">
      <w:pPr>
        <w:pStyle w:val="HMG"/>
        <w:rPr>
          <w:lang w:val="fr-FR"/>
        </w:rPr>
      </w:pPr>
      <w:r w:rsidRPr="00A176EA">
        <w:rPr>
          <w:lang w:val="fr-FR"/>
        </w:rPr>
        <w:tab/>
      </w:r>
      <w:r w:rsidRPr="00A176EA">
        <w:rPr>
          <w:lang w:val="fr-FR"/>
        </w:rPr>
        <w:tab/>
      </w:r>
      <w:r w:rsidR="0098730A" w:rsidRPr="00A176EA">
        <w:rPr>
          <w:bCs/>
          <w:lang w:val="fr-FR"/>
        </w:rPr>
        <w:t>Examen des rapports présentés par les États parties en application de l’article 19 de la Convention</w:t>
      </w:r>
    </w:p>
    <w:p w:rsidR="002E0CB9" w:rsidRPr="00A176EA" w:rsidRDefault="00847125" w:rsidP="00FC2B97">
      <w:pPr>
        <w:pStyle w:val="HChG"/>
      </w:pPr>
      <w:r>
        <w:tab/>
      </w:r>
      <w:r>
        <w:tab/>
      </w:r>
      <w:r w:rsidR="0098730A" w:rsidRPr="00A176EA">
        <w:t>Cinquième rapport périodique attendu en 2008</w:t>
      </w:r>
    </w:p>
    <w:p w:rsidR="002359FC" w:rsidRDefault="00355EA8" w:rsidP="007837F1">
      <w:pPr>
        <w:pStyle w:val="HMG"/>
        <w:rPr>
          <w:lang w:val="fr-FR"/>
        </w:rPr>
      </w:pPr>
      <w:r w:rsidRPr="00A176EA">
        <w:rPr>
          <w:lang w:val="fr-FR"/>
        </w:rPr>
        <w:tab/>
      </w:r>
      <w:r w:rsidRPr="00A176EA">
        <w:rPr>
          <w:lang w:val="fr-FR"/>
        </w:rPr>
        <w:tab/>
      </w:r>
      <w:r w:rsidR="0098730A" w:rsidRPr="00A176EA">
        <w:rPr>
          <w:lang w:val="fr-FR"/>
        </w:rPr>
        <w:t>Royaume-Uni de Grande-Bretagne et d’Irlande du Nord</w:t>
      </w:r>
      <w:r w:rsidR="002359FC" w:rsidRPr="002359FC">
        <w:rPr>
          <w:rStyle w:val="FootnoteReference"/>
          <w:b w:val="0"/>
          <w:bCs/>
          <w:sz w:val="20"/>
          <w:vertAlign w:val="baseline"/>
          <w:lang w:val="fr-FR"/>
        </w:rPr>
        <w:footnoteReference w:customMarkFollows="1" w:id="2"/>
        <w:t>*</w:t>
      </w:r>
      <w:r w:rsidR="002359FC">
        <w:rPr>
          <w:b w:val="0"/>
          <w:bCs/>
          <w:sz w:val="20"/>
          <w:lang w:val="fr-FR"/>
        </w:rPr>
        <w:t xml:space="preserve">, </w:t>
      </w:r>
      <w:r w:rsidR="002359FC" w:rsidRPr="002359FC">
        <w:rPr>
          <w:rStyle w:val="FootnoteReference"/>
          <w:b w:val="0"/>
          <w:bCs/>
          <w:sz w:val="20"/>
          <w:vertAlign w:val="baseline"/>
          <w:lang w:val="fr-FR"/>
        </w:rPr>
        <w:footnoteReference w:customMarkFollows="1" w:id="3"/>
        <w:t>**</w:t>
      </w:r>
      <w:r w:rsidR="002359FC">
        <w:rPr>
          <w:b w:val="0"/>
          <w:bCs/>
          <w:sz w:val="20"/>
          <w:lang w:val="fr-FR"/>
        </w:rPr>
        <w:t xml:space="preserve">, </w:t>
      </w:r>
      <w:r w:rsidR="002359FC" w:rsidRPr="002359FC">
        <w:rPr>
          <w:rStyle w:val="FootnoteReference"/>
          <w:b w:val="0"/>
          <w:bCs/>
          <w:sz w:val="20"/>
          <w:vertAlign w:val="baseline"/>
          <w:lang w:val="fr-FR"/>
        </w:rPr>
        <w:footnoteReference w:customMarkFollows="1" w:id="4"/>
        <w:t>***</w:t>
      </w:r>
    </w:p>
    <w:p w:rsidR="00303F73" w:rsidRPr="00A176EA" w:rsidRDefault="002359FC" w:rsidP="000A2667">
      <w:pPr>
        <w:pStyle w:val="SingleTxtG"/>
        <w:jc w:val="right"/>
        <w:rPr>
          <w:lang w:val="fr-FR"/>
        </w:rPr>
      </w:pPr>
      <w:r w:rsidRPr="00A176EA">
        <w:rPr>
          <w:lang w:val="fr-FR"/>
        </w:rPr>
        <w:t xml:space="preserve"> </w:t>
      </w:r>
      <w:r w:rsidR="00355EA8" w:rsidRPr="00A176EA">
        <w:rPr>
          <w:lang w:val="fr-FR"/>
        </w:rPr>
        <w:t>[</w:t>
      </w:r>
      <w:r w:rsidR="002E0CB9" w:rsidRPr="00A176EA">
        <w:rPr>
          <w:lang w:val="fr-FR"/>
        </w:rPr>
        <w:t>6</w:t>
      </w:r>
      <w:r w:rsidR="00355EA8" w:rsidRPr="00A176EA">
        <w:rPr>
          <w:lang w:val="fr-FR"/>
        </w:rPr>
        <w:t> </w:t>
      </w:r>
      <w:r w:rsidR="0098730A" w:rsidRPr="00A176EA">
        <w:rPr>
          <w:lang w:val="fr-FR"/>
        </w:rPr>
        <w:t>septembre</w:t>
      </w:r>
      <w:r w:rsidR="00355EA8" w:rsidRPr="00A176EA">
        <w:rPr>
          <w:lang w:val="fr-FR"/>
        </w:rPr>
        <w:t xml:space="preserve"> 2011</w:t>
      </w:r>
      <w:r w:rsidR="002E0CB9" w:rsidRPr="00A176EA">
        <w:rPr>
          <w:lang w:val="fr-FR"/>
        </w:rPr>
        <w:t>]</w:t>
      </w:r>
    </w:p>
    <w:p w:rsidR="007532AC" w:rsidRPr="00A176EA" w:rsidRDefault="007532AC" w:rsidP="001C135E">
      <w:pPr>
        <w:pStyle w:val="H1G"/>
      </w:pPr>
      <w:r w:rsidRPr="00A176EA">
        <w:br w:type="page"/>
        <w:t>Abr</w:t>
      </w:r>
      <w:r w:rsidR="006F34A6" w:rsidRPr="00A176EA">
        <w:t>é</w:t>
      </w:r>
      <w:r w:rsidRPr="00A176EA">
        <w:t xml:space="preserve">viations </w:t>
      </w:r>
      <w:r w:rsidR="006F34A6" w:rsidRPr="00A176EA">
        <w:t>et</w:t>
      </w:r>
      <w:r w:rsidRPr="00A176EA">
        <w:t xml:space="preserve"> acronym</w:t>
      </w:r>
      <w:r w:rsidR="006F34A6" w:rsidRPr="00A176EA">
        <w:t>e</w:t>
      </w:r>
      <w:r w:rsidRPr="00A176EA">
        <w:t>s</w:t>
      </w:r>
    </w:p>
    <w:p w:rsidR="002736ED" w:rsidRPr="00A176EA" w:rsidRDefault="002736ED" w:rsidP="002736ED">
      <w:pPr>
        <w:pStyle w:val="SingleTxtG"/>
        <w:rPr>
          <w:lang w:val="fr-FR"/>
        </w:rPr>
      </w:pPr>
      <w:r w:rsidRPr="00E9019A">
        <w:rPr>
          <w:lang w:val="fr-FR"/>
        </w:rPr>
        <w:t>CPT</w:t>
      </w:r>
      <w:r w:rsidRPr="00E9019A">
        <w:rPr>
          <w:lang w:val="fr-FR"/>
        </w:rPr>
        <w:tab/>
      </w:r>
      <w:r w:rsidRPr="00E9019A">
        <w:rPr>
          <w:lang w:val="fr-FR"/>
        </w:rPr>
        <w:tab/>
        <w:t>Comité européen pour la prévention de la torture</w:t>
      </w:r>
    </w:p>
    <w:p w:rsidR="007532AC" w:rsidRPr="00E9019A" w:rsidRDefault="007532AC" w:rsidP="007532AC">
      <w:pPr>
        <w:pStyle w:val="SingleTxtG"/>
        <w:rPr>
          <w:lang w:val="fr-FR"/>
        </w:rPr>
      </w:pPr>
      <w:r w:rsidRPr="00E9019A">
        <w:rPr>
          <w:lang w:val="fr-FR"/>
        </w:rPr>
        <w:t>ECHR</w:t>
      </w:r>
      <w:r w:rsidRPr="00E9019A">
        <w:rPr>
          <w:lang w:val="fr-FR"/>
        </w:rPr>
        <w:tab/>
      </w:r>
      <w:r w:rsidRPr="00E9019A">
        <w:rPr>
          <w:lang w:val="fr-FR"/>
        </w:rPr>
        <w:tab/>
      </w:r>
      <w:r w:rsidR="00B669A3" w:rsidRPr="00E9019A">
        <w:rPr>
          <w:lang w:val="fr-FR"/>
        </w:rPr>
        <w:t>Convention européenne des droits de l’homme</w:t>
      </w:r>
    </w:p>
    <w:p w:rsidR="007532AC" w:rsidRPr="00E9019A" w:rsidRDefault="00591A65" w:rsidP="007532AC">
      <w:pPr>
        <w:pStyle w:val="SingleTxtG"/>
        <w:rPr>
          <w:lang w:val="fr-FR"/>
        </w:rPr>
      </w:pPr>
      <w:r w:rsidRPr="00E9019A">
        <w:rPr>
          <w:lang w:val="fr-FR"/>
        </w:rPr>
        <w:t>CEDH</w:t>
      </w:r>
      <w:r w:rsidRPr="00E9019A">
        <w:rPr>
          <w:lang w:val="fr-FR"/>
        </w:rPr>
        <w:tab/>
      </w:r>
      <w:r w:rsidR="007532AC" w:rsidRPr="00E9019A">
        <w:rPr>
          <w:lang w:val="fr-FR"/>
        </w:rPr>
        <w:tab/>
      </w:r>
      <w:r w:rsidR="007A4C1B" w:rsidRPr="00E9019A">
        <w:rPr>
          <w:lang w:val="fr-FR"/>
        </w:rPr>
        <w:t>Cour européenne des droits de l’homme</w:t>
      </w:r>
    </w:p>
    <w:p w:rsidR="007532AC" w:rsidRPr="00E9019A" w:rsidRDefault="00696DBF" w:rsidP="007532AC">
      <w:pPr>
        <w:pStyle w:val="SingleTxtG"/>
        <w:rPr>
          <w:lang w:val="fr-FR"/>
        </w:rPr>
      </w:pPr>
      <w:r w:rsidRPr="00E9019A">
        <w:rPr>
          <w:lang w:val="fr-FR"/>
        </w:rPr>
        <w:t>ICRC</w:t>
      </w:r>
      <w:r w:rsidR="007532AC" w:rsidRPr="00E9019A">
        <w:rPr>
          <w:lang w:val="fr-FR"/>
        </w:rPr>
        <w:tab/>
      </w:r>
      <w:r w:rsidR="007532AC" w:rsidRPr="00E9019A">
        <w:rPr>
          <w:lang w:val="fr-FR"/>
        </w:rPr>
        <w:tab/>
      </w:r>
      <w:r w:rsidRPr="00E9019A">
        <w:rPr>
          <w:lang w:val="fr-FR"/>
        </w:rPr>
        <w:t>Comité international de la Croix-Rouge</w:t>
      </w:r>
    </w:p>
    <w:p w:rsidR="007532AC" w:rsidRPr="00A176EA" w:rsidRDefault="007532AC" w:rsidP="007532AC">
      <w:pPr>
        <w:pStyle w:val="SingleTxtG"/>
        <w:rPr>
          <w:lang w:val="fr-FR"/>
        </w:rPr>
      </w:pPr>
      <w:r w:rsidRPr="00E9019A">
        <w:rPr>
          <w:lang w:val="fr-FR"/>
        </w:rPr>
        <w:t>ICCPR</w:t>
      </w:r>
      <w:r w:rsidRPr="00E9019A">
        <w:rPr>
          <w:lang w:val="fr-FR"/>
        </w:rPr>
        <w:tab/>
      </w:r>
      <w:r w:rsidR="00696DBF" w:rsidRPr="00E9019A">
        <w:rPr>
          <w:lang w:val="fr-FR"/>
        </w:rPr>
        <w:t>Pacte international relatif aux droits civils et politiques</w:t>
      </w:r>
    </w:p>
    <w:p w:rsidR="007532AC" w:rsidRPr="00A176EA" w:rsidRDefault="00696DBF" w:rsidP="007532AC">
      <w:pPr>
        <w:pStyle w:val="SingleTxtG"/>
        <w:rPr>
          <w:lang w:val="fr-FR"/>
        </w:rPr>
      </w:pPr>
      <w:r w:rsidRPr="00E9019A">
        <w:rPr>
          <w:lang w:val="fr-FR"/>
        </w:rPr>
        <w:t>ONG</w:t>
      </w:r>
      <w:r w:rsidR="007532AC" w:rsidRPr="00E9019A">
        <w:rPr>
          <w:lang w:val="fr-FR"/>
        </w:rPr>
        <w:tab/>
      </w:r>
      <w:r w:rsidR="007532AC" w:rsidRPr="00E9019A">
        <w:rPr>
          <w:lang w:val="fr-FR"/>
        </w:rPr>
        <w:tab/>
      </w:r>
      <w:r w:rsidRPr="00E9019A">
        <w:rPr>
          <w:lang w:val="fr-FR"/>
        </w:rPr>
        <w:t>Organisation n</w:t>
      </w:r>
      <w:r w:rsidR="007532AC" w:rsidRPr="00E9019A">
        <w:rPr>
          <w:lang w:val="fr-FR"/>
        </w:rPr>
        <w:t>on</w:t>
      </w:r>
      <w:r w:rsidRPr="00E9019A">
        <w:rPr>
          <w:lang w:val="fr-FR"/>
        </w:rPr>
        <w:t xml:space="preserve"> </w:t>
      </w:r>
      <w:r w:rsidR="00505462" w:rsidRPr="00E9019A">
        <w:rPr>
          <w:lang w:val="fr-FR"/>
        </w:rPr>
        <w:t>gouvernementale</w:t>
      </w:r>
      <w:r w:rsidR="007532AC" w:rsidRPr="00A176EA">
        <w:rPr>
          <w:lang w:val="fr-FR"/>
        </w:rPr>
        <w:t xml:space="preserve"> </w:t>
      </w:r>
    </w:p>
    <w:p w:rsidR="007532AC" w:rsidRPr="00A176EA" w:rsidRDefault="007532AC" w:rsidP="007532AC">
      <w:pPr>
        <w:pStyle w:val="SingleTxtG"/>
        <w:rPr>
          <w:lang w:val="fr-FR"/>
        </w:rPr>
      </w:pPr>
      <w:r w:rsidRPr="00E9019A">
        <w:rPr>
          <w:lang w:val="fr-FR"/>
        </w:rPr>
        <w:t>PAVA</w:t>
      </w:r>
      <w:r w:rsidRPr="00E9019A">
        <w:rPr>
          <w:lang w:val="fr-FR"/>
        </w:rPr>
        <w:tab/>
      </w:r>
      <w:r w:rsidRPr="00E9019A">
        <w:rPr>
          <w:lang w:val="fr-FR"/>
        </w:rPr>
        <w:tab/>
      </w:r>
      <w:r w:rsidR="009C6F6F" w:rsidRPr="00E9019A">
        <w:rPr>
          <w:lang w:val="fr-FR"/>
        </w:rPr>
        <w:t>Vanill</w:t>
      </w:r>
      <w:r w:rsidR="00E67345" w:rsidRPr="00E9019A">
        <w:rPr>
          <w:lang w:val="fr-FR"/>
        </w:rPr>
        <w:t>yl</w:t>
      </w:r>
      <w:r w:rsidR="009C6F6F" w:rsidRPr="00E9019A">
        <w:rPr>
          <w:lang w:val="fr-FR"/>
        </w:rPr>
        <w:t>amide d</w:t>
      </w:r>
      <w:r w:rsidR="00E67345" w:rsidRPr="00E9019A">
        <w:rPr>
          <w:lang w:val="fr-FR"/>
        </w:rPr>
        <w:t>e l</w:t>
      </w:r>
      <w:r w:rsidR="009C6F6F" w:rsidRPr="00E9019A">
        <w:rPr>
          <w:lang w:val="fr-FR"/>
        </w:rPr>
        <w:t>'acide pélargonique</w:t>
      </w:r>
    </w:p>
    <w:p w:rsidR="00E06419" w:rsidRPr="00A176EA" w:rsidRDefault="00C20F05" w:rsidP="00E06419">
      <w:pPr>
        <w:spacing w:after="120"/>
        <w:rPr>
          <w:sz w:val="28"/>
          <w:lang w:val="fr-FR"/>
        </w:rPr>
      </w:pPr>
      <w:bookmarkStart w:id="0" w:name="_Toc299724665"/>
      <w:r w:rsidRPr="00A176EA">
        <w:rPr>
          <w:lang w:val="fr-FR"/>
        </w:rPr>
        <w:br w:type="page"/>
      </w:r>
      <w:r w:rsidR="00000C78">
        <w:rPr>
          <w:sz w:val="28"/>
          <w:lang w:val="fr-FR"/>
        </w:rPr>
        <w:t>Sommaire</w:t>
      </w:r>
    </w:p>
    <w:p w:rsidR="00E06419" w:rsidRPr="00A176EA" w:rsidRDefault="00E06419" w:rsidP="00E06419">
      <w:pPr>
        <w:tabs>
          <w:tab w:val="right" w:pos="8929"/>
          <w:tab w:val="right" w:pos="9638"/>
        </w:tabs>
        <w:spacing w:after="120"/>
        <w:ind w:left="283"/>
        <w:rPr>
          <w:i/>
          <w:sz w:val="18"/>
          <w:lang w:val="fr-FR"/>
        </w:rPr>
      </w:pPr>
      <w:r w:rsidRPr="00A176EA">
        <w:rPr>
          <w:i/>
          <w:sz w:val="18"/>
          <w:lang w:val="fr-FR"/>
        </w:rPr>
        <w:tab/>
        <w:t>Paragraph</w:t>
      </w:r>
      <w:r w:rsidR="00C87674" w:rsidRPr="00A176EA">
        <w:rPr>
          <w:i/>
          <w:sz w:val="18"/>
          <w:lang w:val="fr-FR"/>
        </w:rPr>
        <w:t>e</w:t>
      </w:r>
      <w:r w:rsidRPr="00A176EA">
        <w:rPr>
          <w:i/>
          <w:sz w:val="18"/>
          <w:lang w:val="fr-FR"/>
        </w:rPr>
        <w:t>s</w:t>
      </w:r>
      <w:r w:rsidRPr="00A176EA">
        <w:rPr>
          <w:i/>
          <w:sz w:val="18"/>
          <w:lang w:val="fr-FR"/>
        </w:rPr>
        <w:tab/>
        <w:t>Page</w:t>
      </w:r>
    </w:p>
    <w:p w:rsidR="00E06419" w:rsidRPr="00A176EA" w:rsidRDefault="00AC4116" w:rsidP="00011EAC">
      <w:pPr>
        <w:tabs>
          <w:tab w:val="left" w:pos="-1100"/>
          <w:tab w:val="right" w:pos="850"/>
          <w:tab w:val="left" w:pos="1134"/>
          <w:tab w:val="left" w:pos="1559"/>
          <w:tab w:val="left" w:leader="dot" w:pos="7654"/>
          <w:tab w:val="right" w:pos="8929"/>
          <w:tab w:val="right" w:pos="9638"/>
        </w:tabs>
        <w:spacing w:after="120"/>
        <w:jc w:val="both"/>
        <w:rPr>
          <w:lang w:val="fr-FR"/>
        </w:rPr>
      </w:pPr>
      <w:r>
        <w:rPr>
          <w:lang w:val="fr-FR"/>
        </w:rPr>
        <w:tab/>
      </w:r>
      <w:r>
        <w:rPr>
          <w:lang w:val="fr-FR"/>
        </w:rPr>
        <w:tab/>
      </w:r>
      <w:r w:rsidR="00E06419" w:rsidRPr="00A176EA">
        <w:rPr>
          <w:lang w:val="fr-FR"/>
        </w:rPr>
        <w:t>Introduct</w:t>
      </w:r>
      <w:r w:rsidR="00CB7620">
        <w:rPr>
          <w:lang w:val="fr-FR"/>
        </w:rPr>
        <w:t>ion</w:t>
      </w:r>
      <w:r w:rsidR="00BA1EB9">
        <w:rPr>
          <w:lang w:val="fr-FR"/>
        </w:rPr>
        <w:tab/>
      </w:r>
      <w:r w:rsidR="00BA1EB9">
        <w:rPr>
          <w:lang w:val="fr-FR"/>
        </w:rPr>
        <w:tab/>
      </w:r>
      <w:r w:rsidR="00972211" w:rsidRPr="00A176EA">
        <w:rPr>
          <w:lang w:val="fr-FR"/>
        </w:rPr>
        <w:t>1-25</w:t>
      </w:r>
      <w:r w:rsidR="00972211" w:rsidRPr="00A176EA">
        <w:rPr>
          <w:lang w:val="fr-FR"/>
        </w:rPr>
        <w:tab/>
      </w:r>
      <w:r w:rsidR="00011EAC">
        <w:rPr>
          <w:lang w:val="fr-FR"/>
        </w:rPr>
        <w:t>4</w:t>
      </w:r>
    </w:p>
    <w:p w:rsidR="00E06419" w:rsidRPr="00A176EA" w:rsidRDefault="00AC4116" w:rsidP="00011EAC">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sidRPr="00A176EA">
        <w:rPr>
          <w:lang w:val="fr-FR"/>
        </w:rPr>
        <w:t>I.</w:t>
      </w:r>
      <w:r>
        <w:rPr>
          <w:lang w:val="fr-FR"/>
        </w:rPr>
        <w:tab/>
      </w:r>
      <w:r w:rsidR="00E06419" w:rsidRPr="00A176EA">
        <w:rPr>
          <w:lang w:val="fr-FR"/>
        </w:rPr>
        <w:t xml:space="preserve">Observations </w:t>
      </w:r>
      <w:r w:rsidR="0053721B" w:rsidRPr="00A176EA">
        <w:rPr>
          <w:lang w:val="fr-FR"/>
        </w:rPr>
        <w:t>formulées par le</w:t>
      </w:r>
      <w:r w:rsidR="00E06419" w:rsidRPr="00A176EA">
        <w:rPr>
          <w:lang w:val="fr-FR"/>
        </w:rPr>
        <w:t xml:space="preserve"> Comit</w:t>
      </w:r>
      <w:r w:rsidR="00BC4BF8" w:rsidRPr="00A176EA">
        <w:rPr>
          <w:lang w:val="fr-FR"/>
        </w:rPr>
        <w:t>é</w:t>
      </w:r>
      <w:r w:rsidR="00E06419" w:rsidRPr="00A176EA">
        <w:rPr>
          <w:lang w:val="fr-FR"/>
        </w:rPr>
        <w:t xml:space="preserve"> </w:t>
      </w:r>
      <w:r w:rsidR="00BC4BF8" w:rsidRPr="00A176EA">
        <w:rPr>
          <w:lang w:val="fr-FR"/>
        </w:rPr>
        <w:t xml:space="preserve">à l’issue de </w:t>
      </w:r>
      <w:r w:rsidR="0053721B" w:rsidRPr="00A176EA">
        <w:rPr>
          <w:lang w:val="fr-FR"/>
        </w:rPr>
        <w:t>l’</w:t>
      </w:r>
      <w:r w:rsidR="00BC4BF8" w:rsidRPr="00A176EA">
        <w:rPr>
          <w:lang w:val="fr-FR"/>
        </w:rPr>
        <w:t>examen du</w:t>
      </w:r>
      <w:r w:rsidR="00E06419" w:rsidRPr="00A176EA">
        <w:rPr>
          <w:lang w:val="fr-FR"/>
        </w:rPr>
        <w:t xml:space="preserve"> </w:t>
      </w:r>
      <w:r w:rsidR="00BC4BF8" w:rsidRPr="00A176EA">
        <w:rPr>
          <w:lang w:val="fr-FR"/>
        </w:rPr>
        <w:t xml:space="preserve">quatrième </w:t>
      </w:r>
      <w:r w:rsidR="00E06419" w:rsidRPr="00A176EA">
        <w:rPr>
          <w:lang w:val="fr-FR"/>
        </w:rPr>
        <w:br/>
      </w:r>
      <w:r>
        <w:rPr>
          <w:lang w:val="fr-FR"/>
        </w:rPr>
        <w:tab/>
      </w:r>
      <w:r>
        <w:rPr>
          <w:lang w:val="fr-FR"/>
        </w:rPr>
        <w:tab/>
      </w:r>
      <w:r w:rsidR="0053721B" w:rsidRPr="00A176EA">
        <w:rPr>
          <w:lang w:val="fr-FR"/>
        </w:rPr>
        <w:t xml:space="preserve">rapport </w:t>
      </w:r>
      <w:r w:rsidR="00CB7620">
        <w:rPr>
          <w:lang w:val="fr-FR"/>
        </w:rPr>
        <w:t>périodique du Royaume-Uni</w:t>
      </w:r>
      <w:r w:rsidR="00CB7620">
        <w:rPr>
          <w:lang w:val="fr-FR"/>
        </w:rPr>
        <w:tab/>
      </w:r>
      <w:r>
        <w:rPr>
          <w:lang w:val="fr-FR"/>
        </w:rPr>
        <w:tab/>
      </w:r>
      <w:r w:rsidR="00A2372B" w:rsidRPr="00A176EA">
        <w:rPr>
          <w:lang w:val="fr-FR"/>
        </w:rPr>
        <w:t>26-154</w:t>
      </w:r>
      <w:r w:rsidR="00A2372B" w:rsidRPr="00A176EA">
        <w:rPr>
          <w:lang w:val="fr-FR"/>
        </w:rPr>
        <w:tab/>
      </w:r>
      <w:r w:rsidR="00011EAC">
        <w:rPr>
          <w:lang w:val="fr-FR"/>
        </w:rPr>
        <w:t>8</w:t>
      </w:r>
    </w:p>
    <w:p w:rsidR="00E06419" w:rsidRPr="00A176EA" w:rsidRDefault="00AC4116" w:rsidP="007911BB">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sidRPr="00A176EA">
        <w:rPr>
          <w:lang w:val="fr-FR"/>
        </w:rPr>
        <w:t>II.</w:t>
      </w:r>
      <w:r>
        <w:rPr>
          <w:lang w:val="fr-FR"/>
        </w:rPr>
        <w:tab/>
      </w:r>
      <w:r w:rsidR="00C87674" w:rsidRPr="00A176EA">
        <w:rPr>
          <w:lang w:val="fr-FR"/>
        </w:rPr>
        <w:t>Territoire métropolitain</w:t>
      </w:r>
      <w:r w:rsidR="00FC2B97">
        <w:rPr>
          <w:lang w:val="fr-FR"/>
        </w:rPr>
        <w:t>:</w:t>
      </w:r>
      <w:r w:rsidR="00E06419" w:rsidRPr="00A176EA">
        <w:rPr>
          <w:lang w:val="fr-FR"/>
        </w:rPr>
        <w:t xml:space="preserve"> </w:t>
      </w:r>
      <w:r w:rsidR="00C87674" w:rsidRPr="00A176EA">
        <w:rPr>
          <w:lang w:val="fr-FR"/>
        </w:rPr>
        <w:t>renseignements relatifs aux</w:t>
      </w:r>
      <w:r w:rsidR="00E06419" w:rsidRPr="00A176EA">
        <w:rPr>
          <w:lang w:val="fr-FR"/>
        </w:rPr>
        <w:t xml:space="preserve"> articles 1 </w:t>
      </w:r>
      <w:r w:rsidR="00C87674" w:rsidRPr="00A176EA">
        <w:rPr>
          <w:lang w:val="fr-FR"/>
        </w:rPr>
        <w:t>à</w:t>
      </w:r>
      <w:r w:rsidR="00E06419" w:rsidRPr="00A176EA">
        <w:rPr>
          <w:lang w:val="fr-FR"/>
        </w:rPr>
        <w:t xml:space="preserve"> 16 </w:t>
      </w:r>
      <w:r w:rsidR="00C87674" w:rsidRPr="00A176EA">
        <w:rPr>
          <w:lang w:val="fr-FR"/>
        </w:rPr>
        <w:t>de la</w:t>
      </w:r>
      <w:r w:rsidR="0053721B" w:rsidRPr="00A176EA">
        <w:rPr>
          <w:lang w:val="fr-FR"/>
        </w:rPr>
        <w:br/>
      </w:r>
      <w:r>
        <w:rPr>
          <w:lang w:val="fr-FR"/>
        </w:rPr>
        <w:tab/>
      </w:r>
      <w:r>
        <w:rPr>
          <w:lang w:val="fr-FR"/>
        </w:rPr>
        <w:tab/>
      </w:r>
      <w:r w:rsidR="00E06419" w:rsidRPr="00A176EA">
        <w:rPr>
          <w:lang w:val="fr-FR"/>
        </w:rPr>
        <w:t>Conventio</w:t>
      </w:r>
      <w:r w:rsidR="00CB7620">
        <w:rPr>
          <w:lang w:val="fr-FR"/>
        </w:rPr>
        <w:t>n</w:t>
      </w:r>
      <w:r w:rsidR="00A2372B" w:rsidRPr="00A176EA">
        <w:rPr>
          <w:lang w:val="fr-FR"/>
        </w:rPr>
        <w:tab/>
      </w:r>
      <w:r w:rsidR="00CB7620">
        <w:rPr>
          <w:lang w:val="fr-FR"/>
        </w:rPr>
        <w:tab/>
      </w:r>
      <w:r w:rsidR="00A2372B" w:rsidRPr="00A176EA">
        <w:rPr>
          <w:lang w:val="fr-FR"/>
        </w:rPr>
        <w:t>155-586</w:t>
      </w:r>
      <w:r w:rsidR="00A2372B" w:rsidRPr="00A176EA">
        <w:rPr>
          <w:lang w:val="fr-FR"/>
        </w:rPr>
        <w:tab/>
        <w:t>33</w:t>
      </w:r>
    </w:p>
    <w:p w:rsidR="00E06419" w:rsidRPr="00A176EA" w:rsidRDefault="007C110D" w:rsidP="00CB7620">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sidR="00E06419" w:rsidRPr="00A176EA">
        <w:rPr>
          <w:lang w:val="fr-FR"/>
        </w:rPr>
        <w:t>Article 2</w:t>
      </w:r>
      <w:r w:rsidR="00FC2B97">
        <w:rPr>
          <w:lang w:val="fr-FR"/>
        </w:rPr>
        <w:t>:</w:t>
      </w:r>
      <w:r w:rsidR="002B0C5C" w:rsidRPr="00A176EA">
        <w:rPr>
          <w:lang w:val="fr-FR"/>
        </w:rPr>
        <w:t xml:space="preserve"> Mesures</w:t>
      </w:r>
      <w:r w:rsidR="00C87674" w:rsidRPr="00A176EA">
        <w:rPr>
          <w:lang w:val="fr-FR"/>
        </w:rPr>
        <w:t xml:space="preserve"> </w:t>
      </w:r>
      <w:r w:rsidR="002B0C5C" w:rsidRPr="00A176EA">
        <w:rPr>
          <w:lang w:val="fr-FR"/>
        </w:rPr>
        <w:t xml:space="preserve">efficaces </w:t>
      </w:r>
      <w:r w:rsidR="00C87674" w:rsidRPr="00A176EA">
        <w:rPr>
          <w:lang w:val="fr-FR"/>
        </w:rPr>
        <w:t>prises pour prévenir la torture</w:t>
      </w:r>
      <w:r w:rsidR="00CB7620">
        <w:rPr>
          <w:lang w:val="fr-FR"/>
        </w:rPr>
        <w:tab/>
      </w:r>
      <w:r w:rsidR="00CB7620">
        <w:rPr>
          <w:lang w:val="fr-FR"/>
        </w:rPr>
        <w:tab/>
      </w:r>
      <w:r w:rsidR="00A2372B" w:rsidRPr="00A176EA">
        <w:rPr>
          <w:lang w:val="fr-FR"/>
        </w:rPr>
        <w:t>156-193</w:t>
      </w:r>
      <w:r w:rsidR="00A2372B" w:rsidRPr="00A176EA">
        <w:rPr>
          <w:lang w:val="fr-FR"/>
        </w:rPr>
        <w:tab/>
        <w:t>34</w:t>
      </w:r>
    </w:p>
    <w:p w:rsidR="00E06419" w:rsidRPr="00A176EA" w:rsidRDefault="007911BB" w:rsidP="007911BB">
      <w:pPr>
        <w:tabs>
          <w:tab w:val="left" w:pos="-1100"/>
          <w:tab w:val="right" w:pos="850"/>
          <w:tab w:val="left" w:pos="1134"/>
          <w:tab w:val="left" w:pos="1559"/>
          <w:tab w:val="left" w:leader="dot" w:pos="7654"/>
          <w:tab w:val="right" w:pos="8929"/>
          <w:tab w:val="right" w:pos="9638"/>
        </w:tabs>
        <w:spacing w:after="120"/>
        <w:rPr>
          <w:lang w:val="fr-FR"/>
        </w:rPr>
      </w:pPr>
      <w:r>
        <w:rPr>
          <w:lang w:val="fr-FR"/>
        </w:rPr>
        <w:tab/>
      </w:r>
      <w:r>
        <w:rPr>
          <w:lang w:val="fr-FR"/>
        </w:rPr>
        <w:tab/>
      </w:r>
      <w:r w:rsidR="00E06419" w:rsidRPr="00A176EA">
        <w:rPr>
          <w:lang w:val="fr-FR"/>
        </w:rPr>
        <w:t>Article 3</w:t>
      </w:r>
      <w:r w:rsidR="00FC2B97">
        <w:rPr>
          <w:lang w:val="fr-FR"/>
        </w:rPr>
        <w:t>:</w:t>
      </w:r>
      <w:r w:rsidR="00E06419" w:rsidRPr="00A176EA">
        <w:rPr>
          <w:lang w:val="fr-FR"/>
        </w:rPr>
        <w:t xml:space="preserve"> </w:t>
      </w:r>
      <w:r w:rsidR="0053721B" w:rsidRPr="00A176EA">
        <w:rPr>
          <w:lang w:val="fr-FR"/>
        </w:rPr>
        <w:t>Expulsion à destination d'</w:t>
      </w:r>
      <w:r w:rsidR="005E7198" w:rsidRPr="00A176EA">
        <w:rPr>
          <w:lang w:val="fr-FR"/>
        </w:rPr>
        <w:t>É</w:t>
      </w:r>
      <w:r w:rsidR="0053721B" w:rsidRPr="00A176EA">
        <w:rPr>
          <w:lang w:val="fr-FR"/>
        </w:rPr>
        <w:t xml:space="preserve">tats où l'intéressé risque d'être soumis </w:t>
      </w:r>
      <w:r>
        <w:rPr>
          <w:lang w:val="fr-FR"/>
        </w:rPr>
        <w:br/>
      </w:r>
      <w:r>
        <w:rPr>
          <w:lang w:val="fr-FR"/>
        </w:rPr>
        <w:tab/>
      </w:r>
      <w:r>
        <w:rPr>
          <w:lang w:val="fr-FR"/>
        </w:rPr>
        <w:tab/>
      </w:r>
      <w:r w:rsidR="0053721B" w:rsidRPr="00A176EA">
        <w:rPr>
          <w:lang w:val="fr-FR"/>
        </w:rPr>
        <w:t>à la torture</w:t>
      </w:r>
      <w:r w:rsidR="00BA1EB9">
        <w:rPr>
          <w:lang w:val="fr-FR"/>
        </w:rPr>
        <w:tab/>
      </w:r>
      <w:r w:rsidR="00BA1EB9">
        <w:rPr>
          <w:lang w:val="fr-FR"/>
        </w:rPr>
        <w:tab/>
      </w:r>
      <w:r w:rsidR="00E06419" w:rsidRPr="00A176EA">
        <w:rPr>
          <w:lang w:val="fr-FR"/>
        </w:rPr>
        <w:t>194-196</w:t>
      </w:r>
      <w:r w:rsidR="00E06419" w:rsidRPr="00A176EA">
        <w:rPr>
          <w:lang w:val="fr-FR"/>
        </w:rPr>
        <w:tab/>
        <w:t>40</w:t>
      </w:r>
    </w:p>
    <w:p w:rsidR="00E06419" w:rsidRPr="00A176EA" w:rsidRDefault="007911BB" w:rsidP="007911BB">
      <w:pPr>
        <w:tabs>
          <w:tab w:val="left" w:pos="-1100"/>
          <w:tab w:val="right" w:pos="850"/>
          <w:tab w:val="left" w:pos="1134"/>
          <w:tab w:val="left" w:pos="1559"/>
          <w:tab w:val="left" w:leader="dot" w:pos="7654"/>
          <w:tab w:val="right" w:pos="8929"/>
          <w:tab w:val="right" w:pos="9638"/>
        </w:tabs>
        <w:spacing w:after="120"/>
        <w:rPr>
          <w:lang w:val="fr-FR"/>
        </w:rPr>
      </w:pPr>
      <w:r>
        <w:rPr>
          <w:lang w:val="fr-FR"/>
        </w:rPr>
        <w:tab/>
      </w:r>
      <w:r>
        <w:rPr>
          <w:lang w:val="fr-FR"/>
        </w:rPr>
        <w:tab/>
      </w:r>
      <w:r w:rsidR="00E06419" w:rsidRPr="00A176EA">
        <w:rPr>
          <w:lang w:val="fr-FR"/>
        </w:rPr>
        <w:t>Article 4</w:t>
      </w:r>
      <w:r w:rsidR="00FC2B97">
        <w:rPr>
          <w:lang w:val="fr-FR"/>
        </w:rPr>
        <w:t>:</w:t>
      </w:r>
      <w:r w:rsidR="00E06419" w:rsidRPr="00A176EA">
        <w:rPr>
          <w:lang w:val="fr-FR"/>
        </w:rPr>
        <w:t xml:space="preserve"> </w:t>
      </w:r>
      <w:r w:rsidR="002B0C5C" w:rsidRPr="00A176EA">
        <w:rPr>
          <w:lang w:val="fr-FR"/>
        </w:rPr>
        <w:t>Incrimination de la</w:t>
      </w:r>
      <w:r w:rsidR="00E06419" w:rsidRPr="00A176EA">
        <w:rPr>
          <w:lang w:val="fr-FR"/>
        </w:rPr>
        <w:t xml:space="preserve"> torture</w:t>
      </w:r>
      <w:r w:rsidR="00CB7620">
        <w:rPr>
          <w:lang w:val="fr-FR"/>
        </w:rPr>
        <w:tab/>
      </w:r>
      <w:r w:rsidR="00A2372B" w:rsidRPr="00A176EA">
        <w:rPr>
          <w:lang w:val="fr-FR"/>
        </w:rPr>
        <w:tab/>
        <w:t>197-208</w:t>
      </w:r>
      <w:r w:rsidR="00A2372B" w:rsidRPr="00A176EA">
        <w:rPr>
          <w:lang w:val="fr-FR"/>
        </w:rPr>
        <w:tab/>
        <w:t>41</w:t>
      </w:r>
    </w:p>
    <w:p w:rsidR="00E06419" w:rsidRPr="00A176EA" w:rsidRDefault="007911BB" w:rsidP="007911BB">
      <w:pPr>
        <w:tabs>
          <w:tab w:val="left" w:pos="-1100"/>
          <w:tab w:val="right" w:pos="850"/>
          <w:tab w:val="left" w:pos="1134"/>
          <w:tab w:val="left" w:pos="1559"/>
          <w:tab w:val="left" w:leader="dot" w:pos="7654"/>
          <w:tab w:val="right" w:pos="8929"/>
          <w:tab w:val="right" w:pos="9638"/>
        </w:tabs>
        <w:spacing w:after="120"/>
        <w:rPr>
          <w:lang w:val="fr-FR"/>
        </w:rPr>
      </w:pPr>
      <w:r>
        <w:rPr>
          <w:lang w:val="fr-FR"/>
        </w:rPr>
        <w:tab/>
      </w:r>
      <w:r>
        <w:rPr>
          <w:lang w:val="fr-FR"/>
        </w:rPr>
        <w:tab/>
      </w:r>
      <w:r w:rsidR="00E06419" w:rsidRPr="00A176EA">
        <w:rPr>
          <w:lang w:val="fr-FR"/>
        </w:rPr>
        <w:t>Article 5</w:t>
      </w:r>
      <w:r w:rsidR="00FC2B97">
        <w:rPr>
          <w:lang w:val="fr-FR"/>
        </w:rPr>
        <w:t>:</w:t>
      </w:r>
      <w:r w:rsidR="00E06419" w:rsidRPr="00A176EA">
        <w:rPr>
          <w:lang w:val="fr-FR"/>
        </w:rPr>
        <w:t xml:space="preserve"> </w:t>
      </w:r>
      <w:r w:rsidR="00BD7086" w:rsidRPr="00A176EA">
        <w:rPr>
          <w:lang w:val="fr-FR"/>
        </w:rPr>
        <w:t>É</w:t>
      </w:r>
      <w:r w:rsidR="00E06419" w:rsidRPr="00A176EA">
        <w:rPr>
          <w:lang w:val="fr-FR"/>
        </w:rPr>
        <w:t>tablis</w:t>
      </w:r>
      <w:r w:rsidR="00BD7086" w:rsidRPr="00A176EA">
        <w:rPr>
          <w:lang w:val="fr-FR"/>
        </w:rPr>
        <w:t>se</w:t>
      </w:r>
      <w:r w:rsidR="00E06419" w:rsidRPr="00A176EA">
        <w:rPr>
          <w:lang w:val="fr-FR"/>
        </w:rPr>
        <w:t xml:space="preserve">ment </w:t>
      </w:r>
      <w:r w:rsidR="00BD7086" w:rsidRPr="00A176EA">
        <w:rPr>
          <w:lang w:val="fr-FR"/>
        </w:rPr>
        <w:t>de la compétence</w:t>
      </w:r>
      <w:r w:rsidR="00A2372B" w:rsidRPr="00A176EA">
        <w:rPr>
          <w:lang w:val="fr-FR"/>
        </w:rPr>
        <w:t xml:space="preserve"> </w:t>
      </w:r>
      <w:r w:rsidR="002B4AD5">
        <w:rPr>
          <w:lang w:val="fr-FR"/>
        </w:rPr>
        <w:t>de juridiction</w:t>
      </w:r>
      <w:r w:rsidR="00CB7620">
        <w:rPr>
          <w:lang w:val="fr-FR"/>
        </w:rPr>
        <w:tab/>
      </w:r>
      <w:r w:rsidR="00CB7620">
        <w:rPr>
          <w:lang w:val="fr-FR"/>
        </w:rPr>
        <w:tab/>
      </w:r>
      <w:r w:rsidR="00A2372B" w:rsidRPr="00A176EA">
        <w:rPr>
          <w:lang w:val="fr-FR"/>
        </w:rPr>
        <w:t>209-212</w:t>
      </w:r>
      <w:r w:rsidR="00A2372B" w:rsidRPr="00A176EA">
        <w:rPr>
          <w:lang w:val="fr-FR"/>
        </w:rPr>
        <w:tab/>
        <w:t>43</w:t>
      </w:r>
    </w:p>
    <w:p w:rsidR="00E06419" w:rsidRPr="00A176EA" w:rsidRDefault="007911BB" w:rsidP="007911BB">
      <w:pPr>
        <w:tabs>
          <w:tab w:val="left" w:pos="-1100"/>
          <w:tab w:val="right" w:pos="850"/>
          <w:tab w:val="left" w:pos="1134"/>
          <w:tab w:val="left" w:pos="1559"/>
          <w:tab w:val="left" w:leader="dot" w:pos="7654"/>
          <w:tab w:val="right" w:pos="8929"/>
          <w:tab w:val="right" w:pos="9638"/>
        </w:tabs>
        <w:spacing w:after="120"/>
        <w:rPr>
          <w:lang w:val="fr-FR"/>
        </w:rPr>
      </w:pPr>
      <w:r>
        <w:rPr>
          <w:lang w:val="fr-FR"/>
        </w:rPr>
        <w:tab/>
      </w:r>
      <w:r>
        <w:rPr>
          <w:lang w:val="fr-FR"/>
        </w:rPr>
        <w:tab/>
      </w:r>
      <w:r w:rsidR="00E06419" w:rsidRPr="00A176EA">
        <w:rPr>
          <w:lang w:val="fr-FR"/>
        </w:rPr>
        <w:t>Article 6</w:t>
      </w:r>
      <w:r w:rsidR="00FC2B97">
        <w:rPr>
          <w:lang w:val="fr-FR"/>
        </w:rPr>
        <w:t>:</w:t>
      </w:r>
      <w:r w:rsidR="00E06419" w:rsidRPr="00A176EA">
        <w:rPr>
          <w:lang w:val="fr-FR"/>
        </w:rPr>
        <w:t xml:space="preserve"> </w:t>
      </w:r>
      <w:r w:rsidR="00BD7086" w:rsidRPr="00A176EA">
        <w:rPr>
          <w:lang w:val="fr-FR"/>
        </w:rPr>
        <w:t xml:space="preserve">Placement en détention de personnes soupçonnées d'avoir pratiqué </w:t>
      </w:r>
      <w:r w:rsidR="00E45E55">
        <w:rPr>
          <w:lang w:val="fr-FR"/>
        </w:rPr>
        <w:br/>
      </w:r>
      <w:r w:rsidR="00E45E55">
        <w:rPr>
          <w:lang w:val="fr-FR"/>
        </w:rPr>
        <w:tab/>
      </w:r>
      <w:r w:rsidR="00E45E55">
        <w:rPr>
          <w:lang w:val="fr-FR"/>
        </w:rPr>
        <w:tab/>
      </w:r>
      <w:r w:rsidR="00BD7086" w:rsidRPr="00A176EA">
        <w:rPr>
          <w:lang w:val="fr-FR"/>
        </w:rPr>
        <w:t>la torture</w:t>
      </w:r>
      <w:r w:rsidR="00CB7620">
        <w:rPr>
          <w:lang w:val="fr-FR"/>
        </w:rPr>
        <w:tab/>
      </w:r>
      <w:r w:rsidR="00E45E55">
        <w:rPr>
          <w:lang w:val="fr-FR"/>
        </w:rPr>
        <w:tab/>
      </w:r>
      <w:r w:rsidR="00A2372B" w:rsidRPr="00A176EA">
        <w:rPr>
          <w:lang w:val="fr-FR"/>
        </w:rPr>
        <w:t>213</w:t>
      </w:r>
      <w:r w:rsidR="00A2372B" w:rsidRPr="00A176EA">
        <w:rPr>
          <w:lang w:val="fr-FR"/>
        </w:rPr>
        <w:tab/>
        <w:t>44</w:t>
      </w:r>
    </w:p>
    <w:p w:rsidR="00E06419" w:rsidRPr="00A176EA" w:rsidRDefault="007911BB" w:rsidP="00CB7620">
      <w:pPr>
        <w:tabs>
          <w:tab w:val="left" w:pos="-1100"/>
          <w:tab w:val="right" w:pos="850"/>
          <w:tab w:val="left" w:pos="1134"/>
          <w:tab w:val="left" w:pos="1559"/>
          <w:tab w:val="left" w:leader="dot" w:pos="7654"/>
          <w:tab w:val="right" w:pos="8929"/>
          <w:tab w:val="right" w:pos="9638"/>
        </w:tabs>
        <w:spacing w:after="120"/>
        <w:rPr>
          <w:lang w:val="fr-FR"/>
        </w:rPr>
      </w:pPr>
      <w:r>
        <w:rPr>
          <w:lang w:val="fr-FR"/>
        </w:rPr>
        <w:tab/>
      </w:r>
      <w:r>
        <w:rPr>
          <w:lang w:val="fr-FR"/>
        </w:rPr>
        <w:tab/>
      </w:r>
      <w:r w:rsidR="00E06419" w:rsidRPr="00A176EA">
        <w:rPr>
          <w:lang w:val="fr-FR"/>
        </w:rPr>
        <w:t>Article 7</w:t>
      </w:r>
      <w:r w:rsidR="00FC2B97">
        <w:rPr>
          <w:lang w:val="fr-FR"/>
        </w:rPr>
        <w:t>:</w:t>
      </w:r>
      <w:r w:rsidR="00E06419" w:rsidRPr="00A176EA">
        <w:rPr>
          <w:lang w:val="fr-FR"/>
        </w:rPr>
        <w:t xml:space="preserve"> </w:t>
      </w:r>
      <w:r w:rsidR="00BD7086" w:rsidRPr="00A176EA">
        <w:rPr>
          <w:lang w:val="fr-FR"/>
        </w:rPr>
        <w:t xml:space="preserve">Action pénale à l’encontre de personnes soupçonnées d’avoir </w:t>
      </w:r>
      <w:r w:rsidR="00CB7620">
        <w:rPr>
          <w:lang w:val="fr-FR"/>
        </w:rPr>
        <w:br/>
      </w:r>
      <w:r w:rsidR="00CB7620">
        <w:rPr>
          <w:lang w:val="fr-FR"/>
        </w:rPr>
        <w:tab/>
      </w:r>
      <w:r w:rsidR="00CB7620">
        <w:rPr>
          <w:lang w:val="fr-FR"/>
        </w:rPr>
        <w:tab/>
      </w:r>
      <w:r w:rsidR="00BD7086" w:rsidRPr="00A176EA">
        <w:rPr>
          <w:lang w:val="fr-FR"/>
        </w:rPr>
        <w:t>pratiqué</w:t>
      </w:r>
      <w:r w:rsidR="00E06419" w:rsidRPr="00A176EA">
        <w:rPr>
          <w:lang w:val="fr-FR"/>
        </w:rPr>
        <w:t xml:space="preserve"> </w:t>
      </w:r>
      <w:r w:rsidR="00BD7086" w:rsidRPr="00A176EA">
        <w:rPr>
          <w:lang w:val="fr-FR"/>
        </w:rPr>
        <w:t>la</w:t>
      </w:r>
      <w:r w:rsidR="00E06419" w:rsidRPr="00A176EA">
        <w:rPr>
          <w:lang w:val="fr-FR"/>
        </w:rPr>
        <w:t xml:space="preserve"> tortu</w:t>
      </w:r>
      <w:r w:rsidR="00972211" w:rsidRPr="00A176EA">
        <w:rPr>
          <w:lang w:val="fr-FR"/>
        </w:rPr>
        <w:t xml:space="preserve">re </w:t>
      </w:r>
      <w:r w:rsidR="00BD7086" w:rsidRPr="00A176EA">
        <w:rPr>
          <w:lang w:val="fr-FR"/>
        </w:rPr>
        <w:t>et non extradées</w:t>
      </w:r>
      <w:r w:rsidR="00CB7620">
        <w:rPr>
          <w:lang w:val="fr-FR"/>
        </w:rPr>
        <w:tab/>
      </w:r>
      <w:r w:rsidR="00CB7620">
        <w:rPr>
          <w:lang w:val="fr-FR"/>
        </w:rPr>
        <w:tab/>
      </w:r>
      <w:r w:rsidR="00A2372B" w:rsidRPr="00A176EA">
        <w:rPr>
          <w:lang w:val="fr-FR"/>
        </w:rPr>
        <w:t>214-232</w:t>
      </w:r>
      <w:r w:rsidR="00A2372B" w:rsidRPr="00A176EA">
        <w:rPr>
          <w:lang w:val="fr-FR"/>
        </w:rPr>
        <w:tab/>
        <w:t>44</w:t>
      </w:r>
    </w:p>
    <w:p w:rsidR="00E06419" w:rsidRPr="00A176EA" w:rsidRDefault="007911BB" w:rsidP="00011EAC">
      <w:pPr>
        <w:tabs>
          <w:tab w:val="left" w:pos="-1100"/>
          <w:tab w:val="right" w:pos="850"/>
          <w:tab w:val="left" w:pos="1134"/>
          <w:tab w:val="left" w:pos="1559"/>
          <w:tab w:val="left" w:leader="dot" w:pos="7654"/>
          <w:tab w:val="right" w:pos="8929"/>
          <w:tab w:val="right" w:pos="9638"/>
        </w:tabs>
        <w:spacing w:after="120"/>
        <w:rPr>
          <w:lang w:val="fr-FR"/>
        </w:rPr>
      </w:pPr>
      <w:r>
        <w:rPr>
          <w:lang w:val="fr-FR"/>
        </w:rPr>
        <w:tab/>
      </w:r>
      <w:r>
        <w:rPr>
          <w:lang w:val="fr-FR"/>
        </w:rPr>
        <w:tab/>
      </w:r>
      <w:r w:rsidR="00E06419" w:rsidRPr="00A176EA">
        <w:rPr>
          <w:lang w:val="fr-FR"/>
        </w:rPr>
        <w:t>Article 8</w:t>
      </w:r>
      <w:r w:rsidR="00FC2B97">
        <w:rPr>
          <w:lang w:val="fr-FR"/>
        </w:rPr>
        <w:t>:</w:t>
      </w:r>
      <w:r w:rsidR="00E06419" w:rsidRPr="00A176EA">
        <w:rPr>
          <w:lang w:val="fr-FR"/>
        </w:rPr>
        <w:t xml:space="preserve"> Extradition </w:t>
      </w:r>
      <w:r w:rsidR="005E7198" w:rsidRPr="00A176EA">
        <w:rPr>
          <w:lang w:val="fr-FR"/>
        </w:rPr>
        <w:t>de personnes soupçonn</w:t>
      </w:r>
      <w:r w:rsidR="00CB7620">
        <w:rPr>
          <w:lang w:val="fr-FR"/>
        </w:rPr>
        <w:t>ées d’avoir pratiqué la torture</w:t>
      </w:r>
      <w:r w:rsidR="00CB7620">
        <w:rPr>
          <w:lang w:val="fr-FR"/>
        </w:rPr>
        <w:tab/>
      </w:r>
      <w:r w:rsidR="00A2372B" w:rsidRPr="00A176EA">
        <w:rPr>
          <w:lang w:val="fr-FR"/>
        </w:rPr>
        <w:tab/>
        <w:t>233</w:t>
      </w:r>
      <w:r w:rsidR="00A2372B" w:rsidRPr="00A176EA">
        <w:rPr>
          <w:lang w:val="fr-FR"/>
        </w:rPr>
        <w:tab/>
        <w:t>4</w:t>
      </w:r>
      <w:r w:rsidR="00011EAC">
        <w:rPr>
          <w:lang w:val="fr-FR"/>
        </w:rPr>
        <w:t>7</w:t>
      </w:r>
    </w:p>
    <w:p w:rsidR="00E06419" w:rsidRPr="00A176EA" w:rsidRDefault="007911BB" w:rsidP="007911BB">
      <w:pPr>
        <w:tabs>
          <w:tab w:val="left" w:pos="-1100"/>
          <w:tab w:val="right" w:pos="850"/>
          <w:tab w:val="left" w:pos="1134"/>
          <w:tab w:val="left" w:pos="1559"/>
          <w:tab w:val="left" w:leader="dot" w:pos="7654"/>
          <w:tab w:val="right" w:pos="8929"/>
          <w:tab w:val="right" w:pos="9638"/>
        </w:tabs>
        <w:spacing w:after="120"/>
        <w:rPr>
          <w:lang w:val="fr-FR"/>
        </w:rPr>
      </w:pPr>
      <w:r>
        <w:rPr>
          <w:lang w:val="fr-FR"/>
        </w:rPr>
        <w:tab/>
      </w:r>
      <w:r>
        <w:rPr>
          <w:lang w:val="fr-FR"/>
        </w:rPr>
        <w:tab/>
      </w:r>
      <w:r w:rsidR="00E06419" w:rsidRPr="00A176EA">
        <w:rPr>
          <w:lang w:val="fr-FR"/>
        </w:rPr>
        <w:t>Article 9</w:t>
      </w:r>
      <w:r w:rsidR="00FC2B97">
        <w:rPr>
          <w:lang w:val="fr-FR"/>
        </w:rPr>
        <w:t>:</w:t>
      </w:r>
      <w:r w:rsidR="00E06419" w:rsidRPr="00A176EA">
        <w:rPr>
          <w:lang w:val="fr-FR"/>
        </w:rPr>
        <w:t xml:space="preserve"> </w:t>
      </w:r>
      <w:r w:rsidR="005E7198" w:rsidRPr="00A176EA">
        <w:rPr>
          <w:lang w:val="fr-FR"/>
        </w:rPr>
        <w:t>Entraide judiciaire</w:t>
      </w:r>
      <w:r w:rsidR="00CB7620">
        <w:rPr>
          <w:lang w:val="fr-FR"/>
        </w:rPr>
        <w:tab/>
      </w:r>
      <w:r w:rsidR="00011EAC">
        <w:rPr>
          <w:lang w:val="fr-FR"/>
        </w:rPr>
        <w:tab/>
        <w:t>234</w:t>
      </w:r>
      <w:r w:rsidR="00011EAC">
        <w:rPr>
          <w:lang w:val="fr-FR"/>
        </w:rPr>
        <w:tab/>
        <w:t>47</w:t>
      </w:r>
    </w:p>
    <w:p w:rsidR="00E06419" w:rsidRPr="00A176EA" w:rsidRDefault="007911BB" w:rsidP="00E45E55">
      <w:pPr>
        <w:tabs>
          <w:tab w:val="left" w:pos="-1100"/>
          <w:tab w:val="right" w:pos="850"/>
          <w:tab w:val="left" w:pos="1134"/>
          <w:tab w:val="left" w:pos="1559"/>
          <w:tab w:val="left" w:leader="dot" w:pos="7654"/>
          <w:tab w:val="right" w:pos="8929"/>
          <w:tab w:val="right" w:pos="9638"/>
        </w:tabs>
        <w:spacing w:after="120"/>
        <w:rPr>
          <w:lang w:val="fr-FR"/>
        </w:rPr>
      </w:pPr>
      <w:r>
        <w:rPr>
          <w:lang w:val="fr-FR"/>
        </w:rPr>
        <w:tab/>
      </w:r>
      <w:r>
        <w:rPr>
          <w:lang w:val="fr-FR"/>
        </w:rPr>
        <w:tab/>
      </w:r>
      <w:r w:rsidR="00E06419" w:rsidRPr="00A176EA">
        <w:rPr>
          <w:lang w:val="fr-FR"/>
        </w:rPr>
        <w:t>Article 10</w:t>
      </w:r>
      <w:r w:rsidR="00FC2B97">
        <w:rPr>
          <w:lang w:val="fr-FR"/>
        </w:rPr>
        <w:t>:</w:t>
      </w:r>
      <w:r w:rsidR="00E06419" w:rsidRPr="00A176EA">
        <w:rPr>
          <w:lang w:val="fr-FR"/>
        </w:rPr>
        <w:t xml:space="preserve"> </w:t>
      </w:r>
      <w:r w:rsidR="005E7198" w:rsidRPr="00A176EA">
        <w:rPr>
          <w:lang w:val="fr-FR"/>
        </w:rPr>
        <w:t>Enseignement et formation destinés à la police, à l'armée, aux</w:t>
      </w:r>
      <w:r w:rsidR="00E45E55">
        <w:rPr>
          <w:lang w:val="fr-FR"/>
        </w:rPr>
        <w:br/>
      </w:r>
      <w:r w:rsidR="00E45E55">
        <w:rPr>
          <w:lang w:val="fr-FR"/>
        </w:rPr>
        <w:tab/>
      </w:r>
      <w:r w:rsidR="00E45E55">
        <w:rPr>
          <w:lang w:val="fr-FR"/>
        </w:rPr>
        <w:tab/>
      </w:r>
      <w:r w:rsidR="005E7198" w:rsidRPr="00A176EA">
        <w:rPr>
          <w:lang w:val="fr-FR"/>
        </w:rPr>
        <w:t>médecins</w:t>
      </w:r>
      <w:r w:rsidR="00E45E55">
        <w:rPr>
          <w:lang w:val="fr-FR"/>
        </w:rPr>
        <w:t xml:space="preserve"> </w:t>
      </w:r>
      <w:r w:rsidR="005E7198" w:rsidRPr="00A176EA">
        <w:rPr>
          <w:lang w:val="fr-FR"/>
        </w:rPr>
        <w:t xml:space="preserve">et à d'autres personnels aux fins </w:t>
      </w:r>
      <w:r w:rsidR="00E93C73">
        <w:rPr>
          <w:lang w:val="fr-FR"/>
        </w:rPr>
        <w:t>de prévenir</w:t>
      </w:r>
      <w:r w:rsidR="005E7198" w:rsidRPr="00A176EA">
        <w:rPr>
          <w:lang w:val="fr-FR"/>
        </w:rPr>
        <w:t xml:space="preserve"> la torture et autres </w:t>
      </w:r>
      <w:r w:rsidR="00E45E55">
        <w:rPr>
          <w:lang w:val="fr-FR"/>
        </w:rPr>
        <w:br/>
      </w:r>
      <w:r w:rsidR="00E45E55">
        <w:rPr>
          <w:lang w:val="fr-FR"/>
        </w:rPr>
        <w:tab/>
      </w:r>
      <w:r w:rsidR="00E45E55">
        <w:rPr>
          <w:lang w:val="fr-FR"/>
        </w:rPr>
        <w:tab/>
      </w:r>
      <w:r w:rsidR="005E7198" w:rsidRPr="00A176EA">
        <w:rPr>
          <w:lang w:val="fr-FR"/>
        </w:rPr>
        <w:t xml:space="preserve">formes de </w:t>
      </w:r>
      <w:r w:rsidR="00E60090">
        <w:rPr>
          <w:lang w:val="fr-FR"/>
        </w:rPr>
        <w:t>mauvais traitement</w:t>
      </w:r>
      <w:r w:rsidR="00A91FC7">
        <w:rPr>
          <w:lang w:val="fr-FR"/>
        </w:rPr>
        <w:t>s</w:t>
      </w:r>
      <w:r w:rsidR="005E7198" w:rsidRPr="00A176EA">
        <w:rPr>
          <w:lang w:val="fr-FR"/>
        </w:rPr>
        <w:t xml:space="preserve"> </w:t>
      </w:r>
      <w:r w:rsidR="00A2372B" w:rsidRPr="00A176EA">
        <w:rPr>
          <w:lang w:val="fr-FR"/>
        </w:rPr>
        <w:t>……..</w:t>
      </w:r>
      <w:r w:rsidR="00A2372B" w:rsidRPr="00A176EA">
        <w:rPr>
          <w:lang w:val="fr-FR"/>
        </w:rPr>
        <w:tab/>
      </w:r>
      <w:r w:rsidR="00E45E55">
        <w:rPr>
          <w:lang w:val="fr-FR"/>
        </w:rPr>
        <w:tab/>
      </w:r>
      <w:r w:rsidR="00A2372B" w:rsidRPr="00A176EA">
        <w:rPr>
          <w:lang w:val="fr-FR"/>
        </w:rPr>
        <w:t>235-282</w:t>
      </w:r>
      <w:r w:rsidR="00A2372B" w:rsidRPr="00A176EA">
        <w:rPr>
          <w:lang w:val="fr-FR"/>
        </w:rPr>
        <w:tab/>
        <w:t>47</w:t>
      </w:r>
    </w:p>
    <w:p w:rsidR="00E06419" w:rsidRPr="00A176EA" w:rsidRDefault="007911BB" w:rsidP="00011EAC">
      <w:pPr>
        <w:tabs>
          <w:tab w:val="left" w:pos="-1100"/>
          <w:tab w:val="right" w:pos="850"/>
          <w:tab w:val="left" w:pos="1134"/>
          <w:tab w:val="left" w:pos="1559"/>
          <w:tab w:val="left" w:leader="dot" w:pos="7654"/>
          <w:tab w:val="right" w:pos="8929"/>
          <w:tab w:val="right" w:pos="9638"/>
        </w:tabs>
        <w:spacing w:after="120"/>
        <w:rPr>
          <w:lang w:val="fr-FR"/>
        </w:rPr>
      </w:pPr>
      <w:r>
        <w:rPr>
          <w:lang w:val="fr-FR"/>
        </w:rPr>
        <w:tab/>
      </w:r>
      <w:r>
        <w:rPr>
          <w:lang w:val="fr-FR"/>
        </w:rPr>
        <w:tab/>
      </w:r>
      <w:r w:rsidR="00E06419" w:rsidRPr="00A176EA">
        <w:rPr>
          <w:lang w:val="fr-FR"/>
        </w:rPr>
        <w:t>Article 11</w:t>
      </w:r>
      <w:r w:rsidR="00FC2B97">
        <w:rPr>
          <w:lang w:val="fr-FR"/>
        </w:rPr>
        <w:t>:</w:t>
      </w:r>
      <w:r w:rsidR="00E06419" w:rsidRPr="00A176EA">
        <w:rPr>
          <w:lang w:val="fr-FR"/>
        </w:rPr>
        <w:t xml:space="preserve"> </w:t>
      </w:r>
      <w:r w:rsidR="006D5CF1" w:rsidRPr="00A176EA">
        <w:rPr>
          <w:lang w:val="fr-FR"/>
        </w:rPr>
        <w:t xml:space="preserve">Surveillance systématique exercée sur les règles, instructions, </w:t>
      </w:r>
      <w:r w:rsidR="00E45E55">
        <w:rPr>
          <w:lang w:val="fr-FR"/>
        </w:rPr>
        <w:br/>
      </w:r>
      <w:r w:rsidR="00E45E55">
        <w:rPr>
          <w:lang w:val="fr-FR"/>
        </w:rPr>
        <w:tab/>
      </w:r>
      <w:r w:rsidR="00E45E55">
        <w:rPr>
          <w:lang w:val="fr-FR"/>
        </w:rPr>
        <w:tab/>
      </w:r>
      <w:r w:rsidR="006D5CF1" w:rsidRPr="00A176EA">
        <w:rPr>
          <w:lang w:val="fr-FR"/>
        </w:rPr>
        <w:t>méthodes et pratiqu</w:t>
      </w:r>
      <w:r w:rsidR="00E06419" w:rsidRPr="00A176EA">
        <w:rPr>
          <w:lang w:val="fr-FR"/>
        </w:rPr>
        <w:t xml:space="preserve">es </w:t>
      </w:r>
      <w:r w:rsidR="006D5CF1" w:rsidRPr="00A176EA">
        <w:rPr>
          <w:lang w:val="fr-FR"/>
        </w:rPr>
        <w:t xml:space="preserve">en vue d’éviter tout cas de torture et autres formes de </w:t>
      </w:r>
      <w:r w:rsidR="00E45E55">
        <w:rPr>
          <w:lang w:val="fr-FR"/>
        </w:rPr>
        <w:br/>
      </w:r>
      <w:r w:rsidR="00E45E55">
        <w:rPr>
          <w:lang w:val="fr-FR"/>
        </w:rPr>
        <w:tab/>
      </w:r>
      <w:r w:rsidR="00E45E55">
        <w:rPr>
          <w:lang w:val="fr-FR"/>
        </w:rPr>
        <w:tab/>
      </w:r>
      <w:r w:rsidR="006D5CF1" w:rsidRPr="00A176EA">
        <w:rPr>
          <w:lang w:val="fr-FR"/>
        </w:rPr>
        <w:t>mauvais traitement</w:t>
      </w:r>
      <w:r w:rsidR="00A91FC7">
        <w:rPr>
          <w:lang w:val="fr-FR"/>
        </w:rPr>
        <w:t>s</w:t>
      </w:r>
      <w:r w:rsidR="006D5CF1" w:rsidRPr="00A176EA">
        <w:rPr>
          <w:lang w:val="fr-FR"/>
        </w:rPr>
        <w:t>...</w:t>
      </w:r>
      <w:r w:rsidR="00A2372B" w:rsidRPr="00A176EA">
        <w:rPr>
          <w:lang w:val="fr-FR"/>
        </w:rPr>
        <w:tab/>
      </w:r>
      <w:r w:rsidR="00A2372B" w:rsidRPr="00A176EA">
        <w:rPr>
          <w:lang w:val="fr-FR"/>
        </w:rPr>
        <w:tab/>
        <w:t>283-413</w:t>
      </w:r>
      <w:r w:rsidR="00A2372B" w:rsidRPr="00A176EA">
        <w:rPr>
          <w:lang w:val="fr-FR"/>
        </w:rPr>
        <w:tab/>
        <w:t>5</w:t>
      </w:r>
      <w:r w:rsidR="00011EAC">
        <w:rPr>
          <w:lang w:val="fr-FR"/>
        </w:rPr>
        <w:t>5</w:t>
      </w:r>
    </w:p>
    <w:p w:rsidR="00E06419" w:rsidRPr="00A176EA" w:rsidRDefault="007911BB" w:rsidP="00011EAC">
      <w:pPr>
        <w:tabs>
          <w:tab w:val="left" w:pos="-1100"/>
          <w:tab w:val="right" w:pos="850"/>
          <w:tab w:val="left" w:pos="1134"/>
          <w:tab w:val="left" w:pos="1559"/>
          <w:tab w:val="left" w:leader="dot" w:pos="7654"/>
          <w:tab w:val="right" w:pos="8929"/>
          <w:tab w:val="right" w:pos="9638"/>
        </w:tabs>
        <w:spacing w:after="120"/>
        <w:rPr>
          <w:lang w:val="fr-FR"/>
        </w:rPr>
      </w:pPr>
      <w:r>
        <w:rPr>
          <w:lang w:val="fr-FR"/>
        </w:rPr>
        <w:tab/>
      </w:r>
      <w:r>
        <w:rPr>
          <w:lang w:val="fr-FR"/>
        </w:rPr>
        <w:tab/>
      </w:r>
      <w:r w:rsidR="00E06419" w:rsidRPr="00A176EA">
        <w:rPr>
          <w:lang w:val="fr-FR"/>
        </w:rPr>
        <w:t>Article 12</w:t>
      </w:r>
      <w:r w:rsidR="00FC2B97">
        <w:rPr>
          <w:lang w:val="fr-FR"/>
        </w:rPr>
        <w:t>:</w:t>
      </w:r>
      <w:r w:rsidR="00E06419" w:rsidRPr="00A176EA">
        <w:rPr>
          <w:lang w:val="fr-FR"/>
        </w:rPr>
        <w:t xml:space="preserve"> </w:t>
      </w:r>
      <w:r w:rsidR="006D5CF1" w:rsidRPr="00A176EA">
        <w:rPr>
          <w:lang w:val="fr-FR"/>
        </w:rPr>
        <w:t>Enquête</w:t>
      </w:r>
      <w:r w:rsidR="0025526A">
        <w:rPr>
          <w:lang w:val="fr-FR"/>
        </w:rPr>
        <w:t>s</w:t>
      </w:r>
      <w:r w:rsidR="006D5CF1" w:rsidRPr="00A176EA">
        <w:rPr>
          <w:lang w:val="fr-FR"/>
        </w:rPr>
        <w:t xml:space="preserve"> sur les actes de torture </w:t>
      </w:r>
      <w:r w:rsidR="00E93C73">
        <w:rPr>
          <w:lang w:val="fr-FR"/>
        </w:rPr>
        <w:t>et</w:t>
      </w:r>
      <w:r w:rsidR="006D5CF1" w:rsidRPr="00A176EA">
        <w:rPr>
          <w:lang w:val="fr-FR"/>
        </w:rPr>
        <w:t xml:space="preserve"> autres formes de mauvais </w:t>
      </w:r>
      <w:r w:rsidR="00E45E55">
        <w:rPr>
          <w:lang w:val="fr-FR"/>
        </w:rPr>
        <w:br/>
      </w:r>
      <w:r w:rsidR="00E45E55">
        <w:rPr>
          <w:lang w:val="fr-FR"/>
        </w:rPr>
        <w:tab/>
      </w:r>
      <w:r w:rsidR="00E45E55">
        <w:rPr>
          <w:lang w:val="fr-FR"/>
        </w:rPr>
        <w:tab/>
      </w:r>
      <w:r w:rsidR="006D5CF1" w:rsidRPr="00A176EA">
        <w:rPr>
          <w:lang w:val="fr-FR"/>
        </w:rPr>
        <w:t>traitement</w:t>
      </w:r>
      <w:r w:rsidR="00A91FC7">
        <w:rPr>
          <w:lang w:val="fr-FR"/>
        </w:rPr>
        <w:t>s</w:t>
      </w:r>
      <w:r w:rsidR="006D5CF1" w:rsidRPr="00A176EA">
        <w:rPr>
          <w:lang w:val="fr-FR"/>
        </w:rPr>
        <w:t xml:space="preserve"> </w:t>
      </w:r>
      <w:r w:rsidR="00972211" w:rsidRPr="00A176EA">
        <w:rPr>
          <w:lang w:val="fr-FR"/>
        </w:rPr>
        <w:t>…………</w:t>
      </w:r>
      <w:r w:rsidR="00A2372B" w:rsidRPr="00A176EA">
        <w:rPr>
          <w:lang w:val="fr-FR"/>
        </w:rPr>
        <w:tab/>
      </w:r>
      <w:r w:rsidR="00E45E55">
        <w:rPr>
          <w:lang w:val="fr-FR"/>
        </w:rPr>
        <w:tab/>
      </w:r>
      <w:r w:rsidR="00A2372B" w:rsidRPr="00A176EA">
        <w:rPr>
          <w:lang w:val="fr-FR"/>
        </w:rPr>
        <w:t>414-448</w:t>
      </w:r>
      <w:r w:rsidR="00A2372B" w:rsidRPr="00A176EA">
        <w:rPr>
          <w:lang w:val="fr-FR"/>
        </w:rPr>
        <w:tab/>
        <w:t>7</w:t>
      </w:r>
      <w:r w:rsidR="00011EAC">
        <w:rPr>
          <w:lang w:val="fr-FR"/>
        </w:rPr>
        <w:t>4</w:t>
      </w:r>
    </w:p>
    <w:p w:rsidR="00E06419" w:rsidRPr="00A176EA" w:rsidRDefault="007911BB" w:rsidP="00011EAC">
      <w:pPr>
        <w:tabs>
          <w:tab w:val="left" w:pos="-1100"/>
          <w:tab w:val="right" w:pos="850"/>
          <w:tab w:val="left" w:pos="1134"/>
          <w:tab w:val="left" w:pos="1559"/>
          <w:tab w:val="left" w:leader="dot" w:pos="7654"/>
          <w:tab w:val="right" w:pos="8929"/>
          <w:tab w:val="right" w:pos="9638"/>
        </w:tabs>
        <w:spacing w:after="120"/>
        <w:rPr>
          <w:lang w:val="fr-FR"/>
        </w:rPr>
      </w:pPr>
      <w:r>
        <w:rPr>
          <w:lang w:val="fr-FR"/>
        </w:rPr>
        <w:tab/>
      </w:r>
      <w:r>
        <w:rPr>
          <w:lang w:val="fr-FR"/>
        </w:rPr>
        <w:tab/>
      </w:r>
      <w:r w:rsidR="00E06419" w:rsidRPr="00A176EA">
        <w:rPr>
          <w:lang w:val="fr-FR"/>
        </w:rPr>
        <w:t>Article 13</w:t>
      </w:r>
      <w:r w:rsidR="00FC2B97">
        <w:rPr>
          <w:lang w:val="fr-FR"/>
        </w:rPr>
        <w:t>:</w:t>
      </w:r>
      <w:r w:rsidR="00E06419" w:rsidRPr="00A176EA">
        <w:rPr>
          <w:lang w:val="fr-FR"/>
        </w:rPr>
        <w:t xml:space="preserve"> </w:t>
      </w:r>
      <w:r w:rsidR="00F41455" w:rsidRPr="00A176EA">
        <w:rPr>
          <w:lang w:val="fr-FR"/>
        </w:rPr>
        <w:t xml:space="preserve">Possibilité de porter plainte donnée aux victimes de torture ou </w:t>
      </w:r>
      <w:r w:rsidR="00E45E55">
        <w:rPr>
          <w:lang w:val="fr-FR"/>
        </w:rPr>
        <w:br/>
      </w:r>
      <w:r w:rsidR="00E45E55">
        <w:rPr>
          <w:lang w:val="fr-FR"/>
        </w:rPr>
        <w:tab/>
      </w:r>
      <w:r w:rsidR="00E45E55">
        <w:rPr>
          <w:lang w:val="fr-FR"/>
        </w:rPr>
        <w:tab/>
        <w:t>a</w:t>
      </w:r>
      <w:r w:rsidR="00F41455" w:rsidRPr="00A176EA">
        <w:rPr>
          <w:lang w:val="fr-FR"/>
        </w:rPr>
        <w:t>utres</w:t>
      </w:r>
      <w:r w:rsidR="00E06419" w:rsidRPr="00A176EA">
        <w:rPr>
          <w:lang w:val="fr-FR"/>
        </w:rPr>
        <w:t xml:space="preserve"> form</w:t>
      </w:r>
      <w:r w:rsidR="00F41455" w:rsidRPr="00A176EA">
        <w:rPr>
          <w:lang w:val="fr-FR"/>
        </w:rPr>
        <w:t>e</w:t>
      </w:r>
      <w:r w:rsidR="00E06419" w:rsidRPr="00A176EA">
        <w:rPr>
          <w:lang w:val="fr-FR"/>
        </w:rPr>
        <w:t xml:space="preserve">s </w:t>
      </w:r>
      <w:r w:rsidR="00F41455" w:rsidRPr="00A176EA">
        <w:rPr>
          <w:lang w:val="fr-FR"/>
        </w:rPr>
        <w:t>de mauvais traitement</w:t>
      </w:r>
      <w:r w:rsidR="00A91FC7">
        <w:rPr>
          <w:lang w:val="fr-FR"/>
        </w:rPr>
        <w:t>s</w:t>
      </w:r>
      <w:r w:rsidR="00CB7620">
        <w:rPr>
          <w:lang w:val="fr-FR"/>
        </w:rPr>
        <w:tab/>
      </w:r>
      <w:r w:rsidR="00A2372B" w:rsidRPr="00A176EA">
        <w:rPr>
          <w:lang w:val="fr-FR"/>
        </w:rPr>
        <w:tab/>
        <w:t>449-495</w:t>
      </w:r>
      <w:r w:rsidR="00A2372B" w:rsidRPr="00A176EA">
        <w:rPr>
          <w:lang w:val="fr-FR"/>
        </w:rPr>
        <w:tab/>
      </w:r>
      <w:r w:rsidR="00011EAC">
        <w:rPr>
          <w:lang w:val="fr-FR"/>
        </w:rPr>
        <w:t>80</w:t>
      </w:r>
    </w:p>
    <w:p w:rsidR="00E06419" w:rsidRPr="00A176EA" w:rsidRDefault="007911BB" w:rsidP="00011EAC">
      <w:pPr>
        <w:tabs>
          <w:tab w:val="left" w:pos="-1100"/>
          <w:tab w:val="right" w:pos="850"/>
          <w:tab w:val="left" w:pos="1134"/>
          <w:tab w:val="left" w:pos="1559"/>
          <w:tab w:val="left" w:leader="dot" w:pos="7654"/>
          <w:tab w:val="right" w:pos="8929"/>
          <w:tab w:val="right" w:pos="9638"/>
        </w:tabs>
        <w:spacing w:after="120"/>
        <w:rPr>
          <w:lang w:val="fr-FR"/>
        </w:rPr>
      </w:pPr>
      <w:r>
        <w:rPr>
          <w:lang w:val="fr-FR"/>
        </w:rPr>
        <w:tab/>
      </w:r>
      <w:r>
        <w:rPr>
          <w:lang w:val="fr-FR"/>
        </w:rPr>
        <w:tab/>
      </w:r>
      <w:r w:rsidR="00E06419" w:rsidRPr="00A176EA">
        <w:rPr>
          <w:lang w:val="fr-FR"/>
        </w:rPr>
        <w:t>Article 14</w:t>
      </w:r>
      <w:r w:rsidR="00FC2B97">
        <w:rPr>
          <w:lang w:val="fr-FR"/>
        </w:rPr>
        <w:t>:</w:t>
      </w:r>
      <w:r w:rsidR="00E06419" w:rsidRPr="00A176EA">
        <w:rPr>
          <w:lang w:val="fr-FR"/>
        </w:rPr>
        <w:t xml:space="preserve"> </w:t>
      </w:r>
      <w:r w:rsidR="00F41455" w:rsidRPr="00A176EA">
        <w:rPr>
          <w:lang w:val="fr-FR"/>
        </w:rPr>
        <w:t>Indemnisation et réadaptation</w:t>
      </w:r>
      <w:r w:rsidR="00E06419" w:rsidRPr="00A176EA">
        <w:rPr>
          <w:lang w:val="fr-FR"/>
        </w:rPr>
        <w:t xml:space="preserve"> </w:t>
      </w:r>
      <w:r w:rsidR="00F41455" w:rsidRPr="00A176EA">
        <w:rPr>
          <w:lang w:val="fr-FR"/>
        </w:rPr>
        <w:t>des</w:t>
      </w:r>
      <w:r w:rsidR="00E06419" w:rsidRPr="00A176EA">
        <w:rPr>
          <w:lang w:val="fr-FR"/>
        </w:rPr>
        <w:t xml:space="preserve"> victim</w:t>
      </w:r>
      <w:r w:rsidR="00F41455" w:rsidRPr="00A176EA">
        <w:rPr>
          <w:lang w:val="fr-FR"/>
        </w:rPr>
        <w:t>e</w:t>
      </w:r>
      <w:r w:rsidR="00E06419" w:rsidRPr="00A176EA">
        <w:rPr>
          <w:lang w:val="fr-FR"/>
        </w:rPr>
        <w:t xml:space="preserve">s </w:t>
      </w:r>
      <w:r w:rsidR="00657DA1">
        <w:rPr>
          <w:lang w:val="fr-FR"/>
        </w:rPr>
        <w:t>de</w:t>
      </w:r>
      <w:r w:rsidR="00E06419" w:rsidRPr="00A176EA">
        <w:rPr>
          <w:lang w:val="fr-FR"/>
        </w:rPr>
        <w:t xml:space="preserve"> torture</w:t>
      </w:r>
      <w:r w:rsidR="00CB7620">
        <w:rPr>
          <w:lang w:val="fr-FR"/>
        </w:rPr>
        <w:tab/>
      </w:r>
      <w:r w:rsidR="00CB7620">
        <w:rPr>
          <w:lang w:val="fr-FR"/>
        </w:rPr>
        <w:tab/>
      </w:r>
      <w:r w:rsidR="00A2372B" w:rsidRPr="00A176EA">
        <w:rPr>
          <w:lang w:val="fr-FR"/>
        </w:rPr>
        <w:t>496-503</w:t>
      </w:r>
      <w:r w:rsidR="00A2372B" w:rsidRPr="00A176EA">
        <w:rPr>
          <w:lang w:val="fr-FR"/>
        </w:rPr>
        <w:tab/>
      </w:r>
      <w:r w:rsidR="00011EAC">
        <w:rPr>
          <w:lang w:val="fr-FR"/>
        </w:rPr>
        <w:t>88</w:t>
      </w:r>
    </w:p>
    <w:p w:rsidR="00E06419" w:rsidRPr="00A176EA" w:rsidRDefault="007911BB" w:rsidP="00011EAC">
      <w:pPr>
        <w:tabs>
          <w:tab w:val="left" w:pos="-1100"/>
          <w:tab w:val="right" w:pos="850"/>
          <w:tab w:val="left" w:pos="1134"/>
          <w:tab w:val="left" w:pos="1559"/>
          <w:tab w:val="left" w:leader="dot" w:pos="7654"/>
          <w:tab w:val="right" w:pos="8929"/>
          <w:tab w:val="right" w:pos="9638"/>
        </w:tabs>
        <w:spacing w:after="120"/>
        <w:rPr>
          <w:lang w:val="fr-FR"/>
        </w:rPr>
      </w:pPr>
      <w:r>
        <w:rPr>
          <w:lang w:val="fr-FR"/>
        </w:rPr>
        <w:tab/>
      </w:r>
      <w:r>
        <w:rPr>
          <w:lang w:val="fr-FR"/>
        </w:rPr>
        <w:tab/>
      </w:r>
      <w:r w:rsidR="006D5CF1" w:rsidRPr="00A176EA">
        <w:rPr>
          <w:lang w:val="fr-FR"/>
        </w:rPr>
        <w:t>Article 15</w:t>
      </w:r>
      <w:r w:rsidR="00FC2B97">
        <w:rPr>
          <w:lang w:val="fr-FR"/>
        </w:rPr>
        <w:t>:</w:t>
      </w:r>
      <w:r w:rsidR="006D5CF1" w:rsidRPr="00A176EA">
        <w:rPr>
          <w:lang w:val="fr-FR"/>
        </w:rPr>
        <w:t xml:space="preserve"> </w:t>
      </w:r>
      <w:r w:rsidR="00F41455" w:rsidRPr="00A176EA">
        <w:rPr>
          <w:lang w:val="fr-FR"/>
        </w:rPr>
        <w:t>Recevabilité d</w:t>
      </w:r>
      <w:r w:rsidR="00561EF6">
        <w:rPr>
          <w:lang w:val="fr-FR"/>
        </w:rPr>
        <w:t xml:space="preserve">es </w:t>
      </w:r>
      <w:r w:rsidR="00F41455" w:rsidRPr="00A176EA">
        <w:rPr>
          <w:lang w:val="fr-FR"/>
        </w:rPr>
        <w:t>aveux en</w:t>
      </w:r>
      <w:r w:rsidR="00CB7620">
        <w:rPr>
          <w:lang w:val="fr-FR"/>
        </w:rPr>
        <w:t xml:space="preserve"> tant que preuve</w:t>
      </w:r>
      <w:r w:rsidR="00CB7620">
        <w:rPr>
          <w:lang w:val="fr-FR"/>
        </w:rPr>
        <w:tab/>
      </w:r>
      <w:r w:rsidR="00BA1EB9">
        <w:rPr>
          <w:lang w:val="fr-FR"/>
        </w:rPr>
        <w:tab/>
        <w:t>504-507</w:t>
      </w:r>
      <w:r w:rsidR="00BA1EB9">
        <w:rPr>
          <w:lang w:val="fr-FR"/>
        </w:rPr>
        <w:tab/>
      </w:r>
      <w:r w:rsidR="00A2372B" w:rsidRPr="00A176EA">
        <w:rPr>
          <w:lang w:val="fr-FR"/>
        </w:rPr>
        <w:t>8</w:t>
      </w:r>
      <w:r w:rsidR="00011EAC">
        <w:rPr>
          <w:lang w:val="fr-FR"/>
        </w:rPr>
        <w:t>9</w:t>
      </w:r>
    </w:p>
    <w:p w:rsidR="00E06419" w:rsidRPr="00A176EA" w:rsidRDefault="007911BB" w:rsidP="00011EAC">
      <w:pPr>
        <w:tabs>
          <w:tab w:val="left" w:pos="-1100"/>
          <w:tab w:val="right" w:pos="850"/>
          <w:tab w:val="left" w:pos="1134"/>
          <w:tab w:val="left" w:pos="1559"/>
          <w:tab w:val="left" w:leader="dot" w:pos="7654"/>
          <w:tab w:val="right" w:pos="8929"/>
          <w:tab w:val="right" w:pos="9638"/>
        </w:tabs>
        <w:spacing w:after="120"/>
        <w:rPr>
          <w:lang w:val="fr-FR"/>
        </w:rPr>
      </w:pPr>
      <w:r>
        <w:rPr>
          <w:lang w:val="fr-FR"/>
        </w:rPr>
        <w:tab/>
      </w:r>
      <w:r>
        <w:rPr>
          <w:lang w:val="fr-FR"/>
        </w:rPr>
        <w:tab/>
      </w:r>
      <w:r w:rsidR="00E06419" w:rsidRPr="00A176EA">
        <w:rPr>
          <w:lang w:val="fr-FR"/>
        </w:rPr>
        <w:t>Article 16</w:t>
      </w:r>
      <w:r w:rsidR="00FC2B97">
        <w:rPr>
          <w:lang w:val="fr-FR"/>
        </w:rPr>
        <w:t>:</w:t>
      </w:r>
      <w:r w:rsidR="00E06419" w:rsidRPr="00A176EA">
        <w:rPr>
          <w:lang w:val="fr-FR"/>
        </w:rPr>
        <w:t xml:space="preserve"> </w:t>
      </w:r>
      <w:r w:rsidR="00F41455" w:rsidRPr="00A176EA">
        <w:rPr>
          <w:lang w:val="fr-FR"/>
        </w:rPr>
        <w:t xml:space="preserve">Autres actes constitutifs de peines ou traitements cruels, </w:t>
      </w:r>
      <w:r w:rsidR="00E45E55">
        <w:rPr>
          <w:lang w:val="fr-FR"/>
        </w:rPr>
        <w:br/>
      </w:r>
      <w:r w:rsidR="00E45E55">
        <w:rPr>
          <w:lang w:val="fr-FR"/>
        </w:rPr>
        <w:tab/>
      </w:r>
      <w:r w:rsidR="00E45E55">
        <w:rPr>
          <w:lang w:val="fr-FR"/>
        </w:rPr>
        <w:tab/>
      </w:r>
      <w:r w:rsidR="00F41455" w:rsidRPr="00A176EA">
        <w:rPr>
          <w:lang w:val="fr-FR"/>
        </w:rPr>
        <w:t xml:space="preserve">inhumains ou dégradants qui ne sont pas des actes de </w:t>
      </w:r>
      <w:r w:rsidR="00BA1EB9">
        <w:rPr>
          <w:lang w:val="fr-FR"/>
        </w:rPr>
        <w:t>torture</w:t>
      </w:r>
      <w:r w:rsidR="00BA1EB9">
        <w:rPr>
          <w:lang w:val="fr-FR"/>
        </w:rPr>
        <w:tab/>
      </w:r>
      <w:r w:rsidR="00BA1EB9">
        <w:rPr>
          <w:lang w:val="fr-FR"/>
        </w:rPr>
        <w:tab/>
      </w:r>
      <w:r w:rsidR="00A2372B" w:rsidRPr="00A176EA">
        <w:rPr>
          <w:lang w:val="fr-FR"/>
        </w:rPr>
        <w:t>508-586</w:t>
      </w:r>
      <w:r w:rsidR="00A2372B" w:rsidRPr="00A176EA">
        <w:rPr>
          <w:lang w:val="fr-FR"/>
        </w:rPr>
        <w:tab/>
      </w:r>
      <w:r w:rsidR="00011EAC">
        <w:rPr>
          <w:lang w:val="fr-FR"/>
        </w:rPr>
        <w:t>90</w:t>
      </w:r>
    </w:p>
    <w:p w:rsidR="00E06419" w:rsidRPr="00A176EA" w:rsidRDefault="00AC4116" w:rsidP="00011EAC">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sidRPr="00A176EA">
        <w:rPr>
          <w:lang w:val="fr-FR"/>
        </w:rPr>
        <w:t>III.</w:t>
      </w:r>
      <w:r>
        <w:rPr>
          <w:lang w:val="fr-FR"/>
        </w:rPr>
        <w:tab/>
      </w:r>
      <w:r w:rsidR="00213066">
        <w:rPr>
          <w:lang w:val="fr-FR"/>
        </w:rPr>
        <w:t>Généralités</w:t>
      </w:r>
      <w:r w:rsidR="00BA1EB9">
        <w:rPr>
          <w:lang w:val="fr-FR"/>
        </w:rPr>
        <w:tab/>
      </w:r>
      <w:r w:rsidR="00BA1EB9">
        <w:rPr>
          <w:lang w:val="fr-FR"/>
        </w:rPr>
        <w:tab/>
      </w:r>
      <w:r w:rsidR="00A2372B" w:rsidRPr="00A176EA">
        <w:rPr>
          <w:lang w:val="fr-FR"/>
        </w:rPr>
        <w:t>587-839</w:t>
      </w:r>
      <w:r w:rsidR="00A2372B" w:rsidRPr="00A176EA">
        <w:rPr>
          <w:lang w:val="fr-FR"/>
        </w:rPr>
        <w:tab/>
      </w:r>
      <w:r w:rsidR="00011EAC">
        <w:rPr>
          <w:lang w:val="fr-FR"/>
        </w:rPr>
        <w:t>105</w:t>
      </w:r>
    </w:p>
    <w:p w:rsidR="00E06419" w:rsidRPr="00A176EA" w:rsidRDefault="006B7C8C" w:rsidP="00510015">
      <w:pPr>
        <w:tabs>
          <w:tab w:val="right" w:pos="888"/>
          <w:tab w:val="left" w:pos="1248"/>
          <w:tab w:val="left" w:leader="dot" w:pos="7728"/>
          <w:tab w:val="right" w:pos="8808"/>
          <w:tab w:val="right" w:pos="9528"/>
        </w:tabs>
        <w:spacing w:after="120"/>
        <w:rPr>
          <w:lang w:val="fr-FR"/>
        </w:rPr>
      </w:pPr>
      <w:r>
        <w:rPr>
          <w:lang w:val="fr-FR"/>
        </w:rPr>
        <w:tab/>
      </w:r>
      <w:r w:rsidR="00324342">
        <w:rPr>
          <w:lang w:val="fr-FR"/>
        </w:rPr>
        <w:t>Annexes</w:t>
      </w:r>
    </w:p>
    <w:p w:rsidR="00E06419" w:rsidRPr="00A176EA" w:rsidRDefault="00124595" w:rsidP="00261262">
      <w:pPr>
        <w:tabs>
          <w:tab w:val="right" w:pos="850"/>
          <w:tab w:val="left" w:pos="1134"/>
          <w:tab w:val="left" w:pos="1559"/>
          <w:tab w:val="left" w:pos="1984"/>
          <w:tab w:val="right" w:leader="dot" w:pos="8929"/>
          <w:tab w:val="right" w:pos="9638"/>
        </w:tabs>
        <w:spacing w:after="120"/>
        <w:rPr>
          <w:lang w:val="fr-FR"/>
        </w:rPr>
      </w:pPr>
      <w:r>
        <w:rPr>
          <w:lang w:val="fr-FR"/>
        </w:rPr>
        <w:tab/>
      </w:r>
      <w:r w:rsidR="00E06419" w:rsidRPr="00A176EA">
        <w:rPr>
          <w:lang w:val="fr-FR"/>
        </w:rPr>
        <w:t xml:space="preserve">I. </w:t>
      </w:r>
      <w:r w:rsidR="00BA1EB9">
        <w:rPr>
          <w:lang w:val="fr-FR"/>
        </w:rPr>
        <w:tab/>
      </w:r>
      <w:r w:rsidR="006D26F0">
        <w:rPr>
          <w:lang w:val="fr-FR"/>
        </w:rPr>
        <w:t>Dépendances</w:t>
      </w:r>
      <w:r w:rsidR="00F41455" w:rsidRPr="00A176EA">
        <w:rPr>
          <w:lang w:val="fr-FR"/>
        </w:rPr>
        <w:t xml:space="preserve"> de la Couronne</w:t>
      </w:r>
      <w:r w:rsidR="00A176EA">
        <w:rPr>
          <w:lang w:val="fr-FR"/>
        </w:rPr>
        <w:t xml:space="preserve"> britannique</w:t>
      </w:r>
      <w:r w:rsidR="00BA1EB9">
        <w:rPr>
          <w:lang w:val="fr-FR"/>
        </w:rPr>
        <w:tab/>
      </w:r>
      <w:r w:rsidR="00BA1EB9">
        <w:rPr>
          <w:lang w:val="fr-FR"/>
        </w:rPr>
        <w:tab/>
      </w:r>
      <w:r w:rsidR="00011EAC">
        <w:rPr>
          <w:lang w:val="fr-FR"/>
        </w:rPr>
        <w:t>15</w:t>
      </w:r>
      <w:r w:rsidR="00A2372B" w:rsidRPr="00A176EA">
        <w:rPr>
          <w:lang w:val="fr-FR"/>
        </w:rPr>
        <w:t>2</w:t>
      </w:r>
    </w:p>
    <w:p w:rsidR="00E06419" w:rsidRPr="00A176EA" w:rsidRDefault="00124595" w:rsidP="00011EAC">
      <w:pPr>
        <w:tabs>
          <w:tab w:val="right" w:pos="850"/>
          <w:tab w:val="left" w:pos="1134"/>
          <w:tab w:val="left" w:pos="1559"/>
          <w:tab w:val="left" w:pos="1984"/>
          <w:tab w:val="right" w:leader="dot" w:pos="8929"/>
          <w:tab w:val="right" w:pos="9638"/>
        </w:tabs>
        <w:spacing w:after="120"/>
        <w:rPr>
          <w:lang w:val="fr-FR"/>
        </w:rPr>
      </w:pPr>
      <w:r>
        <w:rPr>
          <w:lang w:val="fr-FR"/>
        </w:rPr>
        <w:tab/>
      </w:r>
      <w:r w:rsidR="00E06419" w:rsidRPr="00A176EA">
        <w:rPr>
          <w:lang w:val="fr-FR"/>
        </w:rPr>
        <w:t xml:space="preserve">II. </w:t>
      </w:r>
      <w:r w:rsidR="00BA1EB9">
        <w:rPr>
          <w:lang w:val="fr-FR"/>
        </w:rPr>
        <w:tab/>
      </w:r>
      <w:r w:rsidR="00F41455" w:rsidRPr="00A176EA">
        <w:rPr>
          <w:lang w:val="fr-FR"/>
        </w:rPr>
        <w:t>Territoires d’outre-mer</w:t>
      </w:r>
      <w:r w:rsidR="00261262">
        <w:rPr>
          <w:lang w:val="fr-FR"/>
        </w:rPr>
        <w:tab/>
      </w:r>
      <w:r w:rsidR="00BA1EB9">
        <w:rPr>
          <w:lang w:val="fr-FR"/>
        </w:rPr>
        <w:tab/>
      </w:r>
      <w:r w:rsidR="00A2372B" w:rsidRPr="00A176EA">
        <w:rPr>
          <w:lang w:val="fr-FR"/>
        </w:rPr>
        <w:t>1</w:t>
      </w:r>
      <w:r w:rsidR="00011EAC">
        <w:rPr>
          <w:lang w:val="fr-FR"/>
        </w:rPr>
        <w:t>70</w:t>
      </w:r>
    </w:p>
    <w:p w:rsidR="000B562B" w:rsidRPr="00A176EA" w:rsidRDefault="00C20F05" w:rsidP="00FC2B97">
      <w:pPr>
        <w:pStyle w:val="HChG"/>
      </w:pPr>
      <w:r w:rsidRPr="00A176EA">
        <w:br w:type="page"/>
      </w:r>
      <w:r w:rsidR="00972211" w:rsidRPr="00A176EA">
        <w:tab/>
      </w:r>
      <w:r w:rsidR="00972211" w:rsidRPr="00A176EA">
        <w:tab/>
      </w:r>
      <w:r w:rsidR="000B562B" w:rsidRPr="00A176EA">
        <w:t>I</w:t>
      </w:r>
      <w:r w:rsidR="002549A9" w:rsidRPr="00A176EA">
        <w:t>ntroduction</w:t>
      </w:r>
      <w:bookmarkEnd w:id="0"/>
    </w:p>
    <w:p w:rsidR="000B562B" w:rsidRPr="00A176EA" w:rsidRDefault="002549A9" w:rsidP="00BE2314">
      <w:pPr>
        <w:pStyle w:val="SingleTxtG"/>
        <w:rPr>
          <w:lang w:val="fr-FR"/>
        </w:rPr>
      </w:pPr>
      <w:r w:rsidRPr="00A176EA">
        <w:rPr>
          <w:lang w:val="fr-FR"/>
        </w:rPr>
        <w:t>1.</w:t>
      </w:r>
      <w:r w:rsidRPr="00A176EA">
        <w:rPr>
          <w:lang w:val="fr-FR"/>
        </w:rPr>
        <w:tab/>
      </w:r>
      <w:r w:rsidR="00D423C6" w:rsidRPr="00A176EA">
        <w:rPr>
          <w:lang w:val="fr-FR"/>
        </w:rPr>
        <w:t xml:space="preserve">Le présent document est le cinquième rapport présenté par le Royaume-Uni en application de l'article 19 de la Convention des Nations Unies contre la torture et autres peines ou traitements cruels, inhumains ou dégradants. </w:t>
      </w:r>
      <w:r w:rsidR="00CB0B04" w:rsidRPr="00A176EA">
        <w:rPr>
          <w:lang w:val="fr-FR"/>
        </w:rPr>
        <w:t xml:space="preserve">Il fournit des renseignements sur les actions entreprises par le Royaume-Uni pour s’acquitter de ses obligations découlant de la Convention depuis l’examen de son quatrième rapport (CAT/C/67/Add.2) en novembre 2004 et </w:t>
      </w:r>
      <w:r w:rsidR="00A176EA" w:rsidRPr="00A176EA">
        <w:rPr>
          <w:lang w:val="fr-FR"/>
        </w:rPr>
        <w:t xml:space="preserve">les renseignements complémentaires fournis au Comité contre la torture en mars </w:t>
      </w:r>
      <w:r w:rsidR="00CB0B04" w:rsidRPr="00A176EA">
        <w:rPr>
          <w:lang w:val="fr-FR"/>
        </w:rPr>
        <w:t xml:space="preserve"> </w:t>
      </w:r>
      <w:r w:rsidR="000B562B" w:rsidRPr="00A176EA">
        <w:rPr>
          <w:lang w:val="fr-FR"/>
        </w:rPr>
        <w:t>2006 (CAT/C/GBR/CO/4/Add.1).</w:t>
      </w:r>
    </w:p>
    <w:p w:rsidR="000B562B" w:rsidRPr="00A176EA" w:rsidRDefault="002549A9" w:rsidP="00A176EA">
      <w:pPr>
        <w:pStyle w:val="SingleTxtG"/>
        <w:rPr>
          <w:lang w:val="fr-FR"/>
        </w:rPr>
      </w:pPr>
      <w:r w:rsidRPr="00A176EA">
        <w:rPr>
          <w:lang w:val="fr-FR"/>
        </w:rPr>
        <w:t>2.</w:t>
      </w:r>
      <w:r w:rsidRPr="00A176EA">
        <w:rPr>
          <w:lang w:val="fr-FR"/>
        </w:rPr>
        <w:tab/>
      </w:r>
      <w:r w:rsidR="00A176EA" w:rsidRPr="00A176EA">
        <w:rPr>
          <w:lang w:val="fr-FR"/>
        </w:rPr>
        <w:t xml:space="preserve">Le Royaume-Uni est un État unitaire qui comprend l'Angleterre et le </w:t>
      </w:r>
      <w:r w:rsidR="00CB2353">
        <w:rPr>
          <w:lang w:val="fr-FR"/>
        </w:rPr>
        <w:t>p</w:t>
      </w:r>
      <w:r w:rsidR="005601A1">
        <w:rPr>
          <w:lang w:val="fr-FR"/>
        </w:rPr>
        <w:t>ays de Galles</w:t>
      </w:r>
      <w:r w:rsidR="00A176EA" w:rsidRPr="00A176EA">
        <w:rPr>
          <w:lang w:val="fr-FR"/>
        </w:rPr>
        <w:t>, l'Écosse et l'Irlande du Nord (mais pas les dépendan</w:t>
      </w:r>
      <w:r w:rsidR="006D26F0">
        <w:rPr>
          <w:lang w:val="fr-FR"/>
        </w:rPr>
        <w:t>ce</w:t>
      </w:r>
      <w:r w:rsidR="00A176EA" w:rsidRPr="00A176EA">
        <w:rPr>
          <w:lang w:val="fr-FR"/>
        </w:rPr>
        <w:t xml:space="preserve">s de la Couronne que sont l'île de Man et les îles anglo-normandes). Toute indication visant </w:t>
      </w:r>
      <w:r w:rsidR="00CD0110">
        <w:rPr>
          <w:lang w:val="fr-FR"/>
        </w:rPr>
        <w:t>«</w:t>
      </w:r>
      <w:r w:rsidR="00BE72BB" w:rsidRPr="00A176EA">
        <w:rPr>
          <w:lang w:val="fr-FR"/>
        </w:rPr>
        <w:t xml:space="preserve">la </w:t>
      </w:r>
      <w:r w:rsidR="00A176EA">
        <w:rPr>
          <w:lang w:val="fr-FR"/>
        </w:rPr>
        <w:t>Grande-Bretagne</w:t>
      </w:r>
      <w:r w:rsidR="00CD0110">
        <w:rPr>
          <w:lang w:val="fr-FR"/>
        </w:rPr>
        <w:t>»</w:t>
      </w:r>
      <w:r w:rsidR="00A176EA" w:rsidRPr="00A176EA">
        <w:rPr>
          <w:lang w:val="fr-FR"/>
        </w:rPr>
        <w:t xml:space="preserve"> </w:t>
      </w:r>
      <w:r w:rsidR="00BE72BB" w:rsidRPr="00A176EA">
        <w:rPr>
          <w:lang w:val="fr-FR"/>
        </w:rPr>
        <w:t xml:space="preserve">dans le présent rapport </w:t>
      </w:r>
      <w:r w:rsidR="00A176EA" w:rsidRPr="00A176EA">
        <w:rPr>
          <w:lang w:val="fr-FR"/>
        </w:rPr>
        <w:t xml:space="preserve">désigne l'Angleterre, le </w:t>
      </w:r>
      <w:r w:rsidR="00CB2353">
        <w:rPr>
          <w:lang w:val="fr-FR"/>
        </w:rPr>
        <w:t>p</w:t>
      </w:r>
      <w:r w:rsidR="005601A1">
        <w:rPr>
          <w:lang w:val="fr-FR"/>
        </w:rPr>
        <w:t>ays de Galles</w:t>
      </w:r>
      <w:r w:rsidR="00A176EA" w:rsidRPr="00A176EA">
        <w:rPr>
          <w:lang w:val="fr-FR"/>
        </w:rPr>
        <w:t xml:space="preserve"> et l'</w:t>
      </w:r>
      <w:r w:rsidR="00A176EA">
        <w:rPr>
          <w:lang w:val="fr-FR"/>
        </w:rPr>
        <w:t>É</w:t>
      </w:r>
      <w:r w:rsidR="00A176EA" w:rsidRPr="00A176EA">
        <w:rPr>
          <w:lang w:val="fr-FR"/>
        </w:rPr>
        <w:t>cosse considérés ensemble.</w:t>
      </w:r>
      <w:r w:rsidR="00A176EA">
        <w:rPr>
          <w:lang w:val="fr-FR"/>
        </w:rPr>
        <w:t xml:space="preserve"> Le présent rapport a été élaboré avec la pleine coopération des administrations concernées du </w:t>
      </w:r>
      <w:r w:rsidR="00CB2353">
        <w:rPr>
          <w:lang w:val="fr-FR"/>
        </w:rPr>
        <w:t>p</w:t>
      </w:r>
      <w:r w:rsidR="005601A1">
        <w:rPr>
          <w:lang w:val="fr-FR"/>
        </w:rPr>
        <w:t>ays de Galles</w:t>
      </w:r>
      <w:r w:rsidR="00A176EA">
        <w:rPr>
          <w:lang w:val="fr-FR"/>
        </w:rPr>
        <w:t>, de l</w:t>
      </w:r>
      <w:r w:rsidR="00A176EA" w:rsidRPr="00A176EA">
        <w:rPr>
          <w:lang w:val="fr-FR"/>
        </w:rPr>
        <w:t>'Écosse</w:t>
      </w:r>
      <w:r w:rsidR="00A176EA">
        <w:rPr>
          <w:lang w:val="fr-FR"/>
        </w:rPr>
        <w:t xml:space="preserve"> et de l’Irlande du Nord</w:t>
      </w:r>
      <w:r w:rsidR="000B562B" w:rsidRPr="00A176EA">
        <w:rPr>
          <w:lang w:val="fr-FR"/>
        </w:rPr>
        <w:t>.</w:t>
      </w:r>
    </w:p>
    <w:p w:rsidR="000B562B" w:rsidRPr="00A176EA" w:rsidRDefault="002549A9" w:rsidP="00072178">
      <w:pPr>
        <w:pStyle w:val="SingleTxtG"/>
        <w:rPr>
          <w:lang w:val="fr-FR"/>
        </w:rPr>
      </w:pPr>
      <w:r w:rsidRPr="00A176EA">
        <w:rPr>
          <w:lang w:val="fr-FR"/>
        </w:rPr>
        <w:t>3.</w:t>
      </w:r>
      <w:r w:rsidRPr="00A176EA">
        <w:rPr>
          <w:lang w:val="fr-FR"/>
        </w:rPr>
        <w:tab/>
      </w:r>
      <w:r w:rsidR="00A176EA">
        <w:rPr>
          <w:lang w:val="fr-FR"/>
        </w:rPr>
        <w:t>Le cinquième rapport périodique des dépendan</w:t>
      </w:r>
      <w:r w:rsidR="006D26F0">
        <w:rPr>
          <w:lang w:val="fr-FR"/>
        </w:rPr>
        <w:t>ce</w:t>
      </w:r>
      <w:r w:rsidR="00A176EA">
        <w:rPr>
          <w:lang w:val="fr-FR"/>
        </w:rPr>
        <w:t xml:space="preserve">s de la Couronne </w:t>
      </w:r>
      <w:r w:rsidR="00072178">
        <w:rPr>
          <w:lang w:val="fr-FR"/>
        </w:rPr>
        <w:t xml:space="preserve">britannique </w:t>
      </w:r>
      <w:r w:rsidR="00A176EA">
        <w:rPr>
          <w:lang w:val="fr-FR"/>
        </w:rPr>
        <w:t>(</w:t>
      </w:r>
      <w:r w:rsidR="00072178">
        <w:rPr>
          <w:lang w:val="fr-FR"/>
        </w:rPr>
        <w:t xml:space="preserve">Guernesey, Jersey et île de Man) figure dans la deuxième partie </w:t>
      </w:r>
      <w:r w:rsidR="001A3D6D">
        <w:rPr>
          <w:lang w:val="fr-FR"/>
        </w:rPr>
        <w:t xml:space="preserve">(annexe II) </w:t>
      </w:r>
      <w:r w:rsidR="00072178">
        <w:rPr>
          <w:lang w:val="fr-FR"/>
        </w:rPr>
        <w:t>du présent rapport. Le quatrième rapport périodiqu</w:t>
      </w:r>
      <w:r w:rsidR="00BE72BB">
        <w:rPr>
          <w:lang w:val="fr-FR"/>
        </w:rPr>
        <w:t>e</w:t>
      </w:r>
      <w:r w:rsidR="00072178">
        <w:rPr>
          <w:lang w:val="fr-FR"/>
        </w:rPr>
        <w:t xml:space="preserve"> des territoires d’outre-mer en constitue la troisième partie</w:t>
      </w:r>
      <w:r w:rsidR="001A3D6D">
        <w:rPr>
          <w:lang w:val="fr-FR"/>
        </w:rPr>
        <w:t xml:space="preserve"> (annexe III)</w:t>
      </w:r>
      <w:r w:rsidR="000B562B" w:rsidRPr="00A176EA">
        <w:rPr>
          <w:lang w:val="fr-FR"/>
        </w:rPr>
        <w:t>.</w:t>
      </w:r>
    </w:p>
    <w:p w:rsidR="000B562B" w:rsidRPr="00A176EA" w:rsidRDefault="00072178" w:rsidP="002549A9">
      <w:pPr>
        <w:pStyle w:val="H23G"/>
        <w:rPr>
          <w:lang w:val="fr-FR"/>
        </w:rPr>
      </w:pPr>
      <w:r>
        <w:rPr>
          <w:lang w:val="fr-FR"/>
        </w:rPr>
        <w:t>Interdiction de la</w:t>
      </w:r>
      <w:r w:rsidR="000B562B" w:rsidRPr="00A176EA">
        <w:rPr>
          <w:lang w:val="fr-FR"/>
        </w:rPr>
        <w:t xml:space="preserve"> torture</w:t>
      </w:r>
    </w:p>
    <w:p w:rsidR="000B562B" w:rsidRPr="00505462" w:rsidRDefault="002549A9" w:rsidP="00582F63">
      <w:pPr>
        <w:pStyle w:val="SingleTxtG"/>
        <w:rPr>
          <w:lang w:val="fr-FR"/>
        </w:rPr>
      </w:pPr>
      <w:r w:rsidRPr="00A176EA">
        <w:rPr>
          <w:lang w:val="fr-FR"/>
        </w:rPr>
        <w:t>4.</w:t>
      </w:r>
      <w:r w:rsidRPr="00A176EA">
        <w:rPr>
          <w:lang w:val="fr-FR"/>
        </w:rPr>
        <w:tab/>
      </w:r>
      <w:r w:rsidR="00072178">
        <w:rPr>
          <w:lang w:val="fr-FR"/>
        </w:rPr>
        <w:t xml:space="preserve">En vertu de l’article 134 de la loi de 1988 sur la justice pénale, la torture est une infraction pénale au Royaume-Uni et passible d’une peine maximale de réclusion à perpétuité. </w:t>
      </w:r>
      <w:r w:rsidR="007E43C2" w:rsidRPr="007E43C2">
        <w:rPr>
          <w:lang w:val="fr-FR"/>
        </w:rPr>
        <w:t xml:space="preserve">La loi </w:t>
      </w:r>
      <w:r w:rsidR="0046532D" w:rsidRPr="007E43C2">
        <w:rPr>
          <w:lang w:val="fr-FR"/>
        </w:rPr>
        <w:t>de 1998</w:t>
      </w:r>
      <w:r w:rsidR="0046532D">
        <w:rPr>
          <w:lang w:val="fr-FR"/>
        </w:rPr>
        <w:t xml:space="preserve"> </w:t>
      </w:r>
      <w:r w:rsidR="00475340">
        <w:rPr>
          <w:lang w:val="fr-FR"/>
        </w:rPr>
        <w:t>sur les</w:t>
      </w:r>
      <w:r w:rsidR="007E43C2" w:rsidRPr="007E43C2">
        <w:rPr>
          <w:lang w:val="fr-FR"/>
        </w:rPr>
        <w:t xml:space="preserve"> droits de l’homme, entrée en vigueur en octobre 2000, donne encore plus de poids à la </w:t>
      </w:r>
      <w:r w:rsidR="007A4C1B" w:rsidRPr="007E43C2">
        <w:rPr>
          <w:lang w:val="fr-FR"/>
        </w:rPr>
        <w:t>Convention européenne de sauvegarde des droits de l'homme et des libertés fondamentales</w:t>
      </w:r>
      <w:r w:rsidR="00B45553" w:rsidRPr="00B45553">
        <w:rPr>
          <w:lang w:val="fr-FR"/>
        </w:rPr>
        <w:t xml:space="preserve"> </w:t>
      </w:r>
      <w:r w:rsidR="00B45553" w:rsidRPr="007E43C2">
        <w:rPr>
          <w:lang w:val="fr-FR"/>
        </w:rPr>
        <w:t>dans la législation britannique</w:t>
      </w:r>
      <w:r w:rsidR="000B562B" w:rsidRPr="007E43C2">
        <w:rPr>
          <w:lang w:val="fr-FR"/>
        </w:rPr>
        <w:t xml:space="preserve">. </w:t>
      </w:r>
      <w:r w:rsidR="007A4C1B" w:rsidRPr="007E43C2">
        <w:rPr>
          <w:lang w:val="fr-FR"/>
        </w:rPr>
        <w:t>L’a</w:t>
      </w:r>
      <w:r w:rsidR="000B562B" w:rsidRPr="007E43C2">
        <w:rPr>
          <w:lang w:val="fr-FR"/>
        </w:rPr>
        <w:t xml:space="preserve">rticle 3 </w:t>
      </w:r>
      <w:r w:rsidR="007A4C1B" w:rsidRPr="007E43C2">
        <w:rPr>
          <w:lang w:val="fr-FR"/>
        </w:rPr>
        <w:t>de la Convention</w:t>
      </w:r>
      <w:r w:rsidR="000B562B" w:rsidRPr="00A176EA">
        <w:rPr>
          <w:lang w:val="fr-FR"/>
        </w:rPr>
        <w:t xml:space="preserve"> </w:t>
      </w:r>
      <w:r w:rsidR="00475340">
        <w:rPr>
          <w:lang w:val="fr-FR"/>
        </w:rPr>
        <w:t>énonce</w:t>
      </w:r>
      <w:r w:rsidR="007E43C2">
        <w:rPr>
          <w:lang w:val="fr-FR"/>
        </w:rPr>
        <w:t xml:space="preserve"> que nul </w:t>
      </w:r>
      <w:r w:rsidR="007E43C2" w:rsidRPr="00505462">
        <w:rPr>
          <w:lang w:val="fr-FR"/>
        </w:rPr>
        <w:t xml:space="preserve">ne peut être soumis à la torture ou à des peines et traitements inhumains ou dégradants. </w:t>
      </w:r>
      <w:r w:rsidR="00475340" w:rsidRPr="00505462">
        <w:rPr>
          <w:lang w:val="fr-FR"/>
        </w:rPr>
        <w:t>La loi sur les droits d</w:t>
      </w:r>
      <w:r w:rsidR="001A3D6D" w:rsidRPr="00505462">
        <w:rPr>
          <w:lang w:val="fr-FR"/>
        </w:rPr>
        <w:t>e l'homme fait obligation à l’ensemble des</w:t>
      </w:r>
      <w:r w:rsidR="00475340" w:rsidRPr="00505462">
        <w:rPr>
          <w:lang w:val="fr-FR"/>
        </w:rPr>
        <w:t xml:space="preserve"> </w:t>
      </w:r>
      <w:r w:rsidR="001A3D6D" w:rsidRPr="00505462">
        <w:rPr>
          <w:lang w:val="fr-FR"/>
        </w:rPr>
        <w:t>pouvoirs publics</w:t>
      </w:r>
      <w:r w:rsidR="00475340" w:rsidRPr="00505462">
        <w:rPr>
          <w:lang w:val="fr-FR"/>
        </w:rPr>
        <w:t xml:space="preserve"> d'agir </w:t>
      </w:r>
      <w:r w:rsidR="00582F63" w:rsidRPr="00505462">
        <w:rPr>
          <w:lang w:val="fr-FR"/>
        </w:rPr>
        <w:t>d’une manière compatible avec</w:t>
      </w:r>
      <w:r w:rsidR="00475340" w:rsidRPr="00505462">
        <w:rPr>
          <w:lang w:val="fr-FR"/>
        </w:rPr>
        <w:t xml:space="preserve"> </w:t>
      </w:r>
      <w:r w:rsidR="00582F63" w:rsidRPr="00505462">
        <w:rPr>
          <w:lang w:val="fr-FR"/>
        </w:rPr>
        <w:t>l</w:t>
      </w:r>
      <w:r w:rsidR="00475340" w:rsidRPr="00505462">
        <w:rPr>
          <w:lang w:val="fr-FR"/>
        </w:rPr>
        <w:t xml:space="preserve">es droits </w:t>
      </w:r>
      <w:r w:rsidR="00582F63" w:rsidRPr="00505462">
        <w:rPr>
          <w:lang w:val="fr-FR"/>
        </w:rPr>
        <w:t>qui y sont définis</w:t>
      </w:r>
      <w:r w:rsidR="00475340" w:rsidRPr="00505462">
        <w:rPr>
          <w:lang w:val="fr-FR"/>
        </w:rPr>
        <w:t xml:space="preserve"> et renforce</w:t>
      </w:r>
      <w:r w:rsidR="00582F63" w:rsidRPr="00505462">
        <w:rPr>
          <w:lang w:val="fr-FR"/>
        </w:rPr>
        <w:t>, pour</w:t>
      </w:r>
      <w:r w:rsidR="00475340" w:rsidRPr="00505462">
        <w:rPr>
          <w:lang w:val="fr-FR"/>
        </w:rPr>
        <w:t xml:space="preserve"> toute </w:t>
      </w:r>
      <w:r w:rsidR="00582F63" w:rsidRPr="00505462">
        <w:rPr>
          <w:lang w:val="fr-FR"/>
        </w:rPr>
        <w:t>victime,</w:t>
      </w:r>
      <w:r w:rsidR="00475340" w:rsidRPr="00505462">
        <w:rPr>
          <w:lang w:val="fr-FR"/>
        </w:rPr>
        <w:t xml:space="preserve"> la faculté </w:t>
      </w:r>
      <w:r w:rsidR="00582F63" w:rsidRPr="00505462">
        <w:rPr>
          <w:lang w:val="fr-FR"/>
        </w:rPr>
        <w:t>d’invoquer lesdits</w:t>
      </w:r>
      <w:r w:rsidR="00475340" w:rsidRPr="00505462">
        <w:rPr>
          <w:lang w:val="fr-FR"/>
        </w:rPr>
        <w:t xml:space="preserve"> droits dans toute</w:t>
      </w:r>
      <w:r w:rsidR="00582F63" w:rsidRPr="00505462">
        <w:rPr>
          <w:lang w:val="fr-FR"/>
        </w:rPr>
        <w:t>s</w:t>
      </w:r>
      <w:r w:rsidR="00475340" w:rsidRPr="00505462">
        <w:rPr>
          <w:lang w:val="fr-FR"/>
        </w:rPr>
        <w:t xml:space="preserve"> </w:t>
      </w:r>
      <w:r w:rsidR="001A3D6D" w:rsidRPr="00505462">
        <w:rPr>
          <w:lang w:val="fr-FR"/>
        </w:rPr>
        <w:t>actions</w:t>
      </w:r>
      <w:r w:rsidR="00475340" w:rsidRPr="00505462">
        <w:rPr>
          <w:lang w:val="fr-FR"/>
        </w:rPr>
        <w:t xml:space="preserve"> </w:t>
      </w:r>
      <w:r w:rsidR="00582F63" w:rsidRPr="00505462">
        <w:rPr>
          <w:lang w:val="fr-FR"/>
        </w:rPr>
        <w:t>civiles ou pénales</w:t>
      </w:r>
      <w:r w:rsidR="000B562B" w:rsidRPr="00505462">
        <w:rPr>
          <w:lang w:val="fr-FR"/>
        </w:rPr>
        <w:t>.</w:t>
      </w:r>
    </w:p>
    <w:p w:rsidR="000B562B" w:rsidRPr="00582F63" w:rsidRDefault="002549A9" w:rsidP="008A0B3F">
      <w:pPr>
        <w:pStyle w:val="SingleTxtG"/>
        <w:rPr>
          <w:lang w:val="fr-FR"/>
        </w:rPr>
      </w:pPr>
      <w:r w:rsidRPr="00A176EA">
        <w:rPr>
          <w:lang w:val="fr-FR"/>
        </w:rPr>
        <w:t>5.</w:t>
      </w:r>
      <w:r w:rsidRPr="00A176EA">
        <w:rPr>
          <w:lang w:val="fr-FR"/>
        </w:rPr>
        <w:tab/>
      </w:r>
      <w:r w:rsidR="00582F63" w:rsidRPr="00582F63">
        <w:rPr>
          <w:lang w:val="fr-FR"/>
        </w:rPr>
        <w:t>Le Royaume-Uni est également partie à la Convention européenne pour la prévention de la torture et des peines ou traitements inhumains ou dégradants, qui est entrée en vigueur au Royaume-Uni le 1</w:t>
      </w:r>
      <w:r w:rsidR="00582F63" w:rsidRPr="00582F63">
        <w:rPr>
          <w:vertAlign w:val="superscript"/>
          <w:lang w:val="fr-FR"/>
        </w:rPr>
        <w:t>er</w:t>
      </w:r>
      <w:r w:rsidR="00582F63" w:rsidRPr="00582F63">
        <w:rPr>
          <w:lang w:val="fr-FR"/>
        </w:rPr>
        <w:t xml:space="preserve"> février 1989. Depuis novembre 2004, le Comité a procédé à</w:t>
      </w:r>
      <w:r w:rsidR="001A3D6D">
        <w:rPr>
          <w:lang w:val="fr-FR"/>
        </w:rPr>
        <w:t xml:space="preserve"> quatre visites au Royaume-Uni,</w:t>
      </w:r>
      <w:r w:rsidR="00582F63" w:rsidRPr="00582F63">
        <w:rPr>
          <w:lang w:val="fr-FR"/>
        </w:rPr>
        <w:t xml:space="preserve"> en </w:t>
      </w:r>
      <w:r w:rsidR="000B562B" w:rsidRPr="00582F63">
        <w:rPr>
          <w:lang w:val="fr-FR"/>
        </w:rPr>
        <w:t xml:space="preserve">2005, 2007, 2008 </w:t>
      </w:r>
      <w:r w:rsidR="008A0B3F">
        <w:rPr>
          <w:lang w:val="fr-FR"/>
        </w:rPr>
        <w:t>et</w:t>
      </w:r>
      <w:r w:rsidR="000B562B" w:rsidRPr="00582F63">
        <w:rPr>
          <w:lang w:val="fr-FR"/>
        </w:rPr>
        <w:t xml:space="preserve"> 2010. </w:t>
      </w:r>
      <w:r w:rsidR="008A0B3F">
        <w:rPr>
          <w:lang w:val="fr-FR"/>
        </w:rPr>
        <w:t xml:space="preserve">Il s’est rendu en Irlande du Nord en 2008 et à Guernesey et Jersey en </w:t>
      </w:r>
      <w:r w:rsidR="000B562B" w:rsidRPr="00582F63">
        <w:rPr>
          <w:lang w:val="fr-FR"/>
        </w:rPr>
        <w:t>2010.</w:t>
      </w:r>
    </w:p>
    <w:p w:rsidR="000B562B" w:rsidRPr="004F70DF" w:rsidRDefault="000B562B" w:rsidP="008465B1">
      <w:pPr>
        <w:pStyle w:val="H23G"/>
        <w:rPr>
          <w:lang w:val="fr-FR"/>
        </w:rPr>
      </w:pPr>
      <w:r w:rsidRPr="004F70DF">
        <w:rPr>
          <w:lang w:val="fr-FR"/>
        </w:rPr>
        <w:t xml:space="preserve">Article 22 </w:t>
      </w:r>
      <w:r w:rsidR="00072178" w:rsidRPr="004F70DF">
        <w:rPr>
          <w:lang w:val="fr-FR"/>
        </w:rPr>
        <w:t>de la</w:t>
      </w:r>
      <w:r w:rsidR="00FD285C" w:rsidRPr="004F70DF">
        <w:rPr>
          <w:lang w:val="fr-FR"/>
        </w:rPr>
        <w:t xml:space="preserve"> Convention </w:t>
      </w:r>
      <w:r w:rsidR="00072178" w:rsidRPr="004F70DF">
        <w:rPr>
          <w:lang w:val="fr-FR"/>
        </w:rPr>
        <w:t>contre la</w:t>
      </w:r>
      <w:r w:rsidRPr="004F70DF">
        <w:rPr>
          <w:lang w:val="fr-FR"/>
        </w:rPr>
        <w:t xml:space="preserve"> </w:t>
      </w:r>
      <w:r w:rsidR="00017843" w:rsidRPr="004F70DF">
        <w:rPr>
          <w:lang w:val="fr-FR"/>
        </w:rPr>
        <w:t>t</w:t>
      </w:r>
      <w:r w:rsidRPr="004F70DF">
        <w:rPr>
          <w:lang w:val="fr-FR"/>
        </w:rPr>
        <w:t>orture</w:t>
      </w:r>
    </w:p>
    <w:p w:rsidR="000B562B" w:rsidRPr="00A176EA" w:rsidRDefault="002549A9" w:rsidP="008A0B3F">
      <w:pPr>
        <w:pStyle w:val="SingleTxtG"/>
        <w:rPr>
          <w:lang w:val="fr-FR"/>
        </w:rPr>
      </w:pPr>
      <w:r w:rsidRPr="00A176EA">
        <w:rPr>
          <w:lang w:val="fr-FR"/>
        </w:rPr>
        <w:t>6.</w:t>
      </w:r>
      <w:r w:rsidRPr="00A176EA">
        <w:rPr>
          <w:lang w:val="fr-FR"/>
        </w:rPr>
        <w:tab/>
      </w:r>
      <w:r w:rsidR="008A0B3F">
        <w:rPr>
          <w:lang w:val="fr-FR"/>
        </w:rPr>
        <w:t>En juillet</w:t>
      </w:r>
      <w:r w:rsidR="000B562B" w:rsidRPr="00A176EA">
        <w:rPr>
          <w:lang w:val="fr-FR"/>
        </w:rPr>
        <w:t xml:space="preserve"> 2004</w:t>
      </w:r>
      <w:r w:rsidR="008A0B3F">
        <w:rPr>
          <w:lang w:val="fr-FR"/>
        </w:rPr>
        <w:t xml:space="preserve">, le Gouvernement </w:t>
      </w:r>
      <w:r w:rsidR="0033203A">
        <w:rPr>
          <w:lang w:val="fr-FR"/>
        </w:rPr>
        <w:t>d’alors</w:t>
      </w:r>
      <w:r w:rsidR="008A0B3F">
        <w:rPr>
          <w:lang w:val="fr-FR"/>
        </w:rPr>
        <w:t xml:space="preserve"> a réexaminé sa position, dans le cadre d’un examen d’ensemble des instruments internationaux relatifs aux droits de l’homme</w:t>
      </w:r>
      <w:r w:rsidR="0033203A">
        <w:rPr>
          <w:lang w:val="fr-FR"/>
        </w:rPr>
        <w:t>,</w:t>
      </w:r>
      <w:r w:rsidR="0033203A" w:rsidRPr="0033203A">
        <w:rPr>
          <w:lang w:val="fr-FR"/>
        </w:rPr>
        <w:t xml:space="preserve"> </w:t>
      </w:r>
      <w:r w:rsidR="0033203A">
        <w:rPr>
          <w:lang w:val="fr-FR"/>
        </w:rPr>
        <w:t>quant au droit de présenter des communications individuelles conféré par l’article 22 de la Convention</w:t>
      </w:r>
      <w:r w:rsidR="000B562B" w:rsidRPr="00A176EA">
        <w:rPr>
          <w:lang w:val="fr-FR"/>
        </w:rPr>
        <w:t>.</w:t>
      </w:r>
    </w:p>
    <w:p w:rsidR="000B562B" w:rsidRPr="00A176EA" w:rsidRDefault="002549A9" w:rsidP="00B95A02">
      <w:pPr>
        <w:pStyle w:val="SingleTxtG"/>
        <w:rPr>
          <w:lang w:val="fr-FR"/>
        </w:rPr>
      </w:pPr>
      <w:r w:rsidRPr="00A176EA">
        <w:rPr>
          <w:lang w:val="fr-FR"/>
        </w:rPr>
        <w:t>7.</w:t>
      </w:r>
      <w:r w:rsidRPr="00A176EA">
        <w:rPr>
          <w:lang w:val="fr-FR"/>
        </w:rPr>
        <w:tab/>
      </w:r>
      <w:r w:rsidR="008A0B3F">
        <w:rPr>
          <w:lang w:val="fr-FR"/>
        </w:rPr>
        <w:t>Le</w:t>
      </w:r>
      <w:r w:rsidR="000B562B" w:rsidRPr="00A176EA">
        <w:rPr>
          <w:lang w:val="fr-FR"/>
        </w:rPr>
        <w:t xml:space="preserve"> Go</w:t>
      </w:r>
      <w:r w:rsidR="008A0B3F">
        <w:rPr>
          <w:lang w:val="fr-FR"/>
        </w:rPr>
        <w:t>u</w:t>
      </w:r>
      <w:r w:rsidR="000B562B" w:rsidRPr="00A176EA">
        <w:rPr>
          <w:lang w:val="fr-FR"/>
        </w:rPr>
        <w:t>vern</w:t>
      </w:r>
      <w:r w:rsidR="008A0B3F">
        <w:rPr>
          <w:lang w:val="fr-FR"/>
        </w:rPr>
        <w:t>e</w:t>
      </w:r>
      <w:r w:rsidR="000B562B" w:rsidRPr="00A176EA">
        <w:rPr>
          <w:lang w:val="fr-FR"/>
        </w:rPr>
        <w:t xml:space="preserve">ment </w:t>
      </w:r>
      <w:r w:rsidR="00771E2A">
        <w:rPr>
          <w:lang w:val="fr-FR"/>
        </w:rPr>
        <w:t xml:space="preserve">n’est toujours pas convaincu de l’avantage concret qu’apporterait à la population britannique le droit </w:t>
      </w:r>
      <w:r w:rsidR="00DB58EA">
        <w:rPr>
          <w:lang w:val="fr-FR"/>
        </w:rPr>
        <w:t xml:space="preserve">énoncé dans l’article 22 de la Convention </w:t>
      </w:r>
      <w:r w:rsidR="00771E2A">
        <w:rPr>
          <w:lang w:val="fr-FR"/>
        </w:rPr>
        <w:t>de présenter un recours individuel à l’Organisation des Nations Unies</w:t>
      </w:r>
      <w:r w:rsidR="000B562B" w:rsidRPr="00A176EA">
        <w:rPr>
          <w:lang w:val="fr-FR"/>
        </w:rPr>
        <w:t>.</w:t>
      </w:r>
    </w:p>
    <w:p w:rsidR="000B562B" w:rsidRPr="00A176EA" w:rsidRDefault="002549A9" w:rsidP="00DA3218">
      <w:pPr>
        <w:pStyle w:val="SingleTxtG"/>
        <w:rPr>
          <w:lang w:val="fr-FR"/>
        </w:rPr>
      </w:pPr>
      <w:r w:rsidRPr="00A176EA">
        <w:rPr>
          <w:lang w:val="fr-FR"/>
        </w:rPr>
        <w:t>8.</w:t>
      </w:r>
      <w:r w:rsidRPr="00A176EA">
        <w:rPr>
          <w:lang w:val="fr-FR"/>
        </w:rPr>
        <w:tab/>
      </w:r>
      <w:r w:rsidR="00B95A02">
        <w:rPr>
          <w:lang w:val="fr-FR"/>
        </w:rPr>
        <w:t>Les organes conventionnels de l’ONU qui examinent les recours ne sont pas des tribunaux et ne peuven</w:t>
      </w:r>
      <w:r w:rsidR="00DB58EA">
        <w:rPr>
          <w:lang w:val="fr-FR"/>
        </w:rPr>
        <w:t>t accorder de</w:t>
      </w:r>
      <w:r w:rsidR="0033203A">
        <w:rPr>
          <w:lang w:val="fr-FR"/>
        </w:rPr>
        <w:t>s</w:t>
      </w:r>
      <w:r w:rsidR="00DB58EA">
        <w:rPr>
          <w:lang w:val="fr-FR"/>
        </w:rPr>
        <w:t xml:space="preserve"> dommages-intérêts </w:t>
      </w:r>
      <w:r w:rsidR="0033203A">
        <w:rPr>
          <w:lang w:val="fr-FR"/>
        </w:rPr>
        <w:t>ni</w:t>
      </w:r>
      <w:r w:rsidR="00DB58EA" w:rsidRPr="00DB58EA">
        <w:rPr>
          <w:lang w:val="fr-FR"/>
        </w:rPr>
        <w:t xml:space="preserve"> rendre de</w:t>
      </w:r>
      <w:r w:rsidR="0033203A">
        <w:rPr>
          <w:lang w:val="fr-FR"/>
        </w:rPr>
        <w:t>s</w:t>
      </w:r>
      <w:r w:rsidR="00DB58EA" w:rsidRPr="00DB58EA">
        <w:rPr>
          <w:lang w:val="fr-FR"/>
        </w:rPr>
        <w:t xml:space="preserve"> décision</w:t>
      </w:r>
      <w:r w:rsidR="0033203A">
        <w:rPr>
          <w:lang w:val="fr-FR"/>
        </w:rPr>
        <w:t>s</w:t>
      </w:r>
      <w:r w:rsidR="00DB58EA" w:rsidRPr="00DB58EA">
        <w:rPr>
          <w:lang w:val="fr-FR"/>
        </w:rPr>
        <w:t xml:space="preserve"> de justice sur le sens de la loi</w:t>
      </w:r>
      <w:r w:rsidR="00DB58EA">
        <w:rPr>
          <w:lang w:val="fr-FR"/>
        </w:rPr>
        <w:t>, alors que le Royaume-Uni est doté de lois fortes et efficaces</w:t>
      </w:r>
      <w:r w:rsidR="00DA3218">
        <w:rPr>
          <w:lang w:val="fr-FR"/>
        </w:rPr>
        <w:t xml:space="preserve"> permettant aux individus d’exercer un recours devant les tribunaux s’ils estiment que leurs droits ont été violés</w:t>
      </w:r>
      <w:r w:rsidR="000B562B" w:rsidRPr="00A176EA">
        <w:rPr>
          <w:lang w:val="fr-FR"/>
        </w:rPr>
        <w:t>.</w:t>
      </w:r>
    </w:p>
    <w:p w:rsidR="000B562B" w:rsidRPr="00A176EA" w:rsidRDefault="002549A9" w:rsidP="00DA3218">
      <w:pPr>
        <w:pStyle w:val="SingleTxtG"/>
        <w:rPr>
          <w:lang w:val="fr-FR"/>
        </w:rPr>
      </w:pPr>
      <w:r w:rsidRPr="00A176EA">
        <w:rPr>
          <w:lang w:val="fr-FR"/>
        </w:rPr>
        <w:t>9.</w:t>
      </w:r>
      <w:r w:rsidRPr="00A176EA">
        <w:rPr>
          <w:lang w:val="fr-FR"/>
        </w:rPr>
        <w:tab/>
      </w:r>
      <w:r w:rsidR="00DA3218">
        <w:rPr>
          <w:lang w:val="fr-FR"/>
        </w:rPr>
        <w:t>E</w:t>
      </w:r>
      <w:r w:rsidR="000B562B" w:rsidRPr="00A176EA">
        <w:rPr>
          <w:lang w:val="fr-FR"/>
        </w:rPr>
        <w:t xml:space="preserve">n 2004, </w:t>
      </w:r>
      <w:r w:rsidR="00DA3218">
        <w:rPr>
          <w:lang w:val="fr-FR"/>
        </w:rPr>
        <w:t>l</w:t>
      </w:r>
      <w:r w:rsidR="000B562B" w:rsidRPr="00A176EA">
        <w:rPr>
          <w:lang w:val="fr-FR"/>
        </w:rPr>
        <w:t>e Go</w:t>
      </w:r>
      <w:r w:rsidR="00DA3218">
        <w:rPr>
          <w:lang w:val="fr-FR"/>
        </w:rPr>
        <w:t>u</w:t>
      </w:r>
      <w:r w:rsidR="000B562B" w:rsidRPr="00A176EA">
        <w:rPr>
          <w:lang w:val="fr-FR"/>
        </w:rPr>
        <w:t>vern</w:t>
      </w:r>
      <w:r w:rsidR="00DA3218">
        <w:rPr>
          <w:lang w:val="fr-FR"/>
        </w:rPr>
        <w:t>e</w:t>
      </w:r>
      <w:r w:rsidR="000B562B" w:rsidRPr="00A176EA">
        <w:rPr>
          <w:lang w:val="fr-FR"/>
        </w:rPr>
        <w:t xml:space="preserve">ment </w:t>
      </w:r>
      <w:r w:rsidR="00DA3218">
        <w:rPr>
          <w:lang w:val="fr-FR"/>
        </w:rPr>
        <w:t xml:space="preserve">a accepté le Protocole facultatif à la Convention sur l’élimination de toutes les formes de discrimination à l’égard des femmes. </w:t>
      </w:r>
      <w:r w:rsidR="00A91FC7">
        <w:rPr>
          <w:lang w:val="fr-FR"/>
        </w:rPr>
        <w:t>Il voulait, e</w:t>
      </w:r>
      <w:r w:rsidR="00DA3218">
        <w:rPr>
          <w:lang w:val="fr-FR"/>
        </w:rPr>
        <w:t xml:space="preserve">ntre autres, pouvoir étudier de façon plus empirique </w:t>
      </w:r>
      <w:r w:rsidR="007D0396">
        <w:rPr>
          <w:lang w:val="fr-FR"/>
        </w:rPr>
        <w:t>le bien-fondé</w:t>
      </w:r>
      <w:r w:rsidR="00DA3218">
        <w:rPr>
          <w:lang w:val="fr-FR"/>
        </w:rPr>
        <w:t xml:space="preserve"> du recours individuel. Depuis </w:t>
      </w:r>
      <w:r w:rsidR="00FC4890">
        <w:rPr>
          <w:lang w:val="fr-FR"/>
        </w:rPr>
        <w:t xml:space="preserve">mars </w:t>
      </w:r>
      <w:r w:rsidR="00DA3218">
        <w:rPr>
          <w:lang w:val="fr-FR"/>
        </w:rPr>
        <w:t xml:space="preserve">2005, </w:t>
      </w:r>
      <w:r w:rsidR="00DA3218" w:rsidRPr="00DA3218">
        <w:rPr>
          <w:lang w:val="fr-FR"/>
        </w:rPr>
        <w:t>deux communications mettant en cause le Royaume-Uni ont été</w:t>
      </w:r>
      <w:r w:rsidR="00DA3218">
        <w:rPr>
          <w:lang w:val="fr-FR"/>
        </w:rPr>
        <w:t xml:space="preserve"> </w:t>
      </w:r>
      <w:r w:rsidR="00DA3218" w:rsidRPr="00DA3218">
        <w:rPr>
          <w:lang w:val="fr-FR"/>
        </w:rPr>
        <w:t>présentées au Comité pour l’élimination de la discrimination à l’égard des femmes. Toutes deux</w:t>
      </w:r>
      <w:r w:rsidR="00DA3218">
        <w:rPr>
          <w:lang w:val="fr-FR"/>
        </w:rPr>
        <w:t xml:space="preserve"> ont été déclarées irrecevables</w:t>
      </w:r>
      <w:r w:rsidR="000B562B" w:rsidRPr="00A176EA">
        <w:rPr>
          <w:lang w:val="fr-FR"/>
        </w:rPr>
        <w:t>.</w:t>
      </w:r>
    </w:p>
    <w:p w:rsidR="000B562B" w:rsidRPr="00A176EA" w:rsidRDefault="002549A9" w:rsidP="008F1DD2">
      <w:pPr>
        <w:pStyle w:val="SingleTxtG"/>
        <w:rPr>
          <w:lang w:val="fr-FR"/>
        </w:rPr>
      </w:pPr>
      <w:r w:rsidRPr="00A176EA">
        <w:rPr>
          <w:lang w:val="fr-FR"/>
        </w:rPr>
        <w:t>10.</w:t>
      </w:r>
      <w:r w:rsidRPr="00A176EA">
        <w:rPr>
          <w:lang w:val="fr-FR"/>
        </w:rPr>
        <w:tab/>
      </w:r>
      <w:r w:rsidR="00DA3218">
        <w:rPr>
          <w:lang w:val="fr-FR"/>
        </w:rPr>
        <w:t>Le 27 février</w:t>
      </w:r>
      <w:r w:rsidR="000B562B" w:rsidRPr="00A176EA">
        <w:rPr>
          <w:lang w:val="fr-FR"/>
        </w:rPr>
        <w:t xml:space="preserve"> 2009, </w:t>
      </w:r>
      <w:r w:rsidR="00FC4890">
        <w:rPr>
          <w:lang w:val="fr-FR"/>
        </w:rPr>
        <w:t xml:space="preserve">le Royaume-Uni a ratifié le Protocole facultatif à la Convention relative aux droits des personnes handicapées. À ce jour, </w:t>
      </w:r>
      <w:r w:rsidR="00E97F2B">
        <w:rPr>
          <w:lang w:val="fr-FR"/>
        </w:rPr>
        <w:t xml:space="preserve">l’expérience du pays au regard de ces deux protocoles n’a pas fourni d’éléments empiriques suffisants </w:t>
      </w:r>
      <w:r w:rsidR="008F1DD2">
        <w:rPr>
          <w:lang w:val="fr-FR"/>
        </w:rPr>
        <w:t>pour conclure à la nécessité d’autres mécanismes de recours individuel. Il faudra au Gouvernement davantage d’éléments, sur le long terme, pour en établir les avantages concrets</w:t>
      </w:r>
      <w:r w:rsidR="000B562B" w:rsidRPr="00A176EA">
        <w:rPr>
          <w:lang w:val="fr-FR"/>
        </w:rPr>
        <w:t>.</w:t>
      </w:r>
    </w:p>
    <w:p w:rsidR="000B562B" w:rsidRPr="00A176EA" w:rsidRDefault="008F1DD2" w:rsidP="002549A9">
      <w:pPr>
        <w:pStyle w:val="H23G"/>
        <w:rPr>
          <w:lang w:val="fr-FR"/>
        </w:rPr>
      </w:pPr>
      <w:r w:rsidRPr="00A176EA">
        <w:rPr>
          <w:lang w:val="fr-FR"/>
        </w:rPr>
        <w:t>Protocol</w:t>
      </w:r>
      <w:r>
        <w:rPr>
          <w:lang w:val="fr-FR"/>
        </w:rPr>
        <w:t>e</w:t>
      </w:r>
      <w:r w:rsidRPr="00A176EA">
        <w:rPr>
          <w:lang w:val="fr-FR"/>
        </w:rPr>
        <w:t xml:space="preserve"> </w:t>
      </w:r>
      <w:r w:rsidR="001A3D6D">
        <w:rPr>
          <w:lang w:val="fr-FR"/>
        </w:rPr>
        <w:t>facultatif</w:t>
      </w:r>
      <w:r w:rsidR="000B562B" w:rsidRPr="00A176EA">
        <w:rPr>
          <w:lang w:val="fr-FR"/>
        </w:rPr>
        <w:t xml:space="preserve"> </w:t>
      </w:r>
      <w:r>
        <w:rPr>
          <w:lang w:val="fr-FR"/>
        </w:rPr>
        <w:t>à la</w:t>
      </w:r>
      <w:r w:rsidR="000B562B" w:rsidRPr="00A176EA">
        <w:rPr>
          <w:lang w:val="fr-FR"/>
        </w:rPr>
        <w:t xml:space="preserve"> Convention </w:t>
      </w:r>
      <w:r>
        <w:rPr>
          <w:lang w:val="fr-FR"/>
        </w:rPr>
        <w:t>contre la</w:t>
      </w:r>
      <w:r w:rsidR="000B562B" w:rsidRPr="00A176EA">
        <w:rPr>
          <w:lang w:val="fr-FR"/>
        </w:rPr>
        <w:t xml:space="preserve"> Torture</w:t>
      </w:r>
    </w:p>
    <w:p w:rsidR="000B562B" w:rsidRPr="00A176EA" w:rsidRDefault="002549A9" w:rsidP="00397167">
      <w:pPr>
        <w:pStyle w:val="SingleTxtG"/>
        <w:rPr>
          <w:lang w:val="fr-FR"/>
        </w:rPr>
      </w:pPr>
      <w:r w:rsidRPr="00A176EA">
        <w:rPr>
          <w:lang w:val="fr-FR"/>
        </w:rPr>
        <w:t>11.</w:t>
      </w:r>
      <w:r w:rsidRPr="00A176EA">
        <w:rPr>
          <w:lang w:val="fr-FR"/>
        </w:rPr>
        <w:tab/>
      </w:r>
      <w:r w:rsidR="008F1DD2">
        <w:rPr>
          <w:lang w:val="fr-FR"/>
        </w:rPr>
        <w:t xml:space="preserve">Le Royaume-Uni a ratifié le Protocole facultatif à la Convention en décembre 2003. Le 31 mars 2009, le Gouvernement a annoncé la création d’un mécanisme national de prévention. Une description plus détaillée de la création de ce mécanisme figure au paragraphe 283. Le Royaume-Uni </w:t>
      </w:r>
      <w:r w:rsidR="00397167">
        <w:rPr>
          <w:lang w:val="fr-FR"/>
        </w:rPr>
        <w:t xml:space="preserve">appuie pleinement l’action du Sous-Comité sur la prévention de la torture créé dans le cadre du Protocole facultatif. Le professeur </w:t>
      </w:r>
      <w:r w:rsidR="000B562B" w:rsidRPr="00A176EA">
        <w:rPr>
          <w:lang w:val="fr-FR"/>
        </w:rPr>
        <w:t>Malcolm Evans</w:t>
      </w:r>
      <w:r w:rsidR="00397167">
        <w:rPr>
          <w:lang w:val="fr-FR"/>
        </w:rPr>
        <w:t>, de l’Université de</w:t>
      </w:r>
      <w:r w:rsidR="000B562B" w:rsidRPr="00A176EA">
        <w:rPr>
          <w:lang w:val="fr-FR"/>
        </w:rPr>
        <w:t xml:space="preserve"> Bristol</w:t>
      </w:r>
      <w:r w:rsidR="00397167">
        <w:rPr>
          <w:lang w:val="fr-FR"/>
        </w:rPr>
        <w:t>,</w:t>
      </w:r>
      <w:r w:rsidR="000B562B" w:rsidRPr="00A176EA">
        <w:rPr>
          <w:lang w:val="fr-FR"/>
        </w:rPr>
        <w:t xml:space="preserve"> </w:t>
      </w:r>
      <w:r w:rsidR="00397167">
        <w:rPr>
          <w:lang w:val="fr-FR"/>
        </w:rPr>
        <w:t>a été élu membre indépendant du Sous-Comité et en assure actuellement la présidence</w:t>
      </w:r>
      <w:r w:rsidR="000B562B" w:rsidRPr="00A176EA">
        <w:rPr>
          <w:lang w:val="fr-FR"/>
        </w:rPr>
        <w:t>.</w:t>
      </w:r>
    </w:p>
    <w:p w:rsidR="000B562B" w:rsidRPr="00A176EA" w:rsidRDefault="000B562B" w:rsidP="002549A9">
      <w:pPr>
        <w:pStyle w:val="H23G"/>
        <w:rPr>
          <w:lang w:val="fr-FR"/>
        </w:rPr>
      </w:pPr>
      <w:r w:rsidRPr="00397167">
        <w:rPr>
          <w:lang w:val="fr-FR"/>
        </w:rPr>
        <w:t>R</w:t>
      </w:r>
      <w:r w:rsidR="009C6F6F" w:rsidRPr="00397167">
        <w:rPr>
          <w:lang w:val="fr-FR"/>
        </w:rPr>
        <w:t>ô</w:t>
      </w:r>
      <w:r w:rsidRPr="00397167">
        <w:rPr>
          <w:lang w:val="fr-FR"/>
        </w:rPr>
        <w:t xml:space="preserve">le </w:t>
      </w:r>
      <w:r w:rsidR="009C6F6F" w:rsidRPr="00397167">
        <w:rPr>
          <w:lang w:val="fr-FR"/>
        </w:rPr>
        <w:t>des</w:t>
      </w:r>
      <w:r w:rsidRPr="00397167">
        <w:rPr>
          <w:lang w:val="fr-FR"/>
        </w:rPr>
        <w:t xml:space="preserve"> </w:t>
      </w:r>
      <w:r w:rsidR="009C6F6F" w:rsidRPr="00397167">
        <w:rPr>
          <w:lang w:val="fr-FR"/>
        </w:rPr>
        <w:t xml:space="preserve">organisations </w:t>
      </w:r>
      <w:r w:rsidRPr="00397167">
        <w:rPr>
          <w:lang w:val="fr-FR"/>
        </w:rPr>
        <w:t>non</w:t>
      </w:r>
      <w:r w:rsidR="009C6F6F" w:rsidRPr="00397167">
        <w:rPr>
          <w:lang w:val="fr-FR"/>
        </w:rPr>
        <w:t xml:space="preserve"> </w:t>
      </w:r>
      <w:r w:rsidRPr="00397167">
        <w:rPr>
          <w:lang w:val="fr-FR"/>
        </w:rPr>
        <w:t>go</w:t>
      </w:r>
      <w:r w:rsidR="009C6F6F" w:rsidRPr="00397167">
        <w:rPr>
          <w:lang w:val="fr-FR"/>
        </w:rPr>
        <w:t>u</w:t>
      </w:r>
      <w:r w:rsidRPr="00397167">
        <w:rPr>
          <w:lang w:val="fr-FR"/>
        </w:rPr>
        <w:t>vern</w:t>
      </w:r>
      <w:r w:rsidR="009C6F6F" w:rsidRPr="00397167">
        <w:rPr>
          <w:lang w:val="fr-FR"/>
        </w:rPr>
        <w:t>e</w:t>
      </w:r>
      <w:r w:rsidRPr="00397167">
        <w:rPr>
          <w:lang w:val="fr-FR"/>
        </w:rPr>
        <w:t>mental</w:t>
      </w:r>
      <w:r w:rsidR="009C6F6F" w:rsidRPr="00397167">
        <w:rPr>
          <w:lang w:val="fr-FR"/>
        </w:rPr>
        <w:t>es (ONG)</w:t>
      </w:r>
      <w:r w:rsidRPr="00A176EA">
        <w:rPr>
          <w:lang w:val="fr-FR"/>
        </w:rPr>
        <w:t xml:space="preserve"> </w:t>
      </w:r>
    </w:p>
    <w:p w:rsidR="000B562B" w:rsidRPr="00A176EA" w:rsidRDefault="002549A9" w:rsidP="00397167">
      <w:pPr>
        <w:pStyle w:val="SingleTxtG"/>
        <w:rPr>
          <w:lang w:val="fr-FR"/>
        </w:rPr>
      </w:pPr>
      <w:r w:rsidRPr="00A176EA">
        <w:rPr>
          <w:lang w:val="fr-FR"/>
        </w:rPr>
        <w:t>12.</w:t>
      </w:r>
      <w:r w:rsidRPr="00A176EA">
        <w:rPr>
          <w:lang w:val="fr-FR"/>
        </w:rPr>
        <w:tab/>
      </w:r>
      <w:r w:rsidR="00397167">
        <w:rPr>
          <w:lang w:val="fr-FR"/>
        </w:rPr>
        <w:t>Le Gouvernement britannique reconnaît que les ONG ont un rôle important à jouer dans la prévention de la torture et autres formes de mauvais traitement</w:t>
      </w:r>
      <w:r w:rsidR="00A91FC7">
        <w:rPr>
          <w:lang w:val="fr-FR"/>
        </w:rPr>
        <w:t>s</w:t>
      </w:r>
      <w:r w:rsidR="00397167">
        <w:rPr>
          <w:lang w:val="fr-FR"/>
        </w:rPr>
        <w:t>. Pour élaborer le présent rapport, il a sollicité l’opinion d’individus et d’ONG</w:t>
      </w:r>
      <w:r w:rsidR="00FC2B97">
        <w:rPr>
          <w:lang w:val="fr-FR"/>
        </w:rPr>
        <w:t>:</w:t>
      </w:r>
    </w:p>
    <w:p w:rsidR="00971257" w:rsidRPr="007C3CA1" w:rsidRDefault="007C3CA1" w:rsidP="00BC0033">
      <w:pPr>
        <w:pStyle w:val="Bullet1G"/>
      </w:pPr>
      <w:r w:rsidRPr="007C3CA1">
        <w:t>Professeurs de droit</w:t>
      </w:r>
    </w:p>
    <w:p w:rsidR="00971257" w:rsidRPr="007C3CA1" w:rsidRDefault="00971257" w:rsidP="00BC0033">
      <w:pPr>
        <w:pStyle w:val="Bullet1G"/>
      </w:pPr>
      <w:r w:rsidRPr="007C3CA1">
        <w:t>Amnesty International UK</w:t>
      </w:r>
    </w:p>
    <w:p w:rsidR="00971257" w:rsidRPr="007C3CA1" w:rsidRDefault="00971257" w:rsidP="00BC0033">
      <w:pPr>
        <w:pStyle w:val="Bullet1G"/>
      </w:pPr>
      <w:r w:rsidRPr="007C3CA1">
        <w:t>British Institute of Human Rights</w:t>
      </w:r>
    </w:p>
    <w:p w:rsidR="000B562B" w:rsidRPr="007C3CA1" w:rsidRDefault="007C3CA1" w:rsidP="00BC0033">
      <w:pPr>
        <w:pStyle w:val="Bullet1G"/>
      </w:pPr>
      <w:r w:rsidRPr="007C3CA1">
        <w:t xml:space="preserve">British Irish Rights </w:t>
      </w:r>
      <w:r w:rsidR="000B562B" w:rsidRPr="007C3CA1">
        <w:t>Watch</w:t>
      </w:r>
    </w:p>
    <w:p w:rsidR="000B562B" w:rsidRPr="004F70DF" w:rsidRDefault="007C3CA1" w:rsidP="00BC0033">
      <w:pPr>
        <w:pStyle w:val="Bullet1G"/>
        <w:rPr>
          <w:lang w:val="en-US"/>
        </w:rPr>
      </w:pPr>
      <w:r w:rsidRPr="004F70DF">
        <w:rPr>
          <w:lang w:val="en-US"/>
        </w:rPr>
        <w:t xml:space="preserve">Committee on the </w:t>
      </w:r>
      <w:r w:rsidR="000B562B" w:rsidRPr="004F70DF">
        <w:rPr>
          <w:lang w:val="en-US"/>
        </w:rPr>
        <w:t>Administration of Justice</w:t>
      </w:r>
    </w:p>
    <w:p w:rsidR="000B562B" w:rsidRDefault="007C3CA1" w:rsidP="00BC0033">
      <w:pPr>
        <w:pStyle w:val="Bullet1G"/>
      </w:pPr>
      <w:r>
        <w:t xml:space="preserve">Human </w:t>
      </w:r>
      <w:r w:rsidR="000B562B" w:rsidRPr="00A176EA">
        <w:t>Rights Watch</w:t>
      </w:r>
    </w:p>
    <w:p w:rsidR="000B562B" w:rsidRDefault="007C3CA1" w:rsidP="00BC0033">
      <w:pPr>
        <w:pStyle w:val="Bullet1G"/>
      </w:pPr>
      <w:r>
        <w:t xml:space="preserve">Justice, </w:t>
      </w:r>
      <w:r w:rsidR="000B562B" w:rsidRPr="00A176EA">
        <w:t>Liberty</w:t>
      </w:r>
    </w:p>
    <w:p w:rsidR="000B562B" w:rsidRPr="004F70DF" w:rsidRDefault="007C3CA1" w:rsidP="00BC0033">
      <w:pPr>
        <w:pStyle w:val="Bullet1G"/>
        <w:rPr>
          <w:lang w:val="en-US"/>
        </w:rPr>
      </w:pPr>
      <w:r w:rsidRPr="004F70DF">
        <w:rPr>
          <w:lang w:val="en-US"/>
        </w:rPr>
        <w:t xml:space="preserve">Medical Foundation </w:t>
      </w:r>
      <w:r w:rsidR="000B562B" w:rsidRPr="004F70DF">
        <w:rPr>
          <w:lang w:val="en-US"/>
        </w:rPr>
        <w:t>for the Care of Victims of Torture</w:t>
      </w:r>
    </w:p>
    <w:p w:rsidR="000B562B" w:rsidRDefault="007C3CA1" w:rsidP="00BC0033">
      <w:pPr>
        <w:pStyle w:val="Bullet1G"/>
      </w:pPr>
      <w:r w:rsidRPr="007C3CA1">
        <w:t xml:space="preserve">Prison Reform </w:t>
      </w:r>
      <w:r w:rsidR="000B562B" w:rsidRPr="007C3CA1">
        <w:t>Trust</w:t>
      </w:r>
    </w:p>
    <w:p w:rsidR="007C3CA1" w:rsidRDefault="007C3CA1" w:rsidP="00BC0033">
      <w:pPr>
        <w:pStyle w:val="Bullet1G"/>
      </w:pPr>
      <w:r>
        <w:t>REDRESS</w:t>
      </w:r>
    </w:p>
    <w:p w:rsidR="000B562B" w:rsidRPr="00A176EA" w:rsidRDefault="000F596B" w:rsidP="006B38B0">
      <w:pPr>
        <w:pStyle w:val="H23G"/>
        <w:rPr>
          <w:lang w:val="fr-FR"/>
        </w:rPr>
      </w:pPr>
      <w:r w:rsidRPr="00A176EA">
        <w:rPr>
          <w:lang w:val="fr-FR"/>
        </w:rPr>
        <w:t xml:space="preserve">Commission </w:t>
      </w:r>
      <w:r w:rsidR="009F78EA">
        <w:rPr>
          <w:lang w:val="fr-FR"/>
        </w:rPr>
        <w:t>de</w:t>
      </w:r>
      <w:r>
        <w:rPr>
          <w:lang w:val="fr-FR"/>
        </w:rPr>
        <w:t xml:space="preserve"> l’égalité et </w:t>
      </w:r>
      <w:r w:rsidR="009F78EA">
        <w:rPr>
          <w:lang w:val="fr-FR"/>
        </w:rPr>
        <w:t>d</w:t>
      </w:r>
      <w:r>
        <w:rPr>
          <w:lang w:val="fr-FR"/>
        </w:rPr>
        <w:t>es droits de l’homme</w:t>
      </w:r>
      <w:r w:rsidR="000B562B" w:rsidRPr="00A176EA">
        <w:rPr>
          <w:lang w:val="fr-FR"/>
        </w:rPr>
        <w:t xml:space="preserve"> </w:t>
      </w:r>
    </w:p>
    <w:p w:rsidR="007C3CA1" w:rsidRPr="007C3CA1" w:rsidRDefault="007C3CA1" w:rsidP="00BC0033">
      <w:pPr>
        <w:pStyle w:val="Bullet1G"/>
      </w:pPr>
      <w:r w:rsidRPr="007C3CA1">
        <w:t xml:space="preserve">Commission </w:t>
      </w:r>
      <w:r w:rsidRPr="00BD5FD0">
        <w:t xml:space="preserve">des droits de l’homme d’Irlande du </w:t>
      </w:r>
      <w:r>
        <w:t>Nord</w:t>
      </w:r>
      <w:r w:rsidRPr="007C3CA1">
        <w:t xml:space="preserve"> </w:t>
      </w:r>
    </w:p>
    <w:p w:rsidR="007C3CA1" w:rsidRPr="007C3CA1" w:rsidRDefault="007C3CA1" w:rsidP="00BC0033">
      <w:pPr>
        <w:pStyle w:val="Bullet1G"/>
      </w:pPr>
      <w:r w:rsidRPr="007C3CA1">
        <w:t xml:space="preserve">Commission </w:t>
      </w:r>
      <w:r>
        <w:t>écossaise des droits de l’homme</w:t>
      </w:r>
      <w:r w:rsidRPr="007C3CA1">
        <w:t xml:space="preserve"> </w:t>
      </w:r>
    </w:p>
    <w:p w:rsidR="007C3CA1" w:rsidRPr="007C3CA1" w:rsidRDefault="007C3CA1" w:rsidP="00BC0033">
      <w:pPr>
        <w:pStyle w:val="Bullet1G"/>
      </w:pPr>
      <w:r w:rsidRPr="007C3CA1">
        <w:t>UNICEF UK</w:t>
      </w:r>
    </w:p>
    <w:p w:rsidR="007C3CA1" w:rsidRPr="007C3CA1" w:rsidRDefault="007C3CA1" w:rsidP="00BC0033">
      <w:pPr>
        <w:pStyle w:val="Bullet1G"/>
      </w:pPr>
      <w:r w:rsidRPr="007C3CA1">
        <w:t>Children’s Rights Alliance for England</w:t>
      </w:r>
    </w:p>
    <w:p w:rsidR="007C3CA1" w:rsidRPr="007C3CA1" w:rsidRDefault="007C3CA1" w:rsidP="00BC0033">
      <w:pPr>
        <w:pStyle w:val="Bullet1G"/>
      </w:pPr>
      <w:r w:rsidRPr="007C3CA1">
        <w:t>Save the Children UK</w:t>
      </w:r>
    </w:p>
    <w:p w:rsidR="007C3CA1" w:rsidRPr="007C3CA1" w:rsidRDefault="007C3CA1" w:rsidP="00BC0033">
      <w:pPr>
        <w:pStyle w:val="Bullet1G"/>
      </w:pPr>
      <w:r w:rsidRPr="007C3CA1">
        <w:t xml:space="preserve">Commission </w:t>
      </w:r>
      <w:r>
        <w:t xml:space="preserve">pour l’égalité </w:t>
      </w:r>
      <w:r w:rsidRPr="00BD5FD0">
        <w:t xml:space="preserve">en Irlande du </w:t>
      </w:r>
      <w:r>
        <w:t>Nord</w:t>
      </w:r>
    </w:p>
    <w:p w:rsidR="007C3CA1" w:rsidRPr="007C3CA1" w:rsidRDefault="007C3CA1" w:rsidP="00BC0033">
      <w:pPr>
        <w:pStyle w:val="Bullet1G"/>
      </w:pPr>
      <w:r w:rsidRPr="007C3CA1">
        <w:t>Christians Against Torture</w:t>
      </w:r>
    </w:p>
    <w:p w:rsidR="007C3CA1" w:rsidRPr="007C3CA1" w:rsidRDefault="007C3CA1" w:rsidP="00BC0033">
      <w:pPr>
        <w:pStyle w:val="Bullet1G"/>
      </w:pPr>
      <w:r w:rsidRPr="007C3CA1">
        <w:t>Welsh Refugee Council</w:t>
      </w:r>
    </w:p>
    <w:p w:rsidR="007C3CA1" w:rsidRPr="007C3CA1" w:rsidRDefault="007C3CA1" w:rsidP="00BC0033">
      <w:pPr>
        <w:pStyle w:val="Bullet1G"/>
      </w:pPr>
      <w:r w:rsidRPr="007C3CA1">
        <w:t>Penal Reform International</w:t>
      </w:r>
    </w:p>
    <w:p w:rsidR="007C3CA1" w:rsidRPr="007C3CA1" w:rsidRDefault="007C3CA1" w:rsidP="00BC0033">
      <w:pPr>
        <w:pStyle w:val="Bullet1G"/>
      </w:pPr>
      <w:r w:rsidRPr="007C3CA1">
        <w:t xml:space="preserve">Association </w:t>
      </w:r>
      <w:r>
        <w:t>pour la prévention de la t</w:t>
      </w:r>
      <w:r w:rsidRPr="007C3CA1">
        <w:t>orture</w:t>
      </w:r>
    </w:p>
    <w:p w:rsidR="007C3CA1" w:rsidRPr="007C3CA1" w:rsidRDefault="007C3CA1" w:rsidP="00BC0033">
      <w:pPr>
        <w:pStyle w:val="Bullet1G"/>
      </w:pPr>
      <w:r w:rsidRPr="007C3CA1">
        <w:t xml:space="preserve">Reprieve. </w:t>
      </w:r>
    </w:p>
    <w:p w:rsidR="000B562B" w:rsidRPr="00A176EA" w:rsidRDefault="000B562B" w:rsidP="002549A9">
      <w:pPr>
        <w:pStyle w:val="H23G"/>
        <w:rPr>
          <w:lang w:val="fr-FR"/>
        </w:rPr>
      </w:pPr>
      <w:r w:rsidRPr="00A176EA">
        <w:rPr>
          <w:lang w:val="fr-FR"/>
        </w:rPr>
        <w:t xml:space="preserve">Publication </w:t>
      </w:r>
      <w:r w:rsidR="000F596B">
        <w:rPr>
          <w:lang w:val="fr-FR"/>
        </w:rPr>
        <w:t>et diffusion du rapport</w:t>
      </w:r>
    </w:p>
    <w:p w:rsidR="000B562B" w:rsidRPr="00A176EA" w:rsidRDefault="002549A9" w:rsidP="001568A7">
      <w:pPr>
        <w:pStyle w:val="SingleTxtG"/>
        <w:rPr>
          <w:lang w:val="fr-FR"/>
        </w:rPr>
      </w:pPr>
      <w:r w:rsidRPr="00A176EA">
        <w:rPr>
          <w:lang w:val="fr-FR"/>
        </w:rPr>
        <w:t>13.</w:t>
      </w:r>
      <w:r w:rsidRPr="00A176EA">
        <w:rPr>
          <w:lang w:val="fr-FR"/>
        </w:rPr>
        <w:tab/>
      </w:r>
      <w:r w:rsidR="00592471" w:rsidRPr="00592471">
        <w:rPr>
          <w:lang w:val="fr-FR"/>
        </w:rPr>
        <w:t xml:space="preserve">Des exemplaires du présent rapport ont été </w:t>
      </w:r>
      <w:r w:rsidR="00EC04CD">
        <w:rPr>
          <w:lang w:val="fr-FR"/>
        </w:rPr>
        <w:t>remis a</w:t>
      </w:r>
      <w:r w:rsidR="00592471" w:rsidRPr="00592471">
        <w:rPr>
          <w:lang w:val="fr-FR"/>
        </w:rPr>
        <w:t xml:space="preserve">u Parlement britannique et </w:t>
      </w:r>
      <w:r w:rsidR="00EC04CD">
        <w:rPr>
          <w:lang w:val="fr-FR"/>
        </w:rPr>
        <w:t>à</w:t>
      </w:r>
      <w:r w:rsidR="001568A7">
        <w:rPr>
          <w:lang w:val="fr-FR"/>
        </w:rPr>
        <w:t xml:space="preserve"> ses assemblées </w:t>
      </w:r>
      <w:r w:rsidR="00EC04CD">
        <w:rPr>
          <w:lang w:val="fr-FR"/>
        </w:rPr>
        <w:t>dévolues</w:t>
      </w:r>
      <w:r w:rsidR="001568A7">
        <w:rPr>
          <w:lang w:val="fr-FR"/>
        </w:rPr>
        <w:t xml:space="preserve">, et </w:t>
      </w:r>
      <w:r w:rsidR="00592471" w:rsidRPr="00592471">
        <w:rPr>
          <w:lang w:val="fr-FR"/>
        </w:rPr>
        <w:t xml:space="preserve">déposés dans les bibliothèques de dépôt légal du Royaume-Uni. Le rapport sera adressé à titre gratuit à toutes les </w:t>
      </w:r>
      <w:r w:rsidR="001568A7">
        <w:rPr>
          <w:lang w:val="fr-FR"/>
        </w:rPr>
        <w:t xml:space="preserve">ONG </w:t>
      </w:r>
      <w:r w:rsidR="00592471" w:rsidRPr="00592471">
        <w:rPr>
          <w:lang w:val="fr-FR"/>
        </w:rPr>
        <w:t xml:space="preserve">intéressées et à tous les points de contact </w:t>
      </w:r>
      <w:r w:rsidR="001568A7" w:rsidRPr="007C3CA1">
        <w:rPr>
          <w:lang w:val="fr-FR"/>
        </w:rPr>
        <w:t>chargés des</w:t>
      </w:r>
      <w:r w:rsidR="00592471" w:rsidRPr="007C3CA1">
        <w:rPr>
          <w:lang w:val="fr-FR"/>
        </w:rPr>
        <w:t xml:space="preserve"> droits de l'homme </w:t>
      </w:r>
      <w:r w:rsidR="001568A7" w:rsidRPr="007C3CA1">
        <w:rPr>
          <w:lang w:val="fr-FR"/>
        </w:rPr>
        <w:t>d</w:t>
      </w:r>
      <w:r w:rsidR="00592471" w:rsidRPr="007C3CA1">
        <w:rPr>
          <w:lang w:val="fr-FR"/>
        </w:rPr>
        <w:t>es principaux services publics.</w:t>
      </w:r>
      <w:r w:rsidR="001568A7" w:rsidRPr="007C3CA1">
        <w:rPr>
          <w:lang w:val="fr-FR"/>
        </w:rPr>
        <w:t xml:space="preserve"> Un lien vers le rapport sera </w:t>
      </w:r>
      <w:r w:rsidR="007C3CA1" w:rsidRPr="007C3CA1">
        <w:rPr>
          <w:lang w:val="fr-FR"/>
        </w:rPr>
        <w:t>publié</w:t>
      </w:r>
      <w:r w:rsidR="001568A7" w:rsidRPr="007C3CA1">
        <w:rPr>
          <w:lang w:val="fr-FR"/>
        </w:rPr>
        <w:t xml:space="preserve"> sur</w:t>
      </w:r>
      <w:r w:rsidR="001568A7">
        <w:rPr>
          <w:lang w:val="fr-FR"/>
        </w:rPr>
        <w:t xml:space="preserve"> le site Internet du ministère de la justice </w:t>
      </w:r>
      <w:r w:rsidR="000B562B" w:rsidRPr="00A176EA">
        <w:rPr>
          <w:lang w:val="fr-FR"/>
        </w:rPr>
        <w:t>(</w:t>
      </w:r>
      <w:hyperlink r:id="rId8" w:history="1">
        <w:r w:rsidR="000B562B" w:rsidRPr="00A176EA">
          <w:rPr>
            <w:lang w:val="fr-FR"/>
          </w:rPr>
          <w:t>www.justice.gov.uk</w:t>
        </w:r>
      </w:hyperlink>
      <w:r w:rsidR="000B562B" w:rsidRPr="00A176EA">
        <w:rPr>
          <w:lang w:val="fr-FR"/>
        </w:rPr>
        <w:t xml:space="preserve">). </w:t>
      </w:r>
      <w:r w:rsidR="001568A7">
        <w:rPr>
          <w:lang w:val="fr-FR"/>
        </w:rPr>
        <w:t>Pour obtenir un exemplaire, veuillez contacter le service Information &amp; Politique des droits de l’homme du ministère</w:t>
      </w:r>
      <w:r w:rsidR="000B562B" w:rsidRPr="00A176EA">
        <w:rPr>
          <w:lang w:val="fr-FR"/>
        </w:rPr>
        <w:t>, 102 Petty France, London SW1H 9AJ</w:t>
      </w:r>
      <w:r w:rsidR="00EC04CD">
        <w:rPr>
          <w:lang w:val="fr-FR"/>
        </w:rPr>
        <w:t>,</w:t>
      </w:r>
      <w:r w:rsidR="000B562B" w:rsidRPr="00A176EA">
        <w:rPr>
          <w:lang w:val="fr-FR"/>
        </w:rPr>
        <w:t xml:space="preserve"> </w:t>
      </w:r>
      <w:r w:rsidR="001A3D6D" w:rsidRPr="00A176EA">
        <w:rPr>
          <w:lang w:val="fr-FR"/>
        </w:rPr>
        <w:t>ou</w:t>
      </w:r>
      <w:r w:rsidR="000B562B" w:rsidRPr="00A176EA">
        <w:rPr>
          <w:lang w:val="fr-FR"/>
        </w:rPr>
        <w:t xml:space="preserve"> </w:t>
      </w:r>
      <w:hyperlink r:id="rId9" w:history="1">
        <w:r w:rsidR="000B562B" w:rsidRPr="00A176EA">
          <w:rPr>
            <w:rStyle w:val="Hyperlink"/>
            <w:lang w:val="fr-FR"/>
          </w:rPr>
          <w:t>humanrights@justice.gsi.gov.uk</w:t>
        </w:r>
      </w:hyperlink>
      <w:r w:rsidR="000B562B" w:rsidRPr="00A176EA">
        <w:rPr>
          <w:lang w:val="fr-FR"/>
        </w:rPr>
        <w:t>.</w:t>
      </w:r>
    </w:p>
    <w:p w:rsidR="000B562B" w:rsidRPr="00A176EA" w:rsidRDefault="001568A7" w:rsidP="002549A9">
      <w:pPr>
        <w:pStyle w:val="H23G"/>
        <w:rPr>
          <w:lang w:val="fr-FR"/>
        </w:rPr>
      </w:pPr>
      <w:r>
        <w:rPr>
          <w:lang w:val="fr-FR"/>
        </w:rPr>
        <w:t xml:space="preserve">Politique britannique en matière de </w:t>
      </w:r>
      <w:r w:rsidR="000B562B" w:rsidRPr="00A176EA">
        <w:rPr>
          <w:lang w:val="fr-FR"/>
        </w:rPr>
        <w:t>torture</w:t>
      </w:r>
    </w:p>
    <w:p w:rsidR="000B562B" w:rsidRPr="00A176EA" w:rsidRDefault="002549A9" w:rsidP="00955417">
      <w:pPr>
        <w:pStyle w:val="SingleTxtG"/>
        <w:rPr>
          <w:lang w:val="fr-FR"/>
        </w:rPr>
      </w:pPr>
      <w:r w:rsidRPr="00A176EA">
        <w:rPr>
          <w:lang w:val="fr-FR"/>
        </w:rPr>
        <w:t>14.</w:t>
      </w:r>
      <w:r w:rsidRPr="00A176EA">
        <w:rPr>
          <w:lang w:val="fr-FR"/>
        </w:rPr>
        <w:tab/>
      </w:r>
      <w:r w:rsidR="001568A7">
        <w:rPr>
          <w:lang w:val="fr-FR"/>
        </w:rPr>
        <w:t xml:space="preserve">En matière de torture et autres peines ou traitements cruels, inhumains ou dégradants, la politique nationale </w:t>
      </w:r>
      <w:r w:rsidR="00955417">
        <w:rPr>
          <w:lang w:val="fr-FR"/>
        </w:rPr>
        <w:t>est parfaitement claire. Le Gouvernement britannique ne pratique ni ne suscite, encourage ou tolère la torture. Il travaille en étroite collaboration avec ses partenaires internationaux</w:t>
      </w:r>
      <w:r w:rsidR="008564D2">
        <w:rPr>
          <w:lang w:val="fr-FR"/>
        </w:rPr>
        <w:t xml:space="preserve"> </w:t>
      </w:r>
      <w:r w:rsidR="00955417">
        <w:rPr>
          <w:lang w:val="fr-FR"/>
        </w:rPr>
        <w:t>pour empêcher la torture partout dans le monde</w:t>
      </w:r>
      <w:r w:rsidR="000B562B" w:rsidRPr="00A176EA">
        <w:rPr>
          <w:lang w:val="fr-FR"/>
        </w:rPr>
        <w:t>.</w:t>
      </w:r>
    </w:p>
    <w:p w:rsidR="000B562B" w:rsidRPr="00A176EA" w:rsidRDefault="002549A9" w:rsidP="001E426C">
      <w:pPr>
        <w:pStyle w:val="SingleTxtG"/>
        <w:rPr>
          <w:lang w:val="fr-FR"/>
        </w:rPr>
      </w:pPr>
      <w:r w:rsidRPr="00A176EA">
        <w:rPr>
          <w:lang w:val="fr-FR"/>
        </w:rPr>
        <w:t>15.</w:t>
      </w:r>
      <w:r w:rsidRPr="00A176EA">
        <w:rPr>
          <w:lang w:val="fr-FR"/>
        </w:rPr>
        <w:tab/>
      </w:r>
      <w:r w:rsidR="00955417">
        <w:rPr>
          <w:lang w:val="fr-FR"/>
        </w:rPr>
        <w:t>À sa prise de fonction</w:t>
      </w:r>
      <w:r w:rsidR="008564D2">
        <w:rPr>
          <w:lang w:val="fr-FR"/>
        </w:rPr>
        <w:t>s</w:t>
      </w:r>
      <w:r w:rsidR="00955417">
        <w:rPr>
          <w:lang w:val="fr-FR"/>
        </w:rPr>
        <w:t xml:space="preserve"> en mai 2010, le </w:t>
      </w:r>
      <w:r w:rsidR="00EC04CD">
        <w:rPr>
          <w:lang w:val="fr-FR"/>
        </w:rPr>
        <w:t>G</w:t>
      </w:r>
      <w:r w:rsidR="00955417">
        <w:rPr>
          <w:lang w:val="fr-FR"/>
        </w:rPr>
        <w:t xml:space="preserve">ouvernement de coalition a affirmé son opposition absolue à la torture. </w:t>
      </w:r>
      <w:r w:rsidR="008564D2">
        <w:rPr>
          <w:lang w:val="fr-FR"/>
        </w:rPr>
        <w:t xml:space="preserve">Il a déclaré que le </w:t>
      </w:r>
      <w:r w:rsidR="008564D2" w:rsidRPr="008564D2">
        <w:rPr>
          <w:lang w:val="fr-FR"/>
        </w:rPr>
        <w:t>Royaume-Uni</w:t>
      </w:r>
      <w:r w:rsidR="008564D2">
        <w:rPr>
          <w:lang w:val="fr-FR"/>
        </w:rPr>
        <w:t xml:space="preserve"> devait être </w:t>
      </w:r>
      <w:r w:rsidR="00EC04CD">
        <w:rPr>
          <w:lang w:val="fr-FR"/>
        </w:rPr>
        <w:t>disposé</w:t>
      </w:r>
      <w:r w:rsidR="008564D2">
        <w:rPr>
          <w:lang w:val="fr-FR"/>
        </w:rPr>
        <w:t xml:space="preserve"> à tout instant à </w:t>
      </w:r>
      <w:r w:rsidR="008564D2" w:rsidRPr="00EC04CD">
        <w:rPr>
          <w:lang w:val="fr-FR"/>
        </w:rPr>
        <w:t>s’</w:t>
      </w:r>
      <w:r w:rsidR="00EC04CD" w:rsidRPr="00EC04CD">
        <w:rPr>
          <w:lang w:val="fr-FR"/>
        </w:rPr>
        <w:t>auto</w:t>
      </w:r>
      <w:r w:rsidR="008564D2" w:rsidRPr="00EC04CD">
        <w:rPr>
          <w:lang w:val="fr-FR"/>
        </w:rPr>
        <w:t>évaluer au regard</w:t>
      </w:r>
      <w:r w:rsidR="00BE0907" w:rsidRPr="00EC04CD">
        <w:rPr>
          <w:lang w:val="fr-FR"/>
        </w:rPr>
        <w:t xml:space="preserve"> </w:t>
      </w:r>
      <w:r w:rsidR="00EC04CD">
        <w:rPr>
          <w:lang w:val="fr-FR"/>
        </w:rPr>
        <w:t>des</w:t>
      </w:r>
      <w:r w:rsidR="00BE0907">
        <w:rPr>
          <w:lang w:val="fr-FR"/>
        </w:rPr>
        <w:t xml:space="preserve"> </w:t>
      </w:r>
      <w:r w:rsidR="008564D2">
        <w:rPr>
          <w:lang w:val="fr-FR"/>
        </w:rPr>
        <w:t>plus hautes normes internationales</w:t>
      </w:r>
      <w:r w:rsidR="00BE0907">
        <w:rPr>
          <w:lang w:val="fr-FR"/>
        </w:rPr>
        <w:t xml:space="preserve"> et à déployer tous ses efforts pour respecter la législation internationale et les droits de l’homme. Cela comprend admettre les problèmes qui </w:t>
      </w:r>
      <w:r w:rsidR="001E426C">
        <w:rPr>
          <w:lang w:val="fr-FR"/>
        </w:rPr>
        <w:t>affectent</w:t>
      </w:r>
      <w:r w:rsidR="00BE0907">
        <w:rPr>
          <w:lang w:val="fr-FR"/>
        </w:rPr>
        <w:t xml:space="preserve"> </w:t>
      </w:r>
      <w:r w:rsidR="001E426C">
        <w:rPr>
          <w:lang w:val="fr-FR"/>
        </w:rPr>
        <w:t>la moralité du pays lorsqu’ils se présentent, s’attaquer de front aux difficultés et tenir compte des enseignements tirés</w:t>
      </w:r>
      <w:r w:rsidR="000B562B" w:rsidRPr="00A176EA">
        <w:rPr>
          <w:lang w:val="fr-FR"/>
        </w:rPr>
        <w:t>.</w:t>
      </w:r>
    </w:p>
    <w:p w:rsidR="000B562B" w:rsidRPr="00A176EA" w:rsidRDefault="002549A9" w:rsidP="00FB503E">
      <w:pPr>
        <w:pStyle w:val="SingleTxtG"/>
        <w:rPr>
          <w:lang w:val="fr-FR"/>
        </w:rPr>
      </w:pPr>
      <w:r w:rsidRPr="00A176EA">
        <w:rPr>
          <w:lang w:val="fr-FR"/>
        </w:rPr>
        <w:t>16.</w:t>
      </w:r>
      <w:r w:rsidRPr="00A176EA">
        <w:rPr>
          <w:lang w:val="fr-FR"/>
        </w:rPr>
        <w:tab/>
      </w:r>
      <w:r w:rsidR="001E426C">
        <w:rPr>
          <w:lang w:val="fr-FR"/>
        </w:rPr>
        <w:t>Depuis l’examen du quatrième rapport du Royaume-Uni par le Comité, en novembre 2004, la réputation des services de sécurité britanniques a été ent</w:t>
      </w:r>
      <w:r w:rsidR="00A03500">
        <w:rPr>
          <w:lang w:val="fr-FR"/>
        </w:rPr>
        <w:t>a</w:t>
      </w:r>
      <w:r w:rsidR="001E426C">
        <w:rPr>
          <w:lang w:val="fr-FR"/>
        </w:rPr>
        <w:t xml:space="preserve">chée par de graves </w:t>
      </w:r>
      <w:r w:rsidR="00A03500">
        <w:rPr>
          <w:lang w:val="fr-FR"/>
        </w:rPr>
        <w:t>accusations</w:t>
      </w:r>
      <w:r w:rsidR="001E426C">
        <w:rPr>
          <w:lang w:val="fr-FR"/>
        </w:rPr>
        <w:t xml:space="preserve"> quant </w:t>
      </w:r>
      <w:r w:rsidR="00A03500">
        <w:rPr>
          <w:lang w:val="fr-FR"/>
        </w:rPr>
        <w:t>à leur implication</w:t>
      </w:r>
      <w:r w:rsidR="001E426C">
        <w:rPr>
          <w:lang w:val="fr-FR"/>
        </w:rPr>
        <w:t xml:space="preserve"> dans </w:t>
      </w:r>
      <w:r w:rsidR="00A03500">
        <w:rPr>
          <w:lang w:val="fr-FR"/>
        </w:rPr>
        <w:t>de mauvais</w:t>
      </w:r>
      <w:r w:rsidR="001E426C">
        <w:rPr>
          <w:lang w:val="fr-FR"/>
        </w:rPr>
        <w:t xml:space="preserve"> traitement</w:t>
      </w:r>
      <w:r w:rsidR="00A03500">
        <w:rPr>
          <w:lang w:val="fr-FR"/>
        </w:rPr>
        <w:t>s</w:t>
      </w:r>
      <w:r w:rsidR="001E426C">
        <w:rPr>
          <w:lang w:val="fr-FR"/>
        </w:rPr>
        <w:t xml:space="preserve"> </w:t>
      </w:r>
      <w:r w:rsidR="00A03500">
        <w:rPr>
          <w:lang w:val="fr-FR"/>
        </w:rPr>
        <w:t>à des</w:t>
      </w:r>
      <w:r w:rsidR="001E426C">
        <w:rPr>
          <w:lang w:val="fr-FR"/>
        </w:rPr>
        <w:t xml:space="preserve"> prisonniers détenus par d’autres pays. Ces allégations n’ont pas été prouvées. </w:t>
      </w:r>
      <w:r w:rsidR="00A03500">
        <w:rPr>
          <w:lang w:val="fr-FR"/>
        </w:rPr>
        <w:t xml:space="preserve">Cela dit, leur gravité a ébranlé la confiance du public à l’égard des services de renseignement britanniques et terni la réputation du pays en matière de respect des droits de l’homme, de justice, d’équité et de primauté du droit. Le Gouvernement tient à laver la réputation de la nation et à faire toute la lumière </w:t>
      </w:r>
      <w:r w:rsidR="00FB503E">
        <w:rPr>
          <w:lang w:val="fr-FR"/>
        </w:rPr>
        <w:t xml:space="preserve">sur </w:t>
      </w:r>
      <w:r w:rsidR="00EC04CD">
        <w:rPr>
          <w:lang w:val="fr-FR"/>
        </w:rPr>
        <w:t>les faits</w:t>
      </w:r>
      <w:r w:rsidR="00FB503E">
        <w:rPr>
          <w:lang w:val="fr-FR"/>
        </w:rPr>
        <w:t xml:space="preserve"> afin que les services de renseignement puissent poursuivre leur travail </w:t>
      </w:r>
      <w:r w:rsidR="00EC04CD">
        <w:rPr>
          <w:lang w:val="fr-FR"/>
        </w:rPr>
        <w:t>capital</w:t>
      </w:r>
      <w:r w:rsidR="00FB503E">
        <w:rPr>
          <w:lang w:val="fr-FR"/>
        </w:rPr>
        <w:t xml:space="preserve"> une fois leur réputation rétablie</w:t>
      </w:r>
      <w:r w:rsidR="000B562B" w:rsidRPr="00A176EA">
        <w:rPr>
          <w:lang w:val="fr-FR"/>
        </w:rPr>
        <w:t>.</w:t>
      </w:r>
    </w:p>
    <w:p w:rsidR="000B562B" w:rsidRPr="00A176EA" w:rsidRDefault="002549A9" w:rsidP="00FB503E">
      <w:pPr>
        <w:pStyle w:val="SingleTxtG"/>
        <w:rPr>
          <w:lang w:val="fr-FR"/>
        </w:rPr>
      </w:pPr>
      <w:r w:rsidRPr="00A176EA">
        <w:rPr>
          <w:lang w:val="fr-FR"/>
        </w:rPr>
        <w:t>17.</w:t>
      </w:r>
      <w:r w:rsidRPr="00A176EA">
        <w:rPr>
          <w:lang w:val="fr-FR"/>
        </w:rPr>
        <w:tab/>
      </w:r>
      <w:r w:rsidR="00FB503E">
        <w:rPr>
          <w:lang w:val="fr-FR"/>
        </w:rPr>
        <w:t>Le 6 juillet</w:t>
      </w:r>
      <w:r w:rsidR="000B562B" w:rsidRPr="00A176EA">
        <w:rPr>
          <w:lang w:val="fr-FR"/>
        </w:rPr>
        <w:t xml:space="preserve"> 2010, </w:t>
      </w:r>
      <w:r w:rsidR="00FB503E">
        <w:rPr>
          <w:lang w:val="fr-FR"/>
        </w:rPr>
        <w:t>le Premier Ministre a expliqué au Parlement la façon dont le Gouvernement entend</w:t>
      </w:r>
      <w:r w:rsidR="0028494E">
        <w:rPr>
          <w:lang w:val="fr-FR"/>
        </w:rPr>
        <w:t>ait</w:t>
      </w:r>
      <w:r w:rsidR="00FB503E">
        <w:rPr>
          <w:lang w:val="fr-FR"/>
        </w:rPr>
        <w:t xml:space="preserve"> traiter ces accusations. Une version complète de sa déclaration est disponible à l’adresse </w:t>
      </w:r>
      <w:hyperlink r:id="rId10" w:history="1">
        <w:r w:rsidR="000B562B" w:rsidRPr="00A176EA">
          <w:rPr>
            <w:lang w:val="fr-FR"/>
          </w:rPr>
          <w:t>http://www.publications.parliament.uk/pa/cm201011/cmhansrd/</w:t>
        </w:r>
        <w:r w:rsidR="00FC2B97">
          <w:rPr>
            <w:lang w:val="fr-FR"/>
          </w:rPr>
          <w:br/>
        </w:r>
        <w:r w:rsidR="000B562B" w:rsidRPr="00A176EA">
          <w:rPr>
            <w:lang w:val="fr-FR"/>
          </w:rPr>
          <w:t>cm100706/debtext/100706-0001.htm</w:t>
        </w:r>
      </w:hyperlink>
      <w:r w:rsidR="00FB503E">
        <w:rPr>
          <w:lang w:val="fr-FR"/>
        </w:rPr>
        <w:t>.</w:t>
      </w:r>
    </w:p>
    <w:p w:rsidR="000B562B" w:rsidRPr="00A176EA" w:rsidRDefault="002549A9" w:rsidP="004E136B">
      <w:pPr>
        <w:pStyle w:val="SingleTxtG"/>
        <w:rPr>
          <w:lang w:val="fr-FR"/>
        </w:rPr>
      </w:pPr>
      <w:r w:rsidRPr="00A176EA">
        <w:rPr>
          <w:lang w:val="fr-FR"/>
        </w:rPr>
        <w:t>18.</w:t>
      </w:r>
      <w:r w:rsidRPr="00A176EA">
        <w:rPr>
          <w:lang w:val="fr-FR"/>
        </w:rPr>
        <w:tab/>
      </w:r>
      <w:r w:rsidR="00FB503E">
        <w:rPr>
          <w:lang w:val="fr-FR"/>
        </w:rPr>
        <w:t xml:space="preserve">Le </w:t>
      </w:r>
      <w:r w:rsidR="00FB503E" w:rsidRPr="00FB503E">
        <w:rPr>
          <w:lang w:val="fr-FR"/>
        </w:rPr>
        <w:t>Premier Ministre</w:t>
      </w:r>
      <w:r w:rsidR="00FB503E">
        <w:rPr>
          <w:lang w:val="fr-FR"/>
        </w:rPr>
        <w:t xml:space="preserve"> a annoncé l’ouverture d’une enquête indépendante dirigée par un juge pour déterminer si, et dans quelle mesure, le Gouvernement britannique et ses services de renseignement ont été impliqués dans de mauvais traitement</w:t>
      </w:r>
      <w:r w:rsidR="004E136B">
        <w:rPr>
          <w:lang w:val="fr-FR"/>
        </w:rPr>
        <w:t>s</w:t>
      </w:r>
      <w:r w:rsidR="00FB503E">
        <w:rPr>
          <w:lang w:val="fr-FR"/>
        </w:rPr>
        <w:t xml:space="preserve"> à l’égard</w:t>
      </w:r>
      <w:r w:rsidR="004E136B">
        <w:rPr>
          <w:lang w:val="fr-FR"/>
        </w:rPr>
        <w:t xml:space="preserve"> de prisonniers</w:t>
      </w:r>
      <w:r w:rsidR="004E136B" w:rsidRPr="004E136B">
        <w:rPr>
          <w:lang w:val="fr-FR"/>
        </w:rPr>
        <w:t xml:space="preserve"> </w:t>
      </w:r>
      <w:r w:rsidR="004E136B">
        <w:rPr>
          <w:lang w:val="fr-FR"/>
        </w:rPr>
        <w:t xml:space="preserve">dans des pays étrangers, ou s’y sont livrés, dans le cadre d’opérations </w:t>
      </w:r>
      <w:r w:rsidR="008658FB">
        <w:rPr>
          <w:lang w:val="fr-FR"/>
        </w:rPr>
        <w:t>anti</w:t>
      </w:r>
      <w:r w:rsidR="004E136B">
        <w:rPr>
          <w:lang w:val="fr-FR"/>
        </w:rPr>
        <w:t>terroris</w:t>
      </w:r>
      <w:r w:rsidR="008658FB">
        <w:rPr>
          <w:lang w:val="fr-FR"/>
        </w:rPr>
        <w:t>tes</w:t>
      </w:r>
      <w:r w:rsidR="004E136B">
        <w:rPr>
          <w:lang w:val="fr-FR"/>
        </w:rPr>
        <w:t xml:space="preserve"> à l’étranger, ou avaient connaissance de tels mauvais traitements au cours d</w:t>
      </w:r>
      <w:r w:rsidR="00EC04CD">
        <w:rPr>
          <w:lang w:val="fr-FR"/>
        </w:rPr>
        <w:t xml:space="preserve">es </w:t>
      </w:r>
      <w:r w:rsidR="004E136B">
        <w:rPr>
          <w:lang w:val="fr-FR"/>
        </w:rPr>
        <w:t xml:space="preserve">opérations dans lesquels le pays était engagé après les attentats du 11 septembre </w:t>
      </w:r>
      <w:r w:rsidR="000B562B" w:rsidRPr="00A176EA">
        <w:rPr>
          <w:lang w:val="fr-FR"/>
        </w:rPr>
        <w:t>2001.</w:t>
      </w:r>
    </w:p>
    <w:p w:rsidR="000B562B" w:rsidRPr="00A176EA" w:rsidRDefault="002549A9" w:rsidP="007F5A30">
      <w:pPr>
        <w:pStyle w:val="SingleTxtG"/>
        <w:rPr>
          <w:lang w:val="fr-FR"/>
        </w:rPr>
      </w:pPr>
      <w:r w:rsidRPr="00A176EA">
        <w:rPr>
          <w:lang w:val="fr-FR"/>
        </w:rPr>
        <w:t>19.</w:t>
      </w:r>
      <w:r w:rsidRPr="00A176EA">
        <w:rPr>
          <w:lang w:val="fr-FR"/>
        </w:rPr>
        <w:tab/>
      </w:r>
      <w:r w:rsidR="004E136B">
        <w:rPr>
          <w:lang w:val="fr-FR"/>
        </w:rPr>
        <w:t xml:space="preserve">Composée de trois membres, </w:t>
      </w:r>
      <w:r w:rsidR="000279D6">
        <w:rPr>
          <w:lang w:val="fr-FR"/>
        </w:rPr>
        <w:t xml:space="preserve">la commission d’enquête est présidée par Sir Peter Gibson, ancien juge de cour d’appel et Commissaire des services de renseignement. Sir Peter sera </w:t>
      </w:r>
      <w:r w:rsidR="007F5A30">
        <w:rPr>
          <w:lang w:val="fr-FR"/>
        </w:rPr>
        <w:t>assisté de M</w:t>
      </w:r>
      <w:r w:rsidR="007F5A30" w:rsidRPr="005721CB">
        <w:rPr>
          <w:vertAlign w:val="superscript"/>
          <w:lang w:val="fr-FR"/>
        </w:rPr>
        <w:t>me</w:t>
      </w:r>
      <w:r w:rsidR="007F5A30">
        <w:rPr>
          <w:lang w:val="fr-FR"/>
        </w:rPr>
        <w:t xml:space="preserve"> Janet Paraskeva, ancienne directrice des commissaires de la fonction publique, et de Peter Riddell, ancien journaliste et membre de l’Institute for Government. (La lettre du Premier Ministre à Sir Peter Gibson, dans laquelle figurent les attributions de la commission d’enquête, est publiée à l’adresse Internet </w:t>
      </w:r>
      <w:hyperlink r:id="rId11" w:history="1">
        <w:r w:rsidR="000B562B" w:rsidRPr="00A176EA">
          <w:rPr>
            <w:lang w:val="fr-FR"/>
          </w:rPr>
          <w:t>http://download.cabinetoffice.gov.uk/intelligence/pm-letter-gibson.pdf</w:t>
        </w:r>
      </w:hyperlink>
      <w:r w:rsidR="007F5A30">
        <w:rPr>
          <w:lang w:val="fr-FR"/>
        </w:rPr>
        <w:t>.</w:t>
      </w:r>
      <w:r w:rsidR="00505462">
        <w:rPr>
          <w:lang w:val="fr-FR"/>
        </w:rPr>
        <w:t>)</w:t>
      </w:r>
      <w:r w:rsidR="007F5A30">
        <w:rPr>
          <w:lang w:val="fr-FR"/>
        </w:rPr>
        <w:t xml:space="preserve"> Le mandat de la commission et un protocole de conduite de l’enquête sont disponibles à l’adresse </w:t>
      </w:r>
      <w:r w:rsidR="00505462">
        <w:rPr>
          <w:lang w:val="fr-FR"/>
        </w:rPr>
        <w:t xml:space="preserve">Internet </w:t>
      </w:r>
      <w:hyperlink r:id="rId12" w:history="1">
        <w:r w:rsidR="000B562B" w:rsidRPr="00A176EA">
          <w:rPr>
            <w:lang w:val="fr-FR"/>
          </w:rPr>
          <w:t>www.detaineeinquiry.org.uk</w:t>
        </w:r>
      </w:hyperlink>
      <w:r w:rsidR="000B562B" w:rsidRPr="00A176EA">
        <w:rPr>
          <w:lang w:val="fr-FR"/>
        </w:rPr>
        <w:t>.</w:t>
      </w:r>
    </w:p>
    <w:p w:rsidR="000B562B" w:rsidRPr="00A176EA" w:rsidRDefault="002549A9" w:rsidP="00444960">
      <w:pPr>
        <w:pStyle w:val="SingleTxtG"/>
        <w:rPr>
          <w:lang w:val="fr-FR"/>
        </w:rPr>
      </w:pPr>
      <w:r w:rsidRPr="00A176EA">
        <w:rPr>
          <w:lang w:val="fr-FR"/>
        </w:rPr>
        <w:t>20.</w:t>
      </w:r>
      <w:r w:rsidRPr="00A176EA">
        <w:rPr>
          <w:lang w:val="fr-FR"/>
        </w:rPr>
        <w:tab/>
      </w:r>
      <w:r w:rsidR="00444960">
        <w:rPr>
          <w:lang w:val="fr-FR"/>
        </w:rPr>
        <w:t xml:space="preserve">L’enquête débutera le plus rapidement possible après la fin des procédures pénales relatives à ces allégations. Le Gouvernement a fait savoir qu’elle ne durera pas </w:t>
      </w:r>
      <w:r w:rsidR="001A3D6D">
        <w:rPr>
          <w:lang w:val="fr-FR"/>
        </w:rPr>
        <w:t>indéfiniment</w:t>
      </w:r>
      <w:r w:rsidR="00FC2B97">
        <w:rPr>
          <w:lang w:val="fr-FR"/>
        </w:rPr>
        <w:t>:</w:t>
      </w:r>
      <w:r w:rsidR="00444960">
        <w:rPr>
          <w:lang w:val="fr-FR"/>
        </w:rPr>
        <w:t xml:space="preserve"> elle devra être achevée dans un délai d’un an après le début des travaux</w:t>
      </w:r>
      <w:r w:rsidR="008658FB">
        <w:rPr>
          <w:lang w:val="fr-FR"/>
        </w:rPr>
        <w:t xml:space="preserve"> de la </w:t>
      </w:r>
      <w:r w:rsidR="005E667B">
        <w:rPr>
          <w:lang w:val="fr-FR"/>
        </w:rPr>
        <w:t>c</w:t>
      </w:r>
      <w:r w:rsidR="008658FB">
        <w:rPr>
          <w:lang w:val="fr-FR"/>
        </w:rPr>
        <w:t>ommission.</w:t>
      </w:r>
    </w:p>
    <w:p w:rsidR="000B562B" w:rsidRPr="00A176EA" w:rsidRDefault="002549A9" w:rsidP="0069181B">
      <w:pPr>
        <w:pStyle w:val="SingleTxtG"/>
        <w:rPr>
          <w:lang w:val="fr-FR"/>
        </w:rPr>
      </w:pPr>
      <w:r w:rsidRPr="00A176EA">
        <w:rPr>
          <w:lang w:val="fr-FR"/>
        </w:rPr>
        <w:t>21.</w:t>
      </w:r>
      <w:r w:rsidRPr="00A176EA">
        <w:rPr>
          <w:lang w:val="fr-FR"/>
        </w:rPr>
        <w:tab/>
      </w:r>
      <w:r w:rsidR="00444960" w:rsidRPr="006B1205">
        <w:rPr>
          <w:lang w:val="fr-FR"/>
        </w:rPr>
        <w:t>Si certaines des audi</w:t>
      </w:r>
      <w:r w:rsidR="008658FB" w:rsidRPr="006B1205">
        <w:rPr>
          <w:lang w:val="fr-FR"/>
        </w:rPr>
        <w:t>tion</w:t>
      </w:r>
      <w:r w:rsidR="00444960" w:rsidRPr="006B1205">
        <w:rPr>
          <w:lang w:val="fr-FR"/>
        </w:rPr>
        <w:t xml:space="preserve">s se tiendront en public, l’enquête ne sera pas totalement publique </w:t>
      </w:r>
      <w:r w:rsidR="0069181B" w:rsidRPr="006B1205">
        <w:rPr>
          <w:lang w:val="fr-FR"/>
        </w:rPr>
        <w:t>en raison</w:t>
      </w:r>
      <w:r w:rsidR="00444960" w:rsidRPr="006B1205">
        <w:rPr>
          <w:lang w:val="fr-FR"/>
        </w:rPr>
        <w:t xml:space="preserve"> de la nature des éléments examinés et de la nécessité de protéger les informations sensibles eu égard aux sources, </w:t>
      </w:r>
      <w:r w:rsidR="008658FB" w:rsidRPr="006B1205">
        <w:rPr>
          <w:lang w:val="fr-FR"/>
        </w:rPr>
        <w:t>aux moyens employés et aux partena</w:t>
      </w:r>
      <w:r w:rsidR="006B1205" w:rsidRPr="006B1205">
        <w:rPr>
          <w:lang w:val="fr-FR"/>
        </w:rPr>
        <w:t>i</w:t>
      </w:r>
      <w:r w:rsidR="008658FB" w:rsidRPr="006B1205">
        <w:rPr>
          <w:lang w:val="fr-FR"/>
        </w:rPr>
        <w:t>r</w:t>
      </w:r>
      <w:r w:rsidR="006B1205" w:rsidRPr="006B1205">
        <w:rPr>
          <w:lang w:val="fr-FR"/>
        </w:rPr>
        <w:t>e</w:t>
      </w:r>
      <w:r w:rsidR="008658FB" w:rsidRPr="006B1205">
        <w:rPr>
          <w:lang w:val="fr-FR"/>
        </w:rPr>
        <w:t>s</w:t>
      </w:r>
      <w:r w:rsidR="006B1205" w:rsidRPr="006B1205">
        <w:rPr>
          <w:lang w:val="fr-FR"/>
        </w:rPr>
        <w:t xml:space="preserve"> </w:t>
      </w:r>
      <w:r w:rsidR="006B1205">
        <w:rPr>
          <w:lang w:val="fr-FR"/>
        </w:rPr>
        <w:t>concernés</w:t>
      </w:r>
      <w:r w:rsidR="006B1205" w:rsidRPr="006B1205">
        <w:rPr>
          <w:lang w:val="fr-FR"/>
        </w:rPr>
        <w:t xml:space="preserve">. </w:t>
      </w:r>
      <w:r w:rsidR="00371EF4">
        <w:rPr>
          <w:lang w:val="fr-FR"/>
        </w:rPr>
        <w:t>L</w:t>
      </w:r>
      <w:r w:rsidR="005E667B">
        <w:rPr>
          <w:lang w:val="fr-FR"/>
        </w:rPr>
        <w:t xml:space="preserve">a commission </w:t>
      </w:r>
      <w:r w:rsidR="00371EF4">
        <w:rPr>
          <w:lang w:val="fr-FR"/>
        </w:rPr>
        <w:t>sera</w:t>
      </w:r>
      <w:r w:rsidR="005E667B">
        <w:rPr>
          <w:lang w:val="fr-FR"/>
        </w:rPr>
        <w:t xml:space="preserve"> </w:t>
      </w:r>
      <w:r w:rsidR="00371EF4">
        <w:rPr>
          <w:lang w:val="fr-FR"/>
        </w:rPr>
        <w:t xml:space="preserve">cependant habilitée à </w:t>
      </w:r>
      <w:r w:rsidR="005E667B">
        <w:rPr>
          <w:lang w:val="fr-FR"/>
        </w:rPr>
        <w:t xml:space="preserve">examiner l’ensemble des informations </w:t>
      </w:r>
      <w:r w:rsidR="00AD1054">
        <w:rPr>
          <w:lang w:val="fr-FR"/>
        </w:rPr>
        <w:t>utiles</w:t>
      </w:r>
      <w:r w:rsidR="005E667B">
        <w:rPr>
          <w:lang w:val="fr-FR"/>
        </w:rPr>
        <w:t xml:space="preserve"> à son travail, dont les informations sensibles. Elle aura accès à tous les documents </w:t>
      </w:r>
      <w:r w:rsidR="00251F09">
        <w:rPr>
          <w:lang w:val="fr-FR"/>
        </w:rPr>
        <w:t xml:space="preserve">pertinents </w:t>
      </w:r>
      <w:r w:rsidR="005E667B">
        <w:rPr>
          <w:lang w:val="fr-FR"/>
        </w:rPr>
        <w:t xml:space="preserve">du Gouvernement, dont ceux détenus par les services de renseignement, et pourra recueillir des témoignages </w:t>
      </w:r>
      <w:r w:rsidR="00AD1054">
        <w:rPr>
          <w:lang w:val="fr-FR"/>
        </w:rPr>
        <w:t>auprès du</w:t>
      </w:r>
      <w:r w:rsidR="005E667B">
        <w:rPr>
          <w:lang w:val="fr-FR"/>
        </w:rPr>
        <w:t xml:space="preserve"> public, y compris auprès des personnes qui accusent le Gouvernement et ses représentants, et d’ONG. Le Gouvernement veillera à ce que la commission </w:t>
      </w:r>
      <w:r w:rsidR="0069181B">
        <w:rPr>
          <w:lang w:val="fr-FR"/>
        </w:rPr>
        <w:t>obtienne</w:t>
      </w:r>
      <w:r w:rsidR="005E667B">
        <w:rPr>
          <w:lang w:val="fr-FR"/>
        </w:rPr>
        <w:t xml:space="preserve"> toute la coopération </w:t>
      </w:r>
      <w:r w:rsidR="0069181B">
        <w:rPr>
          <w:lang w:val="fr-FR"/>
        </w:rPr>
        <w:t>voulue</w:t>
      </w:r>
      <w:r w:rsidR="005E667B">
        <w:rPr>
          <w:lang w:val="fr-FR"/>
        </w:rPr>
        <w:t xml:space="preserve"> de la part des services et organismes publics concernés. Il </w:t>
      </w:r>
      <w:r w:rsidR="0069181B">
        <w:rPr>
          <w:lang w:val="fr-FR"/>
        </w:rPr>
        <w:t>ne doute pas qu’elle parviendra à faire la lumière sur les actions de l’État et des services de sécurité britanniques, et qu’elle formulera des recommandations adéquates pour l’avenir. Le Gouvernement est par ailleurs déterminé à établir plus clairement ce qui est ou non</w:t>
      </w:r>
      <w:r w:rsidR="0069181B" w:rsidRPr="0069181B">
        <w:rPr>
          <w:lang w:val="fr-FR"/>
        </w:rPr>
        <w:t xml:space="preserve"> </w:t>
      </w:r>
      <w:r w:rsidR="0069181B">
        <w:rPr>
          <w:lang w:val="fr-FR"/>
        </w:rPr>
        <w:t>acceptable, aujourd’hui et à l’avenir</w:t>
      </w:r>
      <w:r w:rsidR="000B562B" w:rsidRPr="00A176EA">
        <w:rPr>
          <w:lang w:val="fr-FR"/>
        </w:rPr>
        <w:t>.</w:t>
      </w:r>
    </w:p>
    <w:p w:rsidR="000B562B" w:rsidRPr="00A176EA" w:rsidRDefault="002549A9" w:rsidP="001A5F58">
      <w:pPr>
        <w:pStyle w:val="SingleTxtG"/>
        <w:rPr>
          <w:color w:val="000000"/>
          <w:szCs w:val="22"/>
          <w:lang w:val="fr-FR"/>
        </w:rPr>
      </w:pPr>
      <w:r w:rsidRPr="00A176EA">
        <w:rPr>
          <w:color w:val="000000"/>
          <w:szCs w:val="22"/>
          <w:lang w:val="fr-FR"/>
        </w:rPr>
        <w:t>22.</w:t>
      </w:r>
      <w:r w:rsidRPr="00A176EA">
        <w:rPr>
          <w:color w:val="000000"/>
          <w:szCs w:val="22"/>
          <w:lang w:val="fr-FR"/>
        </w:rPr>
        <w:tab/>
      </w:r>
      <w:r w:rsidR="0069181B">
        <w:rPr>
          <w:color w:val="000000"/>
          <w:szCs w:val="22"/>
          <w:lang w:val="fr-FR"/>
        </w:rPr>
        <w:t>L</w:t>
      </w:r>
      <w:r w:rsidR="000B562B" w:rsidRPr="00A176EA">
        <w:rPr>
          <w:color w:val="000000"/>
          <w:szCs w:val="22"/>
          <w:lang w:val="fr-FR"/>
        </w:rPr>
        <w:t>e Go</w:t>
      </w:r>
      <w:r w:rsidR="0069181B">
        <w:rPr>
          <w:color w:val="000000"/>
          <w:szCs w:val="22"/>
          <w:lang w:val="fr-FR"/>
        </w:rPr>
        <w:t>u</w:t>
      </w:r>
      <w:r w:rsidR="000B562B" w:rsidRPr="00A176EA">
        <w:rPr>
          <w:color w:val="000000"/>
          <w:szCs w:val="22"/>
          <w:lang w:val="fr-FR"/>
        </w:rPr>
        <w:t>vern</w:t>
      </w:r>
      <w:r w:rsidR="0069181B">
        <w:rPr>
          <w:color w:val="000000"/>
          <w:szCs w:val="22"/>
          <w:lang w:val="fr-FR"/>
        </w:rPr>
        <w:t>e</w:t>
      </w:r>
      <w:r w:rsidR="000B562B" w:rsidRPr="00A176EA">
        <w:rPr>
          <w:color w:val="000000"/>
          <w:szCs w:val="22"/>
          <w:lang w:val="fr-FR"/>
        </w:rPr>
        <w:t xml:space="preserve">ment </w:t>
      </w:r>
      <w:r w:rsidR="0069181B">
        <w:rPr>
          <w:color w:val="000000"/>
          <w:szCs w:val="22"/>
          <w:lang w:val="fr-FR"/>
        </w:rPr>
        <w:t xml:space="preserve">a </w:t>
      </w:r>
      <w:r w:rsidR="00AD1054">
        <w:rPr>
          <w:color w:val="000000"/>
          <w:szCs w:val="22"/>
          <w:lang w:val="fr-FR"/>
        </w:rPr>
        <w:t>également</w:t>
      </w:r>
      <w:r w:rsidR="0069181B">
        <w:rPr>
          <w:color w:val="000000"/>
          <w:szCs w:val="22"/>
          <w:lang w:val="fr-FR"/>
        </w:rPr>
        <w:t xml:space="preserve"> pris des mesures pour améliorer </w:t>
      </w:r>
      <w:r w:rsidR="00A81038">
        <w:rPr>
          <w:color w:val="000000"/>
          <w:szCs w:val="22"/>
          <w:lang w:val="fr-FR"/>
        </w:rPr>
        <w:t xml:space="preserve">les prises de décision concernant la politique étrangère et de sécurité en créant un nouveau </w:t>
      </w:r>
      <w:r w:rsidR="000E5F91">
        <w:rPr>
          <w:color w:val="000000"/>
          <w:szCs w:val="22"/>
          <w:lang w:val="fr-FR"/>
        </w:rPr>
        <w:t>Conseil</w:t>
      </w:r>
      <w:r w:rsidR="0083054F">
        <w:rPr>
          <w:color w:val="000000"/>
          <w:szCs w:val="22"/>
          <w:lang w:val="fr-FR"/>
        </w:rPr>
        <w:t xml:space="preserve"> de la sécurité nationale chargé </w:t>
      </w:r>
      <w:r w:rsidR="00251F09">
        <w:rPr>
          <w:color w:val="000000"/>
          <w:szCs w:val="22"/>
          <w:lang w:val="fr-FR"/>
        </w:rPr>
        <w:t xml:space="preserve">des décisions stratégiques en matière de politique étrangère, de sécurité et de défense. L’une des premières actions du Conseil a été de finaliser et de publier </w:t>
      </w:r>
      <w:r w:rsidR="0020660D">
        <w:rPr>
          <w:color w:val="000000"/>
          <w:szCs w:val="22"/>
          <w:lang w:val="fr-FR"/>
        </w:rPr>
        <w:t>les</w:t>
      </w:r>
      <w:r w:rsidR="000B562B" w:rsidRPr="00A176EA">
        <w:rPr>
          <w:color w:val="000000"/>
          <w:szCs w:val="22"/>
          <w:lang w:val="fr-FR"/>
        </w:rPr>
        <w:t xml:space="preserve"> </w:t>
      </w:r>
      <w:r w:rsidR="0020660D" w:rsidRPr="00063292">
        <w:rPr>
          <w:i/>
          <w:iCs/>
          <w:color w:val="000000"/>
          <w:szCs w:val="22"/>
          <w:lang w:val="fr-FR"/>
        </w:rPr>
        <w:t xml:space="preserve">Directives aux </w:t>
      </w:r>
      <w:r w:rsidR="00251F09" w:rsidRPr="00063292">
        <w:rPr>
          <w:i/>
          <w:iCs/>
          <w:color w:val="000000"/>
          <w:szCs w:val="22"/>
          <w:lang w:val="fr-FR"/>
        </w:rPr>
        <w:t xml:space="preserve">agents de renseignement </w:t>
      </w:r>
      <w:r w:rsidR="001A5F58" w:rsidRPr="00063292">
        <w:rPr>
          <w:i/>
          <w:iCs/>
          <w:color w:val="000000"/>
          <w:szCs w:val="22"/>
          <w:lang w:val="fr-FR"/>
        </w:rPr>
        <w:t xml:space="preserve">et </w:t>
      </w:r>
      <w:r w:rsidR="00251F09" w:rsidRPr="00063292">
        <w:rPr>
          <w:i/>
          <w:iCs/>
          <w:color w:val="000000"/>
          <w:szCs w:val="22"/>
          <w:lang w:val="fr-FR"/>
        </w:rPr>
        <w:t>au</w:t>
      </w:r>
      <w:r w:rsidR="009859F3" w:rsidRPr="00063292">
        <w:rPr>
          <w:i/>
          <w:iCs/>
          <w:color w:val="000000"/>
          <w:szCs w:val="22"/>
          <w:lang w:val="fr-FR"/>
        </w:rPr>
        <w:t>x</w:t>
      </w:r>
      <w:r w:rsidR="00251F09" w:rsidRPr="00063292">
        <w:rPr>
          <w:i/>
          <w:iCs/>
          <w:color w:val="000000"/>
          <w:szCs w:val="22"/>
          <w:lang w:val="fr-FR"/>
        </w:rPr>
        <w:t xml:space="preserve"> </w:t>
      </w:r>
      <w:r w:rsidR="009859F3" w:rsidRPr="00063292">
        <w:rPr>
          <w:i/>
          <w:iCs/>
          <w:color w:val="000000"/>
          <w:szCs w:val="22"/>
          <w:lang w:val="fr-FR"/>
        </w:rPr>
        <w:t>militaires</w:t>
      </w:r>
      <w:r w:rsidR="00251F09" w:rsidRPr="00063292">
        <w:rPr>
          <w:i/>
          <w:iCs/>
          <w:color w:val="000000"/>
          <w:szCs w:val="22"/>
          <w:lang w:val="fr-FR"/>
        </w:rPr>
        <w:t xml:space="preserve"> </w:t>
      </w:r>
      <w:r w:rsidR="001A5F58" w:rsidRPr="00063292">
        <w:rPr>
          <w:i/>
          <w:iCs/>
          <w:color w:val="000000"/>
          <w:szCs w:val="22"/>
          <w:lang w:val="fr-FR"/>
        </w:rPr>
        <w:t>sur la d</w:t>
      </w:r>
      <w:r w:rsidR="000C6120" w:rsidRPr="00063292">
        <w:rPr>
          <w:i/>
          <w:iCs/>
          <w:color w:val="000000"/>
          <w:szCs w:val="22"/>
          <w:lang w:val="fr-FR"/>
        </w:rPr>
        <w:t xml:space="preserve">étention et les </w:t>
      </w:r>
      <w:r w:rsidR="001A5F58" w:rsidRPr="00063292">
        <w:rPr>
          <w:i/>
          <w:iCs/>
          <w:color w:val="000000"/>
          <w:szCs w:val="22"/>
          <w:lang w:val="fr-FR"/>
        </w:rPr>
        <w:t>interrogatoire</w:t>
      </w:r>
      <w:r w:rsidR="000C6120" w:rsidRPr="00063292">
        <w:rPr>
          <w:i/>
          <w:iCs/>
          <w:color w:val="000000"/>
          <w:szCs w:val="22"/>
          <w:lang w:val="fr-FR"/>
        </w:rPr>
        <w:t>s</w:t>
      </w:r>
      <w:r w:rsidR="001A5F58" w:rsidRPr="00063292">
        <w:rPr>
          <w:i/>
          <w:iCs/>
          <w:color w:val="000000"/>
          <w:szCs w:val="22"/>
          <w:lang w:val="fr-FR"/>
        </w:rPr>
        <w:t xml:space="preserve"> de détenus à l’étranger, et sur la transmission et </w:t>
      </w:r>
      <w:r w:rsidR="00251F09" w:rsidRPr="00063292">
        <w:rPr>
          <w:i/>
          <w:iCs/>
          <w:color w:val="000000"/>
          <w:szCs w:val="22"/>
          <w:lang w:val="fr-FR"/>
        </w:rPr>
        <w:t>la réception</w:t>
      </w:r>
      <w:r w:rsidR="001A5F58" w:rsidRPr="00063292">
        <w:rPr>
          <w:i/>
          <w:iCs/>
          <w:color w:val="000000"/>
          <w:szCs w:val="22"/>
          <w:lang w:val="fr-FR"/>
        </w:rPr>
        <w:t xml:space="preserve"> </w:t>
      </w:r>
      <w:r w:rsidR="00251F09" w:rsidRPr="00063292">
        <w:rPr>
          <w:i/>
          <w:iCs/>
          <w:color w:val="000000"/>
          <w:szCs w:val="22"/>
          <w:lang w:val="fr-FR"/>
        </w:rPr>
        <w:t>d’informations relative</w:t>
      </w:r>
      <w:r w:rsidR="001A5F58" w:rsidRPr="00063292">
        <w:rPr>
          <w:i/>
          <w:iCs/>
          <w:color w:val="000000"/>
          <w:szCs w:val="22"/>
          <w:lang w:val="fr-FR"/>
        </w:rPr>
        <w:t xml:space="preserve">s </w:t>
      </w:r>
      <w:r w:rsidR="00251F09" w:rsidRPr="00063292">
        <w:rPr>
          <w:i/>
          <w:iCs/>
          <w:color w:val="000000"/>
          <w:szCs w:val="22"/>
          <w:lang w:val="fr-FR"/>
        </w:rPr>
        <w:t>à ces</w:t>
      </w:r>
      <w:r w:rsidR="001A5F58" w:rsidRPr="00063292">
        <w:rPr>
          <w:i/>
          <w:iCs/>
          <w:color w:val="000000"/>
          <w:szCs w:val="22"/>
          <w:lang w:val="fr-FR"/>
        </w:rPr>
        <w:t xml:space="preserve"> détenus</w:t>
      </w:r>
      <w:r w:rsidR="001A5F58" w:rsidRPr="00AD1054">
        <w:rPr>
          <w:color w:val="000000"/>
          <w:szCs w:val="22"/>
          <w:lang w:val="fr-FR"/>
        </w:rPr>
        <w:t>.</w:t>
      </w:r>
      <w:r w:rsidR="001A5F58">
        <w:rPr>
          <w:color w:val="000000"/>
          <w:szCs w:val="22"/>
          <w:lang w:val="fr-FR"/>
        </w:rPr>
        <w:t xml:space="preserve"> Ces directives sont disponibles à l’adresse Internet </w:t>
      </w:r>
      <w:hyperlink r:id="rId13" w:history="1">
        <w:r w:rsidR="000B562B" w:rsidRPr="00A176EA">
          <w:rPr>
            <w:rStyle w:val="Hyperlink"/>
            <w:szCs w:val="22"/>
            <w:lang w:val="fr-FR"/>
          </w:rPr>
          <w:t>http://download.cabinetoffice.gov.uk/intelligence/consolidated-guidance-iosp.pdf</w:t>
        </w:r>
      </w:hyperlink>
      <w:r w:rsidR="00AD1054">
        <w:rPr>
          <w:szCs w:val="22"/>
          <w:lang w:val="fr-FR"/>
        </w:rPr>
        <w:t>.</w:t>
      </w:r>
    </w:p>
    <w:p w:rsidR="000B562B" w:rsidRPr="00A176EA" w:rsidRDefault="002549A9" w:rsidP="002549A9">
      <w:pPr>
        <w:pStyle w:val="SingleTxtG"/>
        <w:rPr>
          <w:lang w:val="fr-FR"/>
        </w:rPr>
      </w:pPr>
      <w:r w:rsidRPr="00A176EA">
        <w:rPr>
          <w:lang w:val="fr-FR"/>
        </w:rPr>
        <w:t>23.</w:t>
      </w:r>
      <w:r w:rsidRPr="00A176EA">
        <w:rPr>
          <w:lang w:val="fr-FR"/>
        </w:rPr>
        <w:tab/>
      </w:r>
      <w:r w:rsidR="00251F09">
        <w:rPr>
          <w:lang w:val="fr-FR"/>
        </w:rPr>
        <w:t xml:space="preserve">Les Directives définissent les normes régissant le fonctionnement des agences de renseignement et des forces armées, et précisent clairement que les officiers de renseignement britanniques doivent opérer conformément au droit international et national, dont la Convention contre la torture et la loi de 1998 sur les droits de l’homme. Elles stipulent que, premièrement, les services britanniques ne doivent entreprendre </w:t>
      </w:r>
      <w:r w:rsidR="00CB23B2">
        <w:rPr>
          <w:lang w:val="fr-FR"/>
        </w:rPr>
        <w:t>auc</w:t>
      </w:r>
      <w:r w:rsidR="00251F09">
        <w:rPr>
          <w:lang w:val="fr-FR"/>
        </w:rPr>
        <w:t xml:space="preserve">une action </w:t>
      </w:r>
      <w:r w:rsidR="00CB23B2">
        <w:rPr>
          <w:lang w:val="fr-FR"/>
        </w:rPr>
        <w:t>en sachant ou en ayant toute raison de croire que des actes de torture seront commis</w:t>
      </w:r>
      <w:r w:rsidR="00FC2B97">
        <w:rPr>
          <w:lang w:val="fr-FR"/>
        </w:rPr>
        <w:t>;</w:t>
      </w:r>
      <w:r w:rsidR="00CB23B2">
        <w:rPr>
          <w:lang w:val="fr-FR"/>
        </w:rPr>
        <w:t xml:space="preserve"> deuxièmement, </w:t>
      </w:r>
      <w:r w:rsidR="002C76C7">
        <w:rPr>
          <w:lang w:val="fr-FR"/>
        </w:rPr>
        <w:t xml:space="preserve">que </w:t>
      </w:r>
      <w:r w:rsidR="00CB23B2">
        <w:rPr>
          <w:lang w:val="fr-FR"/>
        </w:rPr>
        <w:t>s’ils ont connaissance de sévices commis par d’autres pays, ils doivent en faire rapport au Gouvernement afin que celui-ci puisse prendre les mesures nécessaires pour y mettre fin</w:t>
      </w:r>
      <w:r w:rsidR="00FC2B97">
        <w:rPr>
          <w:lang w:val="fr-FR"/>
        </w:rPr>
        <w:t>;</w:t>
      </w:r>
      <w:r w:rsidR="00CB23B2">
        <w:rPr>
          <w:lang w:val="fr-FR"/>
        </w:rPr>
        <w:t xml:space="preserve"> et, troisièmement, </w:t>
      </w:r>
      <w:r w:rsidR="002C76C7">
        <w:rPr>
          <w:lang w:val="fr-FR"/>
        </w:rPr>
        <w:t>que lorsqu’ils se procurent des renseignements dans des cas où ils pensent que certaines informations pourraient sauver des vies mais aussi qu’il existe un risque grave de mauvais traitement, il incombe aux ministres britanniques de déterm</w:t>
      </w:r>
      <w:r w:rsidR="002255B5">
        <w:rPr>
          <w:lang w:val="fr-FR"/>
        </w:rPr>
        <w:t>iner comment réduire ce risque.</w:t>
      </w:r>
    </w:p>
    <w:p w:rsidR="000B562B" w:rsidRPr="00A176EA" w:rsidRDefault="002549A9" w:rsidP="00174761">
      <w:pPr>
        <w:pStyle w:val="SingleTxtG"/>
        <w:rPr>
          <w:lang w:val="fr-FR"/>
        </w:rPr>
      </w:pPr>
      <w:r w:rsidRPr="00A176EA">
        <w:rPr>
          <w:lang w:val="fr-FR"/>
        </w:rPr>
        <w:t>24.</w:t>
      </w:r>
      <w:r w:rsidRPr="00A176EA">
        <w:rPr>
          <w:lang w:val="fr-FR"/>
        </w:rPr>
        <w:tab/>
      </w:r>
      <w:r w:rsidR="007A101F">
        <w:rPr>
          <w:lang w:val="fr-FR"/>
        </w:rPr>
        <w:t xml:space="preserve">Les Directives ont fait l’objet de deux </w:t>
      </w:r>
      <w:r w:rsidR="00226A92">
        <w:rPr>
          <w:lang w:val="fr-FR"/>
        </w:rPr>
        <w:t>requêtes en</w:t>
      </w:r>
      <w:r w:rsidR="007A101F">
        <w:rPr>
          <w:lang w:val="fr-FR"/>
        </w:rPr>
        <w:t xml:space="preserve"> contrôle juridictionnel </w:t>
      </w:r>
      <w:r w:rsidR="00363345">
        <w:rPr>
          <w:lang w:val="fr-FR"/>
        </w:rPr>
        <w:t>pour non-respect d</w:t>
      </w:r>
      <w:r w:rsidR="007A101F">
        <w:rPr>
          <w:lang w:val="fr-FR"/>
        </w:rPr>
        <w:t xml:space="preserve">es obligations du Gouvernement au regard du droit international et national. Pour sa part, le Gouvernement estime </w:t>
      </w:r>
      <w:r w:rsidR="00174761">
        <w:rPr>
          <w:lang w:val="fr-FR"/>
        </w:rPr>
        <w:t>que les Directives</w:t>
      </w:r>
      <w:r w:rsidR="007A101F">
        <w:rPr>
          <w:lang w:val="fr-FR"/>
        </w:rPr>
        <w:t xml:space="preserve"> sont parfaitement compatibles avec ses obligations juridiques </w:t>
      </w:r>
      <w:r w:rsidR="00174761">
        <w:rPr>
          <w:lang w:val="fr-FR"/>
        </w:rPr>
        <w:t xml:space="preserve">et </w:t>
      </w:r>
      <w:r w:rsidR="00C9005E">
        <w:rPr>
          <w:lang w:val="fr-FR"/>
        </w:rPr>
        <w:t>agira en justice</w:t>
      </w:r>
      <w:r w:rsidR="000B562B" w:rsidRPr="00A176EA">
        <w:rPr>
          <w:lang w:val="fr-FR"/>
        </w:rPr>
        <w:t>.</w:t>
      </w:r>
    </w:p>
    <w:p w:rsidR="000B562B" w:rsidRPr="00A176EA" w:rsidRDefault="002549A9" w:rsidP="004B29AE">
      <w:pPr>
        <w:pStyle w:val="SingleTxtG"/>
        <w:rPr>
          <w:lang w:val="fr-FR"/>
        </w:rPr>
      </w:pPr>
      <w:r w:rsidRPr="00A176EA">
        <w:rPr>
          <w:lang w:val="fr-FR"/>
        </w:rPr>
        <w:t>25.</w:t>
      </w:r>
      <w:r w:rsidRPr="00A176EA">
        <w:rPr>
          <w:lang w:val="fr-FR"/>
        </w:rPr>
        <w:tab/>
      </w:r>
      <w:r w:rsidR="00000C78">
        <w:rPr>
          <w:lang w:val="fr-FR"/>
        </w:rPr>
        <w:t xml:space="preserve">Le Royaume-Uni fournira au Comité les </w:t>
      </w:r>
      <w:r w:rsidR="00000C78" w:rsidRPr="00413603">
        <w:rPr>
          <w:lang w:val="fr-FR"/>
        </w:rPr>
        <w:t xml:space="preserve">résultats </w:t>
      </w:r>
      <w:r w:rsidR="00413603">
        <w:rPr>
          <w:lang w:val="fr-FR"/>
        </w:rPr>
        <w:t>précis</w:t>
      </w:r>
      <w:r w:rsidR="00000C78">
        <w:rPr>
          <w:lang w:val="fr-FR"/>
        </w:rPr>
        <w:t xml:space="preserve"> de ces procédures dès qu’ils seront connus</w:t>
      </w:r>
      <w:r w:rsidR="000B562B" w:rsidRPr="00A176EA">
        <w:rPr>
          <w:lang w:val="fr-FR"/>
        </w:rPr>
        <w:t>.</w:t>
      </w:r>
    </w:p>
    <w:p w:rsidR="008418E1" w:rsidRPr="008418E1" w:rsidRDefault="00FC2B97" w:rsidP="00FC2B97">
      <w:pPr>
        <w:pStyle w:val="HChG"/>
      </w:pPr>
      <w:r>
        <w:tab/>
      </w:r>
      <w:r w:rsidR="008418E1" w:rsidRPr="008418E1">
        <w:t>I</w:t>
      </w:r>
      <w:r>
        <w:t>.</w:t>
      </w:r>
      <w:r w:rsidR="008418E1" w:rsidRPr="008418E1">
        <w:tab/>
        <w:t>Observations formulées par le Comité à l’issue de l’examen du quatrième rapport périodique du Royaume-Uni</w:t>
      </w:r>
    </w:p>
    <w:p w:rsidR="000B562B" w:rsidRPr="00A176EA" w:rsidRDefault="00000C78" w:rsidP="004B29AE">
      <w:pPr>
        <w:pStyle w:val="H23G"/>
        <w:rPr>
          <w:lang w:val="fr-FR"/>
        </w:rPr>
      </w:pPr>
      <w:r>
        <w:rPr>
          <w:lang w:val="fr-FR"/>
        </w:rPr>
        <w:t>Sujets de préoccupation</w:t>
      </w:r>
    </w:p>
    <w:p w:rsidR="000B562B" w:rsidRDefault="002549A9" w:rsidP="0071224C">
      <w:pPr>
        <w:pStyle w:val="SingleTxtG"/>
        <w:rPr>
          <w:lang w:val="fr-FR"/>
        </w:rPr>
      </w:pPr>
      <w:r w:rsidRPr="00A176EA">
        <w:rPr>
          <w:lang w:val="fr-FR"/>
        </w:rPr>
        <w:t>26.</w:t>
      </w:r>
      <w:r w:rsidRPr="00A176EA">
        <w:rPr>
          <w:lang w:val="fr-FR"/>
        </w:rPr>
        <w:tab/>
      </w:r>
      <w:r w:rsidR="00000C78">
        <w:rPr>
          <w:lang w:val="fr-FR"/>
        </w:rPr>
        <w:t xml:space="preserve">Aux paragraphes 4 et 5 des </w:t>
      </w:r>
      <w:r w:rsidR="0071224C">
        <w:rPr>
          <w:lang w:val="fr-FR"/>
        </w:rPr>
        <w:t xml:space="preserve">observations formulées à l’issue de l’examen du quatrième rapport périodique </w:t>
      </w:r>
      <w:r w:rsidR="00F210B2">
        <w:rPr>
          <w:lang w:val="fr-FR"/>
        </w:rPr>
        <w:t>soumis par le</w:t>
      </w:r>
      <w:r w:rsidR="0071224C">
        <w:rPr>
          <w:lang w:val="fr-FR"/>
        </w:rPr>
        <w:t xml:space="preserve"> Royaume-Uni </w:t>
      </w:r>
      <w:r w:rsidR="00F210B2">
        <w:rPr>
          <w:lang w:val="fr-FR"/>
        </w:rPr>
        <w:t>en application de</w:t>
      </w:r>
      <w:r w:rsidR="0071224C">
        <w:rPr>
          <w:lang w:val="fr-FR"/>
        </w:rPr>
        <w:t xml:space="preserve"> la Convention contre la torture (CAT/C/CR/33/3), le Comité </w:t>
      </w:r>
      <w:r w:rsidR="00A2487E">
        <w:rPr>
          <w:lang w:val="fr-FR"/>
        </w:rPr>
        <w:t xml:space="preserve">des Nations Unies </w:t>
      </w:r>
      <w:r w:rsidR="0071224C">
        <w:rPr>
          <w:lang w:val="fr-FR"/>
        </w:rPr>
        <w:t>contre la torture a soulevé des sujets de préoccupation et formulé des recommandations au Gouvernement britannique. Les réponses de ce dernier figurent aux paragraphes 27 à 154 ci-après</w:t>
      </w:r>
      <w:r w:rsidR="000B562B" w:rsidRPr="00A176EA">
        <w:rPr>
          <w:lang w:val="fr-FR"/>
        </w:rPr>
        <w:t>.</w:t>
      </w:r>
    </w:p>
    <w:p w:rsidR="000B562B" w:rsidRPr="00A176EA" w:rsidRDefault="004B29AE" w:rsidP="00FA403C">
      <w:pPr>
        <w:pStyle w:val="SingleTxtG"/>
        <w:ind w:firstLine="567"/>
        <w:rPr>
          <w:b/>
          <w:lang w:val="fr-FR"/>
        </w:rPr>
      </w:pPr>
      <w:r w:rsidRPr="00A176EA">
        <w:rPr>
          <w:b/>
          <w:lang w:val="fr-FR"/>
        </w:rPr>
        <w:t>a)</w:t>
      </w:r>
      <w:r w:rsidRPr="00A176EA">
        <w:rPr>
          <w:b/>
          <w:lang w:val="fr-FR"/>
        </w:rPr>
        <w:tab/>
      </w:r>
      <w:r w:rsidR="00FA403C">
        <w:rPr>
          <w:b/>
          <w:lang w:val="fr-FR"/>
        </w:rPr>
        <w:t xml:space="preserve">Fait qu’il subsiste des discordances entre les prescriptions de la Convention et les dispositions du droit interne de </w:t>
      </w:r>
      <w:r w:rsidR="00FA403C" w:rsidRPr="00FA403C">
        <w:rPr>
          <w:b/>
          <w:lang w:val="fr-FR"/>
        </w:rPr>
        <w:t>l’État partie qui, même après l’adoption de la loi relative aux droits de l’homme, présente toujours des lacunes, notamment</w:t>
      </w:r>
      <w:r w:rsidR="00FC2B97">
        <w:rPr>
          <w:b/>
          <w:lang w:val="fr-FR"/>
        </w:rPr>
        <w:t>:</w:t>
      </w:r>
    </w:p>
    <w:p w:rsidR="000B562B" w:rsidRPr="00A176EA" w:rsidRDefault="004B29AE" w:rsidP="00FA403C">
      <w:pPr>
        <w:pStyle w:val="SingleTxtG"/>
        <w:ind w:left="1701" w:firstLine="567"/>
        <w:rPr>
          <w:b/>
          <w:lang w:val="fr-FR"/>
        </w:rPr>
      </w:pPr>
      <w:r w:rsidRPr="00A176EA">
        <w:rPr>
          <w:b/>
          <w:lang w:val="fr-FR"/>
        </w:rPr>
        <w:t>i)</w:t>
      </w:r>
      <w:r w:rsidRPr="00A176EA">
        <w:rPr>
          <w:b/>
          <w:lang w:val="fr-FR"/>
        </w:rPr>
        <w:tab/>
      </w:r>
      <w:r w:rsidR="002D62E5">
        <w:rPr>
          <w:b/>
          <w:lang w:val="fr-FR"/>
        </w:rPr>
        <w:t>L</w:t>
      </w:r>
      <w:r w:rsidR="00FA403C">
        <w:rPr>
          <w:b/>
          <w:lang w:val="fr-FR"/>
        </w:rPr>
        <w:t>’</w:t>
      </w:r>
      <w:r w:rsidR="000B562B" w:rsidRPr="00A176EA">
        <w:rPr>
          <w:b/>
          <w:lang w:val="fr-FR"/>
        </w:rPr>
        <w:t xml:space="preserve">article 15 </w:t>
      </w:r>
      <w:r w:rsidR="00FA403C">
        <w:rPr>
          <w:b/>
          <w:lang w:val="fr-FR"/>
        </w:rPr>
        <w:t>de la</w:t>
      </w:r>
      <w:r w:rsidR="000B562B" w:rsidRPr="00A176EA">
        <w:rPr>
          <w:b/>
          <w:lang w:val="fr-FR"/>
        </w:rPr>
        <w:t xml:space="preserve"> Convention </w:t>
      </w:r>
      <w:r w:rsidR="00FA403C" w:rsidRPr="00FA403C">
        <w:rPr>
          <w:b/>
          <w:lang w:val="fr-FR"/>
        </w:rPr>
        <w:t xml:space="preserve">interdit à quiconque, où que ce soit, d’utiliser des éléments de preuve obtenus par la torture, la législation de l’État partie a été, en dépit des assurances de l’État partie mentionnées au paragraphe 3 g) </w:t>
      </w:r>
      <w:r w:rsidR="00FA403C" w:rsidRPr="00063292">
        <w:rPr>
          <w:b/>
          <w:i/>
          <w:iCs/>
          <w:lang w:val="fr-FR"/>
        </w:rPr>
        <w:t>plus haut</w:t>
      </w:r>
      <w:r w:rsidR="00FA403C" w:rsidRPr="00FA403C">
        <w:rPr>
          <w:b/>
          <w:lang w:val="fr-FR"/>
        </w:rPr>
        <w:t>, interprétée comme n’excluant les éléments de preuve obtenus par la torture que lorsque les agents de l’État partie en étaient complices</w:t>
      </w:r>
      <w:r w:rsidR="000B562B" w:rsidRPr="00A176EA">
        <w:rPr>
          <w:b/>
          <w:lang w:val="fr-FR"/>
        </w:rPr>
        <w:t>.</w:t>
      </w:r>
    </w:p>
    <w:p w:rsidR="000B562B" w:rsidRPr="00A176EA" w:rsidRDefault="002549A9" w:rsidP="0012689F">
      <w:pPr>
        <w:pStyle w:val="SingleTxtG"/>
        <w:rPr>
          <w:lang w:val="fr-FR"/>
        </w:rPr>
      </w:pPr>
      <w:r w:rsidRPr="00A176EA">
        <w:rPr>
          <w:lang w:val="fr-FR"/>
        </w:rPr>
        <w:t>27.</w:t>
      </w:r>
      <w:r w:rsidRPr="00A176EA">
        <w:rPr>
          <w:lang w:val="fr-FR"/>
        </w:rPr>
        <w:tab/>
      </w:r>
      <w:r w:rsidR="00F210B2">
        <w:rPr>
          <w:lang w:val="fr-FR"/>
        </w:rPr>
        <w:t xml:space="preserve">Dans l’affaire </w:t>
      </w:r>
      <w:r w:rsidR="00F210B2" w:rsidRPr="00DC5441">
        <w:rPr>
          <w:i/>
          <w:iCs/>
          <w:lang w:val="fr-FR"/>
        </w:rPr>
        <w:t>A</w:t>
      </w:r>
      <w:r w:rsidR="00F210B2">
        <w:rPr>
          <w:lang w:val="fr-FR"/>
        </w:rPr>
        <w:t xml:space="preserve"> c. </w:t>
      </w:r>
      <w:r w:rsidR="00F210B2" w:rsidRPr="00DC5441">
        <w:rPr>
          <w:i/>
          <w:iCs/>
          <w:lang w:val="fr-FR"/>
        </w:rPr>
        <w:t>Ministère de l’intérieur</w:t>
      </w:r>
      <w:r w:rsidR="00F210B2">
        <w:rPr>
          <w:lang w:val="fr-FR"/>
        </w:rPr>
        <w:t xml:space="preserve"> (n° 2) </w:t>
      </w:r>
      <w:r w:rsidR="00F210B2" w:rsidRPr="00063292">
        <w:rPr>
          <w:lang w:val="fr-FR"/>
        </w:rPr>
        <w:t>[2005],</w:t>
      </w:r>
      <w:r w:rsidR="00F210B2">
        <w:rPr>
          <w:sz w:val="18"/>
          <w:lang w:val="fr-FR"/>
        </w:rPr>
        <w:t xml:space="preserve"> l</w:t>
      </w:r>
      <w:r w:rsidR="00F210B2">
        <w:rPr>
          <w:lang w:val="fr-FR"/>
        </w:rPr>
        <w:t xml:space="preserve">a Chambre des </w:t>
      </w:r>
      <w:r w:rsidR="00AB5CDF">
        <w:rPr>
          <w:lang w:val="fr-FR"/>
        </w:rPr>
        <w:t>l</w:t>
      </w:r>
      <w:r w:rsidR="00F210B2">
        <w:rPr>
          <w:lang w:val="fr-FR"/>
        </w:rPr>
        <w:t xml:space="preserve">ords </w:t>
      </w:r>
      <w:r w:rsidR="00AB5CDF">
        <w:rPr>
          <w:lang w:val="fr-FR"/>
        </w:rPr>
        <w:t xml:space="preserve">a indiqué clairement que les éléments de preuve obtenus par la torture </w:t>
      </w:r>
      <w:r w:rsidR="001728BD">
        <w:rPr>
          <w:lang w:val="fr-FR"/>
        </w:rPr>
        <w:t>n’étaient</w:t>
      </w:r>
      <w:r w:rsidR="00AB5CDF">
        <w:rPr>
          <w:lang w:val="fr-FR"/>
        </w:rPr>
        <w:t xml:space="preserve"> pas recevables dans les procédures judiciaires. Hormis cette décision </w:t>
      </w:r>
      <w:r w:rsidR="00DC045F">
        <w:rPr>
          <w:lang w:val="fr-FR"/>
        </w:rPr>
        <w:t>rendue par</w:t>
      </w:r>
      <w:r w:rsidR="00AB5CDF">
        <w:rPr>
          <w:lang w:val="fr-FR"/>
        </w:rPr>
        <w:t xml:space="preserve"> la plus haute juridiction de l’époque, il existe des dispositions légales en la matière. </w:t>
      </w:r>
      <w:r w:rsidR="00547C48">
        <w:rPr>
          <w:lang w:val="fr-FR"/>
        </w:rPr>
        <w:t xml:space="preserve">S’agissant des procédures pénales en Angleterre et au </w:t>
      </w:r>
      <w:r w:rsidR="00F26EDF">
        <w:rPr>
          <w:lang w:val="fr-FR"/>
        </w:rPr>
        <w:t>p</w:t>
      </w:r>
      <w:r w:rsidR="005601A1">
        <w:rPr>
          <w:lang w:val="fr-FR"/>
        </w:rPr>
        <w:t>ays de Galles</w:t>
      </w:r>
      <w:r w:rsidR="00547C48">
        <w:rPr>
          <w:lang w:val="fr-FR"/>
        </w:rPr>
        <w:t xml:space="preserve">, </w:t>
      </w:r>
      <w:r w:rsidR="009C00B9">
        <w:rPr>
          <w:lang w:val="fr-FR"/>
        </w:rPr>
        <w:t>l’article</w:t>
      </w:r>
      <w:r w:rsidR="00547C48">
        <w:rPr>
          <w:lang w:val="fr-FR"/>
        </w:rPr>
        <w:t xml:space="preserve"> 76 de la loi de 1984 sur la police et les preuves </w:t>
      </w:r>
      <w:r w:rsidR="00D10599" w:rsidRPr="00D10599">
        <w:rPr>
          <w:lang w:val="fr-FR"/>
        </w:rPr>
        <w:t>pénale</w:t>
      </w:r>
      <w:r w:rsidR="00D10599">
        <w:rPr>
          <w:lang w:val="fr-FR"/>
        </w:rPr>
        <w:t>s</w:t>
      </w:r>
      <w:r w:rsidR="00547C48">
        <w:rPr>
          <w:lang w:val="fr-FR"/>
        </w:rPr>
        <w:t xml:space="preserve"> </w:t>
      </w:r>
      <w:r w:rsidR="00413603">
        <w:rPr>
          <w:lang w:val="fr-FR"/>
        </w:rPr>
        <w:t xml:space="preserve">dispose qu’un tribunal </w:t>
      </w:r>
      <w:r w:rsidR="00D2584C">
        <w:rPr>
          <w:lang w:val="fr-FR"/>
        </w:rPr>
        <w:t xml:space="preserve">ne saurait </w:t>
      </w:r>
      <w:r w:rsidR="00DC045F">
        <w:rPr>
          <w:lang w:val="fr-FR"/>
        </w:rPr>
        <w:t>retenir</w:t>
      </w:r>
      <w:r w:rsidR="00D2584C">
        <w:rPr>
          <w:lang w:val="fr-FR"/>
        </w:rPr>
        <w:t xml:space="preserve"> </w:t>
      </w:r>
      <w:r w:rsidR="00DC045F">
        <w:rPr>
          <w:lang w:val="fr-FR"/>
        </w:rPr>
        <w:t>des aveux</w:t>
      </w:r>
      <w:r w:rsidR="00D2584C">
        <w:rPr>
          <w:lang w:val="fr-FR"/>
        </w:rPr>
        <w:t xml:space="preserve"> comme </w:t>
      </w:r>
      <w:r w:rsidR="006D4C3E">
        <w:rPr>
          <w:lang w:val="fr-FR"/>
        </w:rPr>
        <w:t xml:space="preserve">élément de </w:t>
      </w:r>
      <w:r w:rsidR="00D2584C">
        <w:rPr>
          <w:lang w:val="fr-FR"/>
        </w:rPr>
        <w:t xml:space="preserve">preuve contre un accusé si </w:t>
      </w:r>
      <w:r w:rsidR="00DC045F">
        <w:rPr>
          <w:lang w:val="fr-FR"/>
        </w:rPr>
        <w:t xml:space="preserve">le </w:t>
      </w:r>
      <w:r w:rsidR="006D4C3E">
        <w:rPr>
          <w:lang w:val="fr-FR"/>
        </w:rPr>
        <w:t>ministère public</w:t>
      </w:r>
      <w:r w:rsidR="00DC045F">
        <w:rPr>
          <w:lang w:val="fr-FR"/>
        </w:rPr>
        <w:t xml:space="preserve"> n’a pas établi au-delà </w:t>
      </w:r>
      <w:r w:rsidR="00C66551">
        <w:rPr>
          <w:lang w:val="fr-FR"/>
        </w:rPr>
        <w:t xml:space="preserve">de tout doute raisonnable qu’ils n’ont pas été obtenus par </w:t>
      </w:r>
      <w:r w:rsidR="000D06CD">
        <w:rPr>
          <w:lang w:val="fr-FR"/>
        </w:rPr>
        <w:t>la contrainte</w:t>
      </w:r>
      <w:r w:rsidR="006D4C3E">
        <w:rPr>
          <w:lang w:val="fr-FR"/>
        </w:rPr>
        <w:t xml:space="preserve"> ou suite à des paroles ou </w:t>
      </w:r>
      <w:r w:rsidR="000D06CD">
        <w:rPr>
          <w:lang w:val="fr-FR"/>
        </w:rPr>
        <w:t>des</w:t>
      </w:r>
      <w:r w:rsidR="006D4C3E">
        <w:rPr>
          <w:lang w:val="fr-FR"/>
        </w:rPr>
        <w:t xml:space="preserve"> acte</w:t>
      </w:r>
      <w:r w:rsidR="000D06CD">
        <w:rPr>
          <w:lang w:val="fr-FR"/>
        </w:rPr>
        <w:t>s</w:t>
      </w:r>
      <w:r w:rsidR="006D4C3E">
        <w:rPr>
          <w:lang w:val="fr-FR"/>
        </w:rPr>
        <w:t xml:space="preserve"> susceptibles d’entacher l</w:t>
      </w:r>
      <w:r w:rsidR="001728BD">
        <w:rPr>
          <w:lang w:val="fr-FR"/>
        </w:rPr>
        <w:t>eur</w:t>
      </w:r>
      <w:r w:rsidR="006D4C3E">
        <w:rPr>
          <w:lang w:val="fr-FR"/>
        </w:rPr>
        <w:t xml:space="preserve"> fiabilité. </w:t>
      </w:r>
      <w:r w:rsidR="009C00B9">
        <w:rPr>
          <w:lang w:val="fr-FR"/>
        </w:rPr>
        <w:t>L</w:t>
      </w:r>
      <w:r w:rsidR="00A2487E">
        <w:rPr>
          <w:lang w:val="fr-FR"/>
        </w:rPr>
        <w:t>e paragraphe 8 de l</w:t>
      </w:r>
      <w:r w:rsidR="009C00B9" w:rsidRPr="009C00B9">
        <w:rPr>
          <w:lang w:val="fr-FR"/>
        </w:rPr>
        <w:t>’article</w:t>
      </w:r>
      <w:r w:rsidR="006D4C3E">
        <w:rPr>
          <w:lang w:val="fr-FR"/>
        </w:rPr>
        <w:t xml:space="preserve"> 76 de la loi précise que l</w:t>
      </w:r>
      <w:r w:rsidR="003868F8">
        <w:rPr>
          <w:lang w:val="fr-FR"/>
        </w:rPr>
        <w:t xml:space="preserve">a </w:t>
      </w:r>
      <w:r w:rsidR="00CD0110">
        <w:rPr>
          <w:lang w:val="fr-FR"/>
        </w:rPr>
        <w:t>«</w:t>
      </w:r>
      <w:r w:rsidR="003868F8">
        <w:rPr>
          <w:lang w:val="fr-FR"/>
        </w:rPr>
        <w:t>contrainte</w:t>
      </w:r>
      <w:r w:rsidR="00CD0110">
        <w:rPr>
          <w:lang w:val="fr-FR"/>
        </w:rPr>
        <w:t>»</w:t>
      </w:r>
      <w:r w:rsidR="006D4C3E">
        <w:rPr>
          <w:lang w:val="fr-FR"/>
        </w:rPr>
        <w:t xml:space="preserve"> inclut la torture. Aux termes de </w:t>
      </w:r>
      <w:r w:rsidR="009C00B9" w:rsidRPr="009C00B9">
        <w:rPr>
          <w:lang w:val="fr-FR"/>
        </w:rPr>
        <w:t>l’article</w:t>
      </w:r>
      <w:r w:rsidR="006D4C3E">
        <w:rPr>
          <w:lang w:val="fr-FR"/>
        </w:rPr>
        <w:t xml:space="preserve"> 78 de la loi, </w:t>
      </w:r>
      <w:r w:rsidR="0012689F">
        <w:rPr>
          <w:lang w:val="fr-FR"/>
        </w:rPr>
        <w:t xml:space="preserve">un tribunal est habilité à écarter des aveux sur lesquels s’appuie le ministère public si les </w:t>
      </w:r>
      <w:r w:rsidR="001C1986">
        <w:rPr>
          <w:lang w:val="fr-FR"/>
        </w:rPr>
        <w:t>déclarer</w:t>
      </w:r>
      <w:r w:rsidR="0012689F">
        <w:rPr>
          <w:lang w:val="fr-FR"/>
        </w:rPr>
        <w:t xml:space="preserve"> recevables en tant que preuves aurait pour effet de rendre la procédure inéquitable. Cela s’applique, en tout état de cause, aux aveux obtenus par la torture. Des dispositions similaires </w:t>
      </w:r>
      <w:r w:rsidR="00CB2353">
        <w:rPr>
          <w:lang w:val="fr-FR"/>
        </w:rPr>
        <w:t>existent</w:t>
      </w:r>
      <w:r w:rsidR="0012689F">
        <w:rPr>
          <w:lang w:val="fr-FR"/>
        </w:rPr>
        <w:t xml:space="preserve"> en Écosse et en Irlande du Nord</w:t>
      </w:r>
      <w:r w:rsidR="000B562B" w:rsidRPr="00A176EA">
        <w:rPr>
          <w:lang w:val="fr-FR"/>
        </w:rPr>
        <w:t>.</w:t>
      </w:r>
    </w:p>
    <w:p w:rsidR="000B562B" w:rsidRPr="00A176EA" w:rsidRDefault="004B29AE" w:rsidP="004B29AE">
      <w:pPr>
        <w:pStyle w:val="SingleTxtG"/>
        <w:ind w:left="1701" w:firstLine="567"/>
        <w:rPr>
          <w:b/>
          <w:lang w:val="fr-FR"/>
        </w:rPr>
      </w:pPr>
      <w:r w:rsidRPr="00A176EA">
        <w:rPr>
          <w:b/>
          <w:lang w:val="fr-FR"/>
        </w:rPr>
        <w:t>ii)</w:t>
      </w:r>
      <w:r w:rsidRPr="00A176EA">
        <w:rPr>
          <w:b/>
          <w:lang w:val="fr-FR"/>
        </w:rPr>
        <w:tab/>
      </w:r>
      <w:r w:rsidR="002D62E5">
        <w:rPr>
          <w:b/>
          <w:lang w:val="fr-FR"/>
        </w:rPr>
        <w:t>L</w:t>
      </w:r>
      <w:r w:rsidR="0012689F">
        <w:rPr>
          <w:b/>
          <w:lang w:val="fr-FR"/>
        </w:rPr>
        <w:t>’</w:t>
      </w:r>
      <w:r w:rsidR="000B562B" w:rsidRPr="00A176EA">
        <w:rPr>
          <w:b/>
          <w:lang w:val="fr-FR"/>
        </w:rPr>
        <w:t xml:space="preserve">article 2 </w:t>
      </w:r>
      <w:r w:rsidR="0012689F">
        <w:rPr>
          <w:b/>
          <w:lang w:val="fr-FR"/>
        </w:rPr>
        <w:t>de la</w:t>
      </w:r>
      <w:r w:rsidR="000B562B" w:rsidRPr="00A176EA">
        <w:rPr>
          <w:b/>
          <w:lang w:val="fr-FR"/>
        </w:rPr>
        <w:t xml:space="preserve"> Convention </w:t>
      </w:r>
      <w:r w:rsidR="00230A9B" w:rsidRPr="00230A9B">
        <w:rPr>
          <w:b/>
          <w:lang w:val="fr-FR"/>
        </w:rPr>
        <w:t>stipule qu’aucune circonstance exceptionnelle, quelle qu’elle soit, ne peut être invoquée pour justifier la torture</w:t>
      </w:r>
      <w:r w:rsidR="00FC2B97">
        <w:rPr>
          <w:b/>
          <w:lang w:val="fr-FR"/>
        </w:rPr>
        <w:t>;</w:t>
      </w:r>
      <w:r w:rsidR="00230A9B" w:rsidRPr="00230A9B">
        <w:rPr>
          <w:b/>
          <w:lang w:val="fr-FR"/>
        </w:rPr>
        <w:t xml:space="preserve"> le paragraphe 4 de </w:t>
      </w:r>
      <w:r w:rsidR="009C00B9">
        <w:rPr>
          <w:b/>
          <w:lang w:val="fr-FR"/>
        </w:rPr>
        <w:t>l’article</w:t>
      </w:r>
      <w:r w:rsidR="00230A9B" w:rsidRPr="00230A9B">
        <w:rPr>
          <w:b/>
          <w:lang w:val="fr-FR"/>
        </w:rPr>
        <w:t xml:space="preserve"> 134 de la loi sur la justice pénale autorise l’auteur de l’acte de torture à se défendre d’une accusation d’infliction intentionnelle d’une douleur ou d’une souffrance aiguë en soutenant qu’il a agi sous couvert </w:t>
      </w:r>
      <w:r w:rsidR="00CD0110">
        <w:rPr>
          <w:b/>
          <w:lang w:val="fr-FR"/>
        </w:rPr>
        <w:t>«</w:t>
      </w:r>
      <w:r w:rsidR="00230A9B" w:rsidRPr="00230A9B">
        <w:rPr>
          <w:b/>
          <w:lang w:val="fr-FR"/>
        </w:rPr>
        <w:t>d’une autorité, d’une justification ou d’une excuse légitime</w:t>
      </w:r>
      <w:r w:rsidR="00CD0110">
        <w:rPr>
          <w:b/>
          <w:lang w:val="fr-FR"/>
        </w:rPr>
        <w:t>»</w:t>
      </w:r>
      <w:r w:rsidR="00230A9B" w:rsidRPr="00230A9B">
        <w:rPr>
          <w:b/>
          <w:lang w:val="fr-FR"/>
        </w:rPr>
        <w:t xml:space="preserve">, défense qui n’est pas restreinte par la loi sur les droits de l’homme </w:t>
      </w:r>
      <w:r w:rsidR="00230A9B" w:rsidRPr="00063292">
        <w:rPr>
          <w:b/>
          <w:i/>
          <w:iCs/>
          <w:lang w:val="fr-FR"/>
        </w:rPr>
        <w:t>hors des frontières</w:t>
      </w:r>
      <w:r w:rsidR="00230A9B" w:rsidRPr="00230A9B">
        <w:rPr>
          <w:b/>
          <w:lang w:val="fr-FR"/>
        </w:rPr>
        <w:t xml:space="preserve"> de l’État partie, où cette loi ne s’applique pas</w:t>
      </w:r>
      <w:r w:rsidR="00FC2B97">
        <w:rPr>
          <w:b/>
          <w:lang w:val="fr-FR"/>
        </w:rPr>
        <w:t>;</w:t>
      </w:r>
      <w:r w:rsidR="00230A9B" w:rsidRPr="00230A9B">
        <w:rPr>
          <w:b/>
          <w:lang w:val="fr-FR"/>
        </w:rPr>
        <w:t xml:space="preserve"> en outre, le paragraphe 5 de </w:t>
      </w:r>
      <w:r w:rsidR="009C00B9">
        <w:rPr>
          <w:b/>
          <w:lang w:val="fr-FR"/>
        </w:rPr>
        <w:t>l’article</w:t>
      </w:r>
      <w:r w:rsidR="00230A9B" w:rsidRPr="00230A9B">
        <w:rPr>
          <w:b/>
          <w:lang w:val="fr-FR"/>
        </w:rPr>
        <w:t xml:space="preserve"> 134 de la loi sur la justice pénale prévoit une possibilité de défense pour un acte autorisé en droit </w:t>
      </w:r>
      <w:r w:rsidR="00230A9B" w:rsidRPr="00063292">
        <w:rPr>
          <w:b/>
          <w:i/>
          <w:iCs/>
          <w:lang w:val="fr-FR"/>
        </w:rPr>
        <w:t>étranger</w:t>
      </w:r>
      <w:r w:rsidR="00230A9B" w:rsidRPr="00230A9B">
        <w:rPr>
          <w:b/>
          <w:lang w:val="fr-FR"/>
        </w:rPr>
        <w:t xml:space="preserve"> même si cet acte est illégal en vertu de la législation de l’État partie</w:t>
      </w:r>
      <w:r w:rsidR="000B562B" w:rsidRPr="00A176EA">
        <w:rPr>
          <w:b/>
          <w:lang w:val="fr-FR"/>
        </w:rPr>
        <w:t>.</w:t>
      </w:r>
    </w:p>
    <w:p w:rsidR="000B562B" w:rsidRPr="00A176EA" w:rsidRDefault="002549A9" w:rsidP="008F7D33">
      <w:pPr>
        <w:pStyle w:val="SingleTxtG"/>
        <w:rPr>
          <w:lang w:val="fr-FR"/>
        </w:rPr>
      </w:pPr>
      <w:r w:rsidRPr="00A176EA">
        <w:rPr>
          <w:lang w:val="fr-FR"/>
        </w:rPr>
        <w:t>28.</w:t>
      </w:r>
      <w:r w:rsidRPr="00A176EA">
        <w:rPr>
          <w:lang w:val="fr-FR"/>
        </w:rPr>
        <w:tab/>
      </w:r>
      <w:r w:rsidR="004A4BE4">
        <w:rPr>
          <w:lang w:val="fr-FR"/>
        </w:rPr>
        <w:t>Après avoir réexaminé avec le plus grand soin les arguments avancés par le Comité et le Royaume-Uni à différentes reprises, le Royaume-Uni demeure convaincu que l</w:t>
      </w:r>
      <w:r w:rsidR="009C00B9">
        <w:rPr>
          <w:lang w:val="fr-FR"/>
        </w:rPr>
        <w:t>’</w:t>
      </w:r>
      <w:r w:rsidR="004A4BE4">
        <w:rPr>
          <w:lang w:val="fr-FR"/>
        </w:rPr>
        <w:t>a</w:t>
      </w:r>
      <w:r w:rsidR="009C00B9">
        <w:rPr>
          <w:lang w:val="fr-FR"/>
        </w:rPr>
        <w:t>rticle</w:t>
      </w:r>
      <w:r w:rsidR="004A4BE4">
        <w:rPr>
          <w:lang w:val="fr-FR"/>
        </w:rPr>
        <w:t xml:space="preserve"> 134 de la loi de 1988 sur la justice pénale est conforme aux obligations que le Royaume-Uni a contractées en signant et en ratifiant la Convention. Toutefois, le Gouvernement va réexaminer sa position à la lumière de nouveaux éléments, </w:t>
      </w:r>
      <w:r w:rsidR="00B45553">
        <w:rPr>
          <w:lang w:val="fr-FR"/>
        </w:rPr>
        <w:t>notamment</w:t>
      </w:r>
      <w:r w:rsidR="004A4BE4">
        <w:rPr>
          <w:lang w:val="fr-FR"/>
        </w:rPr>
        <w:t xml:space="preserve"> les conclusions de l’enquête de Sir Peter Gibson (voir par</w:t>
      </w:r>
      <w:r w:rsidR="008F7D33">
        <w:rPr>
          <w:lang w:val="fr-FR"/>
        </w:rPr>
        <w:t>.</w:t>
      </w:r>
      <w:r w:rsidR="004A4BE4">
        <w:rPr>
          <w:lang w:val="fr-FR"/>
        </w:rPr>
        <w:t xml:space="preserve"> 18 ci-dessus</w:t>
      </w:r>
      <w:r w:rsidR="000B562B" w:rsidRPr="00A176EA">
        <w:rPr>
          <w:lang w:val="fr-FR"/>
        </w:rPr>
        <w:t>).</w:t>
      </w:r>
    </w:p>
    <w:p w:rsidR="000B562B" w:rsidRPr="00A176EA" w:rsidRDefault="004B29AE" w:rsidP="004B29AE">
      <w:pPr>
        <w:pStyle w:val="SingleTxtG"/>
        <w:ind w:firstLine="567"/>
        <w:rPr>
          <w:b/>
          <w:lang w:val="fr-FR"/>
        </w:rPr>
      </w:pPr>
      <w:r w:rsidRPr="004A4BE4">
        <w:rPr>
          <w:b/>
          <w:lang w:val="fr-FR"/>
        </w:rPr>
        <w:t>b)</w:t>
      </w:r>
      <w:r w:rsidRPr="004A4BE4">
        <w:rPr>
          <w:b/>
          <w:lang w:val="fr-FR"/>
        </w:rPr>
        <w:tab/>
      </w:r>
      <w:r w:rsidR="00E16438">
        <w:rPr>
          <w:b/>
          <w:lang w:val="fr-FR"/>
        </w:rPr>
        <w:t>A</w:t>
      </w:r>
      <w:r w:rsidR="00230A9B" w:rsidRPr="004A4BE4">
        <w:rPr>
          <w:b/>
          <w:lang w:val="fr-FR"/>
        </w:rPr>
        <w:t xml:space="preserve">cceptation limitée par l’État partie de l’applicabilité de la Convention aux actions de ses forces à l’étranger, en particulier son explication selon laquelle </w:t>
      </w:r>
      <w:r w:rsidR="00CD0110">
        <w:rPr>
          <w:b/>
          <w:lang w:val="fr-FR"/>
        </w:rPr>
        <w:t>«</w:t>
      </w:r>
      <w:r w:rsidR="00230A9B" w:rsidRPr="004A4BE4">
        <w:rPr>
          <w:b/>
          <w:lang w:val="fr-FR"/>
        </w:rPr>
        <w:t>les parties de la Convention qui ne sont applicables qu’aux territoires placés sous la juridiction d’un État partie ne peuvent être applicables aux actions du Royaume-Uni en Afghanistan et en Iraq</w:t>
      </w:r>
      <w:r w:rsidR="00CD0110">
        <w:rPr>
          <w:b/>
          <w:lang w:val="fr-FR"/>
        </w:rPr>
        <w:t>»</w:t>
      </w:r>
      <w:r w:rsidR="00FC2B97">
        <w:rPr>
          <w:b/>
          <w:lang w:val="fr-FR"/>
        </w:rPr>
        <w:t>;</w:t>
      </w:r>
      <w:r w:rsidR="00230A9B" w:rsidRPr="004A4BE4">
        <w:rPr>
          <w:b/>
          <w:lang w:val="fr-FR"/>
        </w:rPr>
        <w:t xml:space="preserve"> le Comité fait observer que les protections prévues par la Convention s’appliquent à tous les territoires placés sous la juridiction d’un État partie et considère que ce principe porte sur toutes les régions placées de fait sous le contrôle effectif des autorités de l’État partie</w:t>
      </w:r>
      <w:r w:rsidR="000B562B" w:rsidRPr="004A4BE4">
        <w:rPr>
          <w:b/>
          <w:lang w:val="fr-FR"/>
        </w:rPr>
        <w:t>.</w:t>
      </w:r>
    </w:p>
    <w:p w:rsidR="000B562B" w:rsidRPr="005F771A" w:rsidRDefault="002549A9" w:rsidP="0028494E">
      <w:pPr>
        <w:pStyle w:val="SingleTxtG"/>
        <w:tabs>
          <w:tab w:val="left" w:pos="567"/>
          <w:tab w:val="left" w:pos="1134"/>
          <w:tab w:val="left" w:pos="1701"/>
          <w:tab w:val="left" w:pos="2244"/>
        </w:tabs>
        <w:rPr>
          <w:lang w:val="fr-FR"/>
        </w:rPr>
      </w:pPr>
      <w:r w:rsidRPr="00A176EA">
        <w:rPr>
          <w:lang w:val="fr-FR"/>
        </w:rPr>
        <w:t>29.</w:t>
      </w:r>
      <w:r w:rsidRPr="00A176EA">
        <w:rPr>
          <w:lang w:val="fr-FR"/>
        </w:rPr>
        <w:tab/>
      </w:r>
      <w:r w:rsidR="00E16438">
        <w:rPr>
          <w:lang w:val="fr-FR"/>
        </w:rPr>
        <w:t xml:space="preserve">Comme indiqué précédemment, le Royaume-Uni n’admet pas </w:t>
      </w:r>
      <w:r w:rsidR="001F42A6">
        <w:rPr>
          <w:lang w:val="fr-FR"/>
        </w:rPr>
        <w:t>qu’il exerce</w:t>
      </w:r>
      <w:r w:rsidR="00E16438">
        <w:rPr>
          <w:lang w:val="fr-FR"/>
        </w:rPr>
        <w:t xml:space="preserve"> un contrôle </w:t>
      </w:r>
      <w:r w:rsidR="00F85D57" w:rsidRPr="00F85D57">
        <w:rPr>
          <w:i/>
          <w:lang w:val="fr-FR"/>
        </w:rPr>
        <w:t>de jure</w:t>
      </w:r>
      <w:r w:rsidR="00E16438">
        <w:rPr>
          <w:lang w:val="fr-FR"/>
        </w:rPr>
        <w:t xml:space="preserve"> ou </w:t>
      </w:r>
      <w:r w:rsidR="00E16438" w:rsidRPr="00E16438">
        <w:rPr>
          <w:i/>
          <w:lang w:val="fr-FR"/>
        </w:rPr>
        <w:t>de facto</w:t>
      </w:r>
      <w:r w:rsidR="00E16438">
        <w:rPr>
          <w:lang w:val="fr-FR"/>
        </w:rPr>
        <w:t xml:space="preserve"> </w:t>
      </w:r>
      <w:r w:rsidR="001F42A6">
        <w:rPr>
          <w:lang w:val="fr-FR"/>
        </w:rPr>
        <w:t>lorsque</w:t>
      </w:r>
      <w:r w:rsidR="00E16438">
        <w:rPr>
          <w:lang w:val="fr-FR"/>
        </w:rPr>
        <w:t xml:space="preserve"> ses forces </w:t>
      </w:r>
      <w:r w:rsidR="008213C1">
        <w:rPr>
          <w:lang w:val="fr-FR"/>
        </w:rPr>
        <w:t>armées</w:t>
      </w:r>
      <w:r w:rsidR="00E16438">
        <w:rPr>
          <w:lang w:val="fr-FR"/>
        </w:rPr>
        <w:t xml:space="preserve"> opér</w:t>
      </w:r>
      <w:r w:rsidR="0028494E">
        <w:rPr>
          <w:lang w:val="fr-FR"/>
        </w:rPr>
        <w:t>ent</w:t>
      </w:r>
      <w:r w:rsidR="00E16438">
        <w:rPr>
          <w:lang w:val="fr-FR"/>
        </w:rPr>
        <w:t xml:space="preserve"> à l’étranger. </w:t>
      </w:r>
      <w:r w:rsidR="00E76A1F">
        <w:rPr>
          <w:lang w:val="fr-FR"/>
        </w:rPr>
        <w:t>Il a cessé ses opérations de placement en détention en Iraq depuis le 1</w:t>
      </w:r>
      <w:r w:rsidR="00E76A1F" w:rsidRPr="00E76A1F">
        <w:rPr>
          <w:vertAlign w:val="superscript"/>
          <w:lang w:val="fr-FR"/>
        </w:rPr>
        <w:t>er</w:t>
      </w:r>
      <w:r w:rsidR="00E76A1F">
        <w:rPr>
          <w:lang w:val="fr-FR"/>
        </w:rPr>
        <w:t xml:space="preserve"> janvier 2009. Ni l’Afghanistan ni l’Iraq ne sont sous sa juridiction et le Royaume-Uni n’est pas fondé à prendre </w:t>
      </w:r>
      <w:r w:rsidR="00CD0110">
        <w:rPr>
          <w:lang w:val="fr-FR"/>
        </w:rPr>
        <w:t>«</w:t>
      </w:r>
      <w:r w:rsidR="00E76A1F">
        <w:rPr>
          <w:lang w:val="fr-FR"/>
        </w:rPr>
        <w:t>des mesures législatives, administratives, judiciaires ou autres mesures efficaces pour empêcher que des actes de torture soient commis</w:t>
      </w:r>
      <w:r w:rsidR="00CD0110">
        <w:rPr>
          <w:lang w:val="fr-FR"/>
        </w:rPr>
        <w:t>»</w:t>
      </w:r>
      <w:r w:rsidR="00E76A1F">
        <w:rPr>
          <w:lang w:val="fr-FR"/>
        </w:rPr>
        <w:t xml:space="preserve"> dans le territoire de ces pays, comme énoncé à l’article 2 de la Convention. C’est pourquoi le Royaume-Uni considère que les parties de la Convention qui ne sont applicables qu’aux territoires placés sous la juridiction d’un </w:t>
      </w:r>
      <w:r w:rsidR="00E76A1F" w:rsidRPr="00E76A1F">
        <w:rPr>
          <w:lang w:val="fr-FR"/>
        </w:rPr>
        <w:t>État partie</w:t>
      </w:r>
      <w:r w:rsidR="00E76A1F">
        <w:rPr>
          <w:lang w:val="fr-FR"/>
        </w:rPr>
        <w:t xml:space="preserve"> ne s’appliquent pas aux actions du Royaume-Uni en Afghanistan ou en Iraq. </w:t>
      </w:r>
      <w:r w:rsidR="00E76A1F" w:rsidRPr="005F771A">
        <w:rPr>
          <w:lang w:val="fr-FR"/>
        </w:rPr>
        <w:t xml:space="preserve">En outre, </w:t>
      </w:r>
      <w:r w:rsidR="0016209E" w:rsidRPr="005F771A">
        <w:rPr>
          <w:lang w:val="fr-FR"/>
        </w:rPr>
        <w:t xml:space="preserve">toutes </w:t>
      </w:r>
      <w:r w:rsidR="00AE3540" w:rsidRPr="005F771A">
        <w:rPr>
          <w:lang w:val="fr-FR"/>
        </w:rPr>
        <w:t xml:space="preserve">actions </w:t>
      </w:r>
      <w:r w:rsidR="005F771A" w:rsidRPr="005F771A">
        <w:rPr>
          <w:lang w:val="fr-FR"/>
        </w:rPr>
        <w:t>attribuables aux</w:t>
      </w:r>
      <w:r w:rsidR="0016209E" w:rsidRPr="005F771A">
        <w:rPr>
          <w:lang w:val="fr-FR"/>
        </w:rPr>
        <w:t xml:space="preserve"> Nations Unies</w:t>
      </w:r>
      <w:r w:rsidR="009522B3" w:rsidRPr="005F771A">
        <w:rPr>
          <w:lang w:val="fr-FR"/>
        </w:rPr>
        <w:t xml:space="preserve"> peuvent sortir du champ d’application des instruments relatifs aux droits de l’</w:t>
      </w:r>
      <w:r w:rsidR="002061C9" w:rsidRPr="005F771A">
        <w:rPr>
          <w:lang w:val="fr-FR"/>
        </w:rPr>
        <w:t>homme par ailleurs applicables (</w:t>
      </w:r>
      <w:r w:rsidR="005F771A" w:rsidRPr="005F771A">
        <w:rPr>
          <w:lang w:val="fr-FR"/>
        </w:rPr>
        <w:t xml:space="preserve">c’est ce qu’a considéré la </w:t>
      </w:r>
      <w:r w:rsidR="007A4C1B" w:rsidRPr="005F771A">
        <w:rPr>
          <w:lang w:val="fr-FR"/>
        </w:rPr>
        <w:t>Cour européenne des droits de l’homme</w:t>
      </w:r>
      <w:r w:rsidR="000B562B" w:rsidRPr="005F771A">
        <w:rPr>
          <w:lang w:val="fr-FR"/>
        </w:rPr>
        <w:t xml:space="preserve"> </w:t>
      </w:r>
      <w:r w:rsidR="005F771A" w:rsidRPr="005F771A">
        <w:rPr>
          <w:lang w:val="fr-FR"/>
        </w:rPr>
        <w:t>dans</w:t>
      </w:r>
      <w:r w:rsidR="00AE3540" w:rsidRPr="005F771A">
        <w:rPr>
          <w:lang w:val="fr-FR"/>
        </w:rPr>
        <w:t xml:space="preserve"> les affaires</w:t>
      </w:r>
      <w:r w:rsidR="000B562B" w:rsidRPr="005F771A">
        <w:rPr>
          <w:lang w:val="fr-FR"/>
        </w:rPr>
        <w:t xml:space="preserve"> </w:t>
      </w:r>
      <w:r w:rsidR="000B562B" w:rsidRPr="00DC5441">
        <w:rPr>
          <w:i/>
          <w:iCs/>
          <w:lang w:val="fr-FR"/>
        </w:rPr>
        <w:t>Behrami</w:t>
      </w:r>
      <w:r w:rsidR="000B562B" w:rsidRPr="005F771A">
        <w:rPr>
          <w:lang w:val="fr-FR"/>
        </w:rPr>
        <w:t xml:space="preserve"> </w:t>
      </w:r>
      <w:r w:rsidR="00E76A1F" w:rsidRPr="005F771A">
        <w:rPr>
          <w:lang w:val="fr-FR"/>
        </w:rPr>
        <w:t xml:space="preserve">c. </w:t>
      </w:r>
      <w:r w:rsidR="00E76A1F" w:rsidRPr="00DC5441">
        <w:rPr>
          <w:i/>
          <w:iCs/>
          <w:lang w:val="fr-FR"/>
        </w:rPr>
        <w:t>la</w:t>
      </w:r>
      <w:r w:rsidR="000B562B" w:rsidRPr="00DC5441">
        <w:rPr>
          <w:i/>
          <w:iCs/>
          <w:lang w:val="fr-FR"/>
        </w:rPr>
        <w:t xml:space="preserve"> France</w:t>
      </w:r>
      <w:r w:rsidR="000B562B" w:rsidRPr="005F771A">
        <w:rPr>
          <w:lang w:val="fr-FR"/>
        </w:rPr>
        <w:t xml:space="preserve"> (</w:t>
      </w:r>
      <w:r w:rsidR="00E76A1F" w:rsidRPr="005F771A">
        <w:rPr>
          <w:lang w:val="fr-FR"/>
        </w:rPr>
        <w:t>requête n°</w:t>
      </w:r>
      <w:r w:rsidR="000B562B" w:rsidRPr="005F771A">
        <w:rPr>
          <w:lang w:val="fr-FR"/>
        </w:rPr>
        <w:t xml:space="preserve"> 71412/01) </w:t>
      </w:r>
      <w:r w:rsidR="00AE3540" w:rsidRPr="005F771A">
        <w:rPr>
          <w:lang w:val="fr-FR"/>
        </w:rPr>
        <w:t>et</w:t>
      </w:r>
      <w:r w:rsidR="000B562B" w:rsidRPr="005F771A">
        <w:rPr>
          <w:lang w:val="fr-FR"/>
        </w:rPr>
        <w:t xml:space="preserve"> </w:t>
      </w:r>
      <w:r w:rsidR="000B562B" w:rsidRPr="00DC5441">
        <w:rPr>
          <w:i/>
          <w:iCs/>
          <w:lang w:val="fr-FR"/>
        </w:rPr>
        <w:t>Saramati</w:t>
      </w:r>
      <w:r w:rsidR="000B562B" w:rsidRPr="005F771A">
        <w:rPr>
          <w:lang w:val="fr-FR"/>
        </w:rPr>
        <w:t xml:space="preserve"> </w:t>
      </w:r>
      <w:r w:rsidR="00AE3540" w:rsidRPr="005F771A">
        <w:rPr>
          <w:lang w:val="fr-FR"/>
        </w:rPr>
        <w:t xml:space="preserve">c. </w:t>
      </w:r>
      <w:r w:rsidR="00AE3540" w:rsidRPr="00DC5441">
        <w:rPr>
          <w:i/>
          <w:iCs/>
          <w:lang w:val="fr-FR"/>
        </w:rPr>
        <w:t>la</w:t>
      </w:r>
      <w:r w:rsidR="000B562B" w:rsidRPr="00DC5441">
        <w:rPr>
          <w:i/>
          <w:iCs/>
          <w:lang w:val="fr-FR"/>
        </w:rPr>
        <w:t xml:space="preserve"> </w:t>
      </w:r>
      <w:r w:rsidR="00AE3540" w:rsidRPr="00DC5441">
        <w:rPr>
          <w:i/>
          <w:iCs/>
          <w:lang w:val="fr-FR"/>
        </w:rPr>
        <w:t>France, l’Allemagne et la Norvège</w:t>
      </w:r>
      <w:r w:rsidR="000B562B" w:rsidRPr="005F771A">
        <w:rPr>
          <w:lang w:val="fr-FR"/>
        </w:rPr>
        <w:t xml:space="preserve"> (</w:t>
      </w:r>
      <w:r w:rsidR="00AE3540" w:rsidRPr="005F771A">
        <w:rPr>
          <w:lang w:val="fr-FR"/>
        </w:rPr>
        <w:t>requête n°</w:t>
      </w:r>
      <w:r w:rsidR="005F771A">
        <w:rPr>
          <w:lang w:val="fr-FR"/>
        </w:rPr>
        <w:t> </w:t>
      </w:r>
      <w:r w:rsidR="000B562B" w:rsidRPr="005F771A">
        <w:rPr>
          <w:lang w:val="fr-FR"/>
        </w:rPr>
        <w:t xml:space="preserve">78166/01) </w:t>
      </w:r>
      <w:r w:rsidR="005B5771" w:rsidRPr="005B5771">
        <w:rPr>
          <w:lang w:val="fr-FR"/>
        </w:rPr>
        <w:t>s’agissant</w:t>
      </w:r>
      <w:r w:rsidR="005F771A" w:rsidRPr="005B5771">
        <w:rPr>
          <w:lang w:val="fr-FR"/>
        </w:rPr>
        <w:t xml:space="preserve"> de l’applicabilité</w:t>
      </w:r>
      <w:r w:rsidR="005F771A" w:rsidRPr="005F771A">
        <w:rPr>
          <w:lang w:val="fr-FR"/>
        </w:rPr>
        <w:t xml:space="preserve"> de la </w:t>
      </w:r>
      <w:r w:rsidR="0016209E" w:rsidRPr="005F771A">
        <w:rPr>
          <w:szCs w:val="22"/>
          <w:lang w:val="fr-FR"/>
        </w:rPr>
        <w:t>Convention européenne des droits de l’homme</w:t>
      </w:r>
      <w:r w:rsidR="002061C9" w:rsidRPr="005F771A">
        <w:rPr>
          <w:szCs w:val="22"/>
          <w:lang w:val="fr-FR"/>
        </w:rPr>
        <w:t>)</w:t>
      </w:r>
      <w:r w:rsidR="000B562B" w:rsidRPr="005F771A">
        <w:rPr>
          <w:lang w:val="fr-FR"/>
        </w:rPr>
        <w:t>.</w:t>
      </w:r>
    </w:p>
    <w:p w:rsidR="000B562B" w:rsidRPr="00A176EA" w:rsidRDefault="004B29AE" w:rsidP="004B29AE">
      <w:pPr>
        <w:pStyle w:val="SingleTxtG"/>
        <w:ind w:firstLine="567"/>
        <w:rPr>
          <w:b/>
          <w:lang w:val="fr-FR"/>
        </w:rPr>
      </w:pPr>
      <w:r w:rsidRPr="005F771A">
        <w:rPr>
          <w:b/>
          <w:lang w:val="fr-FR"/>
        </w:rPr>
        <w:t>c)</w:t>
      </w:r>
      <w:r w:rsidRPr="005F771A">
        <w:rPr>
          <w:b/>
          <w:lang w:val="fr-FR"/>
        </w:rPr>
        <w:tab/>
      </w:r>
      <w:r w:rsidR="002D62E5">
        <w:rPr>
          <w:b/>
          <w:lang w:val="fr-FR"/>
        </w:rPr>
        <w:t>A</w:t>
      </w:r>
      <w:r w:rsidR="00230A9B" w:rsidRPr="005F771A">
        <w:rPr>
          <w:b/>
          <w:lang w:val="fr-FR"/>
        </w:rPr>
        <w:t>rguments factuels et juridiques incomplets présentés au Comité pour justifier les dérogations aux obligations internationales relatives aux droits de l’homme qui incombent à l’État partie et les pouvoirs exceptionnels énoncés dans la quatrième partie de la loi de 2001 sur la lutte contre le terrorisme, la criminalité et la sécurité</w:t>
      </w:r>
      <w:r w:rsidR="00FC2B97">
        <w:rPr>
          <w:b/>
          <w:lang w:val="fr-FR"/>
        </w:rPr>
        <w:t>;</w:t>
      </w:r>
      <w:r w:rsidR="00230A9B" w:rsidRPr="005F771A">
        <w:rPr>
          <w:b/>
          <w:lang w:val="fr-FR"/>
        </w:rPr>
        <w:t xml:space="preserve"> de même, s’agissant de l’Irlande du Nord, l’absence de renseignements précis sur la nécessité du maintien des dispositions d’urgence concernant cette juridiction qui figurent dans la loi de 2000 sur le terrorisme</w:t>
      </w:r>
      <w:r w:rsidR="000B562B" w:rsidRPr="005F771A">
        <w:rPr>
          <w:b/>
          <w:lang w:val="fr-FR"/>
        </w:rPr>
        <w:t>.</w:t>
      </w:r>
    </w:p>
    <w:p w:rsidR="000B562B" w:rsidRPr="00A176EA" w:rsidRDefault="002549A9" w:rsidP="006213F7">
      <w:pPr>
        <w:pStyle w:val="SingleTxtG"/>
        <w:rPr>
          <w:lang w:val="fr-FR"/>
        </w:rPr>
      </w:pPr>
      <w:r w:rsidRPr="00A176EA">
        <w:rPr>
          <w:lang w:val="fr-FR"/>
        </w:rPr>
        <w:t>30.</w:t>
      </w:r>
      <w:r w:rsidRPr="00A176EA">
        <w:rPr>
          <w:lang w:val="fr-FR"/>
        </w:rPr>
        <w:tab/>
      </w:r>
      <w:r w:rsidR="006213F7" w:rsidRPr="005B5771">
        <w:rPr>
          <w:lang w:val="fr-FR"/>
        </w:rPr>
        <w:t xml:space="preserve">Le terrorisme </w:t>
      </w:r>
      <w:r w:rsidR="005B5771" w:rsidRPr="005B5771">
        <w:rPr>
          <w:lang w:val="fr-FR"/>
        </w:rPr>
        <w:t>pose des problèmes</w:t>
      </w:r>
      <w:r w:rsidR="006213F7" w:rsidRPr="005B5771">
        <w:rPr>
          <w:lang w:val="fr-FR"/>
        </w:rPr>
        <w:t xml:space="preserve"> particulier</w:t>
      </w:r>
      <w:r w:rsidR="005B5771" w:rsidRPr="005B5771">
        <w:rPr>
          <w:lang w:val="fr-FR"/>
        </w:rPr>
        <w:t>s</w:t>
      </w:r>
      <w:r w:rsidR="006213F7" w:rsidRPr="005B5771">
        <w:rPr>
          <w:lang w:val="fr-FR"/>
        </w:rPr>
        <w:t xml:space="preserve"> </w:t>
      </w:r>
      <w:r w:rsidR="005B5771" w:rsidRPr="005B5771">
        <w:rPr>
          <w:lang w:val="fr-FR"/>
        </w:rPr>
        <w:t>à</w:t>
      </w:r>
      <w:r w:rsidR="006213F7" w:rsidRPr="005B5771">
        <w:rPr>
          <w:lang w:val="fr-FR"/>
        </w:rPr>
        <w:t xml:space="preserve"> la police, </w:t>
      </w:r>
      <w:r w:rsidR="005B5771" w:rsidRPr="005B5771">
        <w:rPr>
          <w:lang w:val="fr-FR"/>
        </w:rPr>
        <w:t>aux</w:t>
      </w:r>
      <w:r w:rsidR="006213F7" w:rsidRPr="005B5771">
        <w:rPr>
          <w:lang w:val="fr-FR"/>
        </w:rPr>
        <w:t xml:space="preserve"> services de renseignement et </w:t>
      </w:r>
      <w:r w:rsidR="005B5771" w:rsidRPr="005B5771">
        <w:rPr>
          <w:lang w:val="fr-FR"/>
        </w:rPr>
        <w:t>au</w:t>
      </w:r>
      <w:r w:rsidR="006213F7" w:rsidRPr="005B5771">
        <w:rPr>
          <w:lang w:val="fr-FR"/>
        </w:rPr>
        <w:t xml:space="preserve"> système de justice pénale.</w:t>
      </w:r>
      <w:r w:rsidR="006213F7">
        <w:rPr>
          <w:lang w:val="fr-FR"/>
        </w:rPr>
        <w:t xml:space="preserve"> Des modifications ont été apportées à la législation pénale, mais un certain nombre d’individus </w:t>
      </w:r>
      <w:r w:rsidR="0025581D">
        <w:rPr>
          <w:lang w:val="fr-FR"/>
        </w:rPr>
        <w:t>échappent aux poursuites</w:t>
      </w:r>
      <w:r w:rsidR="006213F7">
        <w:rPr>
          <w:lang w:val="fr-FR"/>
        </w:rPr>
        <w:t xml:space="preserve">, notamment en raison de la nécessité d’agir rapidement, d’utiliser les services de renseignement plutôt que les preuves matérielles et de protéger les techniques d’intervention et les </w:t>
      </w:r>
      <w:r w:rsidR="000B562B" w:rsidRPr="00A176EA">
        <w:rPr>
          <w:lang w:val="fr-FR"/>
        </w:rPr>
        <w:t>sources.</w:t>
      </w:r>
    </w:p>
    <w:p w:rsidR="000B562B" w:rsidRPr="00A176EA" w:rsidRDefault="002549A9" w:rsidP="006134D9">
      <w:pPr>
        <w:pStyle w:val="SingleTxtG"/>
        <w:rPr>
          <w:lang w:val="fr-FR"/>
        </w:rPr>
      </w:pPr>
      <w:r w:rsidRPr="00A176EA">
        <w:rPr>
          <w:lang w:val="fr-FR"/>
        </w:rPr>
        <w:t>31.</w:t>
      </w:r>
      <w:r w:rsidRPr="00A176EA">
        <w:rPr>
          <w:lang w:val="fr-FR"/>
        </w:rPr>
        <w:tab/>
      </w:r>
      <w:r w:rsidR="005B5771">
        <w:rPr>
          <w:lang w:val="fr-FR"/>
        </w:rPr>
        <w:t>Or</w:t>
      </w:r>
      <w:r w:rsidR="006213F7">
        <w:rPr>
          <w:lang w:val="fr-FR"/>
        </w:rPr>
        <w:t xml:space="preserve">, </w:t>
      </w:r>
      <w:r w:rsidR="0025581D">
        <w:rPr>
          <w:lang w:val="fr-FR"/>
        </w:rPr>
        <w:t xml:space="preserve">il </w:t>
      </w:r>
      <w:r w:rsidR="005B5771">
        <w:rPr>
          <w:lang w:val="fr-FR"/>
        </w:rPr>
        <w:t>y a bien des</w:t>
      </w:r>
      <w:r w:rsidR="0025581D">
        <w:rPr>
          <w:lang w:val="fr-FR"/>
        </w:rPr>
        <w:t xml:space="preserve"> individus dont tout porte à croire qu’ils participent à différentes activités liées au terrorisme. </w:t>
      </w:r>
      <w:r w:rsidR="00E84D91">
        <w:rPr>
          <w:lang w:val="fr-FR"/>
        </w:rPr>
        <w:t xml:space="preserve">Une série de mesures </w:t>
      </w:r>
      <w:r w:rsidR="005B5771" w:rsidRPr="005B5771">
        <w:rPr>
          <w:lang w:val="fr-FR"/>
        </w:rPr>
        <w:t xml:space="preserve">civiles </w:t>
      </w:r>
      <w:r w:rsidR="00E84D91" w:rsidRPr="005B5771">
        <w:rPr>
          <w:lang w:val="fr-FR"/>
        </w:rPr>
        <w:t>(</w:t>
      </w:r>
      <w:r w:rsidR="005B5771" w:rsidRPr="005B5771">
        <w:rPr>
          <w:lang w:val="fr-FR"/>
        </w:rPr>
        <w:t>sans poursuites</w:t>
      </w:r>
      <w:r w:rsidR="00E84D91" w:rsidRPr="005B5771">
        <w:rPr>
          <w:lang w:val="fr-FR"/>
        </w:rPr>
        <w:t>)</w:t>
      </w:r>
      <w:r w:rsidR="00E84D91">
        <w:rPr>
          <w:lang w:val="fr-FR"/>
        </w:rPr>
        <w:t xml:space="preserve"> </w:t>
      </w:r>
      <w:r w:rsidR="005B5771">
        <w:rPr>
          <w:lang w:val="fr-FR"/>
        </w:rPr>
        <w:t>ont</w:t>
      </w:r>
      <w:r w:rsidR="00E84D91">
        <w:rPr>
          <w:lang w:val="fr-FR"/>
        </w:rPr>
        <w:t xml:space="preserve"> été </w:t>
      </w:r>
      <w:r w:rsidR="00F43CEE">
        <w:rPr>
          <w:lang w:val="fr-FR"/>
        </w:rPr>
        <w:t>prises</w:t>
      </w:r>
      <w:r w:rsidR="00E84D91">
        <w:rPr>
          <w:lang w:val="fr-FR"/>
        </w:rPr>
        <w:t xml:space="preserve"> pour gérer le risque que pose</w:t>
      </w:r>
      <w:r w:rsidR="005115E6">
        <w:rPr>
          <w:lang w:val="fr-FR"/>
        </w:rPr>
        <w:t>nt</w:t>
      </w:r>
      <w:r w:rsidR="00E84D91">
        <w:rPr>
          <w:lang w:val="fr-FR"/>
        </w:rPr>
        <w:t>, pour le public, les individus soupçonnés d</w:t>
      </w:r>
      <w:r w:rsidR="007E0692">
        <w:rPr>
          <w:lang w:val="fr-FR"/>
        </w:rPr>
        <w:t>’activités</w:t>
      </w:r>
      <w:r w:rsidR="00E84D91">
        <w:rPr>
          <w:lang w:val="fr-FR"/>
        </w:rPr>
        <w:t xml:space="preserve"> terroris</w:t>
      </w:r>
      <w:r w:rsidR="007E0692">
        <w:rPr>
          <w:lang w:val="fr-FR"/>
        </w:rPr>
        <w:t>tes</w:t>
      </w:r>
      <w:r w:rsidR="00E84D91">
        <w:rPr>
          <w:lang w:val="fr-FR"/>
        </w:rPr>
        <w:t xml:space="preserve"> mais ne pouvant être poursuivis</w:t>
      </w:r>
      <w:r w:rsidR="00FC2B97">
        <w:rPr>
          <w:lang w:val="fr-FR"/>
        </w:rPr>
        <w:t>:</w:t>
      </w:r>
      <w:r w:rsidR="00E84D91">
        <w:rPr>
          <w:lang w:val="fr-FR"/>
        </w:rPr>
        <w:t xml:space="preserve"> les ordonnances de contrôle, le gel des avoirs et, s’agissant de terroristes étrangers, l’expulsion ou </w:t>
      </w:r>
      <w:r w:rsidR="005115E6">
        <w:rPr>
          <w:lang w:val="fr-FR"/>
        </w:rPr>
        <w:t xml:space="preserve">le refoulement </w:t>
      </w:r>
      <w:r w:rsidR="006134D9">
        <w:rPr>
          <w:lang w:val="fr-FR"/>
        </w:rPr>
        <w:t xml:space="preserve">pour des raisons de sécurité nationale. Le choix de l’action et, plus précisément, la façon dont une action individuelle peut être </w:t>
      </w:r>
      <w:r w:rsidR="00F43CEE">
        <w:rPr>
          <w:lang w:val="fr-FR"/>
        </w:rPr>
        <w:t>menée</w:t>
      </w:r>
      <w:r w:rsidR="006134D9">
        <w:rPr>
          <w:lang w:val="fr-FR"/>
        </w:rPr>
        <w:t xml:space="preserve">, dépend de facteurs spécifiques à chaque cas de figure et </w:t>
      </w:r>
      <w:r w:rsidR="00F43CEE">
        <w:rPr>
          <w:lang w:val="fr-FR"/>
        </w:rPr>
        <w:t>est</w:t>
      </w:r>
      <w:r w:rsidR="006134D9">
        <w:rPr>
          <w:lang w:val="fr-FR"/>
        </w:rPr>
        <w:t xml:space="preserve"> adapté au risque encouru</w:t>
      </w:r>
      <w:r w:rsidR="000B562B" w:rsidRPr="00A176EA">
        <w:rPr>
          <w:lang w:val="fr-FR"/>
        </w:rPr>
        <w:t>.</w:t>
      </w:r>
    </w:p>
    <w:p w:rsidR="000B562B" w:rsidRPr="00A176EA" w:rsidRDefault="002549A9" w:rsidP="00524036">
      <w:pPr>
        <w:pStyle w:val="SingleTxtG"/>
        <w:rPr>
          <w:szCs w:val="22"/>
          <w:lang w:val="fr-FR"/>
        </w:rPr>
      </w:pPr>
      <w:r w:rsidRPr="00A176EA">
        <w:rPr>
          <w:szCs w:val="22"/>
          <w:lang w:val="fr-FR"/>
        </w:rPr>
        <w:t>32.</w:t>
      </w:r>
      <w:r w:rsidRPr="00A176EA">
        <w:rPr>
          <w:szCs w:val="22"/>
          <w:lang w:val="fr-FR"/>
        </w:rPr>
        <w:tab/>
      </w:r>
      <w:r w:rsidR="006134D9" w:rsidRPr="00AC1DB2">
        <w:rPr>
          <w:szCs w:val="22"/>
          <w:lang w:val="fr-FR"/>
        </w:rPr>
        <w:t xml:space="preserve">C’est dans ce contexte que le Royaume-Uni </w:t>
      </w:r>
      <w:r w:rsidR="00AC1DB2">
        <w:rPr>
          <w:szCs w:val="22"/>
          <w:lang w:val="fr-FR"/>
        </w:rPr>
        <w:t>a</w:t>
      </w:r>
      <w:r w:rsidR="00AC1DB2" w:rsidRPr="00AC1DB2">
        <w:rPr>
          <w:szCs w:val="22"/>
          <w:lang w:val="fr-FR"/>
        </w:rPr>
        <w:t xml:space="preserve"> dérogé à </w:t>
      </w:r>
      <w:r w:rsidR="008A2BF0" w:rsidRPr="00AC1DB2">
        <w:rPr>
          <w:szCs w:val="22"/>
          <w:lang w:val="fr-FR"/>
        </w:rPr>
        <w:t>l’a</w:t>
      </w:r>
      <w:r w:rsidR="000B562B" w:rsidRPr="00AC1DB2">
        <w:rPr>
          <w:szCs w:val="22"/>
          <w:lang w:val="fr-FR"/>
        </w:rPr>
        <w:t>rticle 5 (</w:t>
      </w:r>
      <w:r w:rsidR="003930E7">
        <w:rPr>
          <w:szCs w:val="22"/>
          <w:lang w:val="fr-FR"/>
        </w:rPr>
        <w:t>D</w:t>
      </w:r>
      <w:r w:rsidR="008A2BF0" w:rsidRPr="00AC1DB2">
        <w:rPr>
          <w:szCs w:val="22"/>
          <w:lang w:val="fr-FR"/>
        </w:rPr>
        <w:t>roit à la liberté</w:t>
      </w:r>
      <w:r w:rsidR="000B562B" w:rsidRPr="00AC1DB2">
        <w:rPr>
          <w:szCs w:val="22"/>
          <w:lang w:val="fr-FR"/>
        </w:rPr>
        <w:t xml:space="preserve">) </w:t>
      </w:r>
      <w:r w:rsidR="008A2BF0" w:rsidRPr="00AC1DB2">
        <w:rPr>
          <w:szCs w:val="22"/>
          <w:lang w:val="fr-FR"/>
        </w:rPr>
        <w:t>de la</w:t>
      </w:r>
      <w:r w:rsidR="000B562B" w:rsidRPr="00AC1DB2">
        <w:rPr>
          <w:szCs w:val="22"/>
          <w:lang w:val="fr-FR"/>
        </w:rPr>
        <w:t xml:space="preserve"> </w:t>
      </w:r>
      <w:r w:rsidR="00B669A3" w:rsidRPr="00AC1DB2">
        <w:rPr>
          <w:szCs w:val="22"/>
          <w:lang w:val="fr-FR"/>
        </w:rPr>
        <w:t>Convention européenne des droits de l’homme</w:t>
      </w:r>
      <w:r w:rsidR="00B669A3" w:rsidRPr="00A176EA">
        <w:rPr>
          <w:szCs w:val="22"/>
          <w:lang w:val="fr-FR"/>
        </w:rPr>
        <w:t xml:space="preserve"> </w:t>
      </w:r>
      <w:r w:rsidR="00AC1DB2">
        <w:rPr>
          <w:szCs w:val="22"/>
          <w:lang w:val="fr-FR"/>
        </w:rPr>
        <w:t xml:space="preserve">et </w:t>
      </w:r>
      <w:r w:rsidR="00383801">
        <w:rPr>
          <w:szCs w:val="22"/>
          <w:lang w:val="fr-FR"/>
        </w:rPr>
        <w:t>renforcé</w:t>
      </w:r>
      <w:r w:rsidR="00AC1DB2">
        <w:rPr>
          <w:szCs w:val="22"/>
          <w:lang w:val="fr-FR"/>
        </w:rPr>
        <w:t xml:space="preserve"> les dispositions de la partie 4 de la loi de 2001 sur l’antiterrorisme, </w:t>
      </w:r>
      <w:r w:rsidR="007E0692">
        <w:rPr>
          <w:szCs w:val="22"/>
          <w:lang w:val="fr-FR"/>
        </w:rPr>
        <w:t xml:space="preserve">la criminalité et la sécurité. </w:t>
      </w:r>
      <w:r w:rsidR="006D26F0">
        <w:rPr>
          <w:szCs w:val="22"/>
          <w:lang w:val="fr-FR"/>
        </w:rPr>
        <w:t xml:space="preserve">Les pouvoirs prévus dans cette partie 4 autorisent la </w:t>
      </w:r>
      <w:r w:rsidR="003930E7">
        <w:rPr>
          <w:szCs w:val="22"/>
          <w:lang w:val="fr-FR"/>
        </w:rPr>
        <w:t>r</w:t>
      </w:r>
      <w:r w:rsidR="006D26F0">
        <w:rPr>
          <w:szCs w:val="22"/>
          <w:lang w:val="fr-FR"/>
        </w:rPr>
        <w:t xml:space="preserve">étention de ressortissants étrangers en attendant leur expulsion, même si leur renvoi n’est pas encore possible, sous réserve que le </w:t>
      </w:r>
      <w:r w:rsidR="001C18EF">
        <w:rPr>
          <w:szCs w:val="22"/>
          <w:lang w:val="fr-FR"/>
        </w:rPr>
        <w:t>Ministre</w:t>
      </w:r>
      <w:r w:rsidR="00FA3C15">
        <w:rPr>
          <w:szCs w:val="22"/>
          <w:lang w:val="fr-FR"/>
        </w:rPr>
        <w:t xml:space="preserve"> considère que la présence au Royaume-Uni de l’individu concerné constitue un risque pour la sécurité nationale et qu’il soupçonne cet individu d’être un terroriste international lié à Al-Qaida. </w:t>
      </w:r>
      <w:r w:rsidR="00FA3C15" w:rsidRPr="00524036">
        <w:rPr>
          <w:szCs w:val="22"/>
          <w:lang w:val="fr-FR"/>
        </w:rPr>
        <w:t xml:space="preserve">La Chambre des lords, plus haute juridiction du Royaume-Uni, a </w:t>
      </w:r>
      <w:r w:rsidR="007B462F" w:rsidRPr="00524036">
        <w:rPr>
          <w:szCs w:val="22"/>
          <w:lang w:val="fr-FR"/>
        </w:rPr>
        <w:t xml:space="preserve">annulé </w:t>
      </w:r>
      <w:r w:rsidR="00524036" w:rsidRPr="00524036">
        <w:rPr>
          <w:szCs w:val="22"/>
          <w:lang w:val="fr-FR"/>
        </w:rPr>
        <w:t xml:space="preserve">l’ordonnance de dérogation prise en vertu de la loi de 1998 sur les droits de l’homme et jugé que la partie 4 </w:t>
      </w:r>
      <w:r w:rsidR="008A2BF0" w:rsidRPr="00524036">
        <w:rPr>
          <w:szCs w:val="22"/>
          <w:lang w:val="fr-FR"/>
        </w:rPr>
        <w:t>était</w:t>
      </w:r>
      <w:r w:rsidR="000B562B" w:rsidRPr="00524036">
        <w:rPr>
          <w:szCs w:val="22"/>
          <w:lang w:val="fr-FR"/>
        </w:rPr>
        <w:t xml:space="preserve"> incompatible </w:t>
      </w:r>
      <w:r w:rsidR="008A2BF0" w:rsidRPr="00524036">
        <w:rPr>
          <w:szCs w:val="22"/>
          <w:lang w:val="fr-FR"/>
        </w:rPr>
        <w:t>avec les a</w:t>
      </w:r>
      <w:r w:rsidR="000B562B" w:rsidRPr="00524036">
        <w:rPr>
          <w:szCs w:val="22"/>
          <w:lang w:val="fr-FR"/>
        </w:rPr>
        <w:t>rticles 5 (</w:t>
      </w:r>
      <w:r w:rsidR="00383801">
        <w:rPr>
          <w:szCs w:val="22"/>
          <w:lang w:val="fr-FR"/>
        </w:rPr>
        <w:t>D</w:t>
      </w:r>
      <w:r w:rsidR="008A2BF0" w:rsidRPr="00524036">
        <w:rPr>
          <w:szCs w:val="22"/>
          <w:lang w:val="fr-FR"/>
        </w:rPr>
        <w:t>roit à la liberté</w:t>
      </w:r>
      <w:r w:rsidR="000B562B" w:rsidRPr="00524036">
        <w:rPr>
          <w:szCs w:val="22"/>
          <w:lang w:val="fr-FR"/>
        </w:rPr>
        <w:t xml:space="preserve">) </w:t>
      </w:r>
      <w:r w:rsidR="008A2BF0" w:rsidRPr="00524036">
        <w:rPr>
          <w:szCs w:val="22"/>
          <w:lang w:val="fr-FR"/>
        </w:rPr>
        <w:t>et</w:t>
      </w:r>
      <w:r w:rsidR="000B562B" w:rsidRPr="00524036">
        <w:rPr>
          <w:szCs w:val="22"/>
          <w:lang w:val="fr-FR"/>
        </w:rPr>
        <w:t xml:space="preserve"> 14 (</w:t>
      </w:r>
      <w:r w:rsidR="00383801">
        <w:rPr>
          <w:szCs w:val="22"/>
          <w:lang w:val="fr-FR"/>
        </w:rPr>
        <w:t>I</w:t>
      </w:r>
      <w:r w:rsidR="008A2BF0" w:rsidRPr="00524036">
        <w:rPr>
          <w:szCs w:val="22"/>
          <w:lang w:val="fr-FR"/>
        </w:rPr>
        <w:t>nterdiction de la</w:t>
      </w:r>
      <w:r w:rsidR="000B562B" w:rsidRPr="00524036">
        <w:rPr>
          <w:szCs w:val="22"/>
          <w:lang w:val="fr-FR"/>
        </w:rPr>
        <w:t xml:space="preserve"> discrimination) </w:t>
      </w:r>
      <w:r w:rsidR="00B669A3" w:rsidRPr="00524036">
        <w:rPr>
          <w:szCs w:val="22"/>
          <w:lang w:val="fr-FR"/>
        </w:rPr>
        <w:t>de la Convention</w:t>
      </w:r>
      <w:r w:rsidR="000B562B" w:rsidRPr="00524036">
        <w:rPr>
          <w:szCs w:val="22"/>
          <w:lang w:val="fr-FR"/>
        </w:rPr>
        <w:t>.</w:t>
      </w:r>
    </w:p>
    <w:p w:rsidR="000B562B" w:rsidRPr="00A176EA" w:rsidRDefault="002549A9" w:rsidP="00B72DED">
      <w:pPr>
        <w:pStyle w:val="SingleTxtG"/>
        <w:rPr>
          <w:szCs w:val="22"/>
          <w:lang w:val="fr-FR"/>
        </w:rPr>
      </w:pPr>
      <w:r w:rsidRPr="00A176EA">
        <w:rPr>
          <w:szCs w:val="22"/>
          <w:lang w:val="fr-FR"/>
        </w:rPr>
        <w:t>33.</w:t>
      </w:r>
      <w:r w:rsidRPr="00A176EA">
        <w:rPr>
          <w:szCs w:val="22"/>
          <w:lang w:val="fr-FR"/>
        </w:rPr>
        <w:tab/>
      </w:r>
      <w:r w:rsidR="00467079">
        <w:rPr>
          <w:szCs w:val="22"/>
          <w:lang w:val="fr-FR"/>
        </w:rPr>
        <w:t xml:space="preserve">Les dispositions de la partie VII de la loi de 2000 sur le terrorisme qui concernent spécifiquement l’Irlande du Nord ont été abrogées le 31 juillet 2007 dans le cadre d’un programme </w:t>
      </w:r>
      <w:r w:rsidR="00B72DED">
        <w:rPr>
          <w:szCs w:val="22"/>
          <w:lang w:val="fr-FR"/>
        </w:rPr>
        <w:t>de normalisation de la situation en matière de sécurité</w:t>
      </w:r>
      <w:r w:rsidR="00383801">
        <w:rPr>
          <w:szCs w:val="22"/>
          <w:lang w:val="fr-FR"/>
        </w:rPr>
        <w:t>,</w:t>
      </w:r>
      <w:r w:rsidR="00B72DED">
        <w:rPr>
          <w:szCs w:val="22"/>
          <w:lang w:val="fr-FR"/>
        </w:rPr>
        <w:t xml:space="preserve"> qui prévoit également l’abrogation d’autres mesures de sécurité. En Irlande du Nord, la législation sur le terrorisme est désormais presque identique à celle du reste du Royaume-Uni</w:t>
      </w:r>
      <w:r w:rsidR="000B562B" w:rsidRPr="00A176EA">
        <w:rPr>
          <w:szCs w:val="22"/>
          <w:lang w:val="fr-FR"/>
        </w:rPr>
        <w:t>.</w:t>
      </w:r>
    </w:p>
    <w:p w:rsidR="000B562B" w:rsidRPr="00A176EA" w:rsidRDefault="002549A9" w:rsidP="001C09B1">
      <w:pPr>
        <w:pStyle w:val="SingleTxtG"/>
        <w:rPr>
          <w:szCs w:val="22"/>
          <w:lang w:val="fr-FR"/>
        </w:rPr>
      </w:pPr>
      <w:r w:rsidRPr="00A176EA">
        <w:rPr>
          <w:szCs w:val="22"/>
          <w:lang w:val="fr-FR"/>
        </w:rPr>
        <w:t>34.</w:t>
      </w:r>
      <w:r w:rsidRPr="00A176EA">
        <w:rPr>
          <w:szCs w:val="22"/>
          <w:lang w:val="fr-FR"/>
        </w:rPr>
        <w:tab/>
      </w:r>
      <w:r w:rsidR="00B72DED">
        <w:rPr>
          <w:szCs w:val="22"/>
          <w:lang w:val="fr-FR"/>
        </w:rPr>
        <w:t xml:space="preserve">Afin de gérer les risques résiduels de pression des </w:t>
      </w:r>
      <w:r w:rsidR="00F33F26">
        <w:rPr>
          <w:szCs w:val="22"/>
          <w:lang w:val="fr-FR"/>
        </w:rPr>
        <w:t>groupes</w:t>
      </w:r>
      <w:r w:rsidR="00B72DED">
        <w:rPr>
          <w:szCs w:val="22"/>
          <w:lang w:val="fr-FR"/>
        </w:rPr>
        <w:t xml:space="preserve"> paramilitaires et de la communauté sur les jurés, une </w:t>
      </w:r>
      <w:r w:rsidR="00B72DED" w:rsidRPr="005C1DFE">
        <w:rPr>
          <w:szCs w:val="22"/>
          <w:lang w:val="fr-FR"/>
        </w:rPr>
        <w:t xml:space="preserve">forme </w:t>
      </w:r>
      <w:r w:rsidR="005C1DFE">
        <w:rPr>
          <w:szCs w:val="22"/>
          <w:lang w:val="fr-FR"/>
        </w:rPr>
        <w:t>restreinte</w:t>
      </w:r>
      <w:r w:rsidR="00B72DED">
        <w:rPr>
          <w:szCs w:val="22"/>
          <w:lang w:val="fr-FR"/>
        </w:rPr>
        <w:t xml:space="preserve"> de procès sans jury a été </w:t>
      </w:r>
      <w:r w:rsidR="007E1E87">
        <w:rPr>
          <w:szCs w:val="22"/>
          <w:lang w:val="fr-FR"/>
        </w:rPr>
        <w:t>conservée</w:t>
      </w:r>
      <w:r w:rsidR="00B72DED">
        <w:rPr>
          <w:szCs w:val="22"/>
          <w:lang w:val="fr-FR"/>
        </w:rPr>
        <w:t xml:space="preserve">. </w:t>
      </w:r>
      <w:r w:rsidR="00C53D31">
        <w:rPr>
          <w:szCs w:val="22"/>
          <w:lang w:val="fr-FR"/>
        </w:rPr>
        <w:t xml:space="preserve">La loi de 2007 sur la justice et la sécurité (Irlande du Nord) dispose que le Directeur </w:t>
      </w:r>
      <w:r w:rsidR="00FB00ED">
        <w:rPr>
          <w:szCs w:val="22"/>
          <w:lang w:val="fr-FR"/>
        </w:rPr>
        <w:t>du Parquet</w:t>
      </w:r>
      <w:r w:rsidR="00C53D31">
        <w:rPr>
          <w:szCs w:val="22"/>
          <w:lang w:val="fr-FR"/>
        </w:rPr>
        <w:t xml:space="preserve"> pour l’Irlande du Nord peut délivrer un certificat </w:t>
      </w:r>
      <w:r w:rsidR="00F33F26">
        <w:rPr>
          <w:szCs w:val="22"/>
          <w:lang w:val="fr-FR"/>
        </w:rPr>
        <w:t>justifiant un</w:t>
      </w:r>
      <w:r w:rsidR="00C53D31">
        <w:rPr>
          <w:szCs w:val="22"/>
          <w:lang w:val="fr-FR"/>
        </w:rPr>
        <w:t xml:space="preserve"> procès sans jury</w:t>
      </w:r>
      <w:r w:rsidR="00B56525">
        <w:rPr>
          <w:szCs w:val="22"/>
          <w:lang w:val="fr-FR"/>
        </w:rPr>
        <w:t xml:space="preserve"> s’il estime que les conditions prévues par la loi sont remplies. Aujourd’hui, la tendance est au procès </w:t>
      </w:r>
      <w:r w:rsidR="001C09B1">
        <w:rPr>
          <w:szCs w:val="22"/>
          <w:lang w:val="fr-FR"/>
        </w:rPr>
        <w:t>devant</w:t>
      </w:r>
      <w:r w:rsidR="00B56525">
        <w:rPr>
          <w:szCs w:val="22"/>
          <w:lang w:val="fr-FR"/>
        </w:rPr>
        <w:t xml:space="preserve"> jury dans tous les cas, le certificat </w:t>
      </w:r>
      <w:r w:rsidR="00F33F26">
        <w:rPr>
          <w:szCs w:val="22"/>
          <w:lang w:val="fr-FR"/>
        </w:rPr>
        <w:t>justifiant un</w:t>
      </w:r>
      <w:r w:rsidR="00B56525">
        <w:rPr>
          <w:szCs w:val="22"/>
          <w:lang w:val="fr-FR"/>
        </w:rPr>
        <w:t xml:space="preserve"> procès sans jury ne pouvant être délivré que s’il y a lieu de penser que l’administration de la justice pourrait pâtir </w:t>
      </w:r>
      <w:r w:rsidR="001C09B1">
        <w:rPr>
          <w:szCs w:val="22"/>
          <w:lang w:val="fr-FR"/>
        </w:rPr>
        <w:t>d’un procès avec jury. La loi prévoit par ailleurs un certain nombre de mesures visant à renforcer la sécurité des jurés, dont l’anonymat absolu, ce qui réduit la nécessité de recourir au procès sans jury</w:t>
      </w:r>
      <w:r w:rsidR="000B562B" w:rsidRPr="00A176EA">
        <w:rPr>
          <w:szCs w:val="22"/>
          <w:lang w:val="fr-FR"/>
        </w:rPr>
        <w:t>.</w:t>
      </w:r>
    </w:p>
    <w:p w:rsidR="000B562B" w:rsidRPr="00A176EA" w:rsidRDefault="002549A9" w:rsidP="0084391D">
      <w:pPr>
        <w:pStyle w:val="SingleTxtG"/>
        <w:rPr>
          <w:lang w:val="fr-FR"/>
        </w:rPr>
      </w:pPr>
      <w:r w:rsidRPr="00A176EA">
        <w:rPr>
          <w:lang w:val="fr-FR"/>
        </w:rPr>
        <w:t>35.</w:t>
      </w:r>
      <w:r w:rsidRPr="00A176EA">
        <w:rPr>
          <w:lang w:val="fr-FR"/>
        </w:rPr>
        <w:tab/>
      </w:r>
      <w:r w:rsidR="001C09B1">
        <w:rPr>
          <w:lang w:val="fr-FR"/>
        </w:rPr>
        <w:t xml:space="preserve">Ces motifs ont été exposés à la Commission mixte des droits de l’homme du Parlement en janvier 2007. </w:t>
      </w:r>
      <w:r w:rsidR="00F33F26">
        <w:rPr>
          <w:lang w:val="fr-FR"/>
        </w:rPr>
        <w:t xml:space="preserve">Selon les services de renseignement, 11 cas de subornation de jury avaient été signalés depuis 1999. Sept s’étaient produits entre 2004 et 2006 et sept des personnes impliquées avaient des liens avec des groupes paramilitaires. </w:t>
      </w:r>
      <w:r w:rsidR="0084391D">
        <w:rPr>
          <w:lang w:val="fr-FR"/>
        </w:rPr>
        <w:t>Un certain nombre d’autres incidents ont été signalés</w:t>
      </w:r>
      <w:r w:rsidR="00FC2B97">
        <w:rPr>
          <w:lang w:val="fr-FR"/>
        </w:rPr>
        <w:t>:</w:t>
      </w:r>
      <w:r w:rsidR="0084391D">
        <w:rPr>
          <w:lang w:val="fr-FR"/>
        </w:rPr>
        <w:t xml:space="preserve"> un cas d’intimidation et une affaire dans laquelle le procès n’a pu aboutir pour cause de subornation de jury. Compte tenu du fait que, à l’époque, le système Diplock garantissait que la majorité des affaires liées à des activités paramilitaires étaient jugées sans jury, il est fort probable que le retour au procès devant jury ne ferait qu’aggraver le problème</w:t>
      </w:r>
      <w:r w:rsidR="000B562B" w:rsidRPr="00A176EA">
        <w:rPr>
          <w:lang w:val="fr-FR"/>
        </w:rPr>
        <w:t>.</w:t>
      </w:r>
    </w:p>
    <w:p w:rsidR="000B562B" w:rsidRPr="00A176EA" w:rsidRDefault="002549A9" w:rsidP="004B29AE">
      <w:pPr>
        <w:pStyle w:val="SingleTxtG"/>
        <w:rPr>
          <w:color w:val="000000"/>
          <w:lang w:val="fr-FR"/>
        </w:rPr>
      </w:pPr>
      <w:r w:rsidRPr="00A176EA">
        <w:rPr>
          <w:color w:val="000000"/>
          <w:lang w:val="fr-FR"/>
        </w:rPr>
        <w:t>36.</w:t>
      </w:r>
      <w:r w:rsidRPr="00A176EA">
        <w:rPr>
          <w:color w:val="000000"/>
          <w:lang w:val="fr-FR"/>
        </w:rPr>
        <w:tab/>
      </w:r>
      <w:r w:rsidR="0084391D">
        <w:rPr>
          <w:color w:val="000000"/>
          <w:lang w:val="fr-FR"/>
        </w:rPr>
        <w:t xml:space="preserve">Le nombre de cas d’intimidation de témoin enregistrés par la police a augmenté ces dernières années. Par exemple, les Services de police d’Irlande du Nord en ont enregistré 174 en 2009-2010, contre 74 en 2004-2005. On ignore si cela tient à une hausse </w:t>
      </w:r>
      <w:r w:rsidR="00EF2278">
        <w:rPr>
          <w:color w:val="000000"/>
          <w:lang w:val="fr-FR"/>
        </w:rPr>
        <w:t xml:space="preserve">de fréquence </w:t>
      </w:r>
      <w:r w:rsidR="0084391D">
        <w:rPr>
          <w:color w:val="000000"/>
          <w:lang w:val="fr-FR"/>
        </w:rPr>
        <w:t xml:space="preserve">de cette infraction, à la propension des victimes et des témoins à </w:t>
      </w:r>
      <w:r w:rsidR="00383801">
        <w:rPr>
          <w:color w:val="000000"/>
          <w:lang w:val="fr-FR"/>
        </w:rPr>
        <w:t>signaler</w:t>
      </w:r>
      <w:r w:rsidR="0084391D">
        <w:rPr>
          <w:color w:val="000000"/>
          <w:lang w:val="fr-FR"/>
        </w:rPr>
        <w:t xml:space="preserve"> </w:t>
      </w:r>
      <w:r w:rsidR="00EF2278">
        <w:rPr>
          <w:color w:val="000000"/>
          <w:lang w:val="fr-FR"/>
        </w:rPr>
        <w:t xml:space="preserve">désormais </w:t>
      </w:r>
      <w:r w:rsidR="00383801">
        <w:rPr>
          <w:color w:val="000000"/>
          <w:lang w:val="fr-FR"/>
        </w:rPr>
        <w:t xml:space="preserve">ces faits à </w:t>
      </w:r>
      <w:r w:rsidR="0084391D">
        <w:rPr>
          <w:color w:val="000000"/>
          <w:lang w:val="fr-FR"/>
        </w:rPr>
        <w:t xml:space="preserve">la police </w:t>
      </w:r>
      <w:r w:rsidR="0047351B">
        <w:rPr>
          <w:color w:val="000000"/>
          <w:lang w:val="fr-FR"/>
        </w:rPr>
        <w:t xml:space="preserve">ou à une association des deux. Selon l’Enquête 2008-2009 sur la criminalité en Irlande du Nord, environ 7 % des incidents </w:t>
      </w:r>
      <w:r w:rsidR="00EF2278">
        <w:rPr>
          <w:color w:val="000000"/>
          <w:lang w:val="fr-FR"/>
        </w:rPr>
        <w:t>impliquaient des faits de harcèlement ou d’intimidation ressentis/vécus par la victime ou les membres de sa famille et émanant le plus souvent de l’auteur de l’infraction. Le chiffre était le même dans l’enquête 2003-2004</w:t>
      </w:r>
      <w:r w:rsidR="000B562B" w:rsidRPr="00A176EA">
        <w:rPr>
          <w:lang w:val="fr-FR"/>
        </w:rPr>
        <w:t>.</w:t>
      </w:r>
    </w:p>
    <w:p w:rsidR="000B562B" w:rsidRPr="00A176EA" w:rsidRDefault="002549A9" w:rsidP="008F7D33">
      <w:pPr>
        <w:pStyle w:val="SingleTxtG"/>
        <w:rPr>
          <w:lang w:val="fr-FR"/>
        </w:rPr>
      </w:pPr>
      <w:r w:rsidRPr="00A176EA">
        <w:rPr>
          <w:lang w:val="fr-FR"/>
        </w:rPr>
        <w:t>37.</w:t>
      </w:r>
      <w:r w:rsidRPr="00A176EA">
        <w:rPr>
          <w:lang w:val="fr-FR"/>
        </w:rPr>
        <w:tab/>
      </w:r>
      <w:r w:rsidR="00EF2278">
        <w:rPr>
          <w:lang w:val="fr-FR"/>
        </w:rPr>
        <w:t xml:space="preserve">L’intimidation demeure donc un problème </w:t>
      </w:r>
      <w:r w:rsidR="00273234">
        <w:rPr>
          <w:lang w:val="fr-FR"/>
        </w:rPr>
        <w:t xml:space="preserve">important en Irlande du Nord malgré l’amélioration récente de la situation en matière de sécurité. Dans certains cas, le risque est grand que le système de justice pénale ne puisse garantir un procès équitable. Dans de nombreuses affaires, de l’argent est proposé aux jurés pour </w:t>
      </w:r>
      <w:r w:rsidR="006C5F40">
        <w:rPr>
          <w:lang w:val="fr-FR"/>
        </w:rPr>
        <w:t>influencer leur</w:t>
      </w:r>
      <w:r w:rsidR="00273234">
        <w:rPr>
          <w:lang w:val="fr-FR"/>
        </w:rPr>
        <w:t xml:space="preserve"> verdict (6 des 11</w:t>
      </w:r>
      <w:r w:rsidR="008F7D33">
        <w:rPr>
          <w:lang w:val="fr-FR"/>
        </w:rPr>
        <w:t> </w:t>
      </w:r>
      <w:r w:rsidR="00273234">
        <w:rPr>
          <w:lang w:val="fr-FR"/>
        </w:rPr>
        <w:t xml:space="preserve">affaires susmentionnées). Le chantage et l’intimidation sont employés lorsque l’incitation financière ne produit pas l’effet désiré. L’intimidation concerne, entre autres, les cas d’agression, de meurtre et de tentative de meurtre (infractions alors jugées par défaut selon le système Diplock, sauf s’il était prouvé que l’affaire </w:t>
      </w:r>
      <w:r w:rsidR="006C5F40">
        <w:rPr>
          <w:lang w:val="fr-FR"/>
        </w:rPr>
        <w:t xml:space="preserve">ne portait pas sur la </w:t>
      </w:r>
      <w:r w:rsidR="0040266F" w:rsidRPr="006C5F40">
        <w:rPr>
          <w:lang w:val="fr-FR"/>
        </w:rPr>
        <w:t>sécurité</w:t>
      </w:r>
      <w:r w:rsidR="000B562B" w:rsidRPr="00A176EA">
        <w:rPr>
          <w:lang w:val="fr-FR"/>
        </w:rPr>
        <w:t>).</w:t>
      </w:r>
    </w:p>
    <w:p w:rsidR="000B562B" w:rsidRPr="00A176EA" w:rsidRDefault="002549A9" w:rsidP="00D4001A">
      <w:pPr>
        <w:pStyle w:val="SingleTxtG"/>
        <w:rPr>
          <w:lang w:val="fr-FR"/>
        </w:rPr>
      </w:pPr>
      <w:r w:rsidRPr="00A176EA">
        <w:rPr>
          <w:lang w:val="fr-FR"/>
        </w:rPr>
        <w:t>38.</w:t>
      </w:r>
      <w:r w:rsidRPr="00A176EA">
        <w:rPr>
          <w:lang w:val="fr-FR"/>
        </w:rPr>
        <w:tab/>
      </w:r>
      <w:r w:rsidR="0040266F">
        <w:rPr>
          <w:lang w:val="fr-FR"/>
        </w:rPr>
        <w:t xml:space="preserve">La société d’Irlande du Nord se distinguant par des liens étroits entre ses membres, tous les individus sont connus au sein de leur communauté. Même s’ils ne connaissent pas personnellement un </w:t>
      </w:r>
      <w:r w:rsidR="008F5658">
        <w:rPr>
          <w:lang w:val="fr-FR"/>
        </w:rPr>
        <w:t>prévenu</w:t>
      </w:r>
      <w:r w:rsidR="0040266F">
        <w:rPr>
          <w:lang w:val="fr-FR"/>
        </w:rPr>
        <w:t xml:space="preserve">, les jurés peuvent </w:t>
      </w:r>
      <w:r w:rsidR="009D1632">
        <w:rPr>
          <w:lang w:val="fr-FR"/>
        </w:rPr>
        <w:t xml:space="preserve">être confrontés </w:t>
      </w:r>
      <w:r w:rsidR="009D1632" w:rsidRPr="009D1632">
        <w:rPr>
          <w:lang w:val="fr-FR"/>
        </w:rPr>
        <w:t>à</w:t>
      </w:r>
      <w:r w:rsidR="0040266F" w:rsidRPr="009D1632">
        <w:rPr>
          <w:lang w:val="fr-FR"/>
        </w:rPr>
        <w:t xml:space="preserve"> un environnement hostile</w:t>
      </w:r>
      <w:r w:rsidR="0040266F">
        <w:rPr>
          <w:lang w:val="fr-FR"/>
        </w:rPr>
        <w:t xml:space="preserve"> et craignent d’être la cible de proches du </w:t>
      </w:r>
      <w:r w:rsidR="008F5658">
        <w:rPr>
          <w:lang w:val="fr-FR"/>
        </w:rPr>
        <w:t>prévenu</w:t>
      </w:r>
      <w:r w:rsidR="0040266F">
        <w:rPr>
          <w:lang w:val="fr-FR"/>
        </w:rPr>
        <w:t xml:space="preserve">. Cette forme moins visible d’intimidation et la peur de l’intimidation </w:t>
      </w:r>
      <w:r w:rsidR="009D1632">
        <w:rPr>
          <w:lang w:val="fr-FR"/>
        </w:rPr>
        <w:t>sont</w:t>
      </w:r>
      <w:r w:rsidR="00D4001A">
        <w:rPr>
          <w:lang w:val="fr-FR"/>
        </w:rPr>
        <w:t xml:space="preserve"> autant susceptible</w:t>
      </w:r>
      <w:r w:rsidR="009D1632">
        <w:rPr>
          <w:lang w:val="fr-FR"/>
        </w:rPr>
        <w:t>s</w:t>
      </w:r>
      <w:r w:rsidR="00D4001A">
        <w:rPr>
          <w:lang w:val="fr-FR"/>
        </w:rPr>
        <w:t xml:space="preserve"> d’affecter les jurés que les actes d’intimidation réels mentionnés plus haut</w:t>
      </w:r>
      <w:r w:rsidR="000B562B" w:rsidRPr="00A176EA">
        <w:rPr>
          <w:lang w:val="fr-FR"/>
        </w:rPr>
        <w:t>.</w:t>
      </w:r>
    </w:p>
    <w:p w:rsidR="000B562B" w:rsidRPr="00A176EA" w:rsidRDefault="002549A9" w:rsidP="00D4001A">
      <w:pPr>
        <w:pStyle w:val="SingleTxtG"/>
        <w:rPr>
          <w:lang w:val="fr-FR"/>
        </w:rPr>
      </w:pPr>
      <w:r w:rsidRPr="00A176EA">
        <w:rPr>
          <w:lang w:val="fr-FR"/>
        </w:rPr>
        <w:t>39.</w:t>
      </w:r>
      <w:r w:rsidRPr="00A176EA">
        <w:rPr>
          <w:lang w:val="fr-FR"/>
        </w:rPr>
        <w:tab/>
      </w:r>
      <w:r w:rsidR="00D4001A">
        <w:rPr>
          <w:lang w:val="fr-FR"/>
        </w:rPr>
        <w:t xml:space="preserve">Le système de procès sans jury est temporaire. Il peut être prorogé par période de deux ans avec l’accord du Parlement. Le </w:t>
      </w:r>
      <w:r w:rsidR="00D4001A" w:rsidRPr="00997BE5">
        <w:rPr>
          <w:lang w:val="fr-FR"/>
        </w:rPr>
        <w:t xml:space="preserve">Secrétaire d’État </w:t>
      </w:r>
      <w:r w:rsidR="00CC4705" w:rsidRPr="00997BE5">
        <w:rPr>
          <w:lang w:val="fr-FR"/>
        </w:rPr>
        <w:t>à</w:t>
      </w:r>
      <w:r w:rsidR="00D4001A">
        <w:rPr>
          <w:lang w:val="fr-FR"/>
        </w:rPr>
        <w:t xml:space="preserve"> l’Irlande du Nord a l’intention de reconduire les dispositions en vigueur, qui expirent le 31 juillet 2011, pour deux années supplémentaire. Une ordonnance a été déposée </w:t>
      </w:r>
      <w:r w:rsidR="00997BE5">
        <w:rPr>
          <w:lang w:val="fr-FR"/>
        </w:rPr>
        <w:t>au</w:t>
      </w:r>
      <w:r w:rsidR="00D4001A">
        <w:rPr>
          <w:lang w:val="fr-FR"/>
        </w:rPr>
        <w:t xml:space="preserve"> Parlement à cet effet</w:t>
      </w:r>
      <w:r w:rsidR="000B562B" w:rsidRPr="00A176EA">
        <w:rPr>
          <w:lang w:val="fr-FR"/>
        </w:rPr>
        <w:t>.</w:t>
      </w:r>
    </w:p>
    <w:p w:rsidR="000B562B" w:rsidRPr="00A176EA" w:rsidRDefault="002549A9" w:rsidP="002F5FE5">
      <w:pPr>
        <w:pStyle w:val="SingleTxtG"/>
        <w:rPr>
          <w:lang w:val="fr-FR"/>
        </w:rPr>
      </w:pPr>
      <w:r w:rsidRPr="00A176EA">
        <w:rPr>
          <w:lang w:val="fr-FR"/>
        </w:rPr>
        <w:t>40.</w:t>
      </w:r>
      <w:r w:rsidRPr="00A176EA">
        <w:rPr>
          <w:lang w:val="fr-FR"/>
        </w:rPr>
        <w:tab/>
      </w:r>
      <w:r w:rsidR="007E1E87">
        <w:rPr>
          <w:lang w:val="fr-FR"/>
        </w:rPr>
        <w:t xml:space="preserve">Si les forces armées ne sont pas systématiquement déployées pour appuyer la police (sauf les spécialistes de la neutralisation des explosifs, par exemple) depuis la fin de 2006, il est nécessaire de </w:t>
      </w:r>
      <w:r w:rsidR="00997BE5">
        <w:rPr>
          <w:lang w:val="fr-FR"/>
        </w:rPr>
        <w:t xml:space="preserve">pouvoir </w:t>
      </w:r>
      <w:r w:rsidR="002F5FE5">
        <w:rPr>
          <w:lang w:val="fr-FR"/>
        </w:rPr>
        <w:t xml:space="preserve">y recourir </w:t>
      </w:r>
      <w:r w:rsidR="002F5FE5" w:rsidRPr="002F5FE5">
        <w:rPr>
          <w:i/>
          <w:lang w:val="fr-FR"/>
        </w:rPr>
        <w:t>in extremis</w:t>
      </w:r>
      <w:r w:rsidR="002F5FE5">
        <w:rPr>
          <w:lang w:val="fr-FR"/>
        </w:rPr>
        <w:t>. Par exemple, si l’ordre public était à nouveau menacé par un incident de l’ampleur des événements du défilé de Whiterock</w:t>
      </w:r>
      <w:r w:rsidR="00997BE5">
        <w:rPr>
          <w:lang w:val="fr-FR"/>
        </w:rPr>
        <w:t>,</w:t>
      </w:r>
      <w:r w:rsidR="002F5FE5">
        <w:rPr>
          <w:lang w:val="fr-FR"/>
        </w:rPr>
        <w:t xml:space="preserve"> en septembre 2005, des renforts militaires pourraient être nécessaires pour gérer l’incident et protéger le public. La décision de faire appel aux forces armées est du ressort du </w:t>
      </w:r>
      <w:r w:rsidR="00D4001A">
        <w:rPr>
          <w:lang w:val="fr-FR"/>
        </w:rPr>
        <w:t>Chef de la police d’Irlande du Nord</w:t>
      </w:r>
      <w:r w:rsidR="000B562B" w:rsidRPr="00A176EA">
        <w:rPr>
          <w:lang w:val="fr-FR"/>
        </w:rPr>
        <w:t>.</w:t>
      </w:r>
    </w:p>
    <w:p w:rsidR="000B562B" w:rsidRPr="00A176EA" w:rsidRDefault="002549A9" w:rsidP="00CC4705">
      <w:pPr>
        <w:pStyle w:val="SingleTxtG"/>
        <w:rPr>
          <w:color w:val="000000"/>
          <w:lang w:val="fr-FR"/>
        </w:rPr>
      </w:pPr>
      <w:r w:rsidRPr="00A176EA">
        <w:rPr>
          <w:color w:val="000000"/>
          <w:lang w:val="fr-FR"/>
        </w:rPr>
        <w:t>41.</w:t>
      </w:r>
      <w:r w:rsidRPr="00A176EA">
        <w:rPr>
          <w:color w:val="000000"/>
          <w:lang w:val="fr-FR"/>
        </w:rPr>
        <w:tab/>
      </w:r>
      <w:r w:rsidR="00CC4705">
        <w:rPr>
          <w:color w:val="000000"/>
          <w:lang w:val="fr-FR"/>
        </w:rPr>
        <w:t xml:space="preserve">La loi de 2007 confère certains pouvoirs à l’armée pour remplir ce rôle, le cas échéant. Ces pouvoirs sont réexaminés chaque année par un </w:t>
      </w:r>
      <w:r w:rsidR="001C6948">
        <w:rPr>
          <w:color w:val="000000"/>
          <w:lang w:val="fr-FR"/>
        </w:rPr>
        <w:t>contrôleur</w:t>
      </w:r>
      <w:r w:rsidR="00CC4705">
        <w:rPr>
          <w:color w:val="000000"/>
          <w:lang w:val="fr-FR"/>
        </w:rPr>
        <w:t xml:space="preserve"> indépendant dont les rapports sont publiés et présentés au Parlement. Les pouvoirs peuvent être annulés dès qu’ils ne se justifient plus</w:t>
      </w:r>
      <w:r w:rsidR="000B562B" w:rsidRPr="00A176EA">
        <w:rPr>
          <w:lang w:val="fr-FR"/>
        </w:rPr>
        <w:t>.</w:t>
      </w:r>
    </w:p>
    <w:p w:rsidR="000B562B" w:rsidRPr="00A176EA" w:rsidRDefault="002549A9" w:rsidP="001C6948">
      <w:pPr>
        <w:pStyle w:val="SingleTxtG"/>
        <w:rPr>
          <w:color w:val="000000"/>
          <w:lang w:val="fr-FR"/>
        </w:rPr>
      </w:pPr>
      <w:r w:rsidRPr="00A176EA">
        <w:rPr>
          <w:color w:val="000000"/>
          <w:lang w:val="fr-FR"/>
        </w:rPr>
        <w:t>42.</w:t>
      </w:r>
      <w:r w:rsidRPr="00A176EA">
        <w:rPr>
          <w:color w:val="000000"/>
          <w:lang w:val="fr-FR"/>
        </w:rPr>
        <w:tab/>
      </w:r>
      <w:r w:rsidR="003B60BF">
        <w:rPr>
          <w:color w:val="000000"/>
          <w:lang w:val="fr-FR"/>
        </w:rPr>
        <w:t xml:space="preserve">La Commission de contrôle indépendante (chargée d’établir des rapports sur les activités des groupes paramilitaires et </w:t>
      </w:r>
      <w:r w:rsidR="001C6948">
        <w:rPr>
          <w:color w:val="000000"/>
          <w:lang w:val="fr-FR"/>
        </w:rPr>
        <w:t xml:space="preserve">de </w:t>
      </w:r>
      <w:r w:rsidR="003B60BF">
        <w:rPr>
          <w:color w:val="000000"/>
          <w:lang w:val="fr-FR"/>
        </w:rPr>
        <w:t>veille</w:t>
      </w:r>
      <w:r w:rsidR="001C6948">
        <w:rPr>
          <w:color w:val="000000"/>
          <w:lang w:val="fr-FR"/>
        </w:rPr>
        <w:t>r</w:t>
      </w:r>
      <w:r w:rsidR="003B60BF">
        <w:rPr>
          <w:color w:val="000000"/>
          <w:lang w:val="fr-FR"/>
        </w:rPr>
        <w:t xml:space="preserve"> à ce que le Gouvernement s’acquitte de ses engagements en </w:t>
      </w:r>
      <w:r w:rsidR="001C6948">
        <w:rPr>
          <w:color w:val="000000"/>
          <w:lang w:val="fr-FR"/>
        </w:rPr>
        <w:t>termes</w:t>
      </w:r>
      <w:r w:rsidR="003B60BF">
        <w:rPr>
          <w:color w:val="000000"/>
          <w:lang w:val="fr-FR"/>
        </w:rPr>
        <w:t xml:space="preserve"> de normalisation de la sécurité) et Lord Carlile (</w:t>
      </w:r>
      <w:r w:rsidR="001C6948">
        <w:rPr>
          <w:color w:val="000000"/>
          <w:lang w:val="fr-FR"/>
        </w:rPr>
        <w:t>contrôleur</w:t>
      </w:r>
      <w:r w:rsidR="003B60BF">
        <w:rPr>
          <w:color w:val="000000"/>
          <w:lang w:val="fr-FR"/>
        </w:rPr>
        <w:t xml:space="preserve"> indépendant du Gouvernement</w:t>
      </w:r>
      <w:r w:rsidR="001C6948">
        <w:rPr>
          <w:color w:val="000000"/>
          <w:lang w:val="fr-FR"/>
        </w:rPr>
        <w:t xml:space="preserve"> en matière de législation sur le terrorisme) ont tous deux conclu que les dispositions de la loi de 2007 ne relevaient pas de la législation sur le terrorisme</w:t>
      </w:r>
      <w:r w:rsidR="000B562B" w:rsidRPr="00A176EA">
        <w:rPr>
          <w:lang w:val="fr-FR"/>
        </w:rPr>
        <w:t>.</w:t>
      </w:r>
    </w:p>
    <w:p w:rsidR="000B562B" w:rsidRPr="00A176EA" w:rsidRDefault="004B29AE" w:rsidP="004B29AE">
      <w:pPr>
        <w:pStyle w:val="SingleTxtG"/>
        <w:ind w:firstLine="567"/>
        <w:rPr>
          <w:b/>
          <w:lang w:val="fr-FR"/>
        </w:rPr>
      </w:pPr>
      <w:r w:rsidRPr="001C6948">
        <w:rPr>
          <w:b/>
          <w:lang w:val="fr-FR"/>
        </w:rPr>
        <w:t>d)</w:t>
      </w:r>
      <w:r w:rsidRPr="001C6948">
        <w:rPr>
          <w:b/>
          <w:lang w:val="fr-FR"/>
        </w:rPr>
        <w:tab/>
      </w:r>
      <w:r w:rsidR="002D62E5">
        <w:rPr>
          <w:b/>
          <w:lang w:val="fr-FR"/>
        </w:rPr>
        <w:t>A</w:t>
      </w:r>
      <w:r w:rsidR="00230A9B" w:rsidRPr="001C6948">
        <w:rPr>
          <w:b/>
          <w:lang w:val="fr-FR"/>
        </w:rPr>
        <w:t>ssurances diplomatiques qu’aurait acceptées l’État partie en matière de refoulement dans des circonstances où ses normes minimales concernant de telles assurances, notamment les dispositions pour un contrôle après le retour, et les garanties d’une procédure équitable ne sont pas d’une parfaite limpidité et ne peuvent donc pas faire l’objet d’une évaluation quant à leur compatibilité avec l’article 3 de la Convention</w:t>
      </w:r>
      <w:r w:rsidR="000B562B" w:rsidRPr="001C6948">
        <w:rPr>
          <w:b/>
          <w:lang w:val="fr-FR"/>
        </w:rPr>
        <w:t>.</w:t>
      </w:r>
    </w:p>
    <w:p w:rsidR="000B562B" w:rsidRPr="00A176EA" w:rsidRDefault="002549A9" w:rsidP="00CA10CD">
      <w:pPr>
        <w:pStyle w:val="SingleTxtG"/>
        <w:rPr>
          <w:color w:val="000000"/>
          <w:lang w:val="fr-FR"/>
        </w:rPr>
      </w:pPr>
      <w:r w:rsidRPr="00A176EA">
        <w:rPr>
          <w:color w:val="000000"/>
          <w:lang w:val="fr-FR"/>
        </w:rPr>
        <w:t>43.</w:t>
      </w:r>
      <w:r w:rsidRPr="00A176EA">
        <w:rPr>
          <w:color w:val="000000"/>
          <w:lang w:val="fr-FR"/>
        </w:rPr>
        <w:tab/>
      </w:r>
      <w:r w:rsidR="001C6948" w:rsidRPr="001C6948">
        <w:rPr>
          <w:color w:val="000000"/>
          <w:lang w:val="fr-FR"/>
        </w:rPr>
        <w:t>La position du Royaume-Uni au regard de l’expulsion avec assurances diplomatiques est régi</w:t>
      </w:r>
      <w:r w:rsidR="001C6948">
        <w:rPr>
          <w:color w:val="000000"/>
          <w:lang w:val="fr-FR"/>
        </w:rPr>
        <w:t>e</w:t>
      </w:r>
      <w:r w:rsidR="001C6948" w:rsidRPr="001C6948">
        <w:rPr>
          <w:color w:val="000000"/>
          <w:lang w:val="fr-FR"/>
        </w:rPr>
        <w:t xml:space="preserve"> par les conventions internationales relatives aux droits de l’homme, </w:t>
      </w:r>
      <w:r w:rsidR="008A2BF0" w:rsidRPr="001C6948">
        <w:rPr>
          <w:lang w:val="fr-FR"/>
        </w:rPr>
        <w:t>dont la Convention des Nations Unies contre la torture et la</w:t>
      </w:r>
      <w:r w:rsidR="000B562B" w:rsidRPr="001C6948">
        <w:rPr>
          <w:lang w:val="fr-FR"/>
        </w:rPr>
        <w:t xml:space="preserve"> </w:t>
      </w:r>
      <w:r w:rsidR="00B669A3" w:rsidRPr="001C6948">
        <w:rPr>
          <w:lang w:val="fr-FR"/>
        </w:rPr>
        <w:t>Convention européenne des droits de l’homme</w:t>
      </w:r>
      <w:r w:rsidR="000B562B" w:rsidRPr="001C6948">
        <w:rPr>
          <w:lang w:val="fr-FR"/>
        </w:rPr>
        <w:t xml:space="preserve">, </w:t>
      </w:r>
      <w:r w:rsidR="001C6948" w:rsidRPr="001C6948">
        <w:rPr>
          <w:lang w:val="fr-FR"/>
        </w:rPr>
        <w:t>et la jurisprudence qui s’y rapporte.</w:t>
      </w:r>
      <w:r w:rsidR="001C6948">
        <w:rPr>
          <w:lang w:val="fr-FR"/>
        </w:rPr>
        <w:t xml:space="preserve"> Le Gouvernement britannique n’expulserait pas un individu </w:t>
      </w:r>
      <w:r w:rsidR="003831EB">
        <w:rPr>
          <w:lang w:val="fr-FR"/>
        </w:rPr>
        <w:t xml:space="preserve">risquant d’être soumis à la torture ou à des mauvais traitements à son retour dans son pays. En recourant aux assurances diplomatiques, il ne déroge en rien à son obligation de non-refoulement. Sa politique lui permet de faire face à la menace que représentent les ressortissants étrangers soupçonnés d’activités terroristes et de remplir ses obligations en termes de droits de l’homme. </w:t>
      </w:r>
      <w:r w:rsidR="003831EB" w:rsidRPr="00CA10CD">
        <w:rPr>
          <w:lang w:val="fr-FR"/>
        </w:rPr>
        <w:t xml:space="preserve">Le Royaume-Uni connaît parfaitement la jurisprudence de la </w:t>
      </w:r>
      <w:r w:rsidR="00B669A3" w:rsidRPr="00CA10CD">
        <w:rPr>
          <w:lang w:val="fr-FR"/>
        </w:rPr>
        <w:t xml:space="preserve">Convention européenne des droits de l’homme </w:t>
      </w:r>
      <w:r w:rsidR="003831EB" w:rsidRPr="00CA10CD">
        <w:rPr>
          <w:lang w:val="fr-FR"/>
        </w:rPr>
        <w:t xml:space="preserve">dans ce domaine et ne souhaite pas privilégier une expulsion servant l’intérêt public </w:t>
      </w:r>
      <w:r w:rsidR="00CA10CD" w:rsidRPr="00CA10CD">
        <w:rPr>
          <w:lang w:val="fr-FR"/>
        </w:rPr>
        <w:t xml:space="preserve">aux dépens des droits fondamentaux </w:t>
      </w:r>
      <w:r w:rsidR="008A2BF0" w:rsidRPr="00CA10CD">
        <w:rPr>
          <w:lang w:val="fr-FR"/>
        </w:rPr>
        <w:t>consacrés par</w:t>
      </w:r>
      <w:r w:rsidR="000B562B" w:rsidRPr="00CA10CD">
        <w:rPr>
          <w:lang w:val="fr-FR"/>
        </w:rPr>
        <w:t xml:space="preserve"> </w:t>
      </w:r>
      <w:r w:rsidR="008A2BF0" w:rsidRPr="00CA10CD">
        <w:rPr>
          <w:lang w:val="fr-FR"/>
        </w:rPr>
        <w:t>l’a</w:t>
      </w:r>
      <w:r w:rsidR="000B562B" w:rsidRPr="00CA10CD">
        <w:rPr>
          <w:lang w:val="fr-FR"/>
        </w:rPr>
        <w:t xml:space="preserve">rticle 3 </w:t>
      </w:r>
      <w:r w:rsidR="008A2BF0" w:rsidRPr="00CA10CD">
        <w:rPr>
          <w:lang w:val="fr-FR"/>
        </w:rPr>
        <w:t>de la</w:t>
      </w:r>
      <w:r w:rsidR="000B562B" w:rsidRPr="00CA10CD">
        <w:rPr>
          <w:lang w:val="fr-FR"/>
        </w:rPr>
        <w:t xml:space="preserve"> </w:t>
      </w:r>
      <w:r w:rsidR="00B669A3" w:rsidRPr="00CA10CD">
        <w:rPr>
          <w:lang w:val="fr-FR"/>
        </w:rPr>
        <w:t>Convention européenne des droits de l’homme</w:t>
      </w:r>
      <w:r w:rsidR="000B562B" w:rsidRPr="00CA10CD">
        <w:rPr>
          <w:lang w:val="fr-FR"/>
        </w:rPr>
        <w:t xml:space="preserve">, </w:t>
      </w:r>
      <w:r w:rsidR="008A2BF0" w:rsidRPr="00CA10CD">
        <w:rPr>
          <w:lang w:val="fr-FR"/>
        </w:rPr>
        <w:t>la Convention contre la torture et d’autres conventions se rapportant aux droits de l’homme</w:t>
      </w:r>
      <w:r w:rsidR="000B562B" w:rsidRPr="00CA10CD">
        <w:rPr>
          <w:lang w:val="fr-FR"/>
        </w:rPr>
        <w:t>.</w:t>
      </w:r>
    </w:p>
    <w:p w:rsidR="000B562B" w:rsidRPr="00A176EA" w:rsidRDefault="002549A9" w:rsidP="00E62C72">
      <w:pPr>
        <w:pStyle w:val="SingleTxtG"/>
        <w:rPr>
          <w:lang w:val="fr-FR"/>
        </w:rPr>
      </w:pPr>
      <w:r w:rsidRPr="00A176EA">
        <w:rPr>
          <w:lang w:val="fr-FR"/>
        </w:rPr>
        <w:t>44.</w:t>
      </w:r>
      <w:r w:rsidRPr="00A176EA">
        <w:rPr>
          <w:lang w:val="fr-FR"/>
        </w:rPr>
        <w:tab/>
      </w:r>
      <w:r w:rsidR="00263016">
        <w:rPr>
          <w:lang w:val="fr-FR"/>
        </w:rPr>
        <w:t xml:space="preserve">N’ignorant pas que le terme </w:t>
      </w:r>
      <w:r w:rsidR="00CD0110">
        <w:rPr>
          <w:lang w:val="fr-FR"/>
        </w:rPr>
        <w:t>«</w:t>
      </w:r>
      <w:r w:rsidR="00263016">
        <w:rPr>
          <w:lang w:val="fr-FR"/>
        </w:rPr>
        <w:t>assurances diplomatiques</w:t>
      </w:r>
      <w:r w:rsidR="00CD0110">
        <w:rPr>
          <w:lang w:val="fr-FR"/>
        </w:rPr>
        <w:t>»</w:t>
      </w:r>
      <w:r w:rsidR="00263016">
        <w:rPr>
          <w:lang w:val="fr-FR"/>
        </w:rPr>
        <w:t xml:space="preserve"> est souvent employé de façon générique, le Royaume-Uni est conscient qu’il recouvre des pratiques e</w:t>
      </w:r>
      <w:r w:rsidR="00CA7748">
        <w:rPr>
          <w:lang w:val="fr-FR"/>
        </w:rPr>
        <w:t>x</w:t>
      </w:r>
      <w:r w:rsidR="00263016">
        <w:rPr>
          <w:lang w:val="fr-FR"/>
        </w:rPr>
        <w:t>trêmement variables d’un État à l’autre. S’agissant de sa propre pratique en la matière, il prend soin de conclure des accords-cadres avec un certain nombre de pays pour solliciter et obtenir des assurances au plus haut niveau de gouver</w:t>
      </w:r>
      <w:r w:rsidR="00E62C72">
        <w:rPr>
          <w:lang w:val="fr-FR"/>
        </w:rPr>
        <w:t>ne</w:t>
      </w:r>
      <w:r w:rsidR="00263016">
        <w:rPr>
          <w:lang w:val="fr-FR"/>
        </w:rPr>
        <w:t>ment</w:t>
      </w:r>
      <w:r w:rsidR="00E62C72">
        <w:rPr>
          <w:lang w:val="fr-FR"/>
        </w:rPr>
        <w:t xml:space="preserve"> dans les domaines </w:t>
      </w:r>
      <w:r w:rsidR="00C7153C">
        <w:rPr>
          <w:lang w:val="fr-FR"/>
        </w:rPr>
        <w:t>intéressant</w:t>
      </w:r>
      <w:r w:rsidR="00E62C72">
        <w:rPr>
          <w:lang w:val="fr-FR"/>
        </w:rPr>
        <w:t xml:space="preserve"> particuli</w:t>
      </w:r>
      <w:r w:rsidR="00C7153C">
        <w:rPr>
          <w:lang w:val="fr-FR"/>
        </w:rPr>
        <w:t>èrement</w:t>
      </w:r>
      <w:r w:rsidR="00E62C72">
        <w:rPr>
          <w:lang w:val="fr-FR"/>
        </w:rPr>
        <w:t xml:space="preserve"> l’individu dont l’expulsion est envisagée. Par exemple, s’il ressort d’une enquête que l’individu risque de faire l’objet d’un placement en détention, de poursuites pénales ou d’un procès à son retour au pays, le Royaume-Uni prend soin de vérifier avec précision ce que la loi du pays prévoit en l’espèce, comment cela fonctionne concrètement, quelles sont les normes en vigueur et comment tout cela s’appliquera à </w:t>
      </w:r>
      <w:r w:rsidR="00FC0E69">
        <w:rPr>
          <w:lang w:val="fr-FR"/>
        </w:rPr>
        <w:t>l’intéressé</w:t>
      </w:r>
      <w:r w:rsidR="00E62C72">
        <w:rPr>
          <w:lang w:val="fr-FR"/>
        </w:rPr>
        <w:t>. Solliciter et obtenir des assurances n’induit pas systématiquement que l’individu sera expulsé. Ce n’est qu’après examen de toutes les informations qu’il est décidé si l’expulsion est compatible avec les obligations du Royaume-Uni en matière de droits de l’homme</w:t>
      </w:r>
      <w:r w:rsidR="000B562B" w:rsidRPr="00A176EA">
        <w:rPr>
          <w:lang w:val="fr-FR"/>
        </w:rPr>
        <w:t>.</w:t>
      </w:r>
    </w:p>
    <w:p w:rsidR="000B562B" w:rsidRPr="00A176EA" w:rsidRDefault="002549A9" w:rsidP="002666A4">
      <w:pPr>
        <w:pStyle w:val="SingleTxtG"/>
        <w:rPr>
          <w:lang w:val="fr-FR"/>
        </w:rPr>
      </w:pPr>
      <w:r w:rsidRPr="00A176EA">
        <w:rPr>
          <w:lang w:val="fr-FR"/>
        </w:rPr>
        <w:t>45.</w:t>
      </w:r>
      <w:r w:rsidRPr="00A176EA">
        <w:rPr>
          <w:lang w:val="fr-FR"/>
        </w:rPr>
        <w:tab/>
      </w:r>
      <w:r w:rsidR="00752EB0">
        <w:rPr>
          <w:lang w:val="fr-FR"/>
        </w:rPr>
        <w:t>Un</w:t>
      </w:r>
      <w:r w:rsidR="00E62C72">
        <w:rPr>
          <w:lang w:val="fr-FR"/>
        </w:rPr>
        <w:t xml:space="preserve"> individu </w:t>
      </w:r>
      <w:r w:rsidR="00752EB0">
        <w:rPr>
          <w:lang w:val="fr-FR"/>
        </w:rPr>
        <w:t>devant</w:t>
      </w:r>
      <w:r w:rsidR="00E62C72">
        <w:rPr>
          <w:lang w:val="fr-FR"/>
        </w:rPr>
        <w:t xml:space="preserve"> être renvoyé pour des raisons de sécurité nationale </w:t>
      </w:r>
      <w:r w:rsidR="00752EB0">
        <w:rPr>
          <w:lang w:val="fr-FR"/>
        </w:rPr>
        <w:t>peut faire appel</w:t>
      </w:r>
      <w:r w:rsidR="00560D78">
        <w:rPr>
          <w:lang w:val="fr-FR"/>
        </w:rPr>
        <w:t xml:space="preserve"> et l’instance qui examine </w:t>
      </w:r>
      <w:r w:rsidR="00752EB0">
        <w:rPr>
          <w:lang w:val="fr-FR"/>
        </w:rPr>
        <w:t>son</w:t>
      </w:r>
      <w:r w:rsidR="00560D78">
        <w:rPr>
          <w:lang w:val="fr-FR"/>
        </w:rPr>
        <w:t xml:space="preserve"> recours doit vérifier que le renvoi répond bien aux critères prévus (à savoir que l’expulsion hors du Royaume-Uni </w:t>
      </w:r>
      <w:r w:rsidR="00752EB0">
        <w:rPr>
          <w:lang w:val="fr-FR"/>
        </w:rPr>
        <w:t xml:space="preserve">relève de l’intérêt général). L’organe d’appel devra également examiner si le renvoi est conforme aux obligations internationales du Royaume-Uni en matière de droits de l’homme. </w:t>
      </w:r>
      <w:r w:rsidR="00752EB0" w:rsidRPr="00752EB0">
        <w:rPr>
          <w:lang w:val="fr-FR"/>
        </w:rPr>
        <w:t xml:space="preserve">En principe, tout appel est examiné en première instance par la </w:t>
      </w:r>
      <w:r w:rsidR="00560D78" w:rsidRPr="00752EB0">
        <w:rPr>
          <w:lang w:val="fr-FR"/>
        </w:rPr>
        <w:t>Commission spéciale des recours en matière d’</w:t>
      </w:r>
      <w:r w:rsidR="00752EB0" w:rsidRPr="00752EB0">
        <w:rPr>
          <w:lang w:val="fr-FR"/>
        </w:rPr>
        <w:t>immigration</w:t>
      </w:r>
      <w:r w:rsidR="000B562B" w:rsidRPr="00752EB0">
        <w:rPr>
          <w:lang w:val="fr-FR"/>
        </w:rPr>
        <w:t xml:space="preserve">. </w:t>
      </w:r>
      <w:r w:rsidR="00752EB0">
        <w:rPr>
          <w:lang w:val="fr-FR"/>
        </w:rPr>
        <w:t xml:space="preserve">La Commission a été créée pour </w:t>
      </w:r>
      <w:r w:rsidR="002666A4">
        <w:rPr>
          <w:lang w:val="fr-FR"/>
        </w:rPr>
        <w:t>statuer sur</w:t>
      </w:r>
      <w:r w:rsidR="00752EB0">
        <w:rPr>
          <w:lang w:val="fr-FR"/>
        </w:rPr>
        <w:t xml:space="preserve"> les appels</w:t>
      </w:r>
      <w:r w:rsidR="002666A4">
        <w:rPr>
          <w:lang w:val="fr-FR"/>
        </w:rPr>
        <w:t xml:space="preserve"> formés dans le domaine de l’immigration et pour lesquels des informations fournies par les services de renseignement et d’autres documents sensibles peuvent être utilisés comme éléments de preuve</w:t>
      </w:r>
      <w:r w:rsidR="000B562B" w:rsidRPr="00A176EA">
        <w:rPr>
          <w:lang w:val="fr-FR"/>
        </w:rPr>
        <w:t>.</w:t>
      </w:r>
    </w:p>
    <w:p w:rsidR="000B562B" w:rsidRPr="00A176EA" w:rsidRDefault="002549A9" w:rsidP="000875F6">
      <w:pPr>
        <w:pStyle w:val="SingleTxtG"/>
        <w:rPr>
          <w:szCs w:val="22"/>
          <w:lang w:val="fr-FR"/>
        </w:rPr>
      </w:pPr>
      <w:r w:rsidRPr="00A176EA">
        <w:rPr>
          <w:szCs w:val="22"/>
          <w:lang w:val="fr-FR"/>
        </w:rPr>
        <w:t>46.</w:t>
      </w:r>
      <w:r w:rsidRPr="00A176EA">
        <w:rPr>
          <w:szCs w:val="22"/>
          <w:lang w:val="fr-FR"/>
        </w:rPr>
        <w:tab/>
      </w:r>
      <w:r w:rsidR="002666A4">
        <w:rPr>
          <w:szCs w:val="22"/>
          <w:lang w:val="fr-FR"/>
        </w:rPr>
        <w:t xml:space="preserve">La Commission spéciale examine tant </w:t>
      </w:r>
      <w:r w:rsidR="00502117">
        <w:rPr>
          <w:szCs w:val="22"/>
          <w:lang w:val="fr-FR"/>
        </w:rPr>
        <w:t>les affaires d’expulsion pour cause de sécurité nationale que les questions de sécurité de l’intéressé</w:t>
      </w:r>
      <w:r w:rsidR="00886544">
        <w:rPr>
          <w:szCs w:val="22"/>
          <w:lang w:val="fr-FR"/>
        </w:rPr>
        <w:t xml:space="preserve"> après son expulsion. Il s’agit, notamment, de la situation </w:t>
      </w:r>
      <w:r w:rsidR="000875F6">
        <w:rPr>
          <w:szCs w:val="22"/>
          <w:lang w:val="fr-FR"/>
        </w:rPr>
        <w:t xml:space="preserve">des droits de l’homme </w:t>
      </w:r>
      <w:r w:rsidR="00886544">
        <w:rPr>
          <w:szCs w:val="22"/>
          <w:lang w:val="fr-FR"/>
        </w:rPr>
        <w:t>d</w:t>
      </w:r>
      <w:r w:rsidR="000875F6">
        <w:rPr>
          <w:szCs w:val="22"/>
          <w:lang w:val="fr-FR"/>
        </w:rPr>
        <w:t>ans le</w:t>
      </w:r>
      <w:r w:rsidR="00886544">
        <w:rPr>
          <w:szCs w:val="22"/>
          <w:lang w:val="fr-FR"/>
        </w:rPr>
        <w:t xml:space="preserve"> pays de destination, des </w:t>
      </w:r>
      <w:r w:rsidR="00886544" w:rsidRPr="00FC0E69">
        <w:rPr>
          <w:szCs w:val="22"/>
          <w:lang w:val="fr-FR"/>
        </w:rPr>
        <w:t>circonstances</w:t>
      </w:r>
      <w:r w:rsidR="00886544">
        <w:rPr>
          <w:szCs w:val="22"/>
          <w:lang w:val="fr-FR"/>
        </w:rPr>
        <w:t xml:space="preserve"> auxquelles l’individu est susceptible de faire face à son retour, de la </w:t>
      </w:r>
      <w:r w:rsidR="00886544" w:rsidRPr="00FC0E69">
        <w:rPr>
          <w:szCs w:val="22"/>
          <w:lang w:val="fr-FR"/>
        </w:rPr>
        <w:t>solidité</w:t>
      </w:r>
      <w:r w:rsidR="00886544">
        <w:rPr>
          <w:szCs w:val="22"/>
          <w:lang w:val="fr-FR"/>
        </w:rPr>
        <w:t xml:space="preserve"> des relations bilatérales entre le Royaume-Uni et le pays </w:t>
      </w:r>
      <w:r w:rsidR="00026E1C">
        <w:rPr>
          <w:szCs w:val="22"/>
          <w:lang w:val="fr-FR"/>
        </w:rPr>
        <w:t>de renvoi</w:t>
      </w:r>
      <w:r w:rsidR="00886544">
        <w:rPr>
          <w:szCs w:val="22"/>
          <w:lang w:val="fr-FR"/>
        </w:rPr>
        <w:t>, des assurances générales prévues par l’accord-cadre, de toutes assurances particulières à l’intéressé et de</w:t>
      </w:r>
      <w:r w:rsidR="00F95FB1">
        <w:rPr>
          <w:szCs w:val="22"/>
          <w:lang w:val="fr-FR"/>
        </w:rPr>
        <w:t>s</w:t>
      </w:r>
      <w:r w:rsidR="00886544">
        <w:rPr>
          <w:szCs w:val="22"/>
          <w:lang w:val="fr-FR"/>
        </w:rPr>
        <w:t xml:space="preserve"> dispositions prises pour vérifier la bonne exécution des engagements pris par le pays </w:t>
      </w:r>
      <w:r w:rsidR="00FC0E69">
        <w:rPr>
          <w:szCs w:val="22"/>
          <w:lang w:val="fr-FR"/>
        </w:rPr>
        <w:t xml:space="preserve">de </w:t>
      </w:r>
      <w:r w:rsidR="00026E1C">
        <w:rPr>
          <w:szCs w:val="22"/>
          <w:lang w:val="fr-FR"/>
        </w:rPr>
        <w:t>renvoi</w:t>
      </w:r>
      <w:r w:rsidR="00886544">
        <w:rPr>
          <w:szCs w:val="22"/>
          <w:lang w:val="fr-FR"/>
        </w:rPr>
        <w:t xml:space="preserve">. </w:t>
      </w:r>
      <w:r w:rsidR="00BE73ED">
        <w:rPr>
          <w:szCs w:val="22"/>
          <w:lang w:val="fr-FR"/>
        </w:rPr>
        <w:t>Obligation est faite au Gouvernement britannique de</w:t>
      </w:r>
      <w:r w:rsidR="00F95FB1">
        <w:rPr>
          <w:szCs w:val="22"/>
          <w:lang w:val="fr-FR"/>
        </w:rPr>
        <w:t xml:space="preserve"> fournir au requérant/à l’avocat spécial </w:t>
      </w:r>
      <w:r w:rsidR="00BE73ED">
        <w:rPr>
          <w:szCs w:val="22"/>
          <w:lang w:val="fr-FR"/>
        </w:rPr>
        <w:t>un certain nombre d’</w:t>
      </w:r>
      <w:r w:rsidR="00F95FB1">
        <w:rPr>
          <w:szCs w:val="22"/>
          <w:lang w:val="fr-FR"/>
        </w:rPr>
        <w:t xml:space="preserve">informations en </w:t>
      </w:r>
      <w:r w:rsidR="00BE73ED">
        <w:rPr>
          <w:szCs w:val="22"/>
          <w:lang w:val="fr-FR"/>
        </w:rPr>
        <w:t xml:space="preserve">sa </w:t>
      </w:r>
      <w:r w:rsidR="00F95FB1">
        <w:rPr>
          <w:szCs w:val="22"/>
          <w:lang w:val="fr-FR"/>
        </w:rPr>
        <w:t xml:space="preserve">possession </w:t>
      </w:r>
      <w:r w:rsidR="00E07B66">
        <w:rPr>
          <w:szCs w:val="22"/>
          <w:lang w:val="fr-FR"/>
        </w:rPr>
        <w:t xml:space="preserve">qui </w:t>
      </w:r>
      <w:r w:rsidR="00FC0E69">
        <w:rPr>
          <w:szCs w:val="22"/>
          <w:lang w:val="fr-FR"/>
        </w:rPr>
        <w:t xml:space="preserve">ne </w:t>
      </w:r>
      <w:r w:rsidR="008E3BCB">
        <w:rPr>
          <w:szCs w:val="22"/>
          <w:lang w:val="fr-FR"/>
        </w:rPr>
        <w:t>servent pas ses intérêts</w:t>
      </w:r>
      <w:r w:rsidR="00F95FB1" w:rsidRPr="007D0396">
        <w:rPr>
          <w:szCs w:val="22"/>
          <w:lang w:val="fr-FR"/>
        </w:rPr>
        <w:t xml:space="preserve"> ou</w:t>
      </w:r>
      <w:r w:rsidR="00F95FB1">
        <w:rPr>
          <w:szCs w:val="22"/>
          <w:lang w:val="fr-FR"/>
        </w:rPr>
        <w:t xml:space="preserve"> </w:t>
      </w:r>
      <w:r w:rsidR="007D0396">
        <w:rPr>
          <w:szCs w:val="22"/>
          <w:lang w:val="fr-FR"/>
        </w:rPr>
        <w:t xml:space="preserve">sont </w:t>
      </w:r>
      <w:r w:rsidR="000875F6">
        <w:rPr>
          <w:szCs w:val="22"/>
          <w:lang w:val="fr-FR"/>
        </w:rPr>
        <w:t>favorables</w:t>
      </w:r>
      <w:r w:rsidR="00F95FB1">
        <w:rPr>
          <w:szCs w:val="22"/>
          <w:lang w:val="fr-FR"/>
        </w:rPr>
        <w:t xml:space="preserve"> à l’intéressé</w:t>
      </w:r>
      <w:r w:rsidR="000B562B" w:rsidRPr="00A176EA">
        <w:rPr>
          <w:szCs w:val="22"/>
          <w:lang w:val="fr-FR"/>
        </w:rPr>
        <w:t>.</w:t>
      </w:r>
    </w:p>
    <w:p w:rsidR="000B562B" w:rsidRDefault="002549A9" w:rsidP="004F4B63">
      <w:pPr>
        <w:pStyle w:val="SingleTxtG"/>
        <w:rPr>
          <w:lang w:val="fr-FR"/>
        </w:rPr>
      </w:pPr>
      <w:r w:rsidRPr="00A176EA">
        <w:rPr>
          <w:lang w:val="fr-FR"/>
        </w:rPr>
        <w:t>47.</w:t>
      </w:r>
      <w:r w:rsidRPr="00A176EA">
        <w:rPr>
          <w:lang w:val="fr-FR"/>
        </w:rPr>
        <w:tab/>
      </w:r>
      <w:r w:rsidR="000875F6">
        <w:rPr>
          <w:lang w:val="fr-FR"/>
        </w:rPr>
        <w:t xml:space="preserve">La Commission spéciale a </w:t>
      </w:r>
      <w:r w:rsidR="00F21904">
        <w:rPr>
          <w:lang w:val="fr-FR"/>
        </w:rPr>
        <w:t>établi</w:t>
      </w:r>
      <w:r w:rsidR="000875F6">
        <w:rPr>
          <w:lang w:val="fr-FR"/>
        </w:rPr>
        <w:t xml:space="preserve"> </w:t>
      </w:r>
      <w:r w:rsidR="004F4B63">
        <w:rPr>
          <w:lang w:val="fr-FR"/>
        </w:rPr>
        <w:t>quatre critères que les assurances doivent remplir</w:t>
      </w:r>
      <w:r w:rsidR="00FC2B97">
        <w:rPr>
          <w:lang w:val="fr-FR"/>
        </w:rPr>
        <w:t>:</w:t>
      </w:r>
    </w:p>
    <w:p w:rsidR="00186A02" w:rsidRPr="00F971A3" w:rsidRDefault="00186A02" w:rsidP="00BC0033">
      <w:pPr>
        <w:pStyle w:val="Bullet1G"/>
      </w:pPr>
      <w:r w:rsidRPr="00F21904">
        <w:t xml:space="preserve">Les conditions des </w:t>
      </w:r>
      <w:r w:rsidRPr="00F971A3">
        <w:t xml:space="preserve">assurances </w:t>
      </w:r>
      <w:r w:rsidRPr="00F21904">
        <w:t xml:space="preserve">doivent être telles que, si elles sont effectivement remplies, </w:t>
      </w:r>
      <w:r>
        <w:t>le requérant</w:t>
      </w:r>
      <w:r w:rsidRPr="00F21904">
        <w:t xml:space="preserve"> ne </w:t>
      </w:r>
      <w:r>
        <w:t>sera</w:t>
      </w:r>
      <w:r w:rsidRPr="00F21904">
        <w:t xml:space="preserve"> pas </w:t>
      </w:r>
      <w:r>
        <w:t>soumis à des</w:t>
      </w:r>
      <w:r w:rsidRPr="00F21904">
        <w:t xml:space="preserve"> traitement</w:t>
      </w:r>
      <w:r>
        <w:t>s</w:t>
      </w:r>
      <w:r w:rsidRPr="00F21904">
        <w:t xml:space="preserve"> contraire</w:t>
      </w:r>
      <w:r>
        <w:t>s</w:t>
      </w:r>
      <w:r w:rsidRPr="00F21904">
        <w:t xml:space="preserve"> à l’article 3 de la Convention européenne des droits de l’homme après son retour</w:t>
      </w:r>
      <w:r w:rsidR="00FC2B97">
        <w:t>;</w:t>
      </w:r>
    </w:p>
    <w:p w:rsidR="000B562B" w:rsidRDefault="00186A02" w:rsidP="00BC0033">
      <w:pPr>
        <w:pStyle w:val="Bullet1G"/>
      </w:pPr>
      <w:r w:rsidRPr="00186A02">
        <w:t xml:space="preserve">Les assurances doivent être données </w:t>
      </w:r>
      <w:r w:rsidR="00F21904" w:rsidRPr="00186A02">
        <w:t>de bonne foi</w:t>
      </w:r>
      <w:r w:rsidR="000B562B" w:rsidRPr="00186A02">
        <w:t xml:space="preserve">. </w:t>
      </w:r>
      <w:r w:rsidR="00E07B66" w:rsidRPr="00186A02">
        <w:t>La Commission spéciale cherchera des preuves concluantes de la volonté politique du pays de destination à respecter les assurances données. Elle examine également, dans certains cas, si le gouvernement du pays de destination exerce un contrôle suffisant sur ses forces de police et de sécurité pour garantir que les assurances qu’il a données seront respectées à tous les niveaux</w:t>
      </w:r>
      <w:r w:rsidR="00FC2B97">
        <w:t>;</w:t>
      </w:r>
    </w:p>
    <w:p w:rsidR="000B562B" w:rsidRDefault="00186A02" w:rsidP="00BC0033">
      <w:pPr>
        <w:pStyle w:val="Bullet1G"/>
      </w:pPr>
      <w:r w:rsidRPr="00186A02">
        <w:t xml:space="preserve">Un fondement sain </w:t>
      </w:r>
      <w:r w:rsidR="00A7457A" w:rsidRPr="00186A02">
        <w:t>et objectif doit permettre de croire que les assurances seront respectées. La Commission spéciale cherchera la preuve qu’il est dans l’intérêt du gouvernement du pays de destination de respecter les assurances</w:t>
      </w:r>
      <w:r w:rsidR="00FC2B97">
        <w:t>;</w:t>
      </w:r>
    </w:p>
    <w:p w:rsidR="000B562B" w:rsidRPr="00186A02" w:rsidRDefault="00186A02" w:rsidP="00BC0033">
      <w:pPr>
        <w:pStyle w:val="Bullet1G"/>
      </w:pPr>
      <w:r w:rsidRPr="00186A02">
        <w:t xml:space="preserve">Le respect des </w:t>
      </w:r>
      <w:r w:rsidR="00E07B66" w:rsidRPr="00186A02">
        <w:t>assurances données doit pouvoir être vérifié</w:t>
      </w:r>
      <w:r w:rsidR="000B562B" w:rsidRPr="00186A02">
        <w:t>.</w:t>
      </w:r>
    </w:p>
    <w:p w:rsidR="000B562B" w:rsidRPr="00A176EA" w:rsidRDefault="002549A9" w:rsidP="004B29AE">
      <w:pPr>
        <w:pStyle w:val="SingleTxtG"/>
        <w:rPr>
          <w:lang w:val="fr-FR"/>
        </w:rPr>
      </w:pPr>
      <w:r w:rsidRPr="00A176EA">
        <w:rPr>
          <w:lang w:val="fr-FR"/>
        </w:rPr>
        <w:t>48.</w:t>
      </w:r>
      <w:r w:rsidRPr="00A176EA">
        <w:rPr>
          <w:lang w:val="fr-FR"/>
        </w:rPr>
        <w:tab/>
      </w:r>
      <w:r w:rsidR="00A7457A">
        <w:rPr>
          <w:lang w:val="fr-FR"/>
        </w:rPr>
        <w:t xml:space="preserve">Au Royaume-Uni, à la suite d’un recours formé devant la Commission spéciale, chaque partie peut interjeter appel </w:t>
      </w:r>
      <w:r w:rsidR="00501DE8">
        <w:rPr>
          <w:lang w:val="fr-FR"/>
        </w:rPr>
        <w:t>devant la Cour d’appel puis la Cour suprême. Lorsque l’appelant a épuisé tous les recours internes, il peut saisir la Cour européenne des droits de l’homme</w:t>
      </w:r>
      <w:r w:rsidR="000B562B" w:rsidRPr="00A176EA">
        <w:rPr>
          <w:lang w:val="fr-FR"/>
        </w:rPr>
        <w:t>.</w:t>
      </w:r>
    </w:p>
    <w:p w:rsidR="000B562B" w:rsidRPr="00A176EA" w:rsidRDefault="002549A9" w:rsidP="00A5262B">
      <w:pPr>
        <w:pStyle w:val="SingleTxtG"/>
        <w:rPr>
          <w:lang w:val="fr-FR"/>
        </w:rPr>
      </w:pPr>
      <w:r w:rsidRPr="00A176EA">
        <w:rPr>
          <w:lang w:val="fr-FR"/>
        </w:rPr>
        <w:t>49.</w:t>
      </w:r>
      <w:r w:rsidRPr="00A176EA">
        <w:rPr>
          <w:lang w:val="fr-FR"/>
        </w:rPr>
        <w:tab/>
      </w:r>
      <w:r w:rsidR="004F4B63" w:rsidRPr="00501DE8">
        <w:rPr>
          <w:lang w:val="fr-FR"/>
        </w:rPr>
        <w:t>Le Royaume-Uni</w:t>
      </w:r>
      <w:r w:rsidR="000B562B" w:rsidRPr="00501DE8">
        <w:rPr>
          <w:lang w:val="fr-FR"/>
        </w:rPr>
        <w:t xml:space="preserve"> </w:t>
      </w:r>
      <w:r w:rsidR="000875F6" w:rsidRPr="00501DE8">
        <w:rPr>
          <w:lang w:val="fr-FR"/>
        </w:rPr>
        <w:t xml:space="preserve">a adopté </w:t>
      </w:r>
      <w:r w:rsidR="009C00B9">
        <w:rPr>
          <w:lang w:val="fr-FR"/>
        </w:rPr>
        <w:t>l’article</w:t>
      </w:r>
      <w:r w:rsidR="000875F6" w:rsidRPr="00501DE8">
        <w:rPr>
          <w:lang w:val="fr-FR"/>
        </w:rPr>
        <w:t xml:space="preserve"> 54 de la loi </w:t>
      </w:r>
      <w:r w:rsidR="009662AA" w:rsidRPr="00501DE8">
        <w:rPr>
          <w:lang w:val="fr-FR"/>
        </w:rPr>
        <w:t xml:space="preserve">de 2006 </w:t>
      </w:r>
      <w:r w:rsidR="000875F6" w:rsidRPr="00501DE8">
        <w:rPr>
          <w:lang w:val="fr-FR"/>
        </w:rPr>
        <w:t>sur la nationalité, l’immigration et l’asile</w:t>
      </w:r>
      <w:r w:rsidR="000875F6">
        <w:rPr>
          <w:lang w:val="fr-FR"/>
        </w:rPr>
        <w:t xml:space="preserve"> </w:t>
      </w:r>
      <w:r w:rsidR="00A5262B">
        <w:rPr>
          <w:lang w:val="fr-FR"/>
        </w:rPr>
        <w:t>en vue d’établir</w:t>
      </w:r>
      <w:r w:rsidR="003F625A">
        <w:rPr>
          <w:lang w:val="fr-FR"/>
        </w:rPr>
        <w:t xml:space="preserve"> clairement que toute activité terroriste est contraire aux buts et principes des Nations Unies </w:t>
      </w:r>
      <w:r w:rsidR="00A5262B">
        <w:rPr>
          <w:lang w:val="fr-FR"/>
        </w:rPr>
        <w:t>énoncés dans</w:t>
      </w:r>
      <w:r w:rsidR="003F625A">
        <w:rPr>
          <w:lang w:val="fr-FR"/>
        </w:rPr>
        <w:t xml:space="preserve"> l’article 1F</w:t>
      </w:r>
      <w:r w:rsidR="00A5262B">
        <w:rPr>
          <w:lang w:val="fr-FR"/>
        </w:rPr>
        <w:t xml:space="preserve"> </w:t>
      </w:r>
      <w:r w:rsidR="003F625A">
        <w:rPr>
          <w:lang w:val="fr-FR"/>
        </w:rPr>
        <w:t>c) de la Convention relative au statut des réfugiés</w:t>
      </w:r>
      <w:r w:rsidR="00A5262B">
        <w:rPr>
          <w:lang w:val="fr-FR"/>
        </w:rPr>
        <w:t>.</w:t>
      </w:r>
      <w:r w:rsidR="003F625A">
        <w:rPr>
          <w:lang w:val="fr-FR"/>
        </w:rPr>
        <w:t xml:space="preserve"> </w:t>
      </w:r>
      <w:r w:rsidR="00A5262B">
        <w:rPr>
          <w:lang w:val="fr-FR"/>
        </w:rPr>
        <w:t>C’est pourquoi les dispositions de la Convention ne s’appliquent pas aux e</w:t>
      </w:r>
      <w:r w:rsidR="003F625A">
        <w:rPr>
          <w:lang w:val="fr-FR"/>
        </w:rPr>
        <w:t>x</w:t>
      </w:r>
      <w:r w:rsidR="00A5262B">
        <w:rPr>
          <w:lang w:val="fr-FR"/>
        </w:rPr>
        <w:t xml:space="preserve">pulsions liées au terrorisme. Par ailleurs, </w:t>
      </w:r>
      <w:r w:rsidR="009662AA">
        <w:rPr>
          <w:lang w:val="fr-FR"/>
        </w:rPr>
        <w:t xml:space="preserve">le paragraphe 2 de </w:t>
      </w:r>
      <w:r w:rsidR="00A5262B">
        <w:rPr>
          <w:lang w:val="fr-FR"/>
        </w:rPr>
        <w:t>l’article 33 de la Convention refuse le bénéfice de la défense d’expulsion et de refoulement normale s’il y a des raisons sérieuses de considérer l’intéressé comme un danger pour la sécurité du pays où il se trouve</w:t>
      </w:r>
      <w:r w:rsidR="000B562B" w:rsidRPr="00A176EA">
        <w:rPr>
          <w:lang w:val="fr-FR"/>
        </w:rPr>
        <w:t>.</w:t>
      </w:r>
    </w:p>
    <w:p w:rsidR="000B562B" w:rsidRPr="00A176EA" w:rsidRDefault="002549A9" w:rsidP="00582049">
      <w:pPr>
        <w:pStyle w:val="SingleTxtG"/>
        <w:rPr>
          <w:lang w:val="fr-FR"/>
        </w:rPr>
      </w:pPr>
      <w:r w:rsidRPr="00A176EA">
        <w:rPr>
          <w:lang w:val="fr-FR"/>
        </w:rPr>
        <w:t>50.</w:t>
      </w:r>
      <w:r w:rsidRPr="00A176EA">
        <w:rPr>
          <w:lang w:val="fr-FR"/>
        </w:rPr>
        <w:tab/>
      </w:r>
      <w:r w:rsidR="00A5262B">
        <w:rPr>
          <w:lang w:val="fr-FR"/>
        </w:rPr>
        <w:t xml:space="preserve">Cependant, le Gouvernement n’expulsera pas un individu </w:t>
      </w:r>
      <w:r w:rsidR="00582049">
        <w:rPr>
          <w:lang w:val="fr-FR"/>
        </w:rPr>
        <w:t>s’il existe des motifs sérieux de croire qu’il est exposé à un risque réel de torture ou autres peines ou traitements cruels, inhumains ou dégradants, ou à la peine de mort. Le Royaume-Uni est profondément conscient de ses obligations en matière de droits de l’homme et entend s’en acquitter en toutes circonstances</w:t>
      </w:r>
      <w:r w:rsidR="000B562B" w:rsidRPr="00A176EA">
        <w:rPr>
          <w:lang w:val="fr-FR"/>
        </w:rPr>
        <w:t>.</w:t>
      </w:r>
    </w:p>
    <w:p w:rsidR="000B562B" w:rsidRPr="00A176EA" w:rsidRDefault="002549A9" w:rsidP="00895A91">
      <w:pPr>
        <w:pStyle w:val="SingleTxtG"/>
        <w:rPr>
          <w:lang w:val="fr-FR"/>
        </w:rPr>
      </w:pPr>
      <w:r w:rsidRPr="00A176EA">
        <w:rPr>
          <w:lang w:val="fr-FR"/>
        </w:rPr>
        <w:t>51.</w:t>
      </w:r>
      <w:r w:rsidRPr="00A176EA">
        <w:rPr>
          <w:lang w:val="fr-FR"/>
        </w:rPr>
        <w:tab/>
      </w:r>
      <w:r w:rsidR="00582049">
        <w:rPr>
          <w:lang w:val="fr-FR"/>
        </w:rPr>
        <w:t>Si un ressortissant étranger est soupçonné d’activités terroristes et si les circonstances sont telles qu’il ne peut être poursuivi (par exemple, si les preuves requises ne sont pas recevables par un tribunal ou risquent, si elles sont produites devant un tribunal, de compromettre ou de mettre en danger la source d’information)</w:t>
      </w:r>
      <w:r w:rsidR="008B3A50">
        <w:rPr>
          <w:lang w:val="fr-FR"/>
        </w:rPr>
        <w:t>, ou si l’intéressé a purgé une peine pour les infractions pénales qu’il a commises et continue de menacer la sécurité nationale, l’expulsion est l’une des options possibles considérées</w:t>
      </w:r>
      <w:r w:rsidR="000B562B" w:rsidRPr="00A176EA">
        <w:rPr>
          <w:lang w:val="fr-FR"/>
        </w:rPr>
        <w:t>.</w:t>
      </w:r>
    </w:p>
    <w:p w:rsidR="000B562B" w:rsidRPr="00A176EA" w:rsidRDefault="002549A9" w:rsidP="00895A91">
      <w:pPr>
        <w:pStyle w:val="SingleTxtG"/>
        <w:rPr>
          <w:lang w:val="fr-FR"/>
        </w:rPr>
      </w:pPr>
      <w:r w:rsidRPr="00A176EA">
        <w:rPr>
          <w:lang w:val="fr-FR"/>
        </w:rPr>
        <w:t>52.</w:t>
      </w:r>
      <w:r w:rsidRPr="00A176EA">
        <w:rPr>
          <w:lang w:val="fr-FR"/>
        </w:rPr>
        <w:tab/>
      </w:r>
      <w:r w:rsidR="00895A91" w:rsidRPr="00895A91">
        <w:rPr>
          <w:lang w:val="fr-FR"/>
        </w:rPr>
        <w:t xml:space="preserve">Le Royaume-Uni considère que le recours à des assurances entre gouvernements dans certaines circonstances permet d’expulser un individu tout en respectant ses obligations en matière de droits de l’homme, dont celles découlant de l’article 3 de la Convention des Nations Unies contre la torture, de l’article 7 du Pacte international relatif aux droits civils et politiques et de l’article </w:t>
      </w:r>
      <w:r w:rsidR="000B562B" w:rsidRPr="00895A91">
        <w:rPr>
          <w:lang w:val="fr-FR"/>
        </w:rPr>
        <w:t xml:space="preserve">3 of the </w:t>
      </w:r>
      <w:r w:rsidR="00B669A3" w:rsidRPr="00895A91">
        <w:rPr>
          <w:lang w:val="fr-FR"/>
        </w:rPr>
        <w:t>Convention européenne des droits de l’homme</w:t>
      </w:r>
      <w:r w:rsidR="000B562B" w:rsidRPr="00895A91">
        <w:rPr>
          <w:lang w:val="fr-FR"/>
        </w:rPr>
        <w:t>.</w:t>
      </w:r>
    </w:p>
    <w:p w:rsidR="000B562B" w:rsidRPr="00A176EA" w:rsidRDefault="002549A9" w:rsidP="00584246">
      <w:pPr>
        <w:pStyle w:val="SingleTxtG"/>
        <w:rPr>
          <w:lang w:val="fr-FR"/>
        </w:rPr>
      </w:pPr>
      <w:r w:rsidRPr="00A176EA">
        <w:rPr>
          <w:lang w:val="fr-FR"/>
        </w:rPr>
        <w:t>53.</w:t>
      </w:r>
      <w:r w:rsidRPr="00A176EA">
        <w:rPr>
          <w:lang w:val="fr-FR"/>
        </w:rPr>
        <w:tab/>
      </w:r>
      <w:r w:rsidR="00613312">
        <w:rPr>
          <w:lang w:val="fr-FR"/>
        </w:rPr>
        <w:t xml:space="preserve">Le Royaume-Uni ne comprend pas les </w:t>
      </w:r>
      <w:r w:rsidR="00CD0110">
        <w:rPr>
          <w:lang w:val="fr-FR"/>
        </w:rPr>
        <w:t>«</w:t>
      </w:r>
      <w:r w:rsidR="00613312">
        <w:rPr>
          <w:lang w:val="fr-FR"/>
        </w:rPr>
        <w:t>normes minimales</w:t>
      </w:r>
      <w:r w:rsidR="00CD0110">
        <w:rPr>
          <w:lang w:val="fr-FR"/>
        </w:rPr>
        <w:t>»</w:t>
      </w:r>
      <w:r w:rsidR="00613312">
        <w:rPr>
          <w:lang w:val="fr-FR"/>
        </w:rPr>
        <w:t xml:space="preserve"> invoquées par le Comité puisque les normes appliquées sont celles fournies par la jurisprudence, par exemple, de la Cour européenne des droits de l’homme. En février 2009, la Chambre des lords </w:t>
      </w:r>
      <w:r w:rsidR="008410BF">
        <w:rPr>
          <w:lang w:val="fr-FR"/>
        </w:rPr>
        <w:t xml:space="preserve">a approuvé le recours aux assurances de gouvernement à gouvernement avec l’Algérie et la Jordanie dans son jugement sur les affaires Othman (OO) et RB&amp;U. Elle était donc convaincue que l’organe d’appel concerné (Commission spéciale des recours en matière d’immigration) avait appliqué les contrôles juridiques adéquats pour déterminer la fiabilité des assurances avec l’Algérie et la Jordanie, et était fondé à tirer les conclusions factuelles qu’il avait tiré. La Commission a analysé les assurances avec rigueur et le jugement rendu pour chacun de ces deux pays </w:t>
      </w:r>
      <w:r w:rsidR="00584246">
        <w:rPr>
          <w:lang w:val="fr-FR"/>
        </w:rPr>
        <w:t>(dans lequel les assurances sont analysées en détail) comportait plus de 100 pages</w:t>
      </w:r>
      <w:r w:rsidR="000B562B" w:rsidRPr="00A176EA">
        <w:rPr>
          <w:rStyle w:val="FootnoteReference"/>
          <w:szCs w:val="22"/>
        </w:rPr>
        <w:footnoteReference w:id="5"/>
      </w:r>
      <w:r w:rsidR="00584246">
        <w:rPr>
          <w:lang w:val="fr-FR"/>
        </w:rPr>
        <w:t>.</w:t>
      </w:r>
      <w:r w:rsidR="000B562B" w:rsidRPr="00A176EA">
        <w:rPr>
          <w:lang w:val="fr-FR"/>
        </w:rPr>
        <w:t xml:space="preserve"> </w:t>
      </w:r>
      <w:r w:rsidR="00584246">
        <w:rPr>
          <w:lang w:val="fr-FR"/>
        </w:rPr>
        <w:t xml:space="preserve">Ayant épuisé tous les recours internes, </w:t>
      </w:r>
      <w:r w:rsidR="000B562B" w:rsidRPr="00A176EA">
        <w:rPr>
          <w:lang w:val="fr-FR"/>
        </w:rPr>
        <w:t>M</w:t>
      </w:r>
      <w:r w:rsidR="00584246">
        <w:rPr>
          <w:lang w:val="fr-FR"/>
        </w:rPr>
        <w:t>.</w:t>
      </w:r>
      <w:r w:rsidR="000B562B" w:rsidRPr="00A176EA">
        <w:rPr>
          <w:lang w:val="fr-FR"/>
        </w:rPr>
        <w:t xml:space="preserve"> Othman (OO) </w:t>
      </w:r>
      <w:r w:rsidR="00584246">
        <w:rPr>
          <w:lang w:val="fr-FR"/>
        </w:rPr>
        <w:t>a saisi la Cour européenne des droits de l’homme</w:t>
      </w:r>
      <w:r w:rsidR="000B562B" w:rsidRPr="00A176EA">
        <w:rPr>
          <w:lang w:val="fr-FR"/>
        </w:rPr>
        <w:t>.</w:t>
      </w:r>
    </w:p>
    <w:p w:rsidR="000B562B" w:rsidRPr="00A176EA" w:rsidRDefault="002549A9" w:rsidP="002B2D40">
      <w:pPr>
        <w:pStyle w:val="SingleTxtG"/>
        <w:rPr>
          <w:color w:val="000000"/>
          <w:lang w:val="fr-FR"/>
        </w:rPr>
      </w:pPr>
      <w:r w:rsidRPr="00A176EA">
        <w:rPr>
          <w:color w:val="000000"/>
          <w:lang w:val="fr-FR"/>
        </w:rPr>
        <w:t>54.</w:t>
      </w:r>
      <w:r w:rsidRPr="00A176EA">
        <w:rPr>
          <w:color w:val="000000"/>
          <w:lang w:val="fr-FR"/>
        </w:rPr>
        <w:tab/>
      </w:r>
      <w:r w:rsidR="00584246">
        <w:rPr>
          <w:color w:val="000000"/>
          <w:lang w:val="fr-FR"/>
        </w:rPr>
        <w:t xml:space="preserve">Les </w:t>
      </w:r>
      <w:r w:rsidR="00584246" w:rsidRPr="00A176EA">
        <w:rPr>
          <w:lang w:val="fr-FR"/>
        </w:rPr>
        <w:t xml:space="preserve">assurances </w:t>
      </w:r>
      <w:r w:rsidR="00584246">
        <w:rPr>
          <w:lang w:val="fr-FR"/>
        </w:rPr>
        <w:t>de gouvernement à gouvernement peuvent être employées dans des procédures d’expulsion pour garantir la protection d’un individu après retour, en particulier au regard de la sécurité nationale</w:t>
      </w:r>
      <w:r w:rsidR="00FD5D8A">
        <w:rPr>
          <w:lang w:val="fr-FR"/>
        </w:rPr>
        <w:t xml:space="preserve">. Le Gouvernement estime que vérifier l’existence ou non de raisons sérieuses pour l’expulsion doit se faire au cas par cas en considérant la totalité des éléments de preuve et que les assurances doivent être examinées de la même façon que tout autre élément de preuve. Il considère qu’un système de normes minimales ne pourrait ni ne saurait </w:t>
      </w:r>
      <w:r w:rsidR="009662AA">
        <w:rPr>
          <w:lang w:val="fr-FR"/>
        </w:rPr>
        <w:t>être plus efficace</w:t>
      </w:r>
      <w:r w:rsidR="000B562B" w:rsidRPr="00A176EA">
        <w:rPr>
          <w:lang w:val="fr-FR"/>
        </w:rPr>
        <w:t>.</w:t>
      </w:r>
    </w:p>
    <w:p w:rsidR="000B562B" w:rsidRPr="00A176EA" w:rsidRDefault="002549A9" w:rsidP="002B2D40">
      <w:pPr>
        <w:pStyle w:val="SingleTxtG"/>
        <w:rPr>
          <w:lang w:val="fr-FR"/>
        </w:rPr>
      </w:pPr>
      <w:r w:rsidRPr="00A176EA">
        <w:rPr>
          <w:lang w:val="fr-FR"/>
        </w:rPr>
        <w:t>55.</w:t>
      </w:r>
      <w:r w:rsidRPr="00A176EA">
        <w:rPr>
          <w:lang w:val="fr-FR"/>
        </w:rPr>
        <w:tab/>
      </w:r>
      <w:r w:rsidR="006D1445" w:rsidRPr="002B2D40">
        <w:rPr>
          <w:lang w:val="fr-FR"/>
        </w:rPr>
        <w:t>Des</w:t>
      </w:r>
      <w:r w:rsidR="000B562B" w:rsidRPr="002B2D40">
        <w:rPr>
          <w:lang w:val="fr-FR"/>
        </w:rPr>
        <w:t xml:space="preserve"> </w:t>
      </w:r>
      <w:r w:rsidR="00F21904" w:rsidRPr="002B2D40">
        <w:rPr>
          <w:lang w:val="fr-FR"/>
        </w:rPr>
        <w:t>protocoles d’</w:t>
      </w:r>
      <w:r w:rsidR="001A3D6D" w:rsidRPr="002B2D40">
        <w:rPr>
          <w:lang w:val="fr-FR"/>
        </w:rPr>
        <w:t>accord-cadre</w:t>
      </w:r>
      <w:r w:rsidR="000B562B" w:rsidRPr="002B2D40">
        <w:rPr>
          <w:lang w:val="fr-FR"/>
        </w:rPr>
        <w:t xml:space="preserve"> </w:t>
      </w:r>
      <w:r w:rsidR="00501DE8" w:rsidRPr="002B2D40">
        <w:rPr>
          <w:lang w:val="fr-FR"/>
        </w:rPr>
        <w:t>sur l’expulsion avec a</w:t>
      </w:r>
      <w:r w:rsidR="000B562B" w:rsidRPr="002B2D40">
        <w:rPr>
          <w:lang w:val="fr-FR"/>
        </w:rPr>
        <w:t>ssurances</w:t>
      </w:r>
      <w:r w:rsidR="002B2D40">
        <w:rPr>
          <w:lang w:val="fr-FR"/>
        </w:rPr>
        <w:t xml:space="preserve">, qui régissent la procédure de demande d’assurances, ont été négociés avec la Jordanie, le Liban et la Libye en 2005 et avec l’Éthiopie en 2008. </w:t>
      </w:r>
      <w:r w:rsidR="002B2D40" w:rsidRPr="002B2D40">
        <w:rPr>
          <w:lang w:val="fr-FR"/>
        </w:rPr>
        <w:t xml:space="preserve">Des assurances distinctes, établies dans un échange de lettres </w:t>
      </w:r>
      <w:r w:rsidR="00584246" w:rsidRPr="002B2D40">
        <w:rPr>
          <w:lang w:val="fr-FR"/>
        </w:rPr>
        <w:t>entre le</w:t>
      </w:r>
      <w:r w:rsidR="000B562B" w:rsidRPr="002B2D40">
        <w:rPr>
          <w:lang w:val="fr-FR"/>
        </w:rPr>
        <w:t xml:space="preserve"> </w:t>
      </w:r>
      <w:r w:rsidR="00FB503E" w:rsidRPr="002B2D40">
        <w:rPr>
          <w:lang w:val="fr-FR"/>
        </w:rPr>
        <w:t>Premier Ministre</w:t>
      </w:r>
      <w:r w:rsidR="00584246" w:rsidRPr="002B2D40">
        <w:rPr>
          <w:lang w:val="fr-FR"/>
        </w:rPr>
        <w:t xml:space="preserve"> d’alors</w:t>
      </w:r>
      <w:r w:rsidR="000B562B" w:rsidRPr="002B2D40">
        <w:rPr>
          <w:lang w:val="fr-FR"/>
        </w:rPr>
        <w:t>, M</w:t>
      </w:r>
      <w:r w:rsidR="00FB503E" w:rsidRPr="002B2D40">
        <w:rPr>
          <w:lang w:val="fr-FR"/>
        </w:rPr>
        <w:t>.</w:t>
      </w:r>
      <w:r w:rsidR="000B562B" w:rsidRPr="002B2D40">
        <w:rPr>
          <w:lang w:val="fr-FR"/>
        </w:rPr>
        <w:t xml:space="preserve"> Blair, </w:t>
      </w:r>
      <w:r w:rsidR="00584246" w:rsidRPr="002B2D40">
        <w:rPr>
          <w:lang w:val="fr-FR"/>
        </w:rPr>
        <w:t>et</w:t>
      </w:r>
      <w:r w:rsidR="000B562B" w:rsidRPr="002B2D40">
        <w:rPr>
          <w:lang w:val="fr-FR"/>
        </w:rPr>
        <w:t xml:space="preserve"> </w:t>
      </w:r>
      <w:r w:rsidR="00584246" w:rsidRPr="002B2D40">
        <w:rPr>
          <w:lang w:val="fr-FR"/>
        </w:rPr>
        <w:t xml:space="preserve">le </w:t>
      </w:r>
      <w:r w:rsidR="000B562B" w:rsidRPr="002B2D40">
        <w:rPr>
          <w:lang w:val="fr-FR"/>
        </w:rPr>
        <w:t>Pr</w:t>
      </w:r>
      <w:r w:rsidR="00584246" w:rsidRPr="002B2D40">
        <w:rPr>
          <w:lang w:val="fr-FR"/>
        </w:rPr>
        <w:t>é</w:t>
      </w:r>
      <w:r w:rsidR="000B562B" w:rsidRPr="002B2D40">
        <w:rPr>
          <w:lang w:val="fr-FR"/>
        </w:rPr>
        <w:t xml:space="preserve">sident Bouteflika </w:t>
      </w:r>
      <w:r w:rsidR="00584246" w:rsidRPr="002B2D40">
        <w:rPr>
          <w:lang w:val="fr-FR"/>
        </w:rPr>
        <w:t>en juillet</w:t>
      </w:r>
      <w:r w:rsidR="000B562B" w:rsidRPr="002B2D40">
        <w:rPr>
          <w:lang w:val="fr-FR"/>
        </w:rPr>
        <w:t xml:space="preserve"> 2006</w:t>
      </w:r>
      <w:r w:rsidR="002B2D40" w:rsidRPr="002B2D40">
        <w:rPr>
          <w:lang w:val="fr-FR"/>
        </w:rPr>
        <w:t xml:space="preserve"> s’appliquent à l’Algérie</w:t>
      </w:r>
      <w:r w:rsidR="000B562B" w:rsidRPr="002B2D40">
        <w:rPr>
          <w:lang w:val="fr-FR"/>
        </w:rPr>
        <w:t>.</w:t>
      </w:r>
    </w:p>
    <w:p w:rsidR="000B562B" w:rsidRPr="00A176EA" w:rsidRDefault="002549A9" w:rsidP="004B29AE">
      <w:pPr>
        <w:pStyle w:val="SingleTxtG"/>
        <w:rPr>
          <w:color w:val="000000"/>
          <w:lang w:val="fr-FR"/>
        </w:rPr>
      </w:pPr>
      <w:r w:rsidRPr="00A176EA">
        <w:rPr>
          <w:color w:val="000000"/>
          <w:lang w:val="fr-FR"/>
        </w:rPr>
        <w:t>56.</w:t>
      </w:r>
      <w:r w:rsidRPr="00A176EA">
        <w:rPr>
          <w:color w:val="000000"/>
          <w:lang w:val="fr-FR"/>
        </w:rPr>
        <w:tab/>
      </w:r>
      <w:r w:rsidR="002B2D40">
        <w:rPr>
          <w:color w:val="000000"/>
          <w:lang w:val="fr-FR"/>
        </w:rPr>
        <w:t xml:space="preserve">Outre s’être doté d’une procédure pour demander des assurances à d’autres gouvernements en matière de droits de l’homme, le Royaume-Uni a prévu une disposition dans tous les accords en vigueur pour suivre le traitement des individus expulsés et le respect des assurances fournies. Dans certains pays, ce suivi sera réalisé par un organe indépendant nommé à cet effet comme le Centre Adaleh en Jordanie et la Commission éthiopienne des droits de l’homme en </w:t>
      </w:r>
      <w:r w:rsidR="002B2D40">
        <w:rPr>
          <w:lang w:val="fr-FR"/>
        </w:rPr>
        <w:t>Éthiopie. Pour ce qui concerne l’Algérie, le suivi est effectué par l’ambassade britannique</w:t>
      </w:r>
      <w:r w:rsidR="000B562B" w:rsidRPr="00A176EA">
        <w:rPr>
          <w:lang w:val="fr-FR"/>
        </w:rPr>
        <w:t>.</w:t>
      </w:r>
    </w:p>
    <w:p w:rsidR="000B562B" w:rsidRPr="00A176EA" w:rsidRDefault="002549A9" w:rsidP="00FA3E8B">
      <w:pPr>
        <w:pStyle w:val="SingleTxtG"/>
        <w:rPr>
          <w:lang w:val="fr-FR"/>
        </w:rPr>
      </w:pPr>
      <w:r w:rsidRPr="00A176EA">
        <w:rPr>
          <w:lang w:val="fr-FR"/>
        </w:rPr>
        <w:t>57.</w:t>
      </w:r>
      <w:r w:rsidRPr="00A176EA">
        <w:rPr>
          <w:lang w:val="fr-FR"/>
        </w:rPr>
        <w:tab/>
      </w:r>
      <w:r w:rsidR="00FA3E8B" w:rsidRPr="00FA3E8B">
        <w:rPr>
          <w:lang w:val="fr-FR"/>
        </w:rPr>
        <w:t xml:space="preserve">À ce </w:t>
      </w:r>
      <w:r w:rsidR="00FA3E8B">
        <w:rPr>
          <w:lang w:val="fr-FR"/>
        </w:rPr>
        <w:t>j</w:t>
      </w:r>
      <w:r w:rsidR="00FA3E8B" w:rsidRPr="00FA3E8B">
        <w:rPr>
          <w:lang w:val="fr-FR"/>
        </w:rPr>
        <w:t xml:space="preserve">our, neuf Algériens ont été expulsés en vertu </w:t>
      </w:r>
      <w:r w:rsidR="00501DE8" w:rsidRPr="00FA3E8B">
        <w:rPr>
          <w:lang w:val="fr-FR"/>
        </w:rPr>
        <w:t>d’accords d’expulsion avec assurances</w:t>
      </w:r>
      <w:r w:rsidR="000B562B" w:rsidRPr="00FA3E8B">
        <w:rPr>
          <w:lang w:val="fr-FR"/>
        </w:rPr>
        <w:t>.</w:t>
      </w:r>
      <w:r w:rsidR="000B562B" w:rsidRPr="00A176EA">
        <w:rPr>
          <w:lang w:val="fr-FR"/>
        </w:rPr>
        <w:t xml:space="preserve"> </w:t>
      </w:r>
      <w:r w:rsidR="00FA3E8B">
        <w:rPr>
          <w:lang w:val="fr-FR"/>
        </w:rPr>
        <w:t xml:space="preserve">Rien n’indique qu’ils ont été maltraités. Il a été dit que deux d’entre eux avaient été maltraités par les autorités à leur retour en Algérie. La Commission spéciale des recours en matière d’immigration a demandé au Gouvernement britannique </w:t>
      </w:r>
      <w:r w:rsidR="009F34E6">
        <w:rPr>
          <w:lang w:val="fr-FR"/>
        </w:rPr>
        <w:t>de procéder à une enquête</w:t>
      </w:r>
      <w:r w:rsidR="00FC2B97">
        <w:rPr>
          <w:lang w:val="fr-FR"/>
        </w:rPr>
        <w:t>:</w:t>
      </w:r>
      <w:r w:rsidR="00FA3E8B">
        <w:rPr>
          <w:lang w:val="fr-FR"/>
        </w:rPr>
        <w:t xml:space="preserve"> une visite officielle en Algérie a révélé que les allégations de mauvais traitement, qui n’émanaient pas des intéressés eux-mêmes, étaient sans fondement</w:t>
      </w:r>
      <w:r w:rsidR="000B562B" w:rsidRPr="00A176EA">
        <w:rPr>
          <w:lang w:val="fr-FR"/>
        </w:rPr>
        <w:t>.</w:t>
      </w:r>
    </w:p>
    <w:p w:rsidR="000B562B" w:rsidRPr="00A176EA" w:rsidRDefault="002549A9" w:rsidP="00FA3E8B">
      <w:pPr>
        <w:pStyle w:val="SingleTxtG"/>
        <w:rPr>
          <w:lang w:val="fr-FR"/>
        </w:rPr>
      </w:pPr>
      <w:r w:rsidRPr="00A176EA">
        <w:rPr>
          <w:lang w:val="fr-FR"/>
        </w:rPr>
        <w:t>58.</w:t>
      </w:r>
      <w:r w:rsidRPr="00A176EA">
        <w:rPr>
          <w:lang w:val="fr-FR"/>
        </w:rPr>
        <w:tab/>
      </w:r>
      <w:r w:rsidR="00FA3E8B" w:rsidRPr="00FA3E8B">
        <w:rPr>
          <w:lang w:val="fr-FR"/>
        </w:rPr>
        <w:t xml:space="preserve">Treize appels ont été formés devant des tribunaux britanniques et un devant la </w:t>
      </w:r>
      <w:r w:rsidR="00584246" w:rsidRPr="00FA3E8B">
        <w:rPr>
          <w:lang w:val="fr-FR"/>
        </w:rPr>
        <w:t>Cour européenne des droits de l’homme</w:t>
      </w:r>
      <w:r w:rsidR="000B562B" w:rsidRPr="00FA3E8B">
        <w:rPr>
          <w:lang w:val="fr-FR"/>
        </w:rPr>
        <w:t>.</w:t>
      </w:r>
      <w:r w:rsidR="000B562B" w:rsidRPr="00A176EA">
        <w:rPr>
          <w:lang w:val="fr-FR"/>
        </w:rPr>
        <w:t xml:space="preserve"> </w:t>
      </w:r>
      <w:r w:rsidR="00FA3E8B">
        <w:rPr>
          <w:lang w:val="fr-FR"/>
        </w:rPr>
        <w:t xml:space="preserve">Le Gouvernement n’a expulsé personne vers la Libye et n’a fait aucune tentative dans ce sens depuis que les tribunaux britanniques ont rejeté la validité de l’accord-cadre du Gouvernement britannique avec le Gouvernement libyen en 2008. Compte </w:t>
      </w:r>
      <w:r w:rsidR="001A3D6D">
        <w:rPr>
          <w:lang w:val="fr-FR"/>
        </w:rPr>
        <w:t>tenu</w:t>
      </w:r>
      <w:r w:rsidR="00FA3E8B">
        <w:rPr>
          <w:lang w:val="fr-FR"/>
        </w:rPr>
        <w:t xml:space="preserve"> de la situation actuelle en Libye, le Royaume-Uni n’a pas l’intention de recourir à l’accord d’expulsion avec assurances signé en </w:t>
      </w:r>
      <w:r w:rsidR="000B562B" w:rsidRPr="00A176EA">
        <w:rPr>
          <w:lang w:val="fr-FR"/>
        </w:rPr>
        <w:t>2005.</w:t>
      </w:r>
    </w:p>
    <w:p w:rsidR="000B562B" w:rsidRPr="00A176EA" w:rsidRDefault="002549A9" w:rsidP="00002509">
      <w:pPr>
        <w:pStyle w:val="SingleTxtG"/>
        <w:rPr>
          <w:color w:val="000000"/>
          <w:lang w:val="fr-FR"/>
        </w:rPr>
      </w:pPr>
      <w:r w:rsidRPr="00A176EA">
        <w:rPr>
          <w:color w:val="000000"/>
          <w:lang w:val="fr-FR"/>
        </w:rPr>
        <w:t>59.</w:t>
      </w:r>
      <w:r w:rsidRPr="00A176EA">
        <w:rPr>
          <w:color w:val="000000"/>
          <w:lang w:val="fr-FR"/>
        </w:rPr>
        <w:tab/>
      </w:r>
      <w:r w:rsidR="008D772A">
        <w:rPr>
          <w:color w:val="000000"/>
          <w:lang w:val="fr-FR"/>
        </w:rPr>
        <w:t>Le Gouvernement évalue la sécurité d’un individu après retour au moment de la décision d’expulsion. Toutes les décisions d’expulsion sont réexaminées lorsqu’il y a procédure d’appel et la sécurité de l’individu est de nouveau évaluée juste avant son renvoi physique. Les circonstances peuvent toujours changer, dans tous les pays, mais cela n’invalide pas le concept même d</w:t>
      </w:r>
      <w:r w:rsidR="00073755">
        <w:rPr>
          <w:color w:val="000000"/>
          <w:lang w:val="fr-FR"/>
        </w:rPr>
        <w:t xml:space="preserve">es </w:t>
      </w:r>
      <w:r w:rsidR="008D772A">
        <w:rPr>
          <w:color w:val="000000"/>
          <w:lang w:val="fr-FR"/>
        </w:rPr>
        <w:t>assurances. Les accords en vigueur et futurs, dont ceux conclus avec les pays du Moyen-Orient qui ont connu des événements récents</w:t>
      </w:r>
      <w:r w:rsidR="00002509">
        <w:rPr>
          <w:color w:val="000000"/>
          <w:lang w:val="fr-FR"/>
        </w:rPr>
        <w:t>, sont régulièrement réexaminés afin de prendre en compte les changements politiques</w:t>
      </w:r>
      <w:r w:rsidR="000B562B" w:rsidRPr="00A176EA">
        <w:rPr>
          <w:lang w:val="fr-FR"/>
        </w:rPr>
        <w:t>.</w:t>
      </w:r>
    </w:p>
    <w:p w:rsidR="000B562B" w:rsidRPr="00A176EA" w:rsidRDefault="002549A9" w:rsidP="00002509">
      <w:pPr>
        <w:pStyle w:val="SingleTxtG"/>
        <w:rPr>
          <w:lang w:val="fr-FR"/>
        </w:rPr>
      </w:pPr>
      <w:r w:rsidRPr="00A176EA">
        <w:rPr>
          <w:lang w:val="fr-FR"/>
        </w:rPr>
        <w:t>60.</w:t>
      </w:r>
      <w:r w:rsidRPr="00A176EA">
        <w:rPr>
          <w:lang w:val="fr-FR"/>
        </w:rPr>
        <w:tab/>
      </w:r>
      <w:r w:rsidR="00002509">
        <w:rPr>
          <w:lang w:val="fr-FR"/>
        </w:rPr>
        <w:t xml:space="preserve">Dans son </w:t>
      </w:r>
      <w:r w:rsidR="00CD0110">
        <w:rPr>
          <w:lang w:val="fr-FR"/>
        </w:rPr>
        <w:t>«</w:t>
      </w:r>
      <w:r w:rsidR="00002509">
        <w:rPr>
          <w:lang w:val="fr-FR"/>
        </w:rPr>
        <w:t>Programme de gouvernement</w:t>
      </w:r>
      <w:r w:rsidR="00CD0110">
        <w:rPr>
          <w:lang w:val="fr-FR"/>
        </w:rPr>
        <w:t>»</w:t>
      </w:r>
      <w:r w:rsidR="00002509">
        <w:rPr>
          <w:lang w:val="fr-FR"/>
        </w:rPr>
        <w:t xml:space="preserve"> publié le 20 mai 2010, le Gouvernement s’est engagé à demander des assurances à d’autres pays dans le cadre d’une large révision de sa législation antiterroriste. Cette révision rendue publique en janvier 2011 et figurant dans un rapport indépendant élaboré par Lord Macdonald, de River Glaven QC, a révélé que la politique britannique en matière d’expulsion avec assurances était conforme aux lois et ne compromettait pas l’engagement du Gouvernement de s’acquitter de ses obligations internationales en matière de droits de l’homme</w:t>
      </w:r>
      <w:r w:rsidR="000B562B" w:rsidRPr="00A176EA">
        <w:rPr>
          <w:lang w:val="fr-FR"/>
        </w:rPr>
        <w:t>.</w:t>
      </w:r>
    </w:p>
    <w:p w:rsidR="000B562B" w:rsidRPr="00A176EA" w:rsidRDefault="000B562B" w:rsidP="001F0D97">
      <w:pPr>
        <w:pStyle w:val="SingleTxtG"/>
        <w:ind w:firstLine="567"/>
        <w:rPr>
          <w:b/>
          <w:lang w:val="fr-FR"/>
        </w:rPr>
      </w:pPr>
      <w:r w:rsidRPr="00002509">
        <w:rPr>
          <w:b/>
          <w:lang w:val="fr-FR"/>
        </w:rPr>
        <w:t>e)</w:t>
      </w:r>
      <w:r w:rsidR="004B29AE" w:rsidRPr="00002509">
        <w:rPr>
          <w:b/>
          <w:lang w:val="fr-FR"/>
        </w:rPr>
        <w:tab/>
      </w:r>
      <w:r w:rsidR="002D62E5">
        <w:rPr>
          <w:b/>
          <w:lang w:val="fr-FR"/>
        </w:rPr>
        <w:t>R</w:t>
      </w:r>
      <w:r w:rsidR="00230A9B" w:rsidRPr="00002509">
        <w:rPr>
          <w:b/>
          <w:lang w:val="fr-FR"/>
        </w:rPr>
        <w:t>ecours par l’État partie à la détention pour une durée virtuellement illimitée de nationaux étrangers suspectés de participation au terrorisme international en vertu de la loi de 2001 sur la lutte contre le terrorisme, la criminalité et la sécurité, et le régime sévère appliqué dans la prison de Belmarsh</w:t>
      </w:r>
      <w:r w:rsidRPr="00002509">
        <w:rPr>
          <w:b/>
          <w:lang w:val="fr-FR"/>
        </w:rPr>
        <w:t>.</w:t>
      </w:r>
    </w:p>
    <w:p w:rsidR="000B562B" w:rsidRPr="00A176EA" w:rsidRDefault="002549A9" w:rsidP="005C1DFE">
      <w:pPr>
        <w:pStyle w:val="SingleTxtG"/>
        <w:rPr>
          <w:lang w:val="fr-FR"/>
        </w:rPr>
      </w:pPr>
      <w:r w:rsidRPr="00A176EA">
        <w:rPr>
          <w:lang w:val="fr-FR"/>
        </w:rPr>
        <w:t>61.</w:t>
      </w:r>
      <w:r w:rsidRPr="00A176EA">
        <w:rPr>
          <w:lang w:val="fr-FR"/>
        </w:rPr>
        <w:tab/>
      </w:r>
      <w:r w:rsidR="00002509" w:rsidRPr="00002509">
        <w:rPr>
          <w:lang w:val="fr-FR"/>
        </w:rPr>
        <w:t>E</w:t>
      </w:r>
      <w:r w:rsidR="000B562B" w:rsidRPr="00002509">
        <w:rPr>
          <w:lang w:val="fr-FR"/>
        </w:rPr>
        <w:t xml:space="preserve">n 2001, </w:t>
      </w:r>
      <w:r w:rsidR="00002509" w:rsidRPr="00002509">
        <w:rPr>
          <w:lang w:val="fr-FR"/>
        </w:rPr>
        <w:t>le Royaume-Uni a dérogé à l’article 5 (</w:t>
      </w:r>
      <w:r w:rsidR="006A03E5">
        <w:rPr>
          <w:lang w:val="fr-FR"/>
        </w:rPr>
        <w:t>D</w:t>
      </w:r>
      <w:r w:rsidR="00002509" w:rsidRPr="00002509">
        <w:rPr>
          <w:lang w:val="fr-FR"/>
        </w:rPr>
        <w:t xml:space="preserve">roit à la liberté) de la </w:t>
      </w:r>
      <w:r w:rsidR="00B669A3" w:rsidRPr="00002509">
        <w:rPr>
          <w:lang w:val="fr-FR"/>
        </w:rPr>
        <w:t xml:space="preserve">Convention européenne des droits de l’homme </w:t>
      </w:r>
      <w:r w:rsidR="00002509" w:rsidRPr="00002509">
        <w:rPr>
          <w:lang w:val="fr-FR"/>
        </w:rPr>
        <w:t>et à l’a</w:t>
      </w:r>
      <w:r w:rsidR="000B562B" w:rsidRPr="00002509">
        <w:rPr>
          <w:lang w:val="fr-FR"/>
        </w:rPr>
        <w:t xml:space="preserve">rticle 9 </w:t>
      </w:r>
      <w:r w:rsidR="00002509" w:rsidRPr="00002509">
        <w:rPr>
          <w:lang w:val="fr-FR"/>
        </w:rPr>
        <w:t>du</w:t>
      </w:r>
      <w:r w:rsidR="000B562B" w:rsidRPr="00002509">
        <w:rPr>
          <w:lang w:val="fr-FR"/>
        </w:rPr>
        <w:t xml:space="preserve"> </w:t>
      </w:r>
      <w:r w:rsidR="00696DBF" w:rsidRPr="00002509">
        <w:rPr>
          <w:lang w:val="fr-FR"/>
        </w:rPr>
        <w:t>Pacte international relatif aux droits civils et politiques</w:t>
      </w:r>
      <w:r w:rsidR="00002509" w:rsidRPr="00002509">
        <w:rPr>
          <w:lang w:val="fr-FR"/>
        </w:rPr>
        <w:t>,</w:t>
      </w:r>
      <w:r w:rsidR="00002509">
        <w:rPr>
          <w:lang w:val="fr-FR"/>
        </w:rPr>
        <w:t xml:space="preserve"> </w:t>
      </w:r>
      <w:r w:rsidR="008D314B">
        <w:rPr>
          <w:lang w:val="fr-FR"/>
        </w:rPr>
        <w:t xml:space="preserve">et introduit de nouvelles dispositions dans la partie 4 de la loi de 2001 sur le terrorisme, la criminalité et la sécurité. Les pouvoirs </w:t>
      </w:r>
      <w:r w:rsidR="005C1DFE">
        <w:rPr>
          <w:lang w:val="fr-FR"/>
        </w:rPr>
        <w:t>prévus dans</w:t>
      </w:r>
      <w:r w:rsidR="008D314B">
        <w:rPr>
          <w:lang w:val="fr-FR"/>
        </w:rPr>
        <w:t xml:space="preserve"> cette pa</w:t>
      </w:r>
      <w:r w:rsidR="005C1DFE">
        <w:rPr>
          <w:lang w:val="fr-FR"/>
        </w:rPr>
        <w:t>r</w:t>
      </w:r>
      <w:r w:rsidR="008D314B">
        <w:rPr>
          <w:lang w:val="fr-FR"/>
        </w:rPr>
        <w:t xml:space="preserve">tie 4 </w:t>
      </w:r>
      <w:r w:rsidR="005C1DFE">
        <w:rPr>
          <w:lang w:val="fr-FR"/>
        </w:rPr>
        <w:t>autorisent</w:t>
      </w:r>
      <w:r w:rsidR="008D314B">
        <w:rPr>
          <w:lang w:val="fr-FR"/>
        </w:rPr>
        <w:t xml:space="preserve"> le placement en détention </w:t>
      </w:r>
      <w:r w:rsidR="005C1DFE">
        <w:rPr>
          <w:lang w:val="fr-FR"/>
        </w:rPr>
        <w:t xml:space="preserve">des ressortissants étrangers en attente d’expulsion, </w:t>
      </w:r>
      <w:r w:rsidR="005C1DFE" w:rsidRPr="005C1DFE">
        <w:rPr>
          <w:lang w:val="fr-FR"/>
        </w:rPr>
        <w:t xml:space="preserve">même si leur renvoi n’est pas encore possible, </w:t>
      </w:r>
      <w:r w:rsidR="005C1DFE">
        <w:rPr>
          <w:lang w:val="fr-FR"/>
        </w:rPr>
        <w:t>si</w:t>
      </w:r>
      <w:r w:rsidR="005C1DFE" w:rsidRPr="005C1DFE">
        <w:rPr>
          <w:lang w:val="fr-FR"/>
        </w:rPr>
        <w:t xml:space="preserve"> le </w:t>
      </w:r>
      <w:r w:rsidR="002D62E5">
        <w:rPr>
          <w:lang w:val="fr-FR"/>
        </w:rPr>
        <w:t>Ministre de l’intérieur</w:t>
      </w:r>
      <w:r w:rsidR="005C1DFE" w:rsidRPr="005C1DFE">
        <w:rPr>
          <w:lang w:val="fr-FR"/>
        </w:rPr>
        <w:t xml:space="preserve"> </w:t>
      </w:r>
      <w:r w:rsidR="005C1DFE">
        <w:rPr>
          <w:lang w:val="fr-FR"/>
        </w:rPr>
        <w:t>a des motifs raisonnables de croire</w:t>
      </w:r>
      <w:r w:rsidR="005C1DFE" w:rsidRPr="005C1DFE">
        <w:rPr>
          <w:lang w:val="fr-FR"/>
        </w:rPr>
        <w:t xml:space="preserve"> que la présence au Royaume-Uni de</w:t>
      </w:r>
      <w:r w:rsidR="002D62E5">
        <w:rPr>
          <w:lang w:val="fr-FR"/>
        </w:rPr>
        <w:t>s</w:t>
      </w:r>
      <w:r w:rsidR="005C1DFE" w:rsidRPr="005C1DFE">
        <w:rPr>
          <w:lang w:val="fr-FR"/>
        </w:rPr>
        <w:t xml:space="preserve"> individu</w:t>
      </w:r>
      <w:r w:rsidR="002D62E5">
        <w:rPr>
          <w:lang w:val="fr-FR"/>
        </w:rPr>
        <w:t>s</w:t>
      </w:r>
      <w:r w:rsidR="005C1DFE" w:rsidRPr="005C1DFE">
        <w:rPr>
          <w:lang w:val="fr-FR"/>
        </w:rPr>
        <w:t xml:space="preserve"> concerné</w:t>
      </w:r>
      <w:r w:rsidR="002D62E5">
        <w:rPr>
          <w:lang w:val="fr-FR"/>
        </w:rPr>
        <w:t>s</w:t>
      </w:r>
      <w:r w:rsidR="005C1DFE" w:rsidRPr="005C1DFE">
        <w:rPr>
          <w:lang w:val="fr-FR"/>
        </w:rPr>
        <w:t xml:space="preserve"> constitue un risque pour la sécurité nationale et soupçonne cet individu d’être un terroriste international lié à Al-Qaida. En décembre 2004, la Chambre des lords a annulé l’ordonnance de dérogation prise en vertu de la loi de 1998 sur les droits de l’homme et jugé que la partie 4 était incompatible avec les articles 5 (</w:t>
      </w:r>
      <w:r w:rsidR="006A03E5">
        <w:rPr>
          <w:lang w:val="fr-FR"/>
        </w:rPr>
        <w:t>D</w:t>
      </w:r>
      <w:r w:rsidR="005C1DFE" w:rsidRPr="005C1DFE">
        <w:rPr>
          <w:lang w:val="fr-FR"/>
        </w:rPr>
        <w:t>roit à la liberté) et 14 (</w:t>
      </w:r>
      <w:r w:rsidR="006A03E5">
        <w:rPr>
          <w:lang w:val="fr-FR"/>
        </w:rPr>
        <w:t>I</w:t>
      </w:r>
      <w:r w:rsidR="005C1DFE" w:rsidRPr="005C1DFE">
        <w:rPr>
          <w:lang w:val="fr-FR"/>
        </w:rPr>
        <w:t xml:space="preserve">nterdiction de la discrimination) de la Convention </w:t>
      </w:r>
      <w:r w:rsidR="00B669A3" w:rsidRPr="005C1DFE">
        <w:rPr>
          <w:lang w:val="fr-FR"/>
        </w:rPr>
        <w:t>européenne des droits de l’homme</w:t>
      </w:r>
      <w:r w:rsidR="000B562B" w:rsidRPr="005C1DFE">
        <w:rPr>
          <w:lang w:val="fr-FR"/>
        </w:rPr>
        <w:t>.</w:t>
      </w:r>
    </w:p>
    <w:p w:rsidR="000B562B" w:rsidRPr="00A176EA" w:rsidRDefault="002549A9" w:rsidP="00804904">
      <w:pPr>
        <w:pStyle w:val="SingleTxtG"/>
        <w:rPr>
          <w:lang w:val="fr-FR"/>
        </w:rPr>
      </w:pPr>
      <w:r w:rsidRPr="00A176EA">
        <w:rPr>
          <w:lang w:val="fr-FR"/>
        </w:rPr>
        <w:t>62.</w:t>
      </w:r>
      <w:r w:rsidRPr="00A176EA">
        <w:rPr>
          <w:lang w:val="fr-FR"/>
        </w:rPr>
        <w:tab/>
      </w:r>
      <w:r w:rsidR="001728BD">
        <w:rPr>
          <w:lang w:val="fr-FR"/>
        </w:rPr>
        <w:t xml:space="preserve">Suite à cette décision des </w:t>
      </w:r>
      <w:r w:rsidR="008B2EFA">
        <w:rPr>
          <w:lang w:val="fr-FR"/>
        </w:rPr>
        <w:t>l</w:t>
      </w:r>
      <w:r w:rsidR="001728BD">
        <w:rPr>
          <w:lang w:val="fr-FR"/>
        </w:rPr>
        <w:t>ords contre la partie 4 de ladite loi, le Gouvernement a abrogé cette partie et l’a remplacée par un système d’ordonnance de contrôle instauré par la loi de 2005 sur la prévention du terrorisme. Cette loi permet de prendre une ordonnance de contrôle à l’encontre d’</w:t>
      </w:r>
      <w:r w:rsidR="00740AD5">
        <w:rPr>
          <w:lang w:val="fr-FR"/>
        </w:rPr>
        <w:t xml:space="preserve">un </w:t>
      </w:r>
      <w:r w:rsidR="001728BD">
        <w:rPr>
          <w:lang w:val="fr-FR"/>
        </w:rPr>
        <w:t>individu soupçonné d’activités terroristes, qu</w:t>
      </w:r>
      <w:r w:rsidR="00804904">
        <w:rPr>
          <w:lang w:val="fr-FR"/>
        </w:rPr>
        <w:t>’il</w:t>
      </w:r>
      <w:r w:rsidR="001728BD">
        <w:rPr>
          <w:lang w:val="fr-FR"/>
        </w:rPr>
        <w:t xml:space="preserve"> soit re</w:t>
      </w:r>
      <w:r w:rsidR="00804904">
        <w:rPr>
          <w:lang w:val="fr-FR"/>
        </w:rPr>
        <w:t>ssortissant britannique ou non et que ses activités terroristes soient internationales ou nationales. Ce type d’ordonnance a été pris pour gérer le risque dans un petit nombre de cas où  les terroristes présumés ne pouvaient être ni poursuivis ni expulsés</w:t>
      </w:r>
      <w:r w:rsidR="000B562B" w:rsidRPr="00A176EA">
        <w:rPr>
          <w:lang w:val="fr-FR"/>
        </w:rPr>
        <w:t>.</w:t>
      </w:r>
    </w:p>
    <w:p w:rsidR="000B562B" w:rsidRPr="00A176EA" w:rsidRDefault="002549A9" w:rsidP="009D08B8">
      <w:pPr>
        <w:pStyle w:val="SingleTxtG"/>
        <w:rPr>
          <w:lang w:val="fr-FR"/>
        </w:rPr>
      </w:pPr>
      <w:r w:rsidRPr="00A176EA">
        <w:rPr>
          <w:lang w:val="fr-FR"/>
        </w:rPr>
        <w:t>63.</w:t>
      </w:r>
      <w:r w:rsidRPr="00A176EA">
        <w:rPr>
          <w:lang w:val="fr-FR"/>
        </w:rPr>
        <w:tab/>
      </w:r>
      <w:r w:rsidR="00804904">
        <w:rPr>
          <w:lang w:val="fr-FR"/>
        </w:rPr>
        <w:t xml:space="preserve">Le Gouvernement rend compte chaque trimestre au Parlement de l’exercice des pouvoirs conférés au Ministre de l’intérieur par la loi de 2005. La dernière déclaration sur les ordonnances de contrôle a été publiée le 17 mars 2011 et couvrait la période s’achevant le 10 mars 2011. À cette date, 10 ordonnances étaient en vigueur et 50 individus étaient concernés (le nombre total d’ordonnances </w:t>
      </w:r>
      <w:r w:rsidR="009D08B8">
        <w:rPr>
          <w:lang w:val="fr-FR"/>
        </w:rPr>
        <w:t>prises est supérieur, certains individus ayant fait l’objet de plus d’une ordonnance</w:t>
      </w:r>
      <w:r w:rsidR="000B562B" w:rsidRPr="00A176EA">
        <w:rPr>
          <w:lang w:val="fr-FR"/>
        </w:rPr>
        <w:t>).</w:t>
      </w:r>
    </w:p>
    <w:p w:rsidR="000B562B" w:rsidRPr="00A176EA" w:rsidRDefault="002549A9" w:rsidP="009D08B8">
      <w:pPr>
        <w:pStyle w:val="SingleTxtG"/>
        <w:rPr>
          <w:lang w:val="fr-FR"/>
        </w:rPr>
      </w:pPr>
      <w:r w:rsidRPr="00A176EA">
        <w:rPr>
          <w:lang w:val="fr-FR"/>
        </w:rPr>
        <w:t>64.</w:t>
      </w:r>
      <w:r w:rsidRPr="00A176EA">
        <w:rPr>
          <w:lang w:val="fr-FR"/>
        </w:rPr>
        <w:tab/>
      </w:r>
      <w:r w:rsidR="009D08B8">
        <w:rPr>
          <w:lang w:val="fr-FR"/>
        </w:rPr>
        <w:t xml:space="preserve">Une ordonnance de contrôle impose à un individu une ou plusieurs obligations visant à prévenir, limiter ou faire cesser sa </w:t>
      </w:r>
      <w:r w:rsidR="001A3D6D">
        <w:rPr>
          <w:lang w:val="fr-FR"/>
        </w:rPr>
        <w:t>participation</w:t>
      </w:r>
      <w:r w:rsidR="009D08B8">
        <w:rPr>
          <w:lang w:val="fr-FR"/>
        </w:rPr>
        <w:t xml:space="preserve"> à une activité liée au terrorisme. Il peut s’agir, par exemple, d’une mesure d’interdiction d’utiliser du matériel de communication ou de restriction de la liberté de circulation. </w:t>
      </w:r>
      <w:r w:rsidR="009D08B8" w:rsidRPr="009D08B8">
        <w:rPr>
          <w:lang w:val="fr-FR"/>
        </w:rPr>
        <w:t>Les obligations spécifiques visées dans une ordonnance de contrôle sont proportionnelles à la menace que représente l’individu et adaptées à chaque cas. Le non</w:t>
      </w:r>
      <w:r w:rsidR="009D08B8" w:rsidRPr="009D08B8">
        <w:rPr>
          <w:lang w:val="fr-FR"/>
        </w:rPr>
        <w:noBreakHyphen/>
        <w:t xml:space="preserve">respect, sans raison </w:t>
      </w:r>
      <w:r w:rsidR="009D08B8">
        <w:rPr>
          <w:lang w:val="fr-FR"/>
        </w:rPr>
        <w:t>val</w:t>
      </w:r>
      <w:r w:rsidR="009D08B8" w:rsidRPr="009D08B8">
        <w:rPr>
          <w:lang w:val="fr-FR"/>
        </w:rPr>
        <w:t xml:space="preserve">able, d’une obligation imposée par </w:t>
      </w:r>
      <w:r w:rsidR="009D08B8">
        <w:rPr>
          <w:lang w:val="fr-FR"/>
        </w:rPr>
        <w:t xml:space="preserve">une </w:t>
      </w:r>
      <w:r w:rsidR="009D08B8" w:rsidRPr="009D08B8">
        <w:rPr>
          <w:lang w:val="fr-FR"/>
        </w:rPr>
        <w:t>ordonnance de contrôle constitue une infraction pénale passible d’un</w:t>
      </w:r>
      <w:r w:rsidR="006A03E5">
        <w:rPr>
          <w:lang w:val="fr-FR"/>
        </w:rPr>
        <w:t>e</w:t>
      </w:r>
      <w:r w:rsidR="009D08B8" w:rsidRPr="009D08B8">
        <w:rPr>
          <w:lang w:val="fr-FR"/>
        </w:rPr>
        <w:t xml:space="preserve"> </w:t>
      </w:r>
      <w:r w:rsidR="006A03E5">
        <w:rPr>
          <w:lang w:val="fr-FR"/>
        </w:rPr>
        <w:t>privation de liberté</w:t>
      </w:r>
      <w:r w:rsidR="009D08B8" w:rsidRPr="009D08B8">
        <w:rPr>
          <w:lang w:val="fr-FR"/>
        </w:rPr>
        <w:t xml:space="preserve"> pouvant aller jusqu’à cinq ans, d’une amende, ou des deux</w:t>
      </w:r>
      <w:r w:rsidR="000B562B" w:rsidRPr="009D08B8">
        <w:rPr>
          <w:lang w:val="fr-FR"/>
        </w:rPr>
        <w:t>.</w:t>
      </w:r>
    </w:p>
    <w:p w:rsidR="000B562B" w:rsidRPr="00A176EA" w:rsidRDefault="002549A9" w:rsidP="004B29AE">
      <w:pPr>
        <w:pStyle w:val="SingleTxtG"/>
        <w:rPr>
          <w:color w:val="000000"/>
          <w:lang w:val="fr-FR"/>
        </w:rPr>
      </w:pPr>
      <w:r w:rsidRPr="00A176EA">
        <w:rPr>
          <w:color w:val="000000"/>
          <w:lang w:val="fr-FR"/>
        </w:rPr>
        <w:t>65.</w:t>
      </w:r>
      <w:r w:rsidRPr="00A176EA">
        <w:rPr>
          <w:color w:val="000000"/>
          <w:lang w:val="fr-FR"/>
        </w:rPr>
        <w:tab/>
      </w:r>
      <w:r w:rsidR="009D08B8">
        <w:rPr>
          <w:lang w:val="fr-FR"/>
        </w:rPr>
        <w:t>Il existe deux</w:t>
      </w:r>
      <w:r w:rsidR="000B562B" w:rsidRPr="00A176EA">
        <w:rPr>
          <w:lang w:val="fr-FR"/>
        </w:rPr>
        <w:t xml:space="preserve"> types </w:t>
      </w:r>
      <w:r w:rsidR="009D08B8">
        <w:rPr>
          <w:lang w:val="fr-FR"/>
        </w:rPr>
        <w:t>d’ordonnance</w:t>
      </w:r>
      <w:r w:rsidR="005A455B">
        <w:rPr>
          <w:lang w:val="fr-FR"/>
        </w:rPr>
        <w:t>s</w:t>
      </w:r>
      <w:r w:rsidR="009D08B8">
        <w:rPr>
          <w:lang w:val="fr-FR"/>
        </w:rPr>
        <w:t xml:space="preserve"> de contrôle</w:t>
      </w:r>
      <w:r w:rsidR="00FC2B97">
        <w:rPr>
          <w:lang w:val="fr-FR"/>
        </w:rPr>
        <w:t>:</w:t>
      </w:r>
    </w:p>
    <w:p w:rsidR="000B562B" w:rsidRPr="009D08B8" w:rsidRDefault="009D08B8" w:rsidP="00BC0033">
      <w:pPr>
        <w:pStyle w:val="Bullet1G"/>
        <w:rPr>
          <w:color w:val="000000"/>
        </w:rPr>
      </w:pPr>
      <w:r w:rsidRPr="009D08B8">
        <w:t xml:space="preserve">L’ordonnance de contrôle non dérogatoire impose des obligations </w:t>
      </w:r>
      <w:r w:rsidR="006B60C7">
        <w:t>privatives</w:t>
      </w:r>
      <w:r w:rsidRPr="009D08B8">
        <w:t xml:space="preserve"> de liberté </w:t>
      </w:r>
      <w:r w:rsidR="006B60C7">
        <w:t xml:space="preserve">pour une courte durée </w:t>
      </w:r>
      <w:r w:rsidRPr="009D08B8">
        <w:t xml:space="preserve">au sens de l’article </w:t>
      </w:r>
      <w:r w:rsidR="000B562B" w:rsidRPr="009D08B8">
        <w:t xml:space="preserve">5 </w:t>
      </w:r>
      <w:r w:rsidR="00617649">
        <w:t>de la</w:t>
      </w:r>
      <w:r w:rsidR="000B562B" w:rsidRPr="009D08B8">
        <w:t xml:space="preserve"> </w:t>
      </w:r>
      <w:r w:rsidR="00B669A3" w:rsidRPr="009D08B8">
        <w:t>Convention européenne des droits de l’homme</w:t>
      </w:r>
      <w:r w:rsidR="000B562B" w:rsidRPr="009D08B8">
        <w:t>.</w:t>
      </w:r>
    </w:p>
    <w:p w:rsidR="000B562B" w:rsidRPr="00A176EA" w:rsidRDefault="009D08B8" w:rsidP="00BC0033">
      <w:pPr>
        <w:pStyle w:val="Bullet1G"/>
      </w:pPr>
      <w:r w:rsidRPr="00617649">
        <w:t>L’ordonnance de contrôle dérogatoire i</w:t>
      </w:r>
      <w:r w:rsidR="00617649" w:rsidRPr="00617649">
        <w:t xml:space="preserve">mpose des obligations </w:t>
      </w:r>
      <w:r w:rsidR="006B60C7">
        <w:t>assimilables</w:t>
      </w:r>
      <w:r w:rsidR="00617649" w:rsidRPr="00617649">
        <w:t xml:space="preserve"> à la privation de liberté au sens de l’article 5 de la </w:t>
      </w:r>
      <w:r w:rsidR="00B669A3" w:rsidRPr="00617649">
        <w:t>Convention européenne des droits de l’homme</w:t>
      </w:r>
      <w:r w:rsidR="000B562B" w:rsidRPr="00617649">
        <w:t>.</w:t>
      </w:r>
    </w:p>
    <w:p w:rsidR="000B562B" w:rsidRPr="00A176EA" w:rsidRDefault="002549A9" w:rsidP="00D43087">
      <w:pPr>
        <w:pStyle w:val="SingleTxtG"/>
        <w:rPr>
          <w:lang w:val="fr-FR"/>
        </w:rPr>
      </w:pPr>
      <w:r w:rsidRPr="00A176EA">
        <w:rPr>
          <w:lang w:val="fr-FR"/>
        </w:rPr>
        <w:t>66.</w:t>
      </w:r>
      <w:r w:rsidRPr="00A176EA">
        <w:rPr>
          <w:lang w:val="fr-FR"/>
        </w:rPr>
        <w:tab/>
      </w:r>
      <w:r w:rsidR="00617649">
        <w:rPr>
          <w:lang w:val="fr-FR"/>
        </w:rPr>
        <w:t xml:space="preserve">À ce jour, aucune dérogation à l’article 5 de la Convention européenne des droits de l’homme n’a été </w:t>
      </w:r>
      <w:r w:rsidR="006B60C7">
        <w:rPr>
          <w:lang w:val="fr-FR"/>
        </w:rPr>
        <w:t>décidée</w:t>
      </w:r>
      <w:r w:rsidR="00D43087">
        <w:rPr>
          <w:lang w:val="fr-FR"/>
        </w:rPr>
        <w:t xml:space="preserve"> en vertu d’</w:t>
      </w:r>
      <w:r w:rsidR="006B60C7">
        <w:rPr>
          <w:lang w:val="fr-FR"/>
        </w:rPr>
        <w:t xml:space="preserve">une </w:t>
      </w:r>
      <w:r w:rsidR="00D43087">
        <w:rPr>
          <w:lang w:val="fr-FR"/>
        </w:rPr>
        <w:t>ordonnance de contrôle. Seules des ordonnances non dérogatoires ont été prises</w:t>
      </w:r>
      <w:r w:rsidR="000B562B" w:rsidRPr="00A176EA">
        <w:rPr>
          <w:lang w:val="fr-FR"/>
        </w:rPr>
        <w:t>.</w:t>
      </w:r>
    </w:p>
    <w:p w:rsidR="000B562B" w:rsidRPr="00A176EA" w:rsidRDefault="002549A9" w:rsidP="00D444DB">
      <w:pPr>
        <w:pStyle w:val="SingleTxtG"/>
        <w:rPr>
          <w:color w:val="000000"/>
          <w:lang w:val="fr-FR"/>
        </w:rPr>
      </w:pPr>
      <w:r w:rsidRPr="00A176EA">
        <w:rPr>
          <w:color w:val="000000"/>
          <w:lang w:val="fr-FR"/>
        </w:rPr>
        <w:t>67.</w:t>
      </w:r>
      <w:r w:rsidRPr="00A176EA">
        <w:rPr>
          <w:color w:val="000000"/>
          <w:lang w:val="fr-FR"/>
        </w:rPr>
        <w:tab/>
      </w:r>
      <w:r w:rsidR="00D43087">
        <w:rPr>
          <w:color w:val="000000"/>
          <w:lang w:val="fr-FR"/>
        </w:rPr>
        <w:t xml:space="preserve">Les ordonnances de contrôle sont soumises à </w:t>
      </w:r>
      <w:r w:rsidR="00D444DB">
        <w:rPr>
          <w:color w:val="000000"/>
          <w:lang w:val="fr-FR"/>
        </w:rPr>
        <w:t>un contrôle régulier rigoureux. Un certain nombre de garanties ont été mises en place pour protéger les droits de l’intéressé</w:t>
      </w:r>
      <w:r w:rsidR="00FC2B97">
        <w:rPr>
          <w:color w:val="000000"/>
          <w:lang w:val="fr-FR"/>
        </w:rPr>
        <w:t>:</w:t>
      </w:r>
    </w:p>
    <w:p w:rsidR="000B562B" w:rsidRPr="00A176EA" w:rsidRDefault="00810DDE" w:rsidP="00BC0033">
      <w:pPr>
        <w:pStyle w:val="Bullet1G"/>
      </w:pPr>
      <w:r>
        <w:t xml:space="preserve">La Haute Cour doit autoriser </w:t>
      </w:r>
      <w:r w:rsidR="00E74D04">
        <w:t>toute ordonnance de contrôle non dérogatoire (en cas d’urgence, le Ministre de l’intérieur peut prendre une ordonnance de contrôle non dérogatoire sans autorisation, mais celle-ci doit être validée par la Haute Cour dans un délai de 7 jours</w:t>
      </w:r>
      <w:r w:rsidR="000B562B" w:rsidRPr="00A176EA">
        <w:t>).</w:t>
      </w:r>
    </w:p>
    <w:p w:rsidR="000B562B" w:rsidRPr="00A176EA" w:rsidRDefault="006B60C7" w:rsidP="00BC0033">
      <w:pPr>
        <w:pStyle w:val="Bullet1G"/>
      </w:pPr>
      <w:r>
        <w:t xml:space="preserve">La Haute Cour prend une ordonnance de contrôle dérogatoire </w:t>
      </w:r>
      <w:r w:rsidR="003C4B2E">
        <w:t>à la demande du</w:t>
      </w:r>
      <w:r>
        <w:t xml:space="preserve"> </w:t>
      </w:r>
      <w:r w:rsidR="00E74D04">
        <w:t>Ministre de l’intérieur</w:t>
      </w:r>
      <w:r w:rsidR="000B562B" w:rsidRPr="00A176EA">
        <w:t>.</w:t>
      </w:r>
    </w:p>
    <w:p w:rsidR="000B562B" w:rsidRPr="00A176EA" w:rsidRDefault="00810DDE" w:rsidP="00BC0033">
      <w:pPr>
        <w:pStyle w:val="Bullet1G"/>
      </w:pPr>
      <w:r>
        <w:t>La Haute Cour examine</w:t>
      </w:r>
      <w:r w:rsidR="00E74D04">
        <w:t xml:space="preserve"> obligatoire</w:t>
      </w:r>
      <w:r>
        <w:t>ment</w:t>
      </w:r>
      <w:r w:rsidR="00E74D04">
        <w:t xml:space="preserve"> chaque ordonnance de contrôle. </w:t>
      </w:r>
      <w:r w:rsidR="005A455B">
        <w:t>Elle</w:t>
      </w:r>
      <w:r w:rsidR="00E74D04">
        <w:t xml:space="preserve"> peut </w:t>
      </w:r>
      <w:r w:rsidR="00291C5C">
        <w:t xml:space="preserve">examiner l’affaire en audience publique ou privée en fonction de la nature et du caractère sensible des informations. Dans la mesure du possible, les individus sont représentés en audience publique </w:t>
      </w:r>
      <w:r w:rsidR="006B60C7">
        <w:t xml:space="preserve">et </w:t>
      </w:r>
      <w:r w:rsidR="00291C5C">
        <w:t xml:space="preserve">par l’avocat de leur choix. Pour les audiences à huis clos, un avocat spécial représente les intérêts de </w:t>
      </w:r>
      <w:r w:rsidR="006B60C7">
        <w:t>l’individu</w:t>
      </w:r>
      <w:r w:rsidR="00291C5C">
        <w:t xml:space="preserve">. Pour les ordonnances non </w:t>
      </w:r>
      <w:r w:rsidR="001A3D6D">
        <w:t>dérogatoires</w:t>
      </w:r>
      <w:r w:rsidR="00291C5C">
        <w:t xml:space="preserve">, le tribunal doit partager la conviction du Ministre de l’intérieur qu’il y a des raisons </w:t>
      </w:r>
      <w:r w:rsidR="00EB6F92">
        <w:t xml:space="preserve">sérieuses </w:t>
      </w:r>
      <w:r w:rsidR="00291C5C">
        <w:t>de croire que l’intéressé est soupçonné d’avoir participé ou de participer à des activités terroristes. Pour les ordonnances dérogatoires, le tribunal doit</w:t>
      </w:r>
      <w:r w:rsidR="006B60C7" w:rsidRPr="006B60C7">
        <w:t xml:space="preserve"> </w:t>
      </w:r>
      <w:r w:rsidR="006B60C7">
        <w:t>être convaincu</w:t>
      </w:r>
      <w:r w:rsidR="00291C5C">
        <w:t xml:space="preserve"> </w:t>
      </w:r>
      <w:r w:rsidR="006B60C7">
        <w:t xml:space="preserve">qu’il est hautement probable </w:t>
      </w:r>
      <w:r w:rsidR="00291C5C">
        <w:t xml:space="preserve">que l’intéressé a participé ou participe à des activités terroristes. Dans les deux cas, l’ordonnance doit être jugée </w:t>
      </w:r>
      <w:r w:rsidR="003A63EF">
        <w:t xml:space="preserve">nécessaire à la protection </w:t>
      </w:r>
      <w:r w:rsidR="006B60C7">
        <w:t>des citoyens</w:t>
      </w:r>
      <w:r w:rsidR="003A63EF">
        <w:t xml:space="preserve"> contre une menace terroriste. Le juge doit par ailleurs être convaincu que chaque obligation imposée par l’ordonnance est nécessaire et conforme à la </w:t>
      </w:r>
      <w:r w:rsidR="00B669A3" w:rsidRPr="003A63EF">
        <w:t>Convention européenne des droits de l’homme</w:t>
      </w:r>
      <w:r w:rsidR="003A63EF" w:rsidRPr="003A63EF">
        <w:t>, dont les</w:t>
      </w:r>
      <w:r w:rsidR="000B562B" w:rsidRPr="003A63EF">
        <w:t xml:space="preserve"> </w:t>
      </w:r>
      <w:r w:rsidR="003A63EF" w:rsidRPr="003A63EF">
        <w:t>a</w:t>
      </w:r>
      <w:r w:rsidR="000B562B" w:rsidRPr="003A63EF">
        <w:t>rticles 8 (</w:t>
      </w:r>
      <w:r w:rsidR="00F0259B">
        <w:t>D</w:t>
      </w:r>
      <w:r w:rsidR="003A63EF" w:rsidRPr="003A63EF">
        <w:t>roit au</w:t>
      </w:r>
      <w:r w:rsidR="000B562B" w:rsidRPr="003A63EF">
        <w:t xml:space="preserve"> respect </w:t>
      </w:r>
      <w:r w:rsidR="003A63EF" w:rsidRPr="003A63EF">
        <w:t>de la</w:t>
      </w:r>
      <w:r w:rsidR="003A63EF">
        <w:t xml:space="preserve"> vie privée et familiale</w:t>
      </w:r>
      <w:r w:rsidR="000B562B" w:rsidRPr="00A176EA">
        <w:t xml:space="preserve">) </w:t>
      </w:r>
      <w:r w:rsidR="003A63EF">
        <w:t>et</w:t>
      </w:r>
      <w:r w:rsidR="000B562B" w:rsidRPr="00A176EA">
        <w:t xml:space="preserve">, </w:t>
      </w:r>
      <w:r w:rsidR="003A63EF">
        <w:t>s’agissant des ordonnances de contrôle non dérogatoires seulement, à l’article 5 (</w:t>
      </w:r>
      <w:r w:rsidR="00F0259B">
        <w:t>D</w:t>
      </w:r>
      <w:r w:rsidR="003A63EF">
        <w:t xml:space="preserve">roit à la liberté). Pour les deux types d’ordonnance, le juge veillera également à ce que le droit de l’individu à un procès équitable soit protégé, conformément à l’article 6. Dans le cas d’une ordonnance non dérogatoire, si </w:t>
      </w:r>
      <w:r w:rsidR="00194495">
        <w:t>l’une</w:t>
      </w:r>
      <w:r w:rsidR="003A63EF">
        <w:t xml:space="preserve"> de ces conditions n’est </w:t>
      </w:r>
      <w:r w:rsidR="006B60C7">
        <w:t xml:space="preserve">pas </w:t>
      </w:r>
      <w:r w:rsidR="003A63EF">
        <w:t xml:space="preserve">remplie le juge peut annuler l’ordonnance, annuler une ou plusieurs des obligations qu’elle </w:t>
      </w:r>
      <w:r w:rsidR="00A66614">
        <w:t>énonce</w:t>
      </w:r>
      <w:r w:rsidR="003A63EF">
        <w:t xml:space="preserve"> ou donner instruction </w:t>
      </w:r>
      <w:r w:rsidR="006E1323">
        <w:t>que, en l’espèce, elle ne soit pas appliquée</w:t>
      </w:r>
      <w:r w:rsidR="003A63EF">
        <w:t xml:space="preserve"> ou les obligations qu’elle impose</w:t>
      </w:r>
      <w:r w:rsidR="006E1323" w:rsidRPr="006E1323">
        <w:t xml:space="preserve"> </w:t>
      </w:r>
      <w:r w:rsidR="006E1323">
        <w:t>soit modifiées</w:t>
      </w:r>
      <w:r w:rsidR="003A63EF">
        <w:t xml:space="preserve">. Dans le cas d’une ordonnance dérogatoire, si </w:t>
      </w:r>
      <w:r w:rsidR="00194495">
        <w:t>l’une</w:t>
      </w:r>
      <w:r w:rsidR="003A63EF">
        <w:t xml:space="preserve"> de ces conditions n’est </w:t>
      </w:r>
      <w:r w:rsidR="00194495">
        <w:t xml:space="preserve">pas </w:t>
      </w:r>
      <w:r w:rsidR="003A63EF">
        <w:t xml:space="preserve">remplie le juge peut </w:t>
      </w:r>
      <w:r w:rsidR="00C73D08">
        <w:t>ne pas appliquer</w:t>
      </w:r>
      <w:r w:rsidR="003A63EF">
        <w:t xml:space="preserve"> l’ordonnance (et, s’il le juge nécessaire, </w:t>
      </w:r>
      <w:r w:rsidR="00C73D08">
        <w:t>donner instruction que, en l’espèce, elle soit considérée comme annulée</w:t>
      </w:r>
      <w:r w:rsidR="000B562B" w:rsidRPr="00C73D08">
        <w:t>) o</w:t>
      </w:r>
      <w:r>
        <w:t xml:space="preserve">u </w:t>
      </w:r>
      <w:r w:rsidR="00C73D08">
        <w:t>que</w:t>
      </w:r>
      <w:r>
        <w:t xml:space="preserve"> les obligations qu’elle impose </w:t>
      </w:r>
      <w:r w:rsidR="00C73D08">
        <w:t xml:space="preserve">soient modifiées </w:t>
      </w:r>
      <w:r w:rsidR="000B562B" w:rsidRPr="00A176EA">
        <w:t>(</w:t>
      </w:r>
      <w:r w:rsidR="00C73D08">
        <w:t>et lorsqu’une modification supprime une obligation, le cas échéant, donner instruction que, en l’espèce, l’obligation soit considérée comme annulée</w:t>
      </w:r>
      <w:r w:rsidR="000B562B" w:rsidRPr="00A176EA">
        <w:t>).</w:t>
      </w:r>
    </w:p>
    <w:p w:rsidR="000B562B" w:rsidRPr="00A176EA" w:rsidRDefault="00810DDE" w:rsidP="00BC0033">
      <w:pPr>
        <w:pStyle w:val="Bullet1G"/>
      </w:pPr>
      <w:r w:rsidRPr="00810DDE">
        <w:t xml:space="preserve">Il existe un droit de recours devant la Haute Cour contre la décision du </w:t>
      </w:r>
      <w:r>
        <w:t>M</w:t>
      </w:r>
      <w:r w:rsidRPr="00810DDE">
        <w:t>inistre de l’</w:t>
      </w:r>
      <w:r>
        <w:t>i</w:t>
      </w:r>
      <w:r w:rsidRPr="00810DDE">
        <w:t xml:space="preserve">ntérieur de renouveler une ordonnance de contrôle non dérogatoire, ou de modifier une obligation imposée par une ordonnance de contrôle non dérogatoire sans le consentement de la personne contrôlée. Une personne contrôlée peut aussi déposer un recours contre la décision du </w:t>
      </w:r>
      <w:r>
        <w:t>M</w:t>
      </w:r>
      <w:r w:rsidRPr="00810DDE">
        <w:t>inistre de l’</w:t>
      </w:r>
      <w:r>
        <w:t>i</w:t>
      </w:r>
      <w:r w:rsidRPr="00810DDE">
        <w:t>ntérieur de lui refuser de déposer une demande d’annulation de son ordonnance et/ou une demande de modification de toute obligation imposée par cette ordonnance</w:t>
      </w:r>
      <w:r w:rsidR="000B562B" w:rsidRPr="00A176EA">
        <w:t>.</w:t>
      </w:r>
    </w:p>
    <w:p w:rsidR="00810DDE" w:rsidRPr="00AA7FA2" w:rsidRDefault="00810DDE" w:rsidP="00BC0033">
      <w:pPr>
        <w:pStyle w:val="Bullet1G"/>
      </w:pPr>
      <w:r w:rsidRPr="00AA7FA2">
        <w:rPr>
          <w:rStyle w:val="longtext"/>
        </w:rPr>
        <w:t xml:space="preserve">Il existe un droit de recours devant la Haute Cour en vue </w:t>
      </w:r>
      <w:r>
        <w:rPr>
          <w:rStyle w:val="longtext"/>
        </w:rPr>
        <w:t>d’annuler</w:t>
      </w:r>
      <w:r w:rsidRPr="00AA7FA2">
        <w:rPr>
          <w:rStyle w:val="longtext"/>
        </w:rPr>
        <w:t xml:space="preserve"> ou </w:t>
      </w:r>
      <w:r>
        <w:rPr>
          <w:rStyle w:val="longtext"/>
        </w:rPr>
        <w:t xml:space="preserve">de </w:t>
      </w:r>
      <w:r w:rsidRPr="00AA7FA2">
        <w:rPr>
          <w:rStyle w:val="longtext"/>
        </w:rPr>
        <w:t>modifier une ordonnance de contrôle dérogatoire.</w:t>
      </w:r>
    </w:p>
    <w:p w:rsidR="000B562B" w:rsidRPr="00A176EA" w:rsidRDefault="00810DDE" w:rsidP="00BC0033">
      <w:pPr>
        <w:pStyle w:val="Bullet1G"/>
      </w:pPr>
      <w:r w:rsidRPr="00810DDE">
        <w:t>Les ordonnances de contrôle sont soumises à des limitations strictes de durée (12 mois pour les ordonnances de contrôle non dérogatoires et 6 mois pour les ordonnances de contrôle dérogatoires, même si toutes deux peuvent être renouvelées)</w:t>
      </w:r>
      <w:r w:rsidR="000B562B" w:rsidRPr="00A176EA">
        <w:t>.</w:t>
      </w:r>
    </w:p>
    <w:p w:rsidR="000B562B" w:rsidRPr="00A176EA" w:rsidRDefault="00352807" w:rsidP="00BC0033">
      <w:pPr>
        <w:pStyle w:val="Bullet1G"/>
      </w:pPr>
      <w:r>
        <w:t xml:space="preserve">Un examen officiel et régulier (trimestriel) est réalisé par un groupe désigné par le Ministère de l’intérieur (le Comité de vérification des ordonnances de contrôle), qui comprend des représentants des organes chargés du maintien de l’ordre et des services de renseignement, pour vérifier que chaque ordonnance </w:t>
      </w:r>
      <w:r w:rsidR="0094174F">
        <w:t>et ses obligations sont toujours nécessaires et proportionnées</w:t>
      </w:r>
      <w:r w:rsidR="000B562B" w:rsidRPr="00A176EA">
        <w:t>.</w:t>
      </w:r>
    </w:p>
    <w:p w:rsidR="000B562B" w:rsidRPr="00A176EA" w:rsidRDefault="0094174F" w:rsidP="00BC0033">
      <w:pPr>
        <w:pStyle w:val="Bullet1G"/>
      </w:pPr>
      <w:r>
        <w:t xml:space="preserve">Le Gouvernement et les individus qui font l’objet d’une ordonnance de contrôle ont la possibilité de demander au tribunal de rendre une ordonnance d’anonymat pour protéger l’identité de l’individu contrôlé. De la même façon, chacune des parties peut demander l’annulation de l’ordonnance d’anonymat. Un petit nombre d’individus qui ont fait l’objet d’une ordonnance </w:t>
      </w:r>
      <w:r w:rsidR="00F0259B">
        <w:t>ont</w:t>
      </w:r>
      <w:r>
        <w:t xml:space="preserve"> exercé ce droit</w:t>
      </w:r>
      <w:r w:rsidR="000B562B" w:rsidRPr="00A176EA">
        <w:t>.</w:t>
      </w:r>
    </w:p>
    <w:p w:rsidR="000B562B" w:rsidRPr="00A176EA" w:rsidRDefault="002549A9" w:rsidP="004B29AE">
      <w:pPr>
        <w:pStyle w:val="SingleTxtG"/>
        <w:rPr>
          <w:lang w:val="fr-FR"/>
        </w:rPr>
      </w:pPr>
      <w:r w:rsidRPr="00A176EA">
        <w:rPr>
          <w:lang w:val="fr-FR"/>
        </w:rPr>
        <w:t>68.</w:t>
      </w:r>
      <w:r w:rsidRPr="00A176EA">
        <w:rPr>
          <w:lang w:val="fr-FR"/>
        </w:rPr>
        <w:tab/>
      </w:r>
      <w:r w:rsidR="0094174F" w:rsidRPr="0094174F">
        <w:rPr>
          <w:lang w:val="fr-FR"/>
        </w:rPr>
        <w:t>L’ensemble de la législation sur les ordonnances de contrôle est régulièrement examiné</w:t>
      </w:r>
      <w:r w:rsidR="00FC2B97">
        <w:rPr>
          <w:lang w:val="fr-FR"/>
        </w:rPr>
        <w:t>:</w:t>
      </w:r>
    </w:p>
    <w:p w:rsidR="000B562B" w:rsidRPr="00A176EA" w:rsidRDefault="0094174F" w:rsidP="00BC0033">
      <w:pPr>
        <w:pStyle w:val="Bullet1G"/>
      </w:pPr>
      <w:r>
        <w:t>Examen annuel indépendant de l’application de la loi de 2005 par le contrôleur indépendant de la législation antiterroriste</w:t>
      </w:r>
      <w:r w:rsidR="000B562B" w:rsidRPr="00A176EA">
        <w:t>.</w:t>
      </w:r>
    </w:p>
    <w:p w:rsidR="000B562B" w:rsidRPr="00A176EA" w:rsidRDefault="0094174F" w:rsidP="00BC0033">
      <w:pPr>
        <w:pStyle w:val="Bullet1G"/>
      </w:pPr>
      <w:r>
        <w:t>Prorogation annuelle de la législation après un débat et un vote dans les deux Chambres du Parlement</w:t>
      </w:r>
      <w:r w:rsidR="000B562B" w:rsidRPr="00A176EA">
        <w:t>.</w:t>
      </w:r>
    </w:p>
    <w:p w:rsidR="000B562B" w:rsidRPr="00A176EA" w:rsidRDefault="0094174F" w:rsidP="00BC0033">
      <w:pPr>
        <w:pStyle w:val="Bullet1G"/>
      </w:pPr>
      <w:r>
        <w:rPr>
          <w:rStyle w:val="longtext"/>
        </w:rPr>
        <w:t>R</w:t>
      </w:r>
      <w:r w:rsidRPr="00AA7FA2">
        <w:rPr>
          <w:rStyle w:val="longtext"/>
        </w:rPr>
        <w:t xml:space="preserve">apport </w:t>
      </w:r>
      <w:r>
        <w:rPr>
          <w:rStyle w:val="longtext"/>
        </w:rPr>
        <w:t>du</w:t>
      </w:r>
      <w:r w:rsidRPr="00AA7FA2">
        <w:rPr>
          <w:rStyle w:val="longtext"/>
        </w:rPr>
        <w:t xml:space="preserve"> </w:t>
      </w:r>
      <w:r>
        <w:rPr>
          <w:rStyle w:val="longtext"/>
        </w:rPr>
        <w:t>M</w:t>
      </w:r>
      <w:r w:rsidRPr="00AA7FA2">
        <w:rPr>
          <w:rStyle w:val="longtext"/>
        </w:rPr>
        <w:t>inistre de l’</w:t>
      </w:r>
      <w:r>
        <w:rPr>
          <w:rStyle w:val="longtext"/>
        </w:rPr>
        <w:t>i</w:t>
      </w:r>
      <w:r w:rsidRPr="00AA7FA2">
        <w:rPr>
          <w:rStyle w:val="longtext"/>
        </w:rPr>
        <w:t xml:space="preserve">ntérieur au Parlement tous les trois mois </w:t>
      </w:r>
      <w:r>
        <w:rPr>
          <w:rStyle w:val="longtext"/>
        </w:rPr>
        <w:t>sur</w:t>
      </w:r>
      <w:r w:rsidRPr="00AA7FA2">
        <w:rPr>
          <w:rStyle w:val="longtext"/>
        </w:rPr>
        <w:t xml:space="preserve"> l’exercice de ses pouvoirs pendant cette période</w:t>
      </w:r>
      <w:r w:rsidR="000B562B" w:rsidRPr="00A176EA">
        <w:t>.</w:t>
      </w:r>
    </w:p>
    <w:p w:rsidR="000B562B" w:rsidRPr="00A176EA" w:rsidRDefault="002549A9" w:rsidP="004B29AE">
      <w:pPr>
        <w:pStyle w:val="SingleTxtG"/>
        <w:rPr>
          <w:lang w:val="fr-FR"/>
        </w:rPr>
      </w:pPr>
      <w:r w:rsidRPr="00A176EA">
        <w:rPr>
          <w:lang w:val="fr-FR"/>
        </w:rPr>
        <w:t>69.</w:t>
      </w:r>
      <w:r w:rsidRPr="00A176EA">
        <w:rPr>
          <w:lang w:val="fr-FR"/>
        </w:rPr>
        <w:tab/>
      </w:r>
      <w:r w:rsidR="0094174F">
        <w:rPr>
          <w:lang w:val="fr-FR"/>
        </w:rPr>
        <w:t xml:space="preserve">Le Gouvernement a examiné les ordonnances de contrôle dans le cadre de l’examen des pouvoirs en matière d’antiterrorisme et de sécurité, </w:t>
      </w:r>
      <w:r w:rsidR="00D11E45">
        <w:rPr>
          <w:lang w:val="fr-FR"/>
        </w:rPr>
        <w:t>et a annoncé</w:t>
      </w:r>
      <w:r w:rsidR="0094174F">
        <w:rPr>
          <w:lang w:val="fr-FR"/>
        </w:rPr>
        <w:t xml:space="preserve"> </w:t>
      </w:r>
      <w:r w:rsidR="004F176C">
        <w:rPr>
          <w:lang w:val="fr-FR"/>
        </w:rPr>
        <w:t>s</w:t>
      </w:r>
      <w:r w:rsidR="0094174F">
        <w:rPr>
          <w:lang w:val="fr-FR"/>
        </w:rPr>
        <w:t xml:space="preserve">es conclusions </w:t>
      </w:r>
      <w:r w:rsidR="004F176C">
        <w:rPr>
          <w:lang w:val="fr-FR"/>
        </w:rPr>
        <w:t>le 26 janvier 2011</w:t>
      </w:r>
      <w:r w:rsidR="00FC2B97">
        <w:rPr>
          <w:lang w:val="fr-FR"/>
        </w:rPr>
        <w:t>:</w:t>
      </w:r>
      <w:r w:rsidR="004F176C">
        <w:rPr>
          <w:lang w:val="fr-FR"/>
        </w:rPr>
        <w:t xml:space="preserve"> la menace terroriste est toujours aussi sérieuse et ne diminuera pas dans un avenir proche</w:t>
      </w:r>
      <w:r w:rsidR="00FC2B97">
        <w:rPr>
          <w:lang w:val="fr-FR"/>
        </w:rPr>
        <w:t>;</w:t>
      </w:r>
      <w:r w:rsidR="004F176C">
        <w:rPr>
          <w:lang w:val="fr-FR"/>
        </w:rPr>
        <w:t xml:space="preserve"> la nécessité demeure de protéger le public contre le danger que représente un petit nombre d’individus qui ne peuvent ni être poursuivis ni expulsés</w:t>
      </w:r>
      <w:r w:rsidR="00FC2B97">
        <w:rPr>
          <w:lang w:val="fr-FR"/>
        </w:rPr>
        <w:t>;</w:t>
      </w:r>
      <w:r w:rsidR="004F176C">
        <w:rPr>
          <w:lang w:val="fr-FR"/>
        </w:rPr>
        <w:t xml:space="preserve"> le système d’ordonnances de contrôle en place n’est pas aussi efficace qu’il le devrait et l’on pourrait prendre des dispositions pour réduire le risque tout en renforçant les libertés </w:t>
      </w:r>
      <w:r w:rsidR="004F176C" w:rsidRPr="00F0259B">
        <w:rPr>
          <w:lang w:val="fr-FR"/>
        </w:rPr>
        <w:t>civiles</w:t>
      </w:r>
      <w:r w:rsidR="004F176C">
        <w:rPr>
          <w:lang w:val="fr-FR"/>
        </w:rPr>
        <w:t xml:space="preserve">. C’est pourquoi le rapport d’examen comprend l’engagement d’abroger les ordonnances de contrôle et de les remplacer par un système moins intrusif et plus ciblé de mesures de prévention du terrorisme et d’enquêtes en la matière. Le projet de loi sur </w:t>
      </w:r>
      <w:r w:rsidR="009A2E3E">
        <w:rPr>
          <w:lang w:val="fr-FR"/>
        </w:rPr>
        <w:t>les mesures de</w:t>
      </w:r>
      <w:r w:rsidR="004F176C">
        <w:rPr>
          <w:lang w:val="fr-FR"/>
        </w:rPr>
        <w:t xml:space="preserve"> prévention du terrorisme </w:t>
      </w:r>
      <w:r w:rsidR="009A2E3E">
        <w:rPr>
          <w:lang w:val="fr-FR"/>
        </w:rPr>
        <w:t>et les enquêtes s’y rapportant a été déposé à la Chambre des communes le 23 mai 2011, qui devra se prononcer sur cet engagement. Le projet de loi permettra également de prendre des mesures à l’encontre de terroristes présumés que l’on ne peut ni poursuivre ni, dans le cas de ressortissants étrangers, expulser, en vue de protéger le public. Il introduira des garanties plus solides pour les libertés civiles des individus visés par ces mesures et des limites précises aux restrictions qu’elles sont susceptibles d’imposer. Le nouveau système sera complét</w:t>
      </w:r>
      <w:r w:rsidR="00F0259B">
        <w:rPr>
          <w:lang w:val="fr-FR"/>
        </w:rPr>
        <w:t>é</w:t>
      </w:r>
      <w:r w:rsidR="009A2E3E">
        <w:rPr>
          <w:lang w:val="fr-FR"/>
        </w:rPr>
        <w:t xml:space="preserve"> par une augmentation des moyens financiers alloués à la police et aux services de sécurité afin de renforcer leurs capacités à enquête</w:t>
      </w:r>
      <w:r w:rsidR="00F0259B">
        <w:rPr>
          <w:lang w:val="fr-FR"/>
        </w:rPr>
        <w:t>r</w:t>
      </w:r>
      <w:r w:rsidR="009A2E3E">
        <w:rPr>
          <w:lang w:val="fr-FR"/>
        </w:rPr>
        <w:t xml:space="preserve"> en toute discrétion</w:t>
      </w:r>
      <w:r w:rsidR="000B562B" w:rsidRPr="00A176EA">
        <w:rPr>
          <w:lang w:val="fr-FR"/>
        </w:rPr>
        <w:t>.</w:t>
      </w:r>
    </w:p>
    <w:p w:rsidR="000B562B" w:rsidRPr="00A176EA" w:rsidRDefault="004B29AE" w:rsidP="004B29AE">
      <w:pPr>
        <w:pStyle w:val="SingleTxtG"/>
        <w:ind w:firstLine="567"/>
        <w:rPr>
          <w:b/>
          <w:lang w:val="fr-FR"/>
        </w:rPr>
      </w:pPr>
      <w:r w:rsidRPr="009A2E3E">
        <w:rPr>
          <w:b/>
          <w:lang w:val="fr-FR"/>
        </w:rPr>
        <w:t>f)</w:t>
      </w:r>
      <w:r w:rsidRPr="009A2E3E">
        <w:rPr>
          <w:b/>
          <w:lang w:val="fr-FR"/>
        </w:rPr>
        <w:tab/>
      </w:r>
      <w:r w:rsidR="002D62E5">
        <w:rPr>
          <w:b/>
          <w:lang w:val="fr-FR"/>
        </w:rPr>
        <w:t>E</w:t>
      </w:r>
      <w:r w:rsidR="002D6A7E" w:rsidRPr="009A2E3E">
        <w:rPr>
          <w:b/>
          <w:lang w:val="fr-FR"/>
        </w:rPr>
        <w:t>nquêtes effectuées par l’État partie sur un certain nombre de décès causés par le recours à une force meurtrière, survenus entre l’entrée en vigueur de la Convention en 1988 et celle de la loi sur les droits de l’homme en 2000, qui n’ont pas été entièrement conformes à ses obligations internationales</w:t>
      </w:r>
      <w:r w:rsidR="000B562B" w:rsidRPr="009A2E3E">
        <w:rPr>
          <w:b/>
          <w:lang w:val="fr-FR"/>
        </w:rPr>
        <w:t>.</w:t>
      </w:r>
    </w:p>
    <w:p w:rsidR="000B562B" w:rsidRPr="00A176EA" w:rsidRDefault="002549A9" w:rsidP="00B95CD2">
      <w:pPr>
        <w:pStyle w:val="SingleTxtG"/>
        <w:rPr>
          <w:lang w:val="fr-FR"/>
        </w:rPr>
      </w:pPr>
      <w:r w:rsidRPr="00A176EA">
        <w:rPr>
          <w:lang w:val="fr-FR"/>
        </w:rPr>
        <w:t>70.</w:t>
      </w:r>
      <w:r w:rsidRPr="00A176EA">
        <w:rPr>
          <w:lang w:val="fr-FR"/>
        </w:rPr>
        <w:tab/>
      </w:r>
      <w:r w:rsidR="009A2E3E">
        <w:rPr>
          <w:lang w:val="fr-FR"/>
        </w:rPr>
        <w:t xml:space="preserve">En Angleterre et au </w:t>
      </w:r>
      <w:r w:rsidR="00186A02">
        <w:rPr>
          <w:lang w:val="fr-FR"/>
        </w:rPr>
        <w:t>p</w:t>
      </w:r>
      <w:r w:rsidR="005601A1">
        <w:rPr>
          <w:lang w:val="fr-FR"/>
        </w:rPr>
        <w:t>ays de Galles</w:t>
      </w:r>
      <w:r w:rsidR="009A2E3E">
        <w:rPr>
          <w:lang w:val="fr-FR"/>
        </w:rPr>
        <w:t>, les fonctionnaires de police ne sont pas armés. Le</w:t>
      </w:r>
      <w:r w:rsidR="002334C8">
        <w:rPr>
          <w:lang w:val="fr-FR"/>
        </w:rPr>
        <w:t>s</w:t>
      </w:r>
      <w:r w:rsidR="009A2E3E">
        <w:rPr>
          <w:lang w:val="fr-FR"/>
        </w:rPr>
        <w:t xml:space="preserve"> armes à feu </w:t>
      </w:r>
      <w:r w:rsidR="002334C8">
        <w:rPr>
          <w:lang w:val="fr-FR"/>
        </w:rPr>
        <w:t xml:space="preserve">sont employées à titre exceptionnel et en dernier ressort lorsque la sécurité du public ou des fonctionnaires de police est menacée. </w:t>
      </w:r>
      <w:r w:rsidR="00B95CD2">
        <w:rPr>
          <w:lang w:val="fr-FR"/>
        </w:rPr>
        <w:t>Lorsque les fonctionnaires de police doivent recourir aux armes à feu, il</w:t>
      </w:r>
      <w:r w:rsidR="008432D4">
        <w:rPr>
          <w:lang w:val="fr-FR"/>
        </w:rPr>
        <w:t xml:space="preserve"> est vital</w:t>
      </w:r>
      <w:r w:rsidR="00B95CD2">
        <w:rPr>
          <w:lang w:val="fr-FR"/>
        </w:rPr>
        <w:t xml:space="preserve"> qu’ils soient correctement équipés et extrêmement bien formés afin de répondre efficacement aux situations graves auxquelles ils sont confrontés. L’usage d’armes à feu est réservé à un nombre relativement faible de fonctionnaires de police hautement qualifiés</w:t>
      </w:r>
      <w:r w:rsidR="000B562B" w:rsidRPr="00A176EA">
        <w:rPr>
          <w:lang w:val="fr-FR"/>
        </w:rPr>
        <w:t>.</w:t>
      </w:r>
    </w:p>
    <w:p w:rsidR="000B562B" w:rsidRPr="00A176EA" w:rsidRDefault="002549A9" w:rsidP="00EB6F92">
      <w:pPr>
        <w:pStyle w:val="SingleTxtG"/>
        <w:rPr>
          <w:lang w:val="fr-FR"/>
        </w:rPr>
      </w:pPr>
      <w:r w:rsidRPr="00A176EA">
        <w:rPr>
          <w:lang w:val="fr-FR"/>
        </w:rPr>
        <w:t>71.</w:t>
      </w:r>
      <w:r w:rsidRPr="00A176EA">
        <w:rPr>
          <w:lang w:val="fr-FR"/>
        </w:rPr>
        <w:tab/>
      </w:r>
      <w:r w:rsidR="00BB16FB" w:rsidRPr="00BB16FB">
        <w:rPr>
          <w:lang w:val="fr-FR"/>
        </w:rPr>
        <w:t xml:space="preserve">En Angleterre et au </w:t>
      </w:r>
      <w:r w:rsidR="00186A02">
        <w:rPr>
          <w:lang w:val="fr-FR"/>
        </w:rPr>
        <w:t>p</w:t>
      </w:r>
      <w:r w:rsidR="005601A1">
        <w:rPr>
          <w:lang w:val="fr-FR"/>
        </w:rPr>
        <w:t>ays de Galles</w:t>
      </w:r>
      <w:r w:rsidR="00BB16FB" w:rsidRPr="00BB16FB">
        <w:rPr>
          <w:lang w:val="fr-FR"/>
        </w:rPr>
        <w:t>, l’usage d’armes à feu par des fonctionnaires de police est soigneusement réglementé par les directives de l’</w:t>
      </w:r>
      <w:r w:rsidR="000B562B" w:rsidRPr="00BB16FB">
        <w:rPr>
          <w:lang w:val="fr-FR"/>
        </w:rPr>
        <w:t xml:space="preserve">Association </w:t>
      </w:r>
      <w:r w:rsidR="002334C8" w:rsidRPr="00BB16FB">
        <w:rPr>
          <w:lang w:val="fr-FR"/>
        </w:rPr>
        <w:t xml:space="preserve">des </w:t>
      </w:r>
      <w:r w:rsidR="009B0111">
        <w:rPr>
          <w:lang w:val="fr-FR"/>
        </w:rPr>
        <w:t>officiers supérieurs</w:t>
      </w:r>
      <w:r w:rsidR="002334C8" w:rsidRPr="00BB16FB">
        <w:rPr>
          <w:lang w:val="fr-FR"/>
        </w:rPr>
        <w:t xml:space="preserve"> de </w:t>
      </w:r>
      <w:r w:rsidR="009707B1">
        <w:rPr>
          <w:lang w:val="fr-FR"/>
        </w:rPr>
        <w:t xml:space="preserve">la </w:t>
      </w:r>
      <w:r w:rsidR="002334C8" w:rsidRPr="00BB16FB">
        <w:rPr>
          <w:lang w:val="fr-FR"/>
        </w:rPr>
        <w:t>police</w:t>
      </w:r>
      <w:r w:rsidR="00BB16FB" w:rsidRPr="00BB16FB">
        <w:rPr>
          <w:lang w:val="fr-FR"/>
        </w:rPr>
        <w:t>, qui sont publiées</w:t>
      </w:r>
      <w:r w:rsidR="000B562B" w:rsidRPr="00BB16FB">
        <w:rPr>
          <w:lang w:val="fr-FR"/>
        </w:rPr>
        <w:t xml:space="preserve"> </w:t>
      </w:r>
      <w:r w:rsidR="002334C8" w:rsidRPr="00BB16FB">
        <w:rPr>
          <w:lang w:val="fr-FR"/>
        </w:rPr>
        <w:t>sur le site Internet de l’Association</w:t>
      </w:r>
      <w:r w:rsidR="000B562B" w:rsidRPr="00BB16FB">
        <w:rPr>
          <w:rStyle w:val="FootnoteReference"/>
          <w:szCs w:val="22"/>
        </w:rPr>
        <w:footnoteReference w:id="6"/>
      </w:r>
      <w:r w:rsidR="002334C8" w:rsidRPr="00BB16FB">
        <w:rPr>
          <w:lang w:val="fr-FR"/>
        </w:rPr>
        <w:t>.</w:t>
      </w:r>
      <w:r w:rsidR="000B562B" w:rsidRPr="00A176EA">
        <w:rPr>
          <w:lang w:val="fr-FR"/>
        </w:rPr>
        <w:t xml:space="preserve"> </w:t>
      </w:r>
      <w:r w:rsidR="00BB16FB">
        <w:rPr>
          <w:lang w:val="fr-FR"/>
        </w:rPr>
        <w:t xml:space="preserve">Une fois habilité à faire usage d’armes à feu, chaque fonctionnaire doit veiller à agir conformément à la loi. Aux termes de </w:t>
      </w:r>
      <w:r w:rsidR="009C00B9">
        <w:rPr>
          <w:lang w:val="fr-FR"/>
        </w:rPr>
        <w:t>l’article</w:t>
      </w:r>
      <w:r w:rsidR="00BB16FB">
        <w:rPr>
          <w:lang w:val="fr-FR"/>
        </w:rPr>
        <w:t xml:space="preserve"> 3 de la loi de 1967 sur le droit pénal, le recours à la force pour empêcher une infraction et en appréhender les auteurs et, d’une manière générale, tous ceux qui enfreignent la loi (</w:t>
      </w:r>
      <w:r w:rsidR="008432D4">
        <w:rPr>
          <w:lang w:val="fr-FR"/>
        </w:rPr>
        <w:t xml:space="preserve">police et public) doit être en toutes circonstances </w:t>
      </w:r>
      <w:r w:rsidR="00CD0110">
        <w:rPr>
          <w:lang w:val="fr-FR"/>
        </w:rPr>
        <w:t>«</w:t>
      </w:r>
      <w:r w:rsidR="008432D4">
        <w:rPr>
          <w:lang w:val="fr-FR"/>
        </w:rPr>
        <w:t>raisonnable</w:t>
      </w:r>
      <w:r w:rsidR="00CD0110">
        <w:rPr>
          <w:lang w:val="fr-FR"/>
        </w:rPr>
        <w:t>»</w:t>
      </w:r>
      <w:r w:rsidR="008432D4">
        <w:rPr>
          <w:lang w:val="fr-FR"/>
        </w:rPr>
        <w:t xml:space="preserve">. </w:t>
      </w:r>
      <w:r w:rsidR="00EB6F92">
        <w:rPr>
          <w:lang w:val="fr-FR"/>
        </w:rPr>
        <w:t>Le cas échéant, il incombera à un tribunal de juger si le comportement du fonctionnaire était raisonnable</w:t>
      </w:r>
      <w:r w:rsidR="000B562B" w:rsidRPr="00A176EA">
        <w:rPr>
          <w:lang w:val="fr-FR"/>
        </w:rPr>
        <w:t>.</w:t>
      </w:r>
    </w:p>
    <w:p w:rsidR="000B562B" w:rsidRPr="00A176EA" w:rsidRDefault="002549A9" w:rsidP="0090139B">
      <w:pPr>
        <w:pStyle w:val="SingleTxtG"/>
        <w:rPr>
          <w:lang w:val="fr-FR"/>
        </w:rPr>
      </w:pPr>
      <w:r w:rsidRPr="00A176EA">
        <w:rPr>
          <w:lang w:val="fr-FR"/>
        </w:rPr>
        <w:t>72.</w:t>
      </w:r>
      <w:r w:rsidRPr="00A176EA">
        <w:rPr>
          <w:lang w:val="fr-FR"/>
        </w:rPr>
        <w:tab/>
      </w:r>
      <w:r w:rsidR="00EB6F92">
        <w:rPr>
          <w:lang w:val="fr-FR"/>
        </w:rPr>
        <w:t xml:space="preserve">Les fonctionnaires de police n’échappent pas à la disposition légale selon laquelle tout recours à la force doit être proportionné. La </w:t>
      </w:r>
      <w:r w:rsidR="00EB6F92" w:rsidRPr="0090139B">
        <w:rPr>
          <w:lang w:val="fr-FR"/>
        </w:rPr>
        <w:t>Commission indépendante des plaintes contre la police enquête de façon approfondie et rigoureuse su</w:t>
      </w:r>
      <w:r w:rsidR="00EB6F92">
        <w:rPr>
          <w:lang w:val="fr-FR"/>
        </w:rPr>
        <w:t>r tous les décès par balle</w:t>
      </w:r>
      <w:r w:rsidR="00433DBB">
        <w:rPr>
          <w:lang w:val="fr-FR"/>
        </w:rPr>
        <w:t>,</w:t>
      </w:r>
      <w:r w:rsidR="00EB6F92">
        <w:rPr>
          <w:lang w:val="fr-FR"/>
        </w:rPr>
        <w:t xml:space="preserve"> </w:t>
      </w:r>
      <w:r w:rsidR="00433DBB">
        <w:rPr>
          <w:lang w:val="fr-FR"/>
        </w:rPr>
        <w:t>en Angleterre et au pays de Galles, lorsque le tireur était</w:t>
      </w:r>
      <w:r w:rsidR="0090139B">
        <w:rPr>
          <w:lang w:val="fr-FR"/>
        </w:rPr>
        <w:t xml:space="preserve"> un fonctionnaire de police. </w:t>
      </w:r>
      <w:r w:rsidR="00433DBB">
        <w:rPr>
          <w:lang w:val="fr-FR"/>
        </w:rPr>
        <w:t>La Commission</w:t>
      </w:r>
      <w:r w:rsidR="0090139B">
        <w:rPr>
          <w:lang w:val="fr-FR"/>
        </w:rPr>
        <w:t xml:space="preserve"> est totalement indépendante des services de police</w:t>
      </w:r>
      <w:r w:rsidR="000B562B" w:rsidRPr="00A176EA">
        <w:rPr>
          <w:lang w:val="fr-FR"/>
        </w:rPr>
        <w:t>.</w:t>
      </w:r>
    </w:p>
    <w:p w:rsidR="000B562B" w:rsidRPr="00A176EA" w:rsidRDefault="002549A9" w:rsidP="00AF71D8">
      <w:pPr>
        <w:pStyle w:val="SingleTxtG"/>
        <w:rPr>
          <w:lang w:val="fr-FR"/>
        </w:rPr>
      </w:pPr>
      <w:r w:rsidRPr="00A176EA">
        <w:rPr>
          <w:lang w:val="fr-FR"/>
        </w:rPr>
        <w:t>73.</w:t>
      </w:r>
      <w:r w:rsidRPr="00A176EA">
        <w:rPr>
          <w:lang w:val="fr-FR"/>
        </w:rPr>
        <w:tab/>
      </w:r>
      <w:r w:rsidR="0090139B">
        <w:rPr>
          <w:lang w:val="fr-FR"/>
        </w:rPr>
        <w:t>La</w:t>
      </w:r>
      <w:r w:rsidR="000B562B" w:rsidRPr="00A176EA">
        <w:rPr>
          <w:lang w:val="fr-FR"/>
        </w:rPr>
        <w:t xml:space="preserve"> </w:t>
      </w:r>
      <w:r w:rsidR="0090139B" w:rsidRPr="0090139B">
        <w:rPr>
          <w:lang w:val="fr-FR"/>
        </w:rPr>
        <w:t>Commission indépendante des plaintes contre la police</w:t>
      </w:r>
      <w:r w:rsidR="0090139B" w:rsidRPr="00A176EA">
        <w:rPr>
          <w:lang w:val="fr-FR"/>
        </w:rPr>
        <w:t xml:space="preserve"> </w:t>
      </w:r>
      <w:r w:rsidR="0090139B">
        <w:rPr>
          <w:lang w:val="fr-FR"/>
        </w:rPr>
        <w:t xml:space="preserve">a publié récemment </w:t>
      </w:r>
      <w:r w:rsidR="00433DBB">
        <w:rPr>
          <w:lang w:val="fr-FR"/>
        </w:rPr>
        <w:t>sur Internet</w:t>
      </w:r>
      <w:r w:rsidR="00433DBB" w:rsidRPr="00A176EA">
        <w:rPr>
          <w:lang w:val="fr-FR"/>
        </w:rPr>
        <w:t xml:space="preserve"> </w:t>
      </w:r>
      <w:r w:rsidR="0090139B">
        <w:rPr>
          <w:lang w:val="fr-FR"/>
        </w:rPr>
        <w:t>son rapport annuel sur les décès</w:t>
      </w:r>
      <w:r w:rsidR="009707B1">
        <w:rPr>
          <w:lang w:val="fr-FR"/>
        </w:rPr>
        <w:t xml:space="preserve"> ayant fait suite à une intervention policière</w:t>
      </w:r>
      <w:r w:rsidR="00433DBB">
        <w:rPr>
          <w:lang w:val="fr-FR"/>
        </w:rPr>
        <w:t> (</w:t>
      </w:r>
      <w:hyperlink r:id="rId14" w:history="1">
        <w:r w:rsidR="000B562B" w:rsidRPr="00A176EA">
          <w:rPr>
            <w:rStyle w:val="Hyperlink"/>
            <w:szCs w:val="22"/>
            <w:lang w:val="fr-FR"/>
          </w:rPr>
          <w:t>http://www.ipcc.gov.uk/annual_report_2008_death_section.pdf</w:t>
        </w:r>
      </w:hyperlink>
      <w:r w:rsidR="00433DBB">
        <w:rPr>
          <w:szCs w:val="22"/>
          <w:lang w:val="fr-FR"/>
        </w:rPr>
        <w:t>)</w:t>
      </w:r>
      <w:r w:rsidR="000B562B" w:rsidRPr="00A176EA">
        <w:rPr>
          <w:szCs w:val="22"/>
          <w:lang w:val="fr-FR"/>
        </w:rPr>
        <w:t>.</w:t>
      </w:r>
      <w:r w:rsidR="009707B1">
        <w:rPr>
          <w:lang w:val="fr-FR"/>
        </w:rPr>
        <w:t xml:space="preserve"> </w:t>
      </w:r>
      <w:r w:rsidR="00AF71D8">
        <w:rPr>
          <w:lang w:val="fr-FR"/>
        </w:rPr>
        <w:t xml:space="preserve">Cinq personnes ont été abattues par des fonctionnaires de police en 2007-2008, contre une </w:t>
      </w:r>
      <w:r w:rsidR="00433DBB">
        <w:rPr>
          <w:lang w:val="fr-FR"/>
        </w:rPr>
        <w:t>1</w:t>
      </w:r>
      <w:r w:rsidR="00AF71D8">
        <w:rPr>
          <w:lang w:val="fr-FR"/>
        </w:rPr>
        <w:t xml:space="preserve"> </w:t>
      </w:r>
      <w:r w:rsidR="00433DBB">
        <w:rPr>
          <w:lang w:val="fr-FR"/>
        </w:rPr>
        <w:t xml:space="preserve">en </w:t>
      </w:r>
      <w:r w:rsidR="00AF71D8">
        <w:rPr>
          <w:lang w:val="fr-FR"/>
        </w:rPr>
        <w:t xml:space="preserve">2006-2007 et </w:t>
      </w:r>
      <w:r w:rsidR="00433DBB">
        <w:rPr>
          <w:lang w:val="fr-FR"/>
        </w:rPr>
        <w:t>5</w:t>
      </w:r>
      <w:r w:rsidR="00AF71D8">
        <w:rPr>
          <w:lang w:val="fr-FR"/>
        </w:rPr>
        <w:t xml:space="preserve"> en 2005-2006. En 2007-2008, </w:t>
      </w:r>
      <w:r w:rsidR="00433DBB">
        <w:rPr>
          <w:lang w:val="fr-FR"/>
        </w:rPr>
        <w:t>2</w:t>
      </w:r>
      <w:r w:rsidR="00AF71D8">
        <w:rPr>
          <w:lang w:val="fr-FR"/>
        </w:rPr>
        <w:t xml:space="preserve"> des décès étaient imputables aux fonctionnaires de la Police du Kent et </w:t>
      </w:r>
      <w:r w:rsidR="00433DBB">
        <w:rPr>
          <w:lang w:val="fr-FR"/>
        </w:rPr>
        <w:t>3</w:t>
      </w:r>
      <w:r w:rsidR="00AF71D8">
        <w:rPr>
          <w:lang w:val="fr-FR"/>
        </w:rPr>
        <w:t xml:space="preserve"> à ceux des Services de la police métropolitaine. Deux de ces victimes sont décédées lors du même </w:t>
      </w:r>
      <w:r w:rsidR="000B562B" w:rsidRPr="00A176EA">
        <w:rPr>
          <w:lang w:val="fr-FR"/>
        </w:rPr>
        <w:t>incident.</w:t>
      </w:r>
    </w:p>
    <w:p w:rsidR="000B562B" w:rsidRPr="00A176EA" w:rsidRDefault="002549A9" w:rsidP="004B29AE">
      <w:pPr>
        <w:pStyle w:val="SingleTxtG"/>
        <w:rPr>
          <w:szCs w:val="22"/>
          <w:lang w:val="fr-FR"/>
        </w:rPr>
      </w:pPr>
      <w:r w:rsidRPr="00A176EA">
        <w:rPr>
          <w:szCs w:val="22"/>
          <w:lang w:val="fr-FR"/>
        </w:rPr>
        <w:t>74.</w:t>
      </w:r>
      <w:r w:rsidRPr="00A176EA">
        <w:rPr>
          <w:szCs w:val="22"/>
          <w:lang w:val="fr-FR"/>
        </w:rPr>
        <w:tab/>
      </w:r>
      <w:r w:rsidR="004265E0">
        <w:rPr>
          <w:szCs w:val="22"/>
          <w:lang w:val="fr-FR"/>
        </w:rPr>
        <w:t xml:space="preserve">En Angleterre et au </w:t>
      </w:r>
      <w:r w:rsidR="00186A02">
        <w:rPr>
          <w:szCs w:val="22"/>
          <w:lang w:val="fr-FR"/>
        </w:rPr>
        <w:t>p</w:t>
      </w:r>
      <w:r w:rsidR="005601A1">
        <w:rPr>
          <w:szCs w:val="22"/>
          <w:lang w:val="fr-FR"/>
        </w:rPr>
        <w:t>ays de Galles</w:t>
      </w:r>
      <w:r w:rsidR="000B562B" w:rsidRPr="00A176EA">
        <w:rPr>
          <w:szCs w:val="22"/>
          <w:lang w:val="fr-FR"/>
        </w:rPr>
        <w:t xml:space="preserve">, </w:t>
      </w:r>
      <w:r w:rsidR="004265E0">
        <w:rPr>
          <w:szCs w:val="22"/>
          <w:lang w:val="fr-FR"/>
        </w:rPr>
        <w:t xml:space="preserve">la police a fait usage d’une arme à feu conventionnelle dans </w:t>
      </w:r>
      <w:r w:rsidR="00433DBB">
        <w:rPr>
          <w:szCs w:val="22"/>
          <w:lang w:val="fr-FR"/>
        </w:rPr>
        <w:t>3</w:t>
      </w:r>
      <w:r w:rsidR="004265E0">
        <w:rPr>
          <w:szCs w:val="22"/>
          <w:lang w:val="fr-FR"/>
        </w:rPr>
        <w:t xml:space="preserve"> incidents en 2006-2007 (contre </w:t>
      </w:r>
      <w:r w:rsidR="00433DBB">
        <w:rPr>
          <w:szCs w:val="22"/>
          <w:lang w:val="fr-FR"/>
        </w:rPr>
        <w:t>9</w:t>
      </w:r>
      <w:r w:rsidR="004265E0">
        <w:rPr>
          <w:szCs w:val="22"/>
          <w:lang w:val="fr-FR"/>
        </w:rPr>
        <w:t xml:space="preserve"> l’année précédente). Les chiffres sur l’usage d’armes à feu conventionnelles en 2007-2008 n’ont pas encore été compilés</w:t>
      </w:r>
      <w:r w:rsidR="000B562B" w:rsidRPr="00A176EA">
        <w:rPr>
          <w:szCs w:val="22"/>
          <w:lang w:val="fr-FR"/>
        </w:rPr>
        <w:t>.</w:t>
      </w:r>
    </w:p>
    <w:p w:rsidR="000B562B" w:rsidRPr="00A176EA" w:rsidRDefault="002549A9" w:rsidP="00F4211E">
      <w:pPr>
        <w:pStyle w:val="SingleTxtG"/>
        <w:rPr>
          <w:szCs w:val="22"/>
          <w:lang w:val="fr-FR"/>
        </w:rPr>
      </w:pPr>
      <w:r w:rsidRPr="00A176EA">
        <w:rPr>
          <w:szCs w:val="22"/>
          <w:lang w:val="fr-FR"/>
        </w:rPr>
        <w:t>75.</w:t>
      </w:r>
      <w:r w:rsidRPr="00A176EA">
        <w:rPr>
          <w:szCs w:val="22"/>
          <w:lang w:val="fr-FR"/>
        </w:rPr>
        <w:tab/>
      </w:r>
      <w:r w:rsidR="00AF71D8">
        <w:rPr>
          <w:szCs w:val="22"/>
          <w:lang w:val="fr-FR"/>
        </w:rPr>
        <w:t>Pour ce qui concerne les décès intervenus dans un conte</w:t>
      </w:r>
      <w:r w:rsidR="00504B1D">
        <w:rPr>
          <w:szCs w:val="22"/>
          <w:lang w:val="fr-FR"/>
        </w:rPr>
        <w:t xml:space="preserve">xte militaire, toute mort due au recours à la force létale fait l’objet d’une enquête approfondie. Le Ministre de la défense n’a pas eu connaissance de tels décès, entre 1988 et 2000, </w:t>
      </w:r>
      <w:r w:rsidR="00F4211E" w:rsidRPr="00A34A63">
        <w:rPr>
          <w:szCs w:val="22"/>
          <w:lang w:val="fr-FR"/>
        </w:rPr>
        <w:t xml:space="preserve">qui n’auraient </w:t>
      </w:r>
      <w:r w:rsidR="00A34A63" w:rsidRPr="00A34A63">
        <w:rPr>
          <w:szCs w:val="22"/>
          <w:lang w:val="fr-FR"/>
        </w:rPr>
        <w:t xml:space="preserve">pas </w:t>
      </w:r>
      <w:r w:rsidR="00F4211E" w:rsidRPr="00A34A63">
        <w:rPr>
          <w:szCs w:val="22"/>
          <w:lang w:val="fr-FR"/>
        </w:rPr>
        <w:t>fait l’objet</w:t>
      </w:r>
      <w:r w:rsidR="00F4211E">
        <w:rPr>
          <w:szCs w:val="22"/>
          <w:lang w:val="fr-FR"/>
        </w:rPr>
        <w:t xml:space="preserve"> d’une enquête pleinement conforme aux obligations internationales</w:t>
      </w:r>
      <w:r w:rsidR="000B562B" w:rsidRPr="00A176EA">
        <w:rPr>
          <w:szCs w:val="22"/>
          <w:lang w:val="fr-FR"/>
        </w:rPr>
        <w:t>.</w:t>
      </w:r>
    </w:p>
    <w:p w:rsidR="000B562B" w:rsidRPr="00A176EA" w:rsidRDefault="000B562B" w:rsidP="004B29AE">
      <w:pPr>
        <w:pStyle w:val="SingleTxtG"/>
        <w:ind w:firstLine="567"/>
        <w:rPr>
          <w:b/>
          <w:lang w:val="fr-FR"/>
        </w:rPr>
      </w:pPr>
      <w:r w:rsidRPr="00F4211E">
        <w:rPr>
          <w:b/>
          <w:lang w:val="fr-FR"/>
        </w:rPr>
        <w:t>g)</w:t>
      </w:r>
      <w:r w:rsidR="004B29AE" w:rsidRPr="00F4211E">
        <w:rPr>
          <w:b/>
          <w:lang w:val="fr-FR"/>
        </w:rPr>
        <w:tab/>
      </w:r>
      <w:r w:rsidR="002D62E5">
        <w:rPr>
          <w:b/>
          <w:lang w:val="fr-FR"/>
        </w:rPr>
        <w:t>I</w:t>
      </w:r>
      <w:r w:rsidR="002D6A7E" w:rsidRPr="00F4211E">
        <w:rPr>
          <w:b/>
          <w:lang w:val="fr-FR"/>
        </w:rPr>
        <w:t>nformations selon lesquelles des conditions insatisfaisantes régneraient dans les lieux de détention de l’État partie, notamment</w:t>
      </w:r>
      <w:r w:rsidR="00FC2B97">
        <w:rPr>
          <w:b/>
          <w:lang w:val="fr-FR"/>
        </w:rPr>
        <w:t>:</w:t>
      </w:r>
      <w:r w:rsidR="002D6A7E" w:rsidRPr="00F4211E">
        <w:rPr>
          <w:b/>
          <w:lang w:val="fr-FR"/>
        </w:rPr>
        <w:t xml:space="preserve"> nombre considérable de décès en détention avant jugement, violence entre prisonniers, surpeuplement, persistance de l’emploi de seaux hygiéniques</w:t>
      </w:r>
      <w:r w:rsidR="00FC2B97">
        <w:rPr>
          <w:b/>
          <w:lang w:val="fr-FR"/>
        </w:rPr>
        <w:t>;</w:t>
      </w:r>
      <w:r w:rsidR="002D6A7E" w:rsidRPr="00F4211E">
        <w:rPr>
          <w:b/>
          <w:lang w:val="fr-FR"/>
        </w:rPr>
        <w:t xml:space="preserve"> et les informations selon lesquelles les femmes seraient détenues dans des conditions inacceptables à la prison de Hydebank Wood où les installations, l’organisation, les méthodes de garde et les soins médicaux ne tiendraient aucun compte de leurs besoins propres, où les gardiens seraient à 80 % des hommes et où des menaces inappropriées et des incidents touchant les femmes détenues ont été signalés</w:t>
      </w:r>
      <w:r w:rsidRPr="00F4211E">
        <w:rPr>
          <w:b/>
          <w:lang w:val="fr-FR"/>
        </w:rPr>
        <w:t>.</w:t>
      </w:r>
    </w:p>
    <w:p w:rsidR="000B562B" w:rsidRPr="00A176EA" w:rsidRDefault="00504B1D" w:rsidP="004B29AE">
      <w:pPr>
        <w:pStyle w:val="H23G"/>
        <w:rPr>
          <w:lang w:val="fr-FR"/>
        </w:rPr>
      </w:pPr>
      <w:r>
        <w:rPr>
          <w:lang w:val="fr-FR"/>
        </w:rPr>
        <w:t xml:space="preserve">Angleterre et </w:t>
      </w:r>
      <w:r w:rsidR="00186A02">
        <w:rPr>
          <w:lang w:val="fr-FR"/>
        </w:rPr>
        <w:t>p</w:t>
      </w:r>
      <w:r w:rsidR="005601A1">
        <w:rPr>
          <w:lang w:val="fr-FR"/>
        </w:rPr>
        <w:t>ays de Galles</w:t>
      </w:r>
    </w:p>
    <w:p w:rsidR="000B562B" w:rsidRPr="00A176EA" w:rsidRDefault="002549A9" w:rsidP="008911B1">
      <w:pPr>
        <w:pStyle w:val="SingleTxtG"/>
        <w:rPr>
          <w:lang w:val="fr-FR"/>
        </w:rPr>
      </w:pPr>
      <w:r w:rsidRPr="00A176EA">
        <w:rPr>
          <w:lang w:val="fr-FR"/>
        </w:rPr>
        <w:t>76.</w:t>
      </w:r>
      <w:r w:rsidRPr="00A176EA">
        <w:rPr>
          <w:lang w:val="fr-FR"/>
        </w:rPr>
        <w:tab/>
      </w:r>
      <w:r w:rsidR="00F4211E">
        <w:rPr>
          <w:lang w:val="fr-FR"/>
        </w:rPr>
        <w:t>En juillet</w:t>
      </w:r>
      <w:r w:rsidR="000B562B" w:rsidRPr="00A176EA">
        <w:rPr>
          <w:lang w:val="fr-FR"/>
        </w:rPr>
        <w:t xml:space="preserve"> 2008, </w:t>
      </w:r>
      <w:r w:rsidR="00F4211E">
        <w:rPr>
          <w:lang w:val="fr-FR"/>
        </w:rPr>
        <w:t xml:space="preserve">suite à la publication du document intitulé </w:t>
      </w:r>
      <w:r w:rsidR="00CD0110">
        <w:rPr>
          <w:lang w:val="fr-FR"/>
        </w:rPr>
        <w:t>«</w:t>
      </w:r>
      <w:r w:rsidR="00F4211E" w:rsidRPr="003737F6">
        <w:rPr>
          <w:lang w:val="fr-FR"/>
        </w:rPr>
        <w:t>Examen du forum pour la prévention des décès en détention</w:t>
      </w:r>
      <w:r w:rsidR="00FC2B97">
        <w:rPr>
          <w:lang w:val="fr-FR"/>
        </w:rPr>
        <w:t>;</w:t>
      </w:r>
      <w:r w:rsidR="00F4211E" w:rsidRPr="003737F6">
        <w:rPr>
          <w:lang w:val="fr-FR"/>
        </w:rPr>
        <w:t xml:space="preserve"> Rapport du vérificateur indépendant</w:t>
      </w:r>
      <w:r w:rsidR="00CD0110">
        <w:rPr>
          <w:lang w:val="fr-FR"/>
        </w:rPr>
        <w:t>»</w:t>
      </w:r>
      <w:r w:rsidR="000B562B" w:rsidRPr="00A176EA">
        <w:rPr>
          <w:rStyle w:val="FootnoteReference"/>
          <w:szCs w:val="22"/>
        </w:rPr>
        <w:footnoteReference w:id="7"/>
      </w:r>
      <w:r w:rsidR="00F4211E">
        <w:rPr>
          <w:lang w:val="fr-FR"/>
        </w:rPr>
        <w:t xml:space="preserve">, le Ministère de la justice a annoncé la création d’un </w:t>
      </w:r>
      <w:r w:rsidR="007C2C63">
        <w:rPr>
          <w:lang w:val="fr-FR"/>
        </w:rPr>
        <w:t xml:space="preserve">nouveau </w:t>
      </w:r>
      <w:r w:rsidR="00F4211E">
        <w:rPr>
          <w:lang w:val="fr-FR"/>
        </w:rPr>
        <w:t xml:space="preserve">Conseil ministériel sur les décès en détention. </w:t>
      </w:r>
      <w:r w:rsidR="00527932">
        <w:rPr>
          <w:lang w:val="fr-FR"/>
        </w:rPr>
        <w:t>Le Conseil se compose de trois instances. La première est le Comité ministériel sur les décès en détention chargé, notamment, de tous les types de décès en détention (prison, locaux agréés, police, immigration et personnes détenues en milieu hospitalier en vertu de la loi sur la santé mentale</w:t>
      </w:r>
      <w:r w:rsidR="000B562B" w:rsidRPr="00A176EA">
        <w:rPr>
          <w:lang w:val="fr-FR"/>
        </w:rPr>
        <w:t xml:space="preserve">). </w:t>
      </w:r>
      <w:r w:rsidR="000E629E">
        <w:rPr>
          <w:lang w:val="fr-FR"/>
        </w:rPr>
        <w:t>La deuxième est un Groupe consultatif indépendant, dont le rôle est de fournir des avis et une expertise indépendants au Comité ministériel. Il donne des orientations sur la politique et les meilleures pratiques intersectorielles</w:t>
      </w:r>
      <w:r w:rsidR="00A34A63">
        <w:rPr>
          <w:lang w:val="fr-FR"/>
        </w:rPr>
        <w:t>,</w:t>
      </w:r>
      <w:r w:rsidR="000E629E">
        <w:rPr>
          <w:lang w:val="fr-FR"/>
        </w:rPr>
        <w:t xml:space="preserve"> et formule des recommandations à l’intention des Ministres et des responsables des principaux organismes </w:t>
      </w:r>
      <w:r w:rsidR="008911B1">
        <w:rPr>
          <w:lang w:val="fr-FR"/>
        </w:rPr>
        <w:t xml:space="preserve">concernés. </w:t>
      </w:r>
      <w:r w:rsidR="008911B1" w:rsidRPr="008911B1">
        <w:rPr>
          <w:lang w:val="fr-FR"/>
        </w:rPr>
        <w:t xml:space="preserve">La troisième instance, </w:t>
      </w:r>
      <w:r w:rsidR="00A34A63">
        <w:rPr>
          <w:lang w:val="fr-FR"/>
        </w:rPr>
        <w:t xml:space="preserve">un </w:t>
      </w:r>
      <w:r w:rsidR="008911B1" w:rsidRPr="008911B1">
        <w:rPr>
          <w:lang w:val="fr-FR"/>
        </w:rPr>
        <w:t xml:space="preserve">groupe diversifié représentant des médecins et des parties prenantes, appuie le </w:t>
      </w:r>
      <w:r w:rsidR="000E629E" w:rsidRPr="008911B1">
        <w:rPr>
          <w:lang w:val="fr-FR"/>
        </w:rPr>
        <w:t>Groupe consultatif indépendant</w:t>
      </w:r>
      <w:r w:rsidR="000B562B" w:rsidRPr="008911B1">
        <w:rPr>
          <w:lang w:val="fr-FR"/>
        </w:rPr>
        <w:t>.</w:t>
      </w:r>
      <w:r w:rsidR="000B562B" w:rsidRPr="00A176EA">
        <w:rPr>
          <w:lang w:val="fr-FR"/>
        </w:rPr>
        <w:t xml:space="preserve"> </w:t>
      </w:r>
      <w:r w:rsidR="008911B1">
        <w:rPr>
          <w:lang w:val="fr-FR"/>
        </w:rPr>
        <w:t xml:space="preserve">L’objectif commun du Comité et du Groupe est de réduire de façon continue et durable le nombre et le pourcentage de décès </w:t>
      </w:r>
      <w:r w:rsidR="00A34A63">
        <w:rPr>
          <w:lang w:val="fr-FR"/>
        </w:rPr>
        <w:t xml:space="preserve">en détention </w:t>
      </w:r>
      <w:r w:rsidR="008911B1">
        <w:rPr>
          <w:lang w:val="fr-FR"/>
        </w:rPr>
        <w:t xml:space="preserve">de toute nature en Angleterre et au </w:t>
      </w:r>
      <w:r w:rsidR="00186A02">
        <w:rPr>
          <w:lang w:val="fr-FR"/>
        </w:rPr>
        <w:t>p</w:t>
      </w:r>
      <w:r w:rsidR="005601A1">
        <w:rPr>
          <w:lang w:val="fr-FR"/>
        </w:rPr>
        <w:t>ays de Galles</w:t>
      </w:r>
      <w:r w:rsidR="000B562B" w:rsidRPr="00A176EA">
        <w:rPr>
          <w:lang w:val="fr-FR"/>
        </w:rPr>
        <w:t>.</w:t>
      </w:r>
    </w:p>
    <w:p w:rsidR="000B562B" w:rsidRPr="00A176EA" w:rsidRDefault="002549A9" w:rsidP="008911B1">
      <w:pPr>
        <w:pStyle w:val="SingleTxtG"/>
        <w:rPr>
          <w:lang w:val="fr-FR"/>
        </w:rPr>
      </w:pPr>
      <w:r w:rsidRPr="00A176EA">
        <w:rPr>
          <w:lang w:val="fr-FR"/>
        </w:rPr>
        <w:t>77.</w:t>
      </w:r>
      <w:r w:rsidRPr="00A176EA">
        <w:rPr>
          <w:lang w:val="fr-FR"/>
        </w:rPr>
        <w:tab/>
      </w:r>
      <w:r w:rsidR="008911B1">
        <w:rPr>
          <w:lang w:val="fr-FR"/>
        </w:rPr>
        <w:t>Le travail</w:t>
      </w:r>
      <w:r w:rsidR="000B562B" w:rsidRPr="00A176EA">
        <w:rPr>
          <w:lang w:val="fr-FR"/>
        </w:rPr>
        <w:t xml:space="preserve"> </w:t>
      </w:r>
      <w:r w:rsidR="008911B1">
        <w:rPr>
          <w:lang w:val="fr-FR"/>
        </w:rPr>
        <w:t xml:space="preserve">du </w:t>
      </w:r>
      <w:r w:rsidR="000E629E" w:rsidRPr="008911B1">
        <w:rPr>
          <w:lang w:val="fr-FR"/>
        </w:rPr>
        <w:t>Groupe consultatif indépendant</w:t>
      </w:r>
      <w:r w:rsidR="000E629E" w:rsidRPr="00A176EA">
        <w:rPr>
          <w:lang w:val="fr-FR"/>
        </w:rPr>
        <w:t xml:space="preserve"> </w:t>
      </w:r>
      <w:r w:rsidR="008911B1">
        <w:rPr>
          <w:lang w:val="fr-FR"/>
        </w:rPr>
        <w:t xml:space="preserve">se fera essentiellement au moyen de groupes de travail, chacun étant dirigé par un membre du Groupe. Le </w:t>
      </w:r>
      <w:r w:rsidR="0042557C">
        <w:rPr>
          <w:lang w:val="fr-FR"/>
        </w:rPr>
        <w:t>dossier</w:t>
      </w:r>
      <w:r w:rsidR="008911B1">
        <w:rPr>
          <w:lang w:val="fr-FR"/>
        </w:rPr>
        <w:t xml:space="preserve"> d’évaluation </w:t>
      </w:r>
      <w:r w:rsidR="00204260">
        <w:rPr>
          <w:lang w:val="fr-FR"/>
        </w:rPr>
        <w:t>préliminaire</w:t>
      </w:r>
      <w:r w:rsidR="008911B1">
        <w:rPr>
          <w:lang w:val="fr-FR"/>
        </w:rPr>
        <w:t xml:space="preserve"> de ces groupes est déjà bien avancé. Voici un aperçu des domaines spécifiques qu’examineront les groupes</w:t>
      </w:r>
      <w:r w:rsidR="0042557C">
        <w:rPr>
          <w:lang w:val="fr-FR"/>
        </w:rPr>
        <w:t xml:space="preserve"> de travail</w:t>
      </w:r>
      <w:r w:rsidR="00FC2B97">
        <w:rPr>
          <w:lang w:val="fr-FR"/>
        </w:rPr>
        <w:t>:</w:t>
      </w:r>
    </w:p>
    <w:p w:rsidR="000B562B" w:rsidRPr="00A176EA" w:rsidRDefault="008911B1" w:rsidP="00BC0033">
      <w:pPr>
        <w:pStyle w:val="Bullet1G"/>
      </w:pPr>
      <w:r>
        <w:rPr>
          <w:i/>
        </w:rPr>
        <w:t>Limitation du recours à la contrainte physique</w:t>
      </w:r>
      <w:r w:rsidR="00CF69D8" w:rsidRPr="00A176EA">
        <w:rPr>
          <w:i/>
        </w:rPr>
        <w:t xml:space="preserve">. </w:t>
      </w:r>
      <w:r>
        <w:t xml:space="preserve">Ce groupe de travail examinera le nombre de décès en détention auxquels le recours à la contrainte physique pourrait avoir contribué, ainsi que les orientations appliquées dans les différents lieux de détention </w:t>
      </w:r>
      <w:r w:rsidR="00573C42">
        <w:t>quant</w:t>
      </w:r>
      <w:r>
        <w:t xml:space="preserve"> à son utilisation</w:t>
      </w:r>
      <w:r w:rsidR="00573C42">
        <w:t xml:space="preserve">. Il examinera également </w:t>
      </w:r>
      <w:r w:rsidR="00A021EA">
        <w:t>l’éventuelle</w:t>
      </w:r>
      <w:r w:rsidR="00573C42">
        <w:t xml:space="preserve"> utilité d’orientations intersectorielles sur les principes du recours à la contrainte</w:t>
      </w:r>
      <w:r w:rsidR="00A34A63">
        <w:t xml:space="preserve"> physique</w:t>
      </w:r>
      <w:r w:rsidR="000B562B" w:rsidRPr="00A176EA">
        <w:t>.</w:t>
      </w:r>
    </w:p>
    <w:p w:rsidR="000B562B" w:rsidRPr="00A176EA" w:rsidRDefault="00573C42" w:rsidP="00BC0033">
      <w:pPr>
        <w:pStyle w:val="Bullet1G"/>
      </w:pPr>
      <w:r>
        <w:rPr>
          <w:i/>
        </w:rPr>
        <w:t>Apprentissage intersectoriel</w:t>
      </w:r>
      <w:r w:rsidR="00CF69D8" w:rsidRPr="00A176EA">
        <w:rPr>
          <w:i/>
        </w:rPr>
        <w:t xml:space="preserve">. </w:t>
      </w:r>
      <w:r>
        <w:t xml:space="preserve">Ce groupe </w:t>
      </w:r>
      <w:r w:rsidR="00A021EA">
        <w:t>est</w:t>
      </w:r>
      <w:r>
        <w:t xml:space="preserve"> chargé d’identifier la façon dont les différents secteurs consignent et diffusent les connaissances acquises en matière de décès ou </w:t>
      </w:r>
      <w:r w:rsidR="00CD0110">
        <w:t>«</w:t>
      </w:r>
      <w:r w:rsidR="00A021EA">
        <w:t>presque décès</w:t>
      </w:r>
      <w:r w:rsidR="00CD0110">
        <w:t>»</w:t>
      </w:r>
      <w:r w:rsidR="00A021EA">
        <w:t xml:space="preserve"> en détention, ainsi que la façon dont ils les utilisent en termes de politique, de formation et d’information du personnel de terrain, et les communiquent aux familles en deuil. Il assurera par ailleurs la liaison avec les organismes d’enquête et de réglementation en vue d’explorer les possibilités de diffuser les premiers enseignements qu’il aura dégagés dans le cadre de son travail</w:t>
      </w:r>
      <w:r w:rsidR="000B562B" w:rsidRPr="00A176EA">
        <w:t>.</w:t>
      </w:r>
    </w:p>
    <w:p w:rsidR="000B562B" w:rsidRPr="00A176EA" w:rsidRDefault="000B562B" w:rsidP="00BC0033">
      <w:pPr>
        <w:pStyle w:val="Bullet1G"/>
      </w:pPr>
      <w:r w:rsidRPr="00A176EA">
        <w:rPr>
          <w:i/>
        </w:rPr>
        <w:t>Information</w:t>
      </w:r>
      <w:r w:rsidR="00487356">
        <w:rPr>
          <w:i/>
        </w:rPr>
        <w:t xml:space="preserve">s </w:t>
      </w:r>
      <w:r w:rsidR="00154050">
        <w:rPr>
          <w:i/>
        </w:rPr>
        <w:t>provenant</w:t>
      </w:r>
      <w:r w:rsidR="00487356">
        <w:rPr>
          <w:i/>
        </w:rPr>
        <w:t xml:space="preserve"> du Système de justice pénale</w:t>
      </w:r>
      <w:r w:rsidR="00CF69D8" w:rsidRPr="00A176EA">
        <w:rPr>
          <w:i/>
        </w:rPr>
        <w:t xml:space="preserve">. </w:t>
      </w:r>
      <w:r w:rsidR="00487356">
        <w:t>Ce groupe examinera comment partager plus efficacement les informations sur les besoins de santé d’un individu et le risque de suicide/automutilation qu’il présente obtenues tout au long de son parcours au sein du Système de justice pénale</w:t>
      </w:r>
      <w:r w:rsidRPr="00A176EA">
        <w:t>.</w:t>
      </w:r>
    </w:p>
    <w:p w:rsidR="000B562B" w:rsidRPr="00A176EA" w:rsidRDefault="00527932" w:rsidP="00BC0033">
      <w:pPr>
        <w:pStyle w:val="Bullet1G"/>
      </w:pPr>
      <w:r w:rsidRPr="00487356">
        <w:rPr>
          <w:i/>
        </w:rPr>
        <w:t>Décès de p</w:t>
      </w:r>
      <w:r w:rsidR="000B562B" w:rsidRPr="00487356">
        <w:rPr>
          <w:i/>
        </w:rPr>
        <w:t xml:space="preserve">atients </w:t>
      </w:r>
      <w:r w:rsidRPr="00487356">
        <w:rPr>
          <w:i/>
        </w:rPr>
        <w:t>détenus en vertu de la</w:t>
      </w:r>
      <w:r w:rsidR="000B562B" w:rsidRPr="00487356">
        <w:rPr>
          <w:i/>
        </w:rPr>
        <w:t xml:space="preserve"> </w:t>
      </w:r>
      <w:r w:rsidRPr="00487356">
        <w:rPr>
          <w:i/>
        </w:rPr>
        <w:t>loi sur la santé mentale</w:t>
      </w:r>
      <w:r w:rsidR="00CF69D8" w:rsidRPr="00487356">
        <w:rPr>
          <w:i/>
        </w:rPr>
        <w:t>.</w:t>
      </w:r>
      <w:r w:rsidR="00CF69D8" w:rsidRPr="00A176EA">
        <w:rPr>
          <w:i/>
        </w:rPr>
        <w:t xml:space="preserve"> </w:t>
      </w:r>
      <w:r w:rsidR="00487356">
        <w:t xml:space="preserve">Ce groupe procédera à </w:t>
      </w:r>
      <w:r w:rsidR="00204260">
        <w:t xml:space="preserve">un </w:t>
      </w:r>
      <w:r w:rsidR="00487356">
        <w:t xml:space="preserve">travail </w:t>
      </w:r>
      <w:r w:rsidR="00204260">
        <w:t xml:space="preserve">d’évaluation </w:t>
      </w:r>
      <w:r w:rsidR="00487356">
        <w:t xml:space="preserve">préliminaire pour identifier </w:t>
      </w:r>
      <w:r w:rsidR="00204260">
        <w:t>les priorités de travail du Groupe consultatif indépendant s’agissant de décès de patients détenus en vertu de la loi sur la santé mentale. Ces priorités seront développées dans le programme de travail à long terme</w:t>
      </w:r>
      <w:r w:rsidR="000B562B" w:rsidRPr="00A176EA">
        <w:t>.</w:t>
      </w:r>
    </w:p>
    <w:p w:rsidR="000B562B" w:rsidRDefault="00204260" w:rsidP="00BC0033">
      <w:pPr>
        <w:pStyle w:val="Bullet1G"/>
      </w:pPr>
      <w:r>
        <w:rPr>
          <w:i/>
        </w:rPr>
        <w:t xml:space="preserve">Enquêtes </w:t>
      </w:r>
      <w:r w:rsidRPr="00204260">
        <w:rPr>
          <w:i/>
        </w:rPr>
        <w:t>de conformité à</w:t>
      </w:r>
      <w:r>
        <w:rPr>
          <w:i/>
        </w:rPr>
        <w:t xml:space="preserve"> l’a</w:t>
      </w:r>
      <w:r w:rsidR="000B562B" w:rsidRPr="00A176EA">
        <w:rPr>
          <w:i/>
        </w:rPr>
        <w:t>rticle 2</w:t>
      </w:r>
      <w:r w:rsidR="00CF69D8" w:rsidRPr="00A176EA">
        <w:rPr>
          <w:i/>
        </w:rPr>
        <w:t xml:space="preserve">. </w:t>
      </w:r>
      <w:r>
        <w:t>Ce groupe de travail se fondera sur le travail effectué par le Forum pour la prévention des décès en détention, qui a examiné si les dispositions actuelles en matière d’enquête sur ces décès sont conformes à l’article 2 de la Convention européenne des droits de l’homme</w:t>
      </w:r>
      <w:r w:rsidR="000B562B" w:rsidRPr="00A176EA">
        <w:t>.</w:t>
      </w:r>
    </w:p>
    <w:p w:rsidR="000B562B" w:rsidRPr="00950A4C" w:rsidRDefault="00950A4C" w:rsidP="00BC0033">
      <w:pPr>
        <w:pStyle w:val="Bullet1G"/>
        <w:rPr>
          <w:b/>
        </w:rPr>
      </w:pPr>
      <w:r>
        <w:rPr>
          <w:i/>
        </w:rPr>
        <w:t xml:space="preserve">Risques liés </w:t>
      </w:r>
      <w:r w:rsidRPr="00950A4C">
        <w:rPr>
          <w:i/>
        </w:rPr>
        <w:t>au transfert et à l’escorte de détenus.</w:t>
      </w:r>
      <w:r>
        <w:t xml:space="preserve"> Ce </w:t>
      </w:r>
      <w:r w:rsidRPr="00950A4C">
        <w:t>groupe étudiera les risques</w:t>
      </w:r>
      <w:r>
        <w:t xml:space="preserve"> spécifiques </w:t>
      </w:r>
      <w:r w:rsidRPr="00950A4C">
        <w:t>liés au transfert et à l’escorte de détenus</w:t>
      </w:r>
      <w:r>
        <w:t xml:space="preserve">, </w:t>
      </w:r>
      <w:r w:rsidRPr="00950A4C">
        <w:t>ainsi que la formation des</w:t>
      </w:r>
      <w:r>
        <w:t xml:space="preserve"> personnels à cet effet. L’accent sera mis sur une refonte du formulaire personnel d’accompagnement en vue d’en apprendre le plus possible sur la procédure et d’en optimiser les bénéfices</w:t>
      </w:r>
      <w:r w:rsidR="000B562B" w:rsidRPr="00950A4C">
        <w:rPr>
          <w:b/>
        </w:rPr>
        <w:t>.</w:t>
      </w:r>
    </w:p>
    <w:p w:rsidR="000B562B" w:rsidRPr="00A176EA" w:rsidRDefault="00B05625" w:rsidP="00CF69D8">
      <w:pPr>
        <w:pStyle w:val="H23G"/>
        <w:rPr>
          <w:lang w:val="fr-FR"/>
        </w:rPr>
      </w:pPr>
      <w:r w:rsidRPr="00A176EA">
        <w:rPr>
          <w:lang w:val="fr-FR"/>
        </w:rPr>
        <w:t>Consultation</w:t>
      </w:r>
      <w:r>
        <w:rPr>
          <w:lang w:val="fr-FR"/>
        </w:rPr>
        <w:t xml:space="preserve"> des prisonniers</w:t>
      </w:r>
      <w:r w:rsidR="000B562B" w:rsidRPr="00A176EA">
        <w:rPr>
          <w:lang w:val="fr-FR"/>
        </w:rPr>
        <w:t xml:space="preserve"> </w:t>
      </w:r>
    </w:p>
    <w:p w:rsidR="000B562B" w:rsidRPr="00A176EA" w:rsidRDefault="002549A9" w:rsidP="001D484F">
      <w:pPr>
        <w:pStyle w:val="SingleTxtG"/>
        <w:rPr>
          <w:lang w:val="fr-FR"/>
        </w:rPr>
      </w:pPr>
      <w:r w:rsidRPr="00A176EA">
        <w:rPr>
          <w:lang w:val="fr-FR"/>
        </w:rPr>
        <w:t>78.</w:t>
      </w:r>
      <w:r w:rsidRPr="00A176EA">
        <w:rPr>
          <w:lang w:val="fr-FR"/>
        </w:rPr>
        <w:tab/>
      </w:r>
      <w:r w:rsidR="00B05625">
        <w:rPr>
          <w:lang w:val="fr-FR"/>
        </w:rPr>
        <w:t xml:space="preserve">Le Service national de gestion des </w:t>
      </w:r>
      <w:r w:rsidR="000423A5" w:rsidRPr="002F4825">
        <w:rPr>
          <w:lang w:val="fr-FR"/>
        </w:rPr>
        <w:t>détenus</w:t>
      </w:r>
      <w:r w:rsidR="00B05625">
        <w:rPr>
          <w:lang w:val="fr-FR"/>
        </w:rPr>
        <w:t xml:space="preserve"> encourage ces derniers à assumer la responsabilité de leurs actes et à aider leurs codétenus comme eux-mêmes. </w:t>
      </w:r>
      <w:r w:rsidR="001D484F">
        <w:rPr>
          <w:lang w:val="fr-FR"/>
        </w:rPr>
        <w:t xml:space="preserve">Des comités </w:t>
      </w:r>
      <w:r w:rsidR="001A3D6D">
        <w:rPr>
          <w:lang w:val="fr-FR"/>
        </w:rPr>
        <w:t>représentatifs</w:t>
      </w:r>
      <w:r w:rsidR="001D484F">
        <w:rPr>
          <w:lang w:val="fr-FR"/>
        </w:rPr>
        <w:t xml:space="preserve"> existent dans de nombreux établissements</w:t>
      </w:r>
      <w:r w:rsidR="00AD0918">
        <w:rPr>
          <w:lang w:val="fr-FR"/>
        </w:rPr>
        <w:t>, lesquels</w:t>
      </w:r>
      <w:r w:rsidR="001D484F">
        <w:rPr>
          <w:lang w:val="fr-FR"/>
        </w:rPr>
        <w:t xml:space="preserve"> permettent souvent de communiquer efficacement avec les prisonniers et de recueillir leurs opinions</w:t>
      </w:r>
      <w:r w:rsidR="000B562B" w:rsidRPr="00A176EA">
        <w:rPr>
          <w:lang w:val="fr-FR"/>
        </w:rPr>
        <w:t>.</w:t>
      </w:r>
    </w:p>
    <w:p w:rsidR="000B562B" w:rsidRPr="00A176EA" w:rsidRDefault="002549A9" w:rsidP="00AF063B">
      <w:pPr>
        <w:pStyle w:val="SingleTxtG"/>
        <w:rPr>
          <w:lang w:val="fr-FR"/>
        </w:rPr>
      </w:pPr>
      <w:r w:rsidRPr="00A176EA">
        <w:rPr>
          <w:lang w:val="fr-FR"/>
        </w:rPr>
        <w:t>79.</w:t>
      </w:r>
      <w:r w:rsidRPr="00A176EA">
        <w:rPr>
          <w:lang w:val="fr-FR"/>
        </w:rPr>
        <w:tab/>
      </w:r>
      <w:r w:rsidR="001D484F">
        <w:rPr>
          <w:lang w:val="fr-FR"/>
        </w:rPr>
        <w:t>Les comités de détenus, groupes exclusivement locaux</w:t>
      </w:r>
      <w:r w:rsidR="001E528B">
        <w:rPr>
          <w:lang w:val="fr-FR"/>
        </w:rPr>
        <w:t>,</w:t>
      </w:r>
      <w:r w:rsidR="001D484F">
        <w:rPr>
          <w:lang w:val="fr-FR"/>
        </w:rPr>
        <w:t xml:space="preserve"> visent à intéresser les prisonniers aux problèmes locaux et ne nécessitent ni ne reçoivent de financement. </w:t>
      </w:r>
      <w:r w:rsidR="00AF063B">
        <w:rPr>
          <w:lang w:val="fr-FR"/>
        </w:rPr>
        <w:t xml:space="preserve">Les directeurs d’établissement pénitentiaire et les </w:t>
      </w:r>
      <w:r w:rsidR="00AD0918">
        <w:rPr>
          <w:lang w:val="fr-FR"/>
        </w:rPr>
        <w:t>contrôleurs</w:t>
      </w:r>
      <w:r w:rsidR="00AF063B">
        <w:rPr>
          <w:lang w:val="fr-FR"/>
        </w:rPr>
        <w:t xml:space="preserve"> ont le pouvoir discrétionnaire de décider dans quelle mesure des associations de détenus peuvent opérer dans leurs établissements. Ils doivent tenir compte des conditions locales et des implications que cela induit en termes de maintien de l’ordre et de </w:t>
      </w:r>
      <w:r w:rsidR="000B562B" w:rsidRPr="00A176EA">
        <w:rPr>
          <w:lang w:val="fr-FR"/>
        </w:rPr>
        <w:t>discipline.</w:t>
      </w:r>
    </w:p>
    <w:p w:rsidR="000B562B" w:rsidRPr="00A176EA" w:rsidRDefault="002549A9" w:rsidP="00DB4A27">
      <w:pPr>
        <w:pStyle w:val="SingleTxtG"/>
        <w:tabs>
          <w:tab w:val="left" w:pos="567"/>
          <w:tab w:val="left" w:pos="1134"/>
          <w:tab w:val="left" w:pos="1701"/>
          <w:tab w:val="left" w:pos="2093"/>
        </w:tabs>
        <w:rPr>
          <w:lang w:val="fr-FR"/>
        </w:rPr>
      </w:pPr>
      <w:r w:rsidRPr="00A176EA">
        <w:rPr>
          <w:lang w:val="fr-FR"/>
        </w:rPr>
        <w:t>80.</w:t>
      </w:r>
      <w:r w:rsidRPr="00A176EA">
        <w:rPr>
          <w:lang w:val="fr-FR"/>
        </w:rPr>
        <w:tab/>
      </w:r>
      <w:r w:rsidR="00AF063B" w:rsidRPr="00AD0918">
        <w:rPr>
          <w:lang w:val="fr-FR"/>
        </w:rPr>
        <w:t>L’instruction pénitentiaire</w:t>
      </w:r>
      <w:r w:rsidR="00AF063B">
        <w:rPr>
          <w:lang w:val="fr-FR"/>
        </w:rPr>
        <w:t xml:space="preserve"> </w:t>
      </w:r>
      <w:r w:rsidR="00786384">
        <w:rPr>
          <w:lang w:val="fr-FR"/>
        </w:rPr>
        <w:t>PSI</w:t>
      </w:r>
      <w:r w:rsidR="00DB4A27">
        <w:rPr>
          <w:lang w:val="fr-FR"/>
        </w:rPr>
        <w:t xml:space="preserve"> </w:t>
      </w:r>
      <w:r w:rsidR="00AF063B">
        <w:rPr>
          <w:lang w:val="fr-FR"/>
        </w:rPr>
        <w:t>35/2011 (Participation des détenus aux exercices de consultation publique) a été publiée</w:t>
      </w:r>
      <w:r w:rsidR="00DB4A27">
        <w:rPr>
          <w:lang w:val="fr-FR"/>
        </w:rPr>
        <w:t xml:space="preserve"> pour faire en sorte que</w:t>
      </w:r>
      <w:r w:rsidR="00B834B6" w:rsidRPr="00B834B6">
        <w:rPr>
          <w:lang w:val="fr-FR"/>
        </w:rPr>
        <w:t xml:space="preserve"> </w:t>
      </w:r>
      <w:r w:rsidR="00B834B6">
        <w:rPr>
          <w:lang w:val="fr-FR"/>
        </w:rPr>
        <w:t>les détenus</w:t>
      </w:r>
      <w:r w:rsidR="00DB4A27">
        <w:rPr>
          <w:lang w:val="fr-FR"/>
        </w:rPr>
        <w:t xml:space="preserve">, en cas de consultation sur des questions ayant un impact spécifique sur les droits, la santé et les intérêts des détenus, </w:t>
      </w:r>
      <w:r w:rsidR="00B834B6">
        <w:rPr>
          <w:lang w:val="fr-FR"/>
        </w:rPr>
        <w:t xml:space="preserve">qui ne concerneraient pas le public en général, </w:t>
      </w:r>
      <w:r w:rsidR="00DB4A27">
        <w:rPr>
          <w:lang w:val="fr-FR"/>
        </w:rPr>
        <w:t>puissent en avoir connaissance et y répondre s’ils le souhaitent</w:t>
      </w:r>
      <w:r w:rsidR="000B562B" w:rsidRPr="00A176EA">
        <w:rPr>
          <w:lang w:val="fr-FR"/>
        </w:rPr>
        <w:t>.</w:t>
      </w:r>
    </w:p>
    <w:p w:rsidR="000B562B" w:rsidRPr="00A176EA" w:rsidRDefault="002D6A7E" w:rsidP="00CF69D8">
      <w:pPr>
        <w:pStyle w:val="H23G"/>
        <w:rPr>
          <w:lang w:val="fr-FR"/>
        </w:rPr>
      </w:pPr>
      <w:r w:rsidRPr="00206280">
        <w:rPr>
          <w:lang w:val="fr-FR"/>
        </w:rPr>
        <w:t>Irlande du Nord</w:t>
      </w:r>
    </w:p>
    <w:p w:rsidR="000B562B" w:rsidRPr="00A176EA" w:rsidRDefault="002549A9" w:rsidP="00F922EE">
      <w:pPr>
        <w:pStyle w:val="SingleTxtG"/>
        <w:rPr>
          <w:lang w:val="fr-FR"/>
        </w:rPr>
      </w:pPr>
      <w:r w:rsidRPr="00A176EA">
        <w:rPr>
          <w:lang w:val="fr-FR"/>
        </w:rPr>
        <w:t>81.</w:t>
      </w:r>
      <w:r w:rsidRPr="00A176EA">
        <w:rPr>
          <w:lang w:val="fr-FR"/>
        </w:rPr>
        <w:tab/>
      </w:r>
      <w:r w:rsidR="00DB4A27">
        <w:rPr>
          <w:lang w:val="fr-FR"/>
        </w:rPr>
        <w:t xml:space="preserve">En Irlande du Nord, un Médiateur pénitentiaire a été nommé en mai 2005. </w:t>
      </w:r>
      <w:r w:rsidR="00206280">
        <w:rPr>
          <w:lang w:val="fr-FR"/>
        </w:rPr>
        <w:t xml:space="preserve">En septembre 2005, ses fonctions ont été étendues à la conduite d’enquêtes et à l’établissement de rapports sur les circonstances et les événements entourant tout décès en détention. </w:t>
      </w:r>
      <w:r w:rsidR="00F922EE">
        <w:rPr>
          <w:lang w:val="fr-FR"/>
        </w:rPr>
        <w:t xml:space="preserve">Ces attributions viennent en complément des enquêtes effectuées par la police et le </w:t>
      </w:r>
      <w:r w:rsidR="00B834B6" w:rsidRPr="00B834B6">
        <w:rPr>
          <w:i/>
          <w:lang w:val="fr-FR"/>
        </w:rPr>
        <w:t>c</w:t>
      </w:r>
      <w:r w:rsidR="00F922EE" w:rsidRPr="00B834B6">
        <w:rPr>
          <w:i/>
          <w:lang w:val="fr-FR"/>
        </w:rPr>
        <w:t>oroner</w:t>
      </w:r>
      <w:r w:rsidR="000B562B" w:rsidRPr="00A176EA">
        <w:rPr>
          <w:lang w:val="fr-FR"/>
        </w:rPr>
        <w:t>.</w:t>
      </w:r>
    </w:p>
    <w:p w:rsidR="0034086A" w:rsidRPr="00A176EA" w:rsidRDefault="002549A9" w:rsidP="00C267BA">
      <w:pPr>
        <w:pStyle w:val="SingleTxtG"/>
        <w:spacing w:after="360"/>
        <w:rPr>
          <w:lang w:val="fr-FR"/>
        </w:rPr>
      </w:pPr>
      <w:r w:rsidRPr="00A176EA">
        <w:rPr>
          <w:lang w:val="fr-FR"/>
        </w:rPr>
        <w:t>82.</w:t>
      </w:r>
      <w:r w:rsidRPr="00A176EA">
        <w:rPr>
          <w:lang w:val="fr-FR"/>
        </w:rPr>
        <w:tab/>
      </w:r>
      <w:r w:rsidR="00F922EE">
        <w:rPr>
          <w:lang w:val="fr-FR"/>
        </w:rPr>
        <w:t xml:space="preserve">La population carcérale n’a pas cessé d’augmenter en Irlande du Nord depuis avril 2004, pour atteindre le </w:t>
      </w:r>
      <w:r w:rsidR="00B834B6">
        <w:rPr>
          <w:lang w:val="fr-FR"/>
        </w:rPr>
        <w:t xml:space="preserve">nouveau </w:t>
      </w:r>
      <w:r w:rsidR="00F922EE">
        <w:rPr>
          <w:lang w:val="fr-FR"/>
        </w:rPr>
        <w:t xml:space="preserve">record de 1 711 détenus le 3 juin 2011. Le tableau ci-après indique le nombre </w:t>
      </w:r>
      <w:r w:rsidR="004D63D2">
        <w:rPr>
          <w:lang w:val="fr-FR"/>
        </w:rPr>
        <w:t xml:space="preserve">maximal </w:t>
      </w:r>
      <w:r w:rsidR="00F922EE">
        <w:rPr>
          <w:lang w:val="fr-FR"/>
        </w:rPr>
        <w:t xml:space="preserve">de détenus entre 2000 et juin </w:t>
      </w:r>
      <w:r w:rsidR="000B562B" w:rsidRPr="00A176EA">
        <w:rPr>
          <w:lang w:val="fr-FR"/>
        </w:rPr>
        <w:t>2011.</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3828"/>
        <w:gridCol w:w="3542"/>
      </w:tblGrid>
      <w:tr w:rsidR="000B562B" w:rsidRPr="00A176EA" w:rsidTr="002C65F8">
        <w:tblPrEx>
          <w:tblCellMar>
            <w:top w:w="0" w:type="dxa"/>
            <w:bottom w:w="0" w:type="dxa"/>
          </w:tblCellMar>
        </w:tblPrEx>
        <w:trPr>
          <w:cantSplit/>
          <w:trHeight w:val="240"/>
          <w:tblHeader/>
        </w:trPr>
        <w:tc>
          <w:tcPr>
            <w:tcW w:w="3828" w:type="dxa"/>
            <w:tcBorders>
              <w:top w:val="single" w:sz="4" w:space="0" w:color="auto"/>
              <w:bottom w:val="single" w:sz="12" w:space="0" w:color="auto"/>
            </w:tcBorders>
            <w:shd w:val="clear" w:color="auto" w:fill="auto"/>
            <w:vAlign w:val="bottom"/>
          </w:tcPr>
          <w:p w:rsidR="000B562B" w:rsidRPr="00F922EE" w:rsidRDefault="002D6A7E" w:rsidP="00C267BA">
            <w:pPr>
              <w:pStyle w:val="Text"/>
              <w:keepNext/>
              <w:keepLines/>
              <w:spacing w:before="80" w:after="80" w:line="200" w:lineRule="exact"/>
              <w:rPr>
                <w:rFonts w:ascii="Times New Roman" w:hAnsi="Times New Roman"/>
                <w:i/>
                <w:sz w:val="16"/>
                <w:lang w:val="fr-FR"/>
              </w:rPr>
            </w:pPr>
            <w:r w:rsidRPr="00F922EE">
              <w:rPr>
                <w:rFonts w:ascii="Times New Roman" w:hAnsi="Times New Roman"/>
                <w:i/>
                <w:sz w:val="16"/>
                <w:lang w:val="fr-FR"/>
              </w:rPr>
              <w:t>Année</w:t>
            </w:r>
          </w:p>
        </w:tc>
        <w:tc>
          <w:tcPr>
            <w:tcW w:w="3542" w:type="dxa"/>
            <w:tcBorders>
              <w:top w:val="single" w:sz="4" w:space="0" w:color="auto"/>
              <w:bottom w:val="single" w:sz="12" w:space="0" w:color="auto"/>
            </w:tcBorders>
            <w:shd w:val="clear" w:color="auto" w:fill="auto"/>
            <w:tcMar>
              <w:right w:w="57" w:type="dxa"/>
            </w:tcMar>
            <w:vAlign w:val="bottom"/>
          </w:tcPr>
          <w:p w:rsidR="000B562B" w:rsidRPr="00F922EE" w:rsidRDefault="002D6A7E" w:rsidP="00C959CB">
            <w:pPr>
              <w:pStyle w:val="Text"/>
              <w:keepNext/>
              <w:keepLines/>
              <w:spacing w:before="80" w:after="80" w:line="200" w:lineRule="exact"/>
              <w:jc w:val="right"/>
              <w:rPr>
                <w:rFonts w:ascii="Times New Roman" w:hAnsi="Times New Roman"/>
                <w:i/>
                <w:sz w:val="16"/>
                <w:lang w:val="fr-FR"/>
              </w:rPr>
            </w:pPr>
            <w:r w:rsidRPr="00F922EE">
              <w:rPr>
                <w:rFonts w:ascii="Times New Roman" w:hAnsi="Times New Roman"/>
                <w:i/>
                <w:sz w:val="16"/>
                <w:lang w:val="fr-FR"/>
              </w:rPr>
              <w:t>Population carcérale maximale</w:t>
            </w:r>
          </w:p>
        </w:tc>
      </w:tr>
      <w:tr w:rsidR="000B562B" w:rsidRPr="00A176EA" w:rsidTr="002C65F8">
        <w:tblPrEx>
          <w:tblCellMar>
            <w:top w:w="0" w:type="dxa"/>
            <w:bottom w:w="0" w:type="dxa"/>
          </w:tblCellMar>
        </w:tblPrEx>
        <w:trPr>
          <w:cantSplit/>
          <w:trHeight w:val="240"/>
        </w:trPr>
        <w:tc>
          <w:tcPr>
            <w:tcW w:w="3828" w:type="dxa"/>
            <w:tcBorders>
              <w:top w:val="single" w:sz="12" w:space="0" w:color="auto"/>
            </w:tcBorders>
            <w:shd w:val="clear" w:color="auto" w:fill="auto"/>
          </w:tcPr>
          <w:p w:rsidR="000B562B" w:rsidRPr="00F922EE" w:rsidRDefault="000B562B" w:rsidP="00C267BA">
            <w:pPr>
              <w:pStyle w:val="Text"/>
              <w:keepNext/>
              <w:keepLines/>
              <w:spacing w:before="40" w:after="120" w:line="220" w:lineRule="exact"/>
              <w:rPr>
                <w:rFonts w:ascii="Times New Roman" w:hAnsi="Times New Roman"/>
                <w:sz w:val="20"/>
                <w:lang w:val="fr-FR"/>
              </w:rPr>
            </w:pPr>
            <w:r w:rsidRPr="00F922EE">
              <w:rPr>
                <w:rFonts w:ascii="Times New Roman" w:hAnsi="Times New Roman"/>
                <w:sz w:val="20"/>
                <w:lang w:val="fr-FR"/>
              </w:rPr>
              <w:t>2000</w:t>
            </w:r>
          </w:p>
        </w:tc>
        <w:tc>
          <w:tcPr>
            <w:tcW w:w="3542" w:type="dxa"/>
            <w:tcBorders>
              <w:top w:val="single" w:sz="12" w:space="0" w:color="auto"/>
            </w:tcBorders>
            <w:shd w:val="clear" w:color="auto" w:fill="auto"/>
            <w:tcMar>
              <w:right w:w="57" w:type="dxa"/>
            </w:tcMar>
            <w:vAlign w:val="bottom"/>
          </w:tcPr>
          <w:p w:rsidR="000B562B" w:rsidRPr="00F922EE" w:rsidRDefault="000B562B" w:rsidP="004306CD">
            <w:pPr>
              <w:pStyle w:val="Text"/>
              <w:keepNext/>
              <w:keepLines/>
              <w:spacing w:before="40" w:after="0" w:line="220" w:lineRule="exact"/>
              <w:jc w:val="right"/>
              <w:rPr>
                <w:rFonts w:ascii="Times New Roman" w:hAnsi="Times New Roman"/>
                <w:sz w:val="20"/>
                <w:lang w:val="fr-FR"/>
              </w:rPr>
            </w:pPr>
            <w:r w:rsidRPr="00F922EE">
              <w:rPr>
                <w:rFonts w:ascii="Times New Roman" w:hAnsi="Times New Roman"/>
                <w:sz w:val="20"/>
                <w:lang w:val="fr-FR"/>
              </w:rPr>
              <w:t>1</w:t>
            </w:r>
            <w:r w:rsidR="002D6A7E" w:rsidRPr="00F922EE">
              <w:rPr>
                <w:rFonts w:ascii="Times New Roman" w:hAnsi="Times New Roman"/>
                <w:sz w:val="20"/>
                <w:lang w:val="fr-FR"/>
              </w:rPr>
              <w:t xml:space="preserve"> </w:t>
            </w:r>
            <w:r w:rsidRPr="00F922EE">
              <w:rPr>
                <w:rFonts w:ascii="Times New Roman" w:hAnsi="Times New Roman"/>
                <w:sz w:val="20"/>
                <w:lang w:val="fr-FR"/>
              </w:rPr>
              <w:t>185</w:t>
            </w:r>
          </w:p>
        </w:tc>
      </w:tr>
      <w:tr w:rsidR="000B562B" w:rsidRPr="00A176EA" w:rsidTr="002C65F8">
        <w:tblPrEx>
          <w:tblCellMar>
            <w:top w:w="0" w:type="dxa"/>
            <w:bottom w:w="0" w:type="dxa"/>
          </w:tblCellMar>
        </w:tblPrEx>
        <w:trPr>
          <w:cantSplit/>
          <w:trHeight w:val="240"/>
        </w:trPr>
        <w:tc>
          <w:tcPr>
            <w:tcW w:w="3828" w:type="dxa"/>
            <w:shd w:val="clear" w:color="auto" w:fill="auto"/>
          </w:tcPr>
          <w:p w:rsidR="000B562B" w:rsidRPr="00F922EE" w:rsidRDefault="000B562B" w:rsidP="00C267BA">
            <w:pPr>
              <w:pStyle w:val="Text"/>
              <w:keepNext/>
              <w:keepLines/>
              <w:spacing w:before="40" w:after="120" w:line="220" w:lineRule="exact"/>
              <w:rPr>
                <w:rFonts w:ascii="Times New Roman" w:hAnsi="Times New Roman"/>
                <w:sz w:val="20"/>
                <w:lang w:val="fr-FR"/>
              </w:rPr>
            </w:pPr>
            <w:r w:rsidRPr="00F922EE">
              <w:rPr>
                <w:rFonts w:ascii="Times New Roman" w:hAnsi="Times New Roman"/>
                <w:sz w:val="20"/>
                <w:lang w:val="fr-FR"/>
              </w:rPr>
              <w:t>2001</w:t>
            </w:r>
          </w:p>
        </w:tc>
        <w:tc>
          <w:tcPr>
            <w:tcW w:w="3542" w:type="dxa"/>
            <w:shd w:val="clear" w:color="auto" w:fill="auto"/>
            <w:tcMar>
              <w:right w:w="57" w:type="dxa"/>
            </w:tcMar>
            <w:vAlign w:val="bottom"/>
          </w:tcPr>
          <w:p w:rsidR="000B562B" w:rsidRPr="00F922EE" w:rsidRDefault="002D6A7E" w:rsidP="004306CD">
            <w:pPr>
              <w:pStyle w:val="Text"/>
              <w:keepNext/>
              <w:keepLines/>
              <w:spacing w:before="40" w:after="0" w:line="220" w:lineRule="exact"/>
              <w:jc w:val="right"/>
              <w:rPr>
                <w:rFonts w:ascii="Times New Roman" w:hAnsi="Times New Roman"/>
                <w:sz w:val="20"/>
                <w:lang w:val="fr-FR"/>
              </w:rPr>
            </w:pPr>
            <w:r w:rsidRPr="00F922EE">
              <w:rPr>
                <w:rFonts w:ascii="Times New Roman" w:hAnsi="Times New Roman"/>
                <w:sz w:val="20"/>
                <w:lang w:val="fr-FR"/>
              </w:rPr>
              <w:t xml:space="preserve">   </w:t>
            </w:r>
            <w:r w:rsidR="000B562B" w:rsidRPr="00F922EE">
              <w:rPr>
                <w:rFonts w:ascii="Times New Roman" w:hAnsi="Times New Roman"/>
                <w:sz w:val="20"/>
                <w:lang w:val="fr-FR"/>
              </w:rPr>
              <w:t>953</w:t>
            </w:r>
          </w:p>
        </w:tc>
      </w:tr>
      <w:tr w:rsidR="000B562B" w:rsidRPr="00A176EA" w:rsidTr="002C65F8">
        <w:tblPrEx>
          <w:tblCellMar>
            <w:top w:w="0" w:type="dxa"/>
            <w:bottom w:w="0" w:type="dxa"/>
          </w:tblCellMar>
        </w:tblPrEx>
        <w:trPr>
          <w:cantSplit/>
          <w:trHeight w:val="240"/>
        </w:trPr>
        <w:tc>
          <w:tcPr>
            <w:tcW w:w="3828" w:type="dxa"/>
            <w:shd w:val="clear" w:color="auto" w:fill="auto"/>
          </w:tcPr>
          <w:p w:rsidR="000B562B" w:rsidRPr="00F922EE" w:rsidRDefault="000B562B" w:rsidP="00C267BA">
            <w:pPr>
              <w:pStyle w:val="Text"/>
              <w:keepNext/>
              <w:keepLines/>
              <w:spacing w:before="40" w:after="120" w:line="220" w:lineRule="exact"/>
              <w:rPr>
                <w:rFonts w:ascii="Times New Roman" w:hAnsi="Times New Roman"/>
                <w:sz w:val="20"/>
                <w:lang w:val="fr-FR"/>
              </w:rPr>
            </w:pPr>
            <w:r w:rsidRPr="00F922EE">
              <w:rPr>
                <w:rFonts w:ascii="Times New Roman" w:hAnsi="Times New Roman"/>
                <w:sz w:val="20"/>
                <w:lang w:val="fr-FR"/>
              </w:rPr>
              <w:t>2002</w:t>
            </w:r>
          </w:p>
        </w:tc>
        <w:tc>
          <w:tcPr>
            <w:tcW w:w="3542" w:type="dxa"/>
            <w:shd w:val="clear" w:color="auto" w:fill="auto"/>
            <w:tcMar>
              <w:right w:w="57" w:type="dxa"/>
            </w:tcMar>
            <w:vAlign w:val="bottom"/>
          </w:tcPr>
          <w:p w:rsidR="000B562B" w:rsidRPr="00F922EE" w:rsidRDefault="000B562B" w:rsidP="004306CD">
            <w:pPr>
              <w:pStyle w:val="Text"/>
              <w:keepNext/>
              <w:keepLines/>
              <w:spacing w:before="40" w:after="0" w:line="220" w:lineRule="exact"/>
              <w:jc w:val="right"/>
              <w:rPr>
                <w:rFonts w:ascii="Times New Roman" w:hAnsi="Times New Roman"/>
                <w:sz w:val="20"/>
                <w:lang w:val="fr-FR"/>
              </w:rPr>
            </w:pPr>
            <w:r w:rsidRPr="00F922EE">
              <w:rPr>
                <w:rFonts w:ascii="Times New Roman" w:hAnsi="Times New Roman"/>
                <w:sz w:val="20"/>
                <w:lang w:val="fr-FR"/>
              </w:rPr>
              <w:t>1</w:t>
            </w:r>
            <w:r w:rsidR="002D6A7E" w:rsidRPr="00F922EE">
              <w:rPr>
                <w:rFonts w:ascii="Times New Roman" w:hAnsi="Times New Roman"/>
                <w:sz w:val="20"/>
                <w:lang w:val="fr-FR"/>
              </w:rPr>
              <w:t xml:space="preserve"> </w:t>
            </w:r>
            <w:r w:rsidRPr="00F922EE">
              <w:rPr>
                <w:rFonts w:ascii="Times New Roman" w:hAnsi="Times New Roman"/>
                <w:sz w:val="20"/>
                <w:lang w:val="fr-FR"/>
              </w:rPr>
              <w:t>085</w:t>
            </w:r>
          </w:p>
        </w:tc>
      </w:tr>
      <w:tr w:rsidR="000B562B" w:rsidRPr="00A176EA" w:rsidTr="002C65F8">
        <w:tblPrEx>
          <w:tblCellMar>
            <w:top w:w="0" w:type="dxa"/>
            <w:bottom w:w="0" w:type="dxa"/>
          </w:tblCellMar>
        </w:tblPrEx>
        <w:trPr>
          <w:cantSplit/>
          <w:trHeight w:val="240"/>
        </w:trPr>
        <w:tc>
          <w:tcPr>
            <w:tcW w:w="3828" w:type="dxa"/>
            <w:shd w:val="clear" w:color="auto" w:fill="auto"/>
          </w:tcPr>
          <w:p w:rsidR="000B562B" w:rsidRPr="00F922EE" w:rsidRDefault="000B562B" w:rsidP="00C267BA">
            <w:pPr>
              <w:pStyle w:val="Text"/>
              <w:keepNext/>
              <w:keepLines/>
              <w:spacing w:before="40" w:after="120" w:line="220" w:lineRule="exact"/>
              <w:rPr>
                <w:rFonts w:ascii="Times New Roman" w:hAnsi="Times New Roman"/>
                <w:sz w:val="20"/>
                <w:lang w:val="fr-FR"/>
              </w:rPr>
            </w:pPr>
            <w:r w:rsidRPr="00F922EE">
              <w:rPr>
                <w:rFonts w:ascii="Times New Roman" w:hAnsi="Times New Roman"/>
                <w:sz w:val="20"/>
                <w:lang w:val="fr-FR"/>
              </w:rPr>
              <w:t>2003</w:t>
            </w:r>
          </w:p>
        </w:tc>
        <w:tc>
          <w:tcPr>
            <w:tcW w:w="3542" w:type="dxa"/>
            <w:shd w:val="clear" w:color="auto" w:fill="auto"/>
            <w:tcMar>
              <w:right w:w="57" w:type="dxa"/>
            </w:tcMar>
            <w:vAlign w:val="bottom"/>
          </w:tcPr>
          <w:p w:rsidR="000B562B" w:rsidRPr="00F922EE" w:rsidRDefault="000B562B" w:rsidP="004306CD">
            <w:pPr>
              <w:pStyle w:val="Text"/>
              <w:keepNext/>
              <w:keepLines/>
              <w:spacing w:before="40" w:after="0" w:line="220" w:lineRule="exact"/>
              <w:jc w:val="right"/>
              <w:rPr>
                <w:rFonts w:ascii="Times New Roman" w:hAnsi="Times New Roman"/>
                <w:sz w:val="20"/>
                <w:lang w:val="fr-FR"/>
              </w:rPr>
            </w:pPr>
            <w:r w:rsidRPr="00F922EE">
              <w:rPr>
                <w:rFonts w:ascii="Times New Roman" w:hAnsi="Times New Roman"/>
                <w:sz w:val="20"/>
                <w:lang w:val="fr-FR"/>
              </w:rPr>
              <w:t>1</w:t>
            </w:r>
            <w:r w:rsidR="002D6A7E" w:rsidRPr="00F922EE">
              <w:rPr>
                <w:rFonts w:ascii="Times New Roman" w:hAnsi="Times New Roman"/>
                <w:sz w:val="20"/>
                <w:lang w:val="fr-FR"/>
              </w:rPr>
              <w:t xml:space="preserve"> </w:t>
            </w:r>
            <w:r w:rsidRPr="00F922EE">
              <w:rPr>
                <w:rFonts w:ascii="Times New Roman" w:hAnsi="Times New Roman"/>
                <w:sz w:val="20"/>
                <w:lang w:val="fr-FR"/>
              </w:rPr>
              <w:t>228</w:t>
            </w:r>
          </w:p>
        </w:tc>
      </w:tr>
      <w:tr w:rsidR="000B562B" w:rsidRPr="00A176EA" w:rsidTr="002C65F8">
        <w:tblPrEx>
          <w:tblCellMar>
            <w:top w:w="0" w:type="dxa"/>
            <w:bottom w:w="0" w:type="dxa"/>
          </w:tblCellMar>
        </w:tblPrEx>
        <w:trPr>
          <w:cantSplit/>
          <w:trHeight w:val="240"/>
        </w:trPr>
        <w:tc>
          <w:tcPr>
            <w:tcW w:w="3828" w:type="dxa"/>
            <w:shd w:val="clear" w:color="auto" w:fill="auto"/>
          </w:tcPr>
          <w:p w:rsidR="000B562B" w:rsidRPr="00F922EE" w:rsidRDefault="000B562B" w:rsidP="00C267BA">
            <w:pPr>
              <w:pStyle w:val="Text"/>
              <w:keepNext/>
              <w:keepLines/>
              <w:spacing w:before="40" w:after="120" w:line="220" w:lineRule="exact"/>
              <w:rPr>
                <w:rFonts w:ascii="Times New Roman" w:hAnsi="Times New Roman"/>
                <w:sz w:val="20"/>
                <w:lang w:val="fr-FR"/>
              </w:rPr>
            </w:pPr>
            <w:r w:rsidRPr="00F922EE">
              <w:rPr>
                <w:rFonts w:ascii="Times New Roman" w:hAnsi="Times New Roman"/>
                <w:sz w:val="20"/>
                <w:lang w:val="fr-FR"/>
              </w:rPr>
              <w:t>2004</w:t>
            </w:r>
          </w:p>
        </w:tc>
        <w:tc>
          <w:tcPr>
            <w:tcW w:w="3542" w:type="dxa"/>
            <w:shd w:val="clear" w:color="auto" w:fill="auto"/>
            <w:tcMar>
              <w:right w:w="57" w:type="dxa"/>
            </w:tcMar>
            <w:vAlign w:val="bottom"/>
          </w:tcPr>
          <w:p w:rsidR="000B562B" w:rsidRPr="00F922EE" w:rsidRDefault="000B562B" w:rsidP="004306CD">
            <w:pPr>
              <w:pStyle w:val="Text"/>
              <w:keepNext/>
              <w:keepLines/>
              <w:spacing w:before="40" w:after="0" w:line="220" w:lineRule="exact"/>
              <w:jc w:val="right"/>
              <w:rPr>
                <w:rFonts w:ascii="Times New Roman" w:hAnsi="Times New Roman"/>
                <w:sz w:val="20"/>
                <w:lang w:val="fr-FR"/>
              </w:rPr>
            </w:pPr>
            <w:r w:rsidRPr="00F922EE">
              <w:rPr>
                <w:rFonts w:ascii="Times New Roman" w:hAnsi="Times New Roman"/>
                <w:sz w:val="20"/>
                <w:lang w:val="fr-FR"/>
              </w:rPr>
              <w:t>1</w:t>
            </w:r>
            <w:r w:rsidR="002D6A7E" w:rsidRPr="00F922EE">
              <w:rPr>
                <w:rFonts w:ascii="Times New Roman" w:hAnsi="Times New Roman"/>
                <w:sz w:val="20"/>
                <w:lang w:val="fr-FR"/>
              </w:rPr>
              <w:t xml:space="preserve"> </w:t>
            </w:r>
            <w:r w:rsidRPr="00F922EE">
              <w:rPr>
                <w:rFonts w:ascii="Times New Roman" w:hAnsi="Times New Roman"/>
                <w:sz w:val="20"/>
                <w:lang w:val="fr-FR"/>
              </w:rPr>
              <w:t>335</w:t>
            </w:r>
          </w:p>
        </w:tc>
      </w:tr>
      <w:tr w:rsidR="000B562B" w:rsidRPr="00A176EA" w:rsidTr="002C65F8">
        <w:tblPrEx>
          <w:tblCellMar>
            <w:top w:w="0" w:type="dxa"/>
            <w:bottom w:w="0" w:type="dxa"/>
          </w:tblCellMar>
        </w:tblPrEx>
        <w:trPr>
          <w:cantSplit/>
          <w:trHeight w:val="240"/>
        </w:trPr>
        <w:tc>
          <w:tcPr>
            <w:tcW w:w="3828" w:type="dxa"/>
            <w:shd w:val="clear" w:color="auto" w:fill="auto"/>
          </w:tcPr>
          <w:p w:rsidR="000B562B" w:rsidRPr="00F922EE" w:rsidRDefault="000B562B" w:rsidP="00C267BA">
            <w:pPr>
              <w:pStyle w:val="Text"/>
              <w:keepNext/>
              <w:keepLines/>
              <w:spacing w:before="40" w:after="120" w:line="220" w:lineRule="exact"/>
              <w:rPr>
                <w:rFonts w:ascii="Times New Roman" w:hAnsi="Times New Roman"/>
                <w:sz w:val="20"/>
                <w:lang w:val="fr-FR"/>
              </w:rPr>
            </w:pPr>
            <w:r w:rsidRPr="00F922EE">
              <w:rPr>
                <w:rFonts w:ascii="Times New Roman" w:hAnsi="Times New Roman"/>
                <w:sz w:val="20"/>
                <w:lang w:val="fr-FR"/>
              </w:rPr>
              <w:t>2005</w:t>
            </w:r>
          </w:p>
        </w:tc>
        <w:tc>
          <w:tcPr>
            <w:tcW w:w="3542" w:type="dxa"/>
            <w:shd w:val="clear" w:color="auto" w:fill="auto"/>
            <w:tcMar>
              <w:right w:w="57" w:type="dxa"/>
            </w:tcMar>
            <w:vAlign w:val="bottom"/>
          </w:tcPr>
          <w:p w:rsidR="000B562B" w:rsidRPr="00F922EE" w:rsidRDefault="000B562B" w:rsidP="004306CD">
            <w:pPr>
              <w:pStyle w:val="Text"/>
              <w:keepNext/>
              <w:keepLines/>
              <w:spacing w:before="40" w:after="0" w:line="220" w:lineRule="exact"/>
              <w:jc w:val="right"/>
              <w:rPr>
                <w:rFonts w:ascii="Times New Roman" w:hAnsi="Times New Roman"/>
                <w:sz w:val="20"/>
                <w:lang w:val="fr-FR"/>
              </w:rPr>
            </w:pPr>
            <w:r w:rsidRPr="00F922EE">
              <w:rPr>
                <w:rFonts w:ascii="Times New Roman" w:hAnsi="Times New Roman"/>
                <w:sz w:val="20"/>
                <w:lang w:val="fr-FR"/>
              </w:rPr>
              <w:t>1</w:t>
            </w:r>
            <w:r w:rsidR="002D6A7E" w:rsidRPr="00F922EE">
              <w:rPr>
                <w:rFonts w:ascii="Times New Roman" w:hAnsi="Times New Roman"/>
                <w:sz w:val="20"/>
                <w:lang w:val="fr-FR"/>
              </w:rPr>
              <w:t xml:space="preserve"> </w:t>
            </w:r>
            <w:r w:rsidRPr="00F922EE">
              <w:rPr>
                <w:rFonts w:ascii="Times New Roman" w:hAnsi="Times New Roman"/>
                <w:sz w:val="20"/>
                <w:lang w:val="fr-FR"/>
              </w:rPr>
              <w:t>394</w:t>
            </w:r>
          </w:p>
        </w:tc>
      </w:tr>
      <w:tr w:rsidR="000B562B" w:rsidRPr="00A176EA" w:rsidTr="002C65F8">
        <w:tblPrEx>
          <w:tblCellMar>
            <w:top w:w="0" w:type="dxa"/>
            <w:bottom w:w="0" w:type="dxa"/>
          </w:tblCellMar>
        </w:tblPrEx>
        <w:trPr>
          <w:cantSplit/>
          <w:trHeight w:val="240"/>
        </w:trPr>
        <w:tc>
          <w:tcPr>
            <w:tcW w:w="3828" w:type="dxa"/>
            <w:shd w:val="clear" w:color="auto" w:fill="auto"/>
          </w:tcPr>
          <w:p w:rsidR="000B562B" w:rsidRPr="00F922EE" w:rsidRDefault="000B562B" w:rsidP="00C267BA">
            <w:pPr>
              <w:pStyle w:val="Text"/>
              <w:keepNext/>
              <w:keepLines/>
              <w:spacing w:before="40" w:after="120" w:line="220" w:lineRule="exact"/>
              <w:rPr>
                <w:rFonts w:ascii="Times New Roman" w:hAnsi="Times New Roman"/>
                <w:sz w:val="20"/>
                <w:lang w:val="fr-FR"/>
              </w:rPr>
            </w:pPr>
            <w:r w:rsidRPr="00F922EE">
              <w:rPr>
                <w:rFonts w:ascii="Times New Roman" w:hAnsi="Times New Roman"/>
                <w:sz w:val="20"/>
                <w:lang w:val="fr-FR"/>
              </w:rPr>
              <w:t>2006</w:t>
            </w:r>
          </w:p>
        </w:tc>
        <w:tc>
          <w:tcPr>
            <w:tcW w:w="3542" w:type="dxa"/>
            <w:shd w:val="clear" w:color="auto" w:fill="auto"/>
            <w:tcMar>
              <w:right w:w="57" w:type="dxa"/>
            </w:tcMar>
            <w:vAlign w:val="bottom"/>
          </w:tcPr>
          <w:p w:rsidR="000B562B" w:rsidRPr="00F922EE" w:rsidRDefault="000B562B" w:rsidP="004306CD">
            <w:pPr>
              <w:pStyle w:val="Text"/>
              <w:keepNext/>
              <w:keepLines/>
              <w:spacing w:before="40" w:after="0" w:line="220" w:lineRule="exact"/>
              <w:jc w:val="right"/>
              <w:rPr>
                <w:rFonts w:ascii="Times New Roman" w:hAnsi="Times New Roman"/>
                <w:sz w:val="20"/>
                <w:lang w:val="fr-FR"/>
              </w:rPr>
            </w:pPr>
            <w:r w:rsidRPr="00F922EE">
              <w:rPr>
                <w:rFonts w:ascii="Times New Roman" w:hAnsi="Times New Roman"/>
                <w:sz w:val="20"/>
                <w:lang w:val="fr-FR"/>
              </w:rPr>
              <w:t>1</w:t>
            </w:r>
            <w:r w:rsidR="002D6A7E" w:rsidRPr="00F922EE">
              <w:rPr>
                <w:rFonts w:ascii="Times New Roman" w:hAnsi="Times New Roman"/>
                <w:sz w:val="20"/>
                <w:lang w:val="fr-FR"/>
              </w:rPr>
              <w:t xml:space="preserve"> </w:t>
            </w:r>
            <w:r w:rsidRPr="00F922EE">
              <w:rPr>
                <w:rFonts w:ascii="Times New Roman" w:hAnsi="Times New Roman"/>
                <w:sz w:val="20"/>
                <w:lang w:val="fr-FR"/>
              </w:rPr>
              <w:t>507</w:t>
            </w:r>
          </w:p>
        </w:tc>
      </w:tr>
      <w:tr w:rsidR="000B562B" w:rsidRPr="00A176EA" w:rsidTr="002C65F8">
        <w:tblPrEx>
          <w:tblCellMar>
            <w:top w:w="0" w:type="dxa"/>
            <w:bottom w:w="0" w:type="dxa"/>
          </w:tblCellMar>
        </w:tblPrEx>
        <w:trPr>
          <w:cantSplit/>
          <w:trHeight w:val="240"/>
        </w:trPr>
        <w:tc>
          <w:tcPr>
            <w:tcW w:w="3828" w:type="dxa"/>
            <w:shd w:val="clear" w:color="auto" w:fill="auto"/>
          </w:tcPr>
          <w:p w:rsidR="000B562B" w:rsidRPr="00F922EE" w:rsidRDefault="000B562B" w:rsidP="00C267BA">
            <w:pPr>
              <w:pStyle w:val="Text"/>
              <w:keepNext/>
              <w:keepLines/>
              <w:spacing w:before="40" w:after="120" w:line="220" w:lineRule="exact"/>
              <w:rPr>
                <w:rFonts w:ascii="Times New Roman" w:hAnsi="Times New Roman"/>
                <w:sz w:val="20"/>
                <w:lang w:val="fr-FR"/>
              </w:rPr>
            </w:pPr>
            <w:r w:rsidRPr="00F922EE">
              <w:rPr>
                <w:rFonts w:ascii="Times New Roman" w:hAnsi="Times New Roman"/>
                <w:sz w:val="20"/>
                <w:lang w:val="fr-FR"/>
              </w:rPr>
              <w:t>2007</w:t>
            </w:r>
          </w:p>
        </w:tc>
        <w:tc>
          <w:tcPr>
            <w:tcW w:w="3542" w:type="dxa"/>
            <w:shd w:val="clear" w:color="auto" w:fill="auto"/>
            <w:tcMar>
              <w:right w:w="57" w:type="dxa"/>
            </w:tcMar>
            <w:vAlign w:val="bottom"/>
          </w:tcPr>
          <w:p w:rsidR="000B562B" w:rsidRPr="00F922EE" w:rsidRDefault="000B562B" w:rsidP="004306CD">
            <w:pPr>
              <w:pStyle w:val="Text"/>
              <w:keepNext/>
              <w:keepLines/>
              <w:spacing w:before="40" w:after="0" w:line="220" w:lineRule="exact"/>
              <w:jc w:val="right"/>
              <w:rPr>
                <w:rFonts w:ascii="Times New Roman" w:hAnsi="Times New Roman"/>
                <w:sz w:val="20"/>
                <w:lang w:val="fr-FR"/>
              </w:rPr>
            </w:pPr>
            <w:r w:rsidRPr="00F922EE">
              <w:rPr>
                <w:rFonts w:ascii="Times New Roman" w:hAnsi="Times New Roman"/>
                <w:sz w:val="20"/>
                <w:lang w:val="fr-FR"/>
              </w:rPr>
              <w:t>1</w:t>
            </w:r>
            <w:r w:rsidR="002D6A7E" w:rsidRPr="00F922EE">
              <w:rPr>
                <w:rFonts w:ascii="Times New Roman" w:hAnsi="Times New Roman"/>
                <w:sz w:val="20"/>
                <w:lang w:val="fr-FR"/>
              </w:rPr>
              <w:t xml:space="preserve"> </w:t>
            </w:r>
            <w:r w:rsidRPr="00F922EE">
              <w:rPr>
                <w:rFonts w:ascii="Times New Roman" w:hAnsi="Times New Roman"/>
                <w:sz w:val="20"/>
                <w:lang w:val="fr-FR"/>
              </w:rPr>
              <w:t>518</w:t>
            </w:r>
          </w:p>
        </w:tc>
      </w:tr>
      <w:tr w:rsidR="000B562B" w:rsidRPr="00A176EA" w:rsidTr="002C65F8">
        <w:tblPrEx>
          <w:tblCellMar>
            <w:top w:w="0" w:type="dxa"/>
            <w:bottom w:w="0" w:type="dxa"/>
          </w:tblCellMar>
        </w:tblPrEx>
        <w:trPr>
          <w:cantSplit/>
          <w:trHeight w:val="240"/>
        </w:trPr>
        <w:tc>
          <w:tcPr>
            <w:tcW w:w="3828" w:type="dxa"/>
            <w:shd w:val="clear" w:color="auto" w:fill="auto"/>
          </w:tcPr>
          <w:p w:rsidR="000B562B" w:rsidRPr="00F922EE" w:rsidRDefault="000B562B" w:rsidP="00C267BA">
            <w:pPr>
              <w:pStyle w:val="Text"/>
              <w:keepNext/>
              <w:keepLines/>
              <w:spacing w:before="40" w:after="120" w:line="220" w:lineRule="exact"/>
              <w:rPr>
                <w:rFonts w:ascii="Times New Roman" w:hAnsi="Times New Roman"/>
                <w:sz w:val="20"/>
                <w:lang w:val="fr-FR"/>
              </w:rPr>
            </w:pPr>
            <w:r w:rsidRPr="00F922EE">
              <w:rPr>
                <w:rFonts w:ascii="Times New Roman" w:hAnsi="Times New Roman"/>
                <w:sz w:val="20"/>
                <w:lang w:val="fr-FR"/>
              </w:rPr>
              <w:t>2008</w:t>
            </w:r>
          </w:p>
        </w:tc>
        <w:tc>
          <w:tcPr>
            <w:tcW w:w="3542" w:type="dxa"/>
            <w:shd w:val="clear" w:color="auto" w:fill="auto"/>
            <w:tcMar>
              <w:right w:w="57" w:type="dxa"/>
            </w:tcMar>
            <w:vAlign w:val="bottom"/>
          </w:tcPr>
          <w:p w:rsidR="000B562B" w:rsidRPr="00F922EE" w:rsidRDefault="000B562B" w:rsidP="004306CD">
            <w:pPr>
              <w:pStyle w:val="Text"/>
              <w:keepNext/>
              <w:keepLines/>
              <w:spacing w:before="40" w:after="0" w:line="220" w:lineRule="exact"/>
              <w:jc w:val="right"/>
              <w:rPr>
                <w:rFonts w:ascii="Times New Roman" w:hAnsi="Times New Roman"/>
                <w:sz w:val="20"/>
                <w:lang w:val="fr-FR"/>
              </w:rPr>
            </w:pPr>
            <w:r w:rsidRPr="00F922EE">
              <w:rPr>
                <w:rFonts w:ascii="Times New Roman" w:hAnsi="Times New Roman"/>
                <w:sz w:val="20"/>
                <w:lang w:val="fr-FR"/>
              </w:rPr>
              <w:t>1</w:t>
            </w:r>
            <w:r w:rsidR="002D6A7E" w:rsidRPr="00F922EE">
              <w:rPr>
                <w:rFonts w:ascii="Times New Roman" w:hAnsi="Times New Roman"/>
                <w:sz w:val="20"/>
                <w:lang w:val="fr-FR"/>
              </w:rPr>
              <w:t xml:space="preserve"> </w:t>
            </w:r>
            <w:r w:rsidRPr="00F922EE">
              <w:rPr>
                <w:rFonts w:ascii="Times New Roman" w:hAnsi="Times New Roman"/>
                <w:sz w:val="20"/>
                <w:lang w:val="fr-FR"/>
              </w:rPr>
              <w:t>594</w:t>
            </w:r>
          </w:p>
        </w:tc>
      </w:tr>
      <w:tr w:rsidR="000B562B" w:rsidRPr="00A176EA" w:rsidTr="002C65F8">
        <w:tblPrEx>
          <w:tblCellMar>
            <w:top w:w="0" w:type="dxa"/>
            <w:bottom w:w="0" w:type="dxa"/>
          </w:tblCellMar>
        </w:tblPrEx>
        <w:trPr>
          <w:cantSplit/>
          <w:trHeight w:val="240"/>
        </w:trPr>
        <w:tc>
          <w:tcPr>
            <w:tcW w:w="3828" w:type="dxa"/>
            <w:shd w:val="clear" w:color="auto" w:fill="auto"/>
          </w:tcPr>
          <w:p w:rsidR="000B562B" w:rsidRPr="00F922EE" w:rsidRDefault="000B562B" w:rsidP="00C267BA">
            <w:pPr>
              <w:pStyle w:val="Text"/>
              <w:keepNext/>
              <w:keepLines/>
              <w:spacing w:before="40" w:after="120" w:line="220" w:lineRule="exact"/>
              <w:rPr>
                <w:rFonts w:ascii="Times New Roman" w:hAnsi="Times New Roman"/>
                <w:sz w:val="20"/>
                <w:lang w:val="fr-FR"/>
              </w:rPr>
            </w:pPr>
            <w:r w:rsidRPr="00F922EE">
              <w:rPr>
                <w:rFonts w:ascii="Times New Roman" w:hAnsi="Times New Roman"/>
                <w:sz w:val="20"/>
                <w:lang w:val="fr-FR"/>
              </w:rPr>
              <w:t>2009</w:t>
            </w:r>
          </w:p>
        </w:tc>
        <w:tc>
          <w:tcPr>
            <w:tcW w:w="3542" w:type="dxa"/>
            <w:shd w:val="clear" w:color="auto" w:fill="auto"/>
            <w:tcMar>
              <w:right w:w="57" w:type="dxa"/>
            </w:tcMar>
            <w:vAlign w:val="bottom"/>
          </w:tcPr>
          <w:p w:rsidR="000B562B" w:rsidRPr="00F922EE" w:rsidRDefault="000B562B" w:rsidP="004306CD">
            <w:pPr>
              <w:pStyle w:val="Text"/>
              <w:keepNext/>
              <w:keepLines/>
              <w:spacing w:before="40" w:after="0" w:line="220" w:lineRule="exact"/>
              <w:jc w:val="right"/>
              <w:rPr>
                <w:rFonts w:ascii="Times New Roman" w:hAnsi="Times New Roman"/>
                <w:sz w:val="20"/>
                <w:lang w:val="fr-FR"/>
              </w:rPr>
            </w:pPr>
            <w:r w:rsidRPr="00F922EE">
              <w:rPr>
                <w:rFonts w:ascii="Times New Roman" w:hAnsi="Times New Roman"/>
                <w:sz w:val="20"/>
                <w:lang w:val="fr-FR"/>
              </w:rPr>
              <w:t>1</w:t>
            </w:r>
            <w:r w:rsidR="002D6A7E" w:rsidRPr="00F922EE">
              <w:rPr>
                <w:rFonts w:ascii="Times New Roman" w:hAnsi="Times New Roman"/>
                <w:sz w:val="20"/>
                <w:lang w:val="fr-FR"/>
              </w:rPr>
              <w:t xml:space="preserve"> </w:t>
            </w:r>
            <w:r w:rsidRPr="00F922EE">
              <w:rPr>
                <w:rFonts w:ascii="Times New Roman" w:hAnsi="Times New Roman"/>
                <w:sz w:val="20"/>
                <w:lang w:val="fr-FR"/>
              </w:rPr>
              <w:t>542</w:t>
            </w:r>
          </w:p>
        </w:tc>
      </w:tr>
      <w:tr w:rsidR="000B562B" w:rsidRPr="00A176EA" w:rsidTr="002C65F8">
        <w:tblPrEx>
          <w:tblCellMar>
            <w:top w:w="0" w:type="dxa"/>
            <w:bottom w:w="0" w:type="dxa"/>
          </w:tblCellMar>
        </w:tblPrEx>
        <w:trPr>
          <w:cantSplit/>
          <w:trHeight w:val="240"/>
        </w:trPr>
        <w:tc>
          <w:tcPr>
            <w:tcW w:w="3828" w:type="dxa"/>
            <w:shd w:val="clear" w:color="auto" w:fill="auto"/>
          </w:tcPr>
          <w:p w:rsidR="000B562B" w:rsidRPr="00F922EE" w:rsidRDefault="000B562B" w:rsidP="00C267BA">
            <w:pPr>
              <w:pStyle w:val="Text"/>
              <w:keepNext/>
              <w:keepLines/>
              <w:spacing w:before="40" w:after="120" w:line="220" w:lineRule="exact"/>
              <w:rPr>
                <w:rFonts w:ascii="Times New Roman" w:hAnsi="Times New Roman"/>
                <w:sz w:val="20"/>
                <w:lang w:val="fr-FR"/>
              </w:rPr>
            </w:pPr>
            <w:r w:rsidRPr="00F922EE">
              <w:rPr>
                <w:rFonts w:ascii="Times New Roman" w:hAnsi="Times New Roman"/>
                <w:sz w:val="20"/>
                <w:lang w:val="fr-FR"/>
              </w:rPr>
              <w:t>2010</w:t>
            </w:r>
          </w:p>
        </w:tc>
        <w:tc>
          <w:tcPr>
            <w:tcW w:w="3542" w:type="dxa"/>
            <w:shd w:val="clear" w:color="auto" w:fill="auto"/>
            <w:tcMar>
              <w:right w:w="57" w:type="dxa"/>
            </w:tcMar>
            <w:vAlign w:val="bottom"/>
          </w:tcPr>
          <w:p w:rsidR="000B562B" w:rsidRPr="00F922EE" w:rsidRDefault="000B562B" w:rsidP="004306CD">
            <w:pPr>
              <w:pStyle w:val="Text"/>
              <w:keepNext/>
              <w:keepLines/>
              <w:spacing w:before="40" w:after="0" w:line="220" w:lineRule="exact"/>
              <w:jc w:val="right"/>
              <w:rPr>
                <w:rFonts w:ascii="Times New Roman" w:hAnsi="Times New Roman"/>
                <w:sz w:val="20"/>
                <w:lang w:val="fr-FR"/>
              </w:rPr>
            </w:pPr>
            <w:r w:rsidRPr="00F922EE">
              <w:rPr>
                <w:rFonts w:ascii="Times New Roman" w:hAnsi="Times New Roman"/>
                <w:sz w:val="20"/>
                <w:lang w:val="fr-FR"/>
              </w:rPr>
              <w:t>1</w:t>
            </w:r>
            <w:r w:rsidR="002D6A7E" w:rsidRPr="00F922EE">
              <w:rPr>
                <w:rFonts w:ascii="Times New Roman" w:hAnsi="Times New Roman"/>
                <w:sz w:val="20"/>
                <w:lang w:val="fr-FR"/>
              </w:rPr>
              <w:t xml:space="preserve"> </w:t>
            </w:r>
            <w:r w:rsidRPr="00F922EE">
              <w:rPr>
                <w:rFonts w:ascii="Times New Roman" w:hAnsi="Times New Roman"/>
                <w:sz w:val="20"/>
                <w:lang w:val="fr-FR"/>
              </w:rPr>
              <w:t>551</w:t>
            </w:r>
          </w:p>
        </w:tc>
      </w:tr>
      <w:tr w:rsidR="000B562B" w:rsidRPr="00A176EA" w:rsidTr="002C65F8">
        <w:tblPrEx>
          <w:tblCellMar>
            <w:top w:w="0" w:type="dxa"/>
            <w:bottom w:w="0" w:type="dxa"/>
          </w:tblCellMar>
        </w:tblPrEx>
        <w:trPr>
          <w:cantSplit/>
          <w:trHeight w:val="240"/>
        </w:trPr>
        <w:tc>
          <w:tcPr>
            <w:tcW w:w="3828" w:type="dxa"/>
            <w:tcBorders>
              <w:bottom w:val="single" w:sz="12" w:space="0" w:color="auto"/>
            </w:tcBorders>
            <w:shd w:val="clear" w:color="auto" w:fill="auto"/>
          </w:tcPr>
          <w:p w:rsidR="000B562B" w:rsidRPr="00F922EE" w:rsidRDefault="000B562B" w:rsidP="00C267BA">
            <w:pPr>
              <w:pStyle w:val="Text"/>
              <w:keepNext/>
              <w:keepLines/>
              <w:spacing w:before="40" w:after="120" w:line="220" w:lineRule="exact"/>
              <w:rPr>
                <w:rFonts w:ascii="Times New Roman" w:hAnsi="Times New Roman"/>
                <w:sz w:val="20"/>
                <w:lang w:val="fr-FR"/>
              </w:rPr>
            </w:pPr>
            <w:r w:rsidRPr="00F922EE">
              <w:rPr>
                <w:rFonts w:ascii="Times New Roman" w:hAnsi="Times New Roman"/>
                <w:sz w:val="20"/>
                <w:lang w:val="fr-FR"/>
              </w:rPr>
              <w:t>2011</w:t>
            </w:r>
          </w:p>
        </w:tc>
        <w:tc>
          <w:tcPr>
            <w:tcW w:w="3542" w:type="dxa"/>
            <w:tcBorders>
              <w:bottom w:val="single" w:sz="12" w:space="0" w:color="auto"/>
            </w:tcBorders>
            <w:shd w:val="clear" w:color="auto" w:fill="auto"/>
            <w:tcMar>
              <w:right w:w="57" w:type="dxa"/>
            </w:tcMar>
            <w:vAlign w:val="bottom"/>
          </w:tcPr>
          <w:p w:rsidR="000B562B" w:rsidRPr="00F922EE" w:rsidRDefault="000B562B" w:rsidP="004306CD">
            <w:pPr>
              <w:pStyle w:val="Text"/>
              <w:keepNext/>
              <w:keepLines/>
              <w:spacing w:before="40" w:after="0" w:line="220" w:lineRule="exact"/>
              <w:jc w:val="right"/>
              <w:rPr>
                <w:rFonts w:ascii="Times New Roman" w:hAnsi="Times New Roman"/>
                <w:sz w:val="20"/>
                <w:lang w:val="fr-FR"/>
              </w:rPr>
            </w:pPr>
            <w:r w:rsidRPr="00F922EE">
              <w:rPr>
                <w:rFonts w:ascii="Times New Roman" w:hAnsi="Times New Roman"/>
                <w:sz w:val="20"/>
                <w:lang w:val="fr-FR"/>
              </w:rPr>
              <w:t>1</w:t>
            </w:r>
            <w:r w:rsidR="002D6A7E" w:rsidRPr="00F922EE">
              <w:rPr>
                <w:rFonts w:ascii="Times New Roman" w:hAnsi="Times New Roman"/>
                <w:sz w:val="20"/>
                <w:lang w:val="fr-FR"/>
              </w:rPr>
              <w:t xml:space="preserve"> </w:t>
            </w:r>
            <w:r w:rsidRPr="00F922EE">
              <w:rPr>
                <w:rFonts w:ascii="Times New Roman" w:hAnsi="Times New Roman"/>
                <w:sz w:val="20"/>
                <w:lang w:val="fr-FR"/>
              </w:rPr>
              <w:t>711</w:t>
            </w:r>
          </w:p>
        </w:tc>
      </w:tr>
    </w:tbl>
    <w:p w:rsidR="000B562B" w:rsidRPr="00A176EA" w:rsidRDefault="002549A9" w:rsidP="00C267BA">
      <w:pPr>
        <w:pStyle w:val="SingleTxtG"/>
        <w:spacing w:before="240"/>
        <w:rPr>
          <w:lang w:val="fr-FR"/>
        </w:rPr>
      </w:pPr>
      <w:r w:rsidRPr="00A176EA">
        <w:rPr>
          <w:lang w:val="fr-FR"/>
        </w:rPr>
        <w:t>83.</w:t>
      </w:r>
      <w:r w:rsidRPr="00A176EA">
        <w:rPr>
          <w:lang w:val="fr-FR"/>
        </w:rPr>
        <w:tab/>
      </w:r>
      <w:r w:rsidR="00B2104D">
        <w:rPr>
          <w:lang w:val="fr-FR"/>
        </w:rPr>
        <w:t xml:space="preserve">Actuellement, le parc </w:t>
      </w:r>
      <w:r w:rsidR="00D84DDB">
        <w:rPr>
          <w:lang w:val="fr-FR"/>
        </w:rPr>
        <w:t>pénitentiaire</w:t>
      </w:r>
      <w:r w:rsidR="00B2104D">
        <w:rPr>
          <w:lang w:val="fr-FR"/>
        </w:rPr>
        <w:t xml:space="preserve"> d’Irlande du Nord se compose de trois prisons, d’une unité </w:t>
      </w:r>
      <w:r w:rsidR="00B834B6">
        <w:rPr>
          <w:lang w:val="fr-FR"/>
        </w:rPr>
        <w:t xml:space="preserve">distincte </w:t>
      </w:r>
      <w:r w:rsidR="00B2104D">
        <w:rPr>
          <w:lang w:val="fr-FR"/>
        </w:rPr>
        <w:t>d’évaluation des détenus, d’une école de formation et du siège de l’</w:t>
      </w:r>
      <w:r w:rsidR="008E4932">
        <w:rPr>
          <w:lang w:val="fr-FR"/>
        </w:rPr>
        <w:t>A</w:t>
      </w:r>
      <w:r w:rsidR="00B2104D">
        <w:rPr>
          <w:lang w:val="fr-FR"/>
        </w:rPr>
        <w:t xml:space="preserve">dministration pénitentiaire. Ces structures comptent une population carcérale supérieure à ce qui était prévu initialement. Elles doivent donc accueillir une large gamme de catégories de détenus, dont la gestion est complexe, en particulier à </w:t>
      </w:r>
      <w:r w:rsidR="000B562B" w:rsidRPr="00A176EA">
        <w:rPr>
          <w:lang w:val="fr-FR"/>
        </w:rPr>
        <w:t>Maghaberry.</w:t>
      </w:r>
    </w:p>
    <w:p w:rsidR="000B562B" w:rsidRPr="00A176EA" w:rsidRDefault="002549A9" w:rsidP="00732870">
      <w:pPr>
        <w:pStyle w:val="SingleTxtG"/>
        <w:rPr>
          <w:lang w:val="fr-FR"/>
        </w:rPr>
      </w:pPr>
      <w:r w:rsidRPr="00A176EA">
        <w:rPr>
          <w:lang w:val="fr-FR"/>
        </w:rPr>
        <w:t>84.</w:t>
      </w:r>
      <w:r w:rsidRPr="00A176EA">
        <w:rPr>
          <w:lang w:val="fr-FR"/>
        </w:rPr>
        <w:tab/>
      </w:r>
      <w:r w:rsidR="00A663E5">
        <w:rPr>
          <w:lang w:val="fr-FR"/>
        </w:rPr>
        <w:t>En</w:t>
      </w:r>
      <w:r w:rsidR="00B2104D">
        <w:rPr>
          <w:lang w:val="fr-FR"/>
        </w:rPr>
        <w:t xml:space="preserve"> 2004, les femmes détenues à Mourne House, Maghaberry, ont été transférées </w:t>
      </w:r>
      <w:r w:rsidR="00A663E5">
        <w:rPr>
          <w:lang w:val="fr-FR"/>
        </w:rPr>
        <w:t xml:space="preserve">à Ash House, </w:t>
      </w:r>
      <w:r w:rsidR="00B2104D">
        <w:rPr>
          <w:lang w:val="fr-FR"/>
        </w:rPr>
        <w:t xml:space="preserve">au </w:t>
      </w:r>
      <w:r w:rsidR="00A663E5">
        <w:rPr>
          <w:lang w:val="fr-FR"/>
        </w:rPr>
        <w:t xml:space="preserve">sein du </w:t>
      </w:r>
      <w:r w:rsidR="00B2104D">
        <w:rPr>
          <w:lang w:val="fr-FR"/>
        </w:rPr>
        <w:t xml:space="preserve">complexe du Centre </w:t>
      </w:r>
      <w:r w:rsidR="00A663E5">
        <w:rPr>
          <w:lang w:val="fr-FR"/>
        </w:rPr>
        <w:t xml:space="preserve">pour jeunes délinquants de </w:t>
      </w:r>
      <w:r w:rsidR="000B562B" w:rsidRPr="00A176EA">
        <w:rPr>
          <w:lang w:val="fr-FR"/>
        </w:rPr>
        <w:t>Hydebank Wood.</w:t>
      </w:r>
    </w:p>
    <w:p w:rsidR="000B562B" w:rsidRPr="00A176EA" w:rsidRDefault="002549A9" w:rsidP="003E14C4">
      <w:pPr>
        <w:pStyle w:val="SingleTxtG"/>
        <w:rPr>
          <w:lang w:val="fr-FR"/>
        </w:rPr>
      </w:pPr>
      <w:r w:rsidRPr="00A176EA">
        <w:rPr>
          <w:lang w:val="fr-FR"/>
        </w:rPr>
        <w:t>85.</w:t>
      </w:r>
      <w:r w:rsidRPr="00A176EA">
        <w:rPr>
          <w:lang w:val="fr-FR"/>
        </w:rPr>
        <w:tab/>
      </w:r>
      <w:r w:rsidR="00582DCF">
        <w:rPr>
          <w:lang w:val="fr-FR"/>
        </w:rPr>
        <w:t xml:space="preserve">Un dossier préliminaire de remplacement de la prison de Magilligan a été achevé. Toutefois, le rapport intermédiaire de l’Équipe </w:t>
      </w:r>
      <w:r w:rsidR="00D7358C">
        <w:rPr>
          <w:lang w:val="fr-FR"/>
        </w:rPr>
        <w:t xml:space="preserve">d’évaluation des prisons publié plus tôt dans l’année a révélé que les projets visant les établissements pour hommes </w:t>
      </w:r>
      <w:r w:rsidR="005F530A">
        <w:rPr>
          <w:lang w:val="fr-FR"/>
        </w:rPr>
        <w:t>n’étaient pas suffisamment axés sur la réadaptation</w:t>
      </w:r>
      <w:r w:rsidR="0042557C">
        <w:rPr>
          <w:lang w:val="fr-FR"/>
        </w:rPr>
        <w:t xml:space="preserve"> et </w:t>
      </w:r>
      <w:r w:rsidR="005F530A">
        <w:rPr>
          <w:lang w:val="fr-FR"/>
        </w:rPr>
        <w:t xml:space="preserve">ne proposaient ni réflexion ou approche nouvelle, ni </w:t>
      </w:r>
      <w:r w:rsidR="00B834B6">
        <w:rPr>
          <w:lang w:val="fr-FR"/>
        </w:rPr>
        <w:t xml:space="preserve">la </w:t>
      </w:r>
      <w:r w:rsidR="005F530A">
        <w:rPr>
          <w:lang w:val="fr-FR"/>
        </w:rPr>
        <w:t xml:space="preserve">possibilité de centres ouverts ou semi-ouverts, ni un hébergement </w:t>
      </w:r>
      <w:r w:rsidR="00014A87">
        <w:rPr>
          <w:lang w:val="fr-FR"/>
        </w:rPr>
        <w:t>de pré-sortie</w:t>
      </w:r>
      <w:r w:rsidR="005F530A">
        <w:rPr>
          <w:lang w:val="fr-FR"/>
        </w:rPr>
        <w:t xml:space="preserve"> ou encadré</w:t>
      </w:r>
      <w:r w:rsidR="00014A87">
        <w:rPr>
          <w:lang w:val="fr-FR"/>
        </w:rPr>
        <w:t xml:space="preserve">. </w:t>
      </w:r>
      <w:r w:rsidR="00E42B15">
        <w:rPr>
          <w:lang w:val="fr-FR"/>
        </w:rPr>
        <w:t>L’Équipe a proposé de réexaminer et de modifier les plans du parc pénitentiaire, dont les centres réservés aux femmes et aux mineurs, de façon à prendre en compte la situation réelle dans un contexte financier sensiblement différent. Le Directeur général s’est engagé à fournir d’ici la mi-août une estimation chiffrée des options permett</w:t>
      </w:r>
      <w:r w:rsidR="0049248C">
        <w:rPr>
          <w:lang w:val="fr-FR"/>
        </w:rPr>
        <w:t>a</w:t>
      </w:r>
      <w:r w:rsidR="00E42B15">
        <w:rPr>
          <w:lang w:val="fr-FR"/>
        </w:rPr>
        <w:t xml:space="preserve">nt d’actualiser et de moderniser </w:t>
      </w:r>
      <w:r w:rsidR="003E14C4">
        <w:rPr>
          <w:lang w:val="fr-FR"/>
        </w:rPr>
        <w:t>la stratégie en matière de parc carcéral</w:t>
      </w:r>
      <w:r w:rsidR="00B834B6">
        <w:rPr>
          <w:lang w:val="fr-FR"/>
        </w:rPr>
        <w:t>,</w:t>
      </w:r>
      <w:r w:rsidR="003E14C4">
        <w:rPr>
          <w:lang w:val="fr-FR"/>
        </w:rPr>
        <w:t xml:space="preserve"> en se fondant sur une évaluation et une réévaluation de l’évolution de la population </w:t>
      </w:r>
      <w:r w:rsidR="00B834B6">
        <w:rPr>
          <w:lang w:val="fr-FR"/>
        </w:rPr>
        <w:t>pénale</w:t>
      </w:r>
      <w:r w:rsidR="003E14C4">
        <w:rPr>
          <w:lang w:val="fr-FR"/>
        </w:rPr>
        <w:t xml:space="preserve"> dans les 10 prochaines années. Cet exercice aidera à identifier le bien-fondé et la pertinence d’éléments essentiels du dossier préliminaire et à vérifier s’il s’inscrit bien dans la nouvelle perspective </w:t>
      </w:r>
      <w:r w:rsidR="003E14C4" w:rsidRPr="00B834B6">
        <w:rPr>
          <w:lang w:val="fr-FR"/>
        </w:rPr>
        <w:t>adoptée pour</w:t>
      </w:r>
      <w:r w:rsidR="003E14C4">
        <w:rPr>
          <w:lang w:val="fr-FR"/>
        </w:rPr>
        <w:t xml:space="preserve"> </w:t>
      </w:r>
      <w:r w:rsidR="00B834B6">
        <w:rPr>
          <w:lang w:val="fr-FR"/>
        </w:rPr>
        <w:t>moderniser le système</w:t>
      </w:r>
      <w:r w:rsidR="003E14C4">
        <w:rPr>
          <w:lang w:val="fr-FR"/>
        </w:rPr>
        <w:t xml:space="preserve"> pénitentiaire. S’agissant du centre pour femmes, la situation sera également examinée en tenant compte de l’avis de </w:t>
      </w:r>
      <w:r w:rsidR="003E14C4" w:rsidRPr="003E14C4">
        <w:rPr>
          <w:lang w:val="fr-FR"/>
        </w:rPr>
        <w:t>l’Équipe d’évaluation</w:t>
      </w:r>
      <w:r w:rsidR="003E14C4">
        <w:rPr>
          <w:lang w:val="fr-FR"/>
        </w:rPr>
        <w:t>.</w:t>
      </w:r>
    </w:p>
    <w:p w:rsidR="000B562B" w:rsidRPr="00A176EA" w:rsidRDefault="008F3DA4" w:rsidP="00732870">
      <w:pPr>
        <w:pStyle w:val="H23G"/>
        <w:rPr>
          <w:lang w:val="fr-FR"/>
        </w:rPr>
      </w:pPr>
      <w:r>
        <w:rPr>
          <w:lang w:val="fr-FR"/>
        </w:rPr>
        <w:t>Emploi des seaux hygiéniques</w:t>
      </w:r>
    </w:p>
    <w:p w:rsidR="00B36F11" w:rsidRDefault="002549A9" w:rsidP="00B36F11">
      <w:pPr>
        <w:pStyle w:val="SingleTxtG"/>
        <w:rPr>
          <w:lang w:val="fr-FR"/>
        </w:rPr>
      </w:pPr>
      <w:r w:rsidRPr="00A176EA">
        <w:rPr>
          <w:lang w:val="fr-FR"/>
        </w:rPr>
        <w:t>86.</w:t>
      </w:r>
      <w:r w:rsidRPr="00A176EA">
        <w:rPr>
          <w:lang w:val="fr-FR"/>
        </w:rPr>
        <w:tab/>
      </w:r>
      <w:r w:rsidR="008F3DA4">
        <w:rPr>
          <w:lang w:val="fr-FR"/>
        </w:rPr>
        <w:t xml:space="preserve">L’Administration pénitentiaire d’Irlande du Nord </w:t>
      </w:r>
      <w:r w:rsidR="006E15DC">
        <w:rPr>
          <w:lang w:val="fr-FR"/>
        </w:rPr>
        <w:t xml:space="preserve">a pris des mesures pour améliorer l’accès aux toilettes à Hydebank et Magilligan. À Magilligan, un système de déverrouillage électronique </w:t>
      </w:r>
      <w:r w:rsidR="006E15DC" w:rsidRPr="006E15DC">
        <w:rPr>
          <w:lang w:val="fr-FR"/>
        </w:rPr>
        <w:t xml:space="preserve">fonctionne dans les locaux </w:t>
      </w:r>
      <w:r w:rsidR="006E15DC">
        <w:rPr>
          <w:lang w:val="fr-FR"/>
        </w:rPr>
        <w:t>privés</w:t>
      </w:r>
      <w:r w:rsidR="006E15DC" w:rsidRPr="006E15DC">
        <w:rPr>
          <w:lang w:val="fr-FR"/>
        </w:rPr>
        <w:t xml:space="preserve"> d’installations sanitaires intégrées</w:t>
      </w:r>
      <w:r w:rsidR="006E15DC">
        <w:rPr>
          <w:lang w:val="fr-FR"/>
        </w:rPr>
        <w:t xml:space="preserve">. Ce système a </w:t>
      </w:r>
      <w:r w:rsidR="005D4B4D">
        <w:rPr>
          <w:lang w:val="fr-FR"/>
        </w:rPr>
        <w:t xml:space="preserve">amélioré la gestion de l’accès aux toilettes. À leur admission, les détenus sont formés </w:t>
      </w:r>
      <w:r w:rsidR="00B834B6">
        <w:rPr>
          <w:lang w:val="fr-FR"/>
        </w:rPr>
        <w:t>à son</w:t>
      </w:r>
      <w:r w:rsidR="005D4B4D">
        <w:rPr>
          <w:lang w:val="fr-FR"/>
        </w:rPr>
        <w:t xml:space="preserve"> et, si nécessaire, à l’utilisation </w:t>
      </w:r>
      <w:r w:rsidR="00B36F11">
        <w:rPr>
          <w:lang w:val="fr-FR"/>
        </w:rPr>
        <w:t xml:space="preserve">de la salle de vidage des seaux. Le fonctionnement du système est vérifié tous les jours et toute défaillance est gérée </w:t>
      </w:r>
      <w:r w:rsidR="00B834B6">
        <w:rPr>
          <w:lang w:val="fr-FR"/>
        </w:rPr>
        <w:t xml:space="preserve">en </w:t>
      </w:r>
      <w:r w:rsidR="00B36F11">
        <w:rPr>
          <w:lang w:val="fr-FR"/>
        </w:rPr>
        <w:t>urgence. Le système de déverrouillage n’est installé que dans les trois bâtiments du Bloc H</w:t>
      </w:r>
      <w:r w:rsidR="00B36F11" w:rsidRPr="00B36F11">
        <w:rPr>
          <w:lang w:val="fr-FR"/>
        </w:rPr>
        <w:t xml:space="preserve"> </w:t>
      </w:r>
      <w:r w:rsidR="00B36F11">
        <w:rPr>
          <w:lang w:val="fr-FR"/>
        </w:rPr>
        <w:t xml:space="preserve">de Magilligan où, malgré l’augmentation de la population carcérale, </w:t>
      </w:r>
      <w:r w:rsidR="005D4B4D" w:rsidRPr="00B36F11">
        <w:rPr>
          <w:lang w:val="fr-FR"/>
        </w:rPr>
        <w:t>l’</w:t>
      </w:r>
      <w:r w:rsidR="008F3DA4" w:rsidRPr="00B36F11">
        <w:rPr>
          <w:lang w:val="fr-FR"/>
        </w:rPr>
        <w:t>Administration pénitentiaire d’Irlande du Nord</w:t>
      </w:r>
      <w:r w:rsidR="000B562B" w:rsidRPr="00B36F11">
        <w:rPr>
          <w:lang w:val="fr-FR"/>
        </w:rPr>
        <w:t xml:space="preserve"> </w:t>
      </w:r>
      <w:r w:rsidR="005D4B4D" w:rsidRPr="00B36F11">
        <w:rPr>
          <w:lang w:val="fr-FR"/>
        </w:rPr>
        <w:t xml:space="preserve">s’efforce d’éviter </w:t>
      </w:r>
      <w:r w:rsidR="00B36F11" w:rsidRPr="00B36F11">
        <w:rPr>
          <w:lang w:val="fr-FR"/>
        </w:rPr>
        <w:t>de</w:t>
      </w:r>
      <w:r w:rsidR="00B36F11">
        <w:rPr>
          <w:lang w:val="fr-FR"/>
        </w:rPr>
        <w:t xml:space="preserve"> mettre </w:t>
      </w:r>
      <w:r w:rsidR="00E95684">
        <w:rPr>
          <w:lang w:val="fr-FR"/>
        </w:rPr>
        <w:t>plusieurs détenus dans la même cellule. (Les cellules d’une aile du Bloc H</w:t>
      </w:r>
      <w:r w:rsidR="00B36F11">
        <w:rPr>
          <w:lang w:val="fr-FR"/>
        </w:rPr>
        <w:t xml:space="preserve"> </w:t>
      </w:r>
      <w:r w:rsidR="00E95684">
        <w:rPr>
          <w:lang w:val="fr-FR"/>
        </w:rPr>
        <w:t>ont été équipées d’une nouvelle porte dont les détenus, qui ont subi une évaluation des risques, possèdent chacun une clé.)</w:t>
      </w:r>
    </w:p>
    <w:p w:rsidR="000B562B" w:rsidRPr="00A176EA" w:rsidRDefault="002549A9" w:rsidP="00E95684">
      <w:pPr>
        <w:pStyle w:val="SingleTxtG"/>
        <w:rPr>
          <w:lang w:val="fr-FR"/>
        </w:rPr>
      </w:pPr>
      <w:r w:rsidRPr="00A176EA">
        <w:rPr>
          <w:lang w:val="fr-FR"/>
        </w:rPr>
        <w:t>87.</w:t>
      </w:r>
      <w:r w:rsidRPr="00A176EA">
        <w:rPr>
          <w:lang w:val="fr-FR"/>
        </w:rPr>
        <w:tab/>
      </w:r>
      <w:r w:rsidR="00E95684">
        <w:rPr>
          <w:lang w:val="fr-FR"/>
        </w:rPr>
        <w:t xml:space="preserve">Par ailleurs, une unité de 60 cellules, Halward House, a été ouverte à Magilligan en octobre 2008 et une autre de 120 cellules, Braid House, à Maghaberry début 2010. Le </w:t>
      </w:r>
      <w:r w:rsidR="0042557C">
        <w:rPr>
          <w:lang w:val="fr-FR"/>
        </w:rPr>
        <w:t>dossier</w:t>
      </w:r>
      <w:r w:rsidR="00E95684">
        <w:rPr>
          <w:lang w:val="fr-FR"/>
        </w:rPr>
        <w:t xml:space="preserve"> d’évaluation définitif sur l’ajout d’une autre unité de 120 cellules à Maghaberry a été approuvé en 2010. La construction est en cours et l’unité devrait être achevée à l’été 2012. Chaque cellule de ces unités </w:t>
      </w:r>
      <w:r w:rsidR="006643AF">
        <w:rPr>
          <w:lang w:val="fr-FR"/>
        </w:rPr>
        <w:t>est équipée</w:t>
      </w:r>
      <w:r w:rsidR="00E95684">
        <w:rPr>
          <w:lang w:val="fr-FR"/>
        </w:rPr>
        <w:t xml:space="preserve"> d’installations sanitaires intégrées</w:t>
      </w:r>
      <w:r w:rsidR="000B562B" w:rsidRPr="00A176EA">
        <w:rPr>
          <w:lang w:val="fr-FR"/>
        </w:rPr>
        <w:t>.</w:t>
      </w:r>
      <w:r w:rsidR="00E95684">
        <w:rPr>
          <w:lang w:val="fr-FR"/>
        </w:rPr>
        <w:t xml:space="preserve"> </w:t>
      </w:r>
    </w:p>
    <w:p w:rsidR="000B562B" w:rsidRPr="00A176EA" w:rsidRDefault="002549A9" w:rsidP="00732870">
      <w:pPr>
        <w:pStyle w:val="SingleTxtG"/>
        <w:rPr>
          <w:lang w:val="fr-FR"/>
        </w:rPr>
      </w:pPr>
      <w:r w:rsidRPr="00A176EA">
        <w:rPr>
          <w:lang w:val="fr-FR"/>
        </w:rPr>
        <w:t>88.</w:t>
      </w:r>
      <w:r w:rsidRPr="00A176EA">
        <w:rPr>
          <w:lang w:val="fr-FR"/>
        </w:rPr>
        <w:tab/>
      </w:r>
      <w:r w:rsidR="006643AF">
        <w:rPr>
          <w:lang w:val="fr-FR"/>
        </w:rPr>
        <w:t>T</w:t>
      </w:r>
      <w:r w:rsidR="00E95684">
        <w:rPr>
          <w:lang w:val="fr-FR"/>
        </w:rPr>
        <w:t xml:space="preserve">outes les cellules </w:t>
      </w:r>
      <w:r w:rsidR="006643AF">
        <w:rPr>
          <w:lang w:val="fr-FR"/>
        </w:rPr>
        <w:t>d</w:t>
      </w:r>
      <w:r w:rsidR="00A519E7">
        <w:rPr>
          <w:lang w:val="fr-FR"/>
        </w:rPr>
        <w:t xml:space="preserve">e </w:t>
      </w:r>
      <w:r w:rsidR="006643AF" w:rsidRPr="00A176EA">
        <w:rPr>
          <w:lang w:val="fr-FR"/>
        </w:rPr>
        <w:t>Hydebank Wood</w:t>
      </w:r>
      <w:r w:rsidR="006643AF">
        <w:rPr>
          <w:lang w:val="fr-FR"/>
        </w:rPr>
        <w:t xml:space="preserve"> </w:t>
      </w:r>
      <w:r w:rsidR="00E95684">
        <w:rPr>
          <w:lang w:val="fr-FR"/>
        </w:rPr>
        <w:t xml:space="preserve">sont </w:t>
      </w:r>
      <w:r w:rsidR="006643AF">
        <w:rPr>
          <w:lang w:val="fr-FR"/>
        </w:rPr>
        <w:t>dotées</w:t>
      </w:r>
      <w:r w:rsidR="00E95684">
        <w:rPr>
          <w:lang w:val="fr-FR"/>
        </w:rPr>
        <w:t xml:space="preserve"> d’installations sanitaires intégrées</w:t>
      </w:r>
      <w:r w:rsidR="000B562B" w:rsidRPr="00A176EA">
        <w:rPr>
          <w:lang w:val="fr-FR"/>
        </w:rPr>
        <w:t>.</w:t>
      </w:r>
    </w:p>
    <w:p w:rsidR="000B562B" w:rsidRPr="00A176EA" w:rsidRDefault="00E95684" w:rsidP="00732870">
      <w:pPr>
        <w:pStyle w:val="H23G"/>
        <w:rPr>
          <w:lang w:val="fr-FR"/>
        </w:rPr>
      </w:pPr>
      <w:r>
        <w:rPr>
          <w:lang w:val="fr-FR"/>
        </w:rPr>
        <w:t>Situation des femmes détenues à la prison de Hydebank Wood</w:t>
      </w:r>
    </w:p>
    <w:p w:rsidR="000B562B" w:rsidRPr="00A176EA" w:rsidRDefault="002549A9" w:rsidP="00133AF0">
      <w:pPr>
        <w:pStyle w:val="SingleTxtG"/>
        <w:rPr>
          <w:lang w:val="fr-FR"/>
        </w:rPr>
      </w:pPr>
      <w:r w:rsidRPr="00A176EA">
        <w:rPr>
          <w:lang w:val="fr-FR"/>
        </w:rPr>
        <w:t>89.</w:t>
      </w:r>
      <w:r w:rsidRPr="00A176EA">
        <w:rPr>
          <w:lang w:val="fr-FR"/>
        </w:rPr>
        <w:tab/>
      </w:r>
      <w:r w:rsidR="00E95684">
        <w:rPr>
          <w:lang w:val="fr-FR"/>
        </w:rPr>
        <w:t xml:space="preserve">Le Comité </w:t>
      </w:r>
      <w:r w:rsidR="00133AF0">
        <w:rPr>
          <w:lang w:val="fr-FR"/>
        </w:rPr>
        <w:t xml:space="preserve">a fait état de ses préoccupations concernant les femmes détenues à Hydebank Wood, en particulier quant au </w:t>
      </w:r>
      <w:r w:rsidR="00CD0110">
        <w:rPr>
          <w:lang w:val="fr-FR"/>
        </w:rPr>
        <w:t>«</w:t>
      </w:r>
      <w:r w:rsidR="00133AF0">
        <w:rPr>
          <w:lang w:val="fr-FR"/>
        </w:rPr>
        <w:t>manque d’installations, d’organisation, de méthodes de garde et de soins médicaux prenant en compte leurs besoins</w:t>
      </w:r>
      <w:r w:rsidR="00CD0110">
        <w:rPr>
          <w:lang w:val="fr-FR"/>
        </w:rPr>
        <w:t>»</w:t>
      </w:r>
      <w:r w:rsidR="00133AF0">
        <w:rPr>
          <w:lang w:val="fr-FR"/>
        </w:rPr>
        <w:t xml:space="preserve">, à la surreprésentation des gardiens de sexe masculin à Ash House et aux </w:t>
      </w:r>
      <w:r w:rsidR="00CD0110">
        <w:rPr>
          <w:lang w:val="fr-FR"/>
        </w:rPr>
        <w:t>«</w:t>
      </w:r>
      <w:r w:rsidR="00133AF0">
        <w:rPr>
          <w:lang w:val="fr-FR"/>
        </w:rPr>
        <w:t>incidents ou menaces inappropriées qui toucheraient les femmes détenues</w:t>
      </w:r>
      <w:r w:rsidR="00CD0110">
        <w:rPr>
          <w:lang w:val="fr-FR"/>
        </w:rPr>
        <w:t>»</w:t>
      </w:r>
      <w:r w:rsidR="000B562B" w:rsidRPr="00A176EA">
        <w:rPr>
          <w:lang w:val="fr-FR"/>
        </w:rPr>
        <w:t>.</w:t>
      </w:r>
    </w:p>
    <w:p w:rsidR="000B562B" w:rsidRPr="00A176EA" w:rsidRDefault="002549A9" w:rsidP="00EF30FF">
      <w:pPr>
        <w:pStyle w:val="SingleTxtG"/>
        <w:rPr>
          <w:lang w:val="fr-FR"/>
        </w:rPr>
      </w:pPr>
      <w:r w:rsidRPr="00A176EA">
        <w:rPr>
          <w:lang w:val="fr-FR"/>
        </w:rPr>
        <w:t>90.</w:t>
      </w:r>
      <w:r w:rsidRPr="00A176EA">
        <w:rPr>
          <w:lang w:val="fr-FR"/>
        </w:rPr>
        <w:tab/>
      </w:r>
      <w:r w:rsidR="00133AF0">
        <w:rPr>
          <w:lang w:val="fr-FR"/>
        </w:rPr>
        <w:t>E</w:t>
      </w:r>
      <w:r w:rsidR="000B562B" w:rsidRPr="00A176EA">
        <w:rPr>
          <w:lang w:val="fr-FR"/>
        </w:rPr>
        <w:t>n 2010</w:t>
      </w:r>
      <w:r w:rsidR="00133AF0">
        <w:rPr>
          <w:lang w:val="fr-FR"/>
        </w:rPr>
        <w:t>-</w:t>
      </w:r>
      <w:r w:rsidR="00A519E7">
        <w:rPr>
          <w:lang w:val="fr-FR"/>
        </w:rPr>
        <w:t>20</w:t>
      </w:r>
      <w:r w:rsidR="000B562B" w:rsidRPr="00A176EA">
        <w:rPr>
          <w:lang w:val="fr-FR"/>
        </w:rPr>
        <w:t xml:space="preserve">11, 384 </w:t>
      </w:r>
      <w:r w:rsidR="00EF30FF">
        <w:rPr>
          <w:lang w:val="fr-FR"/>
        </w:rPr>
        <w:t xml:space="preserve">femmes </w:t>
      </w:r>
      <w:r w:rsidR="00133AF0">
        <w:rPr>
          <w:lang w:val="fr-FR"/>
        </w:rPr>
        <w:t xml:space="preserve">ont été incarcérées en Irlande du Nord (certaines à plusieurs reprises), à Ash House, dans la prison de Hydebank Wood. À l’origine, ce bâtiment </w:t>
      </w:r>
      <w:r w:rsidR="00EF30FF">
        <w:rPr>
          <w:lang w:val="fr-FR"/>
        </w:rPr>
        <w:t>hébergeait</w:t>
      </w:r>
      <w:r w:rsidR="00133AF0">
        <w:rPr>
          <w:lang w:val="fr-FR"/>
        </w:rPr>
        <w:t xml:space="preserve"> le Centre </w:t>
      </w:r>
      <w:r w:rsidR="00EF30FF">
        <w:rPr>
          <w:lang w:val="fr-FR"/>
        </w:rPr>
        <w:t>pour jeunes délinquants mais, en juin 2004, il a été réaffecté à l’occasion du transfert des détenues de Mourne House, à Maghaberry. Bien qu’hébergées dans des locaux qui leur sont dédiés, les femmes détenues doivent partager un petit nombre de services et d’installations</w:t>
      </w:r>
      <w:r w:rsidR="000B562B" w:rsidRPr="00A176EA">
        <w:rPr>
          <w:lang w:val="fr-FR"/>
        </w:rPr>
        <w:t>.</w:t>
      </w:r>
    </w:p>
    <w:p w:rsidR="000B562B" w:rsidRPr="00A176EA" w:rsidRDefault="002549A9" w:rsidP="00EF30FF">
      <w:pPr>
        <w:pStyle w:val="SingleTxtG"/>
        <w:rPr>
          <w:lang w:val="fr-FR"/>
        </w:rPr>
      </w:pPr>
      <w:r w:rsidRPr="00A176EA">
        <w:rPr>
          <w:lang w:val="fr-FR"/>
        </w:rPr>
        <w:t>91.</w:t>
      </w:r>
      <w:r w:rsidRPr="00A176EA">
        <w:rPr>
          <w:lang w:val="fr-FR"/>
        </w:rPr>
        <w:tab/>
      </w:r>
      <w:r w:rsidR="00EF30FF">
        <w:rPr>
          <w:lang w:val="fr-FR"/>
        </w:rPr>
        <w:t xml:space="preserve">Au 3 juin 2010, 45 femmes étaient </w:t>
      </w:r>
      <w:r w:rsidR="001A3D6D">
        <w:rPr>
          <w:lang w:val="fr-FR"/>
        </w:rPr>
        <w:t>incarcérées</w:t>
      </w:r>
      <w:r w:rsidR="00EF30FF">
        <w:rPr>
          <w:lang w:val="fr-FR"/>
        </w:rPr>
        <w:t xml:space="preserve"> à Ash House. Actuellement, le personnel de Ash House est constitué à 71 % de femmes et les détenues ont accès au personnel féminin à tout instant. Ash House est dirigé par une femme, en poste depuis six ans, qui ne s’occupe que des femmes détenues</w:t>
      </w:r>
      <w:r w:rsidR="000B562B" w:rsidRPr="00A176EA">
        <w:rPr>
          <w:lang w:val="fr-FR"/>
        </w:rPr>
        <w:t>.</w:t>
      </w:r>
    </w:p>
    <w:p w:rsidR="000B562B" w:rsidRPr="00A176EA" w:rsidRDefault="002549A9" w:rsidP="006306CE">
      <w:pPr>
        <w:pStyle w:val="SingleTxtG"/>
        <w:rPr>
          <w:lang w:val="fr-FR"/>
        </w:rPr>
      </w:pPr>
      <w:r w:rsidRPr="00A176EA">
        <w:rPr>
          <w:lang w:val="fr-FR"/>
        </w:rPr>
        <w:t>92.</w:t>
      </w:r>
      <w:r w:rsidRPr="00A176EA">
        <w:rPr>
          <w:lang w:val="fr-FR"/>
        </w:rPr>
        <w:tab/>
      </w:r>
      <w:r w:rsidR="006306CE">
        <w:rPr>
          <w:lang w:val="fr-FR"/>
        </w:rPr>
        <w:t>Ash House compte cinq étages, dont Ash 5 ouvert en avril 2007. Cet étage peut accueillir jusqu’à 10 détenues et assure des conditions de vie plus indépendantes à celles qui remplissent certains critères et dont les risques ont été correctement évalués. Ash House peut recevoir un maximum de 74 détenues. Le bâtiment dispose de deux pièces pour les mères et leur nourrisson, ainsi que de deux cellules adaptées aux femmes handicapées, plus grandes que les cellules normales. Toutes les cellules sont équipées d’installations sanitaires intégrées</w:t>
      </w:r>
      <w:r w:rsidR="000B562B" w:rsidRPr="00A176EA">
        <w:rPr>
          <w:lang w:val="fr-FR"/>
        </w:rPr>
        <w:t>.</w:t>
      </w:r>
    </w:p>
    <w:p w:rsidR="000B562B" w:rsidRPr="00A176EA" w:rsidRDefault="002549A9" w:rsidP="00DB7AE0">
      <w:pPr>
        <w:pStyle w:val="SingleTxtG"/>
        <w:rPr>
          <w:lang w:val="fr-FR"/>
        </w:rPr>
      </w:pPr>
      <w:r w:rsidRPr="00A176EA">
        <w:rPr>
          <w:lang w:val="fr-FR"/>
        </w:rPr>
        <w:t>93.</w:t>
      </w:r>
      <w:r w:rsidRPr="00A176EA">
        <w:rPr>
          <w:lang w:val="fr-FR"/>
        </w:rPr>
        <w:tab/>
      </w:r>
      <w:r w:rsidR="006306CE">
        <w:rPr>
          <w:lang w:val="fr-FR"/>
        </w:rPr>
        <w:t>En mars</w:t>
      </w:r>
      <w:r w:rsidR="000B562B" w:rsidRPr="00A176EA">
        <w:rPr>
          <w:lang w:val="fr-FR"/>
        </w:rPr>
        <w:t xml:space="preserve"> 2007, </w:t>
      </w:r>
      <w:r w:rsidR="006306CE">
        <w:rPr>
          <w:lang w:val="fr-FR"/>
        </w:rPr>
        <w:t xml:space="preserve">le Gouvernement a publié </w:t>
      </w:r>
      <w:r w:rsidR="009F6186">
        <w:rPr>
          <w:lang w:val="fr-FR"/>
        </w:rPr>
        <w:t>une étude</w:t>
      </w:r>
      <w:r w:rsidR="000B562B" w:rsidRPr="00A176EA">
        <w:rPr>
          <w:rStyle w:val="FootnoteReference"/>
          <w:szCs w:val="22"/>
        </w:rPr>
        <w:footnoteReference w:id="8"/>
      </w:r>
      <w:r w:rsidR="000B562B" w:rsidRPr="00A176EA">
        <w:rPr>
          <w:lang w:val="fr-FR"/>
        </w:rPr>
        <w:t xml:space="preserve"> </w:t>
      </w:r>
      <w:r w:rsidR="009F6186">
        <w:rPr>
          <w:lang w:val="fr-FR"/>
        </w:rPr>
        <w:t>de la baronne</w:t>
      </w:r>
      <w:r w:rsidR="000B562B" w:rsidRPr="00A176EA">
        <w:rPr>
          <w:lang w:val="fr-FR"/>
        </w:rPr>
        <w:t xml:space="preserve"> Corston </w:t>
      </w:r>
      <w:r w:rsidR="009F6186">
        <w:rPr>
          <w:lang w:val="fr-FR"/>
        </w:rPr>
        <w:t xml:space="preserve">sur la vulnérabilité des femmes dans le Système de justice pénale d’Angleterre et du </w:t>
      </w:r>
      <w:r w:rsidR="00186A02">
        <w:rPr>
          <w:lang w:val="fr-FR"/>
        </w:rPr>
        <w:t>p</w:t>
      </w:r>
      <w:r w:rsidR="005601A1">
        <w:rPr>
          <w:lang w:val="fr-FR"/>
        </w:rPr>
        <w:t>ays de Galles</w:t>
      </w:r>
      <w:r w:rsidR="009F6186">
        <w:rPr>
          <w:lang w:val="fr-FR"/>
        </w:rPr>
        <w:t xml:space="preserve">. Reconnaissant que les conclusions et les recommandations de la baronne Corston avaient une forte résonance en Irlande du Nord, le Secteur de la justice pénale a étudié la possibilité d’adopter une approche plus </w:t>
      </w:r>
      <w:r w:rsidR="00DB7AE0">
        <w:rPr>
          <w:lang w:val="fr-FR"/>
        </w:rPr>
        <w:t xml:space="preserve">concertée pour les </w:t>
      </w:r>
      <w:r w:rsidR="001A3D6D">
        <w:rPr>
          <w:lang w:val="fr-FR"/>
        </w:rPr>
        <w:t>délinquantes</w:t>
      </w:r>
      <w:r w:rsidR="00DB7AE0">
        <w:rPr>
          <w:lang w:val="fr-FR"/>
        </w:rPr>
        <w:t xml:space="preserve"> en </w:t>
      </w:r>
      <w:r w:rsidR="008F3DA4" w:rsidRPr="00DB7AE0">
        <w:rPr>
          <w:lang w:val="fr-FR"/>
        </w:rPr>
        <w:t>Irlande du Nord</w:t>
      </w:r>
      <w:r w:rsidR="000B562B" w:rsidRPr="00DB7AE0">
        <w:rPr>
          <w:lang w:val="fr-FR"/>
        </w:rPr>
        <w:t>.</w:t>
      </w:r>
    </w:p>
    <w:p w:rsidR="000B562B" w:rsidRPr="00A176EA" w:rsidRDefault="002549A9" w:rsidP="00207C2F">
      <w:pPr>
        <w:pStyle w:val="SingleTxtG"/>
        <w:rPr>
          <w:lang w:val="fr-FR"/>
        </w:rPr>
      </w:pPr>
      <w:r w:rsidRPr="00A176EA">
        <w:rPr>
          <w:lang w:val="fr-FR"/>
        </w:rPr>
        <w:t>94.</w:t>
      </w:r>
      <w:r w:rsidRPr="00A176EA">
        <w:rPr>
          <w:lang w:val="fr-FR"/>
        </w:rPr>
        <w:tab/>
      </w:r>
      <w:r w:rsidR="00DB7AE0">
        <w:rPr>
          <w:lang w:val="fr-FR"/>
        </w:rPr>
        <w:t xml:space="preserve">Ces dernières années, </w:t>
      </w:r>
      <w:r w:rsidR="00DB7AE0" w:rsidRPr="00DB7AE0">
        <w:rPr>
          <w:lang w:val="fr-FR"/>
        </w:rPr>
        <w:t>l’</w:t>
      </w:r>
      <w:r w:rsidR="008F3DA4" w:rsidRPr="00DB7AE0">
        <w:rPr>
          <w:lang w:val="fr-FR"/>
        </w:rPr>
        <w:t>Administration pénitentiaire d’Irlande du Nord</w:t>
      </w:r>
      <w:r w:rsidR="000B562B" w:rsidRPr="00A176EA">
        <w:rPr>
          <w:lang w:val="fr-FR"/>
        </w:rPr>
        <w:t xml:space="preserve"> </w:t>
      </w:r>
      <w:r w:rsidR="00DB7AE0">
        <w:rPr>
          <w:lang w:val="fr-FR"/>
        </w:rPr>
        <w:t xml:space="preserve">a </w:t>
      </w:r>
      <w:r w:rsidR="0042557C">
        <w:rPr>
          <w:lang w:val="fr-FR"/>
        </w:rPr>
        <w:t xml:space="preserve">examiné les possibilités de fournir un hébergement et des installations dédiés aux femmes détenues. L’étude initiale a révélé la possibilité de construire un établissement sur le terrain de Hydebank Wood (sous réserve d’autorisation d’aménagement). </w:t>
      </w:r>
      <w:r w:rsidR="0042557C" w:rsidRPr="0042557C">
        <w:rPr>
          <w:lang w:val="fr-FR"/>
        </w:rPr>
        <w:t>Un dossier d’évaluation stratégique a été réalisé mais, à la lumière du rapport intermédiaire de l’Équipe d’évaluation des prisons publié plus tôt dans l’année</w:t>
      </w:r>
      <w:r w:rsidR="000B562B" w:rsidRPr="0042557C">
        <w:rPr>
          <w:lang w:val="fr-FR"/>
        </w:rPr>
        <w:t xml:space="preserve">, </w:t>
      </w:r>
      <w:r w:rsidR="0042557C" w:rsidRPr="0042557C">
        <w:rPr>
          <w:lang w:val="fr-FR"/>
        </w:rPr>
        <w:t>l’</w:t>
      </w:r>
      <w:r w:rsidR="008F3DA4" w:rsidRPr="0042557C">
        <w:rPr>
          <w:lang w:val="fr-FR"/>
        </w:rPr>
        <w:t>Administration pénitentiaire d’Irlande du Nord</w:t>
      </w:r>
      <w:r w:rsidR="000B562B" w:rsidRPr="00A176EA">
        <w:rPr>
          <w:lang w:val="fr-FR"/>
        </w:rPr>
        <w:t xml:space="preserve"> </w:t>
      </w:r>
      <w:r w:rsidR="0042557C">
        <w:rPr>
          <w:lang w:val="fr-FR"/>
        </w:rPr>
        <w:t xml:space="preserve">réexamine le bien-fondé de l’ensemble de la </w:t>
      </w:r>
      <w:r w:rsidR="0049248C">
        <w:rPr>
          <w:lang w:val="fr-FR"/>
        </w:rPr>
        <w:t>stratégie en matière de parc carcéral, dont un établissement pour les femmes et les mineurs. L’Administration pénitentiaire</w:t>
      </w:r>
      <w:r w:rsidR="0049248C" w:rsidRPr="0049248C">
        <w:rPr>
          <w:lang w:val="fr-FR"/>
        </w:rPr>
        <w:t xml:space="preserve"> s’est engagé</w:t>
      </w:r>
      <w:r w:rsidR="0049248C">
        <w:rPr>
          <w:lang w:val="fr-FR"/>
        </w:rPr>
        <w:t>e</w:t>
      </w:r>
      <w:r w:rsidR="0049248C" w:rsidRPr="0049248C">
        <w:rPr>
          <w:lang w:val="fr-FR"/>
        </w:rPr>
        <w:t xml:space="preserve"> à fournir d’ici la mi-août une estimation chiffrée des options permettant d’actualiser et de moderniser </w:t>
      </w:r>
      <w:r w:rsidR="0049248C">
        <w:rPr>
          <w:lang w:val="fr-FR"/>
        </w:rPr>
        <w:t>cette</w:t>
      </w:r>
      <w:r w:rsidR="0049248C" w:rsidRPr="0049248C">
        <w:rPr>
          <w:lang w:val="fr-FR"/>
        </w:rPr>
        <w:t xml:space="preserve"> stratégie</w:t>
      </w:r>
      <w:r w:rsidR="0049248C">
        <w:rPr>
          <w:lang w:val="fr-FR"/>
        </w:rPr>
        <w:t xml:space="preserve">. </w:t>
      </w:r>
      <w:r w:rsidR="00207C2F">
        <w:rPr>
          <w:lang w:val="fr-FR"/>
        </w:rPr>
        <w:t xml:space="preserve">Les nouvelles dispositions tiendront compte des recommandations formulées dans le rapport intermédiaire et de toute recommandation figurant dans le rapport final de </w:t>
      </w:r>
      <w:r w:rsidR="00207C2F" w:rsidRPr="0042557C">
        <w:rPr>
          <w:lang w:val="fr-FR"/>
        </w:rPr>
        <w:t>l’Équipe d’évaluation</w:t>
      </w:r>
      <w:r w:rsidR="000B562B" w:rsidRPr="00A176EA">
        <w:rPr>
          <w:lang w:val="fr-FR"/>
        </w:rPr>
        <w:t>.</w:t>
      </w:r>
    </w:p>
    <w:p w:rsidR="000B562B" w:rsidRPr="00A176EA" w:rsidRDefault="002549A9" w:rsidP="00C8119C">
      <w:pPr>
        <w:pStyle w:val="SingleTxtG"/>
        <w:rPr>
          <w:lang w:val="fr-FR"/>
        </w:rPr>
      </w:pPr>
      <w:r w:rsidRPr="00A176EA">
        <w:rPr>
          <w:lang w:val="fr-FR"/>
        </w:rPr>
        <w:t>95.</w:t>
      </w:r>
      <w:r w:rsidRPr="00A176EA">
        <w:rPr>
          <w:lang w:val="fr-FR"/>
        </w:rPr>
        <w:tab/>
      </w:r>
      <w:r w:rsidR="00207C2F" w:rsidRPr="003D5DFC">
        <w:rPr>
          <w:lang w:val="fr-FR"/>
        </w:rPr>
        <w:t>L’</w:t>
      </w:r>
      <w:r w:rsidR="008F3DA4" w:rsidRPr="003D5DFC">
        <w:rPr>
          <w:lang w:val="fr-FR"/>
        </w:rPr>
        <w:t>Administration pénitentiaire d’Irlande du Nord</w:t>
      </w:r>
      <w:r w:rsidR="000B562B" w:rsidRPr="003D5DFC">
        <w:rPr>
          <w:lang w:val="fr-FR"/>
        </w:rPr>
        <w:t xml:space="preserve"> </w:t>
      </w:r>
      <w:r w:rsidR="00207C2F" w:rsidRPr="003D5DFC">
        <w:rPr>
          <w:lang w:val="fr-FR"/>
        </w:rPr>
        <w:t xml:space="preserve">a travaillé en collaboration avec le Ministère de la justice et le </w:t>
      </w:r>
      <w:r w:rsidR="003D5DFC" w:rsidRPr="003D5DFC">
        <w:rPr>
          <w:lang w:val="fr-FR"/>
        </w:rPr>
        <w:t>Comité de probation</w:t>
      </w:r>
      <w:r w:rsidR="000B562B" w:rsidRPr="003D5DFC">
        <w:rPr>
          <w:lang w:val="fr-FR"/>
        </w:rPr>
        <w:t xml:space="preserve"> </w:t>
      </w:r>
      <w:r w:rsidR="00207C2F" w:rsidRPr="003D5DFC">
        <w:rPr>
          <w:lang w:val="fr-FR"/>
        </w:rPr>
        <w:t>d’</w:t>
      </w:r>
      <w:r w:rsidR="008F3DA4" w:rsidRPr="003D5DFC">
        <w:rPr>
          <w:lang w:val="fr-FR"/>
        </w:rPr>
        <w:t>Irlande du Nord</w:t>
      </w:r>
      <w:r w:rsidR="000B562B" w:rsidRPr="00A176EA">
        <w:rPr>
          <w:lang w:val="fr-FR"/>
        </w:rPr>
        <w:t xml:space="preserve"> </w:t>
      </w:r>
      <w:r w:rsidR="003D5DFC">
        <w:rPr>
          <w:lang w:val="fr-FR"/>
        </w:rPr>
        <w:t xml:space="preserve">pour élaborer une stratégie globale pour le traitement des délinquantes. La Stratégie </w:t>
      </w:r>
      <w:r w:rsidR="00C8119C">
        <w:rPr>
          <w:lang w:val="fr-FR"/>
        </w:rPr>
        <w:t xml:space="preserve">pour les femmes ayant un comportement délictueux, qui couvre la période 2010-2013, est mise en œuvre conjointement par le Ministère de la justice, le </w:t>
      </w:r>
      <w:r w:rsidR="00C8119C" w:rsidRPr="003D5DFC">
        <w:rPr>
          <w:lang w:val="fr-FR"/>
        </w:rPr>
        <w:t>Comité de probation d’Irlande du Nord</w:t>
      </w:r>
      <w:r w:rsidR="00C8119C" w:rsidRPr="00A176EA">
        <w:rPr>
          <w:lang w:val="fr-FR"/>
        </w:rPr>
        <w:t xml:space="preserve"> </w:t>
      </w:r>
      <w:r w:rsidR="00C8119C">
        <w:rPr>
          <w:lang w:val="fr-FR"/>
        </w:rPr>
        <w:t xml:space="preserve">et </w:t>
      </w:r>
      <w:r w:rsidR="00C8119C" w:rsidRPr="00C8119C">
        <w:rPr>
          <w:lang w:val="fr-FR"/>
        </w:rPr>
        <w:t xml:space="preserve">l’Administration pénitentiaire d’Irlande du Nord. </w:t>
      </w:r>
      <w:r w:rsidR="00C8119C">
        <w:rPr>
          <w:lang w:val="fr-FR"/>
        </w:rPr>
        <w:t>Son objectif est d’établir un système de justice pénale qui prenne en compte les besoins particuliers des femmes délinquantes ou susceptibles de le devenir, qui réponde à ces besoins et qui offre des solutions pour sortir de la criminalité. Cette stratégie présente quatre volets</w:t>
      </w:r>
      <w:r w:rsidR="00FC2B97">
        <w:rPr>
          <w:lang w:val="fr-FR"/>
        </w:rPr>
        <w:t>:</w:t>
      </w:r>
    </w:p>
    <w:p w:rsidR="000B562B" w:rsidRPr="00A176EA" w:rsidRDefault="00C0135E" w:rsidP="00BC0033">
      <w:pPr>
        <w:pStyle w:val="Bullet1G"/>
      </w:pPr>
      <w:r>
        <w:t>proposer des mesures de substitution aux poursuites et au placement en détention</w:t>
      </w:r>
      <w:r w:rsidR="00FC2B97">
        <w:t>;</w:t>
      </w:r>
    </w:p>
    <w:p w:rsidR="000B562B" w:rsidRPr="00A176EA" w:rsidRDefault="00C0135E" w:rsidP="00BC0033">
      <w:pPr>
        <w:pStyle w:val="Bullet1G"/>
      </w:pPr>
      <w:r>
        <w:t>réduire la délinquance</w:t>
      </w:r>
      <w:r w:rsidR="00FC2B97">
        <w:t>;</w:t>
      </w:r>
    </w:p>
    <w:p w:rsidR="000B562B" w:rsidRPr="00A176EA" w:rsidRDefault="00A519E7" w:rsidP="00BC0033">
      <w:pPr>
        <w:pStyle w:val="Bullet1G"/>
      </w:pPr>
      <w:r>
        <w:t xml:space="preserve">mettre en œuvre le </w:t>
      </w:r>
      <w:r w:rsidR="00D946C1">
        <w:t>p</w:t>
      </w:r>
      <w:r w:rsidR="00C0135E" w:rsidRPr="00A176EA">
        <w:t xml:space="preserve">rojet </w:t>
      </w:r>
      <w:r w:rsidR="000B562B" w:rsidRPr="00A176EA">
        <w:t xml:space="preserve">Inspire </w:t>
      </w:r>
      <w:r w:rsidR="00773242">
        <w:t xml:space="preserve">pour les femmes (Inspire </w:t>
      </w:r>
      <w:r w:rsidR="000B562B" w:rsidRPr="00A176EA">
        <w:t>Women’s</w:t>
      </w:r>
      <w:r w:rsidR="00773242">
        <w:t xml:space="preserve"> Project)</w:t>
      </w:r>
      <w:r w:rsidR="00FC2B97">
        <w:t>:</w:t>
      </w:r>
      <w:r w:rsidR="000B562B" w:rsidRPr="00A176EA">
        <w:t xml:space="preserve"> </w:t>
      </w:r>
      <w:r w:rsidR="00D946C1">
        <w:t>surveillance et interventions communautaires prenant en compte la dimension de genre</w:t>
      </w:r>
      <w:r w:rsidR="00FC2B97">
        <w:t>;</w:t>
      </w:r>
      <w:r w:rsidR="000B562B" w:rsidRPr="00A176EA">
        <w:t xml:space="preserve"> </w:t>
      </w:r>
      <w:r w:rsidR="00C0135E">
        <w:t>et</w:t>
      </w:r>
    </w:p>
    <w:p w:rsidR="000B562B" w:rsidRPr="00A176EA" w:rsidRDefault="00D946C1" w:rsidP="00BC0033">
      <w:pPr>
        <w:pStyle w:val="Bullet1G"/>
      </w:pPr>
      <w:r>
        <w:t>élaborer une approche sexospécifique de la gestion des femmes détenues</w:t>
      </w:r>
      <w:r w:rsidR="000B562B" w:rsidRPr="00A176EA">
        <w:t>.</w:t>
      </w:r>
    </w:p>
    <w:p w:rsidR="000B562B" w:rsidRPr="00A176EA" w:rsidRDefault="002549A9" w:rsidP="0090162C">
      <w:pPr>
        <w:pStyle w:val="SingleTxtG"/>
        <w:rPr>
          <w:lang w:val="fr-FR"/>
        </w:rPr>
      </w:pPr>
      <w:r w:rsidRPr="00A176EA">
        <w:rPr>
          <w:lang w:val="fr-FR"/>
        </w:rPr>
        <w:t>96.</w:t>
      </w:r>
      <w:r w:rsidRPr="00A176EA">
        <w:rPr>
          <w:lang w:val="fr-FR"/>
        </w:rPr>
        <w:tab/>
      </w:r>
      <w:r w:rsidR="00D946C1">
        <w:rPr>
          <w:lang w:val="fr-FR"/>
        </w:rPr>
        <w:t xml:space="preserve">La stratégie s’appuie sur le travail de partenariat existant déjà entre les services de justice pénale et les organismes publics, communautaires et </w:t>
      </w:r>
      <w:r w:rsidR="00DF45C7">
        <w:rPr>
          <w:lang w:val="fr-FR"/>
        </w:rPr>
        <w:t>associatifs</w:t>
      </w:r>
      <w:r w:rsidR="00D946C1">
        <w:rPr>
          <w:lang w:val="fr-FR"/>
        </w:rPr>
        <w:t xml:space="preserve"> pour fournir aux femmes des services et des interventions globaux et coordonnés. L’objectif est de répondre plus efficacement aux besoins souvent complexes des femmes délinquantes et </w:t>
      </w:r>
      <w:r w:rsidR="0090162C">
        <w:rPr>
          <w:lang w:val="fr-FR"/>
        </w:rPr>
        <w:t xml:space="preserve">de soutenir une meilleure approche des femmes en Irlande du Nord, dans la </w:t>
      </w:r>
      <w:r w:rsidR="00FE3931">
        <w:rPr>
          <w:lang w:val="fr-FR"/>
        </w:rPr>
        <w:t>société</w:t>
      </w:r>
      <w:r w:rsidR="0090162C">
        <w:rPr>
          <w:lang w:val="fr-FR"/>
        </w:rPr>
        <w:t xml:space="preserve"> </w:t>
      </w:r>
      <w:r w:rsidR="00FE3931">
        <w:rPr>
          <w:lang w:val="fr-FR"/>
        </w:rPr>
        <w:t>comme en prison</w:t>
      </w:r>
      <w:r w:rsidR="000B562B" w:rsidRPr="00A176EA">
        <w:rPr>
          <w:lang w:val="fr-FR"/>
        </w:rPr>
        <w:t>.</w:t>
      </w:r>
    </w:p>
    <w:p w:rsidR="000B562B" w:rsidRPr="00A176EA" w:rsidRDefault="002549A9" w:rsidP="0090162C">
      <w:pPr>
        <w:pStyle w:val="SingleTxtG"/>
        <w:rPr>
          <w:lang w:val="fr-FR"/>
        </w:rPr>
      </w:pPr>
      <w:r w:rsidRPr="00A176EA">
        <w:rPr>
          <w:lang w:val="fr-FR"/>
        </w:rPr>
        <w:t>97.</w:t>
      </w:r>
      <w:r w:rsidRPr="00A176EA">
        <w:rPr>
          <w:lang w:val="fr-FR"/>
        </w:rPr>
        <w:tab/>
      </w:r>
      <w:r w:rsidR="00F04602">
        <w:rPr>
          <w:lang w:val="fr-FR"/>
        </w:rPr>
        <w:t>Hormis avoir examiné</w:t>
      </w:r>
      <w:r w:rsidR="0090162C">
        <w:rPr>
          <w:lang w:val="fr-FR"/>
        </w:rPr>
        <w:t xml:space="preserve"> les besoins des détenues en matière d’hébergement</w:t>
      </w:r>
      <w:r w:rsidR="006B25C3">
        <w:rPr>
          <w:lang w:val="fr-FR"/>
        </w:rPr>
        <w:t>,</w:t>
      </w:r>
      <w:r w:rsidR="0090162C">
        <w:rPr>
          <w:lang w:val="fr-FR"/>
        </w:rPr>
        <w:t xml:space="preserve"> l’Administration pénitentiaire a élaboré des normes prenant en compte la dimension de genre (publiées en novembre 2010), des orientations en matière de travail avec des détenues et une série de politiques et de mesures </w:t>
      </w:r>
      <w:r w:rsidR="00A519E7">
        <w:rPr>
          <w:lang w:val="fr-FR"/>
        </w:rPr>
        <w:t>visant</w:t>
      </w:r>
      <w:r w:rsidR="0090162C">
        <w:rPr>
          <w:lang w:val="fr-FR"/>
        </w:rPr>
        <w:t xml:space="preserve"> à améliorer le régime carcéral des femmes</w:t>
      </w:r>
      <w:r w:rsidR="000B562B" w:rsidRPr="00A176EA">
        <w:rPr>
          <w:lang w:val="fr-FR"/>
        </w:rPr>
        <w:t>.</w:t>
      </w:r>
    </w:p>
    <w:p w:rsidR="000B562B" w:rsidRPr="00A176EA" w:rsidRDefault="002549A9" w:rsidP="00A26E5E">
      <w:pPr>
        <w:pStyle w:val="SingleTxtG"/>
        <w:rPr>
          <w:lang w:val="fr-FR"/>
        </w:rPr>
      </w:pPr>
      <w:r w:rsidRPr="00A176EA">
        <w:rPr>
          <w:lang w:val="fr-FR"/>
        </w:rPr>
        <w:t>98.</w:t>
      </w:r>
      <w:r w:rsidRPr="00A176EA">
        <w:rPr>
          <w:lang w:val="fr-FR"/>
        </w:rPr>
        <w:tab/>
      </w:r>
      <w:r w:rsidR="006B25C3">
        <w:rPr>
          <w:lang w:val="fr-FR"/>
        </w:rPr>
        <w:t xml:space="preserve">Parmi les progrès accomplis à ce jour, citons l’élaboration de nouvelles procédures de gestion des délinquantes </w:t>
      </w:r>
      <w:r w:rsidR="000B562B" w:rsidRPr="00A176EA">
        <w:rPr>
          <w:lang w:val="fr-FR"/>
        </w:rPr>
        <w:t>(</w:t>
      </w:r>
      <w:r w:rsidR="0090162C">
        <w:rPr>
          <w:lang w:val="fr-FR"/>
        </w:rPr>
        <w:t xml:space="preserve">conformément à l’ordonnance </w:t>
      </w:r>
      <w:r w:rsidR="00745B7E">
        <w:rPr>
          <w:lang w:val="fr-FR"/>
        </w:rPr>
        <w:t>de 2008 relative à</w:t>
      </w:r>
      <w:r w:rsidR="0090162C">
        <w:rPr>
          <w:lang w:val="fr-FR"/>
        </w:rPr>
        <w:t xml:space="preserve"> la justice pénale</w:t>
      </w:r>
      <w:r w:rsidR="000B562B" w:rsidRPr="00A176EA">
        <w:rPr>
          <w:lang w:val="fr-FR"/>
        </w:rPr>
        <w:t xml:space="preserve"> [</w:t>
      </w:r>
      <w:r w:rsidR="008F3DA4" w:rsidRPr="006B25C3">
        <w:rPr>
          <w:lang w:val="fr-FR"/>
        </w:rPr>
        <w:t>Irlande du Nord</w:t>
      </w:r>
      <w:r w:rsidR="000B562B" w:rsidRPr="00A176EA">
        <w:rPr>
          <w:lang w:val="fr-FR"/>
        </w:rPr>
        <w:t>]</w:t>
      </w:r>
      <w:r w:rsidR="006B25C3">
        <w:rPr>
          <w:lang w:val="fr-FR"/>
        </w:rPr>
        <w:t xml:space="preserve">) visant à apporter une réponse pluridisciplinaire à leurs besoins. </w:t>
      </w:r>
      <w:r w:rsidR="006B25C3" w:rsidRPr="006B25C3">
        <w:rPr>
          <w:lang w:val="fr-FR"/>
        </w:rPr>
        <w:t xml:space="preserve">Les détenues bénéficient désormais des services d’un </w:t>
      </w:r>
      <w:r w:rsidR="00C0135E" w:rsidRPr="006B25C3">
        <w:rPr>
          <w:lang w:val="fr-FR"/>
        </w:rPr>
        <w:t xml:space="preserve">Groupe de gestion des détenues </w:t>
      </w:r>
      <w:r w:rsidR="00FE3931">
        <w:rPr>
          <w:lang w:val="fr-FR"/>
        </w:rPr>
        <w:t>établi</w:t>
      </w:r>
      <w:r w:rsidR="00C0135E" w:rsidRPr="006B25C3">
        <w:rPr>
          <w:lang w:val="fr-FR"/>
        </w:rPr>
        <w:t xml:space="preserve"> à </w:t>
      </w:r>
      <w:r w:rsidR="000B562B" w:rsidRPr="006B25C3">
        <w:rPr>
          <w:lang w:val="fr-FR"/>
        </w:rPr>
        <w:t xml:space="preserve">Hydebank Wood. </w:t>
      </w:r>
      <w:r w:rsidR="00C0135E" w:rsidRPr="006B25C3">
        <w:rPr>
          <w:lang w:val="fr-FR"/>
        </w:rPr>
        <w:t xml:space="preserve">Ce </w:t>
      </w:r>
      <w:r w:rsidR="000B562B" w:rsidRPr="006B25C3">
        <w:rPr>
          <w:lang w:val="fr-FR"/>
        </w:rPr>
        <w:t>group</w:t>
      </w:r>
      <w:r w:rsidR="00C0135E" w:rsidRPr="006B25C3">
        <w:rPr>
          <w:lang w:val="fr-FR"/>
        </w:rPr>
        <w:t>e</w:t>
      </w:r>
      <w:r w:rsidR="000B562B" w:rsidRPr="006B25C3">
        <w:rPr>
          <w:lang w:val="fr-FR"/>
        </w:rPr>
        <w:t xml:space="preserve"> </w:t>
      </w:r>
      <w:r w:rsidR="00C0135E" w:rsidRPr="006B25C3">
        <w:rPr>
          <w:lang w:val="fr-FR"/>
        </w:rPr>
        <w:t>pluridisciplinaire</w:t>
      </w:r>
      <w:r w:rsidR="00C0135E">
        <w:rPr>
          <w:lang w:val="fr-FR"/>
        </w:rPr>
        <w:t xml:space="preserve"> </w:t>
      </w:r>
      <w:r w:rsidR="006B25C3">
        <w:rPr>
          <w:lang w:val="fr-FR"/>
        </w:rPr>
        <w:t xml:space="preserve">traite des problèmes majeurs </w:t>
      </w:r>
      <w:r w:rsidR="00C46F16">
        <w:rPr>
          <w:lang w:val="fr-FR"/>
        </w:rPr>
        <w:t>et</w:t>
      </w:r>
      <w:r w:rsidR="006B25C3">
        <w:rPr>
          <w:lang w:val="fr-FR"/>
        </w:rPr>
        <w:t xml:space="preserve"> orient</w:t>
      </w:r>
      <w:r w:rsidR="00C46F16">
        <w:rPr>
          <w:lang w:val="fr-FR"/>
        </w:rPr>
        <w:t>e</w:t>
      </w:r>
      <w:r w:rsidR="006B25C3">
        <w:rPr>
          <w:lang w:val="fr-FR"/>
        </w:rPr>
        <w:t xml:space="preserve"> </w:t>
      </w:r>
      <w:r w:rsidR="00C46F16">
        <w:rPr>
          <w:lang w:val="fr-FR"/>
        </w:rPr>
        <w:t>l</w:t>
      </w:r>
      <w:r w:rsidR="006B25C3">
        <w:rPr>
          <w:lang w:val="fr-FR"/>
        </w:rPr>
        <w:t>es détenues</w:t>
      </w:r>
      <w:r w:rsidR="00C46F16">
        <w:rPr>
          <w:lang w:val="fr-FR"/>
        </w:rPr>
        <w:t xml:space="preserve"> qui ont besoin d’aide dans des domaines tels que le comportement délinquant, les addictions, l’apprentissage et les compétences, l’emploi et les liens familiaux. Il prépare également les femmes à leur libération, </w:t>
      </w:r>
      <w:r w:rsidR="0057107D">
        <w:rPr>
          <w:lang w:val="fr-FR"/>
        </w:rPr>
        <w:t xml:space="preserve">y compris celles qui sont libérées sur autorisation particulière </w:t>
      </w:r>
      <w:r w:rsidR="001C18EF">
        <w:rPr>
          <w:lang w:val="fr-FR"/>
        </w:rPr>
        <w:t>ou sur instruction</w:t>
      </w:r>
      <w:r w:rsidR="00B208A9">
        <w:rPr>
          <w:lang w:val="fr-FR"/>
        </w:rPr>
        <w:t xml:space="preserve"> de la</w:t>
      </w:r>
      <w:r w:rsidR="0057107D">
        <w:rPr>
          <w:lang w:val="fr-FR"/>
        </w:rPr>
        <w:t xml:space="preserve"> Commiss</w:t>
      </w:r>
      <w:r w:rsidR="00B208A9">
        <w:rPr>
          <w:lang w:val="fr-FR"/>
        </w:rPr>
        <w:t>ion de</w:t>
      </w:r>
      <w:r w:rsidR="00745B56">
        <w:rPr>
          <w:lang w:val="fr-FR"/>
        </w:rPr>
        <w:t>s</w:t>
      </w:r>
      <w:r w:rsidR="00B208A9">
        <w:rPr>
          <w:lang w:val="fr-FR"/>
        </w:rPr>
        <w:t xml:space="preserve"> </w:t>
      </w:r>
      <w:r w:rsidR="0057107D">
        <w:rPr>
          <w:lang w:val="fr-FR"/>
        </w:rPr>
        <w:t>libération</w:t>
      </w:r>
      <w:r w:rsidR="00745B56">
        <w:rPr>
          <w:lang w:val="fr-FR"/>
        </w:rPr>
        <w:t>s</w:t>
      </w:r>
      <w:r w:rsidR="0057107D">
        <w:rPr>
          <w:lang w:val="fr-FR"/>
        </w:rPr>
        <w:t xml:space="preserve"> conditionnelle</w:t>
      </w:r>
      <w:r w:rsidR="00745B56">
        <w:rPr>
          <w:lang w:val="fr-FR"/>
        </w:rPr>
        <w:t>s</w:t>
      </w:r>
      <w:r w:rsidR="000B562B" w:rsidRPr="00A176EA">
        <w:rPr>
          <w:lang w:val="fr-FR"/>
        </w:rPr>
        <w:t xml:space="preserve">. </w:t>
      </w:r>
      <w:r w:rsidR="003736FF">
        <w:rPr>
          <w:lang w:val="fr-FR"/>
        </w:rPr>
        <w:t xml:space="preserve">Le Groupe de gestion désigne </w:t>
      </w:r>
      <w:r w:rsidR="00F872D2">
        <w:rPr>
          <w:lang w:val="fr-FR"/>
        </w:rPr>
        <w:t>pour chaque détenue un</w:t>
      </w:r>
      <w:r w:rsidR="003736FF">
        <w:rPr>
          <w:lang w:val="fr-FR"/>
        </w:rPr>
        <w:t xml:space="preserve"> </w:t>
      </w:r>
      <w:r w:rsidR="00A26E5E">
        <w:rPr>
          <w:lang w:val="fr-FR"/>
        </w:rPr>
        <w:t>G</w:t>
      </w:r>
      <w:r w:rsidR="003736FF">
        <w:rPr>
          <w:lang w:val="fr-FR"/>
        </w:rPr>
        <w:t xml:space="preserve">estionnaire de peine et </w:t>
      </w:r>
      <w:r w:rsidR="00F872D2">
        <w:rPr>
          <w:lang w:val="fr-FR"/>
        </w:rPr>
        <w:t xml:space="preserve">un </w:t>
      </w:r>
      <w:r w:rsidR="00A26E5E">
        <w:rPr>
          <w:lang w:val="fr-FR"/>
        </w:rPr>
        <w:t>G</w:t>
      </w:r>
      <w:r w:rsidR="00F872D2">
        <w:rPr>
          <w:lang w:val="fr-FR"/>
        </w:rPr>
        <w:t xml:space="preserve">estionnaire </w:t>
      </w:r>
      <w:r w:rsidR="003736FF">
        <w:rPr>
          <w:lang w:val="fr-FR"/>
        </w:rPr>
        <w:t xml:space="preserve">de cas </w:t>
      </w:r>
      <w:r w:rsidR="00F872D2">
        <w:rPr>
          <w:lang w:val="fr-FR"/>
        </w:rPr>
        <w:t xml:space="preserve">chargés de </w:t>
      </w:r>
      <w:r w:rsidR="00DF45C7">
        <w:rPr>
          <w:lang w:val="fr-FR"/>
        </w:rPr>
        <w:t>préparer</w:t>
      </w:r>
      <w:r w:rsidR="00800A1B">
        <w:rPr>
          <w:lang w:val="fr-FR"/>
        </w:rPr>
        <w:t xml:space="preserve"> </w:t>
      </w:r>
      <w:r w:rsidR="00DF45C7">
        <w:rPr>
          <w:lang w:val="fr-FR"/>
        </w:rPr>
        <w:t>l</w:t>
      </w:r>
      <w:r w:rsidR="00800A1B">
        <w:rPr>
          <w:lang w:val="fr-FR"/>
        </w:rPr>
        <w:t xml:space="preserve">es modalités de libération et </w:t>
      </w:r>
      <w:r w:rsidR="00DF45C7">
        <w:rPr>
          <w:lang w:val="fr-FR"/>
        </w:rPr>
        <w:t>le</w:t>
      </w:r>
      <w:r w:rsidR="00800A1B">
        <w:rPr>
          <w:lang w:val="fr-FR"/>
        </w:rPr>
        <w:t xml:space="preserve"> plan de surveillance avec le personnel en milieu ouvert. </w:t>
      </w:r>
      <w:r w:rsidR="00A26E5E">
        <w:rPr>
          <w:lang w:val="fr-FR"/>
        </w:rPr>
        <w:t xml:space="preserve">Au moment voulu, pendant la détention, les gestionnaires préparent </w:t>
      </w:r>
      <w:r w:rsidR="00745B7E">
        <w:rPr>
          <w:lang w:val="fr-FR"/>
        </w:rPr>
        <w:t xml:space="preserve">à leur réinsertion </w:t>
      </w:r>
      <w:r w:rsidR="00A26E5E">
        <w:rPr>
          <w:lang w:val="fr-FR"/>
        </w:rPr>
        <w:t>les détenues libérables et évaluent dans quelle mesure elles sont prêtes à retourner dans la société</w:t>
      </w:r>
      <w:r w:rsidR="000B562B" w:rsidRPr="00A176EA">
        <w:rPr>
          <w:lang w:val="fr-FR"/>
        </w:rPr>
        <w:t>.</w:t>
      </w:r>
    </w:p>
    <w:p w:rsidR="000B562B" w:rsidRPr="00A176EA" w:rsidRDefault="002549A9" w:rsidP="004F7BB6">
      <w:pPr>
        <w:pStyle w:val="SingleTxtG"/>
        <w:rPr>
          <w:lang w:val="fr-FR"/>
        </w:rPr>
      </w:pPr>
      <w:r w:rsidRPr="00A176EA">
        <w:rPr>
          <w:lang w:val="fr-FR"/>
        </w:rPr>
        <w:t>99.</w:t>
      </w:r>
      <w:r w:rsidRPr="00A176EA">
        <w:rPr>
          <w:lang w:val="fr-FR"/>
        </w:rPr>
        <w:tab/>
      </w:r>
      <w:r w:rsidR="00A26E5E">
        <w:rPr>
          <w:lang w:val="fr-FR"/>
        </w:rPr>
        <w:t xml:space="preserve">D’importants progrès ont été accomplis en matière de liens familiaux. </w:t>
      </w:r>
      <w:r w:rsidR="00A26E5E" w:rsidRPr="00A26E5E">
        <w:rPr>
          <w:lang w:val="fr-FR"/>
        </w:rPr>
        <w:t>L’</w:t>
      </w:r>
      <w:r w:rsidR="008F3DA4" w:rsidRPr="00A26E5E">
        <w:rPr>
          <w:lang w:val="fr-FR"/>
        </w:rPr>
        <w:t>Administration pénitentiaire d’Irlande du Nord</w:t>
      </w:r>
      <w:r w:rsidR="000B562B" w:rsidRPr="00A176EA">
        <w:rPr>
          <w:lang w:val="fr-FR"/>
        </w:rPr>
        <w:t xml:space="preserve"> </w:t>
      </w:r>
      <w:r w:rsidR="00EF19E2">
        <w:rPr>
          <w:lang w:val="fr-FR"/>
        </w:rPr>
        <w:t xml:space="preserve">a travaillé avec Barnardos pour élaborer une Stratégie familiale globale, </w:t>
      </w:r>
      <w:r w:rsidR="002C7072">
        <w:rPr>
          <w:lang w:val="fr-FR"/>
        </w:rPr>
        <w:t xml:space="preserve">qui consiste essentiellement à fournir </w:t>
      </w:r>
      <w:r w:rsidR="00745B7E">
        <w:rPr>
          <w:lang w:val="fr-FR"/>
        </w:rPr>
        <w:t xml:space="preserve">aux familles </w:t>
      </w:r>
      <w:r w:rsidR="002C7072">
        <w:rPr>
          <w:lang w:val="fr-FR"/>
        </w:rPr>
        <w:t xml:space="preserve">des informations, des conseils et un soutien, et à </w:t>
      </w:r>
      <w:r w:rsidR="001E528B">
        <w:rPr>
          <w:lang w:val="fr-FR"/>
        </w:rPr>
        <w:t>les aider pour ce qui concerne les visites, dont organiser les visites familiales et les programmes familiaux. Parmi les nouvelles initiatives, un Groupe d’aide aux familles réunit une fois par mois le directeur d’</w:t>
      </w:r>
      <w:r w:rsidR="004B2B79">
        <w:rPr>
          <w:lang w:val="fr-FR"/>
        </w:rPr>
        <w:t>établissement, l’agent chargé de l’organisation</w:t>
      </w:r>
      <w:r w:rsidR="004F7BB6">
        <w:rPr>
          <w:lang w:val="fr-FR"/>
        </w:rPr>
        <w:t xml:space="preserve"> </w:t>
      </w:r>
      <w:r w:rsidR="004B2B79" w:rsidRPr="004B2B79">
        <w:rPr>
          <w:lang w:val="fr-FR"/>
        </w:rPr>
        <w:t>des visites</w:t>
      </w:r>
      <w:r w:rsidR="004F7BB6" w:rsidRPr="004B2B79">
        <w:rPr>
          <w:lang w:val="fr-FR"/>
        </w:rPr>
        <w:t xml:space="preserve"> </w:t>
      </w:r>
      <w:r w:rsidR="004F7BB6">
        <w:rPr>
          <w:lang w:val="fr-FR"/>
        </w:rPr>
        <w:t xml:space="preserve">et les membres de la famille. Cela permet à la famille de poser des questions, de faire part à l’établissement de ses observations sur le déroulement des visites et de suggérer des améliorations. </w:t>
      </w:r>
      <w:r w:rsidR="004F7BB6" w:rsidRPr="004F7BB6">
        <w:rPr>
          <w:lang w:val="fr-FR"/>
        </w:rPr>
        <w:t>Il est prévu de faire évoluer la Stratégie familiale à mesure des nouvelles initiatives et de la faire progresser grâce à un travail coordonné avec plusieurs organismes, dont Barnardos, NIACRO, le Quaker Service et l’</w:t>
      </w:r>
      <w:r w:rsidR="008F3DA4" w:rsidRPr="004F7BB6">
        <w:rPr>
          <w:lang w:val="fr-FR"/>
        </w:rPr>
        <w:t>Administration pénitentiaire d’Irlande du Nord</w:t>
      </w:r>
      <w:r w:rsidR="000B562B" w:rsidRPr="004F7BB6">
        <w:rPr>
          <w:lang w:val="fr-FR"/>
        </w:rPr>
        <w:t>.</w:t>
      </w:r>
    </w:p>
    <w:p w:rsidR="000B562B" w:rsidRPr="00A176EA" w:rsidRDefault="002549A9" w:rsidP="00636DF7">
      <w:pPr>
        <w:pStyle w:val="SingleTxtG"/>
        <w:rPr>
          <w:lang w:val="fr-FR"/>
        </w:rPr>
      </w:pPr>
      <w:r w:rsidRPr="00A176EA">
        <w:rPr>
          <w:lang w:val="fr-FR"/>
        </w:rPr>
        <w:t>100.</w:t>
      </w:r>
      <w:r w:rsidRPr="00A176EA">
        <w:rPr>
          <w:lang w:val="fr-FR"/>
        </w:rPr>
        <w:tab/>
      </w:r>
      <w:r w:rsidR="00FC3843">
        <w:rPr>
          <w:lang w:val="fr-FR"/>
        </w:rPr>
        <w:t>Parmi les progrès accomplis, le système des visites a été amélioré par l’introduction</w:t>
      </w:r>
      <w:r w:rsidR="009D4FD8" w:rsidRPr="009D4FD8">
        <w:rPr>
          <w:lang w:val="fr-FR"/>
        </w:rPr>
        <w:t xml:space="preserve"> </w:t>
      </w:r>
      <w:r w:rsidR="009D4FD8">
        <w:rPr>
          <w:lang w:val="fr-FR"/>
        </w:rPr>
        <w:t>à Ash House</w:t>
      </w:r>
      <w:r w:rsidR="00FC3843">
        <w:rPr>
          <w:lang w:val="fr-FR"/>
        </w:rPr>
        <w:t xml:space="preserve">, en décembre 2009, du Programme élargi de visites pour les mères et les enfants. Ce programme permet aux mères de voir leurs enfants sans surveillance pendant une durée pouvant atteindre six heures dans un bâtiment sûr adjacent à Ash House. Ce lieu s’efforce de reproduire un </w:t>
      </w:r>
      <w:r w:rsidR="009D4FD8">
        <w:rPr>
          <w:lang w:val="fr-FR"/>
        </w:rPr>
        <w:t>environnement confortable</w:t>
      </w:r>
      <w:r w:rsidR="00636DF7">
        <w:rPr>
          <w:lang w:val="fr-FR"/>
        </w:rPr>
        <w:t xml:space="preserve"> et </w:t>
      </w:r>
      <w:r w:rsidR="009B035C">
        <w:rPr>
          <w:lang w:val="fr-FR"/>
        </w:rPr>
        <w:t xml:space="preserve">familial </w:t>
      </w:r>
      <w:r w:rsidR="00636DF7">
        <w:rPr>
          <w:lang w:val="fr-FR"/>
        </w:rPr>
        <w:t>ressemblant à un foyer</w:t>
      </w:r>
      <w:r w:rsidR="004B2B79">
        <w:rPr>
          <w:lang w:val="fr-FR"/>
        </w:rPr>
        <w:t>,</w:t>
      </w:r>
      <w:r w:rsidR="00636DF7">
        <w:rPr>
          <w:lang w:val="fr-FR"/>
        </w:rPr>
        <w:t xml:space="preserve"> et vise à </w:t>
      </w:r>
      <w:r w:rsidR="004B2B79">
        <w:rPr>
          <w:lang w:val="fr-FR"/>
        </w:rPr>
        <w:t>ce</w:t>
      </w:r>
      <w:r w:rsidR="00636DF7">
        <w:rPr>
          <w:lang w:val="fr-FR"/>
        </w:rPr>
        <w:t xml:space="preserve"> que les détenues puissent développer et maintenir des liens avec leurs enfants. Les visites donnent aux mères la possibilité de faire des activités positives avec leurs enfants et de nouer avec eux des liens impossibles dans le cadre des visites normales</w:t>
      </w:r>
      <w:r w:rsidR="000B562B" w:rsidRPr="00A176EA">
        <w:rPr>
          <w:lang w:val="fr-FR"/>
        </w:rPr>
        <w:t>.</w:t>
      </w:r>
    </w:p>
    <w:p w:rsidR="000B562B" w:rsidRPr="00A176EA" w:rsidRDefault="002549A9" w:rsidP="00732870">
      <w:pPr>
        <w:pStyle w:val="SingleTxtG"/>
        <w:rPr>
          <w:lang w:val="fr-FR"/>
        </w:rPr>
      </w:pPr>
      <w:r w:rsidRPr="00A176EA">
        <w:rPr>
          <w:lang w:val="fr-FR"/>
        </w:rPr>
        <w:t>101.</w:t>
      </w:r>
      <w:r w:rsidRPr="00A176EA">
        <w:rPr>
          <w:lang w:val="fr-FR"/>
        </w:rPr>
        <w:tab/>
      </w:r>
      <w:r w:rsidR="00636DF7">
        <w:rPr>
          <w:lang w:val="fr-FR"/>
        </w:rPr>
        <w:t>Les autres améliorations comprennent</w:t>
      </w:r>
      <w:r w:rsidR="00FC2B97">
        <w:rPr>
          <w:lang w:val="fr-FR"/>
        </w:rPr>
        <w:t>:</w:t>
      </w:r>
    </w:p>
    <w:p w:rsidR="000B562B" w:rsidRPr="00A176EA" w:rsidRDefault="00E05CBF" w:rsidP="00BC0033">
      <w:pPr>
        <w:pStyle w:val="Bullet1G"/>
      </w:pPr>
      <w:r>
        <w:t>un programme continu</w:t>
      </w:r>
      <w:r w:rsidR="00636DF7">
        <w:t xml:space="preserve"> de formation sexospécifique pour le personnel travaillant auprès de détenues</w:t>
      </w:r>
      <w:r w:rsidR="00FC2B97">
        <w:t>;</w:t>
      </w:r>
    </w:p>
    <w:p w:rsidR="000B562B" w:rsidRPr="00A176EA" w:rsidRDefault="00E05CBF" w:rsidP="00BC0033">
      <w:pPr>
        <w:pStyle w:val="Bullet1G"/>
      </w:pPr>
      <w:r>
        <w:t xml:space="preserve">de nouvelles procédures de fouilles moins </w:t>
      </w:r>
      <w:r w:rsidR="000B562B" w:rsidRPr="00A176EA">
        <w:t>intrusive</w:t>
      </w:r>
      <w:r>
        <w:t>s pour les détenues</w:t>
      </w:r>
      <w:r w:rsidR="00FC2B97">
        <w:t>;</w:t>
      </w:r>
    </w:p>
    <w:p w:rsidR="000B562B" w:rsidRPr="00A176EA" w:rsidRDefault="00040513" w:rsidP="00BC0033">
      <w:pPr>
        <w:pStyle w:val="Bullet1G"/>
      </w:pPr>
      <w:r>
        <w:t>le traitement distinct des femmes au sein du Modèle de parcours de réinsertion, qui compte deux nouveaux éléments très importants pour elles</w:t>
      </w:r>
      <w:r w:rsidR="00FC2B97">
        <w:t>:</w:t>
      </w:r>
      <w:r>
        <w:t xml:space="preserve"> soutien à celles qui ont été maltraitées, violées ou victimes de violence </w:t>
      </w:r>
      <w:r w:rsidR="004B2B79">
        <w:t>familiale</w:t>
      </w:r>
      <w:r>
        <w:t xml:space="preserve"> (Élément 8) et soutien à celles qui ont vécu la prostitution (Élément 9). Cela fournit un cadre stratégique pour progresser sur ces questions</w:t>
      </w:r>
      <w:r w:rsidR="00FC2B97">
        <w:t>;</w:t>
      </w:r>
    </w:p>
    <w:p w:rsidR="000B562B" w:rsidRPr="00A176EA" w:rsidRDefault="00040513" w:rsidP="00BC0033">
      <w:pPr>
        <w:pStyle w:val="Bullet1G"/>
      </w:pPr>
      <w:r>
        <w:t>l’</w:t>
      </w:r>
      <w:r w:rsidR="000B562B" w:rsidRPr="00A176EA">
        <w:t xml:space="preserve">introduction </w:t>
      </w:r>
      <w:r>
        <w:t xml:space="preserve">d’une initiative de réinsertion directement liée à un nouveau projet </w:t>
      </w:r>
      <w:r w:rsidR="009A581F">
        <w:t>pour les femmes mené par les services de probation, qui garantit un soutien continu aux femmes libérées et leur permet de sortir de prison en ayant établ</w:t>
      </w:r>
      <w:r w:rsidR="004B2B79">
        <w:t xml:space="preserve">i des liens dans la communauté </w:t>
      </w:r>
      <w:r w:rsidR="009A581F">
        <w:t>et des relations qui les aideront à maintenir ces liens positifs</w:t>
      </w:r>
      <w:r w:rsidR="00FC2B97">
        <w:t>;</w:t>
      </w:r>
      <w:r w:rsidR="009A581F">
        <w:t xml:space="preserve"> et</w:t>
      </w:r>
    </w:p>
    <w:p w:rsidR="000B562B" w:rsidRPr="00A176EA" w:rsidRDefault="00C574E7" w:rsidP="00BC0033">
      <w:pPr>
        <w:pStyle w:val="Bullet1G"/>
      </w:pPr>
      <w:r>
        <w:t xml:space="preserve">la mise en place </w:t>
      </w:r>
      <w:r w:rsidR="00E74AAB">
        <w:t>à l’intention</w:t>
      </w:r>
      <w:r>
        <w:t xml:space="preserve"> </w:t>
      </w:r>
      <w:r w:rsidR="00E74AAB">
        <w:t>d</w:t>
      </w:r>
      <w:r>
        <w:t>es détenues d’initiatives individualisées d’apprentissage et d’acquisition de compétences, d’emploi et de gestion de l’argent et de l’endettement</w:t>
      </w:r>
      <w:r w:rsidR="000B562B" w:rsidRPr="00A176EA">
        <w:t>.</w:t>
      </w:r>
    </w:p>
    <w:p w:rsidR="000B562B" w:rsidRPr="00A176EA" w:rsidRDefault="002549A9" w:rsidP="00C574E7">
      <w:pPr>
        <w:pStyle w:val="SingleTxtG"/>
        <w:rPr>
          <w:lang w:val="fr-FR"/>
        </w:rPr>
      </w:pPr>
      <w:r w:rsidRPr="00A176EA">
        <w:rPr>
          <w:lang w:val="fr-FR"/>
        </w:rPr>
        <w:t>102.</w:t>
      </w:r>
      <w:r w:rsidRPr="00A176EA">
        <w:rPr>
          <w:lang w:val="fr-FR"/>
        </w:rPr>
        <w:tab/>
      </w:r>
      <w:r w:rsidR="00C574E7">
        <w:rPr>
          <w:lang w:val="fr-FR"/>
        </w:rPr>
        <w:t>D’autres initiatives, orientations et procédures sexospécifiques sont en cours d’élaboration</w:t>
      </w:r>
      <w:r w:rsidR="00E74AAB" w:rsidRPr="00E74AAB">
        <w:rPr>
          <w:lang w:val="fr-FR"/>
        </w:rPr>
        <w:t xml:space="preserve"> </w:t>
      </w:r>
      <w:r w:rsidR="00E74AAB">
        <w:rPr>
          <w:lang w:val="fr-FR"/>
        </w:rPr>
        <w:t>pour Ash House</w:t>
      </w:r>
      <w:r w:rsidR="00C574E7">
        <w:rPr>
          <w:lang w:val="fr-FR"/>
        </w:rPr>
        <w:t>, en étroite concertation avec les personnels et les détenues</w:t>
      </w:r>
      <w:r w:rsidR="000B562B" w:rsidRPr="00A176EA">
        <w:rPr>
          <w:lang w:val="fr-FR"/>
        </w:rPr>
        <w:t>.</w:t>
      </w:r>
    </w:p>
    <w:p w:rsidR="000B562B" w:rsidRPr="00A176EA" w:rsidRDefault="002549A9" w:rsidP="0005042E">
      <w:pPr>
        <w:pStyle w:val="SingleTxtG"/>
        <w:rPr>
          <w:lang w:val="fr-FR"/>
        </w:rPr>
      </w:pPr>
      <w:r w:rsidRPr="00A176EA">
        <w:rPr>
          <w:lang w:val="fr-FR"/>
        </w:rPr>
        <w:t>103.</w:t>
      </w:r>
      <w:r w:rsidRPr="00A176EA">
        <w:rPr>
          <w:lang w:val="fr-FR"/>
        </w:rPr>
        <w:tab/>
      </w:r>
      <w:r w:rsidR="00C574E7">
        <w:rPr>
          <w:lang w:val="fr-FR"/>
        </w:rPr>
        <w:t xml:space="preserve">La rénovation du centre de soins </w:t>
      </w:r>
      <w:r w:rsidR="005C1751">
        <w:rPr>
          <w:lang w:val="fr-FR"/>
        </w:rPr>
        <w:t>en vue de</w:t>
      </w:r>
      <w:r w:rsidR="00C574E7">
        <w:rPr>
          <w:lang w:val="fr-FR"/>
        </w:rPr>
        <w:t xml:space="preserve"> créer des installations adaptées aux détenues a été achevée en février 2009. </w:t>
      </w:r>
      <w:r w:rsidR="00C574E7" w:rsidRPr="002C41FD">
        <w:rPr>
          <w:lang w:val="fr-FR"/>
        </w:rPr>
        <w:t xml:space="preserve">Depuis que la responsabilité des soins a été transférée au Ministère de la </w:t>
      </w:r>
      <w:r w:rsidR="002C41FD" w:rsidRPr="002C41FD">
        <w:rPr>
          <w:lang w:val="fr-FR"/>
        </w:rPr>
        <w:t xml:space="preserve">santé, des services sociaux et de la sécurité publique, en avril 2008, le </w:t>
      </w:r>
      <w:r w:rsidR="000B562B" w:rsidRPr="002C41FD">
        <w:rPr>
          <w:color w:val="000000"/>
          <w:lang w:val="fr-FR"/>
        </w:rPr>
        <w:t xml:space="preserve">South Eastern Health &amp; Social Care Trust </w:t>
      </w:r>
      <w:r w:rsidR="002C41FD" w:rsidRPr="002C41FD">
        <w:rPr>
          <w:color w:val="000000"/>
          <w:lang w:val="fr-FR"/>
        </w:rPr>
        <w:t>travaille en partenariat avec l’</w:t>
      </w:r>
      <w:r w:rsidR="008F3DA4" w:rsidRPr="002C41FD">
        <w:rPr>
          <w:lang w:val="fr-FR"/>
        </w:rPr>
        <w:t>Administration pénitentiaire d’Irlande du Nord</w:t>
      </w:r>
      <w:r w:rsidR="000B562B" w:rsidRPr="002C41FD">
        <w:rPr>
          <w:color w:val="000000"/>
          <w:lang w:val="fr-FR"/>
        </w:rPr>
        <w:t xml:space="preserve"> </w:t>
      </w:r>
      <w:r w:rsidR="002C41FD" w:rsidRPr="002C41FD">
        <w:rPr>
          <w:color w:val="000000"/>
          <w:lang w:val="fr-FR"/>
        </w:rPr>
        <w:t>pour mettre au point une Stratégie des soins de santé en prison pour 2009-2014.</w:t>
      </w:r>
      <w:r w:rsidR="002C41FD">
        <w:rPr>
          <w:color w:val="000000"/>
          <w:lang w:val="fr-FR"/>
        </w:rPr>
        <w:t xml:space="preserve"> Cette stratégie vise à </w:t>
      </w:r>
      <w:r w:rsidR="0005042E">
        <w:rPr>
          <w:color w:val="000000"/>
          <w:lang w:val="fr-FR"/>
        </w:rPr>
        <w:t>fournir</w:t>
      </w:r>
      <w:r w:rsidR="002C41FD">
        <w:rPr>
          <w:color w:val="000000"/>
          <w:lang w:val="fr-FR"/>
        </w:rPr>
        <w:t xml:space="preserve"> un mécanisme efficace pour répondre aux besoins de santé des détenues, dont de</w:t>
      </w:r>
      <w:r w:rsidR="0005042E">
        <w:rPr>
          <w:color w:val="000000"/>
          <w:lang w:val="fr-FR"/>
        </w:rPr>
        <w:t>s</w:t>
      </w:r>
      <w:r w:rsidR="002C41FD">
        <w:rPr>
          <w:color w:val="000000"/>
          <w:lang w:val="fr-FR"/>
        </w:rPr>
        <w:t xml:space="preserve"> services sexospécifiques</w:t>
      </w:r>
      <w:r w:rsidR="0005042E">
        <w:rPr>
          <w:color w:val="000000"/>
          <w:lang w:val="fr-FR"/>
        </w:rPr>
        <w:t xml:space="preserve">, et des interventions pour </w:t>
      </w:r>
      <w:r w:rsidR="00804AC7">
        <w:rPr>
          <w:color w:val="000000"/>
          <w:lang w:val="fr-FR"/>
        </w:rPr>
        <w:t>les satisfaire</w:t>
      </w:r>
      <w:r w:rsidR="0005042E">
        <w:rPr>
          <w:color w:val="000000"/>
          <w:lang w:val="fr-FR"/>
        </w:rPr>
        <w:t>. Son objectif est de traiter les questions telles que les besoins en santé mentale et de faire intervenir les différents organismes dans les domaines de la santé mentale, des troubles de la personnalité, des addictions et de la promotion de la santé et du bien-être des femmes</w:t>
      </w:r>
      <w:r w:rsidR="000B562B" w:rsidRPr="00A176EA">
        <w:rPr>
          <w:bCs/>
          <w:lang w:val="fr-FR"/>
        </w:rPr>
        <w:t>.</w:t>
      </w:r>
    </w:p>
    <w:p w:rsidR="000B562B" w:rsidRPr="00A176EA" w:rsidRDefault="00732870" w:rsidP="00732870">
      <w:pPr>
        <w:pStyle w:val="SingleTxtG"/>
        <w:ind w:firstLine="567"/>
        <w:rPr>
          <w:b/>
          <w:lang w:val="fr-FR"/>
        </w:rPr>
      </w:pPr>
      <w:r w:rsidRPr="0005042E">
        <w:rPr>
          <w:b/>
          <w:lang w:val="fr-FR"/>
        </w:rPr>
        <w:t>h)</w:t>
      </w:r>
      <w:r w:rsidRPr="0005042E">
        <w:rPr>
          <w:b/>
          <w:lang w:val="fr-FR"/>
        </w:rPr>
        <w:tab/>
      </w:r>
      <w:r w:rsidR="002D62E5">
        <w:rPr>
          <w:b/>
          <w:lang w:val="fr-FR"/>
        </w:rPr>
        <w:t>C</w:t>
      </w:r>
      <w:r w:rsidR="00326650" w:rsidRPr="0005042E">
        <w:rPr>
          <w:b/>
          <w:lang w:val="fr-FR"/>
        </w:rPr>
        <w:t>as signalés de bizutage suivi de lésions auto-infligées et de suicides dans les forces armées, et la nécessité de procéder à une enquête publique approfondie sur ces incidents et de prendre les mesures préventives qui s’imposent</w:t>
      </w:r>
      <w:r w:rsidR="000B562B" w:rsidRPr="0005042E">
        <w:rPr>
          <w:b/>
          <w:lang w:val="fr-FR"/>
        </w:rPr>
        <w:t>.</w:t>
      </w:r>
    </w:p>
    <w:p w:rsidR="000B562B" w:rsidRPr="00A176EA" w:rsidRDefault="002549A9" w:rsidP="00964368">
      <w:pPr>
        <w:pStyle w:val="SingleTxtG"/>
        <w:rPr>
          <w:lang w:val="fr-FR"/>
        </w:rPr>
      </w:pPr>
      <w:r w:rsidRPr="00A176EA">
        <w:rPr>
          <w:lang w:val="fr-FR"/>
        </w:rPr>
        <w:t>104.</w:t>
      </w:r>
      <w:r w:rsidRPr="00A176EA">
        <w:rPr>
          <w:lang w:val="fr-FR"/>
        </w:rPr>
        <w:tab/>
      </w:r>
      <w:r w:rsidR="0005042E">
        <w:rPr>
          <w:lang w:val="fr-FR"/>
        </w:rPr>
        <w:t xml:space="preserve">La </w:t>
      </w:r>
      <w:r w:rsidR="00C8414E">
        <w:rPr>
          <w:lang w:val="fr-FR"/>
        </w:rPr>
        <w:t>nécessité</w:t>
      </w:r>
      <w:r w:rsidR="0005042E">
        <w:rPr>
          <w:lang w:val="fr-FR"/>
        </w:rPr>
        <w:t xml:space="preserve"> d</w:t>
      </w:r>
      <w:r w:rsidR="00C8414E">
        <w:rPr>
          <w:lang w:val="fr-FR"/>
        </w:rPr>
        <w:t xml:space="preserve">e procéder à </w:t>
      </w:r>
      <w:r w:rsidR="0005042E">
        <w:rPr>
          <w:lang w:val="fr-FR"/>
        </w:rPr>
        <w:t xml:space="preserve">une enquête publique approfondie sur les cas de bizutage a été examinée avec soin par </w:t>
      </w:r>
      <w:r w:rsidR="00A109A5">
        <w:rPr>
          <w:lang w:val="fr-FR"/>
        </w:rPr>
        <w:t xml:space="preserve">Nicholas Blake, Queen’s Counsel, dans son </w:t>
      </w:r>
      <w:r w:rsidR="00943754">
        <w:rPr>
          <w:lang w:val="fr-FR"/>
        </w:rPr>
        <w:t>enquête</w:t>
      </w:r>
      <w:r w:rsidR="00A109A5">
        <w:rPr>
          <w:lang w:val="fr-FR"/>
        </w:rPr>
        <w:t xml:space="preserve"> </w:t>
      </w:r>
      <w:r w:rsidR="0073134B">
        <w:rPr>
          <w:lang w:val="fr-FR"/>
        </w:rPr>
        <w:t>sur l</w:t>
      </w:r>
      <w:r w:rsidR="00A109A5">
        <w:rPr>
          <w:lang w:val="fr-FR"/>
        </w:rPr>
        <w:t xml:space="preserve">es décès de recrues à la caserne Princess Royal de </w:t>
      </w:r>
      <w:r w:rsidR="0005042E">
        <w:rPr>
          <w:lang w:val="fr-FR"/>
        </w:rPr>
        <w:t>Deepcut</w:t>
      </w:r>
      <w:r w:rsidR="000B562B" w:rsidRPr="00A176EA">
        <w:rPr>
          <w:rStyle w:val="FootnoteReference"/>
          <w:szCs w:val="22"/>
        </w:rPr>
        <w:footnoteReference w:id="9"/>
      </w:r>
      <w:r w:rsidR="0005042E">
        <w:rPr>
          <w:lang w:val="fr-FR"/>
        </w:rPr>
        <w:t>.</w:t>
      </w:r>
      <w:r w:rsidR="000B562B" w:rsidRPr="00A176EA">
        <w:rPr>
          <w:lang w:val="fr-FR"/>
        </w:rPr>
        <w:t xml:space="preserve"> </w:t>
      </w:r>
      <w:r w:rsidR="00943754">
        <w:rPr>
          <w:lang w:val="fr-FR"/>
        </w:rPr>
        <w:t>Celle-ci</w:t>
      </w:r>
      <w:r w:rsidR="00A109A5">
        <w:rPr>
          <w:lang w:val="fr-FR"/>
        </w:rPr>
        <w:t xml:space="preserve"> n’a révélé aucune preuve de complicité, de </w:t>
      </w:r>
      <w:r w:rsidR="006A3C5A">
        <w:rPr>
          <w:lang w:val="fr-FR"/>
        </w:rPr>
        <w:t>dissimulation</w:t>
      </w:r>
      <w:r w:rsidR="00943754">
        <w:rPr>
          <w:lang w:val="fr-FR"/>
        </w:rPr>
        <w:t xml:space="preserve"> </w:t>
      </w:r>
      <w:r w:rsidR="009D3631">
        <w:rPr>
          <w:lang w:val="fr-FR"/>
        </w:rPr>
        <w:t xml:space="preserve">des faits </w:t>
      </w:r>
      <w:r w:rsidR="00943754">
        <w:rPr>
          <w:lang w:val="fr-FR"/>
        </w:rPr>
        <w:t>ou</w:t>
      </w:r>
      <w:r w:rsidR="001A6214">
        <w:rPr>
          <w:lang w:val="fr-FR"/>
        </w:rPr>
        <w:t xml:space="preserve"> </w:t>
      </w:r>
      <w:r w:rsidR="0056004D">
        <w:rPr>
          <w:lang w:val="fr-FR"/>
        </w:rPr>
        <w:t xml:space="preserve">de manquement </w:t>
      </w:r>
      <w:r w:rsidR="00964368">
        <w:rPr>
          <w:lang w:val="fr-FR"/>
        </w:rPr>
        <w:t>à l’</w:t>
      </w:r>
      <w:r w:rsidR="0056004D">
        <w:rPr>
          <w:lang w:val="fr-FR"/>
        </w:rPr>
        <w:t>obligation</w:t>
      </w:r>
      <w:r w:rsidR="00964368">
        <w:rPr>
          <w:lang w:val="fr-FR"/>
        </w:rPr>
        <w:t xml:space="preserve"> </w:t>
      </w:r>
      <w:r w:rsidR="0056004D">
        <w:rPr>
          <w:lang w:val="fr-FR"/>
        </w:rPr>
        <w:t xml:space="preserve">légale de </w:t>
      </w:r>
      <w:r w:rsidR="009D3631">
        <w:rPr>
          <w:lang w:val="fr-FR"/>
        </w:rPr>
        <w:t>protection</w:t>
      </w:r>
      <w:r w:rsidR="0056004D">
        <w:rPr>
          <w:lang w:val="fr-FR"/>
        </w:rPr>
        <w:t xml:space="preserve"> ni aucun </w:t>
      </w:r>
      <w:r w:rsidR="0073134B">
        <w:rPr>
          <w:lang w:val="fr-FR"/>
        </w:rPr>
        <w:t>défaut de prévision ou de prévention</w:t>
      </w:r>
      <w:r w:rsidR="00943754">
        <w:rPr>
          <w:lang w:val="fr-FR"/>
        </w:rPr>
        <w:t xml:space="preserve"> </w:t>
      </w:r>
      <w:r w:rsidR="00964368">
        <w:rPr>
          <w:lang w:val="fr-FR"/>
        </w:rPr>
        <w:t>pour</w:t>
      </w:r>
      <w:r w:rsidR="00943754">
        <w:rPr>
          <w:lang w:val="fr-FR"/>
        </w:rPr>
        <w:t xml:space="preserve"> chacun de ces décès et a conclu qu’une enquête publique ne s’imposait pas. M. Blake et le Gouvernement estiment que, compte tenu de l’ampleur des enquêtes menées, ni l’intérêt général ni celui du </w:t>
      </w:r>
      <w:r w:rsidR="00DB3926">
        <w:rPr>
          <w:lang w:val="fr-FR"/>
        </w:rPr>
        <w:t>personnel militaire</w:t>
      </w:r>
      <w:r w:rsidR="00943754">
        <w:rPr>
          <w:lang w:val="fr-FR"/>
        </w:rPr>
        <w:t xml:space="preserve"> ne justifie</w:t>
      </w:r>
      <w:r w:rsidR="00943754" w:rsidRPr="00BF615C">
        <w:rPr>
          <w:lang w:val="fr-FR"/>
        </w:rPr>
        <w:t>nt</w:t>
      </w:r>
      <w:r w:rsidR="00943754">
        <w:rPr>
          <w:lang w:val="fr-FR"/>
        </w:rPr>
        <w:t xml:space="preserve"> une enquête publique. </w:t>
      </w:r>
      <w:r w:rsidR="00DB3926">
        <w:rPr>
          <w:lang w:val="fr-FR"/>
        </w:rPr>
        <w:t>La vocation d’u</w:t>
      </w:r>
      <w:r w:rsidR="00943754">
        <w:rPr>
          <w:lang w:val="fr-FR"/>
        </w:rPr>
        <w:t xml:space="preserve">ne telle enquête ne saurait </w:t>
      </w:r>
      <w:r w:rsidR="00DB3926">
        <w:rPr>
          <w:lang w:val="fr-FR"/>
        </w:rPr>
        <w:t>être</w:t>
      </w:r>
      <w:r w:rsidR="004A08D7">
        <w:rPr>
          <w:lang w:val="fr-FR"/>
        </w:rPr>
        <w:t xml:space="preserve"> </w:t>
      </w:r>
      <w:r w:rsidR="00943754">
        <w:rPr>
          <w:lang w:val="fr-FR"/>
        </w:rPr>
        <w:t xml:space="preserve">de réfuter les </w:t>
      </w:r>
      <w:r w:rsidR="004A08D7">
        <w:rPr>
          <w:lang w:val="fr-FR"/>
        </w:rPr>
        <w:t xml:space="preserve">affaires de harcèlement et de mauvais traitements relatées dans la presse. </w:t>
      </w:r>
      <w:r w:rsidR="00964368">
        <w:rPr>
          <w:lang w:val="fr-FR"/>
        </w:rPr>
        <w:t>Ces affaires doivent d’abord faire l’objet d’une enquête et d’un règlement au moyen des procédures en vigueur, qu’elles soient de nature pénale, civile ou disciplinaire</w:t>
      </w:r>
      <w:r w:rsidR="000B562B" w:rsidRPr="00A176EA">
        <w:rPr>
          <w:lang w:val="fr-FR"/>
        </w:rPr>
        <w:t>.</w:t>
      </w:r>
    </w:p>
    <w:p w:rsidR="000B562B" w:rsidRPr="00A176EA" w:rsidRDefault="002549A9" w:rsidP="00DD7D78">
      <w:pPr>
        <w:pStyle w:val="SingleTxtG"/>
        <w:rPr>
          <w:lang w:val="fr-FR"/>
        </w:rPr>
      </w:pPr>
      <w:r w:rsidRPr="00A176EA">
        <w:rPr>
          <w:lang w:val="fr-FR"/>
        </w:rPr>
        <w:t>105.</w:t>
      </w:r>
      <w:r w:rsidRPr="00A176EA">
        <w:rPr>
          <w:lang w:val="fr-FR"/>
        </w:rPr>
        <w:tab/>
      </w:r>
      <w:r w:rsidR="00964368">
        <w:rPr>
          <w:lang w:val="fr-FR"/>
        </w:rPr>
        <w:t xml:space="preserve">Les forces armées prennent leur devoir de </w:t>
      </w:r>
      <w:r w:rsidR="00DB3926">
        <w:rPr>
          <w:lang w:val="fr-FR"/>
        </w:rPr>
        <w:t>protection</w:t>
      </w:r>
      <w:r w:rsidR="00964368">
        <w:rPr>
          <w:lang w:val="fr-FR"/>
        </w:rPr>
        <w:t xml:space="preserve"> très au sérieux. Le bien-être du personnel est </w:t>
      </w:r>
      <w:r w:rsidR="00C73411">
        <w:rPr>
          <w:lang w:val="fr-FR"/>
        </w:rPr>
        <w:t xml:space="preserve">un aspect </w:t>
      </w:r>
      <w:r w:rsidR="00964368">
        <w:rPr>
          <w:lang w:val="fr-FR"/>
        </w:rPr>
        <w:t xml:space="preserve">essentiel </w:t>
      </w:r>
      <w:r w:rsidR="00C73411">
        <w:rPr>
          <w:lang w:val="fr-FR"/>
        </w:rPr>
        <w:t>d</w:t>
      </w:r>
      <w:r w:rsidR="00964368">
        <w:rPr>
          <w:lang w:val="fr-FR"/>
        </w:rPr>
        <w:t xml:space="preserve">es valeurs et </w:t>
      </w:r>
      <w:r w:rsidR="00C73411">
        <w:rPr>
          <w:lang w:val="fr-FR"/>
        </w:rPr>
        <w:t>d</w:t>
      </w:r>
      <w:r w:rsidR="00964368">
        <w:rPr>
          <w:lang w:val="fr-FR"/>
        </w:rPr>
        <w:t xml:space="preserve">es normes fondamentales des forces armées, qui </w:t>
      </w:r>
      <w:r w:rsidR="00C73411">
        <w:rPr>
          <w:lang w:val="fr-FR"/>
        </w:rPr>
        <w:t>visent</w:t>
      </w:r>
      <w:r w:rsidR="00693898">
        <w:rPr>
          <w:lang w:val="fr-FR"/>
        </w:rPr>
        <w:t xml:space="preserve"> </w:t>
      </w:r>
      <w:r w:rsidR="00C73411">
        <w:rPr>
          <w:lang w:val="fr-FR"/>
        </w:rPr>
        <w:t>à ce que</w:t>
      </w:r>
      <w:r w:rsidR="00964368">
        <w:rPr>
          <w:lang w:val="fr-FR"/>
        </w:rPr>
        <w:t xml:space="preserve"> l’ensemble des effectifs vive et travaille dans un milieu exempt de harcèlement, d’intimidation et de discrimination. Les </w:t>
      </w:r>
      <w:r w:rsidR="00EE35F5">
        <w:rPr>
          <w:lang w:val="fr-FR"/>
        </w:rPr>
        <w:t xml:space="preserve">forces armées prennent les </w:t>
      </w:r>
      <w:r w:rsidR="00964368">
        <w:rPr>
          <w:lang w:val="fr-FR"/>
        </w:rPr>
        <w:t xml:space="preserve">brimades et le harcèlement très </w:t>
      </w:r>
      <w:r w:rsidR="00EE35F5">
        <w:rPr>
          <w:lang w:val="fr-FR"/>
        </w:rPr>
        <w:t>a</w:t>
      </w:r>
      <w:r w:rsidR="00964368">
        <w:rPr>
          <w:lang w:val="fr-FR"/>
        </w:rPr>
        <w:t xml:space="preserve">u sérieux </w:t>
      </w:r>
      <w:r w:rsidR="00EE35F5">
        <w:rPr>
          <w:lang w:val="fr-FR"/>
        </w:rPr>
        <w:t xml:space="preserve">et les considèrent comme extrêmement préjudiciables à la cohésion d’équipe. Elles ne nient pas qu’il y </w:t>
      </w:r>
      <w:r w:rsidR="00DB3926">
        <w:rPr>
          <w:lang w:val="fr-FR"/>
        </w:rPr>
        <w:t>ait</w:t>
      </w:r>
      <w:r w:rsidR="00EE35F5">
        <w:rPr>
          <w:lang w:val="fr-FR"/>
        </w:rPr>
        <w:t xml:space="preserve"> des problèmes de bizutage dans ses rangs, comme dans le reste de la société. </w:t>
      </w:r>
      <w:r w:rsidR="00DB3926">
        <w:rPr>
          <w:lang w:val="fr-FR"/>
        </w:rPr>
        <w:t xml:space="preserve">Toutes les recrues et tous les stagiaires sont informés que l’armée ne tolère aucune forme de bizutage et de harcèlement. </w:t>
      </w:r>
      <w:r w:rsidR="00275E22">
        <w:rPr>
          <w:lang w:val="fr-FR"/>
        </w:rPr>
        <w:t xml:space="preserve">Au cours de la formation, il est indiqué clairement que tout soupçon de brimades doit être traité sans délai. L’ensemble du personnel militaire est informé que toute victime de bizutage ou de harcèlement peut déposer une plainte </w:t>
      </w:r>
      <w:r w:rsidR="00AB00A4">
        <w:rPr>
          <w:lang w:val="fr-FR"/>
        </w:rPr>
        <w:t xml:space="preserve">soit </w:t>
      </w:r>
      <w:r w:rsidR="00275E22">
        <w:rPr>
          <w:lang w:val="fr-FR"/>
        </w:rPr>
        <w:t xml:space="preserve">auprès de la hiérarchie, soit </w:t>
      </w:r>
      <w:r w:rsidR="00AB00A4">
        <w:rPr>
          <w:lang w:val="fr-FR"/>
        </w:rPr>
        <w:t xml:space="preserve">auprès </w:t>
      </w:r>
      <w:r w:rsidR="00275E22">
        <w:rPr>
          <w:lang w:val="fr-FR"/>
        </w:rPr>
        <w:t xml:space="preserve">du Commissaire indépendant chargé des plaintes </w:t>
      </w:r>
      <w:r w:rsidR="00AB00A4">
        <w:rPr>
          <w:lang w:val="fr-FR"/>
        </w:rPr>
        <w:t>contre</w:t>
      </w:r>
      <w:r w:rsidR="00275E22">
        <w:rPr>
          <w:lang w:val="fr-FR"/>
        </w:rPr>
        <w:t xml:space="preserve"> </w:t>
      </w:r>
      <w:r w:rsidR="00AB00A4">
        <w:rPr>
          <w:lang w:val="fr-FR"/>
        </w:rPr>
        <w:t>l</w:t>
      </w:r>
      <w:r w:rsidR="00275E22">
        <w:rPr>
          <w:lang w:val="fr-FR"/>
        </w:rPr>
        <w:t xml:space="preserve">es forces armées. Toutes les plaintes sont traitées avec soin. En cas d’allégation d’infraction grave, il est important que celle-ci fasse l’objet d’une enquête appropriée. </w:t>
      </w:r>
      <w:r w:rsidR="00DD7D78">
        <w:rPr>
          <w:lang w:val="fr-FR"/>
        </w:rPr>
        <w:t>Si quelqu’un a commis une faute, les mesures appropriées seront prises</w:t>
      </w:r>
      <w:r w:rsidR="000B562B" w:rsidRPr="00A176EA">
        <w:rPr>
          <w:lang w:val="fr-FR"/>
        </w:rPr>
        <w:t>.</w:t>
      </w:r>
    </w:p>
    <w:p w:rsidR="000B562B" w:rsidRPr="00A176EA" w:rsidRDefault="002549A9" w:rsidP="007262C0">
      <w:pPr>
        <w:pStyle w:val="SingleTxtG"/>
        <w:rPr>
          <w:lang w:val="fr-FR"/>
        </w:rPr>
      </w:pPr>
      <w:r w:rsidRPr="00A176EA">
        <w:rPr>
          <w:lang w:val="fr-FR"/>
        </w:rPr>
        <w:t>106.</w:t>
      </w:r>
      <w:r w:rsidRPr="00A176EA">
        <w:rPr>
          <w:lang w:val="fr-FR"/>
        </w:rPr>
        <w:tab/>
      </w:r>
      <w:r w:rsidR="00DD7D78">
        <w:rPr>
          <w:lang w:val="fr-FR"/>
        </w:rPr>
        <w:t xml:space="preserve">À la suite d’un certain nombre de rapports sur la formation initiale, les forces armées ont entrepris un travail considérable </w:t>
      </w:r>
      <w:r w:rsidR="00C03203">
        <w:rPr>
          <w:lang w:val="fr-FR"/>
        </w:rPr>
        <w:t xml:space="preserve">pour améliorer l’environnement de formation, pour réduire les risques courus par les stagiaires et pour améliorer la protection et le bien-être des individus. La formation des instructeurs a été améliorée de façon à ce qu’ils comprennent mieux les besoins des jeunes d’aujourd’hui. Il est expliqué en détail à toutes les nouvelles recrues à qui elles doivent s’adresser pour obtenir de l’aide ou des conseils, et des mesures ont été prises pour  </w:t>
      </w:r>
      <w:r w:rsidR="007262C0">
        <w:rPr>
          <w:lang w:val="fr-FR"/>
        </w:rPr>
        <w:t>examiner la qualité de l’encadrement. Les forces armées tiennent à maintenir les améliorations déjà apportées et à continuer de traiter les domaines qui peuvent être améliorés. Les forces armées ne se fondent pas uniquement sur les évaluations internes des progrès réalisés et l’Organisme de surveillance de la qualité de l’enseignement procède actuellement à une série d’inspections sur la protection et le bien-être des recrues et des stagiaires</w:t>
      </w:r>
      <w:r w:rsidR="000B562B" w:rsidRPr="00A176EA">
        <w:rPr>
          <w:lang w:val="fr-FR"/>
        </w:rPr>
        <w:t>.</w:t>
      </w:r>
    </w:p>
    <w:p w:rsidR="000B562B" w:rsidRPr="00A176EA" w:rsidRDefault="00732870" w:rsidP="00C267BA">
      <w:pPr>
        <w:pStyle w:val="SingleTxtG"/>
        <w:ind w:firstLine="567"/>
        <w:rPr>
          <w:b/>
          <w:lang w:val="fr-FR"/>
        </w:rPr>
      </w:pPr>
      <w:r w:rsidRPr="007262C0">
        <w:rPr>
          <w:b/>
          <w:lang w:val="fr-FR"/>
        </w:rPr>
        <w:t>(i)</w:t>
      </w:r>
      <w:r w:rsidRPr="007262C0">
        <w:rPr>
          <w:b/>
          <w:lang w:val="fr-FR"/>
        </w:rPr>
        <w:tab/>
      </w:r>
      <w:r w:rsidR="002D62E5">
        <w:rPr>
          <w:b/>
          <w:lang w:val="fr-FR"/>
        </w:rPr>
        <w:t>A</w:t>
      </w:r>
      <w:r w:rsidR="00326650" w:rsidRPr="007262C0">
        <w:rPr>
          <w:b/>
          <w:lang w:val="fr-FR"/>
        </w:rPr>
        <w:t>llégations et plaintes dirigées contre le personnel des services d’immigration, notamment des plaintes faisant état de recours à une force excessive dans l’expulsion de déboutés du droit d’asile</w:t>
      </w:r>
      <w:r w:rsidR="000B562B" w:rsidRPr="007262C0">
        <w:rPr>
          <w:b/>
          <w:lang w:val="fr-FR"/>
        </w:rPr>
        <w:t>.</w:t>
      </w:r>
    </w:p>
    <w:p w:rsidR="000B562B" w:rsidRPr="00A176EA" w:rsidRDefault="002549A9" w:rsidP="006A3C5A">
      <w:pPr>
        <w:pStyle w:val="SingleTxtG"/>
        <w:rPr>
          <w:lang w:val="fr-FR"/>
        </w:rPr>
      </w:pPr>
      <w:r w:rsidRPr="00A176EA">
        <w:rPr>
          <w:lang w:val="fr-FR"/>
        </w:rPr>
        <w:t>107.</w:t>
      </w:r>
      <w:r w:rsidRPr="00A176EA">
        <w:rPr>
          <w:lang w:val="fr-FR"/>
        </w:rPr>
        <w:tab/>
      </w:r>
      <w:r w:rsidR="00950A4C">
        <w:rPr>
          <w:lang w:val="fr-FR"/>
        </w:rPr>
        <w:t xml:space="preserve">Certaines personnes voulant rester au Royaume-Uni sans y être légalement autorisées contestent parfois physiquement le droit des autorités </w:t>
      </w:r>
      <w:r w:rsidR="00154050">
        <w:rPr>
          <w:lang w:val="fr-FR"/>
        </w:rPr>
        <w:t>d</w:t>
      </w:r>
      <w:r w:rsidR="002E24F1">
        <w:rPr>
          <w:lang w:val="fr-FR"/>
        </w:rPr>
        <w:t xml:space="preserve">e faire </w:t>
      </w:r>
      <w:r w:rsidR="00950A4C">
        <w:rPr>
          <w:lang w:val="fr-FR"/>
        </w:rPr>
        <w:t xml:space="preserve">appliquer la loi. Dans ces circonstances, </w:t>
      </w:r>
      <w:r w:rsidR="006A3C5A">
        <w:rPr>
          <w:lang w:val="fr-FR"/>
        </w:rPr>
        <w:t>une escorte peut devoir expulser l’intéressé et, malheureusement, parfois par la force. Des garanties permettent d’éviter le recours à une force excessive et des procédures sont en place en cas d’allégation de force excessive ou d’agression</w:t>
      </w:r>
      <w:r w:rsidR="000B562B" w:rsidRPr="00A176EA">
        <w:rPr>
          <w:lang w:val="fr-FR"/>
        </w:rPr>
        <w:t>.</w:t>
      </w:r>
    </w:p>
    <w:p w:rsidR="000B562B" w:rsidRPr="00A176EA" w:rsidRDefault="002549A9" w:rsidP="00732870">
      <w:pPr>
        <w:pStyle w:val="SingleTxtG"/>
        <w:rPr>
          <w:lang w:val="fr-FR"/>
        </w:rPr>
      </w:pPr>
      <w:r w:rsidRPr="00A176EA">
        <w:rPr>
          <w:lang w:val="fr-FR"/>
        </w:rPr>
        <w:t>108.</w:t>
      </w:r>
      <w:r w:rsidRPr="00A176EA">
        <w:rPr>
          <w:lang w:val="fr-FR"/>
        </w:rPr>
        <w:tab/>
      </w:r>
      <w:r w:rsidR="006A3C5A">
        <w:rPr>
          <w:lang w:val="fr-FR"/>
        </w:rPr>
        <w:t xml:space="preserve">Lorsqu’un détenu se </w:t>
      </w:r>
      <w:r w:rsidR="004B5C35">
        <w:rPr>
          <w:lang w:val="fr-FR"/>
        </w:rPr>
        <w:t>plaint</w:t>
      </w:r>
      <w:r w:rsidR="006A3C5A">
        <w:rPr>
          <w:lang w:val="fr-FR"/>
        </w:rPr>
        <w:t xml:space="preserve"> d’agression de la part </w:t>
      </w:r>
      <w:r w:rsidR="00B6490C">
        <w:rPr>
          <w:lang w:val="fr-FR"/>
        </w:rPr>
        <w:t>de la société d’escorte ou d’</w:t>
      </w:r>
      <w:r w:rsidR="004B5C35">
        <w:rPr>
          <w:lang w:val="fr-FR"/>
        </w:rPr>
        <w:t xml:space="preserve">une </w:t>
      </w:r>
      <w:r w:rsidR="00B6490C">
        <w:rPr>
          <w:lang w:val="fr-FR"/>
        </w:rPr>
        <w:t>autre escorte sous contrat avec le Service de contrôle des frontières du Royaume-Uni</w:t>
      </w:r>
      <w:r w:rsidR="004B5C35">
        <w:rPr>
          <w:lang w:val="fr-FR"/>
        </w:rPr>
        <w:t xml:space="preserve">, la plainte est </w:t>
      </w:r>
      <w:r w:rsidR="005A2724">
        <w:rPr>
          <w:lang w:val="fr-FR"/>
        </w:rPr>
        <w:t>transmise</w:t>
      </w:r>
      <w:r w:rsidR="004B5C35">
        <w:rPr>
          <w:lang w:val="fr-FR"/>
        </w:rPr>
        <w:t xml:space="preserve"> pour enquête au Groupe des normes professionnelles du Service de contrôle des frontières du Royaume-Uni. À l’ouverture d’une enquête, les allégations d’infraction pénale sont systématiquement transmises aux services de police qui mènent leur propre enquête et qui, si des preuves sont établies, </w:t>
      </w:r>
      <w:r w:rsidR="002A00B2">
        <w:rPr>
          <w:lang w:val="fr-FR"/>
        </w:rPr>
        <w:t>sont habilités à engager des poursuites. Une fois l’enquête du Groupe achevée, le détenu reçoit une réponse officielle dans laquelle figurent les modalités d’exercice de son droit d’appel auprès du M</w:t>
      </w:r>
      <w:r w:rsidR="002A00B2" w:rsidRPr="002A00B2">
        <w:rPr>
          <w:lang w:val="fr-FR"/>
        </w:rPr>
        <w:t xml:space="preserve">édiateur </w:t>
      </w:r>
      <w:r w:rsidR="002A00B2">
        <w:rPr>
          <w:lang w:val="fr-FR"/>
        </w:rPr>
        <w:t>des établissements pénitentiaires et de la</w:t>
      </w:r>
      <w:r w:rsidR="002A00B2" w:rsidRPr="002A00B2">
        <w:rPr>
          <w:lang w:val="fr-FR"/>
        </w:rPr>
        <w:t xml:space="preserve"> probation</w:t>
      </w:r>
      <w:r w:rsidR="002A00B2">
        <w:rPr>
          <w:lang w:val="fr-FR"/>
        </w:rPr>
        <w:t xml:space="preserve"> s’il n’est pas satisfait des conclusions</w:t>
      </w:r>
      <w:r w:rsidR="000B562B" w:rsidRPr="00A176EA">
        <w:rPr>
          <w:lang w:val="fr-FR"/>
        </w:rPr>
        <w:t>.</w:t>
      </w:r>
    </w:p>
    <w:p w:rsidR="000B562B" w:rsidRPr="00A176EA" w:rsidRDefault="002549A9" w:rsidP="001B25F1">
      <w:pPr>
        <w:pStyle w:val="SingleTxtG"/>
        <w:rPr>
          <w:lang w:val="fr-FR"/>
        </w:rPr>
      </w:pPr>
      <w:r w:rsidRPr="00A176EA">
        <w:rPr>
          <w:lang w:val="fr-FR"/>
        </w:rPr>
        <w:t>109.</w:t>
      </w:r>
      <w:r w:rsidRPr="00A176EA">
        <w:rPr>
          <w:lang w:val="fr-FR"/>
        </w:rPr>
        <w:tab/>
      </w:r>
      <w:r w:rsidR="002A00B2" w:rsidRPr="00875BE3">
        <w:rPr>
          <w:lang w:val="fr-FR"/>
        </w:rPr>
        <w:t xml:space="preserve">Les tribunaux considèrent par principe que le Médiateur est suffisamment indépendant pour mener une enquête conforme </w:t>
      </w:r>
      <w:r w:rsidR="00875BE3" w:rsidRPr="00875BE3">
        <w:rPr>
          <w:lang w:val="fr-FR"/>
        </w:rPr>
        <w:t xml:space="preserve">aux </w:t>
      </w:r>
      <w:r w:rsidR="002A00B2" w:rsidRPr="00875BE3">
        <w:rPr>
          <w:lang w:val="fr-FR"/>
        </w:rPr>
        <w:t>article</w:t>
      </w:r>
      <w:r w:rsidR="00875BE3" w:rsidRPr="00875BE3">
        <w:rPr>
          <w:lang w:val="fr-FR"/>
        </w:rPr>
        <w:t>s</w:t>
      </w:r>
      <w:r w:rsidR="002A00B2" w:rsidRPr="00875BE3">
        <w:rPr>
          <w:lang w:val="fr-FR"/>
        </w:rPr>
        <w:t xml:space="preserve"> 2 </w:t>
      </w:r>
      <w:r w:rsidR="00875BE3" w:rsidRPr="00875BE3">
        <w:rPr>
          <w:lang w:val="fr-FR"/>
        </w:rPr>
        <w:t xml:space="preserve">et 3 </w:t>
      </w:r>
      <w:r w:rsidR="002A00B2" w:rsidRPr="00875BE3">
        <w:rPr>
          <w:lang w:val="fr-FR"/>
        </w:rPr>
        <w:t xml:space="preserve">de la </w:t>
      </w:r>
      <w:r w:rsidR="00B669A3" w:rsidRPr="00875BE3">
        <w:rPr>
          <w:lang w:val="fr-FR"/>
        </w:rPr>
        <w:t>Convention européenne des droits de l’homme</w:t>
      </w:r>
      <w:r w:rsidR="000B562B" w:rsidRPr="00875BE3">
        <w:rPr>
          <w:lang w:val="fr-FR"/>
        </w:rPr>
        <w:t>.</w:t>
      </w:r>
      <w:r w:rsidR="00875BE3">
        <w:rPr>
          <w:lang w:val="fr-FR"/>
        </w:rPr>
        <w:t xml:space="preserve"> Le mandat du Médiateur spécifie que, s’il relève du Ministère de la justice, qui le finance, le Médiateur est totalement indépendant s’agissant de ses fonctions d’enquête. Le mécanisme d’enquête sur les plaintes est </w:t>
      </w:r>
      <w:r w:rsidR="001B25F1">
        <w:rPr>
          <w:lang w:val="fr-FR"/>
        </w:rPr>
        <w:t>par ailleurs placé sous la supervision de la Commission de vérification des plaintes</w:t>
      </w:r>
      <w:r w:rsidR="000B562B" w:rsidRPr="00A176EA">
        <w:rPr>
          <w:lang w:val="fr-FR"/>
        </w:rPr>
        <w:t>.</w:t>
      </w:r>
    </w:p>
    <w:p w:rsidR="000B562B" w:rsidRPr="00A176EA" w:rsidRDefault="002549A9" w:rsidP="001B25F1">
      <w:pPr>
        <w:pStyle w:val="SingleTxtG"/>
        <w:rPr>
          <w:lang w:val="fr-FR"/>
        </w:rPr>
      </w:pPr>
      <w:r w:rsidRPr="00A176EA">
        <w:rPr>
          <w:lang w:val="fr-FR"/>
        </w:rPr>
        <w:t>110.</w:t>
      </w:r>
      <w:r w:rsidRPr="00A176EA">
        <w:rPr>
          <w:lang w:val="fr-FR"/>
        </w:rPr>
        <w:tab/>
      </w:r>
      <w:r w:rsidR="001B25F1" w:rsidRPr="001B25F1">
        <w:rPr>
          <w:lang w:val="fr-FR"/>
        </w:rPr>
        <w:t xml:space="preserve">Lorsqu’un détenu se plaint </w:t>
      </w:r>
      <w:r w:rsidR="001B25F1">
        <w:rPr>
          <w:lang w:val="fr-FR"/>
        </w:rPr>
        <w:t xml:space="preserve">auprès d’une compagnie aérienne plutôt que du Service du contrôle des frontières du Royaume-Uni pour </w:t>
      </w:r>
      <w:r w:rsidR="001B25F1" w:rsidRPr="001B25F1">
        <w:rPr>
          <w:lang w:val="fr-FR"/>
        </w:rPr>
        <w:t>agression de la part de</w:t>
      </w:r>
      <w:r w:rsidR="001B25F1">
        <w:rPr>
          <w:lang w:val="fr-FR"/>
        </w:rPr>
        <w:t xml:space="preserve"> l’escorte sous contrat, l’enquête incombe au transporteur et non au Groupe des normes professionnelles. Lorsqu’une telle escorte est employée par la société d’escorte </w:t>
      </w:r>
      <w:r w:rsidR="003C0ACD">
        <w:rPr>
          <w:lang w:val="fr-FR"/>
        </w:rPr>
        <w:t xml:space="preserve">sous contrat </w:t>
      </w:r>
      <w:r w:rsidR="001B25F1">
        <w:rPr>
          <w:lang w:val="fr-FR"/>
        </w:rPr>
        <w:t xml:space="preserve">du Service du contrôle des frontières, </w:t>
      </w:r>
      <w:r w:rsidR="003C0ACD">
        <w:rPr>
          <w:lang w:val="fr-FR"/>
        </w:rPr>
        <w:t>la société</w:t>
      </w:r>
      <w:r w:rsidR="001B25F1">
        <w:rPr>
          <w:lang w:val="fr-FR"/>
        </w:rPr>
        <w:t xml:space="preserve"> procède à sa propre enquête interne</w:t>
      </w:r>
      <w:r w:rsidR="000B562B" w:rsidRPr="00A176EA">
        <w:rPr>
          <w:lang w:val="fr-FR"/>
        </w:rPr>
        <w:t>.</w:t>
      </w:r>
    </w:p>
    <w:p w:rsidR="000B562B" w:rsidRPr="00A176EA" w:rsidRDefault="002549A9" w:rsidP="009C00B9">
      <w:pPr>
        <w:pStyle w:val="SingleTxtG"/>
        <w:rPr>
          <w:color w:val="000000"/>
          <w:lang w:val="fr-FR"/>
        </w:rPr>
      </w:pPr>
      <w:r w:rsidRPr="00A176EA">
        <w:rPr>
          <w:color w:val="000000"/>
          <w:lang w:val="fr-FR"/>
        </w:rPr>
        <w:t>111.</w:t>
      </w:r>
      <w:r w:rsidRPr="00A176EA">
        <w:rPr>
          <w:color w:val="000000"/>
          <w:lang w:val="fr-FR"/>
        </w:rPr>
        <w:tab/>
      </w:r>
      <w:r w:rsidR="0016602E">
        <w:rPr>
          <w:color w:val="000000"/>
          <w:lang w:val="fr-FR"/>
        </w:rPr>
        <w:t xml:space="preserve">Les prestations de la société d’escorte sont surveillées en permanence par un chargé de suivi du contrat d’escorte, </w:t>
      </w:r>
      <w:r w:rsidR="00C462FE">
        <w:rPr>
          <w:color w:val="000000"/>
          <w:lang w:val="fr-FR"/>
        </w:rPr>
        <w:t xml:space="preserve">qui est </w:t>
      </w:r>
      <w:r w:rsidR="0016602E">
        <w:rPr>
          <w:lang w:val="fr-FR"/>
        </w:rPr>
        <w:t>un fonctionnaire de la Couronne</w:t>
      </w:r>
      <w:r w:rsidR="000B562B" w:rsidRPr="00A176EA">
        <w:rPr>
          <w:lang w:val="fr-FR"/>
        </w:rPr>
        <w:t xml:space="preserve">. </w:t>
      </w:r>
      <w:r w:rsidR="0016602E">
        <w:rPr>
          <w:lang w:val="fr-FR"/>
        </w:rPr>
        <w:t xml:space="preserve">En cas d’allégation d’agression, celui-ci examine s’il est justifié de suspendre l’agrément du/des agent(s) d’escorte concerné(s). </w:t>
      </w:r>
      <w:r w:rsidR="00570A71">
        <w:rPr>
          <w:lang w:val="fr-FR"/>
        </w:rPr>
        <w:t xml:space="preserve">Il prend par ailleurs connaissance des rapports d’enquête et en examine les conclusions. De façon plus générale, l’Inspecteur général des prisons de Sa Majesté exerce une fonction d’inspection des escortes de détenus en vertu de </w:t>
      </w:r>
      <w:r w:rsidR="009C00B9">
        <w:rPr>
          <w:lang w:val="fr-FR"/>
        </w:rPr>
        <w:t>l’article</w:t>
      </w:r>
      <w:r w:rsidR="00570A71">
        <w:rPr>
          <w:lang w:val="fr-FR"/>
        </w:rPr>
        <w:t xml:space="preserve"> 5A de la loi </w:t>
      </w:r>
      <w:r w:rsidR="00873804">
        <w:rPr>
          <w:lang w:val="fr-FR"/>
        </w:rPr>
        <w:t>de 1952</w:t>
      </w:r>
      <w:r w:rsidR="00C462FE">
        <w:rPr>
          <w:lang w:val="fr-FR"/>
        </w:rPr>
        <w:t xml:space="preserve"> </w:t>
      </w:r>
      <w:r w:rsidR="00570A71">
        <w:rPr>
          <w:lang w:val="fr-FR"/>
        </w:rPr>
        <w:t xml:space="preserve">sur les établissements </w:t>
      </w:r>
      <w:r w:rsidR="001A3D6D">
        <w:rPr>
          <w:lang w:val="fr-FR"/>
        </w:rPr>
        <w:t>pénitentiaires</w:t>
      </w:r>
      <w:r w:rsidR="00570A71">
        <w:rPr>
          <w:lang w:val="fr-FR"/>
        </w:rPr>
        <w:t xml:space="preserve">. En outre, </w:t>
      </w:r>
      <w:r w:rsidR="002138E8">
        <w:rPr>
          <w:lang w:val="fr-FR"/>
        </w:rPr>
        <w:t>un Comité de surveillance indépendant a été créé à Heathrow pour contrôler les conditions de détention</w:t>
      </w:r>
      <w:r w:rsidR="009C00B9">
        <w:rPr>
          <w:lang w:val="fr-FR"/>
        </w:rPr>
        <w:t xml:space="preserve"> dans les cellules de l’aéroport et pendant l’accompagnement jusqu’à l’avion</w:t>
      </w:r>
      <w:r w:rsidR="000B562B" w:rsidRPr="00A176EA">
        <w:rPr>
          <w:color w:val="000000"/>
          <w:lang w:val="fr-FR"/>
        </w:rPr>
        <w:t>.</w:t>
      </w:r>
    </w:p>
    <w:p w:rsidR="000B562B" w:rsidRPr="009C00B9" w:rsidRDefault="00B82329" w:rsidP="001C135E">
      <w:pPr>
        <w:pStyle w:val="H1G"/>
      </w:pPr>
      <w:bookmarkStart w:id="1" w:name="_Toc299724668"/>
      <w:r>
        <w:tab/>
      </w:r>
      <w:r>
        <w:tab/>
      </w:r>
      <w:r w:rsidR="000B562B" w:rsidRPr="009C00B9">
        <w:t>Recomm</w:t>
      </w:r>
      <w:r w:rsidR="00326650" w:rsidRPr="009C00B9">
        <w:t>a</w:t>
      </w:r>
      <w:r w:rsidR="000B562B" w:rsidRPr="009C00B9">
        <w:t>ndations</w:t>
      </w:r>
      <w:bookmarkEnd w:id="1"/>
    </w:p>
    <w:p w:rsidR="000B562B" w:rsidRPr="00A176EA" w:rsidRDefault="000B562B" w:rsidP="00732870">
      <w:pPr>
        <w:pStyle w:val="SingleTxtG"/>
        <w:ind w:firstLine="567"/>
        <w:rPr>
          <w:b/>
          <w:lang w:val="fr-FR"/>
        </w:rPr>
      </w:pPr>
      <w:r w:rsidRPr="009C00B9">
        <w:rPr>
          <w:b/>
          <w:lang w:val="fr-FR"/>
        </w:rPr>
        <w:t>a)</w:t>
      </w:r>
      <w:r w:rsidR="00732870" w:rsidRPr="009C00B9">
        <w:rPr>
          <w:b/>
          <w:lang w:val="fr-FR"/>
        </w:rPr>
        <w:tab/>
      </w:r>
      <w:r w:rsidR="00326650" w:rsidRPr="009C00B9">
        <w:rPr>
          <w:b/>
          <w:lang w:val="fr-FR"/>
        </w:rPr>
        <w:t>Que l’État partie prenne les mesures appropriées, compte tenu des vues du Comité, pour veiller, expressément si nécessaire, à ce que les moyens de défense opposables à une accusation faite en vertu du paragraphe 1 de l’article 134 de la loi sur la justice pénale soit conforme aux prescriptions de la Convention</w:t>
      </w:r>
      <w:r w:rsidRPr="009C00B9">
        <w:rPr>
          <w:b/>
          <w:lang w:val="fr-FR"/>
        </w:rPr>
        <w:t>.</w:t>
      </w:r>
    </w:p>
    <w:p w:rsidR="000B562B" w:rsidRPr="00A176EA" w:rsidRDefault="002549A9" w:rsidP="00CD0110">
      <w:pPr>
        <w:pStyle w:val="SingleTxtG"/>
        <w:rPr>
          <w:color w:val="000000"/>
          <w:lang w:val="fr-FR"/>
        </w:rPr>
      </w:pPr>
      <w:r w:rsidRPr="00A176EA">
        <w:rPr>
          <w:color w:val="000000"/>
          <w:lang w:val="fr-FR"/>
        </w:rPr>
        <w:t>112.</w:t>
      </w:r>
      <w:r w:rsidRPr="00A176EA">
        <w:rPr>
          <w:color w:val="000000"/>
          <w:lang w:val="fr-FR"/>
        </w:rPr>
        <w:tab/>
      </w:r>
      <w:r w:rsidR="00AF39C5">
        <w:rPr>
          <w:color w:val="000000"/>
          <w:lang w:val="fr-FR"/>
        </w:rPr>
        <w:t xml:space="preserve">Comme indiqué au </w:t>
      </w:r>
      <w:r w:rsidR="000B562B" w:rsidRPr="00A176EA">
        <w:rPr>
          <w:color w:val="000000"/>
          <w:lang w:val="fr-FR"/>
        </w:rPr>
        <w:t>paragraph</w:t>
      </w:r>
      <w:r w:rsidR="00AF39C5">
        <w:rPr>
          <w:color w:val="000000"/>
          <w:lang w:val="fr-FR"/>
        </w:rPr>
        <w:t>e</w:t>
      </w:r>
      <w:r w:rsidR="000B562B" w:rsidRPr="00A176EA">
        <w:rPr>
          <w:color w:val="000000"/>
          <w:lang w:val="fr-FR"/>
        </w:rPr>
        <w:t xml:space="preserve"> </w:t>
      </w:r>
      <w:r w:rsidR="000B562B" w:rsidRPr="00CD0110">
        <w:rPr>
          <w:lang w:val="fr-FR"/>
        </w:rPr>
        <w:t>2</w:t>
      </w:r>
      <w:r w:rsidR="00AF39C5" w:rsidRPr="00CD0110">
        <w:rPr>
          <w:lang w:val="fr-FR"/>
        </w:rPr>
        <w:t>8</w:t>
      </w:r>
      <w:r w:rsidR="000B562B" w:rsidRPr="00A176EA">
        <w:rPr>
          <w:lang w:val="fr-FR"/>
        </w:rPr>
        <w:t xml:space="preserve">, </w:t>
      </w:r>
      <w:r w:rsidR="00AF39C5">
        <w:rPr>
          <w:lang w:val="fr-FR"/>
        </w:rPr>
        <w:t xml:space="preserve">le Gouvernement britannique </w:t>
      </w:r>
      <w:r w:rsidR="00AF39C5" w:rsidRPr="00AF39C5">
        <w:rPr>
          <w:lang w:val="fr-FR"/>
        </w:rPr>
        <w:t>demeure convaincu que l’article 134 de la loi de 1988 sur la justice pénale est conforme aux obligations que le Royaume-Uni a contractées en signant et en ratifiant la Convention. Toutefois, le Gouvernement va réexaminer sa position à la lumière de</w:t>
      </w:r>
      <w:r w:rsidR="00AF39C5">
        <w:rPr>
          <w:lang w:val="fr-FR"/>
        </w:rPr>
        <w:t>s</w:t>
      </w:r>
      <w:r w:rsidR="00AF39C5" w:rsidRPr="00AF39C5">
        <w:rPr>
          <w:lang w:val="fr-FR"/>
        </w:rPr>
        <w:t xml:space="preserve"> conclusions de l’enquête de Sir Peter Gibson (voir par</w:t>
      </w:r>
      <w:r w:rsidR="00CD0110">
        <w:rPr>
          <w:lang w:val="fr-FR"/>
        </w:rPr>
        <w:t>.</w:t>
      </w:r>
      <w:r w:rsidR="00AF39C5" w:rsidRPr="00CD0110">
        <w:rPr>
          <w:lang w:val="fr-FR"/>
        </w:rPr>
        <w:t xml:space="preserve"> </w:t>
      </w:r>
      <w:r w:rsidR="00B45553" w:rsidRPr="00CD0110">
        <w:rPr>
          <w:lang w:val="fr-FR"/>
        </w:rPr>
        <w:t>2</w:t>
      </w:r>
      <w:r w:rsidR="00AF39C5" w:rsidRPr="00CD0110">
        <w:rPr>
          <w:lang w:val="fr-FR"/>
        </w:rPr>
        <w:t>8</w:t>
      </w:r>
      <w:r w:rsidR="00AF39C5" w:rsidRPr="00AF39C5">
        <w:rPr>
          <w:lang w:val="fr-FR"/>
        </w:rPr>
        <w:t xml:space="preserve"> ci-dessus</w:t>
      </w:r>
      <w:r w:rsidR="000B562B" w:rsidRPr="00A176EA">
        <w:rPr>
          <w:color w:val="000000"/>
          <w:lang w:val="fr-FR"/>
        </w:rPr>
        <w:t>).</w:t>
      </w:r>
    </w:p>
    <w:p w:rsidR="000B562B" w:rsidRPr="00A176EA" w:rsidRDefault="00732870" w:rsidP="00732870">
      <w:pPr>
        <w:pStyle w:val="SingleTxtG"/>
        <w:ind w:firstLine="567"/>
        <w:rPr>
          <w:b/>
          <w:lang w:val="fr-FR"/>
        </w:rPr>
      </w:pPr>
      <w:r w:rsidRPr="00AF39C5">
        <w:rPr>
          <w:b/>
          <w:lang w:val="fr-FR"/>
        </w:rPr>
        <w:t>b)</w:t>
      </w:r>
      <w:r w:rsidRPr="00AF39C5">
        <w:rPr>
          <w:b/>
          <w:lang w:val="fr-FR"/>
        </w:rPr>
        <w:tab/>
      </w:r>
      <w:r w:rsidR="00326650" w:rsidRPr="00AF39C5">
        <w:rPr>
          <w:b/>
          <w:lang w:val="fr-FR"/>
        </w:rPr>
        <w:t>Que l’État partie examine, compte tenu de l’expérience qu’il a acquise depuis la ratification de la Convention et de la jurisprudence du Comité, ses lois et son droit coutumier pour faire en sorte qu’ils soient pleinement conformes aux obligations imposées par la Convention</w:t>
      </w:r>
      <w:r w:rsidR="00FC2B97">
        <w:rPr>
          <w:b/>
          <w:lang w:val="fr-FR"/>
        </w:rPr>
        <w:t>;</w:t>
      </w:r>
      <w:r w:rsidR="00326650" w:rsidRPr="00AF39C5">
        <w:rPr>
          <w:b/>
          <w:lang w:val="fr-FR"/>
        </w:rPr>
        <w:t xml:space="preserve"> par souci de précision et de commodité, l’État partie devrait publier un recueil des dispositions juridiques pertinentes</w:t>
      </w:r>
      <w:r w:rsidR="000B562B" w:rsidRPr="00AF39C5">
        <w:rPr>
          <w:b/>
          <w:lang w:val="fr-FR"/>
        </w:rPr>
        <w:t>.</w:t>
      </w:r>
    </w:p>
    <w:p w:rsidR="000B562B" w:rsidRPr="00A176EA" w:rsidRDefault="002549A9" w:rsidP="003379BB">
      <w:pPr>
        <w:pStyle w:val="SingleTxtG"/>
        <w:rPr>
          <w:lang w:val="fr-FR"/>
        </w:rPr>
      </w:pPr>
      <w:r w:rsidRPr="00A176EA">
        <w:rPr>
          <w:lang w:val="fr-FR"/>
        </w:rPr>
        <w:t>113.</w:t>
      </w:r>
      <w:r w:rsidRPr="00A176EA">
        <w:rPr>
          <w:lang w:val="fr-FR"/>
        </w:rPr>
        <w:tab/>
      </w:r>
      <w:r w:rsidR="00970DCE">
        <w:rPr>
          <w:lang w:val="fr-FR"/>
        </w:rPr>
        <w:t xml:space="preserve">Le Gouvernement considère que les dispositions sur la torture figurant à l’article 134 de la loi sur la justice pénale sont conformes aux obligations imposées par la Convention. Il n’est pas convaincu de la nécessité de regrouper la </w:t>
      </w:r>
      <w:r w:rsidR="00970DCE" w:rsidRPr="00970DCE">
        <w:rPr>
          <w:i/>
          <w:lang w:val="fr-FR"/>
        </w:rPr>
        <w:t>common law</w:t>
      </w:r>
      <w:r w:rsidR="00970DCE">
        <w:rPr>
          <w:lang w:val="fr-FR"/>
        </w:rPr>
        <w:t xml:space="preserve"> et </w:t>
      </w:r>
      <w:r w:rsidR="003379BB">
        <w:rPr>
          <w:lang w:val="fr-FR"/>
        </w:rPr>
        <w:t xml:space="preserve">le droit législatif </w:t>
      </w:r>
      <w:r w:rsidR="00970DCE">
        <w:rPr>
          <w:lang w:val="fr-FR"/>
        </w:rPr>
        <w:t xml:space="preserve">à cet égard. </w:t>
      </w:r>
      <w:r w:rsidR="003379BB">
        <w:rPr>
          <w:lang w:val="fr-FR"/>
        </w:rPr>
        <w:t xml:space="preserve">Toutefois, le cas échéant, il réexaminera sa position à la lumière des conclusions de l’enquête de </w:t>
      </w:r>
      <w:r w:rsidR="000B562B" w:rsidRPr="00A176EA">
        <w:rPr>
          <w:lang w:val="fr-FR"/>
        </w:rPr>
        <w:t>Sir Peter Gibson.</w:t>
      </w:r>
    </w:p>
    <w:p w:rsidR="000B562B" w:rsidRPr="00A176EA" w:rsidRDefault="00732870" w:rsidP="00732870">
      <w:pPr>
        <w:pStyle w:val="SingleTxtG"/>
        <w:ind w:firstLine="567"/>
        <w:rPr>
          <w:b/>
          <w:lang w:val="fr-FR"/>
        </w:rPr>
      </w:pPr>
      <w:r w:rsidRPr="003379BB">
        <w:rPr>
          <w:b/>
          <w:lang w:val="fr-FR"/>
        </w:rPr>
        <w:t>c)</w:t>
      </w:r>
      <w:r w:rsidRPr="003379BB">
        <w:rPr>
          <w:b/>
          <w:lang w:val="fr-FR"/>
        </w:rPr>
        <w:tab/>
      </w:r>
      <w:r w:rsidR="00326650" w:rsidRPr="003379BB">
        <w:rPr>
          <w:b/>
          <w:lang w:val="fr-FR"/>
        </w:rPr>
        <w:t xml:space="preserve">Que l’État partie </w:t>
      </w:r>
      <w:r w:rsidR="00C92679" w:rsidRPr="003379BB">
        <w:rPr>
          <w:b/>
          <w:lang w:val="fr-FR"/>
        </w:rPr>
        <w:t>réévalue son mécanisme d’extradition, dans la mesure où celui</w:t>
      </w:r>
      <w:r w:rsidR="00EB6F92" w:rsidRPr="003379BB">
        <w:rPr>
          <w:b/>
          <w:lang w:val="fr-FR"/>
        </w:rPr>
        <w:t>-</w:t>
      </w:r>
      <w:r w:rsidR="00C92679" w:rsidRPr="003379BB">
        <w:rPr>
          <w:b/>
          <w:lang w:val="fr-FR"/>
        </w:rPr>
        <w:t>ci prévoit que le Ministre de l’intérieur doit prendre des décisions sur des questions telles que l’aptitude médicale à être jugé, qui sont normalement du ressort des tribunaux</w:t>
      </w:r>
      <w:r w:rsidR="000B562B" w:rsidRPr="003379BB">
        <w:rPr>
          <w:b/>
          <w:lang w:val="fr-FR"/>
        </w:rPr>
        <w:t>.</w:t>
      </w:r>
    </w:p>
    <w:p w:rsidR="000B562B" w:rsidRPr="00A176EA" w:rsidRDefault="002549A9" w:rsidP="003379BB">
      <w:pPr>
        <w:pStyle w:val="SingleTxtG"/>
        <w:rPr>
          <w:color w:val="000000"/>
          <w:lang w:val="fr-FR"/>
        </w:rPr>
      </w:pPr>
      <w:r w:rsidRPr="00A176EA">
        <w:rPr>
          <w:color w:val="000000"/>
          <w:lang w:val="fr-FR"/>
        </w:rPr>
        <w:t>114.</w:t>
      </w:r>
      <w:r w:rsidRPr="00A176EA">
        <w:rPr>
          <w:color w:val="000000"/>
          <w:lang w:val="fr-FR"/>
        </w:rPr>
        <w:tab/>
      </w:r>
      <w:r w:rsidR="003379BB">
        <w:rPr>
          <w:color w:val="000000"/>
          <w:lang w:val="fr-FR"/>
        </w:rPr>
        <w:t xml:space="preserve">Conformément à la législation britannique sur l’extradition, il revient au juge de décider si l’extradition d’une personne est compatible avec les droits de ladite personne énoncés dans la </w:t>
      </w:r>
      <w:r w:rsidR="00204260">
        <w:rPr>
          <w:lang w:val="fr-FR"/>
        </w:rPr>
        <w:t>Convention européenne des droits de l’homme</w:t>
      </w:r>
      <w:r w:rsidR="000B562B" w:rsidRPr="00A176EA">
        <w:rPr>
          <w:lang w:val="fr-FR"/>
        </w:rPr>
        <w:t xml:space="preserve"> (</w:t>
      </w:r>
      <w:r w:rsidR="003379BB">
        <w:rPr>
          <w:lang w:val="fr-FR"/>
        </w:rPr>
        <w:t>articles</w:t>
      </w:r>
      <w:r w:rsidR="000B562B" w:rsidRPr="00A176EA">
        <w:rPr>
          <w:lang w:val="fr-FR"/>
        </w:rPr>
        <w:t xml:space="preserve"> 21 </w:t>
      </w:r>
      <w:r w:rsidR="003379BB">
        <w:rPr>
          <w:lang w:val="fr-FR"/>
        </w:rPr>
        <w:t>et</w:t>
      </w:r>
      <w:r w:rsidR="000B562B" w:rsidRPr="00A176EA">
        <w:rPr>
          <w:lang w:val="fr-FR"/>
        </w:rPr>
        <w:t xml:space="preserve"> 87 </w:t>
      </w:r>
      <w:r w:rsidR="003379BB">
        <w:rPr>
          <w:lang w:val="fr-FR"/>
        </w:rPr>
        <w:t>de la loi de 2003 sur l’extradition</w:t>
      </w:r>
      <w:r w:rsidR="000B562B" w:rsidRPr="00A176EA">
        <w:rPr>
          <w:lang w:val="fr-FR"/>
        </w:rPr>
        <w:t>).</w:t>
      </w:r>
    </w:p>
    <w:p w:rsidR="000B562B" w:rsidRPr="00A176EA" w:rsidRDefault="002549A9" w:rsidP="00860F2E">
      <w:pPr>
        <w:pStyle w:val="SingleTxtG"/>
        <w:rPr>
          <w:lang w:val="fr-FR"/>
        </w:rPr>
      </w:pPr>
      <w:r w:rsidRPr="00A176EA">
        <w:rPr>
          <w:lang w:val="fr-FR"/>
        </w:rPr>
        <w:t>115.</w:t>
      </w:r>
      <w:r w:rsidRPr="00A176EA">
        <w:rPr>
          <w:lang w:val="fr-FR"/>
        </w:rPr>
        <w:tab/>
      </w:r>
      <w:r w:rsidR="001E4AC5">
        <w:rPr>
          <w:lang w:val="fr-FR"/>
        </w:rPr>
        <w:t>I</w:t>
      </w:r>
      <w:r w:rsidR="00860F2E">
        <w:rPr>
          <w:lang w:val="fr-FR"/>
        </w:rPr>
        <w:t>l incombe aux tribunaux, et non au Ministre de l’intérieur</w:t>
      </w:r>
      <w:r w:rsidR="001E4AC5">
        <w:rPr>
          <w:lang w:val="fr-FR"/>
        </w:rPr>
        <w:t>,</w:t>
      </w:r>
      <w:r w:rsidR="00860F2E">
        <w:rPr>
          <w:lang w:val="fr-FR"/>
        </w:rPr>
        <w:t xml:space="preserve"> de </w:t>
      </w:r>
      <w:r w:rsidR="0005686C">
        <w:rPr>
          <w:lang w:val="fr-FR"/>
        </w:rPr>
        <w:t>statuer sur</w:t>
      </w:r>
      <w:r w:rsidR="00860F2E">
        <w:rPr>
          <w:lang w:val="fr-FR"/>
        </w:rPr>
        <w:t xml:space="preserve"> l’état de santé d’un individu. (Il s’agit de l’aptitude à être </w:t>
      </w:r>
      <w:r w:rsidR="00860F2E" w:rsidRPr="00860F2E">
        <w:rPr>
          <w:b/>
          <w:lang w:val="fr-FR"/>
        </w:rPr>
        <w:t>extradé</w:t>
      </w:r>
      <w:r w:rsidR="00860F2E">
        <w:rPr>
          <w:lang w:val="fr-FR"/>
        </w:rPr>
        <w:t xml:space="preserve"> et non à être </w:t>
      </w:r>
      <w:r w:rsidR="00860F2E" w:rsidRPr="00860F2E">
        <w:rPr>
          <w:b/>
          <w:lang w:val="fr-FR"/>
        </w:rPr>
        <w:t>jugé</w:t>
      </w:r>
      <w:r w:rsidR="000B562B" w:rsidRPr="00A176EA">
        <w:rPr>
          <w:lang w:val="fr-FR"/>
        </w:rPr>
        <w:t>)</w:t>
      </w:r>
      <w:r w:rsidR="00204260">
        <w:rPr>
          <w:lang w:val="fr-FR"/>
        </w:rPr>
        <w:t>.</w:t>
      </w:r>
    </w:p>
    <w:p w:rsidR="000B562B" w:rsidRPr="00A176EA" w:rsidRDefault="002549A9" w:rsidP="001E4AC5">
      <w:pPr>
        <w:pStyle w:val="SingleTxtG"/>
        <w:rPr>
          <w:lang w:val="fr-FR"/>
        </w:rPr>
      </w:pPr>
      <w:r w:rsidRPr="00A176EA">
        <w:rPr>
          <w:lang w:val="fr-FR"/>
        </w:rPr>
        <w:t>116.</w:t>
      </w:r>
      <w:r w:rsidRPr="00A176EA">
        <w:rPr>
          <w:lang w:val="fr-FR"/>
        </w:rPr>
        <w:tab/>
      </w:r>
      <w:r w:rsidR="00860F2E">
        <w:rPr>
          <w:lang w:val="fr-FR"/>
        </w:rPr>
        <w:t xml:space="preserve">S’il apparaît au juge que l’état physique ou mental d’un individu est tel qu’il serait </w:t>
      </w:r>
      <w:r w:rsidR="001E4AC5">
        <w:rPr>
          <w:lang w:val="fr-FR"/>
        </w:rPr>
        <w:t xml:space="preserve">injuste ou abusif de l’extrader, le juge doit ordonner sa libération ou ajourner l’audience d’extradition jusqu’à ce qu’il considère qu’il n’est plus injuste ou abusif de l’extrader (si la requête relève des </w:t>
      </w:r>
      <w:r w:rsidR="002D62E5">
        <w:rPr>
          <w:lang w:val="fr-FR"/>
        </w:rPr>
        <w:t>p</w:t>
      </w:r>
      <w:r w:rsidR="001E4AC5">
        <w:rPr>
          <w:lang w:val="fr-FR"/>
        </w:rPr>
        <w:t>arties 1 et 2 de la loi). Les articles 25 et 91 de la loi de 2003 sur l’extradition</w:t>
      </w:r>
      <w:r w:rsidR="0042499D">
        <w:rPr>
          <w:lang w:val="fr-FR"/>
        </w:rPr>
        <w:t xml:space="preserve"> explicitent ce point.</w:t>
      </w:r>
    </w:p>
    <w:p w:rsidR="000B562B" w:rsidRPr="00A176EA" w:rsidRDefault="00732870" w:rsidP="00732870">
      <w:pPr>
        <w:pStyle w:val="SingleTxtG"/>
        <w:ind w:firstLine="567"/>
        <w:rPr>
          <w:b/>
          <w:lang w:val="fr-FR"/>
        </w:rPr>
      </w:pPr>
      <w:r w:rsidRPr="00846D9D">
        <w:rPr>
          <w:b/>
          <w:lang w:val="fr-FR"/>
        </w:rPr>
        <w:t>d)</w:t>
      </w:r>
      <w:r w:rsidRPr="00846D9D">
        <w:rPr>
          <w:b/>
          <w:lang w:val="fr-FR"/>
        </w:rPr>
        <w:tab/>
      </w:r>
      <w:r w:rsidR="00326650" w:rsidRPr="00846D9D">
        <w:rPr>
          <w:b/>
          <w:lang w:val="fr-FR"/>
        </w:rPr>
        <w:t xml:space="preserve">Que l’État partie </w:t>
      </w:r>
      <w:r w:rsidR="00C92679" w:rsidRPr="00846D9D">
        <w:rPr>
          <w:b/>
          <w:lang w:val="fr-FR"/>
        </w:rPr>
        <w:t>reflète comme il convient, de façon formelle, par exemple en l’incorporant dans une loi ou dans un engagement pris devant le Parlement, l’intention du Gouvernement, telle qu’elle a été exprimée par la délégation, de ne pas invoquer ni présenter dans aucune procédure d</w:t>
      </w:r>
      <w:r w:rsidR="007A542D" w:rsidRPr="00846D9D">
        <w:rPr>
          <w:b/>
          <w:lang w:val="fr-FR"/>
        </w:rPr>
        <w:t xml:space="preserve">es </w:t>
      </w:r>
      <w:r w:rsidR="00C92679" w:rsidRPr="00846D9D">
        <w:rPr>
          <w:b/>
          <w:lang w:val="fr-FR"/>
        </w:rPr>
        <w:t>éléments de preuve dont on sait ou croit savoir qu’ils ont été obtenus par la torture</w:t>
      </w:r>
      <w:r w:rsidR="00FC2B97">
        <w:rPr>
          <w:b/>
          <w:lang w:val="fr-FR"/>
        </w:rPr>
        <w:t>;</w:t>
      </w:r>
      <w:r w:rsidR="00C92679" w:rsidRPr="00846D9D">
        <w:rPr>
          <w:b/>
          <w:lang w:val="fr-FR"/>
        </w:rPr>
        <w:t xml:space="preserve"> l’État partie devrait également offrir aux particuliers un moyen de contester la légalité de tout élément de preuve, dans toute procédure, dont il y aurait de bonnes raisons de croire qu’il a été obtenu par la torture</w:t>
      </w:r>
      <w:r w:rsidR="000B562B" w:rsidRPr="00846D9D">
        <w:rPr>
          <w:b/>
          <w:lang w:val="fr-FR"/>
        </w:rPr>
        <w:t>.</w:t>
      </w:r>
    </w:p>
    <w:p w:rsidR="000B562B" w:rsidRPr="00F256EB" w:rsidRDefault="002549A9" w:rsidP="00F256EB">
      <w:pPr>
        <w:pStyle w:val="SingleTxtG"/>
        <w:rPr>
          <w:lang w:val="fr-FR"/>
        </w:rPr>
      </w:pPr>
      <w:r w:rsidRPr="00A176EA">
        <w:rPr>
          <w:lang w:val="fr-FR"/>
        </w:rPr>
        <w:t>117.</w:t>
      </w:r>
      <w:r w:rsidRPr="00A176EA">
        <w:rPr>
          <w:lang w:val="fr-FR"/>
        </w:rPr>
        <w:tab/>
      </w:r>
      <w:r w:rsidR="00F256EB">
        <w:rPr>
          <w:lang w:val="fr-FR"/>
        </w:rPr>
        <w:t xml:space="preserve">Dans l’affaire </w:t>
      </w:r>
      <w:r w:rsidR="00F256EB" w:rsidRPr="00CD0110">
        <w:rPr>
          <w:i/>
          <w:iCs/>
          <w:lang w:val="fr-FR"/>
        </w:rPr>
        <w:t>A</w:t>
      </w:r>
      <w:r w:rsidR="00F256EB">
        <w:rPr>
          <w:lang w:val="fr-FR"/>
        </w:rPr>
        <w:t xml:space="preserve"> c. </w:t>
      </w:r>
      <w:r w:rsidR="00F256EB" w:rsidRPr="00CD0110">
        <w:rPr>
          <w:i/>
          <w:iCs/>
          <w:lang w:val="fr-FR"/>
        </w:rPr>
        <w:t>Ministère de l’intérieur</w:t>
      </w:r>
      <w:r w:rsidR="00F256EB">
        <w:rPr>
          <w:lang w:val="fr-FR"/>
        </w:rPr>
        <w:t xml:space="preserve"> (n° 2) </w:t>
      </w:r>
      <w:r w:rsidR="00F256EB" w:rsidRPr="00063292">
        <w:rPr>
          <w:lang w:val="fr-FR"/>
        </w:rPr>
        <w:t>[2005],</w:t>
      </w:r>
      <w:r w:rsidR="00F256EB">
        <w:rPr>
          <w:sz w:val="18"/>
          <w:lang w:val="fr-FR"/>
        </w:rPr>
        <w:t xml:space="preserve"> l</w:t>
      </w:r>
      <w:r w:rsidR="00F256EB">
        <w:rPr>
          <w:lang w:val="fr-FR"/>
        </w:rPr>
        <w:t xml:space="preserve">a Chambre des lords a indiqué clairement que les éléments de preuve obtenus par la torture n’étaient pas recevables dans les procédures judiciaires. Hormis cette décision rendue par la plus haute juridiction de l’époque, il existe des dispositions légales en la matière. S’agissant des procédures pénales en Angleterre et au </w:t>
      </w:r>
      <w:r w:rsidR="00493FBC">
        <w:rPr>
          <w:lang w:val="fr-FR"/>
        </w:rPr>
        <w:t>p</w:t>
      </w:r>
      <w:r w:rsidR="005601A1">
        <w:rPr>
          <w:lang w:val="fr-FR"/>
        </w:rPr>
        <w:t>ays de Galles</w:t>
      </w:r>
      <w:r w:rsidR="00F256EB">
        <w:rPr>
          <w:lang w:val="fr-FR"/>
        </w:rPr>
        <w:t xml:space="preserve">, l’article 76 de la loi de 1984 sur la police et les preuves </w:t>
      </w:r>
      <w:r w:rsidR="00D10599" w:rsidRPr="00D10599">
        <w:rPr>
          <w:lang w:val="fr-FR"/>
        </w:rPr>
        <w:t>pénale</w:t>
      </w:r>
      <w:r w:rsidR="00D10599">
        <w:rPr>
          <w:lang w:val="fr-FR"/>
        </w:rPr>
        <w:t xml:space="preserve">s </w:t>
      </w:r>
      <w:r w:rsidR="00F256EB">
        <w:rPr>
          <w:lang w:val="fr-FR"/>
        </w:rPr>
        <w:t>dispose qu’un tribunal ne saurait retenir des aveux comme élément de preuve contre un accusé si le ministère public n’a pas établi au-delà de tout doute raisonnable qu’ils n’ont pas été obtenus par la contrainte ou suite à des paroles ou des actes susceptibles d’entacher leur fiabilité. L</w:t>
      </w:r>
      <w:r w:rsidR="00C7057C">
        <w:rPr>
          <w:lang w:val="fr-FR"/>
        </w:rPr>
        <w:t>e paragraphe 8 de l</w:t>
      </w:r>
      <w:r w:rsidR="00F256EB" w:rsidRPr="009C00B9">
        <w:rPr>
          <w:lang w:val="fr-FR"/>
        </w:rPr>
        <w:t>’article</w:t>
      </w:r>
      <w:r w:rsidR="00F256EB">
        <w:rPr>
          <w:lang w:val="fr-FR"/>
        </w:rPr>
        <w:t xml:space="preserve"> 76 de la loi précise que l</w:t>
      </w:r>
      <w:r w:rsidR="00CB2353">
        <w:rPr>
          <w:lang w:val="fr-FR"/>
        </w:rPr>
        <w:t xml:space="preserve">a </w:t>
      </w:r>
      <w:r w:rsidR="00CD0110">
        <w:rPr>
          <w:lang w:val="fr-FR"/>
        </w:rPr>
        <w:t>«</w:t>
      </w:r>
      <w:r w:rsidR="00CB2353">
        <w:rPr>
          <w:lang w:val="fr-FR"/>
        </w:rPr>
        <w:t>contrainte</w:t>
      </w:r>
      <w:r w:rsidR="00CD0110">
        <w:rPr>
          <w:lang w:val="fr-FR"/>
        </w:rPr>
        <w:t>»</w:t>
      </w:r>
      <w:r w:rsidR="00F256EB">
        <w:rPr>
          <w:lang w:val="fr-FR"/>
        </w:rPr>
        <w:t xml:space="preserve"> inclut la torture. Aux termes de </w:t>
      </w:r>
      <w:r w:rsidR="00F256EB" w:rsidRPr="009C00B9">
        <w:rPr>
          <w:lang w:val="fr-FR"/>
        </w:rPr>
        <w:t>l’article</w:t>
      </w:r>
      <w:r w:rsidR="00F256EB">
        <w:rPr>
          <w:lang w:val="fr-FR"/>
        </w:rPr>
        <w:t xml:space="preserve"> 78 de la loi, un tribunal est habilité à écarter des aveux sur lesquels s’appuie le ministère public si les </w:t>
      </w:r>
      <w:r w:rsidR="001C1986">
        <w:rPr>
          <w:lang w:val="fr-FR"/>
        </w:rPr>
        <w:t>déclarer</w:t>
      </w:r>
      <w:r w:rsidR="00F256EB">
        <w:rPr>
          <w:lang w:val="fr-FR"/>
        </w:rPr>
        <w:t xml:space="preserve"> recevables en tant que preuves aurait pour effet de rendre la procédure inéquitable. Cela s’applique, en tout état de cause, aux aveux obtenus par la torture. Des dispositions similaires </w:t>
      </w:r>
      <w:r w:rsidR="00EF4795">
        <w:rPr>
          <w:lang w:val="fr-FR"/>
        </w:rPr>
        <w:t>existent</w:t>
      </w:r>
      <w:r w:rsidR="00F256EB">
        <w:rPr>
          <w:lang w:val="fr-FR"/>
        </w:rPr>
        <w:t xml:space="preserve"> en Écosse et en Irlande du Nord</w:t>
      </w:r>
      <w:r w:rsidR="000B562B" w:rsidRPr="00F256EB">
        <w:rPr>
          <w:lang w:val="fr-FR"/>
        </w:rPr>
        <w:t>.</w:t>
      </w:r>
    </w:p>
    <w:p w:rsidR="000B562B" w:rsidRPr="00A176EA" w:rsidRDefault="00732870" w:rsidP="00732870">
      <w:pPr>
        <w:pStyle w:val="SingleTxtG"/>
        <w:ind w:firstLine="567"/>
        <w:rPr>
          <w:b/>
          <w:lang w:val="fr-FR"/>
        </w:rPr>
      </w:pPr>
      <w:r w:rsidRPr="00F256EB">
        <w:rPr>
          <w:b/>
          <w:lang w:val="fr-FR"/>
        </w:rPr>
        <w:t>e)</w:t>
      </w:r>
      <w:r w:rsidRPr="00F256EB">
        <w:rPr>
          <w:b/>
          <w:lang w:val="fr-FR"/>
        </w:rPr>
        <w:tab/>
      </w:r>
      <w:r w:rsidR="00326650" w:rsidRPr="00F256EB">
        <w:rPr>
          <w:b/>
          <w:lang w:val="fr-FR"/>
        </w:rPr>
        <w:t xml:space="preserve">Que l’État partie </w:t>
      </w:r>
      <w:r w:rsidR="00C92679" w:rsidRPr="00F256EB">
        <w:rPr>
          <w:b/>
          <w:lang w:val="fr-FR"/>
        </w:rPr>
        <w:t>applique les</w:t>
      </w:r>
      <w:r w:rsidR="000B562B" w:rsidRPr="00F256EB">
        <w:rPr>
          <w:b/>
          <w:lang w:val="fr-FR"/>
        </w:rPr>
        <w:t xml:space="preserve"> articles 2 </w:t>
      </w:r>
      <w:r w:rsidR="00C92679" w:rsidRPr="00F256EB">
        <w:rPr>
          <w:b/>
          <w:lang w:val="fr-FR"/>
        </w:rPr>
        <w:t>et</w:t>
      </w:r>
      <w:r w:rsidR="000B562B" w:rsidRPr="00F256EB">
        <w:rPr>
          <w:b/>
          <w:lang w:val="fr-FR"/>
        </w:rPr>
        <w:t>/o</w:t>
      </w:r>
      <w:r w:rsidR="00C92679" w:rsidRPr="00F256EB">
        <w:rPr>
          <w:b/>
          <w:lang w:val="fr-FR"/>
        </w:rPr>
        <w:t>u</w:t>
      </w:r>
      <w:r w:rsidR="000B562B" w:rsidRPr="00F256EB">
        <w:rPr>
          <w:b/>
          <w:lang w:val="fr-FR"/>
        </w:rPr>
        <w:t xml:space="preserve"> 3, </w:t>
      </w:r>
      <w:r w:rsidR="00C92679" w:rsidRPr="00F256EB">
        <w:rPr>
          <w:b/>
          <w:lang w:val="fr-FR"/>
        </w:rPr>
        <w:t>selon qu’il conviendra</w:t>
      </w:r>
      <w:r w:rsidR="000B562B" w:rsidRPr="00F256EB">
        <w:rPr>
          <w:b/>
          <w:lang w:val="fr-FR"/>
        </w:rPr>
        <w:t xml:space="preserve">, </w:t>
      </w:r>
      <w:r w:rsidR="00C92679" w:rsidRPr="00F256EB">
        <w:rPr>
          <w:b/>
          <w:lang w:val="fr-FR"/>
        </w:rPr>
        <w:t>aux transferts de détenus placés sous la garde d’un État partie à la garde, de fait ou en droit, de tout autre État</w:t>
      </w:r>
      <w:r w:rsidR="000B562B" w:rsidRPr="00F256EB">
        <w:rPr>
          <w:b/>
          <w:lang w:val="fr-FR"/>
        </w:rPr>
        <w:t>.</w:t>
      </w:r>
    </w:p>
    <w:p w:rsidR="000B562B" w:rsidRPr="00A176EA" w:rsidRDefault="002549A9" w:rsidP="00C76DFC">
      <w:pPr>
        <w:pStyle w:val="SingleTxtG"/>
        <w:rPr>
          <w:color w:val="000000"/>
          <w:lang w:val="fr-FR"/>
        </w:rPr>
      </w:pPr>
      <w:r w:rsidRPr="00A176EA">
        <w:rPr>
          <w:color w:val="000000"/>
          <w:lang w:val="fr-FR"/>
        </w:rPr>
        <w:t>118.</w:t>
      </w:r>
      <w:r w:rsidRPr="00A176EA">
        <w:rPr>
          <w:color w:val="000000"/>
          <w:lang w:val="fr-FR"/>
        </w:rPr>
        <w:tab/>
      </w:r>
      <w:r w:rsidR="00F256EB">
        <w:rPr>
          <w:color w:val="000000"/>
          <w:lang w:val="fr-FR"/>
        </w:rPr>
        <w:t xml:space="preserve">Aux termes de la législation britannique sur l’extradition </w:t>
      </w:r>
      <w:r w:rsidR="000B562B" w:rsidRPr="00A176EA">
        <w:rPr>
          <w:lang w:val="fr-FR"/>
        </w:rPr>
        <w:t>(</w:t>
      </w:r>
      <w:r w:rsidR="00F256EB">
        <w:rPr>
          <w:lang w:val="fr-FR"/>
        </w:rPr>
        <w:t>art</w:t>
      </w:r>
      <w:r w:rsidR="00C76DFC">
        <w:rPr>
          <w:lang w:val="fr-FR"/>
        </w:rPr>
        <w:t>.</w:t>
      </w:r>
      <w:r w:rsidR="000B562B" w:rsidRPr="00A176EA">
        <w:rPr>
          <w:lang w:val="fr-FR"/>
        </w:rPr>
        <w:t xml:space="preserve"> 21 </w:t>
      </w:r>
      <w:r w:rsidR="00F256EB">
        <w:rPr>
          <w:lang w:val="fr-FR"/>
        </w:rPr>
        <w:t>et</w:t>
      </w:r>
      <w:r w:rsidR="000B562B" w:rsidRPr="00A176EA">
        <w:rPr>
          <w:lang w:val="fr-FR"/>
        </w:rPr>
        <w:t xml:space="preserve"> 87 </w:t>
      </w:r>
      <w:r w:rsidR="00F256EB">
        <w:rPr>
          <w:lang w:val="fr-FR"/>
        </w:rPr>
        <w:t>de la loi de 2003 sur l’e</w:t>
      </w:r>
      <w:r w:rsidR="000B562B" w:rsidRPr="00A176EA">
        <w:rPr>
          <w:lang w:val="fr-FR"/>
        </w:rPr>
        <w:t xml:space="preserve">xtradition), </w:t>
      </w:r>
      <w:r w:rsidR="00F256EB">
        <w:rPr>
          <w:lang w:val="fr-FR"/>
        </w:rPr>
        <w:t xml:space="preserve">il revient aux tribunaux </w:t>
      </w:r>
      <w:r w:rsidR="00F256EB">
        <w:rPr>
          <w:color w:val="000000"/>
          <w:lang w:val="fr-FR"/>
        </w:rPr>
        <w:t xml:space="preserve">de décider si l’extradition d’une personne est compatible avec les droits de ladite personne énoncés dans la </w:t>
      </w:r>
      <w:r w:rsidR="00F256EB">
        <w:rPr>
          <w:lang w:val="fr-FR"/>
        </w:rPr>
        <w:t xml:space="preserve">Convention européenne des droits de l’homme. Le Royaume-Uni </w:t>
      </w:r>
      <w:r w:rsidR="009F55ED">
        <w:rPr>
          <w:lang w:val="fr-FR"/>
        </w:rPr>
        <w:t xml:space="preserve">considère qu’il s’acquitte de ses obligations au regard des articles 2 et 3 de la Convention contre la torture en ayant incorporé la </w:t>
      </w:r>
      <w:r w:rsidR="00B669A3" w:rsidRPr="009F55ED">
        <w:rPr>
          <w:lang w:val="fr-FR"/>
        </w:rPr>
        <w:t>Convention européenne des droits de l’homme</w:t>
      </w:r>
      <w:r w:rsidR="000B562B" w:rsidRPr="00A176EA">
        <w:rPr>
          <w:lang w:val="fr-FR"/>
        </w:rPr>
        <w:t xml:space="preserve"> </w:t>
      </w:r>
      <w:r w:rsidR="009F55ED">
        <w:rPr>
          <w:lang w:val="fr-FR"/>
        </w:rPr>
        <w:t>dans son droit national, y compris dans la loi sur l’immigration</w:t>
      </w:r>
      <w:r w:rsidR="000B562B" w:rsidRPr="00A176EA">
        <w:rPr>
          <w:lang w:val="fr-FR"/>
        </w:rPr>
        <w:t xml:space="preserve">, </w:t>
      </w:r>
      <w:r w:rsidR="009F55ED">
        <w:rPr>
          <w:lang w:val="fr-FR"/>
        </w:rPr>
        <w:t>en vertu de la loi de 1998 sur les droits de l’homme</w:t>
      </w:r>
      <w:r w:rsidR="000B562B" w:rsidRPr="00A176EA">
        <w:rPr>
          <w:lang w:val="fr-FR"/>
        </w:rPr>
        <w:t>.</w:t>
      </w:r>
    </w:p>
    <w:p w:rsidR="000B562B" w:rsidRPr="00A176EA" w:rsidRDefault="002549A9" w:rsidP="00CC48A3">
      <w:pPr>
        <w:pStyle w:val="SingleTxtG"/>
        <w:rPr>
          <w:lang w:val="fr-FR"/>
        </w:rPr>
      </w:pPr>
      <w:r w:rsidRPr="00A176EA">
        <w:rPr>
          <w:lang w:val="fr-FR"/>
        </w:rPr>
        <w:t>119.</w:t>
      </w:r>
      <w:r w:rsidRPr="00A176EA">
        <w:rPr>
          <w:lang w:val="fr-FR"/>
        </w:rPr>
        <w:tab/>
      </w:r>
      <w:r w:rsidR="009F55ED">
        <w:rPr>
          <w:lang w:val="fr-FR"/>
        </w:rPr>
        <w:t xml:space="preserve">Le Royaume-Uni ne considère pas que la Convention contre la torture s’applique </w:t>
      </w:r>
      <w:r w:rsidR="00D81910">
        <w:rPr>
          <w:lang w:val="fr-FR"/>
        </w:rPr>
        <w:t xml:space="preserve">hors du territoire national. Le Gouvernement ne peut </w:t>
      </w:r>
      <w:r w:rsidR="00CD0110">
        <w:rPr>
          <w:lang w:val="fr-FR"/>
        </w:rPr>
        <w:t>«</w:t>
      </w:r>
      <w:r w:rsidR="00D81910">
        <w:rPr>
          <w:lang w:val="fr-FR"/>
        </w:rPr>
        <w:t>expulser</w:t>
      </w:r>
      <w:r w:rsidR="00CD0110">
        <w:rPr>
          <w:lang w:val="fr-FR"/>
        </w:rPr>
        <w:t>»</w:t>
      </w:r>
      <w:r w:rsidR="00D81910">
        <w:rPr>
          <w:lang w:val="fr-FR"/>
        </w:rPr>
        <w:t xml:space="preserve">, </w:t>
      </w:r>
      <w:r w:rsidR="00CD0110">
        <w:rPr>
          <w:lang w:val="fr-FR"/>
        </w:rPr>
        <w:t>«</w:t>
      </w:r>
      <w:r w:rsidR="00D81910">
        <w:rPr>
          <w:lang w:val="fr-FR"/>
        </w:rPr>
        <w:t>refouler</w:t>
      </w:r>
      <w:r w:rsidR="00CD0110">
        <w:rPr>
          <w:lang w:val="fr-FR"/>
        </w:rPr>
        <w:t>»</w:t>
      </w:r>
      <w:r w:rsidR="00D81910">
        <w:rPr>
          <w:lang w:val="fr-FR"/>
        </w:rPr>
        <w:t xml:space="preserve"> ou </w:t>
      </w:r>
      <w:r w:rsidR="00CD0110">
        <w:rPr>
          <w:lang w:val="fr-FR"/>
        </w:rPr>
        <w:t>«</w:t>
      </w:r>
      <w:r w:rsidR="00D81910">
        <w:rPr>
          <w:lang w:val="fr-FR"/>
        </w:rPr>
        <w:t>extrader</w:t>
      </w:r>
      <w:r w:rsidR="00CD0110">
        <w:rPr>
          <w:lang w:val="fr-FR"/>
        </w:rPr>
        <w:t>»</w:t>
      </w:r>
      <w:r w:rsidR="00D81910">
        <w:rPr>
          <w:lang w:val="fr-FR"/>
        </w:rPr>
        <w:t xml:space="preserve"> quelqu’un d’un territoire autre que le territoire britannique. Il ne considère pas non plus que les termes </w:t>
      </w:r>
      <w:r w:rsidR="00CD0110">
        <w:rPr>
          <w:lang w:val="fr-FR"/>
        </w:rPr>
        <w:t>«</w:t>
      </w:r>
      <w:r w:rsidR="00D81910">
        <w:rPr>
          <w:lang w:val="fr-FR"/>
        </w:rPr>
        <w:t>expulser</w:t>
      </w:r>
      <w:r w:rsidR="00CD0110">
        <w:rPr>
          <w:lang w:val="fr-FR"/>
        </w:rPr>
        <w:t>»</w:t>
      </w:r>
      <w:r w:rsidR="00D81910">
        <w:rPr>
          <w:lang w:val="fr-FR"/>
        </w:rPr>
        <w:t xml:space="preserve">, </w:t>
      </w:r>
      <w:r w:rsidR="00CD0110">
        <w:rPr>
          <w:lang w:val="fr-FR"/>
        </w:rPr>
        <w:t>«</w:t>
      </w:r>
      <w:r w:rsidR="00D81910">
        <w:rPr>
          <w:lang w:val="fr-FR"/>
        </w:rPr>
        <w:t>refouler</w:t>
      </w:r>
      <w:r w:rsidR="00CD0110">
        <w:rPr>
          <w:lang w:val="fr-FR"/>
        </w:rPr>
        <w:t>»</w:t>
      </w:r>
      <w:r w:rsidR="00D81910">
        <w:rPr>
          <w:lang w:val="fr-FR"/>
        </w:rPr>
        <w:t xml:space="preserve"> ou </w:t>
      </w:r>
      <w:r w:rsidR="00CD0110">
        <w:rPr>
          <w:lang w:val="fr-FR"/>
        </w:rPr>
        <w:t>«</w:t>
      </w:r>
      <w:r w:rsidR="00D81910">
        <w:rPr>
          <w:lang w:val="fr-FR"/>
        </w:rPr>
        <w:t>extrader</w:t>
      </w:r>
      <w:r w:rsidR="00CD0110">
        <w:rPr>
          <w:lang w:val="fr-FR"/>
        </w:rPr>
        <w:t>»</w:t>
      </w:r>
      <w:r w:rsidR="00D81910">
        <w:rPr>
          <w:lang w:val="fr-FR"/>
        </w:rPr>
        <w:t xml:space="preserve"> s’appliquent aux opérations militaires à l’étranger et aux activités s’y rapportant. Interdite par la loi </w:t>
      </w:r>
      <w:r w:rsidR="00CC48A3">
        <w:rPr>
          <w:lang w:val="fr-FR"/>
        </w:rPr>
        <w:t>militaire britannique, la torture est passible de la même peine que celle prévue par le droit pénal britannique. Les forces armées britanniques relèvent en toutes circonstances</w:t>
      </w:r>
      <w:r w:rsidR="00CC48A3" w:rsidRPr="00CC48A3">
        <w:rPr>
          <w:lang w:val="fr-FR"/>
        </w:rPr>
        <w:t xml:space="preserve"> </w:t>
      </w:r>
      <w:r w:rsidR="00CC48A3">
        <w:rPr>
          <w:lang w:val="fr-FR"/>
        </w:rPr>
        <w:t xml:space="preserve">de la loi militaire, où qu’elles </w:t>
      </w:r>
      <w:r w:rsidR="00C7057C">
        <w:rPr>
          <w:lang w:val="fr-FR"/>
        </w:rPr>
        <w:t>se trouvent</w:t>
      </w:r>
      <w:r w:rsidR="00CC48A3">
        <w:rPr>
          <w:lang w:val="fr-FR"/>
        </w:rPr>
        <w:t xml:space="preserve"> dans le monde</w:t>
      </w:r>
      <w:r w:rsidR="000B562B" w:rsidRPr="00A176EA">
        <w:rPr>
          <w:lang w:val="fr-FR"/>
        </w:rPr>
        <w:t>.</w:t>
      </w:r>
    </w:p>
    <w:p w:rsidR="000B562B" w:rsidRPr="00A176EA" w:rsidRDefault="002549A9" w:rsidP="005F6B9A">
      <w:pPr>
        <w:pStyle w:val="SingleTxtG"/>
        <w:rPr>
          <w:color w:val="000000"/>
          <w:lang w:val="fr-FR"/>
        </w:rPr>
      </w:pPr>
      <w:r w:rsidRPr="00A176EA">
        <w:rPr>
          <w:color w:val="000000"/>
          <w:lang w:val="fr-FR"/>
        </w:rPr>
        <w:t>120.</w:t>
      </w:r>
      <w:r w:rsidRPr="00A176EA">
        <w:rPr>
          <w:color w:val="000000"/>
          <w:lang w:val="fr-FR"/>
        </w:rPr>
        <w:tab/>
      </w:r>
      <w:r w:rsidR="00CC48A3">
        <w:rPr>
          <w:color w:val="000000"/>
          <w:lang w:val="fr-FR"/>
        </w:rPr>
        <w:t xml:space="preserve">Les forces armées britanniques opèrent sous l’égide de la Force internationale </w:t>
      </w:r>
      <w:r w:rsidR="003E269C">
        <w:rPr>
          <w:color w:val="000000"/>
          <w:lang w:val="fr-FR"/>
        </w:rPr>
        <w:t>d’assistance</w:t>
      </w:r>
      <w:r w:rsidR="00CC48A3">
        <w:rPr>
          <w:color w:val="000000"/>
          <w:lang w:val="fr-FR"/>
        </w:rPr>
        <w:t xml:space="preserve"> à la sécurité (</w:t>
      </w:r>
      <w:r w:rsidR="003E269C">
        <w:rPr>
          <w:color w:val="000000"/>
          <w:lang w:val="fr-FR"/>
        </w:rPr>
        <w:t>FIAS</w:t>
      </w:r>
      <w:r w:rsidR="00CC48A3">
        <w:rPr>
          <w:color w:val="000000"/>
          <w:lang w:val="fr-FR"/>
        </w:rPr>
        <w:t>) de l’</w:t>
      </w:r>
      <w:r w:rsidR="003E269C">
        <w:rPr>
          <w:color w:val="000000"/>
          <w:lang w:val="fr-FR"/>
        </w:rPr>
        <w:t>OTAN</w:t>
      </w:r>
      <w:r w:rsidR="003E269C" w:rsidRPr="003E269C">
        <w:rPr>
          <w:color w:val="000000"/>
          <w:lang w:val="fr-FR"/>
        </w:rPr>
        <w:t xml:space="preserve"> </w:t>
      </w:r>
      <w:r w:rsidR="003E269C">
        <w:rPr>
          <w:color w:val="000000"/>
          <w:lang w:val="fr-FR"/>
        </w:rPr>
        <w:t>qui, créée par la résolution 1386 adoptée le 20</w:t>
      </w:r>
      <w:r w:rsidR="005F6B9A">
        <w:rPr>
          <w:color w:val="000000"/>
          <w:lang w:val="fr-FR"/>
        </w:rPr>
        <w:t> </w:t>
      </w:r>
      <w:r w:rsidR="003E269C">
        <w:rPr>
          <w:color w:val="000000"/>
          <w:lang w:val="fr-FR"/>
        </w:rPr>
        <w:t xml:space="preserve">décembre 2001 par le Conseil de sécurité des Nations Unies, est autorisée </w:t>
      </w:r>
      <w:r w:rsidR="00CD0110">
        <w:rPr>
          <w:color w:val="000000"/>
          <w:lang w:val="fr-FR"/>
        </w:rPr>
        <w:t>«</w:t>
      </w:r>
      <w:r w:rsidR="003E269C">
        <w:rPr>
          <w:color w:val="000000"/>
          <w:lang w:val="fr-FR"/>
        </w:rPr>
        <w:t>à prendre toutes les mesures nécessaires à l’exécution de son mandat</w:t>
      </w:r>
      <w:r w:rsidR="00CD0110">
        <w:rPr>
          <w:color w:val="000000"/>
          <w:lang w:val="fr-FR"/>
        </w:rPr>
        <w:t>»</w:t>
      </w:r>
      <w:r w:rsidR="003E269C">
        <w:rPr>
          <w:color w:val="000000"/>
          <w:lang w:val="fr-FR"/>
        </w:rPr>
        <w:t xml:space="preserve">. </w:t>
      </w:r>
      <w:r w:rsidR="00883C7C">
        <w:rPr>
          <w:color w:val="000000"/>
          <w:lang w:val="fr-FR"/>
        </w:rPr>
        <w:t xml:space="preserve">Le mandat de la FIAS a été prorogé le 13 octobre 2010 par la résolution 1943 du Conseil de sécurité des Nations Unies. </w:t>
      </w:r>
      <w:r w:rsidR="003E269C">
        <w:rPr>
          <w:color w:val="000000"/>
          <w:lang w:val="fr-FR"/>
        </w:rPr>
        <w:t xml:space="preserve"> </w:t>
      </w:r>
      <w:r w:rsidR="00883C7C">
        <w:rPr>
          <w:color w:val="000000"/>
          <w:lang w:val="fr-FR"/>
        </w:rPr>
        <w:t>Les forces armées britanniques libèrent les individus qui, après audition initiale, ne sont pas considérés comme une menace pour la sécurité</w:t>
      </w:r>
      <w:r w:rsidR="000B562B" w:rsidRPr="00A176EA">
        <w:rPr>
          <w:lang w:val="fr-FR"/>
        </w:rPr>
        <w:t>.</w:t>
      </w:r>
    </w:p>
    <w:p w:rsidR="000B562B" w:rsidRPr="00A176EA" w:rsidRDefault="002549A9" w:rsidP="004A1ABD">
      <w:pPr>
        <w:pStyle w:val="SingleTxtG"/>
        <w:rPr>
          <w:lang w:val="fr-FR"/>
        </w:rPr>
      </w:pPr>
      <w:r w:rsidRPr="00A176EA">
        <w:rPr>
          <w:lang w:val="fr-FR"/>
        </w:rPr>
        <w:t>121.</w:t>
      </w:r>
      <w:r w:rsidRPr="00A176EA">
        <w:rPr>
          <w:lang w:val="fr-FR"/>
        </w:rPr>
        <w:tab/>
      </w:r>
      <w:r w:rsidR="003E269C" w:rsidRPr="00883C7C">
        <w:rPr>
          <w:lang w:val="fr-FR"/>
        </w:rPr>
        <w:t xml:space="preserve">Le Royaume-Uni n’a plus de détenus en </w:t>
      </w:r>
      <w:r w:rsidR="000B562B" w:rsidRPr="00883C7C">
        <w:rPr>
          <w:lang w:val="fr-FR"/>
        </w:rPr>
        <w:t>Iraq.</w:t>
      </w:r>
      <w:r w:rsidR="000B562B" w:rsidRPr="00A176EA">
        <w:rPr>
          <w:lang w:val="fr-FR"/>
        </w:rPr>
        <w:t xml:space="preserve"> </w:t>
      </w:r>
      <w:r w:rsidR="00883C7C">
        <w:rPr>
          <w:lang w:val="fr-FR"/>
        </w:rPr>
        <w:t>E</w:t>
      </w:r>
      <w:r w:rsidR="000B562B" w:rsidRPr="00A176EA">
        <w:rPr>
          <w:lang w:val="fr-FR"/>
        </w:rPr>
        <w:t xml:space="preserve">n Afghanistan, </w:t>
      </w:r>
      <w:r w:rsidR="00883C7C">
        <w:rPr>
          <w:lang w:val="fr-FR"/>
        </w:rPr>
        <w:t xml:space="preserve">les forces britanniques ne transfèrent les détenus qu’au Gouvernement afghan. Ce faisant, le Royaume-Uni prend très au sérieux ses obligations en matière de droits de l’homme. Conformément </w:t>
      </w:r>
      <w:r w:rsidR="00DD7B80">
        <w:rPr>
          <w:lang w:val="fr-FR"/>
        </w:rPr>
        <w:t>au protocole d’accord</w:t>
      </w:r>
      <w:r w:rsidR="00883C7C">
        <w:rPr>
          <w:lang w:val="fr-FR"/>
        </w:rPr>
        <w:t xml:space="preserve"> conclu en avril 2006 avec le Gouvernement afghan, </w:t>
      </w:r>
      <w:r w:rsidR="004A1ABD">
        <w:rPr>
          <w:lang w:val="fr-FR"/>
        </w:rPr>
        <w:t>un système de suivi permet au personnel militaire britannique de rendre visite à des personnes détenues par le Gouvernement afghan. Le Royaume-Uni a par ailleurs obtenu du Gouvernement afghan des engagements explicites pour que des organisations de défense des droits de l’homme telles que le Comité international de la Croix-Rouge (CICR) et la Commission indépendante des droits de l’homme en Afghanistan puissent effectuer un suivi</w:t>
      </w:r>
      <w:r w:rsidR="000B562B" w:rsidRPr="00A176EA">
        <w:rPr>
          <w:lang w:val="fr-FR"/>
        </w:rPr>
        <w:t>.</w:t>
      </w:r>
    </w:p>
    <w:p w:rsidR="000B562B" w:rsidRPr="00A176EA" w:rsidRDefault="00732870" w:rsidP="00732870">
      <w:pPr>
        <w:pStyle w:val="SingleTxtG"/>
        <w:ind w:firstLine="567"/>
        <w:rPr>
          <w:b/>
          <w:lang w:val="fr-FR"/>
        </w:rPr>
      </w:pPr>
      <w:r w:rsidRPr="004A1ABD">
        <w:rPr>
          <w:b/>
          <w:lang w:val="fr-FR"/>
        </w:rPr>
        <w:t>f)</w:t>
      </w:r>
      <w:r w:rsidRPr="004A1ABD">
        <w:rPr>
          <w:b/>
          <w:lang w:val="fr-FR"/>
        </w:rPr>
        <w:tab/>
      </w:r>
      <w:r w:rsidR="00326650" w:rsidRPr="004A1ABD">
        <w:rPr>
          <w:b/>
          <w:lang w:val="fr-FR"/>
        </w:rPr>
        <w:t xml:space="preserve">Que l’État partie </w:t>
      </w:r>
      <w:r w:rsidR="00C92679" w:rsidRPr="004A1ABD">
        <w:rPr>
          <w:b/>
          <w:lang w:val="fr-FR"/>
        </w:rPr>
        <w:t>rende</w:t>
      </w:r>
      <w:r w:rsidR="000B562B" w:rsidRPr="004A1ABD">
        <w:rPr>
          <w:b/>
          <w:lang w:val="fr-FR"/>
        </w:rPr>
        <w:t xml:space="preserve"> public</w:t>
      </w:r>
      <w:r w:rsidR="00C92679" w:rsidRPr="004A1ABD">
        <w:rPr>
          <w:b/>
          <w:lang w:val="fr-FR"/>
        </w:rPr>
        <w:t>s</w:t>
      </w:r>
      <w:r w:rsidR="000B562B" w:rsidRPr="004A1ABD">
        <w:rPr>
          <w:b/>
          <w:lang w:val="fr-FR"/>
        </w:rPr>
        <w:t xml:space="preserve"> </w:t>
      </w:r>
      <w:r w:rsidR="00C92679" w:rsidRPr="004A1ABD">
        <w:rPr>
          <w:b/>
          <w:lang w:val="fr-FR"/>
        </w:rPr>
        <w:t>les résultats de toutes enquêtes sur le comportement qu’auraient eu ses forces en Iraq et en Afghanistan, en particulier celles qui révèlent des actions qui pourraient être contraires à la Convention, et de prendre des dispositions en vue d’un examen indépendant des conclusions de ces enquêtes, le cas échéant</w:t>
      </w:r>
      <w:r w:rsidR="000B562B" w:rsidRPr="004A1ABD">
        <w:rPr>
          <w:b/>
          <w:lang w:val="fr-FR"/>
        </w:rPr>
        <w:t>.</w:t>
      </w:r>
    </w:p>
    <w:p w:rsidR="000B562B" w:rsidRPr="00A176EA" w:rsidRDefault="002549A9" w:rsidP="005A4E8E">
      <w:pPr>
        <w:pStyle w:val="SingleTxtG"/>
        <w:rPr>
          <w:color w:val="000000"/>
          <w:lang w:val="fr-FR"/>
        </w:rPr>
      </w:pPr>
      <w:r w:rsidRPr="00A176EA">
        <w:rPr>
          <w:color w:val="000000"/>
          <w:lang w:val="fr-FR"/>
        </w:rPr>
        <w:t>122.</w:t>
      </w:r>
      <w:r w:rsidRPr="00A176EA">
        <w:rPr>
          <w:color w:val="000000"/>
          <w:lang w:val="fr-FR"/>
        </w:rPr>
        <w:tab/>
      </w:r>
      <w:r w:rsidR="004A1ABD">
        <w:rPr>
          <w:color w:val="000000"/>
          <w:lang w:val="fr-FR"/>
        </w:rPr>
        <w:t xml:space="preserve">Lorsque des allégations </w:t>
      </w:r>
      <w:r w:rsidR="00C7057C">
        <w:rPr>
          <w:color w:val="000000"/>
          <w:lang w:val="fr-FR"/>
        </w:rPr>
        <w:t>prennent la forme</w:t>
      </w:r>
      <w:r w:rsidR="004A1ABD">
        <w:rPr>
          <w:color w:val="000000"/>
          <w:lang w:val="fr-FR"/>
        </w:rPr>
        <w:t xml:space="preserve"> d’une action en justice, les informations </w:t>
      </w:r>
      <w:r w:rsidR="005A4E8E">
        <w:rPr>
          <w:color w:val="000000"/>
          <w:lang w:val="fr-FR"/>
        </w:rPr>
        <w:t>sont mises à la disposition des plaignants, de leurs avocats et des tribunaux</w:t>
      </w:r>
      <w:r w:rsidR="000B562B" w:rsidRPr="00A176EA">
        <w:rPr>
          <w:lang w:val="fr-FR"/>
        </w:rPr>
        <w:t>.</w:t>
      </w:r>
    </w:p>
    <w:p w:rsidR="000B562B" w:rsidRPr="00A176EA" w:rsidRDefault="002549A9" w:rsidP="00280D8E">
      <w:pPr>
        <w:pStyle w:val="SingleTxtG"/>
        <w:rPr>
          <w:lang w:val="fr-FR"/>
        </w:rPr>
      </w:pPr>
      <w:r w:rsidRPr="00A176EA">
        <w:rPr>
          <w:lang w:val="fr-FR"/>
        </w:rPr>
        <w:t>123.</w:t>
      </w:r>
      <w:r w:rsidRPr="00A176EA">
        <w:rPr>
          <w:lang w:val="fr-FR"/>
        </w:rPr>
        <w:tab/>
      </w:r>
      <w:r w:rsidR="00280D8E" w:rsidRPr="00280D8E">
        <w:rPr>
          <w:lang w:val="fr-FR"/>
        </w:rPr>
        <w:t xml:space="preserve">Lorsqu’il examine la possibilité de rendre publiques ces informations, le Gouvernement doit mettre </w:t>
      </w:r>
      <w:r w:rsidR="00135F35">
        <w:rPr>
          <w:lang w:val="fr-FR"/>
        </w:rPr>
        <w:t>peser</w:t>
      </w:r>
      <w:r w:rsidR="00280D8E" w:rsidRPr="00280D8E">
        <w:rPr>
          <w:lang w:val="fr-FR"/>
        </w:rPr>
        <w:t xml:space="preserve"> l’importance de l’obligation redditionnelle des forces armées </w:t>
      </w:r>
      <w:r w:rsidR="00135F35">
        <w:rPr>
          <w:lang w:val="fr-FR"/>
        </w:rPr>
        <w:t>au regard de</w:t>
      </w:r>
      <w:r w:rsidR="00280D8E" w:rsidRPr="00280D8E">
        <w:rPr>
          <w:lang w:val="fr-FR"/>
        </w:rPr>
        <w:t xml:space="preserve"> l’importance du respect des droits des éventuels accusés dans un procès pénal</w:t>
      </w:r>
      <w:r w:rsidR="00135F35">
        <w:rPr>
          <w:lang w:val="fr-FR"/>
        </w:rPr>
        <w:t>,</w:t>
      </w:r>
      <w:r w:rsidR="00280D8E" w:rsidRPr="00280D8E">
        <w:rPr>
          <w:lang w:val="fr-FR"/>
        </w:rPr>
        <w:t xml:space="preserve"> ainsi que de la protection des droits des personnes qui font l’objet d’allégations dénuées de fondement</w:t>
      </w:r>
      <w:r w:rsidR="000B562B" w:rsidRPr="00A176EA">
        <w:rPr>
          <w:lang w:val="fr-FR"/>
        </w:rPr>
        <w:t>.</w:t>
      </w:r>
    </w:p>
    <w:p w:rsidR="000B562B" w:rsidRPr="00A176EA" w:rsidRDefault="002549A9" w:rsidP="00280D8E">
      <w:pPr>
        <w:pStyle w:val="SingleTxtG"/>
        <w:rPr>
          <w:lang w:val="fr-FR"/>
        </w:rPr>
      </w:pPr>
      <w:r w:rsidRPr="00A176EA">
        <w:rPr>
          <w:lang w:val="fr-FR"/>
        </w:rPr>
        <w:t>124.</w:t>
      </w:r>
      <w:r w:rsidRPr="00A176EA">
        <w:rPr>
          <w:lang w:val="fr-FR"/>
        </w:rPr>
        <w:tab/>
      </w:r>
      <w:r w:rsidR="00280D8E">
        <w:rPr>
          <w:lang w:val="fr-FR"/>
        </w:rPr>
        <w:t xml:space="preserve">Lorsqu’une procédure disciplinaire est engagée, l’individu est poursuivi devant la cour martiale. La procédure devant la cour martiale est globalement la même que devant </w:t>
      </w:r>
      <w:r w:rsidR="00603914">
        <w:rPr>
          <w:snapToGrid w:val="0"/>
          <w:lang w:val="fr-FR"/>
        </w:rPr>
        <w:t>la</w:t>
      </w:r>
      <w:r w:rsidR="00280D8E">
        <w:rPr>
          <w:lang w:val="fr-FR"/>
        </w:rPr>
        <w:t xml:space="preserve"> </w:t>
      </w:r>
      <w:r w:rsidR="00E857CF">
        <w:rPr>
          <w:lang w:val="fr-FR"/>
        </w:rPr>
        <w:t xml:space="preserve">Cour de la Couronne </w:t>
      </w:r>
      <w:r w:rsidR="00135F35">
        <w:rPr>
          <w:lang w:val="fr-FR"/>
        </w:rPr>
        <w:t>(</w:t>
      </w:r>
      <w:r w:rsidR="00E857CF">
        <w:rPr>
          <w:lang w:val="fr-FR"/>
        </w:rPr>
        <w:t>Crown Court</w:t>
      </w:r>
      <w:r w:rsidR="00135F35">
        <w:rPr>
          <w:lang w:val="fr-FR"/>
        </w:rPr>
        <w:t>)</w:t>
      </w:r>
      <w:r w:rsidR="00280D8E">
        <w:rPr>
          <w:lang w:val="fr-FR"/>
        </w:rPr>
        <w:t xml:space="preserve"> et les audiences sont  publiques</w:t>
      </w:r>
      <w:r w:rsidR="000B562B" w:rsidRPr="00A176EA">
        <w:rPr>
          <w:lang w:val="fr-FR"/>
        </w:rPr>
        <w:t>.</w:t>
      </w:r>
    </w:p>
    <w:p w:rsidR="000B562B" w:rsidRPr="00A176EA" w:rsidRDefault="002549A9" w:rsidP="002D62E5">
      <w:pPr>
        <w:pStyle w:val="SingleTxtG"/>
        <w:rPr>
          <w:lang w:val="fr-FR"/>
        </w:rPr>
      </w:pPr>
      <w:r w:rsidRPr="00A176EA">
        <w:rPr>
          <w:lang w:val="fr-FR"/>
        </w:rPr>
        <w:t>125.</w:t>
      </w:r>
      <w:r w:rsidRPr="00A176EA">
        <w:rPr>
          <w:lang w:val="fr-FR"/>
        </w:rPr>
        <w:tab/>
      </w:r>
      <w:r w:rsidR="00280D8E">
        <w:rPr>
          <w:lang w:val="fr-FR"/>
        </w:rPr>
        <w:t xml:space="preserve">Outre l’enquête Baha Mousa, l’ancien Ministre de la défense a annoncé le 2 octobre 2009 l’ouverture d’une enquête publique sur des allégations de </w:t>
      </w:r>
      <w:r w:rsidR="00734D09">
        <w:rPr>
          <w:lang w:val="fr-FR"/>
        </w:rPr>
        <w:t>meurtre et de mauvais traitements infligés à des ressortissants iraquiens par des militaires britanniques dans le sud de l’Iraq en 2004. L’enquête Al Sweady</w:t>
      </w:r>
      <w:r w:rsidR="00927478">
        <w:rPr>
          <w:lang w:val="fr-FR"/>
        </w:rPr>
        <w:t>,</w:t>
      </w:r>
      <w:r w:rsidR="00734D09">
        <w:rPr>
          <w:lang w:val="fr-FR"/>
        </w:rPr>
        <w:t xml:space="preserve"> ouverte en vertu de la loi de 2005 sur les enquêtes</w:t>
      </w:r>
      <w:r w:rsidR="00927478">
        <w:rPr>
          <w:lang w:val="fr-FR"/>
        </w:rPr>
        <w:t xml:space="preserve">, est dirigée par Sir Thayne Forbes, ancien juge de la Haute Cour, et examine les allégations qui ont déjà fait l’objet de deux enquêtes de la Police militaire royale et de procédures de contrôle juridictionnel. Le Ministère de la défense </w:t>
      </w:r>
      <w:r w:rsidR="002D62E5">
        <w:rPr>
          <w:lang w:val="fr-FR"/>
        </w:rPr>
        <w:t xml:space="preserve">et l’armée continueront de coopérer pleinement </w:t>
      </w:r>
      <w:r w:rsidR="00BB1E56">
        <w:rPr>
          <w:lang w:val="fr-FR"/>
        </w:rPr>
        <w:t>à</w:t>
      </w:r>
      <w:r w:rsidR="002D62E5">
        <w:rPr>
          <w:lang w:val="fr-FR"/>
        </w:rPr>
        <w:t xml:space="preserve"> l’enquête, mais il est impossible de commenter plus avant des points sur lesquels l’enquête voudra </w:t>
      </w:r>
      <w:r w:rsidR="00EE6D7E">
        <w:rPr>
          <w:lang w:val="fr-FR"/>
        </w:rPr>
        <w:t>tirer</w:t>
      </w:r>
      <w:r w:rsidR="002D62E5">
        <w:rPr>
          <w:lang w:val="fr-FR"/>
        </w:rPr>
        <w:t xml:space="preserve"> ses propres conclusions</w:t>
      </w:r>
      <w:r w:rsidR="000B562B" w:rsidRPr="00A176EA">
        <w:rPr>
          <w:lang w:val="fr-FR"/>
        </w:rPr>
        <w:t>.</w:t>
      </w:r>
    </w:p>
    <w:p w:rsidR="000B562B" w:rsidRPr="00A176EA" w:rsidRDefault="00732870" w:rsidP="00732870">
      <w:pPr>
        <w:pStyle w:val="SingleTxtG"/>
        <w:ind w:firstLine="567"/>
        <w:rPr>
          <w:b/>
          <w:lang w:val="fr-FR"/>
        </w:rPr>
      </w:pPr>
      <w:r w:rsidRPr="002D62E5">
        <w:rPr>
          <w:b/>
          <w:lang w:val="fr-FR"/>
        </w:rPr>
        <w:t>g)</w:t>
      </w:r>
      <w:r w:rsidRPr="002D62E5">
        <w:rPr>
          <w:b/>
          <w:lang w:val="fr-FR"/>
        </w:rPr>
        <w:tab/>
      </w:r>
      <w:r w:rsidR="00326650" w:rsidRPr="002D62E5">
        <w:rPr>
          <w:b/>
          <w:lang w:val="fr-FR"/>
        </w:rPr>
        <w:t xml:space="preserve">Que l’État partie </w:t>
      </w:r>
      <w:r w:rsidR="00C92679" w:rsidRPr="002D62E5">
        <w:rPr>
          <w:b/>
          <w:lang w:val="fr-FR"/>
        </w:rPr>
        <w:t>réexamine</w:t>
      </w:r>
      <w:r w:rsidR="000B562B" w:rsidRPr="002D62E5">
        <w:rPr>
          <w:b/>
          <w:lang w:val="fr-FR"/>
        </w:rPr>
        <w:t xml:space="preserve"> </w:t>
      </w:r>
      <w:r w:rsidR="00C92679" w:rsidRPr="002D62E5">
        <w:rPr>
          <w:b/>
          <w:lang w:val="fr-FR"/>
        </w:rPr>
        <w:t>ses procédures d’examen, en vue de renforcer l’évaluation périodique indépendante de la justification continue des dispositions exceptionnelles tant de la loi de 2001 sur la lutte contre le terrorisme, la criminalité et la sécurité, que de la loi de 2000 sur le terrorisme, compte tenu de la durée écoulée depuis que les dispositions exceptionnelles pertinentes sont en vigueur, des réalités factuelles sur le terrain et des critères devant être remplis pour qu’un état d’urgence puisse être déclaré</w:t>
      </w:r>
      <w:r w:rsidR="000B562B" w:rsidRPr="002D62E5">
        <w:rPr>
          <w:b/>
          <w:lang w:val="fr-FR"/>
        </w:rPr>
        <w:t>.</w:t>
      </w:r>
    </w:p>
    <w:p w:rsidR="000B562B" w:rsidRPr="00A176EA" w:rsidRDefault="002549A9" w:rsidP="002D62E5">
      <w:pPr>
        <w:pStyle w:val="SingleTxtG"/>
        <w:rPr>
          <w:color w:val="000000"/>
          <w:lang w:val="fr-FR"/>
        </w:rPr>
      </w:pPr>
      <w:r w:rsidRPr="00A176EA">
        <w:rPr>
          <w:color w:val="000000"/>
          <w:lang w:val="fr-FR"/>
        </w:rPr>
        <w:t>126.</w:t>
      </w:r>
      <w:r w:rsidRPr="00A176EA">
        <w:rPr>
          <w:color w:val="000000"/>
          <w:lang w:val="fr-FR"/>
        </w:rPr>
        <w:tab/>
      </w:r>
      <w:r w:rsidR="002D62E5">
        <w:rPr>
          <w:color w:val="000000"/>
          <w:lang w:val="fr-FR"/>
        </w:rPr>
        <w:t>La réponse fournie à ce sujet au paragraphe 61 du présent rapport indique la position actuelle du Royaume-Uni sur les dispositions exceptionnelles de la loi de 2001 sur la lutte contre le terrorisme, la criminalité et la sécurité, et de la loi de 2000 sur le terrorisme, et, en particulier la procédure d’examen pour ces actes</w:t>
      </w:r>
      <w:r w:rsidR="000B562B" w:rsidRPr="00A176EA">
        <w:rPr>
          <w:lang w:val="fr-FR"/>
        </w:rPr>
        <w:t>.</w:t>
      </w:r>
    </w:p>
    <w:p w:rsidR="000B562B" w:rsidRPr="00A176EA" w:rsidRDefault="000B562B" w:rsidP="00732870">
      <w:pPr>
        <w:pStyle w:val="SingleTxtG"/>
        <w:ind w:firstLine="567"/>
        <w:rPr>
          <w:b/>
          <w:lang w:val="fr-FR"/>
        </w:rPr>
      </w:pPr>
      <w:r w:rsidRPr="002D62E5">
        <w:rPr>
          <w:b/>
          <w:lang w:val="fr-FR"/>
        </w:rPr>
        <w:t>h</w:t>
      </w:r>
      <w:r w:rsidR="00732870" w:rsidRPr="002D62E5">
        <w:rPr>
          <w:b/>
          <w:lang w:val="fr-FR"/>
        </w:rPr>
        <w:t>)</w:t>
      </w:r>
      <w:r w:rsidR="00732870" w:rsidRPr="002D62E5">
        <w:rPr>
          <w:b/>
          <w:lang w:val="fr-FR"/>
        </w:rPr>
        <w:tab/>
      </w:r>
      <w:r w:rsidR="00326650" w:rsidRPr="002D62E5">
        <w:rPr>
          <w:b/>
          <w:lang w:val="fr-FR"/>
        </w:rPr>
        <w:t xml:space="preserve">Que l’État partie </w:t>
      </w:r>
      <w:r w:rsidR="00C92679" w:rsidRPr="002D62E5">
        <w:rPr>
          <w:b/>
          <w:lang w:val="fr-FR"/>
        </w:rPr>
        <w:t>examine</w:t>
      </w:r>
      <w:r w:rsidRPr="002D62E5">
        <w:rPr>
          <w:b/>
          <w:lang w:val="fr-FR"/>
        </w:rPr>
        <w:t xml:space="preserve"> </w:t>
      </w:r>
      <w:r w:rsidR="00C92679" w:rsidRPr="002D62E5">
        <w:rPr>
          <w:b/>
          <w:lang w:val="fr-FR"/>
        </w:rPr>
        <w:t>d’urgence les solutions que l’on pourrait substituer à la détention illimitée en vertu de la loi de 2001 sur la lutte contre le terrorisme, la criminalité et la sécurité</w:t>
      </w:r>
      <w:r w:rsidRPr="002D62E5">
        <w:rPr>
          <w:b/>
          <w:lang w:val="fr-FR"/>
        </w:rPr>
        <w:t>.</w:t>
      </w:r>
    </w:p>
    <w:p w:rsidR="000B562B" w:rsidRPr="00A176EA" w:rsidRDefault="002549A9" w:rsidP="00740AD5">
      <w:pPr>
        <w:pStyle w:val="SingleTxtG"/>
        <w:rPr>
          <w:color w:val="000000"/>
          <w:lang w:val="fr-FR"/>
        </w:rPr>
      </w:pPr>
      <w:r w:rsidRPr="00A176EA">
        <w:rPr>
          <w:color w:val="000000"/>
          <w:lang w:val="fr-FR"/>
        </w:rPr>
        <w:t>127.</w:t>
      </w:r>
      <w:r w:rsidRPr="00A176EA">
        <w:rPr>
          <w:color w:val="000000"/>
          <w:lang w:val="fr-FR"/>
        </w:rPr>
        <w:tab/>
      </w:r>
      <w:r w:rsidR="002D62E5">
        <w:rPr>
          <w:color w:val="000000"/>
          <w:lang w:val="fr-FR"/>
        </w:rPr>
        <w:t>Comme</w:t>
      </w:r>
      <w:r w:rsidR="00740AD5">
        <w:rPr>
          <w:color w:val="000000"/>
          <w:lang w:val="fr-FR"/>
        </w:rPr>
        <w:t xml:space="preserve"> nous l’avons vu, les pouvoirs conférés par la partie 4 de la loi de 2001 sur la lutte contre le terrorisme, la criminalité et la sécurité ont été abrogées (voir le paragraphe 62 du présent rapport)</w:t>
      </w:r>
      <w:r w:rsidR="000B562B" w:rsidRPr="00A176EA">
        <w:rPr>
          <w:lang w:val="fr-FR"/>
        </w:rPr>
        <w:t>.</w:t>
      </w:r>
    </w:p>
    <w:p w:rsidR="000B562B" w:rsidRPr="00A176EA" w:rsidRDefault="000B562B" w:rsidP="00F879E3">
      <w:pPr>
        <w:pStyle w:val="SingleTxtG"/>
        <w:ind w:firstLine="567"/>
        <w:rPr>
          <w:b/>
          <w:lang w:val="fr-FR"/>
        </w:rPr>
      </w:pPr>
      <w:r w:rsidRPr="00740AD5">
        <w:rPr>
          <w:b/>
          <w:lang w:val="fr-FR"/>
        </w:rPr>
        <w:t>i)</w:t>
      </w:r>
      <w:r w:rsidR="00732870" w:rsidRPr="00740AD5">
        <w:rPr>
          <w:b/>
          <w:lang w:val="fr-FR"/>
        </w:rPr>
        <w:tab/>
      </w:r>
      <w:r w:rsidR="00326650" w:rsidRPr="00740AD5">
        <w:rPr>
          <w:b/>
          <w:lang w:val="fr-FR"/>
        </w:rPr>
        <w:t xml:space="preserve">Que l’État partie </w:t>
      </w:r>
      <w:r w:rsidR="00C92679" w:rsidRPr="00740AD5">
        <w:rPr>
          <w:b/>
          <w:lang w:val="fr-FR"/>
        </w:rPr>
        <w:t>précise</w:t>
      </w:r>
      <w:r w:rsidRPr="00740AD5">
        <w:rPr>
          <w:b/>
          <w:lang w:val="fr-FR"/>
        </w:rPr>
        <w:t xml:space="preserve"> </w:t>
      </w:r>
      <w:r w:rsidR="00C92679" w:rsidRPr="00740AD5">
        <w:rPr>
          <w:b/>
          <w:lang w:val="fr-FR"/>
        </w:rPr>
        <w:t>au Comité le nombre de cas d’extradition ou d’expulsion sous réserve d’assurances ou de garanties diplomatiques qui se sont produits depuis le 11 septembre 2001, la teneur minimale de ces assurances ou garanties exigée par l’État partie, et les mesures de surveillance ultérieure qu’il a prises dans de telles affaires</w:t>
      </w:r>
      <w:r w:rsidRPr="00740AD5">
        <w:rPr>
          <w:b/>
          <w:lang w:val="fr-FR"/>
        </w:rPr>
        <w:t>.</w:t>
      </w:r>
    </w:p>
    <w:p w:rsidR="000B562B" w:rsidRPr="00A176EA" w:rsidRDefault="002549A9" w:rsidP="007F5096">
      <w:pPr>
        <w:pStyle w:val="SingleTxtG"/>
        <w:rPr>
          <w:lang w:val="fr-FR"/>
        </w:rPr>
      </w:pPr>
      <w:r w:rsidRPr="00A176EA">
        <w:rPr>
          <w:lang w:val="fr-FR"/>
        </w:rPr>
        <w:t>128.</w:t>
      </w:r>
      <w:r w:rsidRPr="00A176EA">
        <w:rPr>
          <w:lang w:val="fr-FR"/>
        </w:rPr>
        <w:tab/>
      </w:r>
      <w:r w:rsidR="00740AD5">
        <w:rPr>
          <w:lang w:val="fr-FR"/>
        </w:rPr>
        <w:t xml:space="preserve">L’extradition du Royaume-Uni est généralement subordonnée à des traités ou des accords internationaux. </w:t>
      </w:r>
      <w:r w:rsidR="00CA7748">
        <w:rPr>
          <w:lang w:val="fr-FR"/>
        </w:rPr>
        <w:t xml:space="preserve">La protection des droits de l’homme est consacrée par la législation nationale sur l’extradition, de sorte que, dans la majorité des cas, le Royaume-Uni ne demande pas d’assurances diplomatiques sur certains aspects du traitement d’une personne devant être extradée. Il arrive cependant que le Royaume-Uni sollicite des assurances dans certains cas, mais il ne tient pas de registre central sur le nombre d’extraditions effectuées sous réserve d’assurances diplomatiques. </w:t>
      </w:r>
      <w:r w:rsidR="00847125">
        <w:rPr>
          <w:lang w:val="fr-FR"/>
        </w:rPr>
        <w:t xml:space="preserve">De telles assurances sont contraignantes pour le pays requérant l’extradition et le Royaume-Uni n’a pas connaissance de cas où elles ont été violées. Parfaitement conscient de ses obligations internationales, il réaffirme sa position </w:t>
      </w:r>
      <w:r w:rsidR="007F5096">
        <w:rPr>
          <w:lang w:val="fr-FR"/>
        </w:rPr>
        <w:t>selon laquelle il n’envisagerait pas de conclure un tel accord ni de renvoyer quelqu’un</w:t>
      </w:r>
      <w:r w:rsidR="006939AB">
        <w:rPr>
          <w:lang w:val="fr-FR"/>
        </w:rPr>
        <w:t>,</w:t>
      </w:r>
      <w:r w:rsidR="007F5096">
        <w:rPr>
          <w:lang w:val="fr-FR"/>
        </w:rPr>
        <w:t xml:space="preserve"> même si un tel accord existe</w:t>
      </w:r>
      <w:r w:rsidR="006939AB">
        <w:rPr>
          <w:lang w:val="fr-FR"/>
        </w:rPr>
        <w:t>,</w:t>
      </w:r>
      <w:r w:rsidR="007F5096">
        <w:rPr>
          <w:lang w:val="fr-FR"/>
        </w:rPr>
        <w:t xml:space="preserve"> s’il y avait des motifs sérieux de croire qu’il risque d’être soumis à la torture à son retour</w:t>
      </w:r>
      <w:r w:rsidR="000B562B" w:rsidRPr="00A176EA">
        <w:rPr>
          <w:lang w:val="fr-FR"/>
        </w:rPr>
        <w:t>.</w:t>
      </w:r>
    </w:p>
    <w:p w:rsidR="000B562B" w:rsidRPr="00A176EA" w:rsidRDefault="002549A9" w:rsidP="00BE20DF">
      <w:pPr>
        <w:pStyle w:val="SingleTxtG"/>
        <w:rPr>
          <w:color w:val="000000"/>
          <w:lang w:val="fr-FR"/>
        </w:rPr>
      </w:pPr>
      <w:r w:rsidRPr="00A176EA">
        <w:rPr>
          <w:color w:val="000000"/>
          <w:lang w:val="fr-FR"/>
        </w:rPr>
        <w:t>129.</w:t>
      </w:r>
      <w:r w:rsidRPr="00A176EA">
        <w:rPr>
          <w:color w:val="000000"/>
          <w:lang w:val="fr-FR"/>
        </w:rPr>
        <w:tab/>
      </w:r>
      <w:r w:rsidR="007F5096">
        <w:rPr>
          <w:color w:val="000000"/>
          <w:lang w:val="fr-FR"/>
        </w:rPr>
        <w:t>Onze personnes ont été expulsées du Royaume-Uni, plutôt qu’extradées, après réception d’assurances de la part du pays de destination, ce qui a permis au Royaume-Uni de s’assurer que l’expulsion était conforme à s</w:t>
      </w:r>
      <w:r w:rsidR="005E4940">
        <w:rPr>
          <w:color w:val="000000"/>
          <w:lang w:val="fr-FR"/>
        </w:rPr>
        <w:t xml:space="preserve">es obligations internationales. Concernant les deux individus expulsés vers la Libye en 2004, des enquêtes menées par la suite par l’ambassade britannique à Tripoli ont établi qu’aucun des deux hommes n’avait été placé en détention après son retour. </w:t>
      </w:r>
      <w:r w:rsidR="00BE20DF">
        <w:rPr>
          <w:color w:val="000000"/>
          <w:lang w:val="fr-FR"/>
        </w:rPr>
        <w:t xml:space="preserve">Les neuf autres, tous expulsés vers l’Algérie après avoir </w:t>
      </w:r>
      <w:r w:rsidR="00BE20DF" w:rsidRPr="006939AB">
        <w:rPr>
          <w:color w:val="000000"/>
          <w:lang w:val="fr-FR"/>
        </w:rPr>
        <w:t>retiré</w:t>
      </w:r>
      <w:r w:rsidR="00BE20DF">
        <w:rPr>
          <w:color w:val="000000"/>
          <w:lang w:val="fr-FR"/>
        </w:rPr>
        <w:t xml:space="preserve"> leur appel contre la décision d’expulsion (sauf un, qui n’avait pas fait appel), un accord conclu leur permettait, eux ou une personne désignée, de maintenir le contact avec l’ambassade britannique à Alger. Aucun élément de preuve crédible n’indique que les assurances reçues n’ont pas été respectées. (Voir aussi le paragraphe 7 ci-dessus</w:t>
      </w:r>
      <w:r w:rsidR="000B562B" w:rsidRPr="00A176EA">
        <w:rPr>
          <w:lang w:val="fr-FR"/>
        </w:rPr>
        <w:t>.)</w:t>
      </w:r>
    </w:p>
    <w:p w:rsidR="000B562B" w:rsidRPr="007A542D" w:rsidRDefault="00732870" w:rsidP="000E2387">
      <w:pPr>
        <w:pStyle w:val="SingleTxtG"/>
        <w:ind w:firstLine="567"/>
        <w:rPr>
          <w:b/>
          <w:lang w:val="fr-FR"/>
        </w:rPr>
      </w:pPr>
      <w:r w:rsidRPr="00BE20DF">
        <w:rPr>
          <w:b/>
          <w:lang w:val="fr-FR"/>
        </w:rPr>
        <w:t>j)</w:t>
      </w:r>
      <w:r w:rsidRPr="00BE20DF">
        <w:rPr>
          <w:b/>
          <w:lang w:val="fr-FR"/>
        </w:rPr>
        <w:tab/>
      </w:r>
      <w:r w:rsidR="007A542D" w:rsidRPr="00BE20DF">
        <w:rPr>
          <w:b/>
          <w:lang w:val="fr-FR"/>
        </w:rPr>
        <w:t>Que l’État partie veille à ce que le comportement de ses agents, notamment ceux qui procèdent à des interrogatoires dans tout lieu de détention situé outre-mer</w:t>
      </w:r>
      <w:r w:rsidR="002277CB">
        <w:rPr>
          <w:b/>
          <w:lang w:val="fr-FR"/>
        </w:rPr>
        <w:t>,</w:t>
      </w:r>
      <w:r w:rsidR="007A542D" w:rsidRPr="00BE20DF">
        <w:rPr>
          <w:b/>
          <w:lang w:val="fr-FR"/>
        </w:rPr>
        <w:t xml:space="preserve"> soit strictement conforme aux prescriptions de la Convention et que toute infraction à la Convention dont l’État partie aurait connaissance fasse l’objet d’une enquête rapide et impartiale, et, si nécessaire, de poursuites pénales engagées par l’État devant une juridiction appropriée</w:t>
      </w:r>
      <w:r w:rsidR="000B562B" w:rsidRPr="00BE20DF">
        <w:rPr>
          <w:b/>
          <w:lang w:val="fr-FR"/>
        </w:rPr>
        <w:t>.</w:t>
      </w:r>
    </w:p>
    <w:p w:rsidR="000B562B" w:rsidRPr="00A176EA" w:rsidRDefault="002549A9" w:rsidP="00BE3904">
      <w:pPr>
        <w:pStyle w:val="SingleTxtG"/>
        <w:tabs>
          <w:tab w:val="left" w:pos="567"/>
          <w:tab w:val="left" w:pos="1134"/>
          <w:tab w:val="left" w:pos="1701"/>
          <w:tab w:val="left" w:pos="2110"/>
        </w:tabs>
        <w:rPr>
          <w:lang w:val="fr-FR"/>
        </w:rPr>
      </w:pPr>
      <w:r w:rsidRPr="00A176EA">
        <w:rPr>
          <w:lang w:val="fr-FR"/>
        </w:rPr>
        <w:t>130.</w:t>
      </w:r>
      <w:r w:rsidRPr="00A176EA">
        <w:rPr>
          <w:lang w:val="fr-FR"/>
        </w:rPr>
        <w:tab/>
      </w:r>
      <w:r w:rsidR="00687AA8">
        <w:rPr>
          <w:lang w:val="fr-FR"/>
        </w:rPr>
        <w:t xml:space="preserve">Tous les agents du renseignement et </w:t>
      </w:r>
      <w:r w:rsidR="002255B5">
        <w:rPr>
          <w:lang w:val="fr-FR"/>
        </w:rPr>
        <w:t xml:space="preserve">les </w:t>
      </w:r>
      <w:r w:rsidR="00687AA8">
        <w:rPr>
          <w:lang w:val="fr-FR"/>
        </w:rPr>
        <w:t xml:space="preserve">militaires britanniques reçoivent des consignes sur les normes applicables pendant la détention et </w:t>
      </w:r>
      <w:r w:rsidR="009859F3">
        <w:rPr>
          <w:lang w:val="fr-FR"/>
        </w:rPr>
        <w:t>les interrogatoires</w:t>
      </w:r>
      <w:r w:rsidR="00687AA8">
        <w:rPr>
          <w:lang w:val="fr-FR"/>
        </w:rPr>
        <w:t xml:space="preserve"> de détenus à l’étranger, dont la façon dont ils doivent travailler avec nos partenaires agents de liaison du </w:t>
      </w:r>
      <w:r w:rsidR="007A4029">
        <w:rPr>
          <w:lang w:val="fr-FR"/>
        </w:rPr>
        <w:t>renseignement. Le 6 juillet 2010, le Premier Ministre a annoncé la publication</w:t>
      </w:r>
      <w:r w:rsidR="00BE3904">
        <w:rPr>
          <w:lang w:val="fr-FR"/>
        </w:rPr>
        <w:t xml:space="preserve"> des</w:t>
      </w:r>
      <w:r w:rsidR="007A4029">
        <w:rPr>
          <w:lang w:val="fr-FR"/>
        </w:rPr>
        <w:t xml:space="preserve"> </w:t>
      </w:r>
      <w:r w:rsidR="00BE3904" w:rsidRPr="009F2DD9">
        <w:rPr>
          <w:i/>
          <w:iCs/>
          <w:color w:val="000000"/>
          <w:szCs w:val="22"/>
          <w:lang w:val="fr-FR"/>
        </w:rPr>
        <w:t>Directives aux agents de renseignement et au</w:t>
      </w:r>
      <w:r w:rsidR="009859F3" w:rsidRPr="009F2DD9">
        <w:rPr>
          <w:i/>
          <w:iCs/>
          <w:color w:val="000000"/>
          <w:szCs w:val="22"/>
          <w:lang w:val="fr-FR"/>
        </w:rPr>
        <w:t>x</w:t>
      </w:r>
      <w:r w:rsidR="00BE3904" w:rsidRPr="009F2DD9">
        <w:rPr>
          <w:i/>
          <w:iCs/>
          <w:color w:val="000000"/>
          <w:szCs w:val="22"/>
          <w:lang w:val="fr-FR"/>
        </w:rPr>
        <w:t xml:space="preserve"> </w:t>
      </w:r>
      <w:r w:rsidR="009859F3" w:rsidRPr="009F2DD9">
        <w:rPr>
          <w:i/>
          <w:iCs/>
          <w:color w:val="000000"/>
          <w:szCs w:val="22"/>
          <w:lang w:val="fr-FR"/>
        </w:rPr>
        <w:t>militaires</w:t>
      </w:r>
      <w:r w:rsidR="00BE3904" w:rsidRPr="009F2DD9">
        <w:rPr>
          <w:i/>
          <w:iCs/>
          <w:color w:val="000000"/>
          <w:szCs w:val="22"/>
          <w:lang w:val="fr-FR"/>
        </w:rPr>
        <w:t xml:space="preserve"> sur la détention et les interrogatoires de détenus à l’étranger, et sur la transmission et la réception d’informations relatives à ces détenus</w:t>
      </w:r>
      <w:r w:rsidR="00BE3904" w:rsidRPr="002277CB">
        <w:rPr>
          <w:color w:val="000000"/>
          <w:szCs w:val="22"/>
          <w:lang w:val="fr-FR"/>
        </w:rPr>
        <w:t>.</w:t>
      </w:r>
      <w:r w:rsidR="00BE3904">
        <w:rPr>
          <w:color w:val="000000"/>
          <w:szCs w:val="22"/>
          <w:lang w:val="fr-FR"/>
        </w:rPr>
        <w:t xml:space="preserve"> Ces directives constituent un cadre pratique pour toutes les situations induisant un contact entre le personnel et un détenu</w:t>
      </w:r>
      <w:r w:rsidR="002255B5">
        <w:rPr>
          <w:color w:val="000000"/>
          <w:szCs w:val="22"/>
          <w:lang w:val="fr-FR"/>
        </w:rPr>
        <w:t>,</w:t>
      </w:r>
      <w:r w:rsidR="00BE3904">
        <w:rPr>
          <w:color w:val="000000"/>
          <w:szCs w:val="22"/>
          <w:lang w:val="fr-FR"/>
        </w:rPr>
        <w:t xml:space="preserve"> et indiquent clairement que le Royaume-Uni agit conformément à ses obligations nationales et internationales</w:t>
      </w:r>
      <w:r w:rsidR="000B562B" w:rsidRPr="00A176EA">
        <w:rPr>
          <w:lang w:val="fr-FR"/>
        </w:rPr>
        <w:t>.</w:t>
      </w:r>
    </w:p>
    <w:p w:rsidR="000B562B" w:rsidRPr="00A176EA" w:rsidRDefault="002549A9" w:rsidP="00676483">
      <w:pPr>
        <w:pStyle w:val="SingleTxtG"/>
        <w:rPr>
          <w:lang w:val="fr-FR"/>
        </w:rPr>
      </w:pPr>
      <w:r w:rsidRPr="00A176EA">
        <w:rPr>
          <w:lang w:val="fr-FR"/>
        </w:rPr>
        <w:t>131.</w:t>
      </w:r>
      <w:r w:rsidRPr="00A176EA">
        <w:rPr>
          <w:lang w:val="fr-FR"/>
        </w:rPr>
        <w:tab/>
      </w:r>
      <w:r w:rsidR="00BE3904" w:rsidRPr="00BE3904">
        <w:rPr>
          <w:lang w:val="fr-FR"/>
        </w:rPr>
        <w:t xml:space="preserve">Les </w:t>
      </w:r>
      <w:r w:rsidR="00676483">
        <w:rPr>
          <w:lang w:val="fr-FR"/>
        </w:rPr>
        <w:t>f</w:t>
      </w:r>
      <w:r w:rsidR="00BE3904" w:rsidRPr="00BE3904">
        <w:rPr>
          <w:lang w:val="fr-FR"/>
        </w:rPr>
        <w:t>orces armées britanniques suivent une formation obligatoire approfondie, y compris un enseignement spécifique su</w:t>
      </w:r>
      <w:r w:rsidR="00BE3904">
        <w:rPr>
          <w:lang w:val="fr-FR"/>
        </w:rPr>
        <w:t xml:space="preserve">r le traitement des prisonniers. </w:t>
      </w:r>
      <w:r w:rsidR="00676483">
        <w:rPr>
          <w:lang w:val="fr-FR"/>
        </w:rPr>
        <w:t xml:space="preserve">Elles reçoivent également une formation au droit des conflits armés et, le cas échéant, aux autres obligations découlant des traités internationaux relatifs aux droits de l’homme. Tous les personnels doivent suivre des cours de </w:t>
      </w:r>
      <w:r w:rsidR="002277CB">
        <w:rPr>
          <w:lang w:val="fr-FR"/>
        </w:rPr>
        <w:t>mise à niveau</w:t>
      </w:r>
      <w:r w:rsidR="000B562B" w:rsidRPr="00A176EA">
        <w:rPr>
          <w:lang w:val="fr-FR"/>
        </w:rPr>
        <w:t>.</w:t>
      </w:r>
    </w:p>
    <w:p w:rsidR="000B562B" w:rsidRPr="00A176EA" w:rsidRDefault="002549A9" w:rsidP="00DD2FA8">
      <w:pPr>
        <w:pStyle w:val="SingleTxtG"/>
        <w:rPr>
          <w:lang w:val="fr-FR"/>
        </w:rPr>
      </w:pPr>
      <w:r w:rsidRPr="00A176EA">
        <w:rPr>
          <w:lang w:val="fr-FR"/>
        </w:rPr>
        <w:t>132.</w:t>
      </w:r>
      <w:r w:rsidRPr="00A176EA">
        <w:rPr>
          <w:lang w:val="fr-FR"/>
        </w:rPr>
        <w:tab/>
      </w:r>
      <w:r w:rsidR="00676483">
        <w:rPr>
          <w:lang w:val="fr-FR"/>
        </w:rPr>
        <w:t>L</w:t>
      </w:r>
      <w:r w:rsidR="00676483" w:rsidRPr="00676483">
        <w:rPr>
          <w:lang w:val="fr-FR"/>
        </w:rPr>
        <w:t xml:space="preserve">es règles de conduite et de traitement physique des prisonniers que les forces britanniques doivent appliquer </w:t>
      </w:r>
      <w:r w:rsidR="00DD2FA8">
        <w:rPr>
          <w:lang w:val="fr-FR"/>
        </w:rPr>
        <w:t>figurent dans la législation</w:t>
      </w:r>
      <w:r w:rsidR="00676483" w:rsidRPr="00676483">
        <w:rPr>
          <w:lang w:val="fr-FR"/>
        </w:rPr>
        <w:t xml:space="preserve"> international</w:t>
      </w:r>
      <w:r w:rsidR="00DD2FA8">
        <w:rPr>
          <w:lang w:val="fr-FR"/>
        </w:rPr>
        <w:t>e</w:t>
      </w:r>
      <w:r w:rsidR="00676483" w:rsidRPr="00676483">
        <w:rPr>
          <w:lang w:val="fr-FR"/>
        </w:rPr>
        <w:t xml:space="preserve"> pertinent</w:t>
      </w:r>
      <w:r w:rsidR="00DD2FA8">
        <w:rPr>
          <w:lang w:val="fr-FR"/>
        </w:rPr>
        <w:t>e</w:t>
      </w:r>
      <w:r w:rsidR="00676483" w:rsidRPr="00676483">
        <w:rPr>
          <w:lang w:val="fr-FR"/>
        </w:rPr>
        <w:t xml:space="preserve"> et </w:t>
      </w:r>
      <w:r w:rsidR="00DD2FA8">
        <w:rPr>
          <w:lang w:val="fr-FR"/>
        </w:rPr>
        <w:t>dans le</w:t>
      </w:r>
      <w:r w:rsidR="00676483" w:rsidRPr="00676483">
        <w:rPr>
          <w:lang w:val="fr-FR"/>
        </w:rPr>
        <w:t xml:space="preserve"> droit </w:t>
      </w:r>
      <w:r w:rsidR="00DD2FA8">
        <w:rPr>
          <w:lang w:val="fr-FR"/>
        </w:rPr>
        <w:t>national</w:t>
      </w:r>
      <w:r w:rsidR="00676483" w:rsidRPr="00676483">
        <w:rPr>
          <w:lang w:val="fr-FR"/>
        </w:rPr>
        <w:t xml:space="preserve"> qui s’applique aux forces britanniques </w:t>
      </w:r>
      <w:r w:rsidR="00DD2FA8">
        <w:rPr>
          <w:lang w:val="fr-FR"/>
        </w:rPr>
        <w:t>en toutes circonstances</w:t>
      </w:r>
      <w:r w:rsidR="00676483" w:rsidRPr="00676483">
        <w:rPr>
          <w:lang w:val="fr-FR"/>
        </w:rPr>
        <w:t xml:space="preserve">, où qu’elles </w:t>
      </w:r>
      <w:r w:rsidR="00DD2FA8">
        <w:rPr>
          <w:lang w:val="fr-FR"/>
        </w:rPr>
        <w:t>interviennent</w:t>
      </w:r>
      <w:r w:rsidR="00676483" w:rsidRPr="00676483">
        <w:rPr>
          <w:lang w:val="fr-FR"/>
        </w:rPr>
        <w:t xml:space="preserve"> dans le monde</w:t>
      </w:r>
      <w:r w:rsidR="00DD2FA8">
        <w:rPr>
          <w:lang w:val="fr-FR"/>
        </w:rPr>
        <w:t>. La torture, où qu’elle se pratique, est expressément définie comme une infraction pénale dans la législation britannique et, par conséquent, les forces armées britanniques ne peuvent se livrer à de tels actes en toute impunité. Cela signifie que, où qu’elles soient déployées dans le monde et que ce pays soit ou non signataire de la Convention européenne des droits de l’homme ou de la Convention des Nations Unies contre la torture, les militaires britanniques peuvent avoir à répondre de leurs actes</w:t>
      </w:r>
      <w:r w:rsidR="000B562B" w:rsidRPr="00A176EA">
        <w:rPr>
          <w:lang w:val="fr-FR"/>
        </w:rPr>
        <w:t>.</w:t>
      </w:r>
    </w:p>
    <w:p w:rsidR="000B562B" w:rsidRPr="00A176EA" w:rsidRDefault="002549A9" w:rsidP="006832BC">
      <w:pPr>
        <w:pStyle w:val="SingleTxtG"/>
        <w:tabs>
          <w:tab w:val="left" w:pos="567"/>
          <w:tab w:val="left" w:pos="1134"/>
          <w:tab w:val="left" w:pos="1701"/>
          <w:tab w:val="left" w:pos="2160"/>
        </w:tabs>
        <w:rPr>
          <w:lang w:val="fr-FR"/>
        </w:rPr>
      </w:pPr>
      <w:r w:rsidRPr="00A176EA">
        <w:rPr>
          <w:lang w:val="fr-FR"/>
        </w:rPr>
        <w:t>133.</w:t>
      </w:r>
      <w:r w:rsidRPr="00A176EA">
        <w:rPr>
          <w:lang w:val="fr-FR"/>
        </w:rPr>
        <w:tab/>
      </w:r>
      <w:r w:rsidR="00C55073">
        <w:rPr>
          <w:lang w:val="fr-FR"/>
        </w:rPr>
        <w:t xml:space="preserve">Toute accusation d’exaction portée contre des militaires britanniques fait l’objet d’une enquête approfondie. S’agissant des agents </w:t>
      </w:r>
      <w:r w:rsidR="0098762F">
        <w:rPr>
          <w:lang w:val="fr-FR"/>
        </w:rPr>
        <w:t xml:space="preserve">de renseignement, tout cas potentiel d’acte criminel est transmis aux autorités compétentes, qui décident s’il y a lieu de demander à la police de procéder à une enquête criminelle. Concernant les forces armées, la police militaire est indépendante du commandement militaire en matière d’enquêtes et, de ce fait, impartiale. La décision d’engager des poursuites incombe au Directeur des poursuites militaires, chef </w:t>
      </w:r>
      <w:r w:rsidR="006832BC">
        <w:rPr>
          <w:lang w:val="fr-FR"/>
        </w:rPr>
        <w:t>du parquet militaire</w:t>
      </w:r>
      <w:r w:rsidR="000B562B" w:rsidRPr="00A176EA">
        <w:rPr>
          <w:lang w:val="fr-FR"/>
        </w:rPr>
        <w:t>.</w:t>
      </w:r>
    </w:p>
    <w:p w:rsidR="000B562B" w:rsidRPr="00A176EA" w:rsidRDefault="002549A9" w:rsidP="006832BC">
      <w:pPr>
        <w:pStyle w:val="SingleTxtG"/>
        <w:rPr>
          <w:lang w:val="fr-FR"/>
        </w:rPr>
      </w:pPr>
      <w:r w:rsidRPr="00A176EA">
        <w:rPr>
          <w:lang w:val="fr-FR"/>
        </w:rPr>
        <w:t>134.</w:t>
      </w:r>
      <w:r w:rsidRPr="00A176EA">
        <w:rPr>
          <w:lang w:val="fr-FR"/>
        </w:rPr>
        <w:tab/>
      </w:r>
      <w:r w:rsidR="006832BC">
        <w:rPr>
          <w:lang w:val="fr-FR"/>
        </w:rPr>
        <w:t>Le parquet militaire a été créé le 1</w:t>
      </w:r>
      <w:r w:rsidR="006832BC" w:rsidRPr="006832BC">
        <w:rPr>
          <w:vertAlign w:val="superscript"/>
          <w:lang w:val="fr-FR"/>
        </w:rPr>
        <w:t>er</w:t>
      </w:r>
      <w:r w:rsidR="006832BC">
        <w:rPr>
          <w:lang w:val="fr-FR"/>
        </w:rPr>
        <w:t xml:space="preserve"> janvier 2009 pour regrouper les parquets de la marine, de l’armée de terre et de l’armée de l’air nationales. Dirigé par un civil, il est indépendant de l’armée et du Ministère de la défense de façon à ce que l’indépendance des poursuites soit garantie</w:t>
      </w:r>
      <w:r w:rsidR="000B562B" w:rsidRPr="00A176EA">
        <w:rPr>
          <w:lang w:val="fr-FR"/>
        </w:rPr>
        <w:t>.</w:t>
      </w:r>
    </w:p>
    <w:p w:rsidR="000B562B" w:rsidRPr="00A176EA" w:rsidRDefault="00732870" w:rsidP="00732870">
      <w:pPr>
        <w:pStyle w:val="SingleTxtG"/>
        <w:ind w:firstLine="567"/>
        <w:rPr>
          <w:b/>
          <w:lang w:val="fr-FR"/>
        </w:rPr>
      </w:pPr>
      <w:r w:rsidRPr="00A56B57">
        <w:rPr>
          <w:b/>
          <w:lang w:val="fr-FR"/>
        </w:rPr>
        <w:t>k)</w:t>
      </w:r>
      <w:r w:rsidRPr="00A56B57">
        <w:rPr>
          <w:b/>
          <w:lang w:val="fr-FR"/>
        </w:rPr>
        <w:tab/>
      </w:r>
      <w:r w:rsidR="00326650" w:rsidRPr="00A56B57">
        <w:rPr>
          <w:b/>
          <w:lang w:val="fr-FR"/>
        </w:rPr>
        <w:t xml:space="preserve">Que l’État partie </w:t>
      </w:r>
      <w:r w:rsidR="007A542D" w:rsidRPr="00A56B57">
        <w:rPr>
          <w:b/>
          <w:lang w:val="fr-FR"/>
        </w:rPr>
        <w:t>prenne</w:t>
      </w:r>
      <w:r w:rsidR="000B562B" w:rsidRPr="00A56B57">
        <w:rPr>
          <w:b/>
          <w:lang w:val="fr-FR"/>
        </w:rPr>
        <w:t xml:space="preserve"> </w:t>
      </w:r>
      <w:r w:rsidR="007A542D" w:rsidRPr="00A56B57">
        <w:rPr>
          <w:b/>
          <w:lang w:val="fr-FR"/>
        </w:rPr>
        <w:t xml:space="preserve">toutes mesures utiles pour examiner les enquêtes sur les décès causés par l’utilisation d’une force meurtrière en Irlande du Nord qui n’ont pas été élucidés, d’une manière qui, comme l’ont dit les représentants de l’État partie, </w:t>
      </w:r>
      <w:r w:rsidR="00CD0110">
        <w:rPr>
          <w:b/>
          <w:lang w:val="fr-FR"/>
        </w:rPr>
        <w:t>«</w:t>
      </w:r>
      <w:r w:rsidR="007A542D" w:rsidRPr="00A56B57">
        <w:rPr>
          <w:b/>
          <w:lang w:val="fr-FR"/>
        </w:rPr>
        <w:t>suscite la confiance du public</w:t>
      </w:r>
      <w:r w:rsidR="00CD0110">
        <w:rPr>
          <w:b/>
          <w:lang w:val="fr-FR"/>
        </w:rPr>
        <w:t>»</w:t>
      </w:r>
      <w:r w:rsidR="000B562B" w:rsidRPr="00A56B57">
        <w:rPr>
          <w:b/>
          <w:lang w:val="fr-FR"/>
        </w:rPr>
        <w:t>.</w:t>
      </w:r>
    </w:p>
    <w:p w:rsidR="000B562B" w:rsidRPr="00A176EA" w:rsidRDefault="002549A9" w:rsidP="005F24A6">
      <w:pPr>
        <w:pStyle w:val="SingleTxtG"/>
        <w:rPr>
          <w:lang w:val="fr-FR"/>
        </w:rPr>
      </w:pPr>
      <w:r w:rsidRPr="00A176EA">
        <w:rPr>
          <w:lang w:val="fr-FR"/>
        </w:rPr>
        <w:t>135.</w:t>
      </w:r>
      <w:r w:rsidRPr="00A176EA">
        <w:rPr>
          <w:lang w:val="fr-FR"/>
        </w:rPr>
        <w:tab/>
      </w:r>
      <w:r w:rsidR="008965C9">
        <w:rPr>
          <w:lang w:val="fr-FR"/>
        </w:rPr>
        <w:t xml:space="preserve">Gérer les </w:t>
      </w:r>
      <w:r w:rsidR="00562C5E">
        <w:rPr>
          <w:lang w:val="fr-FR"/>
        </w:rPr>
        <w:t>séquelles</w:t>
      </w:r>
      <w:r w:rsidR="008965C9">
        <w:rPr>
          <w:lang w:val="fr-FR"/>
        </w:rPr>
        <w:t xml:space="preserve"> du passé violent de l’Irlande du Nord est un véritable défi. Cette responsabilité incombe non seulement à l’administration </w:t>
      </w:r>
      <w:r w:rsidR="002277CB">
        <w:rPr>
          <w:lang w:val="fr-FR"/>
        </w:rPr>
        <w:t>dévolue</w:t>
      </w:r>
      <w:r w:rsidR="008965C9">
        <w:rPr>
          <w:lang w:val="fr-FR"/>
        </w:rPr>
        <w:t xml:space="preserve"> et aux élus locaux d’Irlande du Nord, mais également au Gouvernement central, au Gouvernement irlandais et au </w:t>
      </w:r>
      <w:r w:rsidR="008965C9" w:rsidRPr="00674D19">
        <w:rPr>
          <w:lang w:val="fr-FR"/>
        </w:rPr>
        <w:t xml:space="preserve">Gouvernement </w:t>
      </w:r>
      <w:r w:rsidR="00674D19">
        <w:rPr>
          <w:lang w:val="fr-FR"/>
        </w:rPr>
        <w:t>américain</w:t>
      </w:r>
      <w:r w:rsidR="008965C9">
        <w:rPr>
          <w:lang w:val="fr-FR"/>
        </w:rPr>
        <w:t xml:space="preserve">. </w:t>
      </w:r>
      <w:r w:rsidR="005F24A6">
        <w:rPr>
          <w:lang w:val="fr-FR"/>
        </w:rPr>
        <w:t>La communauté ne parvient pas à un réel consensus sur les moyens à employer. Cela dit, une série de mesures ont été prises pour enquêter sur les décès non élucidés en Irlande du Nord</w:t>
      </w:r>
      <w:r w:rsidR="002277CB">
        <w:rPr>
          <w:lang w:val="fr-FR"/>
        </w:rPr>
        <w:t>, lesquelles</w:t>
      </w:r>
      <w:r w:rsidR="005F24A6">
        <w:rPr>
          <w:lang w:val="fr-FR"/>
        </w:rPr>
        <w:t xml:space="preserve"> sont décrites ci-après</w:t>
      </w:r>
      <w:r w:rsidR="000B562B" w:rsidRPr="00A176EA">
        <w:rPr>
          <w:lang w:val="fr-FR"/>
        </w:rPr>
        <w:t>.</w:t>
      </w:r>
    </w:p>
    <w:p w:rsidR="000B562B" w:rsidRPr="00A176EA" w:rsidRDefault="002549A9" w:rsidP="009B59BD">
      <w:pPr>
        <w:pStyle w:val="SingleTxtG"/>
        <w:rPr>
          <w:color w:val="000000"/>
          <w:lang w:val="fr-FR"/>
        </w:rPr>
      </w:pPr>
      <w:r w:rsidRPr="00A176EA">
        <w:rPr>
          <w:color w:val="000000"/>
          <w:lang w:val="fr-FR"/>
        </w:rPr>
        <w:t>136.</w:t>
      </w:r>
      <w:r w:rsidRPr="00A176EA">
        <w:rPr>
          <w:color w:val="000000"/>
          <w:lang w:val="fr-FR"/>
        </w:rPr>
        <w:tab/>
      </w:r>
      <w:r w:rsidR="005F24A6">
        <w:rPr>
          <w:color w:val="000000"/>
          <w:lang w:val="fr-FR"/>
        </w:rPr>
        <w:t xml:space="preserve">Il est nécessaire de réunir un consensus au sein de la communauté d’Irlande du Nord pour gérer de façon positive et réparatrice les conséquences du passé violent de l’Irlande du Nord. Le nouveau Gouvernement a entamé une série de discussions avec les partis politiques d’Irlande du Nord et des associations de victimes, et se fondera sur les résultats de ces discussions pour  </w:t>
      </w:r>
      <w:r w:rsidR="009B59BD">
        <w:rPr>
          <w:color w:val="000000"/>
          <w:lang w:val="fr-FR"/>
        </w:rPr>
        <w:t>décider comment aborder le passé</w:t>
      </w:r>
      <w:r w:rsidR="000B562B" w:rsidRPr="00A176EA">
        <w:rPr>
          <w:lang w:val="fr-FR"/>
        </w:rPr>
        <w:t>.</w:t>
      </w:r>
    </w:p>
    <w:p w:rsidR="000B562B" w:rsidRDefault="002549A9" w:rsidP="009B59BD">
      <w:pPr>
        <w:pStyle w:val="SingleTxtG"/>
        <w:rPr>
          <w:lang w:val="fr-FR"/>
        </w:rPr>
      </w:pPr>
      <w:r w:rsidRPr="00A176EA">
        <w:rPr>
          <w:color w:val="000000"/>
          <w:lang w:val="fr-FR"/>
        </w:rPr>
        <w:t>137.</w:t>
      </w:r>
      <w:r w:rsidRPr="00A176EA">
        <w:rPr>
          <w:color w:val="000000"/>
          <w:lang w:val="fr-FR"/>
        </w:rPr>
        <w:tab/>
      </w:r>
      <w:r w:rsidR="004236F0" w:rsidRPr="004236F0">
        <w:rPr>
          <w:lang w:val="fr-FR"/>
        </w:rPr>
        <w:t>L’</w:t>
      </w:r>
      <w:r w:rsidR="004236F0">
        <w:rPr>
          <w:lang w:val="fr-FR"/>
        </w:rPr>
        <w:t>É</w:t>
      </w:r>
      <w:r w:rsidR="004236F0" w:rsidRPr="004236F0">
        <w:rPr>
          <w:lang w:val="fr-FR"/>
        </w:rPr>
        <w:t>quipe d’enquête sur les faits du p</w:t>
      </w:r>
      <w:r w:rsidR="004236F0">
        <w:rPr>
          <w:lang w:val="fr-FR"/>
        </w:rPr>
        <w:t>assé (Historical Enquiries Team</w:t>
      </w:r>
      <w:r w:rsidR="004236F0" w:rsidRPr="004236F0">
        <w:rPr>
          <w:lang w:val="fr-FR"/>
        </w:rPr>
        <w:t>) d</w:t>
      </w:r>
      <w:r w:rsidR="009B59BD">
        <w:rPr>
          <w:lang w:val="fr-FR"/>
        </w:rPr>
        <w:t>es</w:t>
      </w:r>
      <w:r w:rsidR="004236F0" w:rsidRPr="004236F0">
        <w:rPr>
          <w:lang w:val="fr-FR"/>
        </w:rPr>
        <w:t xml:space="preserve"> Service</w:t>
      </w:r>
      <w:r w:rsidR="009B59BD">
        <w:rPr>
          <w:lang w:val="fr-FR"/>
        </w:rPr>
        <w:t>s</w:t>
      </w:r>
      <w:r w:rsidR="004236F0" w:rsidRPr="004236F0">
        <w:rPr>
          <w:lang w:val="fr-FR"/>
        </w:rPr>
        <w:t xml:space="preserve"> de police d’Irlande du Nord a </w:t>
      </w:r>
      <w:r w:rsidR="009B59BD">
        <w:rPr>
          <w:lang w:val="fr-FR"/>
        </w:rPr>
        <w:t>commencé</w:t>
      </w:r>
      <w:r w:rsidR="004236F0" w:rsidRPr="004236F0">
        <w:rPr>
          <w:lang w:val="fr-FR"/>
        </w:rPr>
        <w:t xml:space="preserve"> ses activités en janvier 2006 et doit réaliser une réévaluation approfondie et indépendante des 3 268 décès non élucidés</w:t>
      </w:r>
      <w:r w:rsidR="009B59BD">
        <w:rPr>
          <w:lang w:val="fr-FR"/>
        </w:rPr>
        <w:t>,</w:t>
      </w:r>
      <w:r w:rsidR="004236F0" w:rsidRPr="004236F0">
        <w:rPr>
          <w:lang w:val="fr-FR"/>
        </w:rPr>
        <w:t xml:space="preserve"> imputables aux </w:t>
      </w:r>
      <w:r w:rsidR="00CD0110">
        <w:rPr>
          <w:lang w:val="fr-FR"/>
        </w:rPr>
        <w:t>«</w:t>
      </w:r>
      <w:r w:rsidR="004236F0" w:rsidRPr="004236F0">
        <w:rPr>
          <w:lang w:val="fr-FR"/>
        </w:rPr>
        <w:t>Troubles</w:t>
      </w:r>
      <w:r w:rsidR="00CD0110">
        <w:rPr>
          <w:lang w:val="fr-FR"/>
        </w:rPr>
        <w:t>»</w:t>
      </w:r>
      <w:r w:rsidR="009B59BD">
        <w:rPr>
          <w:lang w:val="fr-FR"/>
        </w:rPr>
        <w:t>, intervenus</w:t>
      </w:r>
      <w:r w:rsidR="004236F0" w:rsidRPr="004236F0">
        <w:rPr>
          <w:lang w:val="fr-FR"/>
        </w:rPr>
        <w:t xml:space="preserve"> entre 1968 et 1998. </w:t>
      </w:r>
      <w:r w:rsidR="009B59BD" w:rsidRPr="004236F0">
        <w:rPr>
          <w:lang w:val="fr-FR"/>
        </w:rPr>
        <w:t>L’</w:t>
      </w:r>
      <w:r w:rsidR="009B59BD">
        <w:rPr>
          <w:lang w:val="fr-FR"/>
        </w:rPr>
        <w:t>É</w:t>
      </w:r>
      <w:r w:rsidR="009B59BD" w:rsidRPr="004236F0">
        <w:rPr>
          <w:lang w:val="fr-FR"/>
        </w:rPr>
        <w:t xml:space="preserve">quipe d’enquête </w:t>
      </w:r>
      <w:r w:rsidR="004236F0" w:rsidRPr="004236F0">
        <w:rPr>
          <w:lang w:val="fr-FR"/>
        </w:rPr>
        <w:t>a trois objectifs</w:t>
      </w:r>
      <w:r w:rsidR="00FC2B97">
        <w:rPr>
          <w:lang w:val="fr-FR"/>
        </w:rPr>
        <w:t>:</w:t>
      </w:r>
    </w:p>
    <w:p w:rsidR="004F7F98" w:rsidRDefault="00C245B6" w:rsidP="00BC0033">
      <w:pPr>
        <w:pStyle w:val="Bullet1G"/>
      </w:pPr>
      <w:r w:rsidRPr="00C245B6">
        <w:t xml:space="preserve">Contribuer à apporter une </w:t>
      </w:r>
      <w:r w:rsidR="00CD0110">
        <w:t>«</w:t>
      </w:r>
      <w:r w:rsidRPr="00C245B6">
        <w:t>forme de conclusion</w:t>
      </w:r>
      <w:r w:rsidR="00CD0110">
        <w:t>»</w:t>
      </w:r>
      <w:r w:rsidRPr="00C245B6">
        <w:t xml:space="preserve"> aux familles de victimes touchées par les décès </w:t>
      </w:r>
      <w:r w:rsidR="0014412E">
        <w:t>dus</w:t>
      </w:r>
      <w:r w:rsidRPr="00C245B6">
        <w:t xml:space="preserve"> aux </w:t>
      </w:r>
      <w:r w:rsidR="00CD0110">
        <w:t>«</w:t>
      </w:r>
      <w:r w:rsidR="004F7F98" w:rsidRPr="00C245B6">
        <w:t>Troubles</w:t>
      </w:r>
      <w:r w:rsidR="00CD0110">
        <w:t>»</w:t>
      </w:r>
      <w:r w:rsidR="00FC2B97">
        <w:t>;</w:t>
      </w:r>
    </w:p>
    <w:p w:rsidR="004F7F98" w:rsidRDefault="00C245B6" w:rsidP="00BC0033">
      <w:pPr>
        <w:pStyle w:val="Bullet1G"/>
      </w:pPr>
      <w:r w:rsidRPr="00C245B6">
        <w:t xml:space="preserve">Réexaminer tous les décès </w:t>
      </w:r>
      <w:r w:rsidR="0014412E">
        <w:t>dus</w:t>
      </w:r>
      <w:r w:rsidRPr="00C245B6">
        <w:t xml:space="preserve"> aux </w:t>
      </w:r>
      <w:r w:rsidR="00CD0110">
        <w:t>«</w:t>
      </w:r>
      <w:r w:rsidRPr="00C245B6">
        <w:t>Troubles</w:t>
      </w:r>
      <w:r w:rsidR="00CD0110">
        <w:t>»</w:t>
      </w:r>
      <w:r w:rsidRPr="00C245B6">
        <w:t xml:space="preserve"> et faire en sorte que toutes les pistes d’enquête et preuves éventuelles soient examinées et exploitées d’une manière conforme à l’obligation de la police d’Irlande du Nord de conduire une </w:t>
      </w:r>
      <w:r w:rsidR="00CD0110">
        <w:t>«</w:t>
      </w:r>
      <w:r w:rsidRPr="00C245B6">
        <w:t>enquête efficace</w:t>
      </w:r>
      <w:r w:rsidR="00CD0110">
        <w:t>»</w:t>
      </w:r>
      <w:r w:rsidRPr="00C245B6">
        <w:t xml:space="preserve"> (art. 2 du Code d’éthique des Services de police d’Irlande </w:t>
      </w:r>
      <w:r w:rsidR="004F7F98" w:rsidRPr="00C245B6">
        <w:t>du Nord)</w:t>
      </w:r>
      <w:r w:rsidR="00FC2B97">
        <w:t>;</w:t>
      </w:r>
      <w:r w:rsidR="004F7F98" w:rsidRPr="00C245B6">
        <w:t xml:space="preserve"> et</w:t>
      </w:r>
    </w:p>
    <w:p w:rsidR="000B562B" w:rsidRPr="00C245B6" w:rsidRDefault="00C245B6" w:rsidP="00BC0033">
      <w:pPr>
        <w:pStyle w:val="Bullet1G"/>
        <w:rPr>
          <w:b/>
        </w:rPr>
      </w:pPr>
      <w:r w:rsidRPr="00C245B6">
        <w:t xml:space="preserve">S’acquitter de ces tâches d’une manière qui suscite la confiance de la communauté dans son </w:t>
      </w:r>
      <w:r w:rsidR="004F7F98" w:rsidRPr="00C245B6">
        <w:t>ensemble</w:t>
      </w:r>
      <w:r w:rsidR="000B562B" w:rsidRPr="00C245B6">
        <w:rPr>
          <w:b/>
        </w:rPr>
        <w:t>.</w:t>
      </w:r>
    </w:p>
    <w:p w:rsidR="000B562B" w:rsidRPr="00A176EA" w:rsidRDefault="002549A9" w:rsidP="0049499F">
      <w:pPr>
        <w:pStyle w:val="SingleTxtG"/>
        <w:rPr>
          <w:color w:val="000000"/>
          <w:lang w:val="fr-FR"/>
        </w:rPr>
      </w:pPr>
      <w:r w:rsidRPr="00A176EA">
        <w:rPr>
          <w:color w:val="000000"/>
          <w:lang w:val="fr-FR"/>
        </w:rPr>
        <w:t>138.</w:t>
      </w:r>
      <w:r w:rsidRPr="00A176EA">
        <w:rPr>
          <w:color w:val="000000"/>
          <w:lang w:val="fr-FR"/>
        </w:rPr>
        <w:tab/>
      </w:r>
      <w:r w:rsidR="0049499F">
        <w:rPr>
          <w:color w:val="000000"/>
          <w:lang w:val="fr-FR"/>
        </w:rPr>
        <w:t xml:space="preserve">L’examen d’une affaire par </w:t>
      </w:r>
      <w:r w:rsidR="00D17116">
        <w:rPr>
          <w:color w:val="000000"/>
          <w:lang w:val="fr-FR"/>
        </w:rPr>
        <w:t>l</w:t>
      </w:r>
      <w:r w:rsidR="0049499F" w:rsidRPr="0049499F">
        <w:rPr>
          <w:color w:val="000000"/>
          <w:lang w:val="fr-FR"/>
        </w:rPr>
        <w:t>’Équipe d’enquête</w:t>
      </w:r>
      <w:r w:rsidR="0049499F">
        <w:rPr>
          <w:color w:val="000000"/>
          <w:lang w:val="fr-FR"/>
        </w:rPr>
        <w:t xml:space="preserve"> se fait en cinq étapes</w:t>
      </w:r>
      <w:r w:rsidR="00FC2B97">
        <w:rPr>
          <w:color w:val="000000"/>
          <w:lang w:val="fr-FR"/>
        </w:rPr>
        <w:t>:</w:t>
      </w:r>
    </w:p>
    <w:p w:rsidR="000B562B" w:rsidRPr="00C245B6" w:rsidRDefault="00C245B6" w:rsidP="00BC0033">
      <w:pPr>
        <w:pStyle w:val="Bullet1G"/>
        <w:rPr>
          <w:color w:val="000000"/>
        </w:rPr>
      </w:pPr>
      <w:r>
        <w:t>Collecte</w:t>
      </w:r>
      <w:r w:rsidR="00FC2B97">
        <w:t>;</w:t>
      </w:r>
    </w:p>
    <w:p w:rsidR="000B562B" w:rsidRPr="00C245B6" w:rsidRDefault="00C245B6" w:rsidP="00BC0033">
      <w:pPr>
        <w:pStyle w:val="Bullet1G"/>
        <w:rPr>
          <w:color w:val="000000"/>
        </w:rPr>
      </w:pPr>
      <w:r w:rsidRPr="00C245B6">
        <w:t>Évaluation</w:t>
      </w:r>
      <w:r w:rsidR="00FC2B97">
        <w:t>;</w:t>
      </w:r>
    </w:p>
    <w:p w:rsidR="000B562B" w:rsidRPr="00C245B6" w:rsidRDefault="00C245B6" w:rsidP="00BC0033">
      <w:pPr>
        <w:pStyle w:val="Bullet1G"/>
        <w:rPr>
          <w:color w:val="000000"/>
        </w:rPr>
      </w:pPr>
      <w:r w:rsidRPr="00C245B6">
        <w:t>Examen</w:t>
      </w:r>
      <w:r w:rsidR="00FC2B97">
        <w:t>;</w:t>
      </w:r>
    </w:p>
    <w:p w:rsidR="000B562B" w:rsidRPr="00C245B6" w:rsidRDefault="00C245B6" w:rsidP="00BC0033">
      <w:pPr>
        <w:pStyle w:val="Bullet1G"/>
        <w:rPr>
          <w:color w:val="000000"/>
        </w:rPr>
      </w:pPr>
      <w:r w:rsidRPr="00C245B6">
        <w:t>Réouverture ciblée de l’enquête</w:t>
      </w:r>
      <w:r w:rsidR="00FC2B97">
        <w:t>;</w:t>
      </w:r>
    </w:p>
    <w:p w:rsidR="000B562B" w:rsidRPr="00C245B6" w:rsidRDefault="00C245B6" w:rsidP="00BC0033">
      <w:pPr>
        <w:pStyle w:val="Bullet1G"/>
        <w:rPr>
          <w:color w:val="000000"/>
        </w:rPr>
      </w:pPr>
      <w:r w:rsidRPr="00C245B6">
        <w:t>Conclusion</w:t>
      </w:r>
      <w:r w:rsidR="000B562B" w:rsidRPr="00C245B6">
        <w:t>.</w:t>
      </w:r>
    </w:p>
    <w:p w:rsidR="000B562B" w:rsidRPr="00A176EA" w:rsidRDefault="002549A9" w:rsidP="00D17116">
      <w:pPr>
        <w:pStyle w:val="SingleTxtG"/>
        <w:rPr>
          <w:color w:val="000000"/>
          <w:lang w:val="fr-FR"/>
        </w:rPr>
      </w:pPr>
      <w:r w:rsidRPr="00A176EA">
        <w:rPr>
          <w:color w:val="000000"/>
          <w:lang w:val="fr-FR"/>
        </w:rPr>
        <w:t>139.</w:t>
      </w:r>
      <w:r w:rsidRPr="00A176EA">
        <w:rPr>
          <w:color w:val="000000"/>
          <w:lang w:val="fr-FR"/>
        </w:rPr>
        <w:tab/>
      </w:r>
      <w:r w:rsidR="0049499F">
        <w:rPr>
          <w:color w:val="000000"/>
          <w:lang w:val="fr-FR"/>
        </w:rPr>
        <w:t xml:space="preserve">En novembre 2010, 1 473 affaires </w:t>
      </w:r>
      <w:r w:rsidR="00D17116">
        <w:rPr>
          <w:color w:val="000000"/>
          <w:lang w:val="fr-FR"/>
        </w:rPr>
        <w:t xml:space="preserve">concernant 1 944 victimes avaient été conclues. </w:t>
      </w:r>
      <w:r w:rsidR="00D17116" w:rsidRPr="0049499F">
        <w:rPr>
          <w:color w:val="000000"/>
          <w:lang w:val="fr-FR"/>
        </w:rPr>
        <w:t>L’Équipe d’enquête</w:t>
      </w:r>
      <w:r w:rsidR="00D17116">
        <w:rPr>
          <w:color w:val="000000"/>
          <w:lang w:val="fr-FR"/>
        </w:rPr>
        <w:t xml:space="preserve"> s’attache à traiter avec les familles en toute honnêteté, confiance et confidentialité. Cette approche </w:t>
      </w:r>
      <w:r w:rsidR="00CD0110">
        <w:rPr>
          <w:color w:val="000000"/>
          <w:lang w:val="fr-FR"/>
        </w:rPr>
        <w:t>«</w:t>
      </w:r>
      <w:r w:rsidR="00D17116">
        <w:rPr>
          <w:color w:val="000000"/>
          <w:lang w:val="fr-FR"/>
        </w:rPr>
        <w:t>centrée sur la famille</w:t>
      </w:r>
      <w:r w:rsidR="00CD0110">
        <w:rPr>
          <w:color w:val="000000"/>
          <w:lang w:val="fr-FR"/>
        </w:rPr>
        <w:t>»</w:t>
      </w:r>
      <w:r w:rsidR="00D17116">
        <w:rPr>
          <w:color w:val="000000"/>
          <w:lang w:val="fr-FR"/>
        </w:rPr>
        <w:t xml:space="preserve"> est au cœur du projet de l</w:t>
      </w:r>
      <w:r w:rsidR="00D17116" w:rsidRPr="00D17116">
        <w:rPr>
          <w:color w:val="000000"/>
          <w:lang w:val="fr-FR"/>
        </w:rPr>
        <w:t>’Équipe</w:t>
      </w:r>
      <w:r w:rsidR="00D17116">
        <w:rPr>
          <w:color w:val="000000"/>
          <w:lang w:val="fr-FR"/>
        </w:rPr>
        <w:t xml:space="preserve">, dont l’objectif principal est de traiter, dans la mesure du possible, l’ensemble des problèmes non résolus que soulèvent les familles. Vu l’ampleur </w:t>
      </w:r>
      <w:r w:rsidR="007F7AA1">
        <w:rPr>
          <w:color w:val="000000"/>
          <w:lang w:val="fr-FR"/>
        </w:rPr>
        <w:t>du</w:t>
      </w:r>
      <w:r w:rsidR="00D17116">
        <w:rPr>
          <w:color w:val="000000"/>
          <w:lang w:val="fr-FR"/>
        </w:rPr>
        <w:t xml:space="preserve"> mandat</w:t>
      </w:r>
      <w:r w:rsidR="007F7AA1">
        <w:rPr>
          <w:color w:val="000000"/>
          <w:lang w:val="fr-FR"/>
        </w:rPr>
        <w:t xml:space="preserve"> de l</w:t>
      </w:r>
      <w:r w:rsidR="007F7AA1" w:rsidRPr="00D17116">
        <w:rPr>
          <w:color w:val="000000"/>
          <w:lang w:val="fr-FR"/>
        </w:rPr>
        <w:t>’Équipe</w:t>
      </w:r>
      <w:r w:rsidR="00D17116">
        <w:rPr>
          <w:color w:val="000000"/>
          <w:lang w:val="fr-FR"/>
        </w:rPr>
        <w:t xml:space="preserve">, un système d’établissement des priorités dans l’examen des affaires est nécessaire. Afin d’assurer l’égalité de traitement entre elles, </w:t>
      </w:r>
      <w:r w:rsidR="00D17116" w:rsidRPr="00D17116">
        <w:rPr>
          <w:color w:val="000000"/>
          <w:lang w:val="fr-FR"/>
        </w:rPr>
        <w:t>l’Équipe</w:t>
      </w:r>
      <w:r w:rsidR="00D17116">
        <w:rPr>
          <w:color w:val="000000"/>
          <w:lang w:val="fr-FR"/>
        </w:rPr>
        <w:t xml:space="preserve"> les classe par ordre chronologique en commençant par celles qui remontent à 1968. Dans un certain nombre de cas, cependant, il est nécessaire de s’écarter de cette approche chronologique, s’agissant notamment des enquêtes déjà ouvertes, des affaires où interviennent des considérations humanitaires</w:t>
      </w:r>
      <w:r w:rsidR="007F7AA1">
        <w:rPr>
          <w:color w:val="000000"/>
          <w:lang w:val="fr-FR"/>
        </w:rPr>
        <w:t>,</w:t>
      </w:r>
      <w:r w:rsidR="00D17116">
        <w:rPr>
          <w:color w:val="000000"/>
          <w:lang w:val="fr-FR"/>
        </w:rPr>
        <w:t xml:space="preserve"> de celles qui posent de graves questions d’intérêt public, et des séries de meurtres</w:t>
      </w:r>
      <w:r w:rsidR="007F7AA1">
        <w:rPr>
          <w:color w:val="000000"/>
          <w:lang w:val="fr-FR"/>
        </w:rPr>
        <w:t xml:space="preserve"> liées</w:t>
      </w:r>
      <w:r w:rsidR="000B562B" w:rsidRPr="00A176EA">
        <w:rPr>
          <w:lang w:val="fr-FR"/>
        </w:rPr>
        <w:t>.</w:t>
      </w:r>
    </w:p>
    <w:p w:rsidR="000B562B" w:rsidRPr="00A176EA" w:rsidRDefault="002549A9" w:rsidP="00DD7B80">
      <w:pPr>
        <w:pStyle w:val="SingleTxtG"/>
        <w:rPr>
          <w:color w:val="000000"/>
          <w:lang w:val="fr-FR"/>
        </w:rPr>
      </w:pPr>
      <w:r w:rsidRPr="00A176EA">
        <w:rPr>
          <w:color w:val="000000"/>
          <w:lang w:val="fr-FR"/>
        </w:rPr>
        <w:t>140.</w:t>
      </w:r>
      <w:r w:rsidRPr="00A176EA">
        <w:rPr>
          <w:color w:val="000000"/>
          <w:lang w:val="fr-FR"/>
        </w:rPr>
        <w:tab/>
      </w:r>
      <w:r w:rsidR="00DD7B80">
        <w:rPr>
          <w:color w:val="000000"/>
          <w:lang w:val="fr-FR"/>
        </w:rPr>
        <w:t>L</w:t>
      </w:r>
      <w:r w:rsidR="00DD7B80" w:rsidRPr="00D17116">
        <w:rPr>
          <w:color w:val="000000"/>
          <w:lang w:val="fr-FR"/>
        </w:rPr>
        <w:t>’Équipe</w:t>
      </w:r>
      <w:r w:rsidR="00DD7B80">
        <w:rPr>
          <w:color w:val="000000"/>
          <w:lang w:val="fr-FR"/>
        </w:rPr>
        <w:t xml:space="preserve"> d’enquête collabore étroitement avec le Bureau du Médiateur de la police d’Irlande du Nord. En cas d’allégations concernant les actions de fonctionnaires de police, elle transmet les affaires au Bureau du Médiateur et des enquêtes parallèles distinctes sont menées. L’</w:t>
      </w:r>
      <w:r w:rsidR="00DD7B80" w:rsidRPr="00D17116">
        <w:rPr>
          <w:color w:val="000000"/>
          <w:lang w:val="fr-FR"/>
        </w:rPr>
        <w:t>Équipe</w:t>
      </w:r>
      <w:r w:rsidR="00DD7B80">
        <w:rPr>
          <w:color w:val="000000"/>
          <w:lang w:val="fr-FR"/>
        </w:rPr>
        <w:t xml:space="preserve"> et le Bureau du Médiateur organisent chaque mois des réunions stratégiques et tactiques. Le protocole d’accord conclu entre les deux parties est régulièrement réexaminé. En novembre 2010, le Médiateur avait 90 dossiers à instruire</w:t>
      </w:r>
      <w:r w:rsidR="000B562B" w:rsidRPr="00A176EA">
        <w:rPr>
          <w:lang w:val="fr-FR"/>
        </w:rPr>
        <w:t>.</w:t>
      </w:r>
      <w:bookmarkStart w:id="2" w:name="_Ref208025378"/>
    </w:p>
    <w:p w:rsidR="000B562B" w:rsidRPr="00A176EA" w:rsidRDefault="002549A9" w:rsidP="00DD7B80">
      <w:pPr>
        <w:pStyle w:val="SingleTxtG"/>
        <w:rPr>
          <w:color w:val="000000"/>
          <w:lang w:val="fr-FR"/>
        </w:rPr>
      </w:pPr>
      <w:r w:rsidRPr="00A176EA">
        <w:rPr>
          <w:color w:val="000000"/>
          <w:lang w:val="fr-FR"/>
        </w:rPr>
        <w:t>141.</w:t>
      </w:r>
      <w:r w:rsidRPr="00A176EA">
        <w:rPr>
          <w:color w:val="000000"/>
          <w:lang w:val="fr-FR"/>
        </w:rPr>
        <w:tab/>
      </w:r>
      <w:r w:rsidR="00DD7B80" w:rsidRPr="00DD7B80">
        <w:rPr>
          <w:color w:val="000000"/>
          <w:lang w:val="fr-FR"/>
        </w:rPr>
        <w:t>Le mécanisme de l’enquête judiciaire peut contribuer aux recherches sur les circonstances d’un décès. Son but est d’établir la personnalité du défunt ainsi que l</w:t>
      </w:r>
      <w:r w:rsidR="00DD7B80">
        <w:rPr>
          <w:color w:val="000000"/>
          <w:lang w:val="fr-FR"/>
        </w:rPr>
        <w:t>a</w:t>
      </w:r>
      <w:r w:rsidR="00DD7B80" w:rsidRPr="00DD7B80">
        <w:rPr>
          <w:color w:val="000000"/>
          <w:lang w:val="fr-FR"/>
        </w:rPr>
        <w:t xml:space="preserve"> cause, le moment et le lieu de son décès. Il appartient au </w:t>
      </w:r>
      <w:r w:rsidR="00DD7B80" w:rsidRPr="00DD7B80">
        <w:rPr>
          <w:i/>
          <w:color w:val="000000"/>
          <w:lang w:val="fr-FR"/>
        </w:rPr>
        <w:t>coroner</w:t>
      </w:r>
      <w:r w:rsidR="00DD7B80" w:rsidRPr="00DD7B80">
        <w:rPr>
          <w:color w:val="000000"/>
          <w:lang w:val="fr-FR"/>
        </w:rPr>
        <w:t xml:space="preserve"> de déterminer la portée de l’enquête judiciaire et de décider quels sont les éléments pertinents à cette fin</w:t>
      </w:r>
      <w:r w:rsidR="000B562B" w:rsidRPr="00A176EA">
        <w:rPr>
          <w:lang w:val="fr-FR"/>
        </w:rPr>
        <w:t>.</w:t>
      </w:r>
      <w:bookmarkEnd w:id="2"/>
    </w:p>
    <w:p w:rsidR="000B562B" w:rsidRPr="00A176EA" w:rsidRDefault="002549A9" w:rsidP="00F879E3">
      <w:pPr>
        <w:pStyle w:val="SingleTxtG"/>
        <w:rPr>
          <w:lang w:val="fr-FR"/>
        </w:rPr>
      </w:pPr>
      <w:r w:rsidRPr="00A176EA">
        <w:rPr>
          <w:lang w:val="fr-FR"/>
        </w:rPr>
        <w:t>142.</w:t>
      </w:r>
      <w:r w:rsidRPr="00A176EA">
        <w:rPr>
          <w:lang w:val="fr-FR"/>
        </w:rPr>
        <w:tab/>
      </w:r>
      <w:r w:rsidR="006B7A88" w:rsidRPr="00DD7B80">
        <w:rPr>
          <w:lang w:val="fr-FR"/>
        </w:rPr>
        <w:t xml:space="preserve">L’enquête relative au </w:t>
      </w:r>
      <w:r w:rsidR="00562C5E" w:rsidRPr="00DD7B80">
        <w:rPr>
          <w:lang w:val="fr-FR"/>
        </w:rPr>
        <w:t xml:space="preserve">Bloody Sunday </w:t>
      </w:r>
      <w:r w:rsidR="006B7A88" w:rsidRPr="00DD7B80">
        <w:rPr>
          <w:lang w:val="fr-FR"/>
        </w:rPr>
        <w:t>(</w:t>
      </w:r>
      <w:r w:rsidR="00562C5E">
        <w:rPr>
          <w:lang w:val="fr-FR"/>
        </w:rPr>
        <w:t xml:space="preserve">le </w:t>
      </w:r>
      <w:r w:rsidR="00CD0110">
        <w:rPr>
          <w:lang w:val="fr-FR"/>
        </w:rPr>
        <w:t>«</w:t>
      </w:r>
      <w:r w:rsidR="00562C5E" w:rsidRPr="00DD7B80">
        <w:rPr>
          <w:lang w:val="fr-FR"/>
        </w:rPr>
        <w:t>dimanche sanglant</w:t>
      </w:r>
      <w:r w:rsidR="00CD0110">
        <w:rPr>
          <w:lang w:val="fr-FR"/>
        </w:rPr>
        <w:t>»</w:t>
      </w:r>
      <w:r w:rsidR="006B7A88" w:rsidRPr="00DD7B80">
        <w:rPr>
          <w:lang w:val="fr-FR"/>
        </w:rPr>
        <w:t>) a été ouverte le 29</w:t>
      </w:r>
      <w:r w:rsidR="00F879E3">
        <w:rPr>
          <w:lang w:val="fr-FR"/>
        </w:rPr>
        <w:t> </w:t>
      </w:r>
      <w:r w:rsidR="006B7A88" w:rsidRPr="00DD7B80">
        <w:rPr>
          <w:lang w:val="fr-FR"/>
        </w:rPr>
        <w:t xml:space="preserve">janvier 1998. Elle vise à déterminer, autant que possible, ce qui s’est véritablement passé à Londonderry le 30 janvier 1972, lorsque l’armée a ouvert le feu lors d’une émeute, tuant 13 personnes et en blessant 13 autres, dont une </w:t>
      </w:r>
      <w:r w:rsidR="00CA2BB4">
        <w:rPr>
          <w:lang w:val="fr-FR"/>
        </w:rPr>
        <w:t>n’a pas survécu à</w:t>
      </w:r>
      <w:r w:rsidR="006B7A88" w:rsidRPr="00DD7B80">
        <w:rPr>
          <w:lang w:val="fr-FR"/>
        </w:rPr>
        <w:t xml:space="preserve"> ses blessures. </w:t>
      </w:r>
      <w:r w:rsidR="00CA2BB4">
        <w:rPr>
          <w:lang w:val="fr-FR"/>
        </w:rPr>
        <w:t>La juridiction</w:t>
      </w:r>
      <w:r w:rsidR="006B7A88" w:rsidRPr="00DD7B80">
        <w:rPr>
          <w:lang w:val="fr-FR"/>
        </w:rPr>
        <w:t xml:space="preserve"> d’enquête est présidé</w:t>
      </w:r>
      <w:r w:rsidR="00CA2BB4">
        <w:rPr>
          <w:lang w:val="fr-FR"/>
        </w:rPr>
        <w:t>e</w:t>
      </w:r>
      <w:r w:rsidR="006B7A88" w:rsidRPr="00DD7B80">
        <w:rPr>
          <w:lang w:val="fr-FR"/>
        </w:rPr>
        <w:t xml:space="preserve"> par Lord Saville of Newdigate, assisté d’un magistrat canadien, M. Hoyt, et d’un magistrat australien, M. Toohey. La procédure publique a pris fin en novembre 2004 et</w:t>
      </w:r>
      <w:r w:rsidR="000B562B" w:rsidRPr="00DD7B80">
        <w:rPr>
          <w:lang w:val="fr-FR"/>
        </w:rPr>
        <w:t xml:space="preserve"> </w:t>
      </w:r>
      <w:r w:rsidR="006B7A88" w:rsidRPr="00DD7B80">
        <w:rPr>
          <w:lang w:val="fr-FR"/>
        </w:rPr>
        <w:t>l</w:t>
      </w:r>
      <w:r w:rsidR="000B562B" w:rsidRPr="00DD7B80">
        <w:rPr>
          <w:lang w:val="fr-FR"/>
        </w:rPr>
        <w:t xml:space="preserve">e </w:t>
      </w:r>
      <w:r w:rsidR="006B7A88" w:rsidRPr="00DD7B80">
        <w:rPr>
          <w:lang w:val="fr-FR"/>
        </w:rPr>
        <w:t>rap</w:t>
      </w:r>
      <w:r w:rsidR="000B562B" w:rsidRPr="00DD7B80">
        <w:rPr>
          <w:lang w:val="fr-FR"/>
        </w:rPr>
        <w:t xml:space="preserve">port </w:t>
      </w:r>
      <w:r w:rsidR="006B7A88" w:rsidRPr="00DD7B80">
        <w:rPr>
          <w:lang w:val="fr-FR"/>
        </w:rPr>
        <w:t>a été publié le</w:t>
      </w:r>
      <w:r w:rsidR="000B562B" w:rsidRPr="00DD7B80">
        <w:rPr>
          <w:lang w:val="fr-FR"/>
        </w:rPr>
        <w:t xml:space="preserve"> 15 Ju</w:t>
      </w:r>
      <w:r w:rsidR="006B7A88" w:rsidRPr="00DD7B80">
        <w:rPr>
          <w:lang w:val="fr-FR"/>
        </w:rPr>
        <w:t>in</w:t>
      </w:r>
      <w:r w:rsidR="000B562B" w:rsidRPr="00DD7B80">
        <w:rPr>
          <w:lang w:val="fr-FR"/>
        </w:rPr>
        <w:t xml:space="preserve"> 2010. </w:t>
      </w:r>
      <w:r w:rsidR="00562C5E">
        <w:rPr>
          <w:lang w:val="fr-FR"/>
        </w:rPr>
        <w:t>En réponse au rapport, l</w:t>
      </w:r>
      <w:r w:rsidR="000B562B" w:rsidRPr="00DD7B80">
        <w:rPr>
          <w:lang w:val="fr-FR"/>
        </w:rPr>
        <w:t xml:space="preserve">e </w:t>
      </w:r>
      <w:r w:rsidR="00FB503E" w:rsidRPr="00DD7B80">
        <w:rPr>
          <w:lang w:val="fr-FR"/>
        </w:rPr>
        <w:t>Premier Ministre</w:t>
      </w:r>
      <w:r w:rsidR="000B562B" w:rsidRPr="00DD7B80">
        <w:rPr>
          <w:lang w:val="fr-FR"/>
        </w:rPr>
        <w:t xml:space="preserve"> </w:t>
      </w:r>
      <w:r w:rsidR="00562C5E">
        <w:rPr>
          <w:lang w:val="fr-FR"/>
        </w:rPr>
        <w:t>a fait une déclaration devant le Parlement. L’intégralité du rapport (5 000 pages)</w:t>
      </w:r>
      <w:r w:rsidR="007A1549">
        <w:rPr>
          <w:lang w:val="fr-FR"/>
        </w:rPr>
        <w:t xml:space="preserve"> et</w:t>
      </w:r>
      <w:r w:rsidR="00562C5E">
        <w:rPr>
          <w:lang w:val="fr-FR"/>
        </w:rPr>
        <w:t xml:space="preserve"> les principales conclusions de l’enquête sont disponibles sur le site Internet de l’enquête</w:t>
      </w:r>
      <w:r w:rsidR="000B562B" w:rsidRPr="00A176EA">
        <w:rPr>
          <w:rStyle w:val="FootnoteReference"/>
          <w:szCs w:val="22"/>
        </w:rPr>
        <w:footnoteReference w:id="10"/>
      </w:r>
      <w:r w:rsidR="000E5F91">
        <w:rPr>
          <w:lang w:val="fr-FR"/>
        </w:rPr>
        <w:t>.</w:t>
      </w:r>
    </w:p>
    <w:p w:rsidR="000B562B" w:rsidRPr="00A176EA" w:rsidRDefault="002549A9" w:rsidP="00035108">
      <w:pPr>
        <w:pStyle w:val="SingleTxtG"/>
        <w:rPr>
          <w:color w:val="000000"/>
          <w:lang w:val="fr-FR"/>
        </w:rPr>
      </w:pPr>
      <w:r w:rsidRPr="00A176EA">
        <w:rPr>
          <w:color w:val="000000"/>
          <w:lang w:val="fr-FR"/>
        </w:rPr>
        <w:t>143.</w:t>
      </w:r>
      <w:r w:rsidRPr="00A176EA">
        <w:rPr>
          <w:color w:val="000000"/>
          <w:lang w:val="fr-FR"/>
        </w:rPr>
        <w:tab/>
      </w:r>
      <w:r w:rsidR="006A4851">
        <w:rPr>
          <w:color w:val="000000"/>
          <w:lang w:val="fr-FR"/>
        </w:rPr>
        <w:t xml:space="preserve">Le 16 novembre 2004, le Ministre de l’intérieur d’Irlande du Nord de l’époque a annoncé au Parlement britannique l’ouverture d’enquêtes publiques indépendantes sur des allégations </w:t>
      </w:r>
      <w:r w:rsidR="009D3631">
        <w:rPr>
          <w:color w:val="000000"/>
          <w:lang w:val="fr-FR"/>
        </w:rPr>
        <w:t xml:space="preserve">de complicité de l’État dans le décès de </w:t>
      </w:r>
      <w:r w:rsidR="000B562B" w:rsidRPr="00A176EA">
        <w:rPr>
          <w:lang w:val="fr-FR"/>
        </w:rPr>
        <w:t xml:space="preserve">Robert Hamill, Rosemary Nelson </w:t>
      </w:r>
      <w:r w:rsidR="009D3631">
        <w:rPr>
          <w:lang w:val="fr-FR"/>
        </w:rPr>
        <w:t>et</w:t>
      </w:r>
      <w:r w:rsidR="000B562B" w:rsidRPr="00A176EA">
        <w:rPr>
          <w:lang w:val="fr-FR"/>
        </w:rPr>
        <w:t xml:space="preserve"> Billy Wright. </w:t>
      </w:r>
      <w:r w:rsidR="009D3631">
        <w:rPr>
          <w:lang w:val="fr-FR"/>
        </w:rPr>
        <w:t>Chaque enquête a été dirigée par un groupe de trois personnes présidé par un juge retraité. Le rapport Billy Wright a été remis au Ministère de l’intérieur d’Irlande du Nord le 13 septembre 2010 et rendu public le lendemain par une déclaration verbale du Ministre. L’intégralité du texte</w:t>
      </w:r>
      <w:r w:rsidR="00035108">
        <w:rPr>
          <w:lang w:val="fr-FR"/>
        </w:rPr>
        <w:t xml:space="preserve"> est disponible sur le site Internet de l’enquête</w:t>
      </w:r>
      <w:r w:rsidR="000B562B" w:rsidRPr="00A176EA">
        <w:rPr>
          <w:rStyle w:val="FootnoteReference"/>
          <w:szCs w:val="22"/>
        </w:rPr>
        <w:footnoteReference w:id="11"/>
      </w:r>
      <w:r w:rsidR="00035108">
        <w:rPr>
          <w:lang w:val="fr-FR"/>
        </w:rPr>
        <w:t xml:space="preserve">. Le rapport Robert Hamill a été achevé en février 2011, conformément au délai fixé. Toutefois, le </w:t>
      </w:r>
      <w:r w:rsidR="007A1549">
        <w:rPr>
          <w:lang w:val="fr-FR"/>
        </w:rPr>
        <w:t>m</w:t>
      </w:r>
      <w:r w:rsidR="00035108">
        <w:rPr>
          <w:lang w:val="fr-FR"/>
        </w:rPr>
        <w:t xml:space="preserve">inistère public d’Irlande du Nord ayant annoncé, le 21 décembre 2010, l’inculpation de trois individus dans le cadre du meurtre de Robert Hamill, le Ministère de l’intérieur d’Irlande du Nord a décidé de ne pas publier le rapport d’enquête avant la fin de l’instruction. La famille Hamill approuve cette décision. Le Ministre de l’intérieur d’Irlande du Nord a rendu public le rapport Rosemary Nelson le 23 mai 2011 </w:t>
      </w:r>
      <w:r w:rsidR="007A1549">
        <w:rPr>
          <w:lang w:val="fr-FR"/>
        </w:rPr>
        <w:t>par</w:t>
      </w:r>
      <w:r w:rsidR="00035108">
        <w:rPr>
          <w:lang w:val="fr-FR"/>
        </w:rPr>
        <w:t xml:space="preserve"> une déclaration verbale devant le Parlement. L’intégralité du rapport est disponible sur le site Internet de l’</w:t>
      </w:r>
      <w:r w:rsidR="001A3D6D">
        <w:rPr>
          <w:lang w:val="fr-FR"/>
        </w:rPr>
        <w:t>enquête</w:t>
      </w:r>
      <w:r w:rsidR="000B562B" w:rsidRPr="00A176EA">
        <w:rPr>
          <w:rStyle w:val="FootnoteReference"/>
          <w:szCs w:val="22"/>
        </w:rPr>
        <w:footnoteReference w:id="12"/>
      </w:r>
      <w:r w:rsidR="00035108">
        <w:rPr>
          <w:lang w:val="fr-FR"/>
        </w:rPr>
        <w:t>.</w:t>
      </w:r>
    </w:p>
    <w:p w:rsidR="000B562B" w:rsidRPr="00A176EA" w:rsidRDefault="002549A9" w:rsidP="00FD7F68">
      <w:pPr>
        <w:pStyle w:val="SingleTxtG"/>
        <w:rPr>
          <w:color w:val="000000"/>
          <w:lang w:val="fr-FR"/>
        </w:rPr>
      </w:pPr>
      <w:r w:rsidRPr="00A176EA">
        <w:rPr>
          <w:color w:val="000000"/>
          <w:lang w:val="fr-FR"/>
        </w:rPr>
        <w:t>144.</w:t>
      </w:r>
      <w:r w:rsidRPr="00A176EA">
        <w:rPr>
          <w:color w:val="000000"/>
          <w:lang w:val="fr-FR"/>
        </w:rPr>
        <w:tab/>
      </w:r>
      <w:r w:rsidR="00861E9C">
        <w:rPr>
          <w:color w:val="000000"/>
          <w:lang w:val="fr-FR"/>
        </w:rPr>
        <w:t xml:space="preserve">Pour ce qui concerne Patrick Finucane, le précédent Gouvernement a annoncé en 2005 l’ouverture d’une enquête en vertu de la nouvelle loi sur les enquêtes. Aucune enquête n’a toutefois été ouverte, la famille s’étant opposée à ce qu’elle </w:t>
      </w:r>
      <w:r w:rsidR="00E67A83">
        <w:rPr>
          <w:color w:val="000000"/>
          <w:lang w:val="fr-FR"/>
        </w:rPr>
        <w:t xml:space="preserve">le </w:t>
      </w:r>
      <w:r w:rsidR="00861E9C">
        <w:rPr>
          <w:color w:val="000000"/>
          <w:lang w:val="fr-FR"/>
        </w:rPr>
        <w:t xml:space="preserve">soit en vertu de cette loi. Le Gouvernement d’alors </w:t>
      </w:r>
      <w:r w:rsidR="009B6237">
        <w:rPr>
          <w:color w:val="000000"/>
          <w:lang w:val="fr-FR"/>
        </w:rPr>
        <w:t>s’est montré ferme sur le fait</w:t>
      </w:r>
      <w:r w:rsidR="00861E9C">
        <w:rPr>
          <w:color w:val="000000"/>
          <w:lang w:val="fr-FR"/>
        </w:rPr>
        <w:t xml:space="preserve"> qu</w:t>
      </w:r>
      <w:r w:rsidR="00252B83">
        <w:rPr>
          <w:color w:val="000000"/>
          <w:lang w:val="fr-FR"/>
        </w:rPr>
        <w:t>’un</w:t>
      </w:r>
      <w:r w:rsidR="00861E9C">
        <w:rPr>
          <w:color w:val="000000"/>
          <w:lang w:val="fr-FR"/>
        </w:rPr>
        <w:t xml:space="preserve">e </w:t>
      </w:r>
      <w:r w:rsidR="00252B83">
        <w:rPr>
          <w:color w:val="000000"/>
          <w:lang w:val="fr-FR"/>
        </w:rPr>
        <w:t xml:space="preserve">enquête publique sur le décès de M. Finucane ne pouvait être fondée que sur ladite loi. Le Ministre de l’intérieur d’Irlande du Nord du nouveau </w:t>
      </w:r>
      <w:r w:rsidR="00E67A83">
        <w:rPr>
          <w:color w:val="000000"/>
          <w:lang w:val="fr-FR"/>
        </w:rPr>
        <w:t>G</w:t>
      </w:r>
      <w:r w:rsidR="00252B83">
        <w:rPr>
          <w:color w:val="000000"/>
          <w:lang w:val="fr-FR"/>
        </w:rPr>
        <w:t xml:space="preserve">ouvernement de coalition </w:t>
      </w:r>
      <w:r w:rsidR="00E67A83">
        <w:rPr>
          <w:color w:val="000000"/>
          <w:lang w:val="fr-FR"/>
        </w:rPr>
        <w:t xml:space="preserve">a rencontré la famille Finucane le 9 novembre pour discuter de l’affaire avant d’exposer au Parlement le processus décisionnel choisi pour déterminer s’il </w:t>
      </w:r>
      <w:r w:rsidR="009B6237">
        <w:rPr>
          <w:color w:val="000000"/>
          <w:lang w:val="fr-FR"/>
        </w:rPr>
        <w:t>convenait</w:t>
      </w:r>
      <w:r w:rsidR="00E67A83">
        <w:rPr>
          <w:color w:val="000000"/>
          <w:lang w:val="fr-FR"/>
        </w:rPr>
        <w:t xml:space="preserve"> ou non</w:t>
      </w:r>
      <w:r w:rsidR="009B6237">
        <w:rPr>
          <w:color w:val="000000"/>
          <w:lang w:val="fr-FR"/>
        </w:rPr>
        <w:t xml:space="preserve"> de</w:t>
      </w:r>
      <w:r w:rsidR="00E67A83">
        <w:rPr>
          <w:color w:val="000000"/>
          <w:lang w:val="fr-FR"/>
        </w:rPr>
        <w:t xml:space="preserve"> mener une enquête. </w:t>
      </w:r>
      <w:r w:rsidR="00FD7F68">
        <w:rPr>
          <w:color w:val="000000"/>
          <w:lang w:val="fr-FR"/>
        </w:rPr>
        <w:t xml:space="preserve">La déclaration ministérielle écrite du 11 novembre 2010 a </w:t>
      </w:r>
      <w:r w:rsidR="009B6237">
        <w:rPr>
          <w:color w:val="000000"/>
          <w:lang w:val="fr-FR"/>
        </w:rPr>
        <w:t>fixé</w:t>
      </w:r>
      <w:r w:rsidR="00FD7F68">
        <w:rPr>
          <w:color w:val="000000"/>
          <w:lang w:val="fr-FR"/>
        </w:rPr>
        <w:t xml:space="preserve"> un délai de deux mois pour communiquer des observations au Gouvernement, après quoi ce dernier </w:t>
      </w:r>
      <w:r w:rsidR="009B6237">
        <w:rPr>
          <w:color w:val="000000"/>
          <w:lang w:val="fr-FR"/>
        </w:rPr>
        <w:t xml:space="preserve">les </w:t>
      </w:r>
      <w:r w:rsidR="00FD7F68">
        <w:rPr>
          <w:color w:val="000000"/>
          <w:lang w:val="fr-FR"/>
        </w:rPr>
        <w:t xml:space="preserve">examinera et prendra une décision. Le 11 janvier 2011, ce délai a été prolongé de deux mois </w:t>
      </w:r>
      <w:r w:rsidR="009B6237">
        <w:rPr>
          <w:color w:val="000000"/>
          <w:lang w:val="fr-FR"/>
        </w:rPr>
        <w:t xml:space="preserve">supplémentaires </w:t>
      </w:r>
      <w:r w:rsidR="00FD7F68">
        <w:rPr>
          <w:color w:val="000000"/>
          <w:lang w:val="fr-FR"/>
        </w:rPr>
        <w:t xml:space="preserve">avec l’accord de la famille. Le Gouvernement examine actuellement l’affaire avec soin et annoncera sous peu sa décision </w:t>
      </w:r>
      <w:r w:rsidR="009B6237">
        <w:rPr>
          <w:color w:val="000000"/>
          <w:lang w:val="fr-FR"/>
        </w:rPr>
        <w:t>quant à</w:t>
      </w:r>
      <w:r w:rsidR="00FD7F68">
        <w:rPr>
          <w:color w:val="000000"/>
          <w:lang w:val="fr-FR"/>
        </w:rPr>
        <w:t xml:space="preserve"> la voie à suivre</w:t>
      </w:r>
      <w:r w:rsidR="000B562B" w:rsidRPr="00A176EA">
        <w:rPr>
          <w:snapToGrid w:val="0"/>
          <w:lang w:val="fr-FR"/>
        </w:rPr>
        <w:t>.</w:t>
      </w:r>
    </w:p>
    <w:p w:rsidR="000B562B" w:rsidRPr="00A176EA" w:rsidRDefault="00732870" w:rsidP="00732870">
      <w:pPr>
        <w:pStyle w:val="SingleTxtG"/>
        <w:ind w:firstLine="567"/>
        <w:rPr>
          <w:b/>
          <w:lang w:val="fr-FR"/>
        </w:rPr>
      </w:pPr>
      <w:r w:rsidRPr="00FD7F68">
        <w:rPr>
          <w:b/>
          <w:lang w:val="fr-FR"/>
        </w:rPr>
        <w:t>l)</w:t>
      </w:r>
      <w:r w:rsidRPr="00FD7F68">
        <w:rPr>
          <w:b/>
          <w:lang w:val="fr-FR"/>
        </w:rPr>
        <w:tab/>
      </w:r>
      <w:r w:rsidR="00326650" w:rsidRPr="00FD7F68">
        <w:rPr>
          <w:b/>
          <w:lang w:val="fr-FR"/>
        </w:rPr>
        <w:t xml:space="preserve">Que l’État partie </w:t>
      </w:r>
      <w:r w:rsidR="007A542D" w:rsidRPr="00FD7F68">
        <w:rPr>
          <w:b/>
          <w:lang w:val="fr-FR"/>
        </w:rPr>
        <w:t>mette au point</w:t>
      </w:r>
      <w:r w:rsidR="000B562B" w:rsidRPr="00FD7F68">
        <w:rPr>
          <w:b/>
          <w:lang w:val="fr-FR"/>
        </w:rPr>
        <w:t xml:space="preserve"> </w:t>
      </w:r>
      <w:r w:rsidR="007A542D" w:rsidRPr="00FD7F68">
        <w:rPr>
          <w:b/>
          <w:lang w:val="fr-FR"/>
        </w:rPr>
        <w:t xml:space="preserve">un plan d’action d’urgence prévoyant notamment un recours approprié à des sanctions pénales, pour donner suite aux sujets de préoccupation soulevés par le Comité au paragraphe 4 g), </w:t>
      </w:r>
      <w:r w:rsidR="00FD7F68">
        <w:rPr>
          <w:b/>
          <w:lang w:val="fr-FR"/>
        </w:rPr>
        <w:t>et</w:t>
      </w:r>
      <w:r w:rsidR="007A542D" w:rsidRPr="00FD7F68">
        <w:rPr>
          <w:b/>
          <w:lang w:val="fr-FR"/>
        </w:rPr>
        <w:t xml:space="preserve"> pren</w:t>
      </w:r>
      <w:r w:rsidR="00FD7F68">
        <w:rPr>
          <w:b/>
          <w:lang w:val="fr-FR"/>
        </w:rPr>
        <w:t>n</w:t>
      </w:r>
      <w:r w:rsidR="007A542D" w:rsidRPr="00FD7F68">
        <w:rPr>
          <w:b/>
          <w:lang w:val="fr-FR"/>
        </w:rPr>
        <w:t>e des mesures appropriées pour tenir compte des problèmes propres aux femmes</w:t>
      </w:r>
      <w:r w:rsidR="000B562B" w:rsidRPr="00FD7F68">
        <w:rPr>
          <w:b/>
          <w:lang w:val="fr-FR"/>
        </w:rPr>
        <w:t>.</w:t>
      </w:r>
    </w:p>
    <w:p w:rsidR="000B562B" w:rsidRPr="00A176EA" w:rsidRDefault="002549A9" w:rsidP="008A17EB">
      <w:pPr>
        <w:pStyle w:val="SingleTxtG"/>
        <w:rPr>
          <w:lang w:val="fr-FR"/>
        </w:rPr>
      </w:pPr>
      <w:r w:rsidRPr="00A176EA">
        <w:rPr>
          <w:lang w:val="fr-FR"/>
        </w:rPr>
        <w:t>145.</w:t>
      </w:r>
      <w:r w:rsidRPr="00A176EA">
        <w:rPr>
          <w:lang w:val="fr-FR"/>
        </w:rPr>
        <w:tab/>
      </w:r>
      <w:r w:rsidR="008A17EB" w:rsidRPr="008A17EB">
        <w:rPr>
          <w:lang w:val="fr-FR"/>
        </w:rPr>
        <w:t>Le Gouvernement a étudié attenti</w:t>
      </w:r>
      <w:r w:rsidR="009B6237">
        <w:rPr>
          <w:lang w:val="fr-FR"/>
        </w:rPr>
        <w:t>vement</w:t>
      </w:r>
      <w:r w:rsidR="008A17EB" w:rsidRPr="008A17EB">
        <w:rPr>
          <w:lang w:val="fr-FR"/>
        </w:rPr>
        <w:t xml:space="preserve"> cette recommandation. Il considère toutefois que la mise au point d’un plan global de grande envergure comme le recommande le Comité ne faciliterait pas le développement de sa politique pénitentiaire et n’aiderait pas à résoudre les problèmes spécifiques identifiés par le Comité. Un tel plan serait selon lui trop lourd et sa mise en œuvre serait extrêmement diffici</w:t>
      </w:r>
      <w:r w:rsidR="008A17EB">
        <w:rPr>
          <w:lang w:val="fr-FR"/>
        </w:rPr>
        <w:t>le à coordonner et à surveiller</w:t>
      </w:r>
      <w:r w:rsidR="000B562B" w:rsidRPr="00A176EA">
        <w:rPr>
          <w:lang w:val="fr-FR"/>
        </w:rPr>
        <w:t>.</w:t>
      </w:r>
    </w:p>
    <w:p w:rsidR="000B562B" w:rsidRPr="00A176EA" w:rsidRDefault="002549A9" w:rsidP="00732870">
      <w:pPr>
        <w:pStyle w:val="SingleTxtG"/>
        <w:rPr>
          <w:color w:val="000000"/>
          <w:lang w:val="fr-FR"/>
        </w:rPr>
      </w:pPr>
      <w:r w:rsidRPr="00A176EA">
        <w:rPr>
          <w:color w:val="000000"/>
          <w:lang w:val="fr-FR"/>
        </w:rPr>
        <w:t>146.</w:t>
      </w:r>
      <w:r w:rsidRPr="00A176EA">
        <w:rPr>
          <w:color w:val="000000"/>
          <w:lang w:val="fr-FR"/>
        </w:rPr>
        <w:tab/>
      </w:r>
      <w:r w:rsidR="008A17EB" w:rsidRPr="008A17EB">
        <w:rPr>
          <w:color w:val="000000"/>
          <w:lang w:val="fr-FR"/>
        </w:rPr>
        <w:t xml:space="preserve">Les organes gouvernementaux concernés et les administrations </w:t>
      </w:r>
      <w:r w:rsidR="008E5AC7">
        <w:rPr>
          <w:color w:val="000000"/>
          <w:lang w:val="fr-FR"/>
        </w:rPr>
        <w:t>dévolues</w:t>
      </w:r>
      <w:r w:rsidR="008A17EB" w:rsidRPr="008A17EB">
        <w:rPr>
          <w:color w:val="000000"/>
          <w:lang w:val="fr-FR"/>
        </w:rPr>
        <w:t xml:space="preserve"> ont déjà mis au point des plans visant à remédier à ces problèmes, et le Gouvernement estime que ceux-ci sont bien conçus et suffisants</w:t>
      </w:r>
      <w:r w:rsidR="008A17EB">
        <w:rPr>
          <w:color w:val="000000"/>
          <w:lang w:val="fr-FR"/>
        </w:rPr>
        <w:t xml:space="preserve"> pour apporter les améliorations nécessaires</w:t>
      </w:r>
      <w:r w:rsidR="000B562B" w:rsidRPr="00A176EA">
        <w:rPr>
          <w:lang w:val="fr-FR"/>
        </w:rPr>
        <w:t>.</w:t>
      </w:r>
    </w:p>
    <w:p w:rsidR="000B562B" w:rsidRPr="00A176EA" w:rsidRDefault="000B562B" w:rsidP="00732870">
      <w:pPr>
        <w:pStyle w:val="SingleTxtG"/>
        <w:ind w:firstLine="567"/>
        <w:rPr>
          <w:b/>
          <w:lang w:val="fr-FR"/>
        </w:rPr>
      </w:pPr>
      <w:r w:rsidRPr="008A17EB">
        <w:rPr>
          <w:b/>
          <w:lang w:val="fr-FR"/>
        </w:rPr>
        <w:t>m)</w:t>
      </w:r>
      <w:r w:rsidR="00732870" w:rsidRPr="008A17EB">
        <w:rPr>
          <w:b/>
          <w:lang w:val="fr-FR"/>
        </w:rPr>
        <w:tab/>
      </w:r>
      <w:r w:rsidR="00326650" w:rsidRPr="008A17EB">
        <w:rPr>
          <w:b/>
          <w:lang w:val="fr-FR"/>
        </w:rPr>
        <w:t xml:space="preserve">Que l’État partie </w:t>
      </w:r>
      <w:r w:rsidR="007A542D" w:rsidRPr="008A17EB">
        <w:rPr>
          <w:b/>
          <w:lang w:val="fr-FR"/>
        </w:rPr>
        <w:t>envisage de</w:t>
      </w:r>
      <w:r w:rsidRPr="008A17EB">
        <w:rPr>
          <w:b/>
          <w:lang w:val="fr-FR"/>
        </w:rPr>
        <w:t xml:space="preserve"> </w:t>
      </w:r>
      <w:r w:rsidR="007A542D" w:rsidRPr="008A17EB">
        <w:rPr>
          <w:b/>
          <w:lang w:val="fr-FR"/>
        </w:rPr>
        <w:t>désigner la Commission des droits de l’homme d’Irlande du Nord comme l’un des organes de surveillance prévus par le Protocole facultatif</w:t>
      </w:r>
      <w:r w:rsidRPr="008A17EB">
        <w:rPr>
          <w:b/>
          <w:lang w:val="fr-FR"/>
        </w:rPr>
        <w:t>.</w:t>
      </w:r>
    </w:p>
    <w:p w:rsidR="000B562B" w:rsidRPr="00A176EA" w:rsidRDefault="002549A9" w:rsidP="00910E01">
      <w:pPr>
        <w:pStyle w:val="SingleTxtG"/>
        <w:rPr>
          <w:snapToGrid w:val="0"/>
          <w:lang w:val="fr-FR"/>
        </w:rPr>
      </w:pPr>
      <w:r w:rsidRPr="00A176EA">
        <w:rPr>
          <w:snapToGrid w:val="0"/>
          <w:lang w:val="fr-FR"/>
        </w:rPr>
        <w:t>147.</w:t>
      </w:r>
      <w:r w:rsidRPr="00A176EA">
        <w:rPr>
          <w:snapToGrid w:val="0"/>
          <w:lang w:val="fr-FR"/>
        </w:rPr>
        <w:tab/>
      </w:r>
      <w:r w:rsidR="008A17EB">
        <w:rPr>
          <w:snapToGrid w:val="0"/>
          <w:lang w:val="fr-FR"/>
        </w:rPr>
        <w:t xml:space="preserve">Pour déterminer quels organes britanniques seront désignés pour former le mécanisme national de prévention, le Gouvernement s’est appuyé sur deux </w:t>
      </w:r>
      <w:r w:rsidR="003D6BAB">
        <w:rPr>
          <w:snapToGrid w:val="0"/>
          <w:lang w:val="fr-FR"/>
        </w:rPr>
        <w:t>séries</w:t>
      </w:r>
      <w:r w:rsidR="008A17EB">
        <w:rPr>
          <w:snapToGrid w:val="0"/>
          <w:lang w:val="fr-FR"/>
        </w:rPr>
        <w:t xml:space="preserve"> de critères. </w:t>
      </w:r>
      <w:r w:rsidR="006C499D">
        <w:rPr>
          <w:snapToGrid w:val="0"/>
          <w:lang w:val="fr-FR"/>
        </w:rPr>
        <w:t xml:space="preserve">Tout d’abord, il était résolument d’avis que ces organes devaient </w:t>
      </w:r>
      <w:r w:rsidR="00540DA9">
        <w:rPr>
          <w:snapToGrid w:val="0"/>
          <w:lang w:val="fr-FR"/>
        </w:rPr>
        <w:t>répondre</w:t>
      </w:r>
      <w:r w:rsidR="006C499D">
        <w:rPr>
          <w:snapToGrid w:val="0"/>
          <w:lang w:val="fr-FR"/>
        </w:rPr>
        <w:t xml:space="preserve"> aux exigences du Protocole facultatif en termes d’indépendance, de compétences et de connaissances professionnelles, conformément à l’article 18</w:t>
      </w:r>
      <w:r w:rsidR="008E5AC7">
        <w:rPr>
          <w:snapToGrid w:val="0"/>
          <w:lang w:val="fr-FR"/>
        </w:rPr>
        <w:t xml:space="preserve"> du Protocole</w:t>
      </w:r>
      <w:r w:rsidR="006C499D">
        <w:rPr>
          <w:snapToGrid w:val="0"/>
          <w:lang w:val="fr-FR"/>
        </w:rPr>
        <w:t>. Ensuite, il était fermement convaincu</w:t>
      </w:r>
      <w:r w:rsidR="00540DA9">
        <w:rPr>
          <w:snapToGrid w:val="0"/>
          <w:lang w:val="fr-FR"/>
        </w:rPr>
        <w:t xml:space="preserve"> </w:t>
      </w:r>
      <w:r w:rsidR="00910E01">
        <w:rPr>
          <w:snapToGrid w:val="0"/>
          <w:lang w:val="fr-FR"/>
        </w:rPr>
        <w:t>que le fondement légal du fonctionnement de ces organes devait soit leur conférer un accès sans restriction aux lieux de détention et aux personnes privées de liberté, dont des visites inopinées, et aux informations concernant ces personnes et leurs conditions de détention, soit, à tout le moins, ne prévoir aucune disposition restreignant un tel accès</w:t>
      </w:r>
      <w:r w:rsidR="001A3D6D">
        <w:rPr>
          <w:snapToGrid w:val="0"/>
          <w:lang w:val="fr-FR"/>
        </w:rPr>
        <w:t xml:space="preserve"> </w:t>
      </w:r>
      <w:r w:rsidR="00910E01">
        <w:rPr>
          <w:snapToGrid w:val="0"/>
          <w:lang w:val="fr-FR"/>
        </w:rPr>
        <w:t xml:space="preserve">et de telles visites, conformément aux articles 19 et </w:t>
      </w:r>
      <w:r w:rsidR="000B562B" w:rsidRPr="00A176EA">
        <w:rPr>
          <w:snapToGrid w:val="0"/>
          <w:lang w:val="fr-FR"/>
        </w:rPr>
        <w:t>20</w:t>
      </w:r>
      <w:r w:rsidR="008E5AC7">
        <w:rPr>
          <w:snapToGrid w:val="0"/>
          <w:lang w:val="fr-FR"/>
        </w:rPr>
        <w:t xml:space="preserve"> du Protocole</w:t>
      </w:r>
      <w:r w:rsidR="000B562B" w:rsidRPr="00A176EA">
        <w:rPr>
          <w:snapToGrid w:val="0"/>
          <w:lang w:val="fr-FR"/>
        </w:rPr>
        <w:t>.</w:t>
      </w:r>
    </w:p>
    <w:p w:rsidR="000B562B" w:rsidRPr="00A176EA" w:rsidRDefault="002549A9" w:rsidP="00732870">
      <w:pPr>
        <w:pStyle w:val="SingleTxtG"/>
        <w:rPr>
          <w:color w:val="000000"/>
          <w:lang w:val="fr-FR"/>
        </w:rPr>
      </w:pPr>
      <w:r w:rsidRPr="00A176EA">
        <w:rPr>
          <w:color w:val="000000"/>
          <w:lang w:val="fr-FR"/>
        </w:rPr>
        <w:t>148.</w:t>
      </w:r>
      <w:r w:rsidRPr="00A176EA">
        <w:rPr>
          <w:color w:val="000000"/>
          <w:lang w:val="fr-FR"/>
        </w:rPr>
        <w:tab/>
      </w:r>
      <w:r w:rsidR="00CA2C66" w:rsidRPr="00910E01">
        <w:rPr>
          <w:lang w:val="fr-FR"/>
        </w:rPr>
        <w:t>La Commission des droits de l’homme d’</w:t>
      </w:r>
      <w:r w:rsidR="008F3DA4" w:rsidRPr="00910E01">
        <w:rPr>
          <w:lang w:val="fr-FR"/>
        </w:rPr>
        <w:t>Irlande du Nord</w:t>
      </w:r>
      <w:r w:rsidR="000B562B" w:rsidRPr="00A176EA">
        <w:rPr>
          <w:lang w:val="fr-FR"/>
        </w:rPr>
        <w:t xml:space="preserve"> </w:t>
      </w:r>
      <w:r w:rsidR="00910E01">
        <w:rPr>
          <w:lang w:val="fr-FR"/>
        </w:rPr>
        <w:t>est un organe d’enquête qui, s’il dispose de pouvoirs étendus en matière d’accès aux lieux de détention, doit prévoir une période de consultation de 15 jours avec les établissements où il projette de mener une enquête</w:t>
      </w:r>
      <w:r w:rsidR="00A335FB">
        <w:rPr>
          <w:lang w:val="fr-FR"/>
        </w:rPr>
        <w:t xml:space="preserve"> et peut se voir imposer des restrictions de la part d’un </w:t>
      </w:r>
      <w:r w:rsidR="00000CC2">
        <w:rPr>
          <w:lang w:val="fr-FR"/>
        </w:rPr>
        <w:t>T</w:t>
      </w:r>
      <w:r w:rsidR="00A335FB">
        <w:rPr>
          <w:lang w:val="fr-FR"/>
        </w:rPr>
        <w:t xml:space="preserve">ribunal de comté. La Commission n’est donc pas en mesure d’effectuer des visites inopinées et, </w:t>
      </w:r>
      <w:r w:rsidR="00411F45">
        <w:rPr>
          <w:lang w:val="fr-FR"/>
        </w:rPr>
        <w:t>pour cette raison</w:t>
      </w:r>
      <w:r w:rsidR="00A335FB">
        <w:rPr>
          <w:lang w:val="fr-FR"/>
        </w:rPr>
        <w:t xml:space="preserve">, n’a pas été désignée comme l’un des organes du mécanisme </w:t>
      </w:r>
      <w:r w:rsidR="004C78C6">
        <w:rPr>
          <w:lang w:val="fr-FR"/>
        </w:rPr>
        <w:t xml:space="preserve">national </w:t>
      </w:r>
      <w:r w:rsidR="00A335FB">
        <w:rPr>
          <w:lang w:val="fr-FR"/>
        </w:rPr>
        <w:t>de prévention britannique</w:t>
      </w:r>
      <w:r w:rsidR="000B562B" w:rsidRPr="00A176EA">
        <w:rPr>
          <w:lang w:val="fr-FR"/>
        </w:rPr>
        <w:t>.</w:t>
      </w:r>
    </w:p>
    <w:p w:rsidR="000B562B" w:rsidRPr="003D7528" w:rsidRDefault="002549A9" w:rsidP="003D7528">
      <w:pPr>
        <w:pStyle w:val="SingleTxtG"/>
        <w:rPr>
          <w:lang w:val="fr-FR"/>
        </w:rPr>
      </w:pPr>
      <w:r w:rsidRPr="00A176EA">
        <w:rPr>
          <w:lang w:val="fr-FR"/>
        </w:rPr>
        <w:t>149.</w:t>
      </w:r>
      <w:r w:rsidRPr="00A176EA">
        <w:rPr>
          <w:lang w:val="fr-FR"/>
        </w:rPr>
        <w:tab/>
      </w:r>
      <w:r w:rsidR="00A335FB" w:rsidRPr="003D7528">
        <w:rPr>
          <w:lang w:val="fr-FR"/>
        </w:rPr>
        <w:t xml:space="preserve">Il existe déjà en Irlande du Nord une série d’organes </w:t>
      </w:r>
      <w:r w:rsidR="0080325F" w:rsidRPr="003D7528">
        <w:rPr>
          <w:lang w:val="fr-FR"/>
        </w:rPr>
        <w:t xml:space="preserve">d’inspection non spécialisés </w:t>
      </w:r>
      <w:r w:rsidR="00B21F4E" w:rsidRPr="003D7528">
        <w:rPr>
          <w:lang w:val="fr-FR"/>
        </w:rPr>
        <w:t>qui disposent d’un accès total</w:t>
      </w:r>
      <w:r w:rsidR="003D7528" w:rsidRPr="003D7528">
        <w:rPr>
          <w:lang w:val="fr-FR"/>
        </w:rPr>
        <w:t>, régulier</w:t>
      </w:r>
      <w:r w:rsidR="00B21F4E" w:rsidRPr="003D7528">
        <w:rPr>
          <w:lang w:val="fr-FR"/>
        </w:rPr>
        <w:t xml:space="preserve"> </w:t>
      </w:r>
      <w:r w:rsidR="003D7528" w:rsidRPr="003D7528">
        <w:rPr>
          <w:lang w:val="fr-FR"/>
        </w:rPr>
        <w:t xml:space="preserve">et </w:t>
      </w:r>
      <w:r w:rsidR="00B21F4E" w:rsidRPr="003D7528">
        <w:rPr>
          <w:lang w:val="fr-FR"/>
        </w:rPr>
        <w:t xml:space="preserve">sans préavis </w:t>
      </w:r>
      <w:r w:rsidR="003D7528" w:rsidRPr="003D7528">
        <w:rPr>
          <w:lang w:val="fr-FR"/>
        </w:rPr>
        <w:t xml:space="preserve">aux lieux de détention, de sorte que ceux-ci sont bien placés pour satisfaire aux exigences du Protocole additionnel en </w:t>
      </w:r>
      <w:r w:rsidR="008F3DA4" w:rsidRPr="003D7528">
        <w:rPr>
          <w:lang w:val="fr-FR"/>
        </w:rPr>
        <w:t>Irlande du Nord</w:t>
      </w:r>
      <w:r w:rsidR="000B562B" w:rsidRPr="003D7528">
        <w:rPr>
          <w:rStyle w:val="FootnoteReference"/>
          <w:szCs w:val="22"/>
        </w:rPr>
        <w:footnoteReference w:id="13"/>
      </w:r>
      <w:r w:rsidR="003D7528" w:rsidRPr="003D7528">
        <w:rPr>
          <w:lang w:val="fr-FR"/>
        </w:rPr>
        <w:t>.</w:t>
      </w:r>
    </w:p>
    <w:p w:rsidR="000B562B" w:rsidRPr="00A176EA" w:rsidRDefault="00732870" w:rsidP="00F879E3">
      <w:pPr>
        <w:pStyle w:val="SingleTxtG"/>
        <w:ind w:firstLine="567"/>
        <w:rPr>
          <w:b/>
          <w:lang w:val="fr-FR"/>
        </w:rPr>
      </w:pPr>
      <w:r w:rsidRPr="003D7528">
        <w:rPr>
          <w:b/>
          <w:lang w:val="fr-FR"/>
        </w:rPr>
        <w:t>n)</w:t>
      </w:r>
      <w:r w:rsidRPr="003D7528">
        <w:rPr>
          <w:b/>
          <w:lang w:val="fr-FR"/>
        </w:rPr>
        <w:tab/>
      </w:r>
      <w:r w:rsidR="00326650" w:rsidRPr="003D7528">
        <w:rPr>
          <w:b/>
          <w:lang w:val="fr-FR"/>
        </w:rPr>
        <w:t xml:space="preserve">Que l’État partie </w:t>
      </w:r>
      <w:r w:rsidR="007A542D" w:rsidRPr="003D7528">
        <w:rPr>
          <w:b/>
          <w:lang w:val="fr-FR"/>
        </w:rPr>
        <w:t>envisage</w:t>
      </w:r>
      <w:r w:rsidR="000B562B" w:rsidRPr="003D7528">
        <w:rPr>
          <w:b/>
          <w:lang w:val="fr-FR"/>
        </w:rPr>
        <w:t xml:space="preserve"> </w:t>
      </w:r>
      <w:r w:rsidR="007A542D" w:rsidRPr="003D7528">
        <w:rPr>
          <w:b/>
          <w:lang w:val="fr-FR"/>
        </w:rPr>
        <w:t xml:space="preserve">de proposer de manière systématique des examens médicaux avant </w:t>
      </w:r>
      <w:r w:rsidR="00F879E3">
        <w:rPr>
          <w:b/>
          <w:lang w:val="fr-FR"/>
        </w:rPr>
        <w:t>–</w:t>
      </w:r>
      <w:r w:rsidR="007A542D" w:rsidRPr="003D7528">
        <w:rPr>
          <w:b/>
          <w:lang w:val="fr-FR"/>
        </w:rPr>
        <w:t xml:space="preserve"> et après, en cas d’échec </w:t>
      </w:r>
      <w:r w:rsidR="00F879E3">
        <w:rPr>
          <w:b/>
          <w:lang w:val="fr-FR"/>
        </w:rPr>
        <w:t xml:space="preserve">– </w:t>
      </w:r>
      <w:r w:rsidR="007A542D" w:rsidRPr="003D7528">
        <w:rPr>
          <w:b/>
          <w:lang w:val="fr-FR"/>
        </w:rPr>
        <w:t>toute expulsion forcée par la voie aérienne</w:t>
      </w:r>
      <w:r w:rsidR="000B562B" w:rsidRPr="003D7528">
        <w:rPr>
          <w:b/>
          <w:lang w:val="fr-FR"/>
        </w:rPr>
        <w:t>.</w:t>
      </w:r>
    </w:p>
    <w:p w:rsidR="000B562B" w:rsidRPr="00A176EA" w:rsidRDefault="002549A9" w:rsidP="003D7528">
      <w:pPr>
        <w:pStyle w:val="SingleTxtG"/>
        <w:rPr>
          <w:color w:val="000000"/>
          <w:lang w:val="fr-FR"/>
        </w:rPr>
      </w:pPr>
      <w:r w:rsidRPr="00A176EA">
        <w:rPr>
          <w:color w:val="000000"/>
          <w:lang w:val="fr-FR"/>
        </w:rPr>
        <w:t>150.</w:t>
      </w:r>
      <w:r w:rsidRPr="00A176EA">
        <w:rPr>
          <w:color w:val="000000"/>
          <w:lang w:val="fr-FR"/>
        </w:rPr>
        <w:tab/>
      </w:r>
      <w:r w:rsidR="00411F45">
        <w:rPr>
          <w:color w:val="000000"/>
          <w:lang w:val="fr-FR"/>
        </w:rPr>
        <w:t>Avant son expulsion, c</w:t>
      </w:r>
      <w:r w:rsidR="003D7528">
        <w:rPr>
          <w:color w:val="000000"/>
          <w:lang w:val="fr-FR"/>
        </w:rPr>
        <w:t xml:space="preserve">haque </w:t>
      </w:r>
      <w:r w:rsidR="00411F45">
        <w:rPr>
          <w:color w:val="000000"/>
          <w:lang w:val="fr-FR"/>
        </w:rPr>
        <w:t>personne privée de liberté subit</w:t>
      </w:r>
      <w:r w:rsidR="00411F45" w:rsidRPr="00411F45">
        <w:rPr>
          <w:color w:val="000000"/>
          <w:lang w:val="fr-FR"/>
        </w:rPr>
        <w:t xml:space="preserve"> </w:t>
      </w:r>
      <w:r w:rsidR="00411F45">
        <w:rPr>
          <w:color w:val="000000"/>
          <w:lang w:val="fr-FR"/>
        </w:rPr>
        <w:t>une évaluation des risques portant,</w:t>
      </w:r>
      <w:r w:rsidR="003D7528">
        <w:rPr>
          <w:color w:val="000000"/>
          <w:lang w:val="fr-FR"/>
        </w:rPr>
        <w:t xml:space="preserve"> notamment</w:t>
      </w:r>
      <w:r w:rsidR="00411F45">
        <w:rPr>
          <w:color w:val="000000"/>
          <w:lang w:val="fr-FR"/>
        </w:rPr>
        <w:t>,</w:t>
      </w:r>
      <w:r w:rsidR="003D7528">
        <w:rPr>
          <w:color w:val="000000"/>
          <w:lang w:val="fr-FR"/>
        </w:rPr>
        <w:t xml:space="preserve"> sur tout problème médical connu, et l’avis d’un médecin est sollicité dès lors qu’un besoin est identifié. Il s’agit de déterminer, entre autres, si le détenu est apte à voyager en avion, s’il a besoin d’un accompagnement médical ou s’il existe d’autres facteurs que l’équipe médicale doit connaître</w:t>
      </w:r>
      <w:r w:rsidR="000B562B" w:rsidRPr="00A176EA">
        <w:rPr>
          <w:lang w:val="fr-FR"/>
        </w:rPr>
        <w:t>.</w:t>
      </w:r>
    </w:p>
    <w:p w:rsidR="000B562B" w:rsidRPr="00A176EA" w:rsidRDefault="002549A9" w:rsidP="00732870">
      <w:pPr>
        <w:pStyle w:val="SingleTxtG"/>
        <w:rPr>
          <w:color w:val="000000"/>
          <w:lang w:val="fr-FR"/>
        </w:rPr>
      </w:pPr>
      <w:r w:rsidRPr="00A176EA">
        <w:rPr>
          <w:color w:val="000000"/>
          <w:lang w:val="fr-FR"/>
        </w:rPr>
        <w:t>151.</w:t>
      </w:r>
      <w:r w:rsidRPr="00A176EA">
        <w:rPr>
          <w:color w:val="000000"/>
          <w:lang w:val="fr-FR"/>
        </w:rPr>
        <w:tab/>
      </w:r>
      <w:r w:rsidR="003D7528">
        <w:rPr>
          <w:color w:val="000000"/>
          <w:lang w:val="fr-FR"/>
        </w:rPr>
        <w:t xml:space="preserve">Tous les </w:t>
      </w:r>
      <w:r w:rsidR="00411F45">
        <w:rPr>
          <w:color w:val="000000"/>
          <w:lang w:val="fr-FR"/>
        </w:rPr>
        <w:t>re</w:t>
      </w:r>
      <w:r w:rsidR="003D7528">
        <w:rPr>
          <w:color w:val="000000"/>
          <w:lang w:val="fr-FR"/>
        </w:rPr>
        <w:t xml:space="preserve">tenus </w:t>
      </w:r>
      <w:r w:rsidR="00BF4E86">
        <w:rPr>
          <w:color w:val="000000"/>
          <w:lang w:val="fr-FR"/>
        </w:rPr>
        <w:t>voient</w:t>
      </w:r>
      <w:r w:rsidR="003D7528">
        <w:rPr>
          <w:color w:val="000000"/>
          <w:lang w:val="fr-FR"/>
        </w:rPr>
        <w:t xml:space="preserve"> une infirmière </w:t>
      </w:r>
      <w:r w:rsidR="00BF4E86">
        <w:rPr>
          <w:color w:val="000000"/>
          <w:lang w:val="fr-FR"/>
        </w:rPr>
        <w:t xml:space="preserve">dans les </w:t>
      </w:r>
      <w:r w:rsidR="003D7528">
        <w:rPr>
          <w:color w:val="000000"/>
          <w:lang w:val="fr-FR"/>
        </w:rPr>
        <w:t xml:space="preserve">deux heures </w:t>
      </w:r>
      <w:r w:rsidR="00BF4E86">
        <w:rPr>
          <w:color w:val="000000"/>
          <w:lang w:val="fr-FR"/>
        </w:rPr>
        <w:t>suivant</w:t>
      </w:r>
      <w:r w:rsidR="003D7528">
        <w:rPr>
          <w:color w:val="000000"/>
          <w:lang w:val="fr-FR"/>
        </w:rPr>
        <w:t xml:space="preserve"> leur arrivée </w:t>
      </w:r>
      <w:r w:rsidR="00BF4E86">
        <w:rPr>
          <w:color w:val="000000"/>
          <w:lang w:val="fr-FR"/>
        </w:rPr>
        <w:t>dans</w:t>
      </w:r>
      <w:r w:rsidR="003D7528">
        <w:rPr>
          <w:color w:val="000000"/>
          <w:lang w:val="fr-FR"/>
        </w:rPr>
        <w:t xml:space="preserve"> un Centre de rétention d</w:t>
      </w:r>
      <w:r w:rsidR="00975911">
        <w:rPr>
          <w:color w:val="000000"/>
          <w:lang w:val="fr-FR"/>
        </w:rPr>
        <w:t>es</w:t>
      </w:r>
      <w:r w:rsidR="003D7528">
        <w:rPr>
          <w:color w:val="000000"/>
          <w:lang w:val="fr-FR"/>
        </w:rPr>
        <w:t xml:space="preserve"> service</w:t>
      </w:r>
      <w:r w:rsidR="00975911">
        <w:rPr>
          <w:color w:val="000000"/>
          <w:lang w:val="fr-FR"/>
        </w:rPr>
        <w:t>s</w:t>
      </w:r>
      <w:r w:rsidR="003D7528">
        <w:rPr>
          <w:color w:val="000000"/>
          <w:lang w:val="fr-FR"/>
        </w:rPr>
        <w:t xml:space="preserve"> d’immigration</w:t>
      </w:r>
      <w:r w:rsidR="00BF4E86">
        <w:rPr>
          <w:color w:val="000000"/>
          <w:lang w:val="fr-FR"/>
        </w:rPr>
        <w:t xml:space="preserve"> et un rendez-vous est pris pour eux avec un médecin généraliste dans les 24 heures. Des infirmières sont présentes dans les centres 24 heures sur 24 et 7 jours sur 7</w:t>
      </w:r>
      <w:r w:rsidR="00411F45">
        <w:rPr>
          <w:color w:val="000000"/>
          <w:lang w:val="fr-FR"/>
        </w:rPr>
        <w:t>,</w:t>
      </w:r>
      <w:r w:rsidR="00BF4E86">
        <w:rPr>
          <w:color w:val="000000"/>
          <w:lang w:val="fr-FR"/>
        </w:rPr>
        <w:t xml:space="preserve"> et des généralistes sont présents toute la journée</w:t>
      </w:r>
      <w:r w:rsidR="00411F45">
        <w:rPr>
          <w:color w:val="000000"/>
          <w:lang w:val="fr-FR"/>
        </w:rPr>
        <w:t>,</w:t>
      </w:r>
      <w:r w:rsidR="003169B3">
        <w:rPr>
          <w:color w:val="000000"/>
          <w:lang w:val="fr-FR"/>
        </w:rPr>
        <w:t xml:space="preserve"> </w:t>
      </w:r>
      <w:r w:rsidR="00411F45">
        <w:rPr>
          <w:color w:val="000000"/>
          <w:lang w:val="fr-FR"/>
        </w:rPr>
        <w:t>puis</w:t>
      </w:r>
      <w:r w:rsidR="003169B3">
        <w:rPr>
          <w:color w:val="000000"/>
          <w:lang w:val="fr-FR"/>
        </w:rPr>
        <w:t xml:space="preserve"> sur appel téléphonique en dehors des heures d’ouverture. Ces examens ont lieu à l’arrivée de chaque nouveau </w:t>
      </w:r>
      <w:r w:rsidR="00411F45">
        <w:rPr>
          <w:color w:val="000000"/>
          <w:lang w:val="fr-FR"/>
        </w:rPr>
        <w:t>re</w:t>
      </w:r>
      <w:r w:rsidR="003169B3">
        <w:rPr>
          <w:color w:val="000000"/>
          <w:lang w:val="fr-FR"/>
        </w:rPr>
        <w:t>tenu dans un centre et à son retour en cas d’échec de l’expulsion</w:t>
      </w:r>
      <w:r w:rsidR="000B562B" w:rsidRPr="00A176EA">
        <w:rPr>
          <w:lang w:val="fr-FR"/>
        </w:rPr>
        <w:t>.</w:t>
      </w:r>
    </w:p>
    <w:p w:rsidR="000B562B" w:rsidRPr="003169B3" w:rsidRDefault="00732870" w:rsidP="00732870">
      <w:pPr>
        <w:pStyle w:val="SingleTxtG"/>
        <w:ind w:firstLine="567"/>
        <w:rPr>
          <w:b/>
          <w:lang w:val="fr-FR"/>
        </w:rPr>
      </w:pPr>
      <w:r w:rsidRPr="003169B3">
        <w:rPr>
          <w:b/>
          <w:lang w:val="fr-FR"/>
        </w:rPr>
        <w:t>o)</w:t>
      </w:r>
      <w:r w:rsidRPr="003169B3">
        <w:rPr>
          <w:b/>
          <w:lang w:val="fr-FR"/>
        </w:rPr>
        <w:tab/>
      </w:r>
      <w:r w:rsidR="00326650" w:rsidRPr="003169B3">
        <w:rPr>
          <w:b/>
          <w:lang w:val="fr-FR"/>
        </w:rPr>
        <w:t xml:space="preserve">Que l’État partie </w:t>
      </w:r>
      <w:r w:rsidR="007A542D" w:rsidRPr="003169B3">
        <w:rPr>
          <w:b/>
          <w:lang w:val="fr-FR"/>
        </w:rPr>
        <w:t>envisage</w:t>
      </w:r>
      <w:r w:rsidR="000B562B" w:rsidRPr="003169B3">
        <w:rPr>
          <w:b/>
          <w:lang w:val="fr-FR"/>
        </w:rPr>
        <w:t xml:space="preserve"> </w:t>
      </w:r>
      <w:r w:rsidR="007A542D" w:rsidRPr="003169B3">
        <w:rPr>
          <w:b/>
          <w:lang w:val="fr-FR"/>
        </w:rPr>
        <w:t>de mettre au point un instrument de collecte centrale de statistiques sur les questions soulevées par la Convention dans les prisons et les autres lieux de détention de l’État partie</w:t>
      </w:r>
      <w:r w:rsidR="000B562B" w:rsidRPr="003169B3">
        <w:rPr>
          <w:b/>
          <w:lang w:val="fr-FR"/>
        </w:rPr>
        <w:t>.</w:t>
      </w:r>
    </w:p>
    <w:p w:rsidR="000B562B" w:rsidRPr="00A176EA" w:rsidRDefault="002549A9" w:rsidP="0042784E">
      <w:pPr>
        <w:pStyle w:val="SingleTxtG"/>
        <w:rPr>
          <w:lang w:val="fr-FR"/>
        </w:rPr>
      </w:pPr>
      <w:r w:rsidRPr="003169B3">
        <w:rPr>
          <w:lang w:val="fr-FR"/>
        </w:rPr>
        <w:t>152.</w:t>
      </w:r>
      <w:r w:rsidRPr="003169B3">
        <w:rPr>
          <w:lang w:val="fr-FR"/>
        </w:rPr>
        <w:tab/>
      </w:r>
      <w:r w:rsidR="008E4932" w:rsidRPr="003169B3">
        <w:rPr>
          <w:lang w:val="fr-FR"/>
        </w:rPr>
        <w:t>L’Administration pénitentiaire</w:t>
      </w:r>
      <w:r w:rsidR="000B562B" w:rsidRPr="003169B3">
        <w:rPr>
          <w:lang w:val="fr-FR"/>
        </w:rPr>
        <w:t xml:space="preserve"> </w:t>
      </w:r>
      <w:r w:rsidR="008E4932" w:rsidRPr="003169B3">
        <w:rPr>
          <w:lang w:val="fr-FR"/>
        </w:rPr>
        <w:t xml:space="preserve">d’Angleterre et du </w:t>
      </w:r>
      <w:r w:rsidR="00186A02">
        <w:rPr>
          <w:lang w:val="fr-FR"/>
        </w:rPr>
        <w:t>p</w:t>
      </w:r>
      <w:r w:rsidR="005601A1">
        <w:rPr>
          <w:lang w:val="fr-FR"/>
        </w:rPr>
        <w:t>ays de Galles</w:t>
      </w:r>
      <w:r w:rsidR="008E4932" w:rsidRPr="003169B3">
        <w:rPr>
          <w:lang w:val="fr-FR"/>
        </w:rPr>
        <w:t xml:space="preserve"> </w:t>
      </w:r>
      <w:r w:rsidR="00F909C7">
        <w:rPr>
          <w:lang w:val="fr-FR"/>
        </w:rPr>
        <w:t xml:space="preserve">collecte déjà au niveau central, par le biais des Services analytiques </w:t>
      </w:r>
      <w:r w:rsidR="00EC7069">
        <w:rPr>
          <w:lang w:val="fr-FR"/>
        </w:rPr>
        <w:t xml:space="preserve">du Service national de gestion des </w:t>
      </w:r>
      <w:r w:rsidR="000423A5" w:rsidRPr="000423A5">
        <w:rPr>
          <w:lang w:val="fr-FR"/>
        </w:rPr>
        <w:t>détenus</w:t>
      </w:r>
      <w:r w:rsidR="002803A4">
        <w:rPr>
          <w:lang w:val="fr-FR"/>
        </w:rPr>
        <w:t xml:space="preserve">, une série de données statistiques comprenant le nombre de décès et d’agressions en détention. Ces informations sont publiées dans le document </w:t>
      </w:r>
      <w:r w:rsidR="00411F45">
        <w:rPr>
          <w:lang w:val="fr-FR"/>
        </w:rPr>
        <w:t xml:space="preserve">intitulé </w:t>
      </w:r>
      <w:r w:rsidR="002803A4">
        <w:rPr>
          <w:lang w:val="fr-FR"/>
        </w:rPr>
        <w:t xml:space="preserve">Rapport et comptes annuels du Service national de gestion des </w:t>
      </w:r>
      <w:r w:rsidR="000423A5" w:rsidRPr="000423A5">
        <w:rPr>
          <w:lang w:val="fr-FR"/>
        </w:rPr>
        <w:t>détenus</w:t>
      </w:r>
      <w:r w:rsidR="000B562B" w:rsidRPr="00A176EA">
        <w:rPr>
          <w:rStyle w:val="FootnoteReference"/>
          <w:szCs w:val="22"/>
        </w:rPr>
        <w:footnoteReference w:id="14"/>
      </w:r>
      <w:r w:rsidR="00EC7069">
        <w:rPr>
          <w:lang w:val="fr-FR"/>
        </w:rPr>
        <w:t>.</w:t>
      </w:r>
      <w:r w:rsidR="000B562B" w:rsidRPr="00A176EA">
        <w:rPr>
          <w:lang w:val="fr-FR"/>
        </w:rPr>
        <w:t xml:space="preserve"> </w:t>
      </w:r>
      <w:r w:rsidR="0042784E" w:rsidRPr="0042784E">
        <w:rPr>
          <w:lang w:val="fr-FR"/>
        </w:rPr>
        <w:t xml:space="preserve">En Écosse, des informations similaires sont publiées dans le document </w:t>
      </w:r>
      <w:r w:rsidR="00411F45">
        <w:rPr>
          <w:lang w:val="fr-FR"/>
        </w:rPr>
        <w:t xml:space="preserve">intitulé </w:t>
      </w:r>
      <w:r w:rsidR="0042784E" w:rsidRPr="0042784E">
        <w:rPr>
          <w:lang w:val="fr-FR"/>
        </w:rPr>
        <w:t>Rapport et comptes annuels de l’</w:t>
      </w:r>
      <w:r w:rsidR="008E4932" w:rsidRPr="0042784E">
        <w:rPr>
          <w:lang w:val="fr-FR"/>
        </w:rPr>
        <w:t>Administration pénitentiaire écossaise</w:t>
      </w:r>
      <w:r w:rsidR="000B562B" w:rsidRPr="0042784E">
        <w:rPr>
          <w:rStyle w:val="FootnoteReference"/>
          <w:szCs w:val="22"/>
        </w:rPr>
        <w:footnoteReference w:id="15"/>
      </w:r>
      <w:r w:rsidR="00EC7069" w:rsidRPr="0042784E">
        <w:rPr>
          <w:lang w:val="fr-FR"/>
        </w:rPr>
        <w:t>.</w:t>
      </w:r>
      <w:r w:rsidR="000B562B" w:rsidRPr="00A176EA">
        <w:rPr>
          <w:lang w:val="fr-FR"/>
        </w:rPr>
        <w:t xml:space="preserve"> </w:t>
      </w:r>
      <w:r w:rsidR="0042784E" w:rsidRPr="0042784E">
        <w:rPr>
          <w:lang w:val="fr-FR"/>
        </w:rPr>
        <w:t>Les décès dans les établissements pénitentiaires écossais font l’objet d’un rapport distinct dans un document interne que l’on peut obtenir sur demande auprès de l’</w:t>
      </w:r>
      <w:r w:rsidR="008E4932" w:rsidRPr="0042784E">
        <w:rPr>
          <w:lang w:val="fr-FR"/>
        </w:rPr>
        <w:t>Administration pénitentiaire écossaise</w:t>
      </w:r>
      <w:r w:rsidR="000B562B" w:rsidRPr="0042784E">
        <w:rPr>
          <w:rStyle w:val="FootnoteReference"/>
          <w:szCs w:val="22"/>
        </w:rPr>
        <w:footnoteReference w:id="16"/>
      </w:r>
      <w:r w:rsidR="008E4932" w:rsidRPr="0042784E">
        <w:rPr>
          <w:lang w:val="fr-FR"/>
        </w:rPr>
        <w:t>.</w:t>
      </w:r>
    </w:p>
    <w:p w:rsidR="000B562B" w:rsidRPr="00A176EA" w:rsidRDefault="002549A9" w:rsidP="00685B85">
      <w:pPr>
        <w:pStyle w:val="SingleTxtG"/>
        <w:rPr>
          <w:color w:val="000000"/>
          <w:lang w:val="fr-FR"/>
        </w:rPr>
      </w:pPr>
      <w:r w:rsidRPr="00A176EA">
        <w:rPr>
          <w:color w:val="000000"/>
          <w:lang w:val="fr-FR"/>
        </w:rPr>
        <w:t>153.</w:t>
      </w:r>
      <w:r w:rsidRPr="00A176EA">
        <w:rPr>
          <w:color w:val="000000"/>
          <w:lang w:val="fr-FR"/>
        </w:rPr>
        <w:tab/>
      </w:r>
      <w:r w:rsidR="0042784E">
        <w:rPr>
          <w:color w:val="000000"/>
          <w:lang w:val="fr-FR"/>
        </w:rPr>
        <w:t xml:space="preserve">Des statistiques annuelles sont publiées sur </w:t>
      </w:r>
      <w:r w:rsidR="00411F45">
        <w:rPr>
          <w:color w:val="000000"/>
          <w:lang w:val="fr-FR"/>
        </w:rPr>
        <w:t>les gardes à vue</w:t>
      </w:r>
      <w:r w:rsidR="0042784E">
        <w:rPr>
          <w:color w:val="000000"/>
          <w:lang w:val="fr-FR"/>
        </w:rPr>
        <w:t xml:space="preserve"> dans les postes de police. </w:t>
      </w:r>
      <w:r w:rsidR="0042784E" w:rsidRPr="00685B85">
        <w:rPr>
          <w:color w:val="000000"/>
          <w:lang w:val="fr-FR"/>
        </w:rPr>
        <w:t xml:space="preserve">Les forces de police </w:t>
      </w:r>
      <w:r w:rsidR="00685B85" w:rsidRPr="00685B85">
        <w:rPr>
          <w:color w:val="000000"/>
          <w:lang w:val="fr-FR"/>
        </w:rPr>
        <w:t xml:space="preserve">sont tenues, en vertu de dispositions relatives aux données annuelles, de fournir des informations sur l’exercice de certains pouvoirs conférés par la </w:t>
      </w:r>
      <w:r w:rsidR="00DC045F" w:rsidRPr="00685B85">
        <w:rPr>
          <w:lang w:val="fr-FR"/>
        </w:rPr>
        <w:t xml:space="preserve">loi sur la police et les preuves </w:t>
      </w:r>
      <w:r w:rsidR="00D10599" w:rsidRPr="00D10599">
        <w:rPr>
          <w:lang w:val="fr-FR"/>
        </w:rPr>
        <w:t>pénale</w:t>
      </w:r>
      <w:r w:rsidR="00D10599">
        <w:rPr>
          <w:lang w:val="fr-FR"/>
        </w:rPr>
        <w:t xml:space="preserve">s </w:t>
      </w:r>
      <w:r w:rsidR="00DC045F" w:rsidRPr="00685B85">
        <w:rPr>
          <w:lang w:val="fr-FR"/>
        </w:rPr>
        <w:t xml:space="preserve">de </w:t>
      </w:r>
      <w:r w:rsidR="000B562B" w:rsidRPr="00685B85">
        <w:rPr>
          <w:lang w:val="fr-FR"/>
        </w:rPr>
        <w:t xml:space="preserve">1984 </w:t>
      </w:r>
      <w:r w:rsidR="0042784E" w:rsidRPr="00685B85">
        <w:rPr>
          <w:lang w:val="fr-FR"/>
        </w:rPr>
        <w:t xml:space="preserve">et l’ordonnance de 1989 relative à la police et aux preuves </w:t>
      </w:r>
      <w:r w:rsidR="00D10599" w:rsidRPr="00D10599">
        <w:rPr>
          <w:lang w:val="fr-FR"/>
        </w:rPr>
        <w:t>pénale</w:t>
      </w:r>
      <w:r w:rsidR="00D10599">
        <w:rPr>
          <w:lang w:val="fr-FR"/>
        </w:rPr>
        <w:t xml:space="preserve">s </w:t>
      </w:r>
      <w:r w:rsidR="000B562B" w:rsidRPr="00685B85">
        <w:rPr>
          <w:lang w:val="fr-FR"/>
        </w:rPr>
        <w:t>(</w:t>
      </w:r>
      <w:r w:rsidR="008F3DA4" w:rsidRPr="00685B85">
        <w:rPr>
          <w:lang w:val="fr-FR"/>
        </w:rPr>
        <w:t>Irlande du Nord</w:t>
      </w:r>
      <w:r w:rsidR="000B562B" w:rsidRPr="00685B85">
        <w:rPr>
          <w:lang w:val="fr-FR"/>
        </w:rPr>
        <w:t>).</w:t>
      </w:r>
      <w:r w:rsidR="000B562B" w:rsidRPr="00A176EA">
        <w:rPr>
          <w:lang w:val="fr-FR"/>
        </w:rPr>
        <w:t xml:space="preserve"> </w:t>
      </w:r>
      <w:r w:rsidR="00685B85" w:rsidRPr="00685B85">
        <w:rPr>
          <w:lang w:val="fr-FR"/>
        </w:rPr>
        <w:t xml:space="preserve">Cela comprend des données sur </w:t>
      </w:r>
      <w:r w:rsidR="008A2BF0" w:rsidRPr="00685B85">
        <w:rPr>
          <w:lang w:val="fr-FR"/>
        </w:rPr>
        <w:t>les interpellations et les fouilles</w:t>
      </w:r>
      <w:r w:rsidR="000B562B" w:rsidRPr="00685B85">
        <w:rPr>
          <w:lang w:val="fr-FR"/>
        </w:rPr>
        <w:t xml:space="preserve">, </w:t>
      </w:r>
      <w:r w:rsidR="008A2BF0" w:rsidRPr="00685B85">
        <w:rPr>
          <w:lang w:val="fr-FR"/>
        </w:rPr>
        <w:t xml:space="preserve">les </w:t>
      </w:r>
      <w:r w:rsidR="000B562B" w:rsidRPr="00685B85">
        <w:rPr>
          <w:lang w:val="fr-FR"/>
        </w:rPr>
        <w:t>arrest</w:t>
      </w:r>
      <w:r w:rsidR="008A2BF0" w:rsidRPr="00685B85">
        <w:rPr>
          <w:lang w:val="fr-FR"/>
        </w:rPr>
        <w:t>ations et les placements</w:t>
      </w:r>
      <w:r w:rsidR="000B562B" w:rsidRPr="00685B85">
        <w:rPr>
          <w:lang w:val="fr-FR"/>
        </w:rPr>
        <w:t xml:space="preserve"> </w:t>
      </w:r>
      <w:r w:rsidR="008A2BF0" w:rsidRPr="00685B85">
        <w:rPr>
          <w:lang w:val="fr-FR"/>
        </w:rPr>
        <w:t>en</w:t>
      </w:r>
      <w:r w:rsidR="000B562B" w:rsidRPr="00685B85">
        <w:rPr>
          <w:lang w:val="fr-FR"/>
        </w:rPr>
        <w:t xml:space="preserve"> d</w:t>
      </w:r>
      <w:r w:rsidR="008A2BF0" w:rsidRPr="00685B85">
        <w:rPr>
          <w:lang w:val="fr-FR"/>
        </w:rPr>
        <w:t>é</w:t>
      </w:r>
      <w:r w:rsidR="000B562B" w:rsidRPr="00685B85">
        <w:rPr>
          <w:lang w:val="fr-FR"/>
        </w:rPr>
        <w:t xml:space="preserve">tention, </w:t>
      </w:r>
      <w:r w:rsidR="00685B85" w:rsidRPr="00685B85">
        <w:rPr>
          <w:lang w:val="fr-FR"/>
        </w:rPr>
        <w:t xml:space="preserve">ainsi que </w:t>
      </w:r>
      <w:r w:rsidR="00107D16">
        <w:rPr>
          <w:lang w:val="fr-FR"/>
        </w:rPr>
        <w:t xml:space="preserve">sur </w:t>
      </w:r>
      <w:r w:rsidR="00685B85" w:rsidRPr="00685B85">
        <w:rPr>
          <w:lang w:val="fr-FR"/>
        </w:rPr>
        <w:t>l</w:t>
      </w:r>
      <w:r w:rsidR="00107D16">
        <w:rPr>
          <w:lang w:val="fr-FR"/>
        </w:rPr>
        <w:t>a durée d</w:t>
      </w:r>
      <w:r w:rsidR="00685B85" w:rsidRPr="00685B85">
        <w:rPr>
          <w:lang w:val="fr-FR"/>
        </w:rPr>
        <w:t>es périodes de détention</w:t>
      </w:r>
      <w:r w:rsidR="000B562B" w:rsidRPr="00685B85">
        <w:rPr>
          <w:lang w:val="fr-FR"/>
        </w:rPr>
        <w:t>.</w:t>
      </w:r>
    </w:p>
    <w:p w:rsidR="000B562B" w:rsidRPr="00A176EA" w:rsidRDefault="00732870" w:rsidP="009F2DD9">
      <w:pPr>
        <w:pStyle w:val="SingleTxtG"/>
        <w:ind w:firstLine="567"/>
        <w:rPr>
          <w:lang w:val="fr-FR"/>
        </w:rPr>
      </w:pPr>
      <w:r w:rsidRPr="009F2DD9">
        <w:rPr>
          <w:b/>
          <w:lang w:val="fr-FR"/>
        </w:rPr>
        <w:t>p)</w:t>
      </w:r>
      <w:r w:rsidRPr="009F2DD9">
        <w:rPr>
          <w:b/>
          <w:lang w:val="fr-FR"/>
        </w:rPr>
        <w:tab/>
      </w:r>
      <w:r w:rsidR="00326650" w:rsidRPr="009F2DD9">
        <w:rPr>
          <w:b/>
          <w:lang w:val="fr-FR"/>
        </w:rPr>
        <w:t>Que</w:t>
      </w:r>
      <w:r w:rsidR="00326650" w:rsidRPr="00685B85">
        <w:rPr>
          <w:b/>
          <w:lang w:val="fr-FR"/>
        </w:rPr>
        <w:t xml:space="preserve"> </w:t>
      </w:r>
      <w:r w:rsidR="00326650" w:rsidRPr="009F2DD9">
        <w:rPr>
          <w:b/>
          <w:lang w:val="fr-FR"/>
        </w:rPr>
        <w:t xml:space="preserve">l’État partie </w:t>
      </w:r>
      <w:r w:rsidR="007A542D" w:rsidRPr="009F2DD9">
        <w:rPr>
          <w:b/>
          <w:lang w:val="fr-FR"/>
        </w:rPr>
        <w:t>fasse la</w:t>
      </w:r>
      <w:r w:rsidR="000B562B" w:rsidRPr="009F2DD9">
        <w:rPr>
          <w:b/>
          <w:lang w:val="fr-FR"/>
        </w:rPr>
        <w:t xml:space="preserve"> d</w:t>
      </w:r>
      <w:r w:rsidR="007A542D" w:rsidRPr="009F2DD9">
        <w:rPr>
          <w:b/>
          <w:lang w:val="fr-FR"/>
        </w:rPr>
        <w:t>é</w:t>
      </w:r>
      <w:r w:rsidR="000B562B" w:rsidRPr="009F2DD9">
        <w:rPr>
          <w:b/>
          <w:lang w:val="fr-FR"/>
        </w:rPr>
        <w:t xml:space="preserve">claration </w:t>
      </w:r>
      <w:r w:rsidR="007A542D" w:rsidRPr="009F2DD9">
        <w:rPr>
          <w:b/>
          <w:lang w:val="fr-FR"/>
        </w:rPr>
        <w:t>prévue à l’</w:t>
      </w:r>
      <w:r w:rsidR="000B562B" w:rsidRPr="009F2DD9">
        <w:rPr>
          <w:b/>
          <w:lang w:val="fr-FR"/>
        </w:rPr>
        <w:t xml:space="preserve">article 22 </w:t>
      </w:r>
      <w:r w:rsidR="007A542D" w:rsidRPr="009F2DD9">
        <w:rPr>
          <w:b/>
          <w:lang w:val="fr-FR"/>
        </w:rPr>
        <w:t>de la</w:t>
      </w:r>
      <w:r w:rsidR="000B562B" w:rsidRPr="009F2DD9">
        <w:rPr>
          <w:b/>
          <w:lang w:val="fr-FR"/>
        </w:rPr>
        <w:t xml:space="preserve"> Convention.</w:t>
      </w:r>
    </w:p>
    <w:p w:rsidR="000B562B" w:rsidRPr="00A176EA" w:rsidRDefault="002549A9" w:rsidP="00F920E8">
      <w:pPr>
        <w:pStyle w:val="SingleTxtG"/>
        <w:rPr>
          <w:color w:val="000000"/>
          <w:lang w:val="fr-FR"/>
        </w:rPr>
      </w:pPr>
      <w:r w:rsidRPr="00A176EA">
        <w:rPr>
          <w:color w:val="000000"/>
          <w:lang w:val="fr-FR"/>
        </w:rPr>
        <w:t>154.</w:t>
      </w:r>
      <w:r w:rsidRPr="00A176EA">
        <w:rPr>
          <w:color w:val="000000"/>
          <w:lang w:val="fr-FR"/>
        </w:rPr>
        <w:tab/>
      </w:r>
      <w:r w:rsidR="00685B85">
        <w:rPr>
          <w:color w:val="000000"/>
          <w:lang w:val="fr-FR"/>
        </w:rPr>
        <w:t xml:space="preserve">La position du Gouvernement britannique quant à la déclaration prévue à l’article 22 et sa politique quant aux recours individuels introduits devant les organes conventionnels des Nations Unies </w:t>
      </w:r>
      <w:r w:rsidR="00F920E8">
        <w:rPr>
          <w:color w:val="000000"/>
          <w:lang w:val="fr-FR"/>
        </w:rPr>
        <w:t>sont exposées aux paragraphes 6 à 11 ci-dessus</w:t>
      </w:r>
      <w:r w:rsidR="000B562B" w:rsidRPr="00A176EA">
        <w:rPr>
          <w:lang w:val="fr-FR"/>
        </w:rPr>
        <w:t>.</w:t>
      </w:r>
    </w:p>
    <w:p w:rsidR="00F920E8" w:rsidRDefault="00F879E3" w:rsidP="00F879E3">
      <w:pPr>
        <w:pStyle w:val="HChG"/>
      </w:pPr>
      <w:r>
        <w:tab/>
      </w:r>
      <w:r w:rsidR="00871937" w:rsidRPr="00871937">
        <w:t>II</w:t>
      </w:r>
      <w:r>
        <w:t>.</w:t>
      </w:r>
      <w:r>
        <w:tab/>
      </w:r>
      <w:r w:rsidR="00F920E8">
        <w:t>T</w:t>
      </w:r>
      <w:r w:rsidR="00F920E8" w:rsidRPr="00871937">
        <w:t>errito</w:t>
      </w:r>
      <w:r w:rsidR="00F920E8">
        <w:t>ire mé</w:t>
      </w:r>
      <w:r w:rsidR="00871937" w:rsidRPr="00871937">
        <w:t>tropolita</w:t>
      </w:r>
      <w:r w:rsidR="00F920E8">
        <w:t>i</w:t>
      </w:r>
      <w:r w:rsidR="00871937" w:rsidRPr="00871937">
        <w:t>n</w:t>
      </w:r>
      <w:r w:rsidR="00FC2B97">
        <w:t>:</w:t>
      </w:r>
      <w:r w:rsidR="00871937" w:rsidRPr="00871937">
        <w:t xml:space="preserve"> </w:t>
      </w:r>
      <w:r w:rsidR="00F920E8">
        <w:t>renseignements relatifs aux</w:t>
      </w:r>
      <w:r w:rsidR="00871937" w:rsidRPr="00871937">
        <w:t xml:space="preserve"> articles 1</w:t>
      </w:r>
      <w:r w:rsidR="00F920E8">
        <w:t xml:space="preserve"> à </w:t>
      </w:r>
      <w:r w:rsidR="00871937" w:rsidRPr="00871937">
        <w:t xml:space="preserve">16 </w:t>
      </w:r>
      <w:r w:rsidR="00F920E8">
        <w:t>de la</w:t>
      </w:r>
      <w:r w:rsidR="00871937" w:rsidRPr="00871937">
        <w:t xml:space="preserve"> Convention </w:t>
      </w:r>
    </w:p>
    <w:p w:rsidR="000B562B" w:rsidRPr="00A176EA" w:rsidRDefault="00B82329" w:rsidP="001C135E">
      <w:pPr>
        <w:pStyle w:val="H1G"/>
      </w:pPr>
      <w:r>
        <w:tab/>
      </w:r>
      <w:r>
        <w:tab/>
      </w:r>
      <w:r w:rsidR="000B562B" w:rsidRPr="00A176EA">
        <w:t>Introduction</w:t>
      </w:r>
    </w:p>
    <w:p w:rsidR="000B562B" w:rsidRPr="00A176EA" w:rsidRDefault="002549A9" w:rsidP="00F920E8">
      <w:pPr>
        <w:pStyle w:val="SingleTxtG"/>
        <w:rPr>
          <w:lang w:val="fr-FR"/>
        </w:rPr>
      </w:pPr>
      <w:r w:rsidRPr="00A176EA">
        <w:rPr>
          <w:lang w:val="fr-FR"/>
        </w:rPr>
        <w:t>155.</w:t>
      </w:r>
      <w:r w:rsidRPr="00A176EA">
        <w:rPr>
          <w:lang w:val="fr-FR"/>
        </w:rPr>
        <w:tab/>
      </w:r>
      <w:r w:rsidR="00F920E8">
        <w:rPr>
          <w:lang w:val="fr-FR"/>
        </w:rPr>
        <w:t xml:space="preserve">Cette partie du rapport fournit des informations sur les faits nouveaux survenus depuis le quatrième rapport périodique du Royaume-Uni de novembre 2003, </w:t>
      </w:r>
      <w:r w:rsidR="00C0693F">
        <w:rPr>
          <w:lang w:val="fr-FR"/>
        </w:rPr>
        <w:t xml:space="preserve">son </w:t>
      </w:r>
      <w:r w:rsidR="00F920E8">
        <w:rPr>
          <w:lang w:val="fr-FR"/>
        </w:rPr>
        <w:t>examen oral en novembre 2004 et la réponse initiale aux observations finales du Comité présentée le 20 avril</w:t>
      </w:r>
      <w:r w:rsidR="00C0693F">
        <w:rPr>
          <w:lang w:val="fr-FR"/>
        </w:rPr>
        <w:t xml:space="preserve"> 2006</w:t>
      </w:r>
      <w:r w:rsidR="000B562B" w:rsidRPr="00A176EA">
        <w:rPr>
          <w:lang w:val="fr-FR"/>
        </w:rPr>
        <w:t>.</w:t>
      </w:r>
    </w:p>
    <w:p w:rsidR="000B562B" w:rsidRPr="00A176EA" w:rsidRDefault="00B82329" w:rsidP="001C135E">
      <w:pPr>
        <w:pStyle w:val="H1G"/>
      </w:pPr>
      <w:bookmarkStart w:id="3" w:name="_Toc299724671"/>
      <w:r>
        <w:tab/>
      </w:r>
      <w:r>
        <w:tab/>
      </w:r>
      <w:r w:rsidR="000B562B" w:rsidRPr="00F920E8">
        <w:t>Article 2</w:t>
      </w:r>
      <w:r w:rsidR="00FB2083">
        <w:br/>
      </w:r>
      <w:r w:rsidR="00F920E8" w:rsidRPr="00F920E8">
        <w:t>Mesures efficaces prises pour prévenir la</w:t>
      </w:r>
      <w:r w:rsidR="000B562B" w:rsidRPr="00F920E8">
        <w:t xml:space="preserve"> torture</w:t>
      </w:r>
      <w:bookmarkEnd w:id="3"/>
    </w:p>
    <w:p w:rsidR="000B562B" w:rsidRPr="00A176EA" w:rsidRDefault="007D3174" w:rsidP="005113DF">
      <w:pPr>
        <w:pStyle w:val="H23G"/>
        <w:rPr>
          <w:lang w:val="fr-FR"/>
        </w:rPr>
      </w:pPr>
      <w:r>
        <w:rPr>
          <w:lang w:val="fr-FR"/>
        </w:rPr>
        <w:t>Garde à vue</w:t>
      </w:r>
    </w:p>
    <w:p w:rsidR="000B562B" w:rsidRPr="00A176EA" w:rsidRDefault="000E5F91" w:rsidP="005113DF">
      <w:pPr>
        <w:pStyle w:val="H23G"/>
        <w:rPr>
          <w:lang w:val="fr-FR"/>
        </w:rPr>
      </w:pPr>
      <w:r w:rsidRPr="007D3174">
        <w:rPr>
          <w:lang w:val="fr-FR"/>
        </w:rPr>
        <w:t>Cadre juridique</w:t>
      </w:r>
    </w:p>
    <w:p w:rsidR="000B562B" w:rsidRPr="00A176EA" w:rsidRDefault="002549A9" w:rsidP="0075360D">
      <w:pPr>
        <w:pStyle w:val="SingleTxtG"/>
        <w:rPr>
          <w:lang w:val="fr-FR"/>
        </w:rPr>
      </w:pPr>
      <w:r w:rsidRPr="00A176EA">
        <w:rPr>
          <w:lang w:val="fr-FR"/>
        </w:rPr>
        <w:t>156.</w:t>
      </w:r>
      <w:r w:rsidRPr="00A176EA">
        <w:rPr>
          <w:lang w:val="fr-FR"/>
        </w:rPr>
        <w:tab/>
      </w:r>
      <w:r w:rsidR="0075360D">
        <w:rPr>
          <w:lang w:val="fr-FR"/>
        </w:rPr>
        <w:t xml:space="preserve">Aux termes de la loi de 1984 sur la police et les preuves </w:t>
      </w:r>
      <w:r w:rsidR="00D10599" w:rsidRPr="00D10599">
        <w:rPr>
          <w:lang w:val="fr-FR"/>
        </w:rPr>
        <w:t>pénale</w:t>
      </w:r>
      <w:r w:rsidR="00D10599">
        <w:rPr>
          <w:lang w:val="fr-FR"/>
        </w:rPr>
        <w:t>s</w:t>
      </w:r>
      <w:r w:rsidR="000B562B" w:rsidRPr="00A176EA">
        <w:rPr>
          <w:rStyle w:val="FootnoteReference"/>
          <w:bCs/>
          <w:szCs w:val="22"/>
        </w:rPr>
        <w:footnoteReference w:id="17"/>
      </w:r>
      <w:r w:rsidR="000B562B" w:rsidRPr="00A176EA">
        <w:rPr>
          <w:lang w:val="fr-FR"/>
        </w:rPr>
        <w:t xml:space="preserve"> </w:t>
      </w:r>
      <w:r w:rsidR="0075360D">
        <w:rPr>
          <w:lang w:val="fr-FR"/>
        </w:rPr>
        <w:t xml:space="preserve">et de </w:t>
      </w:r>
      <w:r w:rsidR="0075360D" w:rsidRPr="0075360D">
        <w:rPr>
          <w:lang w:val="fr-FR"/>
        </w:rPr>
        <w:t xml:space="preserve">l’ordonnance de 1989 relative à la police et aux preuves </w:t>
      </w:r>
      <w:r w:rsidR="006D715C">
        <w:rPr>
          <w:lang w:val="fr-FR"/>
        </w:rPr>
        <w:t xml:space="preserve">pénales </w:t>
      </w:r>
      <w:r w:rsidR="000B562B" w:rsidRPr="00C0693F">
        <w:rPr>
          <w:lang w:val="fr-FR"/>
        </w:rPr>
        <w:t>(</w:t>
      </w:r>
      <w:r w:rsidR="008F3DA4" w:rsidRPr="0075360D">
        <w:rPr>
          <w:lang w:val="fr-FR"/>
        </w:rPr>
        <w:t>Irlande du Nord</w:t>
      </w:r>
      <w:r w:rsidR="000B562B" w:rsidRPr="00C0693F">
        <w:rPr>
          <w:lang w:val="fr-FR"/>
        </w:rPr>
        <w:t>)</w:t>
      </w:r>
      <w:r w:rsidR="000B562B" w:rsidRPr="0075360D">
        <w:rPr>
          <w:rStyle w:val="FootnoteReference"/>
          <w:bCs/>
          <w:iCs/>
          <w:szCs w:val="22"/>
        </w:rPr>
        <w:footnoteReference w:id="18"/>
      </w:r>
      <w:r w:rsidR="0075360D" w:rsidRPr="0075360D">
        <w:rPr>
          <w:i/>
          <w:lang w:val="fr-FR"/>
        </w:rPr>
        <w:t>,</w:t>
      </w:r>
      <w:r w:rsidR="0075360D" w:rsidRPr="0075360D">
        <w:rPr>
          <w:lang w:val="fr-FR"/>
        </w:rPr>
        <w:t xml:space="preserve"> le Ministre</w:t>
      </w:r>
      <w:r w:rsidR="0075360D">
        <w:rPr>
          <w:lang w:val="fr-FR"/>
        </w:rPr>
        <w:t xml:space="preserve"> de la justice doit publier des Codes de </w:t>
      </w:r>
      <w:r w:rsidR="001F6FBF">
        <w:rPr>
          <w:lang w:val="fr-FR"/>
        </w:rPr>
        <w:t xml:space="preserve">bonnes </w:t>
      </w:r>
      <w:r w:rsidR="0075360D">
        <w:rPr>
          <w:lang w:val="fr-FR"/>
        </w:rPr>
        <w:t>pratique</w:t>
      </w:r>
      <w:r w:rsidR="001F6FBF">
        <w:rPr>
          <w:lang w:val="fr-FR"/>
        </w:rPr>
        <w:t>s</w:t>
      </w:r>
      <w:r w:rsidR="0075360D">
        <w:rPr>
          <w:lang w:val="fr-FR"/>
        </w:rPr>
        <w:t xml:space="preserve"> concernant les interpellations et les fouilles, </w:t>
      </w:r>
      <w:r w:rsidR="00020823">
        <w:rPr>
          <w:lang w:val="fr-FR"/>
        </w:rPr>
        <w:t>l’arrestation</w:t>
      </w:r>
      <w:r w:rsidR="001130F1">
        <w:rPr>
          <w:lang w:val="fr-FR"/>
        </w:rPr>
        <w:t xml:space="preserve">, le placement en détention, </w:t>
      </w:r>
      <w:r w:rsidR="0075360D">
        <w:rPr>
          <w:lang w:val="fr-FR"/>
        </w:rPr>
        <w:t>le traitement et l’audition des personnes, l’i</w:t>
      </w:r>
      <w:r w:rsidR="00020823">
        <w:rPr>
          <w:lang w:val="fr-FR"/>
        </w:rPr>
        <w:t xml:space="preserve">dentification </w:t>
      </w:r>
      <w:r w:rsidR="001130F1">
        <w:rPr>
          <w:lang w:val="fr-FR"/>
        </w:rPr>
        <w:t xml:space="preserve">des suspects </w:t>
      </w:r>
      <w:r w:rsidR="00020823">
        <w:rPr>
          <w:lang w:val="fr-FR"/>
        </w:rPr>
        <w:t xml:space="preserve">et l’enregistrement des auditions. </w:t>
      </w:r>
      <w:r w:rsidR="001130F1">
        <w:rPr>
          <w:lang w:val="fr-FR"/>
        </w:rPr>
        <w:t xml:space="preserve">Les Codes sont </w:t>
      </w:r>
      <w:r w:rsidR="00F41DFA">
        <w:rPr>
          <w:lang w:val="fr-FR"/>
        </w:rPr>
        <w:t>réexaminés</w:t>
      </w:r>
      <w:r w:rsidR="001130F1">
        <w:rPr>
          <w:lang w:val="fr-FR"/>
        </w:rPr>
        <w:t xml:space="preserve"> en permanence et toute modification doit faire l’objet d’une consultation et de l’approbation du Parlement. Dans les postes de police, ils sont fournis sur demande aux gardés à vue et au public. Ils sont téléchargeables gratuitement sur le site Internet du Ministère de la justice et l’on peut s</w:t>
      </w:r>
      <w:r w:rsidR="006226D0">
        <w:rPr>
          <w:lang w:val="fr-FR"/>
        </w:rPr>
        <w:t>’</w:t>
      </w:r>
      <w:r w:rsidR="001130F1">
        <w:rPr>
          <w:lang w:val="fr-FR"/>
        </w:rPr>
        <w:t>e</w:t>
      </w:r>
      <w:r w:rsidR="006226D0">
        <w:rPr>
          <w:lang w:val="fr-FR"/>
        </w:rPr>
        <w:t>n</w:t>
      </w:r>
      <w:r w:rsidR="001130F1">
        <w:rPr>
          <w:lang w:val="fr-FR"/>
        </w:rPr>
        <w:t xml:space="preserve"> procurer </w:t>
      </w:r>
      <w:r w:rsidR="006226D0">
        <w:rPr>
          <w:lang w:val="fr-FR"/>
        </w:rPr>
        <w:t xml:space="preserve">une version papier auprès des éditeurs. Les Codes traitent des contacts entre la police et le public dans le cadre de l’exercice des pouvoirs de la police. Ils régissent les pouvoirs de celle-ci et les procédures d’enquêtes criminelles, et établissent des garanties et des protections en faveur du public. </w:t>
      </w:r>
      <w:r w:rsidR="00020823" w:rsidRPr="006226D0">
        <w:rPr>
          <w:lang w:val="fr-FR"/>
        </w:rPr>
        <w:t xml:space="preserve">En Irlande du Nord, des codes équivalents sont publiés en vertu de l’ordonnance de 1989 relative à la police et aux preuves </w:t>
      </w:r>
      <w:r w:rsidR="006D715C">
        <w:rPr>
          <w:lang w:val="fr-FR"/>
        </w:rPr>
        <w:t xml:space="preserve">pénales </w:t>
      </w:r>
      <w:r w:rsidR="000B562B" w:rsidRPr="006226D0">
        <w:rPr>
          <w:lang w:val="fr-FR"/>
        </w:rPr>
        <w:t>(</w:t>
      </w:r>
      <w:r w:rsidR="008F3DA4" w:rsidRPr="006226D0">
        <w:rPr>
          <w:lang w:val="fr-FR"/>
        </w:rPr>
        <w:t>Irlande du Nord</w:t>
      </w:r>
      <w:r w:rsidR="000B562B" w:rsidRPr="006226D0">
        <w:rPr>
          <w:lang w:val="fr-FR"/>
        </w:rPr>
        <w:t xml:space="preserve">). </w:t>
      </w:r>
      <w:r w:rsidR="006226D0" w:rsidRPr="006226D0">
        <w:rPr>
          <w:lang w:val="fr-FR"/>
        </w:rPr>
        <w:t>Toute révision des Codes doit faire l’objet d’une consultation et de l’approbation de l’Assemblée d’</w:t>
      </w:r>
      <w:r w:rsidR="008F3DA4" w:rsidRPr="006226D0">
        <w:rPr>
          <w:lang w:val="fr-FR"/>
        </w:rPr>
        <w:t>Irlande du Nord</w:t>
      </w:r>
      <w:r w:rsidR="000B562B" w:rsidRPr="006226D0">
        <w:rPr>
          <w:lang w:val="fr-FR"/>
        </w:rPr>
        <w:t>.</w:t>
      </w:r>
    </w:p>
    <w:p w:rsidR="000B562B" w:rsidRPr="00A176EA" w:rsidRDefault="002549A9" w:rsidP="00664F28">
      <w:pPr>
        <w:pStyle w:val="SingleTxtG"/>
        <w:rPr>
          <w:lang w:val="fr-FR"/>
        </w:rPr>
      </w:pPr>
      <w:r w:rsidRPr="00A176EA">
        <w:rPr>
          <w:lang w:val="fr-FR"/>
        </w:rPr>
        <w:t>157.</w:t>
      </w:r>
      <w:r w:rsidRPr="00A176EA">
        <w:rPr>
          <w:lang w:val="fr-FR"/>
        </w:rPr>
        <w:tab/>
      </w:r>
      <w:r w:rsidR="0049444C">
        <w:rPr>
          <w:lang w:val="fr-FR"/>
        </w:rPr>
        <w:t>Pour l’</w:t>
      </w:r>
      <w:r w:rsidR="00FD2CE1" w:rsidRPr="006226D0">
        <w:rPr>
          <w:lang w:val="fr-FR"/>
        </w:rPr>
        <w:t>Écosse</w:t>
      </w:r>
      <w:r w:rsidR="006226D0" w:rsidRPr="006226D0">
        <w:rPr>
          <w:lang w:val="fr-FR"/>
        </w:rPr>
        <w:t>,</w:t>
      </w:r>
      <w:r w:rsidR="006226D0">
        <w:rPr>
          <w:lang w:val="fr-FR"/>
        </w:rPr>
        <w:t xml:space="preserve"> les procédures de placement en détention figurent aux articles 14 à 15A de la loi de 1995 sur la procédure pénale (</w:t>
      </w:r>
      <w:r w:rsidR="006226D0" w:rsidRPr="006226D0">
        <w:rPr>
          <w:lang w:val="fr-FR"/>
        </w:rPr>
        <w:t>Écosse</w:t>
      </w:r>
      <w:r w:rsidR="006226D0">
        <w:rPr>
          <w:lang w:val="fr-FR"/>
        </w:rPr>
        <w:t xml:space="preserve">). </w:t>
      </w:r>
      <w:r w:rsidR="0049444C" w:rsidRPr="00664F28">
        <w:rPr>
          <w:lang w:val="fr-FR"/>
        </w:rPr>
        <w:t xml:space="preserve">D’autres procédures relatives à la garde à vue et au placement en détention figurent dans le document intitulé Manuel d’orientation </w:t>
      </w:r>
      <w:r w:rsidR="00664F28" w:rsidRPr="00664F28">
        <w:rPr>
          <w:lang w:val="fr-FR"/>
        </w:rPr>
        <w:t>sur la garde en vue</w:t>
      </w:r>
      <w:r w:rsidR="006D715C">
        <w:rPr>
          <w:lang w:val="fr-FR"/>
        </w:rPr>
        <w:t xml:space="preserve"> de</w:t>
      </w:r>
      <w:r w:rsidR="00664F28" w:rsidRPr="00664F28">
        <w:rPr>
          <w:lang w:val="fr-FR"/>
        </w:rPr>
        <w:t xml:space="preserve"> 2008 </w:t>
      </w:r>
      <w:r w:rsidR="000A1593" w:rsidRPr="00664F28">
        <w:rPr>
          <w:lang w:val="fr-FR"/>
        </w:rPr>
        <w:t xml:space="preserve">de l’Association des </w:t>
      </w:r>
      <w:r w:rsidR="009B0111">
        <w:rPr>
          <w:lang w:val="fr-FR"/>
        </w:rPr>
        <w:t>officiers supérieurs</w:t>
      </w:r>
      <w:r w:rsidR="000A1593" w:rsidRPr="00664F28">
        <w:rPr>
          <w:lang w:val="fr-FR"/>
        </w:rPr>
        <w:t xml:space="preserve"> de </w:t>
      </w:r>
      <w:r w:rsidR="009707B1" w:rsidRPr="00664F28">
        <w:rPr>
          <w:lang w:val="fr-FR"/>
        </w:rPr>
        <w:t xml:space="preserve">la </w:t>
      </w:r>
      <w:r w:rsidR="000A1593" w:rsidRPr="00664F28">
        <w:rPr>
          <w:lang w:val="fr-FR"/>
        </w:rPr>
        <w:t>police d’Écosse</w:t>
      </w:r>
      <w:r w:rsidR="000B562B" w:rsidRPr="00664F28">
        <w:rPr>
          <w:lang w:val="fr-FR"/>
        </w:rPr>
        <w:t>.</w:t>
      </w:r>
      <w:r w:rsidR="00664F28">
        <w:rPr>
          <w:lang w:val="fr-FR"/>
        </w:rPr>
        <w:t xml:space="preserve"> Ce document établit des orientations finales sur la mise en place par les forces de police écossaises de politiques stratégiques et opérationnelles visant à maintenir des normes élevées s’agissant de la prise en charge et de la garde d’individus par la police</w:t>
      </w:r>
      <w:r w:rsidR="000B562B" w:rsidRPr="00A176EA">
        <w:rPr>
          <w:lang w:val="fr-FR"/>
        </w:rPr>
        <w:t>.</w:t>
      </w:r>
    </w:p>
    <w:p w:rsidR="000B562B" w:rsidRPr="00A176EA" w:rsidRDefault="002549A9" w:rsidP="00D10520">
      <w:pPr>
        <w:pStyle w:val="SingleTxtG"/>
        <w:rPr>
          <w:lang w:val="fr-FR"/>
        </w:rPr>
      </w:pPr>
      <w:r w:rsidRPr="00A176EA">
        <w:rPr>
          <w:lang w:val="fr-FR"/>
        </w:rPr>
        <w:t>158.</w:t>
      </w:r>
      <w:r w:rsidRPr="00A176EA">
        <w:rPr>
          <w:lang w:val="fr-FR"/>
        </w:rPr>
        <w:tab/>
      </w:r>
      <w:r w:rsidR="00440FAD">
        <w:rPr>
          <w:lang w:val="fr-FR"/>
        </w:rPr>
        <w:t>La loi sur la police et les preuves</w:t>
      </w:r>
      <w:r w:rsidR="00D10599">
        <w:rPr>
          <w:lang w:val="fr-FR"/>
        </w:rPr>
        <w:t xml:space="preserve"> pénales </w:t>
      </w:r>
      <w:r w:rsidR="00440FAD">
        <w:rPr>
          <w:lang w:val="fr-FR"/>
        </w:rPr>
        <w:t xml:space="preserve">fait l’objet d’un contrôle interne permanent, mais également d’un examen </w:t>
      </w:r>
      <w:r w:rsidR="006D7EFC">
        <w:rPr>
          <w:lang w:val="fr-FR"/>
        </w:rPr>
        <w:t xml:space="preserve">public </w:t>
      </w:r>
      <w:r w:rsidR="00440FAD">
        <w:rPr>
          <w:lang w:val="fr-FR"/>
        </w:rPr>
        <w:t xml:space="preserve">régulier et fréquent. Deux processus </w:t>
      </w:r>
      <w:r w:rsidR="006D7EFC">
        <w:rPr>
          <w:lang w:val="fr-FR"/>
        </w:rPr>
        <w:t>sont en place</w:t>
      </w:r>
      <w:r w:rsidR="00FC2B97">
        <w:rPr>
          <w:lang w:val="fr-FR"/>
        </w:rPr>
        <w:t>:</w:t>
      </w:r>
      <w:r w:rsidR="00440FAD">
        <w:rPr>
          <w:lang w:val="fr-FR"/>
        </w:rPr>
        <w:t xml:space="preserve"> la modification de points spécifiques </w:t>
      </w:r>
      <w:r w:rsidR="00D10520">
        <w:rPr>
          <w:lang w:val="fr-FR"/>
        </w:rPr>
        <w:t>au moyen de nouveaux textes examinés par le Parlement et le contrôle (plus stratégique) par le biais de consultations publiques</w:t>
      </w:r>
      <w:r w:rsidR="000B562B" w:rsidRPr="00A176EA">
        <w:rPr>
          <w:lang w:val="fr-FR"/>
        </w:rPr>
        <w:t>.</w:t>
      </w:r>
    </w:p>
    <w:p w:rsidR="000B562B" w:rsidRPr="00A176EA" w:rsidRDefault="002549A9" w:rsidP="006B520E">
      <w:pPr>
        <w:pStyle w:val="SingleTxtG"/>
        <w:rPr>
          <w:lang w:val="fr-FR"/>
        </w:rPr>
      </w:pPr>
      <w:r w:rsidRPr="00A176EA">
        <w:rPr>
          <w:lang w:val="fr-FR"/>
        </w:rPr>
        <w:t>159.</w:t>
      </w:r>
      <w:r w:rsidRPr="00A176EA">
        <w:rPr>
          <w:lang w:val="fr-FR"/>
        </w:rPr>
        <w:tab/>
      </w:r>
      <w:r w:rsidR="00D10520">
        <w:rPr>
          <w:lang w:val="fr-FR"/>
        </w:rPr>
        <w:t>Le</w:t>
      </w:r>
      <w:r w:rsidR="000B562B" w:rsidRPr="00A176EA">
        <w:rPr>
          <w:lang w:val="fr-FR"/>
        </w:rPr>
        <w:t xml:space="preserve"> 28 </w:t>
      </w:r>
      <w:r w:rsidR="00D10520">
        <w:rPr>
          <w:lang w:val="fr-FR"/>
        </w:rPr>
        <w:t>août</w:t>
      </w:r>
      <w:r w:rsidR="000B562B" w:rsidRPr="00A176EA">
        <w:rPr>
          <w:lang w:val="fr-FR"/>
        </w:rPr>
        <w:t xml:space="preserve"> 2008</w:t>
      </w:r>
      <w:r w:rsidR="00D10520">
        <w:rPr>
          <w:lang w:val="fr-FR"/>
        </w:rPr>
        <w:t>,</w:t>
      </w:r>
      <w:r w:rsidR="000B562B" w:rsidRPr="00A176EA">
        <w:rPr>
          <w:lang w:val="fr-FR"/>
        </w:rPr>
        <w:t xml:space="preserve"> </w:t>
      </w:r>
      <w:r w:rsidR="00D10520">
        <w:rPr>
          <w:lang w:val="fr-FR"/>
        </w:rPr>
        <w:t>l</w:t>
      </w:r>
      <w:r w:rsidR="000B562B" w:rsidRPr="00A176EA">
        <w:rPr>
          <w:lang w:val="fr-FR"/>
        </w:rPr>
        <w:t>e Go</w:t>
      </w:r>
      <w:r w:rsidR="00D10520">
        <w:rPr>
          <w:lang w:val="fr-FR"/>
        </w:rPr>
        <w:t>u</w:t>
      </w:r>
      <w:r w:rsidR="000B562B" w:rsidRPr="00A176EA">
        <w:rPr>
          <w:lang w:val="fr-FR"/>
        </w:rPr>
        <w:t>vern</w:t>
      </w:r>
      <w:r w:rsidR="00D10520">
        <w:rPr>
          <w:lang w:val="fr-FR"/>
        </w:rPr>
        <w:t>e</w:t>
      </w:r>
      <w:r w:rsidR="000B562B" w:rsidRPr="00A176EA">
        <w:rPr>
          <w:lang w:val="fr-FR"/>
        </w:rPr>
        <w:t xml:space="preserve">ment </w:t>
      </w:r>
      <w:r w:rsidR="00D10520">
        <w:rPr>
          <w:lang w:val="fr-FR"/>
        </w:rPr>
        <w:t xml:space="preserve">a publié un document </w:t>
      </w:r>
      <w:r w:rsidR="002F641B">
        <w:rPr>
          <w:lang w:val="fr-FR"/>
        </w:rPr>
        <w:t>de</w:t>
      </w:r>
      <w:r w:rsidR="00D10520">
        <w:rPr>
          <w:lang w:val="fr-FR"/>
        </w:rPr>
        <w:t xml:space="preserve"> consultation publique intitulé </w:t>
      </w:r>
      <w:r w:rsidR="00CD0110">
        <w:rPr>
          <w:lang w:val="fr-FR"/>
        </w:rPr>
        <w:t>«</w:t>
      </w:r>
      <w:r w:rsidR="00D10520">
        <w:rPr>
          <w:lang w:val="fr-FR"/>
        </w:rPr>
        <w:t xml:space="preserve">Examen de la loi sur la police et les preuves </w:t>
      </w:r>
      <w:r w:rsidR="00D10599">
        <w:rPr>
          <w:lang w:val="fr-FR"/>
        </w:rPr>
        <w:t>pénales</w:t>
      </w:r>
      <w:r w:rsidR="00FC2B97">
        <w:rPr>
          <w:lang w:val="fr-FR"/>
        </w:rPr>
        <w:t>:</w:t>
      </w:r>
      <w:r w:rsidR="00D10520">
        <w:rPr>
          <w:lang w:val="fr-FR"/>
        </w:rPr>
        <w:t xml:space="preserve"> propositions du Gouvernement en réponse à l’examen de la loi de 1984 sur la police et les preuves </w:t>
      </w:r>
      <w:r w:rsidR="00D10599">
        <w:rPr>
          <w:lang w:val="fr-FR"/>
        </w:rPr>
        <w:t>pénales</w:t>
      </w:r>
      <w:r w:rsidR="00CD0110">
        <w:rPr>
          <w:lang w:val="fr-FR"/>
        </w:rPr>
        <w:t>»</w:t>
      </w:r>
      <w:r w:rsidR="00D10520">
        <w:rPr>
          <w:lang w:val="fr-FR"/>
        </w:rPr>
        <w:t xml:space="preserve">. </w:t>
      </w:r>
      <w:r w:rsidR="001F6E49">
        <w:rPr>
          <w:lang w:val="fr-FR"/>
        </w:rPr>
        <w:t>Ce document a été publié à l’issue d’</w:t>
      </w:r>
      <w:r w:rsidR="00D10520">
        <w:rPr>
          <w:lang w:val="fr-FR"/>
        </w:rPr>
        <w:t xml:space="preserve">une période de consultation de trois mois faisant suite à un document de consultation publique </w:t>
      </w:r>
      <w:r w:rsidR="00407653">
        <w:rPr>
          <w:lang w:val="fr-FR"/>
        </w:rPr>
        <w:t xml:space="preserve">publié en mars 2007 et </w:t>
      </w:r>
      <w:r w:rsidR="00D10520">
        <w:rPr>
          <w:lang w:val="fr-FR"/>
        </w:rPr>
        <w:t xml:space="preserve">appelant le public, les parties prenantes et les spécialistes à fournir des propositions de </w:t>
      </w:r>
      <w:r w:rsidR="00407653">
        <w:rPr>
          <w:lang w:val="fr-FR"/>
        </w:rPr>
        <w:t>modification</w:t>
      </w:r>
      <w:r w:rsidR="00D10520">
        <w:rPr>
          <w:lang w:val="fr-FR"/>
        </w:rPr>
        <w:t xml:space="preserve"> constructive. </w:t>
      </w:r>
      <w:r w:rsidR="00407653">
        <w:rPr>
          <w:lang w:val="fr-FR"/>
        </w:rPr>
        <w:t xml:space="preserve">Aucune modification n’a été proposée </w:t>
      </w:r>
      <w:r w:rsidR="002F641B">
        <w:rPr>
          <w:lang w:val="fr-FR"/>
        </w:rPr>
        <w:t>au sujet de</w:t>
      </w:r>
      <w:r w:rsidR="00407653">
        <w:rPr>
          <w:lang w:val="fr-FR"/>
        </w:rPr>
        <w:t xml:space="preserve"> la </w:t>
      </w:r>
      <w:r w:rsidR="002F641B">
        <w:rPr>
          <w:lang w:val="fr-FR"/>
        </w:rPr>
        <w:t>durée</w:t>
      </w:r>
      <w:r w:rsidR="00407653">
        <w:rPr>
          <w:lang w:val="fr-FR"/>
        </w:rPr>
        <w:t xml:space="preserve"> de </w:t>
      </w:r>
      <w:r w:rsidR="002F641B">
        <w:rPr>
          <w:lang w:val="fr-FR"/>
        </w:rPr>
        <w:t xml:space="preserve">la </w:t>
      </w:r>
      <w:r w:rsidR="00407653">
        <w:rPr>
          <w:lang w:val="fr-FR"/>
        </w:rPr>
        <w:t xml:space="preserve">détention dans les cas ne relevant pas du terrorisme et les propositions faites portaient sur le maintien des garanties et des protections de l’individu en vigueur. Le document propose d’envisager la désignation d’un référent adulte indépendant pour tous les jeunes et les adultes vulnérables sur le plan mental. Agissant aux côtés des parents, ce référent aura pour </w:t>
      </w:r>
      <w:r w:rsidR="002F641B">
        <w:rPr>
          <w:lang w:val="fr-FR"/>
        </w:rPr>
        <w:t>mission</w:t>
      </w:r>
      <w:r w:rsidR="00407653">
        <w:rPr>
          <w:lang w:val="fr-FR"/>
        </w:rPr>
        <w:t xml:space="preserve"> de renforcer le soutien aux détenus vulnérables et </w:t>
      </w:r>
      <w:r w:rsidR="002F641B">
        <w:rPr>
          <w:lang w:val="fr-FR"/>
        </w:rPr>
        <w:t>de</w:t>
      </w:r>
      <w:r w:rsidR="00407653">
        <w:rPr>
          <w:lang w:val="fr-FR"/>
        </w:rPr>
        <w:t xml:space="preserve"> favoriser la communication avec eux. Les informations et la réponse sont publiées sur le site Internet du Ministère </w:t>
      </w:r>
      <w:r w:rsidR="006B520E">
        <w:rPr>
          <w:lang w:val="fr-FR"/>
        </w:rPr>
        <w:t>de l’intérieur</w:t>
      </w:r>
      <w:r w:rsidR="000B562B" w:rsidRPr="00A176EA">
        <w:rPr>
          <w:rStyle w:val="FootnoteReference"/>
          <w:szCs w:val="22"/>
        </w:rPr>
        <w:footnoteReference w:id="19"/>
      </w:r>
      <w:r w:rsidR="006B520E">
        <w:rPr>
          <w:lang w:val="fr-FR"/>
        </w:rPr>
        <w:t xml:space="preserve">. Un document de consultation distinct mais similaire sur les propositions relatives à la loi sur la police et les preuves </w:t>
      </w:r>
      <w:r w:rsidR="00D10599">
        <w:rPr>
          <w:lang w:val="fr-FR"/>
        </w:rPr>
        <w:t>pénales</w:t>
      </w:r>
      <w:r w:rsidR="006B520E">
        <w:rPr>
          <w:lang w:val="fr-FR"/>
        </w:rPr>
        <w:t xml:space="preserve"> en Irlande du Nord a été publié en janvier </w:t>
      </w:r>
      <w:r w:rsidR="000B562B" w:rsidRPr="00A176EA">
        <w:rPr>
          <w:lang w:val="fr-FR"/>
        </w:rPr>
        <w:t>2009</w:t>
      </w:r>
      <w:r w:rsidR="000B562B" w:rsidRPr="00A176EA">
        <w:rPr>
          <w:rStyle w:val="FootnoteReference"/>
          <w:szCs w:val="22"/>
        </w:rPr>
        <w:footnoteReference w:id="20"/>
      </w:r>
      <w:r w:rsidR="006B520E">
        <w:rPr>
          <w:lang w:val="fr-FR"/>
        </w:rPr>
        <w:t>.</w:t>
      </w:r>
    </w:p>
    <w:p w:rsidR="000B562B" w:rsidRPr="00A176EA" w:rsidRDefault="002549A9" w:rsidP="009E3197">
      <w:pPr>
        <w:pStyle w:val="SingleTxtG"/>
        <w:rPr>
          <w:lang w:val="fr-FR"/>
        </w:rPr>
      </w:pPr>
      <w:r w:rsidRPr="00A176EA">
        <w:rPr>
          <w:lang w:val="fr-FR"/>
        </w:rPr>
        <w:t>160.</w:t>
      </w:r>
      <w:r w:rsidRPr="00A176EA">
        <w:rPr>
          <w:lang w:val="fr-FR"/>
        </w:rPr>
        <w:tab/>
      </w:r>
      <w:r w:rsidR="006B520E" w:rsidRPr="006B520E">
        <w:rPr>
          <w:lang w:val="fr-FR"/>
        </w:rPr>
        <w:t xml:space="preserve">D’un point de vue opérationnel, l’application de la </w:t>
      </w:r>
      <w:r w:rsidR="00440FAD" w:rsidRPr="006B520E">
        <w:rPr>
          <w:lang w:val="fr-FR"/>
        </w:rPr>
        <w:t xml:space="preserve">loi sur la police et les preuves </w:t>
      </w:r>
      <w:r w:rsidR="00D10599">
        <w:rPr>
          <w:lang w:val="fr-FR"/>
        </w:rPr>
        <w:t>pénales</w:t>
      </w:r>
      <w:r w:rsidR="006B520E">
        <w:rPr>
          <w:lang w:val="fr-FR"/>
        </w:rPr>
        <w:t xml:space="preserve"> est contrôlée par la hiérarchie des services de police, les avocats des détenus, </w:t>
      </w:r>
      <w:r w:rsidR="009E3197">
        <w:rPr>
          <w:lang w:val="fr-FR"/>
        </w:rPr>
        <w:t xml:space="preserve">les procureurs de la Couronne, les tribunaux, les services d’inspection et la communauté locale par le biais d’individus locaux agissant en qualité de visiteurs de prison indépendants. En outre, la Commission indépendante des plaintes contre la police a tous pouvoirs d’enquête pour traiter les plaintes ou les incidents </w:t>
      </w:r>
      <w:r w:rsidR="00CA2BB4">
        <w:rPr>
          <w:lang w:val="fr-FR"/>
        </w:rPr>
        <w:t>survenus en</w:t>
      </w:r>
      <w:r w:rsidR="009E3197">
        <w:rPr>
          <w:lang w:val="fr-FR"/>
        </w:rPr>
        <w:t xml:space="preserve"> garde à vue</w:t>
      </w:r>
      <w:r w:rsidR="000B562B" w:rsidRPr="00A176EA">
        <w:rPr>
          <w:lang w:val="fr-FR"/>
        </w:rPr>
        <w:t>.</w:t>
      </w:r>
    </w:p>
    <w:p w:rsidR="000B562B" w:rsidRPr="00A176EA" w:rsidRDefault="002549A9" w:rsidP="00C006CB">
      <w:pPr>
        <w:pStyle w:val="SingleTxtG"/>
        <w:tabs>
          <w:tab w:val="left" w:pos="567"/>
          <w:tab w:val="left" w:pos="1134"/>
          <w:tab w:val="left" w:pos="1701"/>
          <w:tab w:val="left" w:pos="2268"/>
          <w:tab w:val="left" w:pos="2835"/>
          <w:tab w:val="left" w:pos="3402"/>
          <w:tab w:val="left" w:pos="3969"/>
          <w:tab w:val="left" w:pos="4536"/>
          <w:tab w:val="left" w:pos="5103"/>
          <w:tab w:val="left" w:pos="5961"/>
        </w:tabs>
        <w:rPr>
          <w:lang w:val="fr-FR"/>
        </w:rPr>
      </w:pPr>
      <w:r w:rsidRPr="00A176EA">
        <w:rPr>
          <w:lang w:val="fr-FR"/>
        </w:rPr>
        <w:t>161.</w:t>
      </w:r>
      <w:r w:rsidRPr="00A176EA">
        <w:rPr>
          <w:lang w:val="fr-FR"/>
        </w:rPr>
        <w:tab/>
      </w:r>
      <w:r w:rsidR="009E3197">
        <w:rPr>
          <w:lang w:val="fr-FR"/>
        </w:rPr>
        <w:t>En février</w:t>
      </w:r>
      <w:r w:rsidR="000B562B" w:rsidRPr="00A176EA">
        <w:rPr>
          <w:lang w:val="fr-FR"/>
        </w:rPr>
        <w:t xml:space="preserve"> 2006, </w:t>
      </w:r>
      <w:r w:rsidR="009E3197">
        <w:rPr>
          <w:lang w:val="fr-FR"/>
        </w:rPr>
        <w:t xml:space="preserve">le Ministère de l’intérieur et </w:t>
      </w:r>
      <w:r w:rsidR="00CB0090">
        <w:rPr>
          <w:lang w:val="fr-FR"/>
        </w:rPr>
        <w:t>l</w:t>
      </w:r>
      <w:r w:rsidR="00F03FA6">
        <w:rPr>
          <w:lang w:val="fr-FR"/>
        </w:rPr>
        <w:t>’Association d</w:t>
      </w:r>
      <w:r w:rsidR="00CB0090">
        <w:rPr>
          <w:lang w:val="fr-FR"/>
        </w:rPr>
        <w:t>es chefs de la police ont publié avec l’Administration centrale de la formation et du développement de la police</w:t>
      </w:r>
      <w:r w:rsidR="00F03FA6">
        <w:rPr>
          <w:lang w:val="fr-FR"/>
        </w:rPr>
        <w:t>, la CENTREX</w:t>
      </w:r>
      <w:r w:rsidR="00CB0090">
        <w:rPr>
          <w:lang w:val="fr-FR"/>
        </w:rPr>
        <w:t xml:space="preserve"> (appelée aujourd’hui Agence nationale pour l’amélioration du maintien de l’ordre)</w:t>
      </w:r>
      <w:r w:rsidR="00F03FA6">
        <w:rPr>
          <w:lang w:val="fr-FR"/>
        </w:rPr>
        <w:t>,</w:t>
      </w:r>
      <w:r w:rsidR="00CB0090">
        <w:rPr>
          <w:lang w:val="fr-FR"/>
        </w:rPr>
        <w:t xml:space="preserve"> des directives relatives aux conditions de détention et </w:t>
      </w:r>
      <w:r w:rsidR="00B11BDD">
        <w:rPr>
          <w:lang w:val="fr-FR"/>
        </w:rPr>
        <w:t>au</w:t>
      </w:r>
      <w:r w:rsidR="00CB0090">
        <w:rPr>
          <w:lang w:val="fr-FR"/>
        </w:rPr>
        <w:t xml:space="preserve"> traitement </w:t>
      </w:r>
      <w:r w:rsidR="00C515F4">
        <w:rPr>
          <w:lang w:val="fr-FR"/>
        </w:rPr>
        <w:t xml:space="preserve">plus sûrs </w:t>
      </w:r>
      <w:r w:rsidR="00CB0090">
        <w:rPr>
          <w:lang w:val="fr-FR"/>
        </w:rPr>
        <w:t>des personnes en garde à vue</w:t>
      </w:r>
      <w:r w:rsidR="000B562B" w:rsidRPr="00A176EA">
        <w:rPr>
          <w:rStyle w:val="FootnoteReference"/>
          <w:szCs w:val="22"/>
        </w:rPr>
        <w:footnoteReference w:id="21"/>
      </w:r>
      <w:r w:rsidR="00CB0090">
        <w:rPr>
          <w:lang w:val="fr-FR"/>
        </w:rPr>
        <w:t xml:space="preserve">. Ces directives établissent les normes s’appliquant au traitement des personnes ayant affaire à la police. </w:t>
      </w:r>
      <w:r w:rsidR="004265E0">
        <w:rPr>
          <w:lang w:val="fr-FR"/>
        </w:rPr>
        <w:t xml:space="preserve">Elles définissent le cadre dans lequel la police et d’autres organismes doivent opérer, et les mécanismes stratégiques à mettre en place pour obtenir les résultats requis. </w:t>
      </w:r>
      <w:r w:rsidR="007F0C2C">
        <w:rPr>
          <w:lang w:val="fr-FR"/>
        </w:rPr>
        <w:t xml:space="preserve">Leur objectif est de contribuer à réduire le nombre de décès en détention et </w:t>
      </w:r>
      <w:r w:rsidR="00B275DF">
        <w:rPr>
          <w:lang w:val="fr-FR"/>
        </w:rPr>
        <w:t>d’</w:t>
      </w:r>
      <w:r w:rsidR="007F0C2C">
        <w:rPr>
          <w:lang w:val="fr-FR"/>
        </w:rPr>
        <w:t xml:space="preserve">incidents </w:t>
      </w:r>
      <w:r w:rsidR="00B275DF">
        <w:rPr>
          <w:lang w:val="fr-FR"/>
        </w:rPr>
        <w:t>regrettables</w:t>
      </w:r>
      <w:r w:rsidR="007F0C2C">
        <w:rPr>
          <w:lang w:val="fr-FR"/>
        </w:rPr>
        <w:t>. Par ailleurs, les directives visent à fournir</w:t>
      </w:r>
      <w:r w:rsidR="00212FB6">
        <w:rPr>
          <w:lang w:val="fr-FR"/>
        </w:rPr>
        <w:t xml:space="preserve"> aux spécialistes un soutien, des conseils et des orientations concrets en relevant les normes de prise en charge des détenus et en améliorant leur traitement. La mise en œuvre des directives dans chaque circonscription administrative de police est contrôlée par </w:t>
      </w:r>
      <w:r w:rsidR="00C006CB">
        <w:rPr>
          <w:lang w:val="fr-FR"/>
        </w:rPr>
        <w:t xml:space="preserve">l’Agence nationale pour l’amélioration du maintien de l’ordre, l’Association des </w:t>
      </w:r>
      <w:r w:rsidR="009B0111">
        <w:rPr>
          <w:lang w:val="fr-FR"/>
        </w:rPr>
        <w:t>officiers supérieurs</w:t>
      </w:r>
      <w:r w:rsidR="00C006CB">
        <w:rPr>
          <w:lang w:val="fr-FR"/>
        </w:rPr>
        <w:t xml:space="preserve"> de la police et le Ministère de l’intérieur. En janvier 2008, des documents de formation ont été publiés à l’intention des </w:t>
      </w:r>
      <w:r w:rsidR="00694B46">
        <w:rPr>
          <w:lang w:val="fr-FR"/>
        </w:rPr>
        <w:t xml:space="preserve">officiers de police </w:t>
      </w:r>
      <w:r w:rsidR="00C006CB">
        <w:rPr>
          <w:lang w:val="fr-FR"/>
        </w:rPr>
        <w:t>responsables de</w:t>
      </w:r>
      <w:r w:rsidR="00694B46">
        <w:rPr>
          <w:lang w:val="fr-FR"/>
        </w:rPr>
        <w:t>s</w:t>
      </w:r>
      <w:r w:rsidR="00C006CB">
        <w:rPr>
          <w:lang w:val="fr-FR"/>
        </w:rPr>
        <w:t xml:space="preserve"> garde</w:t>
      </w:r>
      <w:r w:rsidR="00694B46">
        <w:rPr>
          <w:lang w:val="fr-FR"/>
        </w:rPr>
        <w:t>s</w:t>
      </w:r>
      <w:r w:rsidR="00C006CB">
        <w:rPr>
          <w:lang w:val="fr-FR"/>
        </w:rPr>
        <w:t xml:space="preserve"> à vue</w:t>
      </w:r>
      <w:r w:rsidR="000B562B" w:rsidRPr="00A176EA">
        <w:rPr>
          <w:lang w:val="fr-FR"/>
        </w:rPr>
        <w:t>.</w:t>
      </w:r>
    </w:p>
    <w:p w:rsidR="000B562B" w:rsidRPr="00A176EA" w:rsidRDefault="002549A9" w:rsidP="0078233F">
      <w:pPr>
        <w:pStyle w:val="SingleTxtG"/>
        <w:rPr>
          <w:lang w:val="fr-FR"/>
        </w:rPr>
      </w:pPr>
      <w:r w:rsidRPr="00A176EA">
        <w:rPr>
          <w:lang w:val="fr-FR"/>
        </w:rPr>
        <w:t>162.</w:t>
      </w:r>
      <w:r w:rsidRPr="00A176EA">
        <w:rPr>
          <w:lang w:val="fr-FR"/>
        </w:rPr>
        <w:tab/>
      </w:r>
      <w:r w:rsidR="006D466B">
        <w:rPr>
          <w:lang w:val="fr-FR"/>
        </w:rPr>
        <w:t xml:space="preserve">L’annexe 8 de la loi de 2000 sur le terrorisme prévoit un régime de détention distinct pour les individus arrêtés en vertu de </w:t>
      </w:r>
      <w:r w:rsidR="00045614">
        <w:rPr>
          <w:lang w:val="fr-FR"/>
        </w:rPr>
        <w:t>l’</w:t>
      </w:r>
      <w:r w:rsidR="006D466B">
        <w:rPr>
          <w:lang w:val="fr-FR"/>
        </w:rPr>
        <w:t xml:space="preserve">article 41 </w:t>
      </w:r>
      <w:r w:rsidR="00045614">
        <w:rPr>
          <w:lang w:val="fr-FR"/>
        </w:rPr>
        <w:t xml:space="preserve">de la loi </w:t>
      </w:r>
      <w:r w:rsidR="006D466B">
        <w:rPr>
          <w:lang w:val="fr-FR"/>
        </w:rPr>
        <w:t xml:space="preserve">ou détenus en vertu de l’annexe 7. L’annexe 8 définit notamment le traitement, l’identification et la représentation en justice de ces individus, ainsi que la procédure permettant à la police et au </w:t>
      </w:r>
      <w:r w:rsidR="007A1549">
        <w:rPr>
          <w:lang w:val="fr-FR"/>
        </w:rPr>
        <w:t>m</w:t>
      </w:r>
      <w:r w:rsidR="00327073">
        <w:rPr>
          <w:lang w:val="fr-FR"/>
        </w:rPr>
        <w:t>inistère public</w:t>
      </w:r>
      <w:r w:rsidR="006D466B">
        <w:rPr>
          <w:lang w:val="fr-FR"/>
        </w:rPr>
        <w:t xml:space="preserve"> de la Couronne d’obtenir </w:t>
      </w:r>
      <w:r w:rsidR="00327073">
        <w:rPr>
          <w:lang w:val="fr-FR"/>
        </w:rPr>
        <w:t>de l’autorité</w:t>
      </w:r>
      <w:r w:rsidR="006D466B">
        <w:rPr>
          <w:lang w:val="fr-FR"/>
        </w:rPr>
        <w:t xml:space="preserve"> judiciaire compétente une prolongation du mandat de dépôt. </w:t>
      </w:r>
      <w:r w:rsidR="00327073" w:rsidRPr="00327073">
        <w:rPr>
          <w:lang w:val="fr-FR"/>
        </w:rPr>
        <w:t xml:space="preserve">La détention en vertu de l’annexe 8 est par ailleurs régie par un Code de </w:t>
      </w:r>
      <w:r w:rsidR="00016977">
        <w:rPr>
          <w:lang w:val="fr-FR"/>
        </w:rPr>
        <w:t xml:space="preserve">bonnes </w:t>
      </w:r>
      <w:r w:rsidR="00327073" w:rsidRPr="00327073">
        <w:rPr>
          <w:lang w:val="fr-FR"/>
        </w:rPr>
        <w:t>pratique</w:t>
      </w:r>
      <w:r w:rsidR="00016977">
        <w:rPr>
          <w:lang w:val="fr-FR"/>
        </w:rPr>
        <w:t>s</w:t>
      </w:r>
      <w:r w:rsidR="00327073" w:rsidRPr="00327073">
        <w:rPr>
          <w:lang w:val="fr-FR"/>
        </w:rPr>
        <w:t xml:space="preserve"> </w:t>
      </w:r>
      <w:r w:rsidR="00B275DF">
        <w:rPr>
          <w:lang w:val="fr-FR"/>
        </w:rPr>
        <w:t>accompagnant</w:t>
      </w:r>
      <w:r w:rsidR="00327073" w:rsidRPr="00327073">
        <w:rPr>
          <w:lang w:val="fr-FR"/>
        </w:rPr>
        <w:t xml:space="preserve"> la loi </w:t>
      </w:r>
      <w:r w:rsidR="00440FAD" w:rsidRPr="00327073">
        <w:rPr>
          <w:lang w:val="fr-FR"/>
        </w:rPr>
        <w:t xml:space="preserve">sur la police et les preuves </w:t>
      </w:r>
      <w:r w:rsidR="00D10599">
        <w:rPr>
          <w:lang w:val="fr-FR"/>
        </w:rPr>
        <w:t>pénales</w:t>
      </w:r>
      <w:r w:rsidR="000B562B" w:rsidRPr="00327073">
        <w:rPr>
          <w:lang w:val="fr-FR"/>
        </w:rPr>
        <w:t xml:space="preserve"> (Code H).</w:t>
      </w:r>
      <w:r w:rsidR="000B562B" w:rsidRPr="00A176EA">
        <w:rPr>
          <w:lang w:val="fr-FR"/>
        </w:rPr>
        <w:t xml:space="preserve"> </w:t>
      </w:r>
      <w:r w:rsidR="007F77A4">
        <w:rPr>
          <w:lang w:val="fr-FR"/>
        </w:rPr>
        <w:t xml:space="preserve">La période maximale de détention avant inculpation a été réexaminée dans le cadre de l’examen </w:t>
      </w:r>
      <w:r w:rsidR="00B275DF">
        <w:rPr>
          <w:lang w:val="fr-FR"/>
        </w:rPr>
        <w:t xml:space="preserve">par le Gouvernement </w:t>
      </w:r>
      <w:r w:rsidR="00BF6F47">
        <w:rPr>
          <w:lang w:val="fr-FR"/>
        </w:rPr>
        <w:t xml:space="preserve">des Pouvoirs en matière d’antiterrorisme et de sécurité, </w:t>
      </w:r>
      <w:r w:rsidR="00B275DF">
        <w:rPr>
          <w:lang w:val="fr-FR"/>
        </w:rPr>
        <w:t>dont il a été</w:t>
      </w:r>
      <w:r w:rsidR="00BF6F47">
        <w:rPr>
          <w:lang w:val="fr-FR"/>
        </w:rPr>
        <w:t xml:space="preserve"> fait rapport au Parlement en janvier 2011. Suite à cet examen, le Gouvernement a réduit de 28 à 14 jours l</w:t>
      </w:r>
      <w:r w:rsidR="00EE50E6">
        <w:rPr>
          <w:lang w:val="fr-FR"/>
        </w:rPr>
        <w:t xml:space="preserve">a période maximale de détention, renonçant ainsi à la disposition </w:t>
      </w:r>
      <w:r w:rsidR="0078233F">
        <w:rPr>
          <w:lang w:val="fr-FR"/>
        </w:rPr>
        <w:t>temporaire fixant cette période à 28 jours. En cours d’adoption, cette loi réduira définitivement la période maximale à 14 jours</w:t>
      </w:r>
      <w:r w:rsidR="000B562B" w:rsidRPr="00A176EA">
        <w:rPr>
          <w:lang w:val="fr-FR"/>
        </w:rPr>
        <w:t>.</w:t>
      </w:r>
    </w:p>
    <w:p w:rsidR="000B562B" w:rsidRPr="00A176EA" w:rsidRDefault="000B562B" w:rsidP="005113DF">
      <w:pPr>
        <w:pStyle w:val="H23G"/>
        <w:rPr>
          <w:lang w:val="fr-FR"/>
        </w:rPr>
      </w:pPr>
      <w:bookmarkStart w:id="4" w:name="_Toc299724674"/>
      <w:r w:rsidRPr="00694B46">
        <w:rPr>
          <w:lang w:val="fr-FR"/>
        </w:rPr>
        <w:t>Notification</w:t>
      </w:r>
      <w:r w:rsidR="00694B46" w:rsidRPr="00694B46">
        <w:rPr>
          <w:lang w:val="fr-FR"/>
        </w:rPr>
        <w:t xml:space="preserve"> des droit</w:t>
      </w:r>
      <w:r w:rsidRPr="00694B46">
        <w:rPr>
          <w:lang w:val="fr-FR"/>
        </w:rPr>
        <w:t xml:space="preserve">s </w:t>
      </w:r>
      <w:bookmarkEnd w:id="4"/>
      <w:r w:rsidR="00694B46">
        <w:rPr>
          <w:lang w:val="fr-FR"/>
        </w:rPr>
        <w:t>lors de l’arrestation</w:t>
      </w:r>
    </w:p>
    <w:p w:rsidR="000B562B" w:rsidRPr="00A176EA" w:rsidRDefault="002549A9" w:rsidP="00AB6279">
      <w:pPr>
        <w:pStyle w:val="SingleTxtG"/>
        <w:rPr>
          <w:lang w:val="fr-FR"/>
        </w:rPr>
      </w:pPr>
      <w:r w:rsidRPr="00A176EA">
        <w:rPr>
          <w:lang w:val="fr-FR"/>
        </w:rPr>
        <w:t>163.</w:t>
      </w:r>
      <w:r w:rsidRPr="00A176EA">
        <w:rPr>
          <w:lang w:val="fr-FR"/>
        </w:rPr>
        <w:tab/>
      </w:r>
      <w:r w:rsidR="0078233F">
        <w:rPr>
          <w:lang w:val="fr-FR"/>
        </w:rPr>
        <w:t xml:space="preserve">Toute personne arrêtée doit être emmenée le plus rapidement possible au poste de police. À son arrivée au poste, elle est présentée </w:t>
      </w:r>
      <w:r w:rsidR="00694B46">
        <w:rPr>
          <w:lang w:val="fr-FR"/>
        </w:rPr>
        <w:t xml:space="preserve">à l’officier responsable des gardes à vue, qui détermine s’il y a lieu de libérer </w:t>
      </w:r>
      <w:r w:rsidR="000755F5">
        <w:rPr>
          <w:lang w:val="fr-FR"/>
        </w:rPr>
        <w:t>l’intéressé</w:t>
      </w:r>
      <w:r w:rsidR="00694B46">
        <w:rPr>
          <w:lang w:val="fr-FR"/>
        </w:rPr>
        <w:t>, avec ou sans inculpation, ou de l</w:t>
      </w:r>
      <w:r w:rsidR="000755F5">
        <w:rPr>
          <w:lang w:val="fr-FR"/>
        </w:rPr>
        <w:t>e</w:t>
      </w:r>
      <w:r w:rsidR="00694B46">
        <w:rPr>
          <w:lang w:val="fr-FR"/>
        </w:rPr>
        <w:t xml:space="preserve"> placer en détention pour </w:t>
      </w:r>
      <w:r w:rsidR="00587EC2">
        <w:rPr>
          <w:lang w:val="fr-FR"/>
        </w:rPr>
        <w:t>les besoins de l’</w:t>
      </w:r>
      <w:r w:rsidR="00694B46">
        <w:rPr>
          <w:lang w:val="fr-FR"/>
        </w:rPr>
        <w:t xml:space="preserve">enquête. L’officier de police doit informer la personne de son droit de </w:t>
      </w:r>
      <w:r w:rsidR="00587EC2">
        <w:rPr>
          <w:lang w:val="fr-FR"/>
        </w:rPr>
        <w:t xml:space="preserve">faire </w:t>
      </w:r>
      <w:r w:rsidR="00694B46">
        <w:rPr>
          <w:lang w:val="fr-FR"/>
        </w:rPr>
        <w:t>prévenir quelqu’un de son arrestation</w:t>
      </w:r>
      <w:r w:rsidR="009A6AA0">
        <w:rPr>
          <w:lang w:val="fr-FR"/>
        </w:rPr>
        <w:t>,</w:t>
      </w:r>
      <w:r w:rsidR="00587EC2">
        <w:rPr>
          <w:lang w:val="fr-FR"/>
        </w:rPr>
        <w:t xml:space="preserve"> </w:t>
      </w:r>
      <w:r w:rsidR="00694B46">
        <w:rPr>
          <w:lang w:val="fr-FR"/>
        </w:rPr>
        <w:t xml:space="preserve">de </w:t>
      </w:r>
      <w:r w:rsidR="00587EC2">
        <w:rPr>
          <w:lang w:val="fr-FR"/>
        </w:rPr>
        <w:t>s’entretenir en privé avec</w:t>
      </w:r>
      <w:r w:rsidR="00694B46">
        <w:rPr>
          <w:lang w:val="fr-FR"/>
        </w:rPr>
        <w:t xml:space="preserve"> un avocat</w:t>
      </w:r>
      <w:r w:rsidR="00411CFF">
        <w:rPr>
          <w:lang w:val="fr-FR"/>
        </w:rPr>
        <w:t>,</w:t>
      </w:r>
      <w:r w:rsidR="009A6AA0">
        <w:rPr>
          <w:lang w:val="fr-FR"/>
        </w:rPr>
        <w:t xml:space="preserve"> de consulter les </w:t>
      </w:r>
      <w:r w:rsidR="009A6AA0" w:rsidRPr="00587EC2">
        <w:rPr>
          <w:lang w:val="fr-FR"/>
        </w:rPr>
        <w:t>Codes de bonnes pratiques</w:t>
      </w:r>
      <w:r w:rsidR="00411CFF">
        <w:rPr>
          <w:lang w:val="fr-FR"/>
        </w:rPr>
        <w:t xml:space="preserve"> et</w:t>
      </w:r>
      <w:r w:rsidR="00587EC2">
        <w:rPr>
          <w:lang w:val="fr-FR"/>
        </w:rPr>
        <w:t xml:space="preserve"> </w:t>
      </w:r>
      <w:r w:rsidR="00B11BDD">
        <w:rPr>
          <w:lang w:val="fr-FR"/>
        </w:rPr>
        <w:t xml:space="preserve">de </w:t>
      </w:r>
      <w:r w:rsidR="00B275DF">
        <w:rPr>
          <w:lang w:val="fr-FR"/>
        </w:rPr>
        <w:t>recevoir</w:t>
      </w:r>
      <w:r w:rsidR="00B11BDD">
        <w:rPr>
          <w:lang w:val="fr-FR"/>
        </w:rPr>
        <w:t xml:space="preserve"> </w:t>
      </w:r>
      <w:r w:rsidR="00B275DF">
        <w:rPr>
          <w:lang w:val="fr-FR"/>
        </w:rPr>
        <w:t xml:space="preserve">des </w:t>
      </w:r>
      <w:r w:rsidR="00B11BDD">
        <w:rPr>
          <w:lang w:val="fr-FR"/>
        </w:rPr>
        <w:t>conseil</w:t>
      </w:r>
      <w:r w:rsidR="00B275DF">
        <w:rPr>
          <w:lang w:val="fr-FR"/>
        </w:rPr>
        <w:t>s juridiques</w:t>
      </w:r>
      <w:r w:rsidR="00B11BDD">
        <w:rPr>
          <w:lang w:val="fr-FR"/>
        </w:rPr>
        <w:t xml:space="preserve"> gratuit</w:t>
      </w:r>
      <w:r w:rsidR="00B275DF">
        <w:rPr>
          <w:lang w:val="fr-FR"/>
        </w:rPr>
        <w:t>s</w:t>
      </w:r>
      <w:r w:rsidR="00B11BDD">
        <w:rPr>
          <w:lang w:val="fr-FR"/>
        </w:rPr>
        <w:t xml:space="preserve"> et</w:t>
      </w:r>
      <w:r w:rsidR="00587EC2">
        <w:rPr>
          <w:lang w:val="fr-FR"/>
        </w:rPr>
        <w:t xml:space="preserve"> indépendant</w:t>
      </w:r>
      <w:r w:rsidR="00B275DF">
        <w:rPr>
          <w:lang w:val="fr-FR"/>
        </w:rPr>
        <w:t>s</w:t>
      </w:r>
      <w:r w:rsidR="000B562B" w:rsidRPr="00A176EA">
        <w:rPr>
          <w:lang w:val="fr-FR"/>
        </w:rPr>
        <w:t xml:space="preserve">. </w:t>
      </w:r>
      <w:r w:rsidR="00411CFF">
        <w:rPr>
          <w:lang w:val="fr-FR"/>
        </w:rPr>
        <w:t>U</w:t>
      </w:r>
      <w:r w:rsidR="003F7714">
        <w:rPr>
          <w:lang w:val="fr-FR"/>
        </w:rPr>
        <w:t xml:space="preserve">n </w:t>
      </w:r>
      <w:r w:rsidR="00017843">
        <w:rPr>
          <w:lang w:val="fr-FR"/>
        </w:rPr>
        <w:t>document</w:t>
      </w:r>
      <w:r w:rsidR="003F7714">
        <w:rPr>
          <w:lang w:val="fr-FR"/>
        </w:rPr>
        <w:t xml:space="preserve"> écrit précisant ces droits</w:t>
      </w:r>
      <w:r w:rsidR="00CB48D3">
        <w:rPr>
          <w:lang w:val="fr-FR"/>
        </w:rPr>
        <w:t xml:space="preserve"> et</w:t>
      </w:r>
      <w:r w:rsidR="003F7714">
        <w:rPr>
          <w:lang w:val="fr-FR"/>
        </w:rPr>
        <w:t xml:space="preserve"> les </w:t>
      </w:r>
      <w:r w:rsidR="009A6AA0">
        <w:rPr>
          <w:lang w:val="fr-FR"/>
        </w:rPr>
        <w:t>modalités</w:t>
      </w:r>
      <w:r w:rsidR="003F7714">
        <w:rPr>
          <w:lang w:val="fr-FR"/>
        </w:rPr>
        <w:t xml:space="preserve"> </w:t>
      </w:r>
      <w:r w:rsidR="00B11BDD">
        <w:rPr>
          <w:lang w:val="fr-FR"/>
        </w:rPr>
        <w:t>d’assistance d’un conseil</w:t>
      </w:r>
      <w:r w:rsidR="00411CFF">
        <w:rPr>
          <w:lang w:val="fr-FR"/>
        </w:rPr>
        <w:t xml:space="preserve"> doit lui être remis</w:t>
      </w:r>
      <w:r w:rsidR="00CB48D3">
        <w:rPr>
          <w:lang w:val="fr-FR"/>
        </w:rPr>
        <w:t xml:space="preserve">, </w:t>
      </w:r>
      <w:r w:rsidR="00AB6279">
        <w:rPr>
          <w:lang w:val="fr-FR"/>
        </w:rPr>
        <w:t xml:space="preserve">et </w:t>
      </w:r>
      <w:r w:rsidR="00411CFF">
        <w:rPr>
          <w:lang w:val="fr-FR"/>
        </w:rPr>
        <w:t xml:space="preserve">il </w:t>
      </w:r>
      <w:r w:rsidR="00CB48D3">
        <w:rPr>
          <w:lang w:val="fr-FR"/>
        </w:rPr>
        <w:t xml:space="preserve">a droit à une copie du registre des gardes à vue </w:t>
      </w:r>
      <w:r w:rsidR="00AB6279">
        <w:rPr>
          <w:lang w:val="fr-FR"/>
        </w:rPr>
        <w:t>et de</w:t>
      </w:r>
      <w:r w:rsidR="000755F5">
        <w:rPr>
          <w:lang w:val="fr-FR"/>
        </w:rPr>
        <w:t>s</w:t>
      </w:r>
      <w:r w:rsidR="00AB6279">
        <w:rPr>
          <w:lang w:val="fr-FR"/>
        </w:rPr>
        <w:t xml:space="preserve"> </w:t>
      </w:r>
      <w:r w:rsidR="000755F5">
        <w:rPr>
          <w:lang w:val="fr-FR"/>
        </w:rPr>
        <w:t>droits notifiés</w:t>
      </w:r>
      <w:r w:rsidR="00AB6279">
        <w:rPr>
          <w:lang w:val="fr-FR"/>
        </w:rPr>
        <w:t xml:space="preserve"> avant </w:t>
      </w:r>
      <w:r w:rsidR="000755F5">
        <w:rPr>
          <w:lang w:val="fr-FR"/>
        </w:rPr>
        <w:t>le début d</w:t>
      </w:r>
      <w:r w:rsidR="00AB6279">
        <w:rPr>
          <w:lang w:val="fr-FR"/>
        </w:rPr>
        <w:t>e toute audition relative à une infraction</w:t>
      </w:r>
      <w:r w:rsidR="000B562B" w:rsidRPr="00A176EA">
        <w:rPr>
          <w:lang w:val="fr-FR"/>
        </w:rPr>
        <w:t>.</w:t>
      </w:r>
    </w:p>
    <w:p w:rsidR="000B562B" w:rsidRPr="00A176EA" w:rsidRDefault="002549A9" w:rsidP="005113DF">
      <w:pPr>
        <w:pStyle w:val="SingleTxtG"/>
        <w:rPr>
          <w:lang w:val="fr-FR"/>
        </w:rPr>
      </w:pPr>
      <w:r w:rsidRPr="00A176EA">
        <w:rPr>
          <w:lang w:val="fr-FR"/>
        </w:rPr>
        <w:t>164.</w:t>
      </w:r>
      <w:r w:rsidRPr="00A176EA">
        <w:rPr>
          <w:lang w:val="fr-FR"/>
        </w:rPr>
        <w:tab/>
      </w:r>
      <w:r w:rsidR="00016977" w:rsidRPr="00206A23">
        <w:rPr>
          <w:lang w:val="fr-FR"/>
        </w:rPr>
        <w:t>L</w:t>
      </w:r>
      <w:r w:rsidR="000B562B" w:rsidRPr="00206A23">
        <w:rPr>
          <w:lang w:val="fr-FR"/>
        </w:rPr>
        <w:t xml:space="preserve">e </w:t>
      </w:r>
      <w:r w:rsidR="00016977" w:rsidRPr="00206A23">
        <w:rPr>
          <w:lang w:val="fr-FR"/>
        </w:rPr>
        <w:t xml:space="preserve">Code de bonnes pratiques </w:t>
      </w:r>
      <w:r w:rsidR="00AB6279" w:rsidRPr="00206A23">
        <w:rPr>
          <w:lang w:val="fr-FR"/>
        </w:rPr>
        <w:t xml:space="preserve">en matière de détention, de traitement et d’audition par les fonctionnaires de police </w:t>
      </w:r>
      <w:r w:rsidR="00206A23" w:rsidRPr="00206A23">
        <w:rPr>
          <w:lang w:val="fr-FR"/>
        </w:rPr>
        <w:t>(Code C)</w:t>
      </w:r>
      <w:r w:rsidR="000B562B" w:rsidRPr="00206A23">
        <w:rPr>
          <w:rStyle w:val="FootnoteReference"/>
          <w:szCs w:val="22"/>
        </w:rPr>
        <w:footnoteReference w:id="22"/>
      </w:r>
      <w:r w:rsidR="000B562B" w:rsidRPr="00206A23">
        <w:rPr>
          <w:lang w:val="fr-FR"/>
        </w:rPr>
        <w:t xml:space="preserve"> </w:t>
      </w:r>
      <w:r w:rsidR="00206A23" w:rsidRPr="00206A23">
        <w:rPr>
          <w:lang w:val="fr-FR"/>
        </w:rPr>
        <w:t>de la</w:t>
      </w:r>
      <w:r w:rsidR="000B562B" w:rsidRPr="00206A23">
        <w:rPr>
          <w:lang w:val="fr-FR"/>
        </w:rPr>
        <w:t xml:space="preserve"> </w:t>
      </w:r>
      <w:r w:rsidR="00440FAD" w:rsidRPr="00206A23">
        <w:rPr>
          <w:lang w:val="fr-FR"/>
        </w:rPr>
        <w:t xml:space="preserve">loi sur la police et les preuves </w:t>
      </w:r>
      <w:r w:rsidR="00D10599">
        <w:rPr>
          <w:lang w:val="fr-FR"/>
        </w:rPr>
        <w:t>pénales</w:t>
      </w:r>
      <w:r w:rsidR="000B562B" w:rsidRPr="00A176EA">
        <w:rPr>
          <w:lang w:val="fr-FR"/>
        </w:rPr>
        <w:t xml:space="preserve"> </w:t>
      </w:r>
      <w:r w:rsidR="00411CFF">
        <w:rPr>
          <w:lang w:val="fr-FR"/>
        </w:rPr>
        <w:t>prévoit des dispositions</w:t>
      </w:r>
      <w:r w:rsidR="00A13ADF">
        <w:rPr>
          <w:lang w:val="fr-FR"/>
        </w:rPr>
        <w:t xml:space="preserve"> spécifiques </w:t>
      </w:r>
      <w:r w:rsidR="00411CFF">
        <w:rPr>
          <w:lang w:val="fr-FR"/>
        </w:rPr>
        <w:t>pour les</w:t>
      </w:r>
      <w:r w:rsidR="00A13ADF">
        <w:rPr>
          <w:lang w:val="fr-FR"/>
        </w:rPr>
        <w:t xml:space="preserve"> citoyens des pays indépendants du Commonwealth </w:t>
      </w:r>
      <w:r w:rsidR="00411CFF">
        <w:rPr>
          <w:lang w:val="fr-FR"/>
        </w:rPr>
        <w:t>et</w:t>
      </w:r>
      <w:r w:rsidR="00A13ADF">
        <w:rPr>
          <w:lang w:val="fr-FR"/>
        </w:rPr>
        <w:t xml:space="preserve"> </w:t>
      </w:r>
      <w:r w:rsidR="00411CFF">
        <w:rPr>
          <w:lang w:val="fr-FR"/>
        </w:rPr>
        <w:t>les</w:t>
      </w:r>
      <w:r w:rsidR="00A13ADF">
        <w:rPr>
          <w:lang w:val="fr-FR"/>
        </w:rPr>
        <w:t xml:space="preserve"> ressortissants étrangers. Il stipule que tout </w:t>
      </w:r>
      <w:r w:rsidR="00411CFF">
        <w:rPr>
          <w:lang w:val="fr-FR"/>
        </w:rPr>
        <w:t>gardé à vue</w:t>
      </w:r>
      <w:r w:rsidR="00A13ADF">
        <w:rPr>
          <w:lang w:val="fr-FR"/>
        </w:rPr>
        <w:t xml:space="preserve"> doit être informé de son droit à ce que  le </w:t>
      </w:r>
      <w:r w:rsidR="00620E06">
        <w:rPr>
          <w:lang w:val="fr-FR"/>
        </w:rPr>
        <w:t>poste</w:t>
      </w:r>
      <w:r w:rsidR="00A13ADF">
        <w:rPr>
          <w:lang w:val="fr-FR"/>
        </w:rPr>
        <w:t xml:space="preserve"> consulaire compétent soit averti de </w:t>
      </w:r>
      <w:r w:rsidR="00411CFF">
        <w:rPr>
          <w:lang w:val="fr-FR"/>
        </w:rPr>
        <w:t>son arrestation</w:t>
      </w:r>
      <w:r w:rsidR="00A13ADF">
        <w:rPr>
          <w:lang w:val="fr-FR"/>
        </w:rPr>
        <w:t xml:space="preserve">, du lieu où il se trouve et des </w:t>
      </w:r>
      <w:r w:rsidR="00910D87">
        <w:rPr>
          <w:lang w:val="fr-FR"/>
        </w:rPr>
        <w:t>motifs</w:t>
      </w:r>
      <w:r w:rsidR="00A13ADF">
        <w:rPr>
          <w:lang w:val="fr-FR"/>
        </w:rPr>
        <w:t xml:space="preserve"> de sa détention. Dans le cas des pays avec lesquels le Royaume-Uni a signé une convention ou un accord consulaire bilatéral prévoyant la notification de l’arrestation, le </w:t>
      </w:r>
      <w:r w:rsidR="00620E06">
        <w:rPr>
          <w:lang w:val="fr-FR"/>
        </w:rPr>
        <w:t>poste</w:t>
      </w:r>
      <w:r w:rsidR="00A13ADF">
        <w:rPr>
          <w:lang w:val="fr-FR"/>
        </w:rPr>
        <w:t xml:space="preserve"> consulaire compétent doit être informé dans les plus brefs délais. </w:t>
      </w:r>
      <w:r w:rsidR="007160E4">
        <w:rPr>
          <w:lang w:val="fr-FR"/>
        </w:rPr>
        <w:t xml:space="preserve">Même si une telle convention existe, si le détenu est un réfugié politique, le </w:t>
      </w:r>
      <w:r w:rsidR="00620E06">
        <w:rPr>
          <w:lang w:val="fr-FR"/>
        </w:rPr>
        <w:t>poste</w:t>
      </w:r>
      <w:r w:rsidR="007160E4">
        <w:rPr>
          <w:lang w:val="fr-FR"/>
        </w:rPr>
        <w:t xml:space="preserve"> consulaire ne sera informé qu’à la demande expresse du détenu</w:t>
      </w:r>
      <w:r w:rsidR="000B562B" w:rsidRPr="00A176EA">
        <w:rPr>
          <w:lang w:val="fr-FR"/>
        </w:rPr>
        <w:t>.</w:t>
      </w:r>
    </w:p>
    <w:p w:rsidR="000B562B" w:rsidRPr="00A176EA" w:rsidRDefault="007313D3" w:rsidP="00095939">
      <w:pPr>
        <w:pStyle w:val="H23G"/>
        <w:rPr>
          <w:lang w:val="fr-FR"/>
        </w:rPr>
      </w:pPr>
      <w:bookmarkStart w:id="5" w:name="_Toc299724675"/>
      <w:r>
        <w:rPr>
          <w:lang w:val="fr-FR"/>
        </w:rPr>
        <w:t>Enregistrement audio</w:t>
      </w:r>
      <w:r w:rsidR="000B562B" w:rsidRPr="00A176EA">
        <w:rPr>
          <w:lang w:val="fr-FR"/>
        </w:rPr>
        <w:t xml:space="preserve"> </w:t>
      </w:r>
      <w:r>
        <w:rPr>
          <w:lang w:val="fr-FR"/>
        </w:rPr>
        <w:t>et</w:t>
      </w:r>
      <w:r w:rsidR="000B562B" w:rsidRPr="00A176EA">
        <w:rPr>
          <w:lang w:val="fr-FR"/>
        </w:rPr>
        <w:t xml:space="preserve"> vid</w:t>
      </w:r>
      <w:r>
        <w:rPr>
          <w:lang w:val="fr-FR"/>
        </w:rPr>
        <w:t>é</w:t>
      </w:r>
      <w:r w:rsidR="000B562B" w:rsidRPr="00A176EA">
        <w:rPr>
          <w:lang w:val="fr-FR"/>
        </w:rPr>
        <w:t>o</w:t>
      </w:r>
      <w:r>
        <w:rPr>
          <w:lang w:val="fr-FR"/>
        </w:rPr>
        <w:t xml:space="preserve"> des audition</w:t>
      </w:r>
      <w:bookmarkEnd w:id="5"/>
      <w:r>
        <w:rPr>
          <w:lang w:val="fr-FR"/>
        </w:rPr>
        <w:t>s</w:t>
      </w:r>
    </w:p>
    <w:p w:rsidR="000B562B" w:rsidRPr="00A176EA" w:rsidRDefault="002549A9" w:rsidP="007001C2">
      <w:pPr>
        <w:pStyle w:val="SingleTxtG"/>
        <w:rPr>
          <w:lang w:val="fr-FR"/>
        </w:rPr>
      </w:pPr>
      <w:r w:rsidRPr="00A176EA">
        <w:rPr>
          <w:lang w:val="fr-FR"/>
        </w:rPr>
        <w:t>165.</w:t>
      </w:r>
      <w:r w:rsidRPr="00A176EA">
        <w:rPr>
          <w:lang w:val="fr-FR"/>
        </w:rPr>
        <w:tab/>
      </w:r>
      <w:r w:rsidR="007313D3">
        <w:rPr>
          <w:lang w:val="fr-FR"/>
        </w:rPr>
        <w:t xml:space="preserve">Les informations générales sur l’enregistrement audio et vidéo des auditions figurent aux paragraphes 98 à 100 du quatrième rapport périodique du Royaume-Uni. Il n’est pas envisagé d’imposer à l’échelon national le recours aux enregistrements vidéo des auditions de suspects. </w:t>
      </w:r>
      <w:r w:rsidR="00B11BDD">
        <w:rPr>
          <w:lang w:val="fr-FR"/>
        </w:rPr>
        <w:t xml:space="preserve">Chaque circonscription conserve le pouvoir d’appréciation, en fonction des circonstances, de décider </w:t>
      </w:r>
      <w:r w:rsidR="007001C2">
        <w:rPr>
          <w:lang w:val="fr-FR"/>
        </w:rPr>
        <w:t xml:space="preserve">si l’audition d’un suspect doit faire l’objet d’un enregistrement vidéo en plus de l’enregistrement </w:t>
      </w:r>
      <w:r w:rsidR="00411CFF">
        <w:rPr>
          <w:lang w:val="fr-FR"/>
        </w:rPr>
        <w:t>audio</w:t>
      </w:r>
      <w:r w:rsidR="000B562B" w:rsidRPr="00A176EA">
        <w:rPr>
          <w:lang w:val="fr-FR"/>
        </w:rPr>
        <w:t>.</w:t>
      </w:r>
    </w:p>
    <w:p w:rsidR="000B562B" w:rsidRPr="00A176EA" w:rsidRDefault="002549A9" w:rsidP="00642C37">
      <w:pPr>
        <w:pStyle w:val="SingleTxtG"/>
        <w:rPr>
          <w:lang w:val="fr-FR"/>
        </w:rPr>
      </w:pPr>
      <w:r w:rsidRPr="00A176EA">
        <w:rPr>
          <w:lang w:val="fr-FR"/>
        </w:rPr>
        <w:t>166.</w:t>
      </w:r>
      <w:r w:rsidRPr="00A176EA">
        <w:rPr>
          <w:lang w:val="fr-FR"/>
        </w:rPr>
        <w:tab/>
      </w:r>
      <w:r w:rsidR="00714477" w:rsidRPr="007001C2">
        <w:rPr>
          <w:lang w:val="fr-FR"/>
        </w:rPr>
        <w:t>La loi antiterroriste de 2008</w:t>
      </w:r>
      <w:r w:rsidR="000B562B" w:rsidRPr="007001C2">
        <w:rPr>
          <w:lang w:val="fr-FR"/>
        </w:rPr>
        <w:t xml:space="preserve"> </w:t>
      </w:r>
      <w:r w:rsidR="004A0335" w:rsidRPr="007001C2">
        <w:rPr>
          <w:lang w:val="fr-FR"/>
        </w:rPr>
        <w:t>confère de nouveaux pouvoirs à la</w:t>
      </w:r>
      <w:r w:rsidR="000B562B" w:rsidRPr="007001C2">
        <w:rPr>
          <w:lang w:val="fr-FR"/>
        </w:rPr>
        <w:t xml:space="preserve"> police. </w:t>
      </w:r>
      <w:r w:rsidR="00ED5134">
        <w:rPr>
          <w:lang w:val="fr-FR"/>
        </w:rPr>
        <w:t>Aux termes de son</w:t>
      </w:r>
      <w:r w:rsidR="004A0335" w:rsidRPr="00405EFD">
        <w:rPr>
          <w:lang w:val="fr-FR"/>
        </w:rPr>
        <w:t xml:space="preserve"> article</w:t>
      </w:r>
      <w:r w:rsidR="000B562B" w:rsidRPr="00405EFD">
        <w:rPr>
          <w:lang w:val="fr-FR"/>
        </w:rPr>
        <w:t xml:space="preserve"> 26</w:t>
      </w:r>
      <w:r w:rsidR="00ED5134">
        <w:rPr>
          <w:lang w:val="fr-FR"/>
        </w:rPr>
        <w:t>,</w:t>
      </w:r>
      <w:r w:rsidR="000B562B" w:rsidRPr="00405EFD">
        <w:rPr>
          <w:lang w:val="fr-FR"/>
        </w:rPr>
        <w:t xml:space="preserve"> </w:t>
      </w:r>
      <w:r w:rsidR="007001C2" w:rsidRPr="00405EFD">
        <w:rPr>
          <w:lang w:val="fr-FR"/>
        </w:rPr>
        <w:t xml:space="preserve">toutes les auditions </w:t>
      </w:r>
      <w:r w:rsidR="00405EFD" w:rsidRPr="00405EFD">
        <w:rPr>
          <w:lang w:val="fr-FR"/>
        </w:rPr>
        <w:t xml:space="preserve">faisant suite à une accusation de terrorisme </w:t>
      </w:r>
      <w:r w:rsidR="00642C37">
        <w:rPr>
          <w:lang w:val="fr-FR"/>
        </w:rPr>
        <w:t>doivent faire</w:t>
      </w:r>
      <w:r w:rsidR="00405EFD" w:rsidRPr="00405EFD">
        <w:rPr>
          <w:lang w:val="fr-FR"/>
        </w:rPr>
        <w:t xml:space="preserve"> l’objet d’un enregistrement vidéo </w:t>
      </w:r>
      <w:r w:rsidR="00411CFF">
        <w:rPr>
          <w:lang w:val="fr-FR"/>
        </w:rPr>
        <w:t>et audio</w:t>
      </w:r>
      <w:r w:rsidR="00405EFD" w:rsidRPr="00405EFD">
        <w:rPr>
          <w:lang w:val="fr-FR"/>
        </w:rPr>
        <w:t xml:space="preserve"> (cette disposition n’est pas encore entrée en vigueur) et des engagements ont été pris au cours des débats parlementaires pour que l’enregistrement vidéo </w:t>
      </w:r>
      <w:r w:rsidR="00411CFF">
        <w:rPr>
          <w:lang w:val="fr-FR"/>
        </w:rPr>
        <w:t>et audio</w:t>
      </w:r>
      <w:r w:rsidR="00405EFD" w:rsidRPr="00405EFD">
        <w:rPr>
          <w:lang w:val="fr-FR"/>
        </w:rPr>
        <w:t xml:space="preserve"> de toutes les auditions </w:t>
      </w:r>
      <w:r w:rsidR="00411CFF">
        <w:rPr>
          <w:lang w:val="fr-FR"/>
        </w:rPr>
        <w:t>au titre</w:t>
      </w:r>
      <w:r w:rsidR="00405EFD" w:rsidRPr="00405EFD">
        <w:rPr>
          <w:lang w:val="fr-FR"/>
        </w:rPr>
        <w:t xml:space="preserve"> de </w:t>
      </w:r>
      <w:r w:rsidR="004A0335" w:rsidRPr="00405EFD">
        <w:rPr>
          <w:lang w:val="fr-FR"/>
        </w:rPr>
        <w:t>l’article</w:t>
      </w:r>
      <w:r w:rsidR="000B562B" w:rsidRPr="00405EFD">
        <w:rPr>
          <w:lang w:val="fr-FR"/>
        </w:rPr>
        <w:t xml:space="preserve"> 41 </w:t>
      </w:r>
      <w:r w:rsidR="004A0335" w:rsidRPr="00405EFD">
        <w:rPr>
          <w:lang w:val="fr-FR"/>
        </w:rPr>
        <w:t xml:space="preserve">ou </w:t>
      </w:r>
      <w:r w:rsidR="00642C37">
        <w:rPr>
          <w:lang w:val="fr-FR"/>
        </w:rPr>
        <w:t xml:space="preserve">de </w:t>
      </w:r>
      <w:r w:rsidR="004A0335" w:rsidRPr="00405EFD">
        <w:rPr>
          <w:lang w:val="fr-FR"/>
        </w:rPr>
        <w:t>l’annexe</w:t>
      </w:r>
      <w:r w:rsidR="000B562B" w:rsidRPr="00405EFD">
        <w:rPr>
          <w:lang w:val="fr-FR"/>
        </w:rPr>
        <w:t xml:space="preserve"> 7 </w:t>
      </w:r>
      <w:r w:rsidR="00714477" w:rsidRPr="00405EFD">
        <w:rPr>
          <w:lang w:val="fr-FR"/>
        </w:rPr>
        <w:t xml:space="preserve">de la loi de 2000 sur le terrorisme </w:t>
      </w:r>
      <w:r w:rsidR="00405EFD" w:rsidRPr="00405EFD">
        <w:rPr>
          <w:lang w:val="fr-FR"/>
        </w:rPr>
        <w:t>devienne</w:t>
      </w:r>
      <w:r w:rsidR="007001C2" w:rsidRPr="00405EFD">
        <w:rPr>
          <w:lang w:val="fr-FR"/>
        </w:rPr>
        <w:t xml:space="preserve"> obligatoire</w:t>
      </w:r>
      <w:r w:rsidR="000B562B" w:rsidRPr="00405EFD">
        <w:rPr>
          <w:lang w:val="fr-FR"/>
        </w:rPr>
        <w:t>.</w:t>
      </w:r>
      <w:r w:rsidR="000B562B" w:rsidRPr="00A176EA">
        <w:rPr>
          <w:lang w:val="fr-FR"/>
        </w:rPr>
        <w:t xml:space="preserve"> </w:t>
      </w:r>
      <w:r w:rsidR="00642C37" w:rsidRPr="00642C37">
        <w:rPr>
          <w:lang w:val="fr-FR"/>
        </w:rPr>
        <w:t xml:space="preserve">Le Ministre prendra un arrêté </w:t>
      </w:r>
      <w:r w:rsidR="00714477" w:rsidRPr="00642C37">
        <w:rPr>
          <w:lang w:val="fr-FR"/>
        </w:rPr>
        <w:t>en vertu du</w:t>
      </w:r>
      <w:r w:rsidR="000B562B" w:rsidRPr="00642C37">
        <w:rPr>
          <w:lang w:val="fr-FR"/>
        </w:rPr>
        <w:t xml:space="preserve"> paragraph</w:t>
      </w:r>
      <w:r w:rsidR="00714477" w:rsidRPr="00642C37">
        <w:rPr>
          <w:lang w:val="fr-FR"/>
        </w:rPr>
        <w:t>e</w:t>
      </w:r>
      <w:r w:rsidR="000B562B" w:rsidRPr="00642C37">
        <w:rPr>
          <w:lang w:val="fr-FR"/>
        </w:rPr>
        <w:t xml:space="preserve"> 2 </w:t>
      </w:r>
      <w:r w:rsidR="00714477" w:rsidRPr="00642C37">
        <w:rPr>
          <w:lang w:val="fr-FR"/>
        </w:rPr>
        <w:t>de l’annexe</w:t>
      </w:r>
      <w:r w:rsidR="000B562B" w:rsidRPr="00642C37">
        <w:rPr>
          <w:lang w:val="fr-FR"/>
        </w:rPr>
        <w:t xml:space="preserve"> 8 </w:t>
      </w:r>
      <w:r w:rsidR="00714477" w:rsidRPr="00642C37">
        <w:rPr>
          <w:lang w:val="fr-FR"/>
        </w:rPr>
        <w:t>de la loi de</w:t>
      </w:r>
      <w:r w:rsidR="000B562B" w:rsidRPr="00642C37">
        <w:rPr>
          <w:lang w:val="fr-FR"/>
        </w:rPr>
        <w:t xml:space="preserve"> 2000 </w:t>
      </w:r>
      <w:r w:rsidR="00642C37" w:rsidRPr="00642C37">
        <w:rPr>
          <w:lang w:val="fr-FR"/>
        </w:rPr>
        <w:t>pour donner effet à ces engagements</w:t>
      </w:r>
      <w:r w:rsidR="000B562B" w:rsidRPr="00642C37">
        <w:rPr>
          <w:lang w:val="fr-FR"/>
        </w:rPr>
        <w:t xml:space="preserve">. </w:t>
      </w:r>
      <w:r w:rsidR="00714477" w:rsidRPr="00642C37">
        <w:rPr>
          <w:lang w:val="fr-FR"/>
        </w:rPr>
        <w:t xml:space="preserve">Les Codes de la </w:t>
      </w:r>
      <w:r w:rsidR="00440FAD" w:rsidRPr="00642C37">
        <w:rPr>
          <w:lang w:val="fr-FR"/>
        </w:rPr>
        <w:t xml:space="preserve">loi sur la police et les preuves </w:t>
      </w:r>
      <w:r w:rsidR="00D10599">
        <w:rPr>
          <w:lang w:val="fr-FR"/>
        </w:rPr>
        <w:t>pénales</w:t>
      </w:r>
      <w:r w:rsidR="000B562B" w:rsidRPr="00642C37">
        <w:rPr>
          <w:lang w:val="fr-FR"/>
        </w:rPr>
        <w:t xml:space="preserve"> </w:t>
      </w:r>
      <w:r w:rsidR="00642C37" w:rsidRPr="00642C37">
        <w:rPr>
          <w:lang w:val="fr-FR"/>
        </w:rPr>
        <w:t>seront révisés et un nouveau Code</w:t>
      </w:r>
      <w:r w:rsidR="00642C37">
        <w:rPr>
          <w:lang w:val="fr-FR"/>
        </w:rPr>
        <w:t xml:space="preserve"> relatif à l’enregistrement vidéo et audio des auditions indiquera aux fonctionnaires de police comment procéder. En Irlande du Nord, toutes les auditions </w:t>
      </w:r>
      <w:r w:rsidR="002833E5">
        <w:rPr>
          <w:lang w:val="fr-FR"/>
        </w:rPr>
        <w:t>dans le cadre d’une affaire de terrorisme font déjà l’objet d’un enregistrement vidéo et audio, conformément au code de bonnes pratiques en vigueur</w:t>
      </w:r>
      <w:r w:rsidR="000B562B" w:rsidRPr="00A176EA">
        <w:rPr>
          <w:lang w:val="fr-FR"/>
        </w:rPr>
        <w:t>.</w:t>
      </w:r>
    </w:p>
    <w:p w:rsidR="000B562B" w:rsidRPr="00A176EA" w:rsidRDefault="000B562B" w:rsidP="00095939">
      <w:pPr>
        <w:pStyle w:val="H23G"/>
        <w:rPr>
          <w:lang w:val="fr-FR"/>
        </w:rPr>
      </w:pPr>
      <w:bookmarkStart w:id="6" w:name="_Toc299724676"/>
      <w:r w:rsidRPr="00A176EA">
        <w:rPr>
          <w:lang w:val="fr-FR"/>
        </w:rPr>
        <w:t xml:space="preserve">Mesures </w:t>
      </w:r>
      <w:r w:rsidR="002833E5">
        <w:rPr>
          <w:lang w:val="fr-FR"/>
        </w:rPr>
        <w:t>de prévention contre la</w:t>
      </w:r>
      <w:r w:rsidRPr="00A176EA">
        <w:rPr>
          <w:lang w:val="fr-FR"/>
        </w:rPr>
        <w:t xml:space="preserve"> discrimination</w:t>
      </w:r>
      <w:bookmarkEnd w:id="6"/>
      <w:r w:rsidR="002833E5">
        <w:rPr>
          <w:lang w:val="fr-FR"/>
        </w:rPr>
        <w:t xml:space="preserve"> raciale</w:t>
      </w:r>
    </w:p>
    <w:p w:rsidR="000B562B" w:rsidRPr="00A176EA" w:rsidRDefault="002549A9" w:rsidP="00095939">
      <w:pPr>
        <w:pStyle w:val="SingleTxtG"/>
        <w:rPr>
          <w:lang w:val="fr-FR"/>
        </w:rPr>
      </w:pPr>
      <w:r w:rsidRPr="00A176EA">
        <w:rPr>
          <w:lang w:val="fr-FR"/>
        </w:rPr>
        <w:t>167.</w:t>
      </w:r>
      <w:r w:rsidRPr="00A176EA">
        <w:rPr>
          <w:lang w:val="fr-FR"/>
        </w:rPr>
        <w:tab/>
      </w:r>
      <w:r w:rsidR="002833E5">
        <w:rPr>
          <w:lang w:val="fr-FR"/>
        </w:rPr>
        <w:t>Les i</w:t>
      </w:r>
      <w:r w:rsidR="000B562B" w:rsidRPr="00A176EA">
        <w:rPr>
          <w:lang w:val="fr-FR"/>
        </w:rPr>
        <w:t>nformation</w:t>
      </w:r>
      <w:r w:rsidR="002833E5">
        <w:rPr>
          <w:lang w:val="fr-FR"/>
        </w:rPr>
        <w:t>s relatives aux mesures prises pour prévenir la discrimination raciale</w:t>
      </w:r>
      <w:r w:rsidR="000B562B" w:rsidRPr="00A176EA">
        <w:rPr>
          <w:lang w:val="fr-FR"/>
        </w:rPr>
        <w:t xml:space="preserve"> </w:t>
      </w:r>
      <w:r w:rsidR="002833E5">
        <w:rPr>
          <w:lang w:val="fr-FR"/>
        </w:rPr>
        <w:t xml:space="preserve">figurent aux </w:t>
      </w:r>
      <w:r w:rsidR="000B562B" w:rsidRPr="00A176EA">
        <w:rPr>
          <w:lang w:val="fr-FR"/>
        </w:rPr>
        <w:t>paragraph</w:t>
      </w:r>
      <w:r w:rsidR="002833E5">
        <w:rPr>
          <w:lang w:val="fr-FR"/>
        </w:rPr>
        <w:t>e</w:t>
      </w:r>
      <w:r w:rsidR="000B562B" w:rsidRPr="00A176EA">
        <w:rPr>
          <w:lang w:val="fr-FR"/>
        </w:rPr>
        <w:t xml:space="preserve">s 98 </w:t>
      </w:r>
      <w:r w:rsidR="002833E5">
        <w:rPr>
          <w:lang w:val="fr-FR"/>
        </w:rPr>
        <w:t>à</w:t>
      </w:r>
      <w:r w:rsidR="000B562B" w:rsidRPr="00A176EA">
        <w:rPr>
          <w:lang w:val="fr-FR"/>
        </w:rPr>
        <w:t xml:space="preserve"> 114 </w:t>
      </w:r>
      <w:r w:rsidR="002833E5">
        <w:rPr>
          <w:lang w:val="fr-FR"/>
        </w:rPr>
        <w:t>du quatrième rapport périodique du Royaume-Uni</w:t>
      </w:r>
      <w:r w:rsidR="000B562B" w:rsidRPr="00A176EA">
        <w:rPr>
          <w:lang w:val="fr-FR"/>
        </w:rPr>
        <w:t>.</w:t>
      </w:r>
    </w:p>
    <w:p w:rsidR="000B562B" w:rsidRPr="002833E5" w:rsidRDefault="00016977" w:rsidP="00095939">
      <w:pPr>
        <w:pStyle w:val="H23G"/>
        <w:rPr>
          <w:lang w:val="fr-FR"/>
        </w:rPr>
      </w:pPr>
      <w:r w:rsidRPr="002833E5">
        <w:rPr>
          <w:lang w:val="fr-FR"/>
        </w:rPr>
        <w:t>Code de bonnes pratiques</w:t>
      </w:r>
      <w:bookmarkStart w:id="7" w:name="_Toc299724677"/>
      <w:r w:rsidRPr="002833E5">
        <w:rPr>
          <w:lang w:val="fr-FR"/>
        </w:rPr>
        <w:t xml:space="preserve"> de la police</w:t>
      </w:r>
      <w:bookmarkEnd w:id="7"/>
    </w:p>
    <w:p w:rsidR="000B562B" w:rsidRPr="00A176EA" w:rsidRDefault="002549A9" w:rsidP="00095939">
      <w:pPr>
        <w:pStyle w:val="SingleTxtG"/>
        <w:rPr>
          <w:lang w:val="fr-FR"/>
        </w:rPr>
      </w:pPr>
      <w:r w:rsidRPr="002833E5">
        <w:rPr>
          <w:lang w:val="fr-FR"/>
        </w:rPr>
        <w:t>168.</w:t>
      </w:r>
      <w:r w:rsidRPr="002833E5">
        <w:rPr>
          <w:lang w:val="fr-FR"/>
        </w:rPr>
        <w:tab/>
      </w:r>
      <w:r w:rsidR="00016977" w:rsidRPr="002833E5">
        <w:rPr>
          <w:lang w:val="fr-FR"/>
        </w:rPr>
        <w:t>Le</w:t>
      </w:r>
      <w:r w:rsidR="000B562B" w:rsidRPr="002833E5">
        <w:rPr>
          <w:lang w:val="fr-FR"/>
        </w:rPr>
        <w:t xml:space="preserve"> </w:t>
      </w:r>
      <w:r w:rsidR="00016977" w:rsidRPr="002833E5">
        <w:rPr>
          <w:lang w:val="fr-FR"/>
        </w:rPr>
        <w:t xml:space="preserve">Code de bonnes pratiques en matière de détention, de traitement et d’audition de personnes par </w:t>
      </w:r>
      <w:r w:rsidR="004A0335" w:rsidRPr="002833E5">
        <w:rPr>
          <w:lang w:val="fr-FR"/>
        </w:rPr>
        <w:t>l</w:t>
      </w:r>
      <w:r w:rsidR="00016977" w:rsidRPr="002833E5">
        <w:rPr>
          <w:lang w:val="fr-FR"/>
        </w:rPr>
        <w:t xml:space="preserve">es fonctionnaires de police </w:t>
      </w:r>
      <w:r w:rsidR="00813F2F">
        <w:rPr>
          <w:lang w:val="fr-FR"/>
        </w:rPr>
        <w:t>stipule que tou</w:t>
      </w:r>
      <w:r w:rsidR="00C104E5">
        <w:rPr>
          <w:lang w:val="fr-FR"/>
        </w:rPr>
        <w:t>t</w:t>
      </w:r>
      <w:r w:rsidR="00813F2F">
        <w:rPr>
          <w:lang w:val="fr-FR"/>
        </w:rPr>
        <w:t xml:space="preserve"> détenu doit être informé de </w:t>
      </w:r>
      <w:r w:rsidR="00C104E5">
        <w:rPr>
          <w:lang w:val="fr-FR"/>
        </w:rPr>
        <w:t>son</w:t>
      </w:r>
      <w:r w:rsidR="00813F2F">
        <w:rPr>
          <w:lang w:val="fr-FR"/>
        </w:rPr>
        <w:t xml:space="preserve"> droit à </w:t>
      </w:r>
      <w:r w:rsidR="00C104E5">
        <w:rPr>
          <w:lang w:val="fr-FR"/>
        </w:rPr>
        <w:t>des conseils juridiques</w:t>
      </w:r>
      <w:r w:rsidR="00813F2F">
        <w:rPr>
          <w:lang w:val="fr-FR"/>
        </w:rPr>
        <w:t xml:space="preserve"> et des procédures à suivre pour fa</w:t>
      </w:r>
      <w:r w:rsidR="00FE3917">
        <w:rPr>
          <w:lang w:val="fr-FR"/>
        </w:rPr>
        <w:t>cilit</w:t>
      </w:r>
      <w:r w:rsidR="00813F2F">
        <w:rPr>
          <w:lang w:val="fr-FR"/>
        </w:rPr>
        <w:t xml:space="preserve">er ce droit. Une brochure intitulée Notification des droits est par ailleurs à la disposition de toute personne </w:t>
      </w:r>
      <w:r w:rsidR="00615593">
        <w:rPr>
          <w:lang w:val="fr-FR"/>
        </w:rPr>
        <w:t xml:space="preserve">placée </w:t>
      </w:r>
      <w:r w:rsidR="00813F2F">
        <w:rPr>
          <w:lang w:val="fr-FR"/>
        </w:rPr>
        <w:t>en garde à vue</w:t>
      </w:r>
      <w:r w:rsidR="000B562B" w:rsidRPr="00A176EA">
        <w:rPr>
          <w:lang w:val="fr-FR"/>
        </w:rPr>
        <w:t>.</w:t>
      </w:r>
    </w:p>
    <w:p w:rsidR="000B562B" w:rsidRPr="00A176EA" w:rsidRDefault="002549A9" w:rsidP="00A8165F">
      <w:pPr>
        <w:pStyle w:val="SingleTxtG"/>
        <w:rPr>
          <w:lang w:val="fr-FR"/>
        </w:rPr>
      </w:pPr>
      <w:r w:rsidRPr="00A176EA">
        <w:rPr>
          <w:lang w:val="fr-FR"/>
        </w:rPr>
        <w:t>169.</w:t>
      </w:r>
      <w:r w:rsidRPr="00A176EA">
        <w:rPr>
          <w:lang w:val="fr-FR"/>
        </w:rPr>
        <w:tab/>
      </w:r>
      <w:r w:rsidR="00A8165F">
        <w:rPr>
          <w:lang w:val="fr-FR"/>
        </w:rPr>
        <w:t xml:space="preserve">Il se peut qu’une personne en garde à vue renonce au droit à </w:t>
      </w:r>
      <w:r w:rsidR="00C104E5">
        <w:rPr>
          <w:lang w:val="fr-FR"/>
        </w:rPr>
        <w:t>des conseils juridiques</w:t>
      </w:r>
      <w:r w:rsidR="00A8165F">
        <w:rPr>
          <w:lang w:val="fr-FR"/>
        </w:rPr>
        <w:t xml:space="preserve">. </w:t>
      </w:r>
      <w:r w:rsidR="00A8165F" w:rsidRPr="00A8165F">
        <w:rPr>
          <w:lang w:val="fr-FR"/>
        </w:rPr>
        <w:t xml:space="preserve">Dans ce cas, </w:t>
      </w:r>
      <w:r w:rsidR="00016977" w:rsidRPr="00A8165F">
        <w:rPr>
          <w:lang w:val="fr-FR"/>
        </w:rPr>
        <w:t>le</w:t>
      </w:r>
      <w:r w:rsidR="000B562B" w:rsidRPr="00A8165F">
        <w:rPr>
          <w:lang w:val="fr-FR"/>
        </w:rPr>
        <w:t xml:space="preserve"> </w:t>
      </w:r>
      <w:r w:rsidR="00016977" w:rsidRPr="00A8165F">
        <w:rPr>
          <w:lang w:val="fr-FR"/>
        </w:rPr>
        <w:t>Code de bonnes pratiques en matière de détention, de traitement et d’audition de personnes par des fonctionnaires de police</w:t>
      </w:r>
      <w:r w:rsidR="00A8165F">
        <w:rPr>
          <w:lang w:val="fr-FR"/>
        </w:rPr>
        <w:t xml:space="preserve"> détermine la</w:t>
      </w:r>
      <w:r w:rsidR="000B562B" w:rsidRPr="00A176EA">
        <w:rPr>
          <w:lang w:val="fr-FR"/>
        </w:rPr>
        <w:t xml:space="preserve"> </w:t>
      </w:r>
      <w:r w:rsidR="00A8165F">
        <w:rPr>
          <w:lang w:val="fr-FR"/>
        </w:rPr>
        <w:t>procédure que les fonctionnaires de police doivent suivre, dont l’obligation de rappeler ce droit au détenu pendant toute la détention. Le Code indique par ailleurs les conditions dans lesquelles le défaut ou le refus d’une personne de s’exprimer peut être retenu contre elle</w:t>
      </w:r>
      <w:r w:rsidR="000B562B" w:rsidRPr="00A176EA">
        <w:rPr>
          <w:lang w:val="fr-FR"/>
        </w:rPr>
        <w:t>.</w:t>
      </w:r>
    </w:p>
    <w:p w:rsidR="000B562B" w:rsidRPr="00A8165F" w:rsidRDefault="000B562B" w:rsidP="00095939">
      <w:pPr>
        <w:pStyle w:val="H23G"/>
        <w:rPr>
          <w:lang w:val="fr-FR"/>
        </w:rPr>
      </w:pPr>
      <w:r w:rsidRPr="00A8165F">
        <w:rPr>
          <w:lang w:val="fr-FR"/>
        </w:rPr>
        <w:t>Acc</w:t>
      </w:r>
      <w:r w:rsidR="00016977" w:rsidRPr="00A8165F">
        <w:rPr>
          <w:lang w:val="fr-FR"/>
        </w:rPr>
        <w:t>è</w:t>
      </w:r>
      <w:r w:rsidRPr="00A8165F">
        <w:rPr>
          <w:lang w:val="fr-FR"/>
        </w:rPr>
        <w:t xml:space="preserve">s </w:t>
      </w:r>
      <w:r w:rsidR="00016977" w:rsidRPr="00A8165F">
        <w:rPr>
          <w:lang w:val="fr-FR"/>
        </w:rPr>
        <w:t>aux soins de santé</w:t>
      </w:r>
    </w:p>
    <w:p w:rsidR="000B562B" w:rsidRPr="00A176EA" w:rsidRDefault="002549A9" w:rsidP="00095939">
      <w:pPr>
        <w:pStyle w:val="SingleTxtG"/>
        <w:rPr>
          <w:lang w:val="fr-FR"/>
        </w:rPr>
      </w:pPr>
      <w:r w:rsidRPr="00A8165F">
        <w:rPr>
          <w:lang w:val="fr-FR"/>
        </w:rPr>
        <w:t>170.</w:t>
      </w:r>
      <w:r w:rsidRPr="00A8165F">
        <w:rPr>
          <w:lang w:val="fr-FR"/>
        </w:rPr>
        <w:tab/>
      </w:r>
      <w:r w:rsidR="00016977" w:rsidRPr="00A8165F">
        <w:rPr>
          <w:lang w:val="fr-FR"/>
        </w:rPr>
        <w:t>L</w:t>
      </w:r>
      <w:r w:rsidR="000B562B" w:rsidRPr="00A8165F">
        <w:rPr>
          <w:lang w:val="fr-FR"/>
        </w:rPr>
        <w:t xml:space="preserve">e </w:t>
      </w:r>
      <w:r w:rsidR="00016977" w:rsidRPr="00A8165F">
        <w:rPr>
          <w:lang w:val="fr-FR"/>
        </w:rPr>
        <w:t xml:space="preserve">Code de bonnes pratiques en matière de détention, de traitement et d’audition de personnes par des fonctionnaires de police </w:t>
      </w:r>
      <w:r w:rsidR="000B562B" w:rsidRPr="00A8165F">
        <w:rPr>
          <w:lang w:val="fr-FR"/>
        </w:rPr>
        <w:t>(Code C)</w:t>
      </w:r>
      <w:r w:rsidR="000B562B" w:rsidRPr="00A8165F">
        <w:rPr>
          <w:rStyle w:val="FootnoteReference"/>
          <w:szCs w:val="22"/>
        </w:rPr>
        <w:footnoteReference w:id="23"/>
      </w:r>
      <w:r w:rsidR="000B562B" w:rsidRPr="00A8165F">
        <w:rPr>
          <w:lang w:val="fr-FR"/>
        </w:rPr>
        <w:t xml:space="preserve"> </w:t>
      </w:r>
      <w:r w:rsidR="00A8165F">
        <w:rPr>
          <w:lang w:val="fr-FR"/>
        </w:rPr>
        <w:t>publié en vertu de la</w:t>
      </w:r>
      <w:r w:rsidR="000B562B" w:rsidRPr="00A8165F">
        <w:rPr>
          <w:lang w:val="fr-FR"/>
        </w:rPr>
        <w:t xml:space="preserve"> </w:t>
      </w:r>
      <w:r w:rsidR="00440FAD" w:rsidRPr="00A8165F">
        <w:rPr>
          <w:lang w:val="fr-FR"/>
        </w:rPr>
        <w:t xml:space="preserve">loi sur la police et les preuves </w:t>
      </w:r>
      <w:r w:rsidR="00D10599">
        <w:rPr>
          <w:lang w:val="fr-FR"/>
        </w:rPr>
        <w:t>pénales</w:t>
      </w:r>
      <w:r w:rsidR="000B562B" w:rsidRPr="00A176EA">
        <w:rPr>
          <w:lang w:val="fr-FR"/>
        </w:rPr>
        <w:t xml:space="preserve"> </w:t>
      </w:r>
      <w:r w:rsidR="00554EF1">
        <w:rPr>
          <w:lang w:val="fr-FR"/>
        </w:rPr>
        <w:t>dispose que le fonctionnaire du poste de police chargé des gardes à vue doit veiller à ce que les détenus bénéficient dans les plus brefs délais de</w:t>
      </w:r>
      <w:r w:rsidR="00C104E5">
        <w:rPr>
          <w:lang w:val="fr-FR"/>
        </w:rPr>
        <w:t>s</w:t>
      </w:r>
      <w:r w:rsidR="00554EF1">
        <w:rPr>
          <w:lang w:val="fr-FR"/>
        </w:rPr>
        <w:t xml:space="preserve"> </w:t>
      </w:r>
      <w:r w:rsidR="00C104E5">
        <w:rPr>
          <w:lang w:val="fr-FR"/>
        </w:rPr>
        <w:t>soins médicaux</w:t>
      </w:r>
      <w:r w:rsidR="00554EF1">
        <w:rPr>
          <w:lang w:val="fr-FR"/>
        </w:rPr>
        <w:t xml:space="preserve"> adéquat</w:t>
      </w:r>
      <w:r w:rsidR="00C104E5">
        <w:rPr>
          <w:lang w:val="fr-FR"/>
        </w:rPr>
        <w:t>s</w:t>
      </w:r>
      <w:r w:rsidR="00554EF1">
        <w:rPr>
          <w:lang w:val="fr-FR"/>
        </w:rPr>
        <w:t xml:space="preserve">, qu’ils en fassent ou non la demande, s’il est considéré qu’ils en ont besoin. Il peut s’agir </w:t>
      </w:r>
      <w:r w:rsidR="00C043EA">
        <w:rPr>
          <w:lang w:val="fr-FR"/>
        </w:rPr>
        <w:t>de conduire</w:t>
      </w:r>
      <w:r w:rsidR="00554EF1">
        <w:rPr>
          <w:lang w:val="fr-FR"/>
        </w:rPr>
        <w:t xml:space="preserve"> une personne à l’hôpital ou dans tout établissement médical</w:t>
      </w:r>
      <w:r w:rsidR="00554EF1" w:rsidRPr="00554EF1">
        <w:rPr>
          <w:lang w:val="fr-FR"/>
        </w:rPr>
        <w:t xml:space="preserve"> </w:t>
      </w:r>
      <w:r w:rsidR="00554EF1">
        <w:rPr>
          <w:lang w:val="fr-FR"/>
        </w:rPr>
        <w:t xml:space="preserve">approprié, ou de </w:t>
      </w:r>
      <w:r w:rsidR="00DB4529">
        <w:rPr>
          <w:lang w:val="fr-FR"/>
        </w:rPr>
        <w:t>requérir</w:t>
      </w:r>
      <w:r w:rsidR="00554EF1">
        <w:rPr>
          <w:lang w:val="fr-FR"/>
        </w:rPr>
        <w:t xml:space="preserve"> </w:t>
      </w:r>
      <w:r w:rsidR="00DB4529">
        <w:rPr>
          <w:lang w:val="fr-FR"/>
        </w:rPr>
        <w:t>la présence d’</w:t>
      </w:r>
      <w:r w:rsidR="00554EF1">
        <w:rPr>
          <w:lang w:val="fr-FR"/>
        </w:rPr>
        <w:t xml:space="preserve">un professionnel de santé au poste de police. Un professionnel de santé </w:t>
      </w:r>
      <w:r w:rsidR="00D069D0">
        <w:rPr>
          <w:lang w:val="fr-FR"/>
        </w:rPr>
        <w:t>est</w:t>
      </w:r>
      <w:r w:rsidR="00554EF1">
        <w:rPr>
          <w:lang w:val="fr-FR"/>
        </w:rPr>
        <w:t xml:space="preserve"> toute personne </w:t>
      </w:r>
      <w:r w:rsidR="00C515F4">
        <w:rPr>
          <w:lang w:val="fr-FR"/>
        </w:rPr>
        <w:t>ayant des qualifications</w:t>
      </w:r>
      <w:r w:rsidR="00554EF1">
        <w:rPr>
          <w:lang w:val="fr-FR"/>
        </w:rPr>
        <w:t xml:space="preserve"> clinique</w:t>
      </w:r>
      <w:r w:rsidR="00C515F4">
        <w:rPr>
          <w:lang w:val="fr-FR"/>
        </w:rPr>
        <w:t>s</w:t>
      </w:r>
      <w:r w:rsidR="00554EF1">
        <w:rPr>
          <w:lang w:val="fr-FR"/>
        </w:rPr>
        <w:t xml:space="preserve"> </w:t>
      </w:r>
      <w:r w:rsidR="00D069D0">
        <w:rPr>
          <w:lang w:val="fr-FR"/>
        </w:rPr>
        <w:t xml:space="preserve">qui </w:t>
      </w:r>
      <w:r w:rsidR="00D069D0" w:rsidRPr="00DB4529">
        <w:rPr>
          <w:lang w:val="fr-FR"/>
        </w:rPr>
        <w:t>intervient</w:t>
      </w:r>
      <w:r w:rsidR="00D069D0">
        <w:rPr>
          <w:lang w:val="fr-FR"/>
        </w:rPr>
        <w:t xml:space="preserve"> dans le champ d’activité déterminé par l’association professionnelle dont il relève. Un </w:t>
      </w:r>
      <w:r w:rsidR="00C515F4">
        <w:rPr>
          <w:lang w:val="fr-FR"/>
        </w:rPr>
        <w:t xml:space="preserve">examen par tel </w:t>
      </w:r>
      <w:r w:rsidR="00914A11">
        <w:rPr>
          <w:lang w:val="fr-FR"/>
        </w:rPr>
        <w:t xml:space="preserve">ou tel </w:t>
      </w:r>
      <w:r w:rsidR="00C515F4">
        <w:rPr>
          <w:lang w:val="fr-FR"/>
        </w:rPr>
        <w:t xml:space="preserve">professionnel dans les locaux de la police dépend </w:t>
      </w:r>
      <w:r w:rsidR="00914A11">
        <w:rPr>
          <w:lang w:val="fr-FR"/>
        </w:rPr>
        <w:t xml:space="preserve">des fonctions qui lui </w:t>
      </w:r>
      <w:r w:rsidR="00061682">
        <w:rPr>
          <w:lang w:val="fr-FR"/>
        </w:rPr>
        <w:t>s</w:t>
      </w:r>
      <w:r w:rsidR="00914A11">
        <w:rPr>
          <w:lang w:val="fr-FR"/>
        </w:rPr>
        <w:t>ont assignées à ce moment-là</w:t>
      </w:r>
      <w:r w:rsidR="000B562B" w:rsidRPr="00A176EA">
        <w:rPr>
          <w:lang w:val="fr-FR"/>
        </w:rPr>
        <w:t>.</w:t>
      </w:r>
    </w:p>
    <w:p w:rsidR="000B562B" w:rsidRPr="00A176EA" w:rsidRDefault="002549A9" w:rsidP="00510BED">
      <w:pPr>
        <w:pStyle w:val="SingleTxtG"/>
        <w:rPr>
          <w:lang w:val="fr-FR"/>
        </w:rPr>
      </w:pPr>
      <w:r w:rsidRPr="00A176EA">
        <w:rPr>
          <w:lang w:val="fr-FR"/>
        </w:rPr>
        <w:t>171.</w:t>
      </w:r>
      <w:r w:rsidRPr="00A176EA">
        <w:rPr>
          <w:lang w:val="fr-FR"/>
        </w:rPr>
        <w:tab/>
      </w:r>
      <w:r w:rsidR="00914A11">
        <w:rPr>
          <w:lang w:val="fr-FR"/>
        </w:rPr>
        <w:t>En janvier</w:t>
      </w:r>
      <w:r w:rsidR="000B562B" w:rsidRPr="00A176EA">
        <w:rPr>
          <w:lang w:val="fr-FR"/>
        </w:rPr>
        <w:t xml:space="preserve"> 2008, </w:t>
      </w:r>
      <w:r w:rsidR="00914A11">
        <w:rPr>
          <w:lang w:val="fr-FR"/>
        </w:rPr>
        <w:t xml:space="preserve">l’organisme Skills for Health a publié des normes professionnelles nationales à l’intention des professionnels de santé travaillant </w:t>
      </w:r>
      <w:r w:rsidR="00510BED">
        <w:rPr>
          <w:lang w:val="fr-FR"/>
        </w:rPr>
        <w:t>dans des locaux de garde à vue</w:t>
      </w:r>
      <w:r w:rsidR="000B562B" w:rsidRPr="00A176EA">
        <w:rPr>
          <w:rStyle w:val="FootnoteReference"/>
          <w:szCs w:val="22"/>
        </w:rPr>
        <w:footnoteReference w:id="24"/>
      </w:r>
      <w:r w:rsidR="00510BED">
        <w:rPr>
          <w:lang w:val="fr-FR"/>
        </w:rPr>
        <w:t>.</w:t>
      </w:r>
      <w:r w:rsidR="000B562B" w:rsidRPr="00A176EA">
        <w:rPr>
          <w:lang w:val="fr-FR"/>
        </w:rPr>
        <w:t xml:space="preserve"> </w:t>
      </w:r>
      <w:r w:rsidR="00510BED">
        <w:rPr>
          <w:lang w:val="fr-FR"/>
        </w:rPr>
        <w:t>Ces normes précisent les compétences requises permettant à un professionnel de santé de prodiguer les soins appropriés en temps utile</w:t>
      </w:r>
      <w:r w:rsidR="000B562B" w:rsidRPr="00A176EA">
        <w:rPr>
          <w:lang w:val="fr-FR"/>
        </w:rPr>
        <w:t>.</w:t>
      </w:r>
    </w:p>
    <w:p w:rsidR="000B562B" w:rsidRPr="00510BED" w:rsidRDefault="00016977" w:rsidP="00095939">
      <w:pPr>
        <w:pStyle w:val="H23G"/>
        <w:rPr>
          <w:lang w:val="fr-FR"/>
        </w:rPr>
      </w:pPr>
      <w:r w:rsidRPr="00510BED">
        <w:rPr>
          <w:lang w:val="fr-FR"/>
        </w:rPr>
        <w:t>Garde à vue e</w:t>
      </w:r>
      <w:r w:rsidR="000B562B" w:rsidRPr="00510BED">
        <w:rPr>
          <w:lang w:val="fr-FR"/>
        </w:rPr>
        <w:t xml:space="preserve">n </w:t>
      </w:r>
      <w:r w:rsidR="008F3DA4" w:rsidRPr="00510BED">
        <w:rPr>
          <w:lang w:val="fr-FR"/>
        </w:rPr>
        <w:t>Irlande du Nord</w:t>
      </w:r>
    </w:p>
    <w:p w:rsidR="000B562B" w:rsidRPr="00A176EA" w:rsidRDefault="002549A9" w:rsidP="00743DA5">
      <w:pPr>
        <w:pStyle w:val="SingleTxtG"/>
        <w:rPr>
          <w:lang w:val="fr-FR"/>
        </w:rPr>
      </w:pPr>
      <w:r w:rsidRPr="00510BED">
        <w:rPr>
          <w:lang w:val="fr-FR"/>
        </w:rPr>
        <w:t>172.</w:t>
      </w:r>
      <w:r w:rsidRPr="00510BED">
        <w:rPr>
          <w:lang w:val="fr-FR"/>
        </w:rPr>
        <w:tab/>
      </w:r>
      <w:r w:rsidR="00423E02">
        <w:rPr>
          <w:lang w:val="fr-FR"/>
        </w:rPr>
        <w:t xml:space="preserve">Le Conseil de la justice pénale </w:t>
      </w:r>
      <w:r w:rsidR="00910D87">
        <w:rPr>
          <w:lang w:val="fr-FR"/>
        </w:rPr>
        <w:t>pour l’</w:t>
      </w:r>
      <w:r w:rsidR="008F3DA4" w:rsidRPr="00510BED">
        <w:rPr>
          <w:lang w:val="fr-FR"/>
        </w:rPr>
        <w:t>Irlande du Nord</w:t>
      </w:r>
      <w:r w:rsidR="000B562B" w:rsidRPr="00510BED">
        <w:rPr>
          <w:lang w:val="fr-FR"/>
        </w:rPr>
        <w:t xml:space="preserve"> </w:t>
      </w:r>
      <w:r w:rsidR="007C258D">
        <w:rPr>
          <w:lang w:val="fr-FR"/>
        </w:rPr>
        <w:t xml:space="preserve">s’est employé à déterminer la meilleure façon de </w:t>
      </w:r>
      <w:r w:rsidR="00DB4529">
        <w:rPr>
          <w:lang w:val="fr-FR"/>
        </w:rPr>
        <w:t>contrôler</w:t>
      </w:r>
      <w:r w:rsidR="007C258D">
        <w:rPr>
          <w:lang w:val="fr-FR"/>
        </w:rPr>
        <w:t xml:space="preserve"> et de publier les informations </w:t>
      </w:r>
      <w:r w:rsidR="00DB4529">
        <w:rPr>
          <w:lang w:val="fr-FR"/>
        </w:rPr>
        <w:t>qui aideraient</w:t>
      </w:r>
      <w:r w:rsidR="007C258D">
        <w:rPr>
          <w:lang w:val="fr-FR"/>
        </w:rPr>
        <w:t xml:space="preserve"> les personnels du système de justice pénale à éviter toute forme de discrimination. Les Services de police d’Irlande du Nord ont commencé </w:t>
      </w:r>
      <w:r w:rsidR="00DB4529">
        <w:rPr>
          <w:lang w:val="fr-FR"/>
        </w:rPr>
        <w:t xml:space="preserve">en juillet 2008 </w:t>
      </w:r>
      <w:r w:rsidR="007C258D">
        <w:rPr>
          <w:lang w:val="fr-FR"/>
        </w:rPr>
        <w:t xml:space="preserve">à réunir des données </w:t>
      </w:r>
      <w:r w:rsidR="00DB4529">
        <w:rPr>
          <w:lang w:val="fr-FR"/>
        </w:rPr>
        <w:t>sur la question de l</w:t>
      </w:r>
      <w:r w:rsidR="007C258D">
        <w:rPr>
          <w:lang w:val="fr-FR"/>
        </w:rPr>
        <w:t xml:space="preserve">’égalité de traitement. Des dispositions ont été prises </w:t>
      </w:r>
      <w:r w:rsidR="00520F62">
        <w:rPr>
          <w:lang w:val="fr-FR"/>
        </w:rPr>
        <w:t>pour</w:t>
      </w:r>
      <w:r w:rsidR="004C1B40">
        <w:rPr>
          <w:lang w:val="fr-FR"/>
        </w:rPr>
        <w:t xml:space="preserve"> </w:t>
      </w:r>
      <w:r w:rsidR="00DB4529">
        <w:rPr>
          <w:lang w:val="fr-FR"/>
        </w:rPr>
        <w:t>contrôler</w:t>
      </w:r>
      <w:r w:rsidR="001E7EB9">
        <w:rPr>
          <w:lang w:val="fr-FR"/>
        </w:rPr>
        <w:t>, au moyen de sept indicateurs,</w:t>
      </w:r>
      <w:r w:rsidR="004C1B40">
        <w:rPr>
          <w:lang w:val="fr-FR"/>
        </w:rPr>
        <w:t xml:space="preserve"> cette égalité auprès de volontaires</w:t>
      </w:r>
      <w:r w:rsidR="007C258D">
        <w:rPr>
          <w:lang w:val="fr-FR"/>
        </w:rPr>
        <w:t xml:space="preserve"> </w:t>
      </w:r>
      <w:r w:rsidR="001E7EB9">
        <w:rPr>
          <w:lang w:val="fr-FR"/>
        </w:rPr>
        <w:t>arrivant en garde à vue</w:t>
      </w:r>
      <w:r w:rsidR="00743DA5">
        <w:rPr>
          <w:lang w:val="fr-FR"/>
        </w:rPr>
        <w:t xml:space="preserve">. </w:t>
      </w:r>
      <w:r w:rsidR="00DB4529">
        <w:rPr>
          <w:lang w:val="fr-FR"/>
        </w:rPr>
        <w:t>L</w:t>
      </w:r>
      <w:r w:rsidR="00743DA5">
        <w:rPr>
          <w:lang w:val="fr-FR"/>
        </w:rPr>
        <w:t xml:space="preserve">a collecte des données </w:t>
      </w:r>
      <w:r w:rsidR="00DB4529">
        <w:rPr>
          <w:lang w:val="fr-FR"/>
        </w:rPr>
        <w:t>est bien engagée</w:t>
      </w:r>
      <w:r w:rsidR="00743DA5">
        <w:rPr>
          <w:lang w:val="fr-FR"/>
        </w:rPr>
        <w:t xml:space="preserve"> et les données réunies sont complètes dans un certain nombre de catégories, </w:t>
      </w:r>
      <w:r w:rsidR="00DB4529">
        <w:rPr>
          <w:lang w:val="fr-FR"/>
        </w:rPr>
        <w:t xml:space="preserve">mais </w:t>
      </w:r>
      <w:r w:rsidR="00743DA5">
        <w:rPr>
          <w:lang w:val="fr-FR"/>
        </w:rPr>
        <w:t xml:space="preserve">la divulgation volontaire de certaines informations essentielles demeure limitée. C’est pourquoi les Services de police d’Irlande du Nord cherchent actuellement le moyen d’encourager les individus à fournir des informations </w:t>
      </w:r>
      <w:r w:rsidR="00700D64">
        <w:rPr>
          <w:lang w:val="fr-FR"/>
        </w:rPr>
        <w:t>de</w:t>
      </w:r>
      <w:r w:rsidR="00743DA5">
        <w:rPr>
          <w:lang w:val="fr-FR"/>
        </w:rPr>
        <w:t xml:space="preserve"> toutes catégories de façon à </w:t>
      </w:r>
      <w:r w:rsidR="00700D64">
        <w:rPr>
          <w:lang w:val="fr-FR"/>
        </w:rPr>
        <w:t>obtenir d</w:t>
      </w:r>
      <w:r w:rsidR="00743DA5">
        <w:rPr>
          <w:lang w:val="fr-FR"/>
        </w:rPr>
        <w:t xml:space="preserve">es données suffisantes pour une analyse fiable. Si </w:t>
      </w:r>
      <w:r w:rsidR="00700D64">
        <w:rPr>
          <w:lang w:val="fr-FR"/>
        </w:rPr>
        <w:t>le suivi</w:t>
      </w:r>
      <w:r w:rsidR="00743DA5">
        <w:rPr>
          <w:lang w:val="fr-FR"/>
        </w:rPr>
        <w:t xml:space="preserve"> de l’égalité de traitement ne peut à </w:t>
      </w:r>
      <w:r w:rsidR="00700D64">
        <w:rPr>
          <w:lang w:val="fr-FR"/>
        </w:rPr>
        <w:t>lui seul</w:t>
      </w:r>
      <w:r w:rsidR="00743DA5">
        <w:rPr>
          <w:lang w:val="fr-FR"/>
        </w:rPr>
        <w:t xml:space="preserve"> empêcher directement la discrimination, </w:t>
      </w:r>
      <w:r w:rsidR="00700D64">
        <w:rPr>
          <w:lang w:val="fr-FR"/>
        </w:rPr>
        <w:t xml:space="preserve">les données, </w:t>
      </w:r>
      <w:r w:rsidR="00743DA5">
        <w:rPr>
          <w:lang w:val="fr-FR"/>
        </w:rPr>
        <w:t>une fois publiées</w:t>
      </w:r>
      <w:r w:rsidR="00700D64">
        <w:rPr>
          <w:lang w:val="fr-FR"/>
        </w:rPr>
        <w:t>,</w:t>
      </w:r>
      <w:r w:rsidR="00743DA5">
        <w:rPr>
          <w:lang w:val="fr-FR"/>
        </w:rPr>
        <w:t xml:space="preserve"> contribueront à identifier les incohérences nécessitant un examen plus approfondi</w:t>
      </w:r>
      <w:r w:rsidR="000B562B" w:rsidRPr="00A176EA">
        <w:rPr>
          <w:lang w:val="fr-FR"/>
        </w:rPr>
        <w:t>.</w:t>
      </w:r>
    </w:p>
    <w:p w:rsidR="000B562B" w:rsidRPr="00743DA5" w:rsidRDefault="00440FAD" w:rsidP="00095939">
      <w:pPr>
        <w:pStyle w:val="H23G"/>
        <w:rPr>
          <w:lang w:val="fr-FR"/>
        </w:rPr>
      </w:pPr>
      <w:bookmarkStart w:id="8" w:name="_Toc299724678"/>
      <w:r w:rsidRPr="00743DA5">
        <w:rPr>
          <w:lang w:val="fr-FR"/>
        </w:rPr>
        <w:t xml:space="preserve">La loi sur la police et les preuves </w:t>
      </w:r>
      <w:r w:rsidR="00D10599" w:rsidRPr="00743DA5">
        <w:rPr>
          <w:lang w:val="fr-FR"/>
        </w:rPr>
        <w:t>pénales</w:t>
      </w:r>
      <w:r w:rsidR="000B562B" w:rsidRPr="00743DA5">
        <w:rPr>
          <w:lang w:val="fr-FR"/>
        </w:rPr>
        <w:t xml:space="preserve"> </w:t>
      </w:r>
      <w:r w:rsidRPr="00743DA5">
        <w:rPr>
          <w:lang w:val="fr-FR"/>
        </w:rPr>
        <w:t>e</w:t>
      </w:r>
      <w:r w:rsidR="000B562B" w:rsidRPr="00743DA5">
        <w:rPr>
          <w:lang w:val="fr-FR"/>
        </w:rPr>
        <w:t xml:space="preserve">n </w:t>
      </w:r>
      <w:bookmarkEnd w:id="8"/>
      <w:r w:rsidR="008F3DA4" w:rsidRPr="00743DA5">
        <w:rPr>
          <w:lang w:val="fr-FR"/>
        </w:rPr>
        <w:t>Irlande du Nord</w:t>
      </w:r>
    </w:p>
    <w:p w:rsidR="000B562B" w:rsidRPr="00A176EA" w:rsidRDefault="002549A9" w:rsidP="00095939">
      <w:pPr>
        <w:pStyle w:val="SingleTxtG"/>
        <w:rPr>
          <w:lang w:val="fr-FR"/>
        </w:rPr>
      </w:pPr>
      <w:r w:rsidRPr="00743DA5">
        <w:rPr>
          <w:lang w:val="fr-FR"/>
        </w:rPr>
        <w:t>173.</w:t>
      </w:r>
      <w:r w:rsidRPr="00743DA5">
        <w:rPr>
          <w:lang w:val="fr-FR"/>
        </w:rPr>
        <w:tab/>
      </w:r>
      <w:r w:rsidR="00AB6279" w:rsidRPr="00743DA5">
        <w:rPr>
          <w:lang w:val="fr-FR"/>
        </w:rPr>
        <w:t xml:space="preserve">Le Code C </w:t>
      </w:r>
      <w:r w:rsidR="00700D64">
        <w:rPr>
          <w:lang w:val="fr-FR"/>
        </w:rPr>
        <w:t xml:space="preserve">de la </w:t>
      </w:r>
      <w:r w:rsidR="00440FAD" w:rsidRPr="00743DA5">
        <w:rPr>
          <w:lang w:val="fr-FR"/>
        </w:rPr>
        <w:t xml:space="preserve">loi sur la police et les preuves </w:t>
      </w:r>
      <w:r w:rsidR="00D10599" w:rsidRPr="00743DA5">
        <w:rPr>
          <w:lang w:val="fr-FR"/>
        </w:rPr>
        <w:t>pénales</w:t>
      </w:r>
      <w:r w:rsidR="00440FAD" w:rsidRPr="00743DA5">
        <w:rPr>
          <w:lang w:val="fr-FR"/>
        </w:rPr>
        <w:t xml:space="preserve"> </w:t>
      </w:r>
      <w:r w:rsidR="000B562B" w:rsidRPr="00743DA5">
        <w:rPr>
          <w:lang w:val="fr-FR"/>
        </w:rPr>
        <w:t>(</w:t>
      </w:r>
      <w:r w:rsidR="00AB6279" w:rsidRPr="00743DA5">
        <w:rPr>
          <w:lang w:val="fr-FR"/>
        </w:rPr>
        <w:t>Irlande du Nord</w:t>
      </w:r>
      <w:r w:rsidR="000B562B" w:rsidRPr="00743DA5">
        <w:rPr>
          <w:lang w:val="fr-FR"/>
        </w:rPr>
        <w:t>)</w:t>
      </w:r>
      <w:r w:rsidR="000B562B" w:rsidRPr="00743DA5">
        <w:rPr>
          <w:rStyle w:val="FootnoteReference"/>
          <w:szCs w:val="22"/>
        </w:rPr>
        <w:footnoteReference w:id="25"/>
      </w:r>
      <w:r w:rsidR="000B562B" w:rsidRPr="00A176EA">
        <w:rPr>
          <w:lang w:val="fr-FR"/>
        </w:rPr>
        <w:t xml:space="preserve"> </w:t>
      </w:r>
      <w:r w:rsidR="00743DA5">
        <w:rPr>
          <w:lang w:val="fr-FR"/>
        </w:rPr>
        <w:t xml:space="preserve">prévoit des dispositions similaires à celles de l’Angleterre et du </w:t>
      </w:r>
      <w:r w:rsidR="00CB2353">
        <w:rPr>
          <w:lang w:val="fr-FR"/>
        </w:rPr>
        <w:t>p</w:t>
      </w:r>
      <w:r w:rsidR="005601A1">
        <w:rPr>
          <w:lang w:val="fr-FR"/>
        </w:rPr>
        <w:t>ays de Galles</w:t>
      </w:r>
      <w:r w:rsidR="00743DA5">
        <w:rPr>
          <w:lang w:val="fr-FR"/>
        </w:rPr>
        <w:t xml:space="preserve"> </w:t>
      </w:r>
      <w:r w:rsidR="00700D64">
        <w:rPr>
          <w:lang w:val="fr-FR"/>
        </w:rPr>
        <w:t>quant aux</w:t>
      </w:r>
      <w:r w:rsidR="00743DA5">
        <w:rPr>
          <w:lang w:val="fr-FR"/>
        </w:rPr>
        <w:t xml:space="preserve"> soins de santé dispensés aux personnes </w:t>
      </w:r>
      <w:r w:rsidR="00700D64">
        <w:rPr>
          <w:lang w:val="fr-FR"/>
        </w:rPr>
        <w:t>en garde à vue</w:t>
      </w:r>
      <w:r w:rsidR="00743DA5">
        <w:rPr>
          <w:lang w:val="fr-FR"/>
        </w:rPr>
        <w:t xml:space="preserve">. Afin de réduire le risque d’automutilation et de décès en détention, </w:t>
      </w:r>
      <w:r w:rsidR="007A7AFA">
        <w:rPr>
          <w:lang w:val="fr-FR"/>
        </w:rPr>
        <w:t>une évaluation des risques est pratiquée sur tout individu entrant en garde à vue, et tout au long de sa détention, le cas échéant, ce qui inclut une évaluation de</w:t>
      </w:r>
      <w:r w:rsidR="00700D64">
        <w:rPr>
          <w:lang w:val="fr-FR"/>
        </w:rPr>
        <w:t xml:space="preserve"> se</w:t>
      </w:r>
      <w:r w:rsidR="007A7AFA">
        <w:rPr>
          <w:lang w:val="fr-FR"/>
        </w:rPr>
        <w:t xml:space="preserve">s besoins médicaux. Des soins appropriés sont dispensés dans les meilleurs délais, même si le </w:t>
      </w:r>
      <w:r w:rsidR="00700D64">
        <w:rPr>
          <w:lang w:val="fr-FR"/>
        </w:rPr>
        <w:t>gardé à vue</w:t>
      </w:r>
      <w:r w:rsidR="007A7AFA">
        <w:rPr>
          <w:lang w:val="fr-FR"/>
        </w:rPr>
        <w:t xml:space="preserve"> n’en fait pas la demande. Lorsque les soins sont considérés comme urgents, on appelle immédiatement un médecin légiste ou une ambulance</w:t>
      </w:r>
      <w:r w:rsidR="000B562B" w:rsidRPr="00A176EA">
        <w:rPr>
          <w:lang w:val="fr-FR"/>
        </w:rPr>
        <w:t>.</w:t>
      </w:r>
    </w:p>
    <w:p w:rsidR="000B562B" w:rsidRPr="00A176EA" w:rsidRDefault="000B562B" w:rsidP="00095939">
      <w:pPr>
        <w:pStyle w:val="H23G"/>
        <w:rPr>
          <w:lang w:val="fr-FR"/>
        </w:rPr>
      </w:pPr>
      <w:bookmarkStart w:id="9" w:name="_Toc299724679"/>
      <w:r w:rsidRPr="00A176EA">
        <w:rPr>
          <w:lang w:val="fr-FR"/>
        </w:rPr>
        <w:t>Acc</w:t>
      </w:r>
      <w:r w:rsidR="007A7AFA">
        <w:rPr>
          <w:lang w:val="fr-FR"/>
        </w:rPr>
        <w:t>è</w:t>
      </w:r>
      <w:r w:rsidRPr="00A176EA">
        <w:rPr>
          <w:lang w:val="fr-FR"/>
        </w:rPr>
        <w:t xml:space="preserve">s </w:t>
      </w:r>
      <w:r w:rsidR="007A7AFA">
        <w:rPr>
          <w:lang w:val="fr-FR"/>
        </w:rPr>
        <w:t xml:space="preserve">à </w:t>
      </w:r>
      <w:r w:rsidR="00FE3917">
        <w:rPr>
          <w:lang w:val="fr-FR"/>
        </w:rPr>
        <w:t>des conseils</w:t>
      </w:r>
      <w:r w:rsidR="007A7AFA">
        <w:rPr>
          <w:lang w:val="fr-FR"/>
        </w:rPr>
        <w:t xml:space="preserve"> juridique</w:t>
      </w:r>
      <w:r w:rsidR="00FE3917">
        <w:rPr>
          <w:lang w:val="fr-FR"/>
        </w:rPr>
        <w:t>s</w:t>
      </w:r>
      <w:r w:rsidR="007A7AFA">
        <w:rPr>
          <w:lang w:val="fr-FR"/>
        </w:rPr>
        <w:t xml:space="preserve"> pendant la garde à vue</w:t>
      </w:r>
      <w:bookmarkEnd w:id="9"/>
    </w:p>
    <w:p w:rsidR="000B562B" w:rsidRPr="00A176EA" w:rsidRDefault="002549A9" w:rsidP="00A70444">
      <w:pPr>
        <w:pStyle w:val="SingleTxtG"/>
        <w:rPr>
          <w:lang w:val="fr-FR"/>
        </w:rPr>
      </w:pPr>
      <w:r w:rsidRPr="00A176EA">
        <w:rPr>
          <w:lang w:val="fr-FR"/>
        </w:rPr>
        <w:t>174.</w:t>
      </w:r>
      <w:r w:rsidRPr="00A176EA">
        <w:rPr>
          <w:lang w:val="fr-FR"/>
        </w:rPr>
        <w:tab/>
      </w:r>
      <w:r w:rsidR="007A7AFA">
        <w:rPr>
          <w:lang w:val="fr-FR"/>
        </w:rPr>
        <w:t>Les informations générale</w:t>
      </w:r>
      <w:r w:rsidR="00A70444">
        <w:rPr>
          <w:lang w:val="fr-FR"/>
        </w:rPr>
        <w:t>s</w:t>
      </w:r>
      <w:r w:rsidR="007A7AFA">
        <w:rPr>
          <w:lang w:val="fr-FR"/>
        </w:rPr>
        <w:t xml:space="preserve"> sur l’accès à </w:t>
      </w:r>
      <w:r w:rsidR="00FE3917">
        <w:rPr>
          <w:lang w:val="fr-FR"/>
        </w:rPr>
        <w:t>des conseils</w:t>
      </w:r>
      <w:r w:rsidR="007A7AFA">
        <w:rPr>
          <w:lang w:val="fr-FR"/>
        </w:rPr>
        <w:t xml:space="preserve"> juridique</w:t>
      </w:r>
      <w:r w:rsidR="00FE3917">
        <w:rPr>
          <w:lang w:val="fr-FR"/>
        </w:rPr>
        <w:t>s</w:t>
      </w:r>
      <w:r w:rsidR="00A70444">
        <w:rPr>
          <w:lang w:val="fr-FR"/>
        </w:rPr>
        <w:t xml:space="preserve"> de tout gardé à vue en Angleterre, au </w:t>
      </w:r>
      <w:r w:rsidR="00FE3917">
        <w:rPr>
          <w:lang w:val="fr-FR"/>
        </w:rPr>
        <w:t>p</w:t>
      </w:r>
      <w:r w:rsidR="005601A1">
        <w:rPr>
          <w:lang w:val="fr-FR"/>
        </w:rPr>
        <w:t>ays de Galles</w:t>
      </w:r>
      <w:r w:rsidR="00A70444">
        <w:rPr>
          <w:lang w:val="fr-FR"/>
        </w:rPr>
        <w:t xml:space="preserve"> et en </w:t>
      </w:r>
      <w:r w:rsidR="00FD2CE1" w:rsidRPr="00A70444">
        <w:rPr>
          <w:lang w:val="fr-FR"/>
        </w:rPr>
        <w:t>Écosse</w:t>
      </w:r>
      <w:r w:rsidR="000B562B" w:rsidRPr="00A176EA">
        <w:rPr>
          <w:lang w:val="fr-FR"/>
        </w:rPr>
        <w:t xml:space="preserve"> </w:t>
      </w:r>
      <w:r w:rsidR="00A70444">
        <w:rPr>
          <w:lang w:val="fr-FR"/>
        </w:rPr>
        <w:t>figurent aux paragraphes 101 à 105 du quatrième rapport périodique du Royaume-Uni</w:t>
      </w:r>
      <w:r w:rsidR="000B562B" w:rsidRPr="00A176EA">
        <w:rPr>
          <w:lang w:val="fr-FR"/>
        </w:rPr>
        <w:t>.</w:t>
      </w:r>
    </w:p>
    <w:p w:rsidR="000B562B" w:rsidRPr="00A70444" w:rsidRDefault="006226D0" w:rsidP="00095939">
      <w:pPr>
        <w:pStyle w:val="H23G"/>
        <w:rPr>
          <w:lang w:val="fr-FR"/>
        </w:rPr>
      </w:pPr>
      <w:bookmarkStart w:id="10" w:name="_Toc299724680"/>
      <w:r w:rsidRPr="00A70444">
        <w:rPr>
          <w:lang w:val="fr-FR"/>
        </w:rPr>
        <w:t>Garde à vue</w:t>
      </w:r>
      <w:r w:rsidR="000B562B" w:rsidRPr="00A70444">
        <w:rPr>
          <w:lang w:val="fr-FR"/>
        </w:rPr>
        <w:t xml:space="preserve"> </w:t>
      </w:r>
      <w:r w:rsidRPr="00A70444">
        <w:rPr>
          <w:lang w:val="fr-FR"/>
        </w:rPr>
        <w:t>e</w:t>
      </w:r>
      <w:r w:rsidR="000B562B" w:rsidRPr="00A70444">
        <w:rPr>
          <w:lang w:val="fr-FR"/>
        </w:rPr>
        <w:t xml:space="preserve">n </w:t>
      </w:r>
      <w:bookmarkEnd w:id="10"/>
      <w:r w:rsidR="00FD2CE1" w:rsidRPr="00A70444">
        <w:rPr>
          <w:lang w:val="fr-FR"/>
        </w:rPr>
        <w:t>Écosse</w:t>
      </w:r>
    </w:p>
    <w:p w:rsidR="000B562B" w:rsidRPr="00A176EA" w:rsidRDefault="002549A9" w:rsidP="00095939">
      <w:pPr>
        <w:pStyle w:val="SingleTxtG"/>
        <w:rPr>
          <w:lang w:val="fr-FR"/>
        </w:rPr>
      </w:pPr>
      <w:r w:rsidRPr="00A70444">
        <w:rPr>
          <w:lang w:val="fr-FR"/>
        </w:rPr>
        <w:t>175.</w:t>
      </w:r>
      <w:r w:rsidRPr="00A70444">
        <w:rPr>
          <w:lang w:val="fr-FR"/>
        </w:rPr>
        <w:tab/>
      </w:r>
      <w:r w:rsidR="006226D0" w:rsidRPr="00A70444">
        <w:rPr>
          <w:lang w:val="fr-FR"/>
        </w:rPr>
        <w:t>E</w:t>
      </w:r>
      <w:r w:rsidR="000B562B" w:rsidRPr="00A70444">
        <w:rPr>
          <w:lang w:val="fr-FR"/>
        </w:rPr>
        <w:t xml:space="preserve">n </w:t>
      </w:r>
      <w:r w:rsidR="00FD2CE1" w:rsidRPr="00A70444">
        <w:rPr>
          <w:lang w:val="fr-FR"/>
        </w:rPr>
        <w:t>Écosse</w:t>
      </w:r>
      <w:r w:rsidR="000B562B" w:rsidRPr="00A176EA">
        <w:rPr>
          <w:lang w:val="fr-FR"/>
        </w:rPr>
        <w:t xml:space="preserve">, </w:t>
      </w:r>
      <w:r w:rsidR="00A70444">
        <w:rPr>
          <w:lang w:val="fr-FR"/>
        </w:rPr>
        <w:t xml:space="preserve">l’accès d’un </w:t>
      </w:r>
      <w:r w:rsidR="00700D64">
        <w:rPr>
          <w:lang w:val="fr-FR"/>
        </w:rPr>
        <w:t>gardé à vue</w:t>
      </w:r>
      <w:r w:rsidR="00A70444">
        <w:rPr>
          <w:lang w:val="fr-FR"/>
        </w:rPr>
        <w:t xml:space="preserve"> à un avocat est régi par l’article 15A de la loi de 1995 sur la procédure pénale (</w:t>
      </w:r>
      <w:r w:rsidR="00A70444" w:rsidRPr="00A70444">
        <w:rPr>
          <w:lang w:val="fr-FR"/>
        </w:rPr>
        <w:t>Écosse</w:t>
      </w:r>
      <w:r w:rsidR="00A70444">
        <w:rPr>
          <w:lang w:val="fr-FR"/>
        </w:rPr>
        <w:t>), telle que modifiée par la loi de 2010 sur la procédure pénale (Conseil</w:t>
      </w:r>
      <w:r w:rsidR="00FE3917">
        <w:rPr>
          <w:lang w:val="fr-FR"/>
        </w:rPr>
        <w:t>s</w:t>
      </w:r>
      <w:r w:rsidR="00A70444">
        <w:rPr>
          <w:lang w:val="fr-FR"/>
        </w:rPr>
        <w:t xml:space="preserve"> juridique</w:t>
      </w:r>
      <w:r w:rsidR="00FE3917">
        <w:rPr>
          <w:lang w:val="fr-FR"/>
        </w:rPr>
        <w:t>s</w:t>
      </w:r>
      <w:r w:rsidR="00A70444">
        <w:rPr>
          <w:lang w:val="fr-FR"/>
        </w:rPr>
        <w:t>, détention et recours) (</w:t>
      </w:r>
      <w:r w:rsidR="00A70444" w:rsidRPr="00A70444">
        <w:rPr>
          <w:lang w:val="fr-FR"/>
        </w:rPr>
        <w:t>Écosse</w:t>
      </w:r>
      <w:r w:rsidR="00A70444">
        <w:rPr>
          <w:lang w:val="fr-FR"/>
        </w:rPr>
        <w:t xml:space="preserve">). Les personnes </w:t>
      </w:r>
      <w:r w:rsidR="00700D64">
        <w:rPr>
          <w:lang w:val="fr-FR"/>
        </w:rPr>
        <w:t>arrêtées</w:t>
      </w:r>
      <w:r w:rsidR="00A70444">
        <w:rPr>
          <w:lang w:val="fr-FR"/>
        </w:rPr>
        <w:t xml:space="preserve"> en vertu de l’article 14 de la loi de 1995 et emmenées dans un poste de police</w:t>
      </w:r>
      <w:r w:rsidR="00FE3917">
        <w:rPr>
          <w:lang w:val="fr-FR"/>
        </w:rPr>
        <w:t xml:space="preserve"> ou</w:t>
      </w:r>
      <w:r w:rsidR="007B7FC2">
        <w:rPr>
          <w:lang w:val="fr-FR"/>
        </w:rPr>
        <w:t xml:space="preserve"> </w:t>
      </w:r>
      <w:r w:rsidR="00700D64">
        <w:rPr>
          <w:lang w:val="fr-FR"/>
        </w:rPr>
        <w:t>tout autre lieu de sûreté</w:t>
      </w:r>
      <w:r w:rsidR="00A70444">
        <w:rPr>
          <w:lang w:val="fr-FR"/>
        </w:rPr>
        <w:t xml:space="preserve"> ont droit à ce qu’un avocat et une tierce personne soient informés sans délai de</w:t>
      </w:r>
      <w:r w:rsidR="007B7FC2">
        <w:rPr>
          <w:lang w:val="fr-FR"/>
        </w:rPr>
        <w:t>s conditions précises de</w:t>
      </w:r>
      <w:r w:rsidR="00A70444">
        <w:rPr>
          <w:lang w:val="fr-FR"/>
        </w:rPr>
        <w:t xml:space="preserve"> leur placement en détention. </w:t>
      </w:r>
      <w:r w:rsidR="007B7FC2">
        <w:rPr>
          <w:lang w:val="fr-FR"/>
        </w:rPr>
        <w:t>Toute personne</w:t>
      </w:r>
      <w:r w:rsidR="00A70444">
        <w:rPr>
          <w:lang w:val="fr-FR"/>
        </w:rPr>
        <w:t xml:space="preserve"> détenue par la police </w:t>
      </w:r>
      <w:r w:rsidR="007B7FC2">
        <w:rPr>
          <w:lang w:val="fr-FR"/>
        </w:rPr>
        <w:t>est</w:t>
      </w:r>
      <w:r w:rsidR="00A70444">
        <w:rPr>
          <w:lang w:val="fr-FR"/>
        </w:rPr>
        <w:t xml:space="preserve"> informée de </w:t>
      </w:r>
      <w:r w:rsidR="007B7FC2">
        <w:rPr>
          <w:lang w:val="fr-FR"/>
        </w:rPr>
        <w:t>ce</w:t>
      </w:r>
      <w:r w:rsidR="00A70444">
        <w:rPr>
          <w:lang w:val="fr-FR"/>
        </w:rPr>
        <w:t xml:space="preserve"> droit dès </w:t>
      </w:r>
      <w:r w:rsidR="007B7FC2">
        <w:rPr>
          <w:lang w:val="fr-FR"/>
        </w:rPr>
        <w:t>son</w:t>
      </w:r>
      <w:r w:rsidR="00A70444">
        <w:rPr>
          <w:lang w:val="fr-FR"/>
        </w:rPr>
        <w:t xml:space="preserve"> arrivée au poste de police ou autres </w:t>
      </w:r>
      <w:r w:rsidR="007B7FC2">
        <w:rPr>
          <w:lang w:val="fr-FR"/>
        </w:rPr>
        <w:t>locaux</w:t>
      </w:r>
      <w:r w:rsidR="00A70444">
        <w:rPr>
          <w:lang w:val="fr-FR"/>
        </w:rPr>
        <w:t xml:space="preserve">. Conformément à l’article 15A, </w:t>
      </w:r>
      <w:r w:rsidR="00700D64">
        <w:rPr>
          <w:lang w:val="fr-FR"/>
        </w:rPr>
        <w:t>l’intéressé</w:t>
      </w:r>
      <w:r w:rsidR="00A70444">
        <w:rPr>
          <w:lang w:val="fr-FR"/>
        </w:rPr>
        <w:t xml:space="preserve"> a droit à </w:t>
      </w:r>
      <w:r w:rsidR="00FE3917">
        <w:rPr>
          <w:lang w:val="fr-FR"/>
        </w:rPr>
        <w:t>des conseils juridiques</w:t>
      </w:r>
      <w:r w:rsidR="00A70444">
        <w:rPr>
          <w:lang w:val="fr-FR"/>
        </w:rPr>
        <w:t xml:space="preserve"> avant et pendant son audition. </w:t>
      </w:r>
      <w:r w:rsidR="00FE3917">
        <w:rPr>
          <w:lang w:val="fr-FR"/>
        </w:rPr>
        <w:t>La</w:t>
      </w:r>
      <w:r w:rsidR="00923517">
        <w:rPr>
          <w:lang w:val="fr-FR"/>
        </w:rPr>
        <w:t xml:space="preserve"> consultation se fait par tout moyen approprié, y compris </w:t>
      </w:r>
      <w:r w:rsidR="00717E58">
        <w:rPr>
          <w:lang w:val="fr-FR"/>
        </w:rPr>
        <w:t>le</w:t>
      </w:r>
      <w:r w:rsidR="00923517">
        <w:rPr>
          <w:lang w:val="fr-FR"/>
        </w:rPr>
        <w:t xml:space="preserve"> téléphone</w:t>
      </w:r>
      <w:r w:rsidR="00717E58">
        <w:rPr>
          <w:lang w:val="fr-FR"/>
        </w:rPr>
        <w:t>, qui</w:t>
      </w:r>
      <w:r w:rsidR="00923517">
        <w:rPr>
          <w:lang w:val="fr-FR"/>
        </w:rPr>
        <w:t xml:space="preserve"> </w:t>
      </w:r>
      <w:r w:rsidR="00717E58">
        <w:rPr>
          <w:lang w:val="fr-FR"/>
        </w:rPr>
        <w:t>peut constituer une étape initiale. Mais si le suspect souhaite consulter l’avocat en personne, ce dernier doit se rendre au poste de police</w:t>
      </w:r>
      <w:r w:rsidR="000B562B" w:rsidRPr="00A176EA">
        <w:rPr>
          <w:lang w:val="fr-FR"/>
        </w:rPr>
        <w:t>.</w:t>
      </w:r>
    </w:p>
    <w:p w:rsidR="000B562B" w:rsidRPr="00A176EA" w:rsidRDefault="002549A9" w:rsidP="00717E58">
      <w:pPr>
        <w:pStyle w:val="SingleTxtG"/>
        <w:rPr>
          <w:lang w:val="fr-FR"/>
        </w:rPr>
      </w:pPr>
      <w:r w:rsidRPr="00A176EA">
        <w:rPr>
          <w:lang w:val="fr-FR"/>
        </w:rPr>
        <w:t>176.</w:t>
      </w:r>
      <w:r w:rsidRPr="00A176EA">
        <w:rPr>
          <w:lang w:val="fr-FR"/>
        </w:rPr>
        <w:tab/>
      </w:r>
      <w:r w:rsidR="00717E58">
        <w:rPr>
          <w:lang w:val="fr-FR"/>
        </w:rPr>
        <w:t>Un suspect a le droit de refuser de répondre à toute question, ce qui ne peut être retenu contre lui</w:t>
      </w:r>
      <w:r w:rsidR="000B562B" w:rsidRPr="00A176EA">
        <w:rPr>
          <w:lang w:val="fr-FR"/>
        </w:rPr>
        <w:t>.</w:t>
      </w:r>
    </w:p>
    <w:p w:rsidR="000B562B" w:rsidRPr="00A176EA" w:rsidRDefault="002549A9" w:rsidP="007B7FC2">
      <w:pPr>
        <w:pStyle w:val="SingleTxtG"/>
        <w:rPr>
          <w:lang w:val="fr-FR"/>
        </w:rPr>
      </w:pPr>
      <w:r w:rsidRPr="00A176EA">
        <w:rPr>
          <w:lang w:val="fr-FR"/>
        </w:rPr>
        <w:t>177.</w:t>
      </w:r>
      <w:r w:rsidRPr="00A176EA">
        <w:rPr>
          <w:lang w:val="fr-FR"/>
        </w:rPr>
        <w:tab/>
      </w:r>
      <w:r w:rsidR="00717E58">
        <w:rPr>
          <w:lang w:val="fr-FR"/>
        </w:rPr>
        <w:t xml:space="preserve">Lorsqu’une personne est arrêtée pour une infraction pénale, l’article 17 de la loi de 1995 l’autorise à </w:t>
      </w:r>
      <w:r w:rsidR="007B7FC2">
        <w:rPr>
          <w:lang w:val="fr-FR"/>
        </w:rPr>
        <w:t>faire savoir immédiatement à un avocat qu’elle va faire appel à ses services</w:t>
      </w:r>
      <w:r w:rsidR="00BA4519">
        <w:rPr>
          <w:lang w:val="fr-FR"/>
        </w:rPr>
        <w:t xml:space="preserve">. </w:t>
      </w:r>
      <w:r w:rsidR="00243845" w:rsidRPr="00243845">
        <w:rPr>
          <w:lang w:val="fr-FR"/>
        </w:rPr>
        <w:t>L'avocat doit savoir où la personne est détenue, si elle va être libérée et, quand tel n'est pas le cas, à quel tribunal elle va être présentée et à quelle date</w:t>
      </w:r>
      <w:r w:rsidR="00BA4519">
        <w:rPr>
          <w:lang w:val="fr-FR"/>
        </w:rPr>
        <w:t>. L’</w:t>
      </w:r>
      <w:r w:rsidR="00700D64">
        <w:rPr>
          <w:lang w:val="fr-FR"/>
        </w:rPr>
        <w:t>inculp</w:t>
      </w:r>
      <w:r w:rsidR="00BA4519">
        <w:rPr>
          <w:lang w:val="fr-FR"/>
        </w:rPr>
        <w:t>é et l’avocat ont le droit de s’entretenir en privé avant tout</w:t>
      </w:r>
      <w:r w:rsidR="00243845">
        <w:rPr>
          <w:lang w:val="fr-FR"/>
        </w:rPr>
        <w:t>e</w:t>
      </w:r>
      <w:r w:rsidR="00BA4519">
        <w:rPr>
          <w:lang w:val="fr-FR"/>
        </w:rPr>
        <w:t xml:space="preserve"> </w:t>
      </w:r>
      <w:r w:rsidR="00243845">
        <w:rPr>
          <w:lang w:val="fr-FR"/>
        </w:rPr>
        <w:t>comparution au titre de l’instruction</w:t>
      </w:r>
      <w:r w:rsidR="00BA4519">
        <w:rPr>
          <w:lang w:val="fr-FR"/>
        </w:rPr>
        <w:t xml:space="preserve"> ou devant un tribunal. Aux termes de la loi de 2000 sur le terrorisme, </w:t>
      </w:r>
      <w:r w:rsidR="007B7FC2">
        <w:rPr>
          <w:lang w:val="fr-FR"/>
        </w:rPr>
        <w:t>lorsqu’une personne a été autorisée à consulter un avocat</w:t>
      </w:r>
      <w:r w:rsidR="00243845">
        <w:rPr>
          <w:lang w:val="fr-FR"/>
        </w:rPr>
        <w:t>,</w:t>
      </w:r>
      <w:r w:rsidR="007B7FC2">
        <w:rPr>
          <w:lang w:val="fr-FR"/>
        </w:rPr>
        <w:t xml:space="preserve"> </w:t>
      </w:r>
      <w:r w:rsidR="00243845">
        <w:rPr>
          <w:lang w:val="fr-FR"/>
        </w:rPr>
        <w:t>ce dernier</w:t>
      </w:r>
      <w:r w:rsidR="007B7FC2">
        <w:rPr>
          <w:lang w:val="fr-FR"/>
        </w:rPr>
        <w:t xml:space="preserve"> </w:t>
      </w:r>
      <w:r w:rsidR="00243845">
        <w:rPr>
          <w:lang w:val="fr-FR"/>
        </w:rPr>
        <w:t>peut</w:t>
      </w:r>
      <w:r w:rsidR="007B7FC2">
        <w:rPr>
          <w:lang w:val="fr-FR"/>
        </w:rPr>
        <w:t xml:space="preserve"> être présent lors de toute audition </w:t>
      </w:r>
      <w:r w:rsidR="00243845">
        <w:rPr>
          <w:lang w:val="fr-FR"/>
        </w:rPr>
        <w:t>menée dans le cadre de l’enquête sur l’activité terroriste visée</w:t>
      </w:r>
      <w:r w:rsidR="000B562B" w:rsidRPr="00A176EA">
        <w:rPr>
          <w:lang w:val="fr-FR"/>
        </w:rPr>
        <w:t>.</w:t>
      </w:r>
    </w:p>
    <w:p w:rsidR="000B562B" w:rsidRPr="00A176EA" w:rsidRDefault="00700D64" w:rsidP="00C655A5">
      <w:pPr>
        <w:pStyle w:val="H23G"/>
        <w:rPr>
          <w:lang w:val="fr-FR"/>
        </w:rPr>
      </w:pPr>
      <w:r>
        <w:rPr>
          <w:lang w:val="fr-FR"/>
        </w:rPr>
        <w:t>Détention en établissement pénitentiaire</w:t>
      </w:r>
    </w:p>
    <w:p w:rsidR="000B562B" w:rsidRPr="00A176EA" w:rsidRDefault="000B562B" w:rsidP="00095939">
      <w:pPr>
        <w:pStyle w:val="H23G"/>
        <w:rPr>
          <w:lang w:val="fr-FR"/>
        </w:rPr>
      </w:pPr>
      <w:bookmarkStart w:id="11" w:name="_Toc299724682"/>
      <w:r w:rsidRPr="00A176EA">
        <w:rPr>
          <w:lang w:val="fr-FR"/>
        </w:rPr>
        <w:t>Acc</w:t>
      </w:r>
      <w:r w:rsidR="007B7FC2">
        <w:rPr>
          <w:lang w:val="fr-FR"/>
        </w:rPr>
        <w:t>è</w:t>
      </w:r>
      <w:r w:rsidRPr="00A176EA">
        <w:rPr>
          <w:lang w:val="fr-FR"/>
        </w:rPr>
        <w:t xml:space="preserve">s </w:t>
      </w:r>
      <w:r w:rsidR="007B7FC2">
        <w:rPr>
          <w:lang w:val="fr-FR"/>
        </w:rPr>
        <w:t xml:space="preserve">à </w:t>
      </w:r>
      <w:r w:rsidR="009801B6">
        <w:rPr>
          <w:lang w:val="fr-FR"/>
        </w:rPr>
        <w:t>des</w:t>
      </w:r>
      <w:r w:rsidR="007B7FC2">
        <w:rPr>
          <w:lang w:val="fr-FR"/>
        </w:rPr>
        <w:t xml:space="preserve"> conseil</w:t>
      </w:r>
      <w:r w:rsidR="009801B6">
        <w:rPr>
          <w:lang w:val="fr-FR"/>
        </w:rPr>
        <w:t>s</w:t>
      </w:r>
      <w:r w:rsidR="007B7FC2">
        <w:rPr>
          <w:lang w:val="fr-FR"/>
        </w:rPr>
        <w:t xml:space="preserve"> juridique</w:t>
      </w:r>
      <w:r w:rsidR="009801B6">
        <w:rPr>
          <w:lang w:val="fr-FR"/>
        </w:rPr>
        <w:t>s</w:t>
      </w:r>
      <w:r w:rsidR="007B7FC2">
        <w:rPr>
          <w:lang w:val="fr-FR"/>
        </w:rPr>
        <w:t xml:space="preserve"> en</w:t>
      </w:r>
      <w:r w:rsidRPr="00A176EA">
        <w:rPr>
          <w:lang w:val="fr-FR"/>
        </w:rPr>
        <w:t xml:space="preserve"> prison</w:t>
      </w:r>
      <w:bookmarkEnd w:id="11"/>
    </w:p>
    <w:p w:rsidR="000B562B" w:rsidRPr="00A176EA" w:rsidRDefault="002549A9" w:rsidP="007B7FC2">
      <w:pPr>
        <w:pStyle w:val="SingleTxtG"/>
        <w:rPr>
          <w:lang w:val="fr-FR"/>
        </w:rPr>
      </w:pPr>
      <w:r w:rsidRPr="00A176EA">
        <w:rPr>
          <w:lang w:val="fr-FR"/>
        </w:rPr>
        <w:t>178.</w:t>
      </w:r>
      <w:r w:rsidRPr="00A176EA">
        <w:rPr>
          <w:lang w:val="fr-FR"/>
        </w:rPr>
        <w:tab/>
      </w:r>
      <w:r w:rsidR="007B7FC2">
        <w:rPr>
          <w:lang w:val="fr-FR"/>
        </w:rPr>
        <w:t xml:space="preserve">Les informations concernant l’accès à </w:t>
      </w:r>
      <w:r w:rsidR="009801B6">
        <w:rPr>
          <w:lang w:val="fr-FR"/>
        </w:rPr>
        <w:t>des</w:t>
      </w:r>
      <w:r w:rsidR="007B7FC2">
        <w:rPr>
          <w:lang w:val="fr-FR"/>
        </w:rPr>
        <w:t xml:space="preserve"> conseil</w:t>
      </w:r>
      <w:r w:rsidR="009801B6">
        <w:rPr>
          <w:lang w:val="fr-FR"/>
        </w:rPr>
        <w:t>s</w:t>
      </w:r>
      <w:r w:rsidR="007B7FC2">
        <w:rPr>
          <w:lang w:val="fr-FR"/>
        </w:rPr>
        <w:t xml:space="preserve"> juridique</w:t>
      </w:r>
      <w:r w:rsidR="009801B6">
        <w:rPr>
          <w:lang w:val="fr-FR"/>
        </w:rPr>
        <w:t>s</w:t>
      </w:r>
      <w:r w:rsidR="007B7FC2">
        <w:rPr>
          <w:lang w:val="fr-FR"/>
        </w:rPr>
        <w:t xml:space="preserve"> dans les prisons britanniques figurent aux paragraphes 263 à 270 du quatrième rapport périodique du Royaume-Uni</w:t>
      </w:r>
      <w:r w:rsidR="000B562B" w:rsidRPr="00A176EA">
        <w:rPr>
          <w:lang w:val="fr-FR"/>
        </w:rPr>
        <w:t>.</w:t>
      </w:r>
    </w:p>
    <w:p w:rsidR="000B562B" w:rsidRPr="00A176EA" w:rsidRDefault="007B7FC2" w:rsidP="00C655A5">
      <w:pPr>
        <w:pStyle w:val="H23G"/>
        <w:rPr>
          <w:lang w:val="fr-FR"/>
        </w:rPr>
      </w:pPr>
      <w:bookmarkStart w:id="12" w:name="_Toc299724683"/>
      <w:r w:rsidRPr="00A176EA">
        <w:rPr>
          <w:lang w:val="fr-FR"/>
        </w:rPr>
        <w:t>Service</w:t>
      </w:r>
      <w:r w:rsidR="00C90930">
        <w:rPr>
          <w:lang w:val="fr-FR"/>
        </w:rPr>
        <w:t>s</w:t>
      </w:r>
      <w:r w:rsidRPr="00A176EA">
        <w:rPr>
          <w:lang w:val="fr-FR"/>
        </w:rPr>
        <w:t xml:space="preserve"> </w:t>
      </w:r>
      <w:r w:rsidR="00C90930">
        <w:rPr>
          <w:lang w:val="fr-FR"/>
        </w:rPr>
        <w:t>d’i</w:t>
      </w:r>
      <w:r w:rsidR="000B562B" w:rsidRPr="00A176EA">
        <w:rPr>
          <w:lang w:val="fr-FR"/>
        </w:rPr>
        <w:t>mmigration</w:t>
      </w:r>
      <w:bookmarkEnd w:id="12"/>
    </w:p>
    <w:p w:rsidR="000B562B" w:rsidRPr="00A176EA" w:rsidRDefault="00C90930" w:rsidP="009347EB">
      <w:pPr>
        <w:pStyle w:val="H23G"/>
        <w:rPr>
          <w:lang w:val="fr-FR"/>
        </w:rPr>
      </w:pPr>
      <w:bookmarkStart w:id="13" w:name="_Toc299724684"/>
      <w:r>
        <w:rPr>
          <w:lang w:val="fr-FR"/>
        </w:rPr>
        <w:t xml:space="preserve">Enregistrement des auditions et accès à </w:t>
      </w:r>
      <w:r w:rsidR="009801B6">
        <w:rPr>
          <w:lang w:val="fr-FR"/>
        </w:rPr>
        <w:t>des</w:t>
      </w:r>
      <w:r>
        <w:rPr>
          <w:lang w:val="fr-FR"/>
        </w:rPr>
        <w:t xml:space="preserve"> conseil</w:t>
      </w:r>
      <w:r w:rsidR="009801B6">
        <w:rPr>
          <w:lang w:val="fr-FR"/>
        </w:rPr>
        <w:t>s</w:t>
      </w:r>
      <w:r>
        <w:rPr>
          <w:lang w:val="fr-FR"/>
        </w:rPr>
        <w:t xml:space="preserve"> juridique</w:t>
      </w:r>
      <w:bookmarkEnd w:id="13"/>
      <w:r w:rsidR="009801B6">
        <w:rPr>
          <w:lang w:val="fr-FR"/>
        </w:rPr>
        <w:t>s</w:t>
      </w:r>
    </w:p>
    <w:p w:rsidR="000B562B" w:rsidRPr="00A176EA" w:rsidRDefault="002549A9" w:rsidP="0063242A">
      <w:pPr>
        <w:pStyle w:val="SingleTxtG"/>
        <w:rPr>
          <w:lang w:val="fr-FR"/>
        </w:rPr>
      </w:pPr>
      <w:r w:rsidRPr="00A176EA">
        <w:rPr>
          <w:lang w:val="fr-FR"/>
        </w:rPr>
        <w:t>179.</w:t>
      </w:r>
      <w:r w:rsidRPr="00A176EA">
        <w:rPr>
          <w:lang w:val="fr-FR"/>
        </w:rPr>
        <w:tab/>
      </w:r>
      <w:r w:rsidR="0063242A">
        <w:rPr>
          <w:lang w:val="fr-FR"/>
        </w:rPr>
        <w:t xml:space="preserve">L’audition d’un demandeur d’asile est avant tout une enquête permettant </w:t>
      </w:r>
      <w:r w:rsidR="009801B6">
        <w:rPr>
          <w:lang w:val="fr-FR"/>
        </w:rPr>
        <w:t xml:space="preserve">à l’intéressé </w:t>
      </w:r>
      <w:r w:rsidR="0063242A">
        <w:rPr>
          <w:lang w:val="fr-FR"/>
        </w:rPr>
        <w:t xml:space="preserve">de dire pourquoi il a peur d’être persécuté dans son pays et </w:t>
      </w:r>
      <w:r w:rsidR="009801B6">
        <w:rPr>
          <w:lang w:val="fr-FR"/>
        </w:rPr>
        <w:t>ne donne pas lieu à une notification</w:t>
      </w:r>
      <w:r w:rsidR="0063242A">
        <w:rPr>
          <w:lang w:val="fr-FR"/>
        </w:rPr>
        <w:t xml:space="preserve"> des droits. </w:t>
      </w:r>
      <w:r w:rsidR="00C90930" w:rsidRPr="0063242A">
        <w:rPr>
          <w:lang w:val="fr-FR"/>
        </w:rPr>
        <w:t xml:space="preserve">Un procès-verbal intégral de l’audition est conservé, dont un exemplaire est remis à </w:t>
      </w:r>
      <w:r w:rsidR="009801B6">
        <w:rPr>
          <w:lang w:val="fr-FR"/>
        </w:rPr>
        <w:t>l’intéressé</w:t>
      </w:r>
      <w:r w:rsidR="000B562B" w:rsidRPr="0063242A">
        <w:rPr>
          <w:lang w:val="fr-FR"/>
        </w:rPr>
        <w:t xml:space="preserve">. </w:t>
      </w:r>
      <w:r w:rsidR="00C90930" w:rsidRPr="0063242A">
        <w:rPr>
          <w:lang w:val="fr-FR"/>
        </w:rPr>
        <w:t>L</w:t>
      </w:r>
      <w:r w:rsidR="000B562B" w:rsidRPr="0063242A">
        <w:rPr>
          <w:lang w:val="fr-FR"/>
        </w:rPr>
        <w:t xml:space="preserve">e </w:t>
      </w:r>
      <w:r w:rsidR="006A0623" w:rsidRPr="0063242A">
        <w:rPr>
          <w:lang w:val="fr-FR"/>
        </w:rPr>
        <w:t>Service de contrôle des frontières du Royaume-Uni</w:t>
      </w:r>
      <w:r w:rsidR="000B562B" w:rsidRPr="00A176EA">
        <w:rPr>
          <w:lang w:val="fr-FR"/>
        </w:rPr>
        <w:t xml:space="preserve"> </w:t>
      </w:r>
      <w:r w:rsidR="0063242A">
        <w:rPr>
          <w:lang w:val="fr-FR"/>
        </w:rPr>
        <w:t xml:space="preserve">est également tenu de permettre au demandeur qui n’a pas droit à </w:t>
      </w:r>
      <w:r w:rsidR="004D098D">
        <w:rPr>
          <w:lang w:val="fr-FR"/>
        </w:rPr>
        <w:t>des</w:t>
      </w:r>
      <w:r w:rsidR="0063242A">
        <w:rPr>
          <w:lang w:val="fr-FR"/>
        </w:rPr>
        <w:t xml:space="preserve"> conseil</w:t>
      </w:r>
      <w:r w:rsidR="004D098D">
        <w:rPr>
          <w:lang w:val="fr-FR"/>
        </w:rPr>
        <w:t>s</w:t>
      </w:r>
      <w:r w:rsidR="0063242A">
        <w:rPr>
          <w:lang w:val="fr-FR"/>
        </w:rPr>
        <w:t xml:space="preserve"> juridique</w:t>
      </w:r>
      <w:r w:rsidR="004D098D">
        <w:rPr>
          <w:lang w:val="fr-FR"/>
        </w:rPr>
        <w:t>s</w:t>
      </w:r>
      <w:r w:rsidR="0063242A">
        <w:rPr>
          <w:lang w:val="fr-FR"/>
        </w:rPr>
        <w:t xml:space="preserve"> gratuit</w:t>
      </w:r>
      <w:r w:rsidR="004D098D">
        <w:rPr>
          <w:lang w:val="fr-FR"/>
        </w:rPr>
        <w:t>s</w:t>
      </w:r>
      <w:r w:rsidR="0063242A">
        <w:rPr>
          <w:lang w:val="fr-FR"/>
        </w:rPr>
        <w:t xml:space="preserve"> lors de son audition</w:t>
      </w:r>
      <w:r w:rsidR="00312205">
        <w:rPr>
          <w:lang w:val="fr-FR"/>
        </w:rPr>
        <w:t>,</w:t>
      </w:r>
      <w:r w:rsidR="0063242A">
        <w:rPr>
          <w:lang w:val="fr-FR"/>
        </w:rPr>
        <w:t xml:space="preserve"> ou qui a les moyens d’engager son propre avocat</w:t>
      </w:r>
      <w:r w:rsidR="00312205">
        <w:rPr>
          <w:lang w:val="fr-FR"/>
        </w:rPr>
        <w:t>,</w:t>
      </w:r>
      <w:r w:rsidR="0063242A">
        <w:rPr>
          <w:lang w:val="fr-FR"/>
        </w:rPr>
        <w:t xml:space="preserve"> de faire enregistrer l’entretien sur bande sonore s’il en fait la demande. Le Service de contrôle des frontières n’est pas tenu d’enregistrer l’audition d</w:t>
      </w:r>
      <w:r w:rsidR="009801B6">
        <w:rPr>
          <w:lang w:val="fr-FR"/>
        </w:rPr>
        <w:t>’un</w:t>
      </w:r>
      <w:r w:rsidR="0063242A">
        <w:rPr>
          <w:lang w:val="fr-FR"/>
        </w:rPr>
        <w:t xml:space="preserve"> demandeur d’asile qui </w:t>
      </w:r>
      <w:r w:rsidR="009801B6">
        <w:rPr>
          <w:lang w:val="fr-FR"/>
        </w:rPr>
        <w:t>a</w:t>
      </w:r>
      <w:r w:rsidR="0063242A">
        <w:rPr>
          <w:lang w:val="fr-FR"/>
        </w:rPr>
        <w:t xml:space="preserve"> un </w:t>
      </w:r>
      <w:r w:rsidR="009801B6">
        <w:rPr>
          <w:lang w:val="fr-FR"/>
        </w:rPr>
        <w:t xml:space="preserve">avocat mais </w:t>
      </w:r>
      <w:r w:rsidR="00122DCC">
        <w:rPr>
          <w:lang w:val="fr-FR"/>
        </w:rPr>
        <w:t>renonce à la présence de</w:t>
      </w:r>
      <w:r w:rsidR="009801B6">
        <w:rPr>
          <w:lang w:val="fr-FR"/>
        </w:rPr>
        <w:t xml:space="preserve"> ce dernier</w:t>
      </w:r>
      <w:r w:rsidR="0063242A">
        <w:rPr>
          <w:lang w:val="fr-FR"/>
        </w:rPr>
        <w:t xml:space="preserve"> à l’entretien</w:t>
      </w:r>
      <w:r w:rsidR="000B562B" w:rsidRPr="00A176EA">
        <w:rPr>
          <w:lang w:val="fr-FR"/>
        </w:rPr>
        <w:t>.</w:t>
      </w:r>
    </w:p>
    <w:p w:rsidR="000B562B" w:rsidRPr="00A176EA" w:rsidRDefault="002549A9" w:rsidP="00F43ED2">
      <w:pPr>
        <w:pStyle w:val="SingleTxtG"/>
        <w:rPr>
          <w:lang w:val="fr-FR"/>
        </w:rPr>
      </w:pPr>
      <w:r w:rsidRPr="00A176EA">
        <w:rPr>
          <w:lang w:val="fr-FR"/>
        </w:rPr>
        <w:t>180.</w:t>
      </w:r>
      <w:r w:rsidRPr="00A176EA">
        <w:rPr>
          <w:lang w:val="fr-FR"/>
        </w:rPr>
        <w:tab/>
      </w:r>
      <w:r w:rsidR="004D098D">
        <w:rPr>
          <w:lang w:val="fr-FR"/>
        </w:rPr>
        <w:t>On trouvera au paragraphe 194 du quatrième rapport du Royaume-Uni d</w:t>
      </w:r>
      <w:r w:rsidR="00F43ED2">
        <w:rPr>
          <w:lang w:val="fr-FR"/>
        </w:rPr>
        <w:t>es informations sur les auditions</w:t>
      </w:r>
      <w:r w:rsidR="00312205">
        <w:rPr>
          <w:lang w:val="fr-FR"/>
        </w:rPr>
        <w:t>,</w:t>
      </w:r>
      <w:r w:rsidR="00F43ED2">
        <w:rPr>
          <w:lang w:val="fr-FR"/>
        </w:rPr>
        <w:t xml:space="preserve"> </w:t>
      </w:r>
      <w:r w:rsidR="00312205">
        <w:rPr>
          <w:lang w:val="fr-FR"/>
        </w:rPr>
        <w:t xml:space="preserve">dans un poste de police, </w:t>
      </w:r>
      <w:r w:rsidR="00F43ED2">
        <w:rPr>
          <w:lang w:val="fr-FR"/>
        </w:rPr>
        <w:t xml:space="preserve">de personnes soupçonnées d’infraction à la législation </w:t>
      </w:r>
      <w:r w:rsidR="00BC4DB8">
        <w:rPr>
          <w:lang w:val="fr-FR"/>
        </w:rPr>
        <w:t>sur</w:t>
      </w:r>
      <w:r w:rsidR="00F43ED2">
        <w:rPr>
          <w:lang w:val="fr-FR"/>
        </w:rPr>
        <w:t xml:space="preserve"> l’immigration </w:t>
      </w:r>
      <w:r w:rsidR="00312205">
        <w:rPr>
          <w:lang w:val="fr-FR"/>
        </w:rPr>
        <w:t>et ayant été</w:t>
      </w:r>
      <w:r w:rsidR="00F43ED2">
        <w:rPr>
          <w:lang w:val="fr-FR"/>
        </w:rPr>
        <w:t xml:space="preserve"> avisé</w:t>
      </w:r>
      <w:r w:rsidR="00312205">
        <w:rPr>
          <w:lang w:val="fr-FR"/>
        </w:rPr>
        <w:t>es</w:t>
      </w:r>
      <w:r w:rsidR="00F43ED2">
        <w:rPr>
          <w:lang w:val="fr-FR"/>
        </w:rPr>
        <w:t xml:space="preserve"> de </w:t>
      </w:r>
      <w:r w:rsidR="00312205">
        <w:rPr>
          <w:lang w:val="fr-FR"/>
        </w:rPr>
        <w:t>leurs</w:t>
      </w:r>
      <w:r w:rsidR="00F43ED2">
        <w:rPr>
          <w:lang w:val="fr-FR"/>
        </w:rPr>
        <w:t xml:space="preserve"> droits</w:t>
      </w:r>
      <w:r w:rsidR="000B562B" w:rsidRPr="00A176EA">
        <w:rPr>
          <w:lang w:val="fr-FR"/>
        </w:rPr>
        <w:t>.</w:t>
      </w:r>
    </w:p>
    <w:p w:rsidR="000B562B" w:rsidRPr="00A176EA" w:rsidRDefault="002549A9" w:rsidP="00B54D21">
      <w:pPr>
        <w:pStyle w:val="SingleTxtG"/>
        <w:rPr>
          <w:lang w:val="fr-FR"/>
        </w:rPr>
      </w:pPr>
      <w:r w:rsidRPr="00A176EA">
        <w:rPr>
          <w:lang w:val="fr-FR"/>
        </w:rPr>
        <w:t>181.</w:t>
      </w:r>
      <w:r w:rsidRPr="00A176EA">
        <w:rPr>
          <w:lang w:val="fr-FR"/>
        </w:rPr>
        <w:tab/>
      </w:r>
      <w:r w:rsidR="00F43ED2">
        <w:rPr>
          <w:lang w:val="fr-FR"/>
        </w:rPr>
        <w:t xml:space="preserve">Les </w:t>
      </w:r>
      <w:r w:rsidR="00975911">
        <w:rPr>
          <w:lang w:val="fr-FR"/>
        </w:rPr>
        <w:t>C</w:t>
      </w:r>
      <w:r w:rsidR="00F43ED2">
        <w:rPr>
          <w:lang w:val="fr-FR"/>
        </w:rPr>
        <w:t xml:space="preserve">entres de rétention des services d’immigration britanniques sont régis par le Règlement des centres de </w:t>
      </w:r>
      <w:r w:rsidR="00CD0048">
        <w:rPr>
          <w:lang w:val="fr-FR"/>
        </w:rPr>
        <w:t>r</w:t>
      </w:r>
      <w:r w:rsidR="00F43ED2">
        <w:rPr>
          <w:lang w:val="fr-FR"/>
        </w:rPr>
        <w:t>étention de 2001 (</w:t>
      </w:r>
      <w:r w:rsidR="00400485">
        <w:rPr>
          <w:lang w:val="fr-FR"/>
        </w:rPr>
        <w:t>Règlement n° 238 de 2001</w:t>
      </w:r>
      <w:r w:rsidR="000B562B" w:rsidRPr="00A176EA">
        <w:rPr>
          <w:lang w:val="fr-FR"/>
        </w:rPr>
        <w:t>)</w:t>
      </w:r>
      <w:r w:rsidR="000B562B" w:rsidRPr="00A176EA">
        <w:rPr>
          <w:rStyle w:val="FootnoteReference"/>
          <w:szCs w:val="22"/>
        </w:rPr>
        <w:footnoteReference w:id="26"/>
      </w:r>
      <w:r w:rsidR="00400485">
        <w:rPr>
          <w:lang w:val="fr-FR"/>
        </w:rPr>
        <w:t>, qui établit la réglementation et la gestion de</w:t>
      </w:r>
      <w:r w:rsidR="00312205">
        <w:rPr>
          <w:lang w:val="fr-FR"/>
        </w:rPr>
        <w:t xml:space="preserve"> ce</w:t>
      </w:r>
      <w:r w:rsidR="00400485">
        <w:rPr>
          <w:lang w:val="fr-FR"/>
        </w:rPr>
        <w:t>s centres. Ce Règlement régit notamment le bien-être</w:t>
      </w:r>
      <w:r w:rsidR="00312205">
        <w:rPr>
          <w:lang w:val="fr-FR"/>
        </w:rPr>
        <w:t xml:space="preserve"> des retenus</w:t>
      </w:r>
      <w:r w:rsidR="00400485">
        <w:rPr>
          <w:lang w:val="fr-FR"/>
        </w:rPr>
        <w:t xml:space="preserve">, les soins de santé, les pratiques religieuses et la correspondance. </w:t>
      </w:r>
      <w:r w:rsidR="00E620F3">
        <w:rPr>
          <w:lang w:val="fr-FR"/>
        </w:rPr>
        <w:t xml:space="preserve">Il </w:t>
      </w:r>
      <w:r w:rsidR="000755F5">
        <w:rPr>
          <w:lang w:val="fr-FR"/>
        </w:rPr>
        <w:t xml:space="preserve">prévoit par ailleurs les fonctions </w:t>
      </w:r>
      <w:r w:rsidR="004D098D">
        <w:rPr>
          <w:lang w:val="fr-FR"/>
        </w:rPr>
        <w:t>du personnel de surveillance des centres</w:t>
      </w:r>
      <w:r w:rsidR="000755F5">
        <w:rPr>
          <w:lang w:val="fr-FR"/>
        </w:rPr>
        <w:t>.</w:t>
      </w:r>
      <w:r w:rsidR="000755F5" w:rsidRPr="000755F5">
        <w:rPr>
          <w:lang w:val="fr-FR"/>
        </w:rPr>
        <w:t xml:space="preserve"> </w:t>
      </w:r>
      <w:r w:rsidR="000755F5">
        <w:rPr>
          <w:lang w:val="fr-FR"/>
        </w:rPr>
        <w:t xml:space="preserve">Un ensemble complet de normes </w:t>
      </w:r>
      <w:r w:rsidR="00E43E9F">
        <w:rPr>
          <w:lang w:val="fr-FR"/>
        </w:rPr>
        <w:t>opérationnelles appuie le Règlement et détermine un niveau minimum vérifiable de prise en charge et de services pour tous les aspects de la vie dans les centres de rétention. Par ailleurs, un programme</w:t>
      </w:r>
      <w:r w:rsidR="00E74AAB">
        <w:rPr>
          <w:lang w:val="fr-FR"/>
        </w:rPr>
        <w:t xml:space="preserve"> continu</w:t>
      </w:r>
      <w:r w:rsidR="00E43E9F">
        <w:rPr>
          <w:lang w:val="fr-FR"/>
        </w:rPr>
        <w:t xml:space="preserve"> </w:t>
      </w:r>
      <w:r w:rsidR="00B54D21">
        <w:rPr>
          <w:lang w:val="fr-FR"/>
        </w:rPr>
        <w:t>de contrôle interne des normes et de dispositions sur la surveillance des procédures de contrôle interne est en place</w:t>
      </w:r>
      <w:r w:rsidR="000B562B" w:rsidRPr="00A176EA">
        <w:rPr>
          <w:lang w:val="fr-FR"/>
        </w:rPr>
        <w:t>.</w:t>
      </w:r>
    </w:p>
    <w:p w:rsidR="000B562B" w:rsidRPr="00A176EA" w:rsidRDefault="002549A9" w:rsidP="00B54D21">
      <w:pPr>
        <w:pStyle w:val="SingleTxtG"/>
        <w:rPr>
          <w:lang w:val="fr-FR"/>
        </w:rPr>
      </w:pPr>
      <w:r w:rsidRPr="00A176EA">
        <w:rPr>
          <w:lang w:val="fr-FR"/>
        </w:rPr>
        <w:t>182.</w:t>
      </w:r>
      <w:r w:rsidRPr="00A176EA">
        <w:rPr>
          <w:lang w:val="fr-FR"/>
        </w:rPr>
        <w:tab/>
      </w:r>
      <w:r w:rsidR="00B54D21" w:rsidRPr="00B54D21">
        <w:rPr>
          <w:lang w:val="fr-FR"/>
        </w:rPr>
        <w:t>Les c</w:t>
      </w:r>
      <w:r w:rsidR="000B562B" w:rsidRPr="00B54D21">
        <w:rPr>
          <w:lang w:val="fr-FR"/>
        </w:rPr>
        <w:t xml:space="preserve">entres </w:t>
      </w:r>
      <w:r w:rsidR="00B54D21" w:rsidRPr="00B54D21">
        <w:rPr>
          <w:lang w:val="fr-FR"/>
        </w:rPr>
        <w:t xml:space="preserve">sont </w:t>
      </w:r>
      <w:r w:rsidR="00B54D21">
        <w:rPr>
          <w:lang w:val="fr-FR"/>
        </w:rPr>
        <w:t>contrôlés par</w:t>
      </w:r>
      <w:r w:rsidR="00B54D21" w:rsidRPr="00B54D21">
        <w:rPr>
          <w:lang w:val="fr-FR"/>
        </w:rPr>
        <w:t xml:space="preserve"> des Comités de surveillance indépendant</w:t>
      </w:r>
      <w:r w:rsidR="00B54D21">
        <w:rPr>
          <w:lang w:val="fr-FR"/>
        </w:rPr>
        <w:t>s</w:t>
      </w:r>
      <w:r w:rsidR="00B54D21" w:rsidRPr="00B54D21">
        <w:rPr>
          <w:lang w:val="fr-FR"/>
        </w:rPr>
        <w:t xml:space="preserve"> et </w:t>
      </w:r>
      <w:r w:rsidR="003930E7">
        <w:rPr>
          <w:lang w:val="fr-FR"/>
        </w:rPr>
        <w:t xml:space="preserve">par </w:t>
      </w:r>
      <w:r w:rsidR="00B54D21" w:rsidRPr="00B54D21">
        <w:rPr>
          <w:lang w:val="fr-FR"/>
        </w:rPr>
        <w:t>l’Inspecteur général des prisons de Sa Majesté</w:t>
      </w:r>
      <w:r w:rsidR="000B562B" w:rsidRPr="00A176EA">
        <w:rPr>
          <w:lang w:val="fr-FR"/>
        </w:rPr>
        <w:t>.</w:t>
      </w:r>
    </w:p>
    <w:p w:rsidR="000B562B" w:rsidRPr="00A176EA" w:rsidRDefault="00B54D21" w:rsidP="009347EB">
      <w:pPr>
        <w:pStyle w:val="H23G"/>
        <w:rPr>
          <w:snapToGrid w:val="0"/>
          <w:lang w:val="fr-FR"/>
        </w:rPr>
      </w:pPr>
      <w:r>
        <w:rPr>
          <w:lang w:val="fr-FR"/>
        </w:rPr>
        <w:t>Règlement militaire</w:t>
      </w:r>
    </w:p>
    <w:p w:rsidR="000B562B" w:rsidRPr="00A176EA" w:rsidRDefault="002549A9" w:rsidP="00025959">
      <w:pPr>
        <w:pStyle w:val="SingleTxtG"/>
        <w:rPr>
          <w:snapToGrid w:val="0"/>
          <w:lang w:val="fr-FR"/>
        </w:rPr>
      </w:pPr>
      <w:r w:rsidRPr="00A176EA">
        <w:rPr>
          <w:snapToGrid w:val="0"/>
          <w:lang w:val="fr-FR"/>
        </w:rPr>
        <w:t>183.</w:t>
      </w:r>
      <w:r w:rsidRPr="00A176EA">
        <w:rPr>
          <w:snapToGrid w:val="0"/>
          <w:lang w:val="fr-FR"/>
        </w:rPr>
        <w:tab/>
      </w:r>
      <w:r w:rsidR="00016977" w:rsidRPr="00B54D21">
        <w:rPr>
          <w:snapToGrid w:val="0"/>
          <w:lang w:val="fr-FR"/>
        </w:rPr>
        <w:t>L</w:t>
      </w:r>
      <w:r w:rsidR="000B562B" w:rsidRPr="00B54D21">
        <w:rPr>
          <w:snapToGrid w:val="0"/>
          <w:lang w:val="fr-FR"/>
        </w:rPr>
        <w:t xml:space="preserve">e </w:t>
      </w:r>
      <w:r w:rsidR="00016977" w:rsidRPr="00B54D21">
        <w:rPr>
          <w:lang w:val="fr-FR"/>
        </w:rPr>
        <w:t xml:space="preserve">Code de bonnes pratiques de la police </w:t>
      </w:r>
      <w:r w:rsidR="00016977" w:rsidRPr="00B54D21">
        <w:rPr>
          <w:snapToGrid w:val="0"/>
          <w:lang w:val="fr-FR"/>
        </w:rPr>
        <w:t>militaire</w:t>
      </w:r>
      <w:r w:rsidR="000B562B" w:rsidRPr="00B54D21">
        <w:rPr>
          <w:snapToGrid w:val="0"/>
          <w:lang w:val="fr-FR"/>
        </w:rPr>
        <w:t xml:space="preserve"> (</w:t>
      </w:r>
      <w:r w:rsidR="00016977" w:rsidRPr="00B54D21">
        <w:rPr>
          <w:snapToGrid w:val="0"/>
          <w:lang w:val="fr-FR"/>
        </w:rPr>
        <w:t>révisé en octobre</w:t>
      </w:r>
      <w:r w:rsidR="000B562B" w:rsidRPr="00B54D21">
        <w:rPr>
          <w:snapToGrid w:val="0"/>
          <w:lang w:val="fr-FR"/>
        </w:rPr>
        <w:t xml:space="preserve"> 2009)</w:t>
      </w:r>
      <w:r w:rsidR="000B562B" w:rsidRPr="00B54D21">
        <w:rPr>
          <w:rStyle w:val="FootnoteReference"/>
          <w:szCs w:val="22"/>
        </w:rPr>
        <w:footnoteReference w:id="27"/>
      </w:r>
      <w:r w:rsidR="000B562B" w:rsidRPr="00A176EA">
        <w:rPr>
          <w:snapToGrid w:val="0"/>
          <w:lang w:val="fr-FR"/>
        </w:rPr>
        <w:t xml:space="preserve"> </w:t>
      </w:r>
      <w:r w:rsidR="00B54D21">
        <w:rPr>
          <w:snapToGrid w:val="0"/>
          <w:lang w:val="fr-FR"/>
        </w:rPr>
        <w:t>donne des instructions sur le traitement et l’audition de toutes les personnes soupçonnées d’une infraction relevant de la loi de 2006 sur les forces armées (qui a remplacé</w:t>
      </w:r>
      <w:r w:rsidR="00025959">
        <w:rPr>
          <w:snapToGrid w:val="0"/>
          <w:lang w:val="fr-FR"/>
        </w:rPr>
        <w:t>, le 31 octobre 2009,</w:t>
      </w:r>
      <w:r w:rsidR="00B54D21">
        <w:rPr>
          <w:snapToGrid w:val="0"/>
          <w:lang w:val="fr-FR"/>
        </w:rPr>
        <w:t xml:space="preserve"> </w:t>
      </w:r>
      <w:r w:rsidR="00025959">
        <w:rPr>
          <w:snapToGrid w:val="0"/>
          <w:lang w:val="fr-FR"/>
        </w:rPr>
        <w:t>les différents textes sur la discipline militaire) et veille à ce que ces personnes soient traitées de façon équitable et correcte, conformément à la loi</w:t>
      </w:r>
      <w:r w:rsidR="000B562B" w:rsidRPr="00A176EA">
        <w:rPr>
          <w:snapToGrid w:val="0"/>
          <w:lang w:val="fr-FR"/>
        </w:rPr>
        <w:t>.</w:t>
      </w:r>
    </w:p>
    <w:p w:rsidR="000B562B" w:rsidRPr="00A176EA" w:rsidRDefault="002549A9" w:rsidP="00025959">
      <w:pPr>
        <w:pStyle w:val="SingleTxtG"/>
        <w:rPr>
          <w:snapToGrid w:val="0"/>
          <w:lang w:val="fr-FR"/>
        </w:rPr>
      </w:pPr>
      <w:r w:rsidRPr="00A176EA">
        <w:rPr>
          <w:snapToGrid w:val="0"/>
          <w:lang w:val="fr-FR"/>
        </w:rPr>
        <w:t>184.</w:t>
      </w:r>
      <w:r w:rsidRPr="00A176EA">
        <w:rPr>
          <w:snapToGrid w:val="0"/>
          <w:lang w:val="fr-FR"/>
        </w:rPr>
        <w:tab/>
      </w:r>
      <w:r w:rsidR="00025959">
        <w:rPr>
          <w:snapToGrid w:val="0"/>
          <w:lang w:val="fr-FR"/>
        </w:rPr>
        <w:t>Les autres codes traitent des rapports entre la police militaire et l’ensemble des militaires dans l’exercice de leurs fonctions. Ils établissent par ailleurs clairement les droits de l’individu et les pouvoirs de la police militaire</w:t>
      </w:r>
      <w:r w:rsidR="000B562B" w:rsidRPr="00A176EA">
        <w:rPr>
          <w:snapToGrid w:val="0"/>
          <w:lang w:val="fr-FR"/>
        </w:rPr>
        <w:t>.</w:t>
      </w:r>
    </w:p>
    <w:p w:rsidR="000B562B" w:rsidRPr="00A176EA" w:rsidRDefault="002549A9" w:rsidP="00254F7F">
      <w:pPr>
        <w:pStyle w:val="SingleTxtG"/>
        <w:rPr>
          <w:snapToGrid w:val="0"/>
          <w:lang w:val="fr-FR"/>
        </w:rPr>
      </w:pPr>
      <w:r w:rsidRPr="00A176EA">
        <w:rPr>
          <w:snapToGrid w:val="0"/>
          <w:lang w:val="fr-FR"/>
        </w:rPr>
        <w:t>185.</w:t>
      </w:r>
      <w:r w:rsidRPr="00A176EA">
        <w:rPr>
          <w:snapToGrid w:val="0"/>
          <w:lang w:val="fr-FR"/>
        </w:rPr>
        <w:tab/>
      </w:r>
      <w:r w:rsidR="00025959" w:rsidRPr="00025959">
        <w:rPr>
          <w:snapToGrid w:val="0"/>
          <w:lang w:val="fr-FR"/>
        </w:rPr>
        <w:t>En outre</w:t>
      </w:r>
      <w:r w:rsidR="000B562B" w:rsidRPr="00025959">
        <w:rPr>
          <w:snapToGrid w:val="0"/>
          <w:lang w:val="fr-FR"/>
        </w:rPr>
        <w:t xml:space="preserve">, </w:t>
      </w:r>
      <w:r w:rsidR="00016977" w:rsidRPr="00025959">
        <w:rPr>
          <w:lang w:val="fr-FR"/>
        </w:rPr>
        <w:t xml:space="preserve">des codes de bonnes pratiques </w:t>
      </w:r>
      <w:r w:rsidR="00BA6B7A">
        <w:rPr>
          <w:snapToGrid w:val="0"/>
          <w:lang w:val="fr-FR"/>
        </w:rPr>
        <w:t>s’appliquent à</w:t>
      </w:r>
      <w:r w:rsidR="00025959">
        <w:rPr>
          <w:snapToGrid w:val="0"/>
          <w:lang w:val="fr-FR"/>
        </w:rPr>
        <w:t xml:space="preserve"> la gestion du personnel chargé des </w:t>
      </w:r>
      <w:r w:rsidR="00E66B82">
        <w:rPr>
          <w:snapToGrid w:val="0"/>
          <w:lang w:val="fr-FR"/>
        </w:rPr>
        <w:t>mises</w:t>
      </w:r>
      <w:r w:rsidR="00025959">
        <w:rPr>
          <w:snapToGrid w:val="0"/>
          <w:lang w:val="fr-FR"/>
        </w:rPr>
        <w:t xml:space="preserve"> aux arrêts</w:t>
      </w:r>
      <w:r w:rsidR="00BA6B7A">
        <w:rPr>
          <w:snapToGrid w:val="0"/>
          <w:lang w:val="fr-FR"/>
        </w:rPr>
        <w:t xml:space="preserve">. Ils précisent le traitement et les droits des personnes arrêtées, </w:t>
      </w:r>
      <w:r w:rsidR="00254F7F">
        <w:rPr>
          <w:snapToGrid w:val="0"/>
          <w:lang w:val="fr-FR"/>
        </w:rPr>
        <w:t xml:space="preserve">notamment </w:t>
      </w:r>
      <w:r w:rsidR="002F45E3">
        <w:rPr>
          <w:snapToGrid w:val="0"/>
          <w:lang w:val="fr-FR"/>
        </w:rPr>
        <w:t>celui d’être traité</w:t>
      </w:r>
      <w:r w:rsidR="00254F7F">
        <w:rPr>
          <w:snapToGrid w:val="0"/>
          <w:lang w:val="fr-FR"/>
        </w:rPr>
        <w:t xml:space="preserve"> avec humanité, </w:t>
      </w:r>
      <w:r w:rsidR="00061682">
        <w:rPr>
          <w:snapToGrid w:val="0"/>
          <w:lang w:val="fr-FR"/>
        </w:rPr>
        <w:t>l</w:t>
      </w:r>
      <w:r w:rsidR="00254F7F">
        <w:rPr>
          <w:snapToGrid w:val="0"/>
          <w:lang w:val="fr-FR"/>
        </w:rPr>
        <w:t xml:space="preserve">es </w:t>
      </w:r>
      <w:r w:rsidR="00061682">
        <w:rPr>
          <w:snapToGrid w:val="0"/>
          <w:lang w:val="fr-FR"/>
        </w:rPr>
        <w:t>inspections</w:t>
      </w:r>
      <w:r w:rsidR="00254F7F">
        <w:rPr>
          <w:snapToGrid w:val="0"/>
          <w:lang w:val="fr-FR"/>
        </w:rPr>
        <w:t xml:space="preserve"> du </w:t>
      </w:r>
      <w:r w:rsidR="00254F7F" w:rsidRPr="00061682">
        <w:rPr>
          <w:snapToGrid w:val="0"/>
          <w:lang w:val="fr-FR"/>
        </w:rPr>
        <w:t xml:space="preserve">personnel </w:t>
      </w:r>
      <w:r w:rsidR="00061682" w:rsidRPr="00061682">
        <w:rPr>
          <w:snapToGrid w:val="0"/>
          <w:lang w:val="fr-FR"/>
        </w:rPr>
        <w:t>militaire</w:t>
      </w:r>
      <w:r w:rsidR="002F45E3">
        <w:rPr>
          <w:snapToGrid w:val="0"/>
          <w:lang w:val="fr-FR"/>
        </w:rPr>
        <w:t xml:space="preserve"> </w:t>
      </w:r>
      <w:r w:rsidR="00254F7F">
        <w:rPr>
          <w:snapToGrid w:val="0"/>
          <w:lang w:val="fr-FR"/>
        </w:rPr>
        <w:t>et les procédures de plaintes</w:t>
      </w:r>
      <w:r w:rsidR="000B562B" w:rsidRPr="00A176EA">
        <w:rPr>
          <w:snapToGrid w:val="0"/>
          <w:lang w:val="fr-FR"/>
        </w:rPr>
        <w:t>.</w:t>
      </w:r>
    </w:p>
    <w:p w:rsidR="000B562B" w:rsidRPr="00A176EA" w:rsidRDefault="002549A9" w:rsidP="00E66B82">
      <w:pPr>
        <w:pStyle w:val="SingleTxtG"/>
        <w:rPr>
          <w:snapToGrid w:val="0"/>
          <w:lang w:val="fr-FR"/>
        </w:rPr>
      </w:pPr>
      <w:r w:rsidRPr="00A176EA">
        <w:rPr>
          <w:snapToGrid w:val="0"/>
          <w:lang w:val="fr-FR"/>
        </w:rPr>
        <w:t>186.</w:t>
      </w:r>
      <w:r w:rsidRPr="00A176EA">
        <w:rPr>
          <w:snapToGrid w:val="0"/>
          <w:lang w:val="fr-FR"/>
        </w:rPr>
        <w:tab/>
      </w:r>
      <w:r w:rsidR="00254F7F">
        <w:rPr>
          <w:snapToGrid w:val="0"/>
          <w:lang w:val="fr-FR"/>
        </w:rPr>
        <w:t xml:space="preserve">Les locaux </w:t>
      </w:r>
      <w:r w:rsidR="00E66B82">
        <w:rPr>
          <w:snapToGrid w:val="0"/>
          <w:lang w:val="fr-FR"/>
        </w:rPr>
        <w:t>d’</w:t>
      </w:r>
      <w:r w:rsidR="00254F7F">
        <w:rPr>
          <w:snapToGrid w:val="0"/>
          <w:lang w:val="fr-FR"/>
        </w:rPr>
        <w:t>arrêts doivent être agréés</w:t>
      </w:r>
      <w:r w:rsidR="00FC2B97">
        <w:rPr>
          <w:snapToGrid w:val="0"/>
          <w:lang w:val="fr-FR"/>
        </w:rPr>
        <w:t>:</w:t>
      </w:r>
      <w:r w:rsidR="00E66B82">
        <w:rPr>
          <w:snapToGrid w:val="0"/>
          <w:lang w:val="fr-FR"/>
        </w:rPr>
        <w:t xml:space="preserve"> ils ne reçoivent un tel agrément que s’ils répondent à des critères stricts de sécurité physique et de pratiques et de procédures sûres telles que stipulées dans la doctrine militaire</w:t>
      </w:r>
      <w:r w:rsidR="000B562B" w:rsidRPr="00A176EA">
        <w:rPr>
          <w:snapToGrid w:val="0"/>
          <w:lang w:val="fr-FR"/>
        </w:rPr>
        <w:t>.</w:t>
      </w:r>
    </w:p>
    <w:p w:rsidR="000B562B" w:rsidRPr="00A176EA" w:rsidRDefault="00E66B82" w:rsidP="009347EB">
      <w:pPr>
        <w:pStyle w:val="H23G"/>
        <w:rPr>
          <w:snapToGrid w:val="0"/>
          <w:lang w:val="fr-FR"/>
        </w:rPr>
      </w:pPr>
      <w:r>
        <w:rPr>
          <w:snapToGrid w:val="0"/>
          <w:lang w:val="fr-FR"/>
        </w:rPr>
        <w:t>Règlement en temps de paix</w:t>
      </w:r>
    </w:p>
    <w:p w:rsidR="000B562B" w:rsidRPr="00A176EA" w:rsidRDefault="002549A9" w:rsidP="009347EB">
      <w:pPr>
        <w:pStyle w:val="SingleTxtG"/>
        <w:rPr>
          <w:snapToGrid w:val="0"/>
          <w:lang w:val="fr-FR"/>
        </w:rPr>
      </w:pPr>
      <w:r w:rsidRPr="00A176EA">
        <w:rPr>
          <w:snapToGrid w:val="0"/>
          <w:lang w:val="fr-FR"/>
        </w:rPr>
        <w:t>187.</w:t>
      </w:r>
      <w:r w:rsidRPr="00A176EA">
        <w:rPr>
          <w:snapToGrid w:val="0"/>
          <w:lang w:val="fr-FR"/>
        </w:rPr>
        <w:tab/>
      </w:r>
      <w:r w:rsidR="00E66B82">
        <w:rPr>
          <w:snapToGrid w:val="0"/>
          <w:lang w:val="fr-FR"/>
        </w:rPr>
        <w:t xml:space="preserve">En temps de paix, les forces armées </w:t>
      </w:r>
      <w:r w:rsidR="00F65ABC">
        <w:rPr>
          <w:snapToGrid w:val="0"/>
          <w:lang w:val="fr-FR"/>
        </w:rPr>
        <w:t>relèvent des</w:t>
      </w:r>
      <w:r w:rsidR="00E41448">
        <w:rPr>
          <w:snapToGrid w:val="0"/>
          <w:lang w:val="fr-FR"/>
        </w:rPr>
        <w:t xml:space="preserve"> textes suivants</w:t>
      </w:r>
      <w:r w:rsidR="00FC2B97">
        <w:rPr>
          <w:snapToGrid w:val="0"/>
          <w:lang w:val="fr-FR"/>
        </w:rPr>
        <w:t>:</w:t>
      </w:r>
    </w:p>
    <w:p w:rsidR="000B562B" w:rsidRPr="00A176EA" w:rsidRDefault="00E41448" w:rsidP="00BC0033">
      <w:pPr>
        <w:pStyle w:val="Bullet1G"/>
      </w:pPr>
      <w:r>
        <w:t>Règles relatives à la détention militaire et à l’exécution des peines</w:t>
      </w:r>
      <w:r w:rsidR="00D9649E">
        <w:t>, 2009</w:t>
      </w:r>
      <w:r w:rsidR="003B6CEA">
        <w:t>.</w:t>
      </w:r>
    </w:p>
    <w:p w:rsidR="00D9649E" w:rsidRPr="00D9649E" w:rsidRDefault="00D9649E" w:rsidP="00BC0033">
      <w:pPr>
        <w:pStyle w:val="Bullet1G"/>
        <w:rPr>
          <w:snapToGrid w:val="0"/>
        </w:rPr>
      </w:pPr>
      <w:r>
        <w:t xml:space="preserve">Code de bonnes pratiques militaires pour la gestion des personnels </w:t>
      </w:r>
      <w:r w:rsidR="00AA3141">
        <w:t>en</w:t>
      </w:r>
      <w:r>
        <w:t xml:space="preserve"> détention militaire et l’affectation aux locaux de détention militaires et aux établissements pénitentiaires civils, 2009</w:t>
      </w:r>
      <w:r w:rsidR="003B6CEA">
        <w:t>.</w:t>
      </w:r>
    </w:p>
    <w:p w:rsidR="000B562B" w:rsidRPr="00A176EA" w:rsidRDefault="00AA3141" w:rsidP="00BC0033">
      <w:pPr>
        <w:pStyle w:val="Bullet1G"/>
        <w:rPr>
          <w:snapToGrid w:val="0"/>
        </w:rPr>
      </w:pPr>
      <w:r>
        <w:rPr>
          <w:snapToGrid w:val="0"/>
        </w:rPr>
        <w:t>Code militaire</w:t>
      </w:r>
      <w:r w:rsidR="000B562B" w:rsidRPr="00A176EA">
        <w:rPr>
          <w:snapToGrid w:val="0"/>
        </w:rPr>
        <w:t xml:space="preserve"> 64180 – </w:t>
      </w:r>
      <w:r w:rsidR="003B6CEA">
        <w:rPr>
          <w:snapToGrid w:val="0"/>
        </w:rPr>
        <w:t xml:space="preserve">Dossier intitulé </w:t>
      </w:r>
      <w:r>
        <w:rPr>
          <w:snapToGrid w:val="0"/>
        </w:rPr>
        <w:t>Détention militaire et</w:t>
      </w:r>
      <w:r w:rsidR="000B562B" w:rsidRPr="00A176EA">
        <w:rPr>
          <w:snapToGrid w:val="0"/>
        </w:rPr>
        <w:t xml:space="preserve"> </w:t>
      </w:r>
      <w:r w:rsidR="003B6CEA">
        <w:rPr>
          <w:snapToGrid w:val="0"/>
        </w:rPr>
        <w:t>procédure accélérée</w:t>
      </w:r>
      <w:r w:rsidR="000B562B" w:rsidRPr="00A176EA">
        <w:rPr>
          <w:snapToGrid w:val="0"/>
        </w:rPr>
        <w:t>.</w:t>
      </w:r>
    </w:p>
    <w:p w:rsidR="000B562B" w:rsidRPr="00A176EA" w:rsidRDefault="003B6CEA" w:rsidP="00BC0033">
      <w:pPr>
        <w:pStyle w:val="Bullet1G"/>
        <w:rPr>
          <w:snapToGrid w:val="0"/>
        </w:rPr>
      </w:pPr>
      <w:r>
        <w:rPr>
          <w:snapToGrid w:val="0"/>
        </w:rPr>
        <w:t>Loi de 2007 sur</w:t>
      </w:r>
      <w:r w:rsidR="001A1441">
        <w:rPr>
          <w:snapToGrid w:val="0"/>
        </w:rPr>
        <w:t xml:space="preserve"> les meurtres et homicides </w:t>
      </w:r>
      <w:r w:rsidR="00F826AE">
        <w:rPr>
          <w:snapToGrid w:val="0"/>
        </w:rPr>
        <w:t xml:space="preserve">involontaires </w:t>
      </w:r>
      <w:r w:rsidR="001A1441">
        <w:rPr>
          <w:snapToGrid w:val="0"/>
        </w:rPr>
        <w:t>par des personnes morales</w:t>
      </w:r>
      <w:r w:rsidR="00FC2B97">
        <w:rPr>
          <w:snapToGrid w:val="0"/>
        </w:rPr>
        <w:t>:</w:t>
      </w:r>
      <w:r>
        <w:rPr>
          <w:snapToGrid w:val="0"/>
        </w:rPr>
        <w:t xml:space="preserve"> elle s’appliquera à la détention militaire à compter d’avril</w:t>
      </w:r>
      <w:r w:rsidR="000B562B" w:rsidRPr="00A176EA">
        <w:rPr>
          <w:snapToGrid w:val="0"/>
        </w:rPr>
        <w:t xml:space="preserve"> 2011.</w:t>
      </w:r>
    </w:p>
    <w:p w:rsidR="000B562B" w:rsidRPr="00A176EA" w:rsidRDefault="001A1441" w:rsidP="00BC0033">
      <w:pPr>
        <w:pStyle w:val="Bullet1G"/>
        <w:rPr>
          <w:snapToGrid w:val="0"/>
        </w:rPr>
      </w:pPr>
      <w:r>
        <w:rPr>
          <w:snapToGrid w:val="0"/>
        </w:rPr>
        <w:t xml:space="preserve">Dispositions administratives générales </w:t>
      </w:r>
      <w:r w:rsidR="0059715B">
        <w:rPr>
          <w:snapToGrid w:val="0"/>
        </w:rPr>
        <w:t xml:space="preserve">de  l’armée </w:t>
      </w:r>
      <w:r w:rsidR="000B562B" w:rsidRPr="00A176EA">
        <w:rPr>
          <w:snapToGrid w:val="0"/>
        </w:rPr>
        <w:t>(AGAI) – Volume 3 – Chap</w:t>
      </w:r>
      <w:r w:rsidR="0059715B">
        <w:rPr>
          <w:snapToGrid w:val="0"/>
        </w:rPr>
        <w:t>itre</w:t>
      </w:r>
      <w:r w:rsidR="000B562B" w:rsidRPr="00A176EA">
        <w:rPr>
          <w:snapToGrid w:val="0"/>
        </w:rPr>
        <w:t xml:space="preserve"> 110 – </w:t>
      </w:r>
      <w:r w:rsidR="0059715B">
        <w:rPr>
          <w:snapToGrid w:val="0"/>
        </w:rPr>
        <w:t xml:space="preserve">Politique de gestion des risques de propension au suicide dans l’armée </w:t>
      </w:r>
      <w:r w:rsidR="000B562B" w:rsidRPr="00A176EA">
        <w:rPr>
          <w:snapToGrid w:val="0"/>
        </w:rPr>
        <w:t>(SVRM).</w:t>
      </w:r>
    </w:p>
    <w:p w:rsidR="000B562B" w:rsidRPr="00A176EA" w:rsidRDefault="000B562B" w:rsidP="00BC0033">
      <w:pPr>
        <w:pStyle w:val="Bullet1G"/>
        <w:rPr>
          <w:snapToGrid w:val="0"/>
        </w:rPr>
      </w:pPr>
      <w:r w:rsidRPr="00A176EA">
        <w:rPr>
          <w:snapToGrid w:val="0"/>
        </w:rPr>
        <w:t xml:space="preserve">AGAI 109 – </w:t>
      </w:r>
      <w:r w:rsidR="0059715B">
        <w:rPr>
          <w:snapToGrid w:val="0"/>
        </w:rPr>
        <w:t xml:space="preserve">Politique </w:t>
      </w:r>
      <w:r w:rsidRPr="00A176EA">
        <w:rPr>
          <w:snapToGrid w:val="0"/>
        </w:rPr>
        <w:t>U18.</w:t>
      </w:r>
    </w:p>
    <w:p w:rsidR="000B562B" w:rsidRPr="00A176EA" w:rsidRDefault="0059715B" w:rsidP="00BC0033">
      <w:pPr>
        <w:pStyle w:val="Bullet1G"/>
        <w:rPr>
          <w:snapToGrid w:val="0"/>
        </w:rPr>
      </w:pPr>
      <w:r>
        <w:rPr>
          <w:snapToGrid w:val="0"/>
        </w:rPr>
        <w:t xml:space="preserve">Le </w:t>
      </w:r>
      <w:r w:rsidRPr="00A176EA">
        <w:rPr>
          <w:snapToGrid w:val="0"/>
        </w:rPr>
        <w:t xml:space="preserve">Centre </w:t>
      </w:r>
      <w:r>
        <w:rPr>
          <w:snapToGrid w:val="0"/>
        </w:rPr>
        <w:t xml:space="preserve">de redressement militaire </w:t>
      </w:r>
      <w:r w:rsidR="00C7288C">
        <w:rPr>
          <w:snapToGrid w:val="0"/>
        </w:rPr>
        <w:t>est doté d’un règlement par unité et de plans d’urgence</w:t>
      </w:r>
      <w:r w:rsidR="003A0CEF" w:rsidRPr="003A0CEF">
        <w:rPr>
          <w:snapToGrid w:val="0"/>
        </w:rPr>
        <w:t xml:space="preserve"> </w:t>
      </w:r>
      <w:r w:rsidR="003A0CEF">
        <w:rPr>
          <w:snapToGrid w:val="0"/>
        </w:rPr>
        <w:t>complets et sur mesure</w:t>
      </w:r>
      <w:r w:rsidR="000B562B" w:rsidRPr="00A176EA">
        <w:rPr>
          <w:snapToGrid w:val="0"/>
        </w:rPr>
        <w:t>.</w:t>
      </w:r>
    </w:p>
    <w:p w:rsidR="000B562B" w:rsidRPr="00A176EA" w:rsidRDefault="00C7288C" w:rsidP="00BC0033">
      <w:pPr>
        <w:pStyle w:val="Bullet1G"/>
        <w:rPr>
          <w:snapToGrid w:val="0"/>
        </w:rPr>
      </w:pPr>
      <w:r>
        <w:rPr>
          <w:snapToGrid w:val="0"/>
        </w:rPr>
        <w:t>Chaque lieu de détention agréé est tenu d’élaborer un règlement sur mesure</w:t>
      </w:r>
      <w:r w:rsidR="000B562B" w:rsidRPr="00A176EA">
        <w:rPr>
          <w:snapToGrid w:val="0"/>
        </w:rPr>
        <w:t>.</w:t>
      </w:r>
    </w:p>
    <w:p w:rsidR="000B562B" w:rsidRPr="00A176EA" w:rsidRDefault="000B562B" w:rsidP="009347EB">
      <w:pPr>
        <w:pStyle w:val="H23G"/>
        <w:rPr>
          <w:lang w:val="fr-FR"/>
        </w:rPr>
      </w:pPr>
      <w:bookmarkStart w:id="14" w:name="_Toc299724687"/>
      <w:r w:rsidRPr="00A176EA">
        <w:rPr>
          <w:lang w:val="fr-FR"/>
        </w:rPr>
        <w:t>Arrest</w:t>
      </w:r>
      <w:r w:rsidR="003A0CEF">
        <w:rPr>
          <w:lang w:val="fr-FR"/>
        </w:rPr>
        <w:t>ation</w:t>
      </w:r>
      <w:r w:rsidRPr="00A176EA">
        <w:rPr>
          <w:lang w:val="fr-FR"/>
        </w:rPr>
        <w:t xml:space="preserve"> </w:t>
      </w:r>
      <w:r w:rsidR="003A0CEF">
        <w:rPr>
          <w:lang w:val="fr-FR"/>
        </w:rPr>
        <w:t>et</w:t>
      </w:r>
      <w:r w:rsidRPr="00A176EA">
        <w:rPr>
          <w:lang w:val="fr-FR"/>
        </w:rPr>
        <w:t xml:space="preserve"> d</w:t>
      </w:r>
      <w:r w:rsidR="003A0CEF">
        <w:rPr>
          <w:lang w:val="fr-FR"/>
        </w:rPr>
        <w:t>é</w:t>
      </w:r>
      <w:r w:rsidRPr="00A176EA">
        <w:rPr>
          <w:lang w:val="fr-FR"/>
        </w:rPr>
        <w:t xml:space="preserve">tention </w:t>
      </w:r>
      <w:r w:rsidR="003A0CEF">
        <w:rPr>
          <w:lang w:val="fr-FR"/>
        </w:rPr>
        <w:t>de</w:t>
      </w:r>
      <w:r w:rsidRPr="00A176EA">
        <w:rPr>
          <w:lang w:val="fr-FR"/>
        </w:rPr>
        <w:t xml:space="preserve"> terrorist</w:t>
      </w:r>
      <w:r w:rsidR="003A0CEF">
        <w:rPr>
          <w:lang w:val="fr-FR"/>
        </w:rPr>
        <w:t>es</w:t>
      </w:r>
      <w:r w:rsidRPr="00A176EA">
        <w:rPr>
          <w:lang w:val="fr-FR"/>
        </w:rPr>
        <w:t xml:space="preserve"> </w:t>
      </w:r>
      <w:r w:rsidR="003A0CEF">
        <w:rPr>
          <w:lang w:val="fr-FR"/>
        </w:rPr>
        <w:t>présumés</w:t>
      </w:r>
      <w:r w:rsidRPr="00A176EA">
        <w:rPr>
          <w:lang w:val="fr-FR"/>
        </w:rPr>
        <w:t xml:space="preserve"> </w:t>
      </w:r>
      <w:r w:rsidR="003A0CEF">
        <w:rPr>
          <w:lang w:val="fr-FR"/>
        </w:rPr>
        <w:t>e</w:t>
      </w:r>
      <w:r w:rsidRPr="00A176EA">
        <w:rPr>
          <w:lang w:val="fr-FR"/>
        </w:rPr>
        <w:t xml:space="preserve">n </w:t>
      </w:r>
      <w:bookmarkEnd w:id="14"/>
      <w:r w:rsidR="008F3DA4" w:rsidRPr="003A0CEF">
        <w:rPr>
          <w:lang w:val="fr-FR"/>
        </w:rPr>
        <w:t>Irlande du Nord</w:t>
      </w:r>
    </w:p>
    <w:p w:rsidR="000B562B" w:rsidRPr="00A176EA" w:rsidRDefault="002549A9" w:rsidP="009347EB">
      <w:pPr>
        <w:pStyle w:val="SingleTxtG"/>
        <w:rPr>
          <w:lang w:val="fr-FR"/>
        </w:rPr>
      </w:pPr>
      <w:r w:rsidRPr="00A176EA">
        <w:rPr>
          <w:lang w:val="fr-FR"/>
        </w:rPr>
        <w:t>188.</w:t>
      </w:r>
      <w:r w:rsidRPr="00A176EA">
        <w:rPr>
          <w:lang w:val="fr-FR"/>
        </w:rPr>
        <w:tab/>
      </w:r>
      <w:r w:rsidR="003A0CEF">
        <w:rPr>
          <w:lang w:val="fr-FR"/>
        </w:rPr>
        <w:t>La partie</w:t>
      </w:r>
      <w:r w:rsidR="000B562B" w:rsidRPr="00A176EA">
        <w:rPr>
          <w:lang w:val="fr-FR"/>
        </w:rPr>
        <w:t xml:space="preserve"> VII </w:t>
      </w:r>
      <w:r w:rsidR="003A0CEF">
        <w:rPr>
          <w:lang w:val="fr-FR"/>
        </w:rPr>
        <w:t>de la loi de 2000 sur le terrorisme confère aux forces de sécurité d’Irlande du Nord des pouvoirs pour lutter contre la menace terroriste qui vont bien au-delà d</w:t>
      </w:r>
      <w:r w:rsidR="00B94E44">
        <w:rPr>
          <w:lang w:val="fr-FR"/>
        </w:rPr>
        <w:t>e ceux prévus par l</w:t>
      </w:r>
      <w:r w:rsidR="003A0CEF">
        <w:rPr>
          <w:lang w:val="fr-FR"/>
        </w:rPr>
        <w:t>es lois contre le terrorisme</w:t>
      </w:r>
      <w:r w:rsidR="00B94E44">
        <w:rPr>
          <w:lang w:val="fr-FR"/>
        </w:rPr>
        <w:t xml:space="preserve"> du Royaume-Uni</w:t>
      </w:r>
      <w:r w:rsidR="003A0CEF">
        <w:rPr>
          <w:lang w:val="fr-FR"/>
        </w:rPr>
        <w:t xml:space="preserve">. Ces dispositions ont été abrogées en juillet 2007 dans le cadre du programme de normalisation de la sécurité mis en place à la suite de l’annonce </w:t>
      </w:r>
      <w:r w:rsidR="006D1216">
        <w:rPr>
          <w:lang w:val="fr-FR"/>
        </w:rPr>
        <w:t>que</w:t>
      </w:r>
      <w:r w:rsidR="003A0CEF">
        <w:rPr>
          <w:lang w:val="fr-FR"/>
        </w:rPr>
        <w:t xml:space="preserve"> l’IRA provisoire </w:t>
      </w:r>
      <w:r w:rsidR="006D1216">
        <w:rPr>
          <w:lang w:val="fr-FR"/>
        </w:rPr>
        <w:t>mettait</w:t>
      </w:r>
      <w:r w:rsidR="003A0CEF">
        <w:rPr>
          <w:lang w:val="fr-FR"/>
        </w:rPr>
        <w:t xml:space="preserve"> fin </w:t>
      </w:r>
      <w:r w:rsidR="006D1216">
        <w:rPr>
          <w:lang w:val="fr-FR"/>
        </w:rPr>
        <w:t>à</w:t>
      </w:r>
      <w:r w:rsidR="003A0CEF">
        <w:rPr>
          <w:lang w:val="fr-FR"/>
        </w:rPr>
        <w:t xml:space="preserve"> sa campagne armée. Depuis juillet 2007, </w:t>
      </w:r>
      <w:r w:rsidR="00B94E44">
        <w:rPr>
          <w:lang w:val="fr-FR"/>
        </w:rPr>
        <w:t xml:space="preserve">en Irlande du Nord, </w:t>
      </w:r>
      <w:r w:rsidR="003A0CEF">
        <w:rPr>
          <w:lang w:val="fr-FR"/>
        </w:rPr>
        <w:t>tous les terroristes présumés sont arrêtés et placés en détention en vertu des dispositions permanentes, à l’échelon national, de la loi de 2000 sur le terrorisme</w:t>
      </w:r>
      <w:r w:rsidR="000B562B" w:rsidRPr="00A176EA">
        <w:rPr>
          <w:lang w:val="fr-FR"/>
        </w:rPr>
        <w:t>.</w:t>
      </w:r>
    </w:p>
    <w:p w:rsidR="000B562B" w:rsidRPr="00A176EA" w:rsidRDefault="006D1216" w:rsidP="009347EB">
      <w:pPr>
        <w:pStyle w:val="H23G"/>
        <w:rPr>
          <w:lang w:val="fr-FR"/>
        </w:rPr>
      </w:pPr>
      <w:r>
        <w:rPr>
          <w:lang w:val="fr-FR"/>
        </w:rPr>
        <w:t>Instruments de torture</w:t>
      </w:r>
    </w:p>
    <w:p w:rsidR="000B562B" w:rsidRPr="00A176EA" w:rsidRDefault="002549A9" w:rsidP="006D1216">
      <w:pPr>
        <w:pStyle w:val="SingleTxtG"/>
        <w:rPr>
          <w:lang w:val="fr-FR"/>
        </w:rPr>
      </w:pPr>
      <w:r w:rsidRPr="00A176EA">
        <w:rPr>
          <w:lang w:val="fr-FR"/>
        </w:rPr>
        <w:t>189.</w:t>
      </w:r>
      <w:r w:rsidRPr="00A176EA">
        <w:rPr>
          <w:lang w:val="fr-FR"/>
        </w:rPr>
        <w:tab/>
      </w:r>
      <w:r w:rsidR="006D1216">
        <w:rPr>
          <w:lang w:val="fr-FR"/>
        </w:rPr>
        <w:t>Le Gouvernement de Sa Majesté demeure résolu à empêcher les entreprises britanniques de fabriquer, de vendre ou de fournir du matériel essentiellement destiné à la torture ou autres peines ou traitements cruels, inhumains ou dégradants</w:t>
      </w:r>
      <w:r w:rsidR="000B562B" w:rsidRPr="00A176EA">
        <w:rPr>
          <w:lang w:val="fr-FR"/>
        </w:rPr>
        <w:t>.</w:t>
      </w:r>
    </w:p>
    <w:p w:rsidR="000B562B" w:rsidRPr="00A176EA" w:rsidRDefault="006D1216" w:rsidP="00C655A5">
      <w:pPr>
        <w:pStyle w:val="H23G"/>
        <w:rPr>
          <w:lang w:val="fr-FR"/>
        </w:rPr>
      </w:pPr>
      <w:bookmarkStart w:id="15" w:name="_Toc299724689"/>
      <w:r>
        <w:rPr>
          <w:lang w:val="fr-FR"/>
        </w:rPr>
        <w:t>Ord</w:t>
      </w:r>
      <w:r w:rsidR="000B562B" w:rsidRPr="00A176EA">
        <w:rPr>
          <w:lang w:val="fr-FR"/>
        </w:rPr>
        <w:t>r</w:t>
      </w:r>
      <w:r>
        <w:rPr>
          <w:lang w:val="fr-FR"/>
        </w:rPr>
        <w:t>e</w:t>
      </w:r>
      <w:r w:rsidR="000B562B" w:rsidRPr="00A176EA">
        <w:rPr>
          <w:lang w:val="fr-FR"/>
        </w:rPr>
        <w:t xml:space="preserve">s </w:t>
      </w:r>
      <w:r>
        <w:rPr>
          <w:lang w:val="fr-FR"/>
        </w:rPr>
        <w:t>d’officiers supérieurs invoqués pour justifier la</w:t>
      </w:r>
      <w:r w:rsidR="000B562B" w:rsidRPr="00A176EA">
        <w:rPr>
          <w:lang w:val="fr-FR"/>
        </w:rPr>
        <w:t xml:space="preserve"> torture</w:t>
      </w:r>
      <w:bookmarkEnd w:id="15"/>
    </w:p>
    <w:p w:rsidR="000B562B" w:rsidRPr="00A176EA" w:rsidRDefault="006D1216" w:rsidP="009347EB">
      <w:pPr>
        <w:pStyle w:val="H23G"/>
        <w:rPr>
          <w:lang w:val="fr-FR"/>
        </w:rPr>
      </w:pPr>
      <w:bookmarkStart w:id="16" w:name="_Toc299724690"/>
      <w:r>
        <w:rPr>
          <w:lang w:val="fr-FR"/>
        </w:rPr>
        <w:t>L</w:t>
      </w:r>
      <w:r w:rsidR="000B562B" w:rsidRPr="00A176EA">
        <w:rPr>
          <w:lang w:val="fr-FR"/>
        </w:rPr>
        <w:t xml:space="preserve">e concept </w:t>
      </w:r>
      <w:r>
        <w:rPr>
          <w:lang w:val="fr-FR"/>
        </w:rPr>
        <w:t>de</w:t>
      </w:r>
      <w:r w:rsidR="000B562B" w:rsidRPr="00A176EA">
        <w:rPr>
          <w:lang w:val="fr-FR"/>
        </w:rPr>
        <w:t xml:space="preserve"> </w:t>
      </w:r>
      <w:r>
        <w:rPr>
          <w:lang w:val="fr-FR"/>
        </w:rPr>
        <w:t>devoir d’obéissance</w:t>
      </w:r>
      <w:r w:rsidR="000B562B" w:rsidRPr="00A176EA">
        <w:rPr>
          <w:lang w:val="fr-FR"/>
        </w:rPr>
        <w:t xml:space="preserve"> </w:t>
      </w:r>
      <w:bookmarkEnd w:id="16"/>
      <w:r>
        <w:rPr>
          <w:lang w:val="fr-FR"/>
        </w:rPr>
        <w:t>en tant que moyen de défense</w:t>
      </w:r>
    </w:p>
    <w:p w:rsidR="000B562B" w:rsidRPr="00A176EA" w:rsidRDefault="002549A9" w:rsidP="009347EB">
      <w:pPr>
        <w:pStyle w:val="SingleTxtG"/>
        <w:rPr>
          <w:lang w:val="fr-FR"/>
        </w:rPr>
      </w:pPr>
      <w:r w:rsidRPr="00A176EA">
        <w:rPr>
          <w:lang w:val="fr-FR"/>
        </w:rPr>
        <w:t>190.</w:t>
      </w:r>
      <w:r w:rsidRPr="00A176EA">
        <w:rPr>
          <w:lang w:val="fr-FR"/>
        </w:rPr>
        <w:tab/>
      </w:r>
      <w:r w:rsidR="00DE74FE">
        <w:rPr>
          <w:lang w:val="fr-FR"/>
        </w:rPr>
        <w:t>Le droit anglais ne reconnaît pas le devoir d’obéissance en tant que moyen de défense en matière pénale</w:t>
      </w:r>
      <w:r w:rsidR="000B562B" w:rsidRPr="00A176EA">
        <w:rPr>
          <w:lang w:val="fr-FR"/>
        </w:rPr>
        <w:t>.</w:t>
      </w:r>
    </w:p>
    <w:p w:rsidR="000B562B" w:rsidRPr="00A176EA" w:rsidRDefault="002549A9" w:rsidP="00DE74FE">
      <w:pPr>
        <w:pStyle w:val="SingleTxtG"/>
        <w:rPr>
          <w:lang w:val="fr-FR"/>
        </w:rPr>
      </w:pPr>
      <w:r w:rsidRPr="00A176EA">
        <w:rPr>
          <w:lang w:val="fr-FR"/>
        </w:rPr>
        <w:t>191.</w:t>
      </w:r>
      <w:r w:rsidRPr="00A176EA">
        <w:rPr>
          <w:lang w:val="fr-FR"/>
        </w:rPr>
        <w:tab/>
      </w:r>
      <w:r w:rsidR="00F016E0">
        <w:rPr>
          <w:lang w:val="fr-FR"/>
        </w:rPr>
        <w:t>Le droit anglais définit l</w:t>
      </w:r>
      <w:r w:rsidR="00DE74FE">
        <w:rPr>
          <w:lang w:val="fr-FR"/>
        </w:rPr>
        <w:t xml:space="preserve">’infraction de torture dans la loi de 1988 sur la justice pénale. Les militaires britanniques sont soumis à un système disciplinaire dans lequel les </w:t>
      </w:r>
      <w:r w:rsidR="00DE74FE" w:rsidRPr="00B94E44">
        <w:rPr>
          <w:lang w:val="fr-FR"/>
        </w:rPr>
        <w:t xml:space="preserve">infractions sont définies par </w:t>
      </w:r>
      <w:r w:rsidR="00B94E44" w:rsidRPr="00B94E44">
        <w:rPr>
          <w:lang w:val="fr-FR"/>
        </w:rPr>
        <w:t>le</w:t>
      </w:r>
      <w:r w:rsidR="00DE74FE">
        <w:rPr>
          <w:lang w:val="fr-FR"/>
        </w:rPr>
        <w:t xml:space="preserve"> droit pénal et </w:t>
      </w:r>
      <w:r w:rsidR="00B94E44">
        <w:rPr>
          <w:lang w:val="fr-FR"/>
        </w:rPr>
        <w:t>les juridictions</w:t>
      </w:r>
      <w:r w:rsidR="00DE74FE">
        <w:rPr>
          <w:lang w:val="fr-FR"/>
        </w:rPr>
        <w:t xml:space="preserve"> britanniques, où que se trouvent ces militaires dans le monde. Infraction au regard du droit militaire, la torture est passible de la même peine maximale que celle appliquée par le droit pénal britannique, à savoir </w:t>
      </w:r>
      <w:r w:rsidR="00FE0B13">
        <w:rPr>
          <w:lang w:val="fr-FR"/>
        </w:rPr>
        <w:t>la réclusion</w:t>
      </w:r>
      <w:r w:rsidR="00DE74FE">
        <w:rPr>
          <w:lang w:val="fr-FR"/>
        </w:rPr>
        <w:t xml:space="preserve"> à perpétuité</w:t>
      </w:r>
      <w:r w:rsidR="000B562B" w:rsidRPr="00A176EA">
        <w:rPr>
          <w:lang w:val="fr-FR"/>
        </w:rPr>
        <w:t>.</w:t>
      </w:r>
    </w:p>
    <w:p w:rsidR="000B562B" w:rsidRPr="00A176EA" w:rsidRDefault="002549A9" w:rsidP="00916B4F">
      <w:pPr>
        <w:pStyle w:val="SingleTxtG"/>
        <w:rPr>
          <w:lang w:val="fr-FR"/>
        </w:rPr>
      </w:pPr>
      <w:r w:rsidRPr="00A176EA">
        <w:rPr>
          <w:lang w:val="fr-FR"/>
        </w:rPr>
        <w:t>192.</w:t>
      </w:r>
      <w:r w:rsidRPr="00A176EA">
        <w:rPr>
          <w:lang w:val="fr-FR"/>
        </w:rPr>
        <w:tab/>
      </w:r>
      <w:r w:rsidR="00916B4F">
        <w:rPr>
          <w:lang w:val="fr-FR"/>
        </w:rPr>
        <w:t>Les forces armées britanniques relèvent en toutes circonstances</w:t>
      </w:r>
      <w:r w:rsidR="00916B4F" w:rsidRPr="00CC48A3">
        <w:rPr>
          <w:lang w:val="fr-FR"/>
        </w:rPr>
        <w:t xml:space="preserve"> </w:t>
      </w:r>
      <w:r w:rsidR="00916B4F">
        <w:rPr>
          <w:lang w:val="fr-FR"/>
        </w:rPr>
        <w:t>de la loi militaire, où qu’elles soient dans le monde</w:t>
      </w:r>
      <w:r w:rsidR="000B562B" w:rsidRPr="00A176EA">
        <w:rPr>
          <w:lang w:val="fr-FR"/>
        </w:rPr>
        <w:t xml:space="preserve">. </w:t>
      </w:r>
      <w:r w:rsidR="00916B4F">
        <w:rPr>
          <w:lang w:val="fr-FR"/>
        </w:rPr>
        <w:t>C’est pourquoi les militaires peuvent être</w:t>
      </w:r>
      <w:r w:rsidR="00526A58" w:rsidRPr="00526A58">
        <w:rPr>
          <w:lang w:val="fr-FR"/>
        </w:rPr>
        <w:t xml:space="preserve"> </w:t>
      </w:r>
      <w:r w:rsidR="00526A58">
        <w:rPr>
          <w:lang w:val="fr-FR"/>
        </w:rPr>
        <w:t>poursuivis</w:t>
      </w:r>
      <w:r w:rsidR="00916B4F">
        <w:rPr>
          <w:lang w:val="fr-FR"/>
        </w:rPr>
        <w:t xml:space="preserve">, et </w:t>
      </w:r>
      <w:r w:rsidR="00526A58">
        <w:rPr>
          <w:lang w:val="fr-FR"/>
        </w:rPr>
        <w:t xml:space="preserve">le </w:t>
      </w:r>
      <w:r w:rsidR="00916B4F">
        <w:rPr>
          <w:lang w:val="fr-FR"/>
        </w:rPr>
        <w:t>seront, si la preuve est apportée qu’ils ont torturé ou agressé une personne ou s’ils se sont rendus coupables envers elle de toute autre infraction</w:t>
      </w:r>
      <w:r w:rsidR="000B562B" w:rsidRPr="00A176EA">
        <w:rPr>
          <w:lang w:val="fr-FR"/>
        </w:rPr>
        <w:t>.</w:t>
      </w:r>
    </w:p>
    <w:p w:rsidR="000B562B" w:rsidRPr="00A176EA" w:rsidRDefault="002549A9" w:rsidP="00916B4F">
      <w:pPr>
        <w:pStyle w:val="SingleTxtG"/>
        <w:rPr>
          <w:lang w:val="fr-FR"/>
        </w:rPr>
      </w:pPr>
      <w:r w:rsidRPr="00A176EA">
        <w:rPr>
          <w:lang w:val="fr-FR"/>
        </w:rPr>
        <w:t>193.</w:t>
      </w:r>
      <w:r w:rsidRPr="00A176EA">
        <w:rPr>
          <w:lang w:val="fr-FR"/>
        </w:rPr>
        <w:tab/>
      </w:r>
      <w:r w:rsidR="00916B4F">
        <w:rPr>
          <w:lang w:val="fr-FR"/>
        </w:rPr>
        <w:t xml:space="preserve">Invoquer un ordre donné par un supérieur n’est pas un moyen de défense </w:t>
      </w:r>
      <w:r w:rsidR="00275826">
        <w:rPr>
          <w:lang w:val="fr-FR"/>
        </w:rPr>
        <w:t>dans les affaires</w:t>
      </w:r>
      <w:r w:rsidR="00916B4F">
        <w:rPr>
          <w:lang w:val="fr-FR"/>
        </w:rPr>
        <w:t xml:space="preserve"> de torture</w:t>
      </w:r>
      <w:r w:rsidR="00FC2B97">
        <w:rPr>
          <w:lang w:val="fr-FR"/>
        </w:rPr>
        <w:t>:</w:t>
      </w:r>
      <w:r w:rsidR="00916B4F">
        <w:rPr>
          <w:lang w:val="fr-FR"/>
        </w:rPr>
        <w:t xml:space="preserve"> les seuls moyens de défense recevables sont ceux précisés dans la loi de 1988 sur la justice pénale (voir aussi le paragraphe 28 ci-dessus) et les moyens généraux tels que </w:t>
      </w:r>
      <w:r w:rsidR="00275826">
        <w:rPr>
          <w:lang w:val="fr-FR"/>
        </w:rPr>
        <w:t>l’aliénation mentale</w:t>
      </w:r>
      <w:r w:rsidR="00916B4F">
        <w:rPr>
          <w:lang w:val="fr-FR"/>
        </w:rPr>
        <w:t xml:space="preserve">. L’ordre de torturer est illégal et, compte tenu du fait qu’un subordonné peut désobéir à un ordre illégal, il peut (et doit) refuser de l’exécuter. Lorsqu’un tel ordre est donné, le subordonné peut </w:t>
      </w:r>
      <w:r w:rsidR="00275826">
        <w:rPr>
          <w:lang w:val="fr-FR"/>
        </w:rPr>
        <w:t>en référer</w:t>
      </w:r>
      <w:r w:rsidR="00916B4F">
        <w:rPr>
          <w:lang w:val="fr-FR"/>
        </w:rPr>
        <w:t xml:space="preserve"> à la hiérarchie (à un officier d’un grade supérieur à celui qui donné l’ordre) et à la police militaire, qui engagera des poursuites pour infraction pénale</w:t>
      </w:r>
      <w:r w:rsidR="000B562B" w:rsidRPr="00A176EA">
        <w:rPr>
          <w:lang w:val="fr-FR"/>
        </w:rPr>
        <w:t>.</w:t>
      </w:r>
    </w:p>
    <w:p w:rsidR="000B562B" w:rsidRPr="00A176EA" w:rsidRDefault="00B82329" w:rsidP="001C135E">
      <w:pPr>
        <w:pStyle w:val="H1G"/>
      </w:pPr>
      <w:bookmarkStart w:id="17" w:name="_Toc299724691"/>
      <w:r>
        <w:tab/>
      </w:r>
      <w:r>
        <w:tab/>
      </w:r>
      <w:r w:rsidR="000B562B" w:rsidRPr="00A176EA">
        <w:t>Article 3</w:t>
      </w:r>
      <w:r w:rsidR="00C844DC">
        <w:br/>
      </w:r>
      <w:r w:rsidR="00424D58">
        <w:t>Expulsion à destination d’États où l’intéressé risque d’être soumis à la torture</w:t>
      </w:r>
      <w:bookmarkEnd w:id="17"/>
    </w:p>
    <w:p w:rsidR="000B562B" w:rsidRPr="00A176EA" w:rsidRDefault="000E5F91" w:rsidP="009347EB">
      <w:pPr>
        <w:pStyle w:val="H23G"/>
        <w:rPr>
          <w:lang w:val="fr-FR"/>
        </w:rPr>
      </w:pPr>
      <w:bookmarkStart w:id="18" w:name="_Toc299724692"/>
      <w:r w:rsidRPr="00424D58">
        <w:rPr>
          <w:lang w:val="fr-FR"/>
        </w:rPr>
        <w:t>Procédures d’e</w:t>
      </w:r>
      <w:r w:rsidR="000B562B" w:rsidRPr="00424D58">
        <w:rPr>
          <w:lang w:val="fr-FR"/>
        </w:rPr>
        <w:t>xtradition</w:t>
      </w:r>
      <w:r w:rsidR="000B562B" w:rsidRPr="00A176EA">
        <w:rPr>
          <w:lang w:val="fr-FR"/>
        </w:rPr>
        <w:t xml:space="preserve"> </w:t>
      </w:r>
      <w:bookmarkEnd w:id="18"/>
    </w:p>
    <w:p w:rsidR="000B562B" w:rsidRPr="00A176EA" w:rsidRDefault="002549A9" w:rsidP="00424D58">
      <w:pPr>
        <w:pStyle w:val="SingleTxtG"/>
        <w:rPr>
          <w:lang w:val="fr-FR"/>
        </w:rPr>
      </w:pPr>
      <w:r w:rsidRPr="00A176EA">
        <w:rPr>
          <w:lang w:val="fr-FR"/>
        </w:rPr>
        <w:t>194.</w:t>
      </w:r>
      <w:r w:rsidRPr="00A176EA">
        <w:rPr>
          <w:lang w:val="fr-FR"/>
        </w:rPr>
        <w:tab/>
      </w:r>
      <w:r w:rsidR="00424D58">
        <w:rPr>
          <w:lang w:val="fr-FR"/>
        </w:rPr>
        <w:t>Les informations générales relatives aux procédures d’extradition figurent aux paragraphes 10 à 14 du deuxième rapport et au paragraphe 44 du quatrième rapport du Royaume-Uni</w:t>
      </w:r>
      <w:r w:rsidR="000B562B" w:rsidRPr="00A176EA">
        <w:rPr>
          <w:lang w:val="fr-FR"/>
        </w:rPr>
        <w:t>.</w:t>
      </w:r>
    </w:p>
    <w:p w:rsidR="000B562B" w:rsidRPr="00A176EA" w:rsidRDefault="000E5F91" w:rsidP="009347EB">
      <w:pPr>
        <w:pStyle w:val="H23G"/>
        <w:rPr>
          <w:lang w:val="fr-FR"/>
        </w:rPr>
      </w:pPr>
      <w:bookmarkStart w:id="19" w:name="_Toc299724693"/>
      <w:r w:rsidRPr="00424D58">
        <w:rPr>
          <w:lang w:val="fr-FR"/>
        </w:rPr>
        <w:t xml:space="preserve">Procédures </w:t>
      </w:r>
      <w:bookmarkEnd w:id="19"/>
      <w:r w:rsidRPr="00424D58">
        <w:rPr>
          <w:lang w:val="fr-FR"/>
        </w:rPr>
        <w:t>d’asile</w:t>
      </w:r>
    </w:p>
    <w:p w:rsidR="000B562B" w:rsidRPr="00A176EA" w:rsidRDefault="002549A9" w:rsidP="00424D58">
      <w:pPr>
        <w:pStyle w:val="SingleTxtG"/>
        <w:rPr>
          <w:lang w:val="fr-FR"/>
        </w:rPr>
      </w:pPr>
      <w:r w:rsidRPr="00A176EA">
        <w:rPr>
          <w:lang w:val="fr-FR"/>
        </w:rPr>
        <w:t>195.</w:t>
      </w:r>
      <w:r w:rsidRPr="00A176EA">
        <w:rPr>
          <w:lang w:val="fr-FR"/>
        </w:rPr>
        <w:tab/>
      </w:r>
      <w:r w:rsidR="00424D58">
        <w:rPr>
          <w:lang w:val="fr-FR"/>
        </w:rPr>
        <w:t>Les p</w:t>
      </w:r>
      <w:r w:rsidR="000B562B" w:rsidRPr="00A176EA">
        <w:rPr>
          <w:lang w:val="fr-FR"/>
        </w:rPr>
        <w:t>aragraph</w:t>
      </w:r>
      <w:r w:rsidR="00424D58">
        <w:rPr>
          <w:lang w:val="fr-FR"/>
        </w:rPr>
        <w:t>e</w:t>
      </w:r>
      <w:r w:rsidR="000B562B" w:rsidRPr="00A176EA">
        <w:rPr>
          <w:lang w:val="fr-FR"/>
        </w:rPr>
        <w:t xml:space="preserve">s 21 </w:t>
      </w:r>
      <w:r w:rsidR="00424D58">
        <w:rPr>
          <w:lang w:val="fr-FR"/>
        </w:rPr>
        <w:t>et</w:t>
      </w:r>
      <w:r w:rsidR="000B562B" w:rsidRPr="00A176EA">
        <w:rPr>
          <w:lang w:val="fr-FR"/>
        </w:rPr>
        <w:t xml:space="preserve"> 22 </w:t>
      </w:r>
      <w:r w:rsidR="00424D58">
        <w:rPr>
          <w:lang w:val="fr-FR"/>
        </w:rPr>
        <w:t>du troisième rapport périodique et les paragraphes 46 à 56 du quatrième rapport du Royaume-Uni indiquent la politique britannique concernant le traitement des demandeurs d’asile au regard des dispositions de la Convention contre l</w:t>
      </w:r>
      <w:r w:rsidR="00275826">
        <w:rPr>
          <w:lang w:val="fr-FR"/>
        </w:rPr>
        <w:t>a</w:t>
      </w:r>
      <w:r w:rsidR="00424D58">
        <w:rPr>
          <w:lang w:val="fr-FR"/>
        </w:rPr>
        <w:t xml:space="preserve"> torture, dont la politique de refoulement vers d’autres pays et le système de recours</w:t>
      </w:r>
      <w:r w:rsidR="000B562B" w:rsidRPr="00A176EA">
        <w:rPr>
          <w:lang w:val="fr-FR"/>
        </w:rPr>
        <w:t>.</w:t>
      </w:r>
    </w:p>
    <w:p w:rsidR="009347EB" w:rsidRPr="00A176EA" w:rsidRDefault="002549A9" w:rsidP="00DE66F6">
      <w:pPr>
        <w:pStyle w:val="SingleTxtG"/>
        <w:spacing w:after="240"/>
        <w:rPr>
          <w:lang w:val="fr-FR"/>
        </w:rPr>
      </w:pPr>
      <w:r w:rsidRPr="00A176EA">
        <w:rPr>
          <w:lang w:val="fr-FR"/>
        </w:rPr>
        <w:t>196.</w:t>
      </w:r>
      <w:r w:rsidRPr="00A176EA">
        <w:rPr>
          <w:lang w:val="fr-FR"/>
        </w:rPr>
        <w:tab/>
      </w:r>
      <w:r w:rsidR="00424D58" w:rsidRPr="00424D58">
        <w:rPr>
          <w:lang w:val="fr-FR"/>
        </w:rPr>
        <w:t>Le Royaume-Uni continue de juger les demandes d'asile en fonction des critères définis dans la Convention des Nations Unies de 1951 relative au statut des réfugiés.</w:t>
      </w:r>
      <w:r w:rsidR="00424D58">
        <w:rPr>
          <w:lang w:val="fr-FR"/>
        </w:rPr>
        <w:t xml:space="preserve"> Le nombre des demandes présentées de </w:t>
      </w:r>
      <w:r w:rsidR="00424D58" w:rsidRPr="00DE66F6">
        <w:rPr>
          <w:lang w:val="fr-FR"/>
        </w:rPr>
        <w:t>200</w:t>
      </w:r>
      <w:r w:rsidR="003961C5" w:rsidRPr="00DE66F6">
        <w:rPr>
          <w:lang w:val="fr-FR"/>
        </w:rPr>
        <w:t>3</w:t>
      </w:r>
      <w:r w:rsidR="00424D58" w:rsidRPr="00DE66F6">
        <w:rPr>
          <w:lang w:val="fr-FR"/>
        </w:rPr>
        <w:t xml:space="preserve"> à 20</w:t>
      </w:r>
      <w:r w:rsidR="003961C5" w:rsidRPr="00DE66F6">
        <w:rPr>
          <w:lang w:val="fr-FR"/>
        </w:rPr>
        <w:t>10</w:t>
      </w:r>
      <w:r w:rsidR="00424D58">
        <w:rPr>
          <w:lang w:val="fr-FR"/>
        </w:rPr>
        <w:t xml:space="preserve"> et le pourcentage de demandeurs qui ont obtenu le statut de réfugié figurent dans le tableau ci-après. Les chiffres se rapportant aux décisions </w:t>
      </w:r>
      <w:r w:rsidR="003961C5">
        <w:rPr>
          <w:lang w:val="fr-FR"/>
        </w:rPr>
        <w:t xml:space="preserve">ne correspondent pas nécessairement aux demandes présentées la même année. Les informations portent sur les décisions initiales et non celles prises à l’issue </w:t>
      </w:r>
      <w:r w:rsidR="00275826">
        <w:rPr>
          <w:lang w:val="fr-FR"/>
        </w:rPr>
        <w:t xml:space="preserve">d’un </w:t>
      </w:r>
      <w:r w:rsidR="003961C5">
        <w:rPr>
          <w:lang w:val="fr-FR"/>
        </w:rPr>
        <w:t>recours ou d’une décision ultérieure</w:t>
      </w:r>
      <w:r w:rsidR="000B562B" w:rsidRPr="00A176EA">
        <w:rPr>
          <w:lang w:val="fr-FR"/>
        </w:rPr>
        <w:t>.</w:t>
      </w:r>
    </w:p>
    <w:tbl>
      <w:tblPr>
        <w:tblW w:w="8511" w:type="dxa"/>
        <w:tblInd w:w="1134" w:type="dxa"/>
        <w:tblBorders>
          <w:top w:val="single" w:sz="4" w:space="0" w:color="auto"/>
        </w:tblBorders>
        <w:tblCellMar>
          <w:left w:w="0" w:type="dxa"/>
          <w:right w:w="113" w:type="dxa"/>
        </w:tblCellMar>
        <w:tblLook w:val="01E0" w:firstRow="1" w:lastRow="1" w:firstColumn="1" w:lastColumn="1" w:noHBand="0" w:noVBand="0"/>
      </w:tblPr>
      <w:tblGrid>
        <w:gridCol w:w="2646"/>
        <w:gridCol w:w="756"/>
        <w:gridCol w:w="714"/>
        <w:gridCol w:w="755"/>
        <w:gridCol w:w="700"/>
        <w:gridCol w:w="742"/>
        <w:gridCol w:w="728"/>
        <w:gridCol w:w="756"/>
        <w:gridCol w:w="714"/>
      </w:tblGrid>
      <w:tr w:rsidR="000B562B" w:rsidRPr="00A176EA" w:rsidTr="0023058B">
        <w:trPr>
          <w:cantSplit/>
          <w:trHeight w:val="240"/>
        </w:trPr>
        <w:tc>
          <w:tcPr>
            <w:tcW w:w="2646" w:type="dxa"/>
            <w:tcBorders>
              <w:top w:val="single" w:sz="4" w:space="0" w:color="auto"/>
              <w:bottom w:val="single" w:sz="12" w:space="0" w:color="auto"/>
            </w:tcBorders>
            <w:shd w:val="clear" w:color="auto" w:fill="auto"/>
          </w:tcPr>
          <w:p w:rsidR="000B562B" w:rsidRPr="00FC79B7" w:rsidRDefault="009E3B05" w:rsidP="002C0454">
            <w:pPr>
              <w:pStyle w:val="Text"/>
              <w:keepNext/>
              <w:keepLines/>
              <w:spacing w:before="80" w:after="80" w:line="220" w:lineRule="exact"/>
              <w:rPr>
                <w:rFonts w:ascii="Times New Roman" w:hAnsi="Times New Roman"/>
                <w:sz w:val="18"/>
                <w:szCs w:val="18"/>
                <w:lang w:val="fr-FR"/>
              </w:rPr>
            </w:pPr>
            <w:r>
              <w:rPr>
                <w:rFonts w:ascii="Times New Roman" w:hAnsi="Times New Roman"/>
                <w:i/>
                <w:sz w:val="16"/>
                <w:lang w:val="fr-FR"/>
              </w:rPr>
              <w:t xml:space="preserve">Demandes </w:t>
            </w:r>
            <w:r w:rsidRPr="00687E2B">
              <w:rPr>
                <w:rFonts w:ascii="Times New Roman" w:hAnsi="Times New Roman"/>
                <w:i/>
                <w:sz w:val="18"/>
                <w:szCs w:val="18"/>
                <w:vertAlign w:val="superscript"/>
                <w:lang w:val="fr-FR"/>
              </w:rPr>
              <w:t>1</w:t>
            </w:r>
            <w:r w:rsidRPr="00A176EA">
              <w:rPr>
                <w:rFonts w:ascii="Times New Roman" w:hAnsi="Times New Roman"/>
                <w:i/>
                <w:sz w:val="16"/>
                <w:lang w:val="fr-FR"/>
              </w:rPr>
              <w:t xml:space="preserve"> </w:t>
            </w:r>
            <w:r>
              <w:rPr>
                <w:rFonts w:ascii="Times New Roman" w:hAnsi="Times New Roman"/>
                <w:i/>
                <w:sz w:val="16"/>
                <w:lang w:val="fr-FR"/>
              </w:rPr>
              <w:t>d’asile reçues au Royaume-Uni, décisions initiales et pourcentages de 2003 à 2010</w:t>
            </w:r>
          </w:p>
        </w:tc>
        <w:tc>
          <w:tcPr>
            <w:tcW w:w="756" w:type="dxa"/>
            <w:tcBorders>
              <w:top w:val="single" w:sz="4" w:space="0" w:color="auto"/>
              <w:bottom w:val="single" w:sz="12" w:space="0" w:color="auto"/>
            </w:tcBorders>
            <w:shd w:val="clear" w:color="auto" w:fill="auto"/>
            <w:tcMar>
              <w:right w:w="57" w:type="dxa"/>
            </w:tcMar>
            <w:vAlign w:val="bottom"/>
          </w:tcPr>
          <w:p w:rsidR="000B562B" w:rsidRPr="002C0454" w:rsidRDefault="000B562B" w:rsidP="002C0454">
            <w:pPr>
              <w:pStyle w:val="Text"/>
              <w:keepNext/>
              <w:keepLines/>
              <w:spacing w:before="40" w:after="80" w:line="220" w:lineRule="exact"/>
              <w:jc w:val="right"/>
              <w:rPr>
                <w:rFonts w:ascii="Times New Roman" w:hAnsi="Times New Roman"/>
                <w:i/>
                <w:iCs/>
                <w:sz w:val="16"/>
                <w:szCs w:val="16"/>
                <w:lang w:val="fr-FR"/>
              </w:rPr>
            </w:pPr>
            <w:r w:rsidRPr="002C0454">
              <w:rPr>
                <w:rFonts w:ascii="Times New Roman" w:hAnsi="Times New Roman"/>
                <w:i/>
                <w:iCs/>
                <w:sz w:val="16"/>
                <w:szCs w:val="16"/>
                <w:lang w:val="fr-FR"/>
              </w:rPr>
              <w:t>2003</w:t>
            </w:r>
          </w:p>
        </w:tc>
        <w:tc>
          <w:tcPr>
            <w:tcW w:w="714" w:type="dxa"/>
            <w:tcBorders>
              <w:top w:val="single" w:sz="4" w:space="0" w:color="auto"/>
              <w:bottom w:val="single" w:sz="12" w:space="0" w:color="auto"/>
            </w:tcBorders>
            <w:shd w:val="clear" w:color="auto" w:fill="auto"/>
            <w:tcMar>
              <w:right w:w="57" w:type="dxa"/>
            </w:tcMar>
            <w:vAlign w:val="bottom"/>
          </w:tcPr>
          <w:p w:rsidR="000B562B" w:rsidRPr="002C0454" w:rsidRDefault="000B562B" w:rsidP="002C0454">
            <w:pPr>
              <w:pStyle w:val="Text"/>
              <w:keepNext/>
              <w:keepLines/>
              <w:spacing w:before="40" w:after="80" w:line="220" w:lineRule="exact"/>
              <w:jc w:val="right"/>
              <w:rPr>
                <w:rFonts w:ascii="Times New Roman" w:hAnsi="Times New Roman"/>
                <w:i/>
                <w:iCs/>
                <w:sz w:val="16"/>
                <w:szCs w:val="16"/>
                <w:lang w:val="fr-FR"/>
              </w:rPr>
            </w:pPr>
            <w:r w:rsidRPr="002C0454">
              <w:rPr>
                <w:rFonts w:ascii="Times New Roman" w:hAnsi="Times New Roman"/>
                <w:i/>
                <w:iCs/>
                <w:sz w:val="16"/>
                <w:szCs w:val="16"/>
                <w:lang w:val="fr-FR"/>
              </w:rPr>
              <w:t>2004</w:t>
            </w:r>
          </w:p>
        </w:tc>
        <w:tc>
          <w:tcPr>
            <w:tcW w:w="755" w:type="dxa"/>
            <w:tcBorders>
              <w:top w:val="single" w:sz="4" w:space="0" w:color="auto"/>
              <w:bottom w:val="single" w:sz="12" w:space="0" w:color="auto"/>
            </w:tcBorders>
            <w:shd w:val="clear" w:color="auto" w:fill="auto"/>
            <w:tcMar>
              <w:right w:w="57" w:type="dxa"/>
            </w:tcMar>
            <w:vAlign w:val="bottom"/>
          </w:tcPr>
          <w:p w:rsidR="000B562B" w:rsidRPr="002C0454" w:rsidRDefault="000B562B" w:rsidP="002C0454">
            <w:pPr>
              <w:pStyle w:val="Text"/>
              <w:keepNext/>
              <w:keepLines/>
              <w:spacing w:before="40" w:after="80" w:line="220" w:lineRule="exact"/>
              <w:jc w:val="right"/>
              <w:rPr>
                <w:rFonts w:ascii="Times New Roman" w:hAnsi="Times New Roman"/>
                <w:i/>
                <w:iCs/>
                <w:sz w:val="16"/>
                <w:szCs w:val="16"/>
                <w:lang w:val="fr-FR"/>
              </w:rPr>
            </w:pPr>
            <w:r w:rsidRPr="002C0454">
              <w:rPr>
                <w:rFonts w:ascii="Times New Roman" w:hAnsi="Times New Roman"/>
                <w:i/>
                <w:iCs/>
                <w:sz w:val="16"/>
                <w:szCs w:val="16"/>
                <w:lang w:val="fr-FR"/>
              </w:rPr>
              <w:t>2005</w:t>
            </w:r>
          </w:p>
        </w:tc>
        <w:tc>
          <w:tcPr>
            <w:tcW w:w="700" w:type="dxa"/>
            <w:tcBorders>
              <w:top w:val="single" w:sz="4" w:space="0" w:color="auto"/>
              <w:bottom w:val="single" w:sz="12" w:space="0" w:color="auto"/>
            </w:tcBorders>
            <w:shd w:val="clear" w:color="auto" w:fill="auto"/>
            <w:tcMar>
              <w:right w:w="57" w:type="dxa"/>
            </w:tcMar>
            <w:vAlign w:val="bottom"/>
          </w:tcPr>
          <w:p w:rsidR="000B562B" w:rsidRPr="002C0454" w:rsidRDefault="000B562B" w:rsidP="002C0454">
            <w:pPr>
              <w:pStyle w:val="Text"/>
              <w:keepNext/>
              <w:keepLines/>
              <w:spacing w:before="40" w:after="80" w:line="220" w:lineRule="exact"/>
              <w:jc w:val="right"/>
              <w:rPr>
                <w:rFonts w:ascii="Times New Roman" w:hAnsi="Times New Roman"/>
                <w:i/>
                <w:iCs/>
                <w:sz w:val="16"/>
                <w:szCs w:val="16"/>
                <w:lang w:val="fr-FR"/>
              </w:rPr>
            </w:pPr>
            <w:r w:rsidRPr="002C0454">
              <w:rPr>
                <w:rFonts w:ascii="Times New Roman" w:hAnsi="Times New Roman"/>
                <w:i/>
                <w:iCs/>
                <w:sz w:val="16"/>
                <w:szCs w:val="16"/>
                <w:lang w:val="fr-FR"/>
              </w:rPr>
              <w:t>2006</w:t>
            </w:r>
          </w:p>
        </w:tc>
        <w:tc>
          <w:tcPr>
            <w:tcW w:w="742" w:type="dxa"/>
            <w:tcBorders>
              <w:top w:val="single" w:sz="4" w:space="0" w:color="auto"/>
              <w:bottom w:val="single" w:sz="12" w:space="0" w:color="auto"/>
            </w:tcBorders>
            <w:shd w:val="clear" w:color="auto" w:fill="auto"/>
            <w:tcMar>
              <w:right w:w="57" w:type="dxa"/>
            </w:tcMar>
            <w:vAlign w:val="bottom"/>
          </w:tcPr>
          <w:p w:rsidR="000B562B" w:rsidRPr="002C0454" w:rsidRDefault="000B562B" w:rsidP="002C0454">
            <w:pPr>
              <w:pStyle w:val="Text"/>
              <w:keepNext/>
              <w:keepLines/>
              <w:spacing w:before="40" w:after="80" w:line="220" w:lineRule="exact"/>
              <w:jc w:val="right"/>
              <w:rPr>
                <w:rFonts w:ascii="Times New Roman" w:hAnsi="Times New Roman"/>
                <w:i/>
                <w:iCs/>
                <w:sz w:val="16"/>
                <w:szCs w:val="16"/>
                <w:lang w:val="fr-FR"/>
              </w:rPr>
            </w:pPr>
            <w:r w:rsidRPr="002C0454">
              <w:rPr>
                <w:rFonts w:ascii="Times New Roman" w:hAnsi="Times New Roman"/>
                <w:i/>
                <w:iCs/>
                <w:sz w:val="16"/>
                <w:szCs w:val="16"/>
                <w:lang w:val="fr-FR"/>
              </w:rPr>
              <w:t>2007</w:t>
            </w:r>
          </w:p>
        </w:tc>
        <w:tc>
          <w:tcPr>
            <w:tcW w:w="728" w:type="dxa"/>
            <w:tcBorders>
              <w:top w:val="single" w:sz="4" w:space="0" w:color="auto"/>
              <w:bottom w:val="single" w:sz="12" w:space="0" w:color="auto"/>
            </w:tcBorders>
            <w:shd w:val="clear" w:color="auto" w:fill="auto"/>
            <w:tcMar>
              <w:right w:w="57" w:type="dxa"/>
            </w:tcMar>
            <w:vAlign w:val="bottom"/>
          </w:tcPr>
          <w:p w:rsidR="000B562B" w:rsidRPr="002C0454" w:rsidRDefault="000B562B" w:rsidP="002C0454">
            <w:pPr>
              <w:pStyle w:val="Text"/>
              <w:keepNext/>
              <w:keepLines/>
              <w:spacing w:before="40" w:after="80" w:line="220" w:lineRule="exact"/>
              <w:jc w:val="right"/>
              <w:rPr>
                <w:rFonts w:ascii="Times New Roman" w:hAnsi="Times New Roman"/>
                <w:i/>
                <w:iCs/>
                <w:sz w:val="16"/>
                <w:szCs w:val="16"/>
                <w:lang w:val="fr-FR"/>
              </w:rPr>
            </w:pPr>
            <w:r w:rsidRPr="002C0454">
              <w:rPr>
                <w:rFonts w:ascii="Times New Roman" w:hAnsi="Times New Roman"/>
                <w:i/>
                <w:iCs/>
                <w:sz w:val="16"/>
                <w:szCs w:val="16"/>
                <w:lang w:val="fr-FR"/>
              </w:rPr>
              <w:t>2008</w:t>
            </w:r>
          </w:p>
        </w:tc>
        <w:tc>
          <w:tcPr>
            <w:tcW w:w="756" w:type="dxa"/>
            <w:tcBorders>
              <w:top w:val="single" w:sz="4" w:space="0" w:color="auto"/>
              <w:bottom w:val="single" w:sz="12" w:space="0" w:color="auto"/>
            </w:tcBorders>
            <w:shd w:val="clear" w:color="auto" w:fill="auto"/>
            <w:tcMar>
              <w:right w:w="57" w:type="dxa"/>
            </w:tcMar>
            <w:vAlign w:val="bottom"/>
          </w:tcPr>
          <w:p w:rsidR="000B562B" w:rsidRPr="002C0454" w:rsidRDefault="000B562B" w:rsidP="002C0454">
            <w:pPr>
              <w:pStyle w:val="Text"/>
              <w:keepNext/>
              <w:keepLines/>
              <w:spacing w:before="40" w:after="80" w:line="220" w:lineRule="exact"/>
              <w:jc w:val="right"/>
              <w:rPr>
                <w:rFonts w:ascii="Times New Roman" w:hAnsi="Times New Roman"/>
                <w:i/>
                <w:iCs/>
                <w:sz w:val="16"/>
                <w:szCs w:val="16"/>
                <w:lang w:val="fr-FR"/>
              </w:rPr>
            </w:pPr>
            <w:r w:rsidRPr="002C0454">
              <w:rPr>
                <w:rFonts w:ascii="Times New Roman" w:hAnsi="Times New Roman"/>
                <w:i/>
                <w:iCs/>
                <w:sz w:val="16"/>
                <w:szCs w:val="16"/>
                <w:lang w:val="fr-FR"/>
              </w:rPr>
              <w:t xml:space="preserve">2009 </w:t>
            </w:r>
            <w:r w:rsidR="00F650AE" w:rsidRPr="00692B0C">
              <w:rPr>
                <w:rFonts w:ascii="Times New Roman" w:hAnsi="Times New Roman"/>
                <w:i/>
                <w:iCs/>
                <w:sz w:val="18"/>
                <w:szCs w:val="18"/>
                <w:lang w:val="fr-FR"/>
              </w:rPr>
              <w:t>(P</w:t>
            </w:r>
            <w:r w:rsidRPr="00692B0C">
              <w:rPr>
                <w:rFonts w:ascii="Times New Roman" w:hAnsi="Times New Roman"/>
                <w:i/>
                <w:iCs/>
                <w:sz w:val="18"/>
                <w:szCs w:val="18"/>
                <w:lang w:val="fr-FR"/>
              </w:rPr>
              <w:t>)</w:t>
            </w:r>
          </w:p>
        </w:tc>
        <w:tc>
          <w:tcPr>
            <w:tcW w:w="714" w:type="dxa"/>
            <w:tcBorders>
              <w:top w:val="single" w:sz="4" w:space="0" w:color="auto"/>
              <w:bottom w:val="single" w:sz="12" w:space="0" w:color="auto"/>
            </w:tcBorders>
            <w:shd w:val="clear" w:color="auto" w:fill="auto"/>
            <w:tcMar>
              <w:right w:w="57" w:type="dxa"/>
            </w:tcMar>
            <w:vAlign w:val="bottom"/>
          </w:tcPr>
          <w:p w:rsidR="000B562B" w:rsidRPr="002C0454" w:rsidRDefault="000B562B" w:rsidP="002C0454">
            <w:pPr>
              <w:pStyle w:val="Text"/>
              <w:keepNext/>
              <w:keepLines/>
              <w:spacing w:before="40" w:after="80" w:line="220" w:lineRule="exact"/>
              <w:jc w:val="right"/>
              <w:rPr>
                <w:rFonts w:ascii="Times New Roman" w:hAnsi="Times New Roman"/>
                <w:i/>
                <w:iCs/>
                <w:sz w:val="16"/>
                <w:szCs w:val="16"/>
                <w:lang w:val="fr-FR"/>
              </w:rPr>
            </w:pPr>
            <w:r w:rsidRPr="002C0454">
              <w:rPr>
                <w:rFonts w:ascii="Times New Roman" w:hAnsi="Times New Roman"/>
                <w:i/>
                <w:iCs/>
                <w:sz w:val="16"/>
                <w:szCs w:val="16"/>
                <w:lang w:val="fr-FR"/>
              </w:rPr>
              <w:t xml:space="preserve">2010 </w:t>
            </w:r>
            <w:r w:rsidR="00F650AE" w:rsidRPr="00692B0C">
              <w:rPr>
                <w:rFonts w:ascii="Times New Roman" w:hAnsi="Times New Roman"/>
                <w:i/>
                <w:iCs/>
                <w:sz w:val="18"/>
                <w:szCs w:val="18"/>
                <w:lang w:val="fr-FR"/>
              </w:rPr>
              <w:t>(P</w:t>
            </w:r>
            <w:r w:rsidRPr="00692B0C">
              <w:rPr>
                <w:rFonts w:ascii="Times New Roman" w:hAnsi="Times New Roman"/>
                <w:i/>
                <w:iCs/>
                <w:sz w:val="18"/>
                <w:szCs w:val="18"/>
                <w:lang w:val="fr-FR"/>
              </w:rPr>
              <w:t>)</w:t>
            </w:r>
          </w:p>
        </w:tc>
      </w:tr>
      <w:tr w:rsidR="000B562B" w:rsidRPr="00A176EA" w:rsidTr="0023058B">
        <w:trPr>
          <w:cantSplit/>
          <w:trHeight w:val="240"/>
        </w:trPr>
        <w:tc>
          <w:tcPr>
            <w:tcW w:w="2646" w:type="dxa"/>
            <w:tcBorders>
              <w:top w:val="single" w:sz="12" w:space="0" w:color="auto"/>
            </w:tcBorders>
            <w:shd w:val="clear" w:color="auto" w:fill="auto"/>
            <w:vAlign w:val="bottom"/>
          </w:tcPr>
          <w:p w:rsidR="000B562B" w:rsidRPr="00FC79B7" w:rsidRDefault="003961C5" w:rsidP="007F57F7">
            <w:pPr>
              <w:pStyle w:val="Text"/>
              <w:keepNext/>
              <w:keepLines/>
              <w:spacing w:before="40" w:after="40" w:line="220" w:lineRule="exact"/>
              <w:rPr>
                <w:rFonts w:ascii="Times New Roman" w:hAnsi="Times New Roman"/>
                <w:sz w:val="18"/>
                <w:szCs w:val="18"/>
                <w:lang w:val="fr-FR"/>
              </w:rPr>
            </w:pPr>
            <w:r w:rsidRPr="00FC79B7">
              <w:rPr>
                <w:rFonts w:ascii="Times New Roman" w:hAnsi="Times New Roman"/>
                <w:sz w:val="18"/>
                <w:szCs w:val="18"/>
                <w:lang w:val="fr-FR"/>
              </w:rPr>
              <w:t>Demandes reçues</w:t>
            </w:r>
            <w:r w:rsidR="000B562B" w:rsidRPr="00FC79B7">
              <w:rPr>
                <w:rFonts w:ascii="Times New Roman" w:hAnsi="Times New Roman"/>
                <w:sz w:val="18"/>
                <w:szCs w:val="18"/>
                <w:lang w:val="fr-FR"/>
              </w:rPr>
              <w:t xml:space="preserve"> </w:t>
            </w:r>
          </w:p>
        </w:tc>
        <w:tc>
          <w:tcPr>
            <w:tcW w:w="756" w:type="dxa"/>
            <w:tcBorders>
              <w:top w:val="single" w:sz="12" w:space="0" w:color="auto"/>
            </w:tcBorders>
            <w:shd w:val="clear" w:color="auto" w:fill="auto"/>
            <w:tcMar>
              <w:right w:w="57" w:type="dxa"/>
            </w:tcMar>
            <w:vAlign w:val="bottom"/>
          </w:tcPr>
          <w:p w:rsidR="000B562B" w:rsidRPr="00FC79B7" w:rsidRDefault="000B562B" w:rsidP="007F57F7">
            <w:pPr>
              <w:pStyle w:val="Text"/>
              <w:keepNext/>
              <w:keepLines/>
              <w:spacing w:before="40" w:after="40" w:line="220" w:lineRule="exact"/>
              <w:jc w:val="right"/>
              <w:rPr>
                <w:rFonts w:ascii="Times New Roman" w:hAnsi="Times New Roman"/>
                <w:sz w:val="18"/>
                <w:szCs w:val="18"/>
                <w:lang w:val="fr-FR"/>
              </w:rPr>
            </w:pPr>
            <w:r w:rsidRPr="00FC79B7">
              <w:rPr>
                <w:rFonts w:ascii="Times New Roman" w:hAnsi="Times New Roman"/>
                <w:sz w:val="18"/>
                <w:szCs w:val="18"/>
                <w:lang w:val="fr-FR"/>
              </w:rPr>
              <w:t>49</w:t>
            </w:r>
            <w:r w:rsidR="00607F75" w:rsidRPr="00FC79B7">
              <w:rPr>
                <w:rFonts w:ascii="Times New Roman" w:hAnsi="Times New Roman"/>
                <w:sz w:val="18"/>
                <w:szCs w:val="18"/>
                <w:lang w:val="fr-FR"/>
              </w:rPr>
              <w:t xml:space="preserve"> </w:t>
            </w:r>
            <w:r w:rsidRPr="00FC79B7">
              <w:rPr>
                <w:rFonts w:ascii="Times New Roman" w:hAnsi="Times New Roman"/>
                <w:sz w:val="18"/>
                <w:szCs w:val="18"/>
                <w:lang w:val="fr-FR"/>
              </w:rPr>
              <w:t>405</w:t>
            </w:r>
          </w:p>
        </w:tc>
        <w:tc>
          <w:tcPr>
            <w:tcW w:w="714" w:type="dxa"/>
            <w:tcBorders>
              <w:top w:val="single" w:sz="12" w:space="0" w:color="auto"/>
            </w:tcBorders>
            <w:shd w:val="clear" w:color="auto" w:fill="auto"/>
            <w:tcMar>
              <w:right w:w="57" w:type="dxa"/>
            </w:tcMar>
            <w:vAlign w:val="bottom"/>
          </w:tcPr>
          <w:p w:rsidR="000B562B" w:rsidRPr="00FC79B7" w:rsidRDefault="000B562B" w:rsidP="007F57F7">
            <w:pPr>
              <w:pStyle w:val="Text"/>
              <w:keepNext/>
              <w:keepLines/>
              <w:spacing w:before="40" w:after="40" w:line="220" w:lineRule="exact"/>
              <w:jc w:val="right"/>
              <w:rPr>
                <w:rFonts w:ascii="Times New Roman" w:hAnsi="Times New Roman"/>
                <w:sz w:val="18"/>
                <w:szCs w:val="18"/>
                <w:lang w:val="fr-FR"/>
              </w:rPr>
            </w:pPr>
            <w:r w:rsidRPr="00FC79B7">
              <w:rPr>
                <w:rFonts w:ascii="Times New Roman" w:hAnsi="Times New Roman"/>
                <w:sz w:val="18"/>
                <w:szCs w:val="18"/>
                <w:lang w:val="fr-FR"/>
              </w:rPr>
              <w:t>33</w:t>
            </w:r>
            <w:r w:rsidR="00607F75" w:rsidRPr="00FC79B7">
              <w:rPr>
                <w:rFonts w:ascii="Times New Roman" w:hAnsi="Times New Roman"/>
                <w:sz w:val="18"/>
                <w:szCs w:val="18"/>
                <w:lang w:val="fr-FR"/>
              </w:rPr>
              <w:t xml:space="preserve"> </w:t>
            </w:r>
            <w:r w:rsidRPr="00FC79B7">
              <w:rPr>
                <w:rFonts w:ascii="Times New Roman" w:hAnsi="Times New Roman"/>
                <w:sz w:val="18"/>
                <w:szCs w:val="18"/>
                <w:lang w:val="fr-FR"/>
              </w:rPr>
              <w:t>960</w:t>
            </w:r>
          </w:p>
        </w:tc>
        <w:tc>
          <w:tcPr>
            <w:tcW w:w="755" w:type="dxa"/>
            <w:tcBorders>
              <w:top w:val="single" w:sz="12" w:space="0" w:color="auto"/>
            </w:tcBorders>
            <w:shd w:val="clear" w:color="auto" w:fill="auto"/>
            <w:tcMar>
              <w:right w:w="57" w:type="dxa"/>
            </w:tcMar>
            <w:vAlign w:val="bottom"/>
          </w:tcPr>
          <w:p w:rsidR="000B562B" w:rsidRPr="00FC79B7" w:rsidRDefault="000B562B" w:rsidP="007F57F7">
            <w:pPr>
              <w:pStyle w:val="Text"/>
              <w:keepNext/>
              <w:keepLines/>
              <w:spacing w:before="40" w:after="40" w:line="220" w:lineRule="exact"/>
              <w:jc w:val="right"/>
              <w:rPr>
                <w:rFonts w:ascii="Times New Roman" w:hAnsi="Times New Roman"/>
                <w:sz w:val="18"/>
                <w:szCs w:val="18"/>
                <w:lang w:val="fr-FR"/>
              </w:rPr>
            </w:pPr>
            <w:r w:rsidRPr="00FC79B7">
              <w:rPr>
                <w:rFonts w:ascii="Times New Roman" w:hAnsi="Times New Roman"/>
                <w:sz w:val="18"/>
                <w:szCs w:val="18"/>
                <w:lang w:val="fr-FR"/>
              </w:rPr>
              <w:t>25</w:t>
            </w:r>
            <w:r w:rsidR="00607F75" w:rsidRPr="00FC79B7">
              <w:rPr>
                <w:rFonts w:ascii="Times New Roman" w:hAnsi="Times New Roman"/>
                <w:sz w:val="18"/>
                <w:szCs w:val="18"/>
                <w:lang w:val="fr-FR"/>
              </w:rPr>
              <w:t xml:space="preserve"> </w:t>
            </w:r>
            <w:r w:rsidRPr="00FC79B7">
              <w:rPr>
                <w:rFonts w:ascii="Times New Roman" w:hAnsi="Times New Roman"/>
                <w:sz w:val="18"/>
                <w:szCs w:val="18"/>
                <w:lang w:val="fr-FR"/>
              </w:rPr>
              <w:t>710</w:t>
            </w:r>
          </w:p>
        </w:tc>
        <w:tc>
          <w:tcPr>
            <w:tcW w:w="700" w:type="dxa"/>
            <w:tcBorders>
              <w:top w:val="single" w:sz="12" w:space="0" w:color="auto"/>
            </w:tcBorders>
            <w:shd w:val="clear" w:color="auto" w:fill="auto"/>
            <w:tcMar>
              <w:right w:w="57" w:type="dxa"/>
            </w:tcMar>
            <w:vAlign w:val="bottom"/>
          </w:tcPr>
          <w:p w:rsidR="000B562B" w:rsidRPr="00FC79B7" w:rsidRDefault="000B562B" w:rsidP="007F57F7">
            <w:pPr>
              <w:pStyle w:val="Text"/>
              <w:keepNext/>
              <w:keepLines/>
              <w:spacing w:before="40" w:after="40" w:line="220" w:lineRule="exact"/>
              <w:jc w:val="right"/>
              <w:rPr>
                <w:rFonts w:ascii="Times New Roman" w:hAnsi="Times New Roman"/>
                <w:sz w:val="18"/>
                <w:szCs w:val="18"/>
                <w:lang w:val="fr-FR"/>
              </w:rPr>
            </w:pPr>
            <w:r w:rsidRPr="00FC79B7">
              <w:rPr>
                <w:rFonts w:ascii="Times New Roman" w:hAnsi="Times New Roman"/>
                <w:sz w:val="18"/>
                <w:szCs w:val="18"/>
                <w:lang w:val="fr-FR"/>
              </w:rPr>
              <w:t>23</w:t>
            </w:r>
            <w:r w:rsidR="00607F75" w:rsidRPr="00FC79B7">
              <w:rPr>
                <w:rFonts w:ascii="Times New Roman" w:hAnsi="Times New Roman"/>
                <w:sz w:val="18"/>
                <w:szCs w:val="18"/>
                <w:lang w:val="fr-FR"/>
              </w:rPr>
              <w:t xml:space="preserve"> </w:t>
            </w:r>
            <w:r w:rsidRPr="00FC79B7">
              <w:rPr>
                <w:rFonts w:ascii="Times New Roman" w:hAnsi="Times New Roman"/>
                <w:sz w:val="18"/>
                <w:szCs w:val="18"/>
                <w:lang w:val="fr-FR"/>
              </w:rPr>
              <w:t>610</w:t>
            </w:r>
          </w:p>
        </w:tc>
        <w:tc>
          <w:tcPr>
            <w:tcW w:w="742" w:type="dxa"/>
            <w:tcBorders>
              <w:top w:val="single" w:sz="12" w:space="0" w:color="auto"/>
            </w:tcBorders>
            <w:shd w:val="clear" w:color="auto" w:fill="auto"/>
            <w:tcMar>
              <w:right w:w="57" w:type="dxa"/>
            </w:tcMar>
            <w:vAlign w:val="bottom"/>
          </w:tcPr>
          <w:p w:rsidR="000B562B" w:rsidRPr="00FC79B7" w:rsidRDefault="000B562B" w:rsidP="007F57F7">
            <w:pPr>
              <w:pStyle w:val="Text"/>
              <w:keepNext/>
              <w:keepLines/>
              <w:spacing w:before="40" w:after="40" w:line="220" w:lineRule="exact"/>
              <w:jc w:val="right"/>
              <w:rPr>
                <w:rFonts w:ascii="Times New Roman" w:hAnsi="Times New Roman"/>
                <w:sz w:val="18"/>
                <w:szCs w:val="18"/>
                <w:lang w:val="fr-FR"/>
              </w:rPr>
            </w:pPr>
            <w:r w:rsidRPr="00FC79B7">
              <w:rPr>
                <w:rFonts w:ascii="Times New Roman" w:hAnsi="Times New Roman"/>
                <w:sz w:val="18"/>
                <w:szCs w:val="18"/>
                <w:lang w:val="fr-FR"/>
              </w:rPr>
              <w:t>23</w:t>
            </w:r>
            <w:r w:rsidR="00607F75" w:rsidRPr="00FC79B7">
              <w:rPr>
                <w:rFonts w:ascii="Times New Roman" w:hAnsi="Times New Roman"/>
                <w:sz w:val="18"/>
                <w:szCs w:val="18"/>
                <w:lang w:val="fr-FR"/>
              </w:rPr>
              <w:t xml:space="preserve"> </w:t>
            </w:r>
            <w:r w:rsidRPr="00FC79B7">
              <w:rPr>
                <w:rFonts w:ascii="Times New Roman" w:hAnsi="Times New Roman"/>
                <w:sz w:val="18"/>
                <w:szCs w:val="18"/>
                <w:lang w:val="fr-FR"/>
              </w:rPr>
              <w:t>430</w:t>
            </w:r>
          </w:p>
        </w:tc>
        <w:tc>
          <w:tcPr>
            <w:tcW w:w="728" w:type="dxa"/>
            <w:tcBorders>
              <w:top w:val="single" w:sz="12" w:space="0" w:color="auto"/>
            </w:tcBorders>
            <w:shd w:val="clear" w:color="auto" w:fill="auto"/>
            <w:tcMar>
              <w:right w:w="57" w:type="dxa"/>
            </w:tcMar>
            <w:vAlign w:val="bottom"/>
          </w:tcPr>
          <w:p w:rsidR="000B562B" w:rsidRPr="00FC79B7" w:rsidRDefault="000B562B" w:rsidP="007F57F7">
            <w:pPr>
              <w:pStyle w:val="Text"/>
              <w:keepNext/>
              <w:keepLines/>
              <w:spacing w:before="40" w:after="40" w:line="220" w:lineRule="exact"/>
              <w:jc w:val="right"/>
              <w:rPr>
                <w:rFonts w:ascii="Times New Roman" w:hAnsi="Times New Roman"/>
                <w:sz w:val="18"/>
                <w:szCs w:val="18"/>
                <w:lang w:val="fr-FR"/>
              </w:rPr>
            </w:pPr>
            <w:r w:rsidRPr="00FC79B7">
              <w:rPr>
                <w:rFonts w:ascii="Times New Roman" w:hAnsi="Times New Roman"/>
                <w:sz w:val="18"/>
                <w:szCs w:val="18"/>
                <w:lang w:val="fr-FR"/>
              </w:rPr>
              <w:t>25</w:t>
            </w:r>
            <w:r w:rsidR="00607F75" w:rsidRPr="00FC79B7">
              <w:rPr>
                <w:rFonts w:ascii="Times New Roman" w:hAnsi="Times New Roman"/>
                <w:sz w:val="18"/>
                <w:szCs w:val="18"/>
                <w:lang w:val="fr-FR"/>
              </w:rPr>
              <w:t xml:space="preserve"> </w:t>
            </w:r>
            <w:r w:rsidRPr="00FC79B7">
              <w:rPr>
                <w:rFonts w:ascii="Times New Roman" w:hAnsi="Times New Roman"/>
                <w:sz w:val="18"/>
                <w:szCs w:val="18"/>
                <w:lang w:val="fr-FR"/>
              </w:rPr>
              <w:t>930</w:t>
            </w:r>
          </w:p>
        </w:tc>
        <w:tc>
          <w:tcPr>
            <w:tcW w:w="756" w:type="dxa"/>
            <w:tcBorders>
              <w:top w:val="single" w:sz="12" w:space="0" w:color="auto"/>
            </w:tcBorders>
            <w:shd w:val="clear" w:color="auto" w:fill="auto"/>
            <w:tcMar>
              <w:right w:w="57" w:type="dxa"/>
            </w:tcMar>
            <w:vAlign w:val="bottom"/>
          </w:tcPr>
          <w:p w:rsidR="000B562B" w:rsidRPr="00FC79B7" w:rsidRDefault="000B562B" w:rsidP="007F57F7">
            <w:pPr>
              <w:pStyle w:val="Text"/>
              <w:keepNext/>
              <w:keepLines/>
              <w:spacing w:before="40" w:after="40" w:line="220" w:lineRule="exact"/>
              <w:jc w:val="right"/>
              <w:rPr>
                <w:rFonts w:ascii="Times New Roman" w:hAnsi="Times New Roman"/>
                <w:sz w:val="18"/>
                <w:szCs w:val="18"/>
                <w:lang w:val="fr-FR"/>
              </w:rPr>
            </w:pPr>
            <w:r w:rsidRPr="00FC79B7">
              <w:rPr>
                <w:rFonts w:ascii="Times New Roman" w:hAnsi="Times New Roman"/>
                <w:sz w:val="18"/>
                <w:szCs w:val="18"/>
                <w:lang w:val="fr-FR"/>
              </w:rPr>
              <w:t>24</w:t>
            </w:r>
            <w:r w:rsidR="00607F75" w:rsidRPr="00FC79B7">
              <w:rPr>
                <w:rFonts w:ascii="Times New Roman" w:hAnsi="Times New Roman"/>
                <w:sz w:val="18"/>
                <w:szCs w:val="18"/>
                <w:lang w:val="fr-FR"/>
              </w:rPr>
              <w:t xml:space="preserve"> </w:t>
            </w:r>
            <w:r w:rsidRPr="00FC79B7">
              <w:rPr>
                <w:rFonts w:ascii="Times New Roman" w:hAnsi="Times New Roman"/>
                <w:sz w:val="18"/>
                <w:szCs w:val="18"/>
                <w:lang w:val="fr-FR"/>
              </w:rPr>
              <w:t>485</w:t>
            </w:r>
          </w:p>
        </w:tc>
        <w:tc>
          <w:tcPr>
            <w:tcW w:w="714" w:type="dxa"/>
            <w:tcBorders>
              <w:top w:val="single" w:sz="12" w:space="0" w:color="auto"/>
            </w:tcBorders>
            <w:shd w:val="clear" w:color="auto" w:fill="auto"/>
            <w:tcMar>
              <w:right w:w="57" w:type="dxa"/>
            </w:tcMar>
            <w:vAlign w:val="bottom"/>
          </w:tcPr>
          <w:p w:rsidR="000B562B" w:rsidRPr="00FC79B7" w:rsidRDefault="000B562B" w:rsidP="007F57F7">
            <w:pPr>
              <w:pStyle w:val="Text"/>
              <w:keepNext/>
              <w:keepLines/>
              <w:spacing w:before="40" w:after="40" w:line="220" w:lineRule="exact"/>
              <w:jc w:val="right"/>
              <w:rPr>
                <w:rFonts w:ascii="Times New Roman" w:hAnsi="Times New Roman"/>
                <w:sz w:val="18"/>
                <w:szCs w:val="18"/>
                <w:lang w:val="fr-FR"/>
              </w:rPr>
            </w:pPr>
            <w:r w:rsidRPr="00FC79B7">
              <w:rPr>
                <w:rFonts w:ascii="Times New Roman" w:hAnsi="Times New Roman"/>
                <w:sz w:val="18"/>
                <w:szCs w:val="18"/>
                <w:lang w:val="fr-FR"/>
              </w:rPr>
              <w:t>17</w:t>
            </w:r>
            <w:r w:rsidR="00607F75" w:rsidRPr="00FC79B7">
              <w:rPr>
                <w:rFonts w:ascii="Times New Roman" w:hAnsi="Times New Roman"/>
                <w:sz w:val="18"/>
                <w:szCs w:val="18"/>
                <w:lang w:val="fr-FR"/>
              </w:rPr>
              <w:t xml:space="preserve"> </w:t>
            </w:r>
            <w:r w:rsidRPr="00FC79B7">
              <w:rPr>
                <w:rFonts w:ascii="Times New Roman" w:hAnsi="Times New Roman"/>
                <w:sz w:val="18"/>
                <w:szCs w:val="18"/>
                <w:lang w:val="fr-FR"/>
              </w:rPr>
              <w:t>790</w:t>
            </w:r>
          </w:p>
        </w:tc>
      </w:tr>
      <w:tr w:rsidR="000B562B" w:rsidRPr="00A176EA" w:rsidTr="0023058B">
        <w:trPr>
          <w:cantSplit/>
          <w:trHeight w:val="240"/>
        </w:trPr>
        <w:tc>
          <w:tcPr>
            <w:tcW w:w="2646" w:type="dxa"/>
            <w:shd w:val="clear" w:color="auto" w:fill="auto"/>
            <w:vAlign w:val="bottom"/>
          </w:tcPr>
          <w:p w:rsidR="000B562B" w:rsidRPr="00FC79B7" w:rsidRDefault="00275826" w:rsidP="007F57F7">
            <w:pPr>
              <w:pStyle w:val="Text"/>
              <w:keepNext/>
              <w:keepLines/>
              <w:spacing w:before="40" w:after="40" w:line="220" w:lineRule="exact"/>
              <w:rPr>
                <w:rFonts w:ascii="Times New Roman" w:hAnsi="Times New Roman"/>
                <w:sz w:val="18"/>
                <w:szCs w:val="18"/>
                <w:lang w:val="fr-FR"/>
              </w:rPr>
            </w:pPr>
            <w:r w:rsidRPr="00FC79B7">
              <w:rPr>
                <w:rFonts w:ascii="Times New Roman" w:hAnsi="Times New Roman"/>
                <w:sz w:val="18"/>
                <w:szCs w:val="18"/>
                <w:lang w:val="fr-FR"/>
              </w:rPr>
              <w:t>Demandes retirées</w:t>
            </w:r>
          </w:p>
        </w:tc>
        <w:tc>
          <w:tcPr>
            <w:tcW w:w="756" w:type="dxa"/>
            <w:shd w:val="clear" w:color="auto" w:fill="auto"/>
            <w:tcMar>
              <w:right w:w="57" w:type="dxa"/>
            </w:tcMar>
            <w:vAlign w:val="bottom"/>
          </w:tcPr>
          <w:p w:rsidR="000B562B" w:rsidRPr="00FC79B7" w:rsidRDefault="000B562B" w:rsidP="007F57F7">
            <w:pPr>
              <w:pStyle w:val="Text"/>
              <w:keepNext/>
              <w:keepLines/>
              <w:spacing w:before="40" w:after="40" w:line="220" w:lineRule="exact"/>
              <w:jc w:val="right"/>
              <w:rPr>
                <w:rFonts w:ascii="Times New Roman" w:hAnsi="Times New Roman"/>
                <w:sz w:val="18"/>
                <w:szCs w:val="18"/>
                <w:lang w:val="fr-FR"/>
              </w:rPr>
            </w:pPr>
            <w:r w:rsidRPr="00FC79B7">
              <w:rPr>
                <w:rFonts w:ascii="Times New Roman" w:hAnsi="Times New Roman"/>
                <w:sz w:val="18"/>
                <w:szCs w:val="18"/>
                <w:lang w:val="fr-FR"/>
              </w:rPr>
              <w:t>1</w:t>
            </w:r>
            <w:r w:rsidR="00607F75" w:rsidRPr="00FC79B7">
              <w:rPr>
                <w:rFonts w:ascii="Times New Roman" w:hAnsi="Times New Roman"/>
                <w:sz w:val="18"/>
                <w:szCs w:val="18"/>
                <w:lang w:val="fr-FR"/>
              </w:rPr>
              <w:t xml:space="preserve"> </w:t>
            </w:r>
            <w:r w:rsidRPr="00FC79B7">
              <w:rPr>
                <w:rFonts w:ascii="Times New Roman" w:hAnsi="Times New Roman"/>
                <w:sz w:val="18"/>
                <w:szCs w:val="18"/>
                <w:lang w:val="fr-FR"/>
              </w:rPr>
              <w:t>835</w:t>
            </w:r>
          </w:p>
        </w:tc>
        <w:tc>
          <w:tcPr>
            <w:tcW w:w="714" w:type="dxa"/>
            <w:shd w:val="clear" w:color="auto" w:fill="auto"/>
            <w:tcMar>
              <w:right w:w="57" w:type="dxa"/>
            </w:tcMar>
            <w:vAlign w:val="bottom"/>
          </w:tcPr>
          <w:p w:rsidR="000B562B" w:rsidRPr="00FC79B7" w:rsidRDefault="000B562B" w:rsidP="007F57F7">
            <w:pPr>
              <w:pStyle w:val="Text"/>
              <w:keepNext/>
              <w:keepLines/>
              <w:spacing w:before="40" w:after="40" w:line="220" w:lineRule="exact"/>
              <w:jc w:val="right"/>
              <w:rPr>
                <w:rFonts w:ascii="Times New Roman" w:hAnsi="Times New Roman"/>
                <w:sz w:val="18"/>
                <w:szCs w:val="18"/>
                <w:lang w:val="fr-FR"/>
              </w:rPr>
            </w:pPr>
            <w:r w:rsidRPr="00FC79B7">
              <w:rPr>
                <w:rFonts w:ascii="Times New Roman" w:hAnsi="Times New Roman"/>
                <w:sz w:val="18"/>
                <w:szCs w:val="18"/>
                <w:lang w:val="fr-FR"/>
              </w:rPr>
              <w:t>2</w:t>
            </w:r>
            <w:r w:rsidR="00607F75" w:rsidRPr="00FC79B7">
              <w:rPr>
                <w:rFonts w:ascii="Times New Roman" w:hAnsi="Times New Roman"/>
                <w:sz w:val="18"/>
                <w:szCs w:val="18"/>
                <w:lang w:val="fr-FR"/>
              </w:rPr>
              <w:t xml:space="preserve"> </w:t>
            </w:r>
            <w:r w:rsidRPr="00FC79B7">
              <w:rPr>
                <w:rFonts w:ascii="Times New Roman" w:hAnsi="Times New Roman"/>
                <w:sz w:val="18"/>
                <w:szCs w:val="18"/>
                <w:lang w:val="fr-FR"/>
              </w:rPr>
              <w:t>205</w:t>
            </w:r>
          </w:p>
        </w:tc>
        <w:tc>
          <w:tcPr>
            <w:tcW w:w="755" w:type="dxa"/>
            <w:shd w:val="clear" w:color="auto" w:fill="auto"/>
            <w:tcMar>
              <w:right w:w="57" w:type="dxa"/>
            </w:tcMar>
            <w:vAlign w:val="bottom"/>
          </w:tcPr>
          <w:p w:rsidR="000B562B" w:rsidRPr="00FC79B7" w:rsidRDefault="000B562B" w:rsidP="007F57F7">
            <w:pPr>
              <w:pStyle w:val="Text"/>
              <w:keepNext/>
              <w:keepLines/>
              <w:spacing w:before="40" w:after="40" w:line="220" w:lineRule="exact"/>
              <w:jc w:val="right"/>
              <w:rPr>
                <w:rFonts w:ascii="Times New Roman" w:hAnsi="Times New Roman"/>
                <w:sz w:val="18"/>
                <w:szCs w:val="18"/>
                <w:lang w:val="fr-FR"/>
              </w:rPr>
            </w:pPr>
            <w:r w:rsidRPr="00FC79B7">
              <w:rPr>
                <w:rFonts w:ascii="Times New Roman" w:hAnsi="Times New Roman"/>
                <w:sz w:val="18"/>
                <w:szCs w:val="18"/>
                <w:lang w:val="fr-FR"/>
              </w:rPr>
              <w:t>2</w:t>
            </w:r>
            <w:r w:rsidR="00607F75" w:rsidRPr="00FC79B7">
              <w:rPr>
                <w:rFonts w:ascii="Times New Roman" w:hAnsi="Times New Roman"/>
                <w:sz w:val="18"/>
                <w:szCs w:val="18"/>
                <w:lang w:val="fr-FR"/>
              </w:rPr>
              <w:t xml:space="preserve"> </w:t>
            </w:r>
            <w:r w:rsidRPr="00FC79B7">
              <w:rPr>
                <w:rFonts w:ascii="Times New Roman" w:hAnsi="Times New Roman"/>
                <w:sz w:val="18"/>
                <w:szCs w:val="18"/>
                <w:lang w:val="fr-FR"/>
              </w:rPr>
              <w:t>545</w:t>
            </w:r>
          </w:p>
        </w:tc>
        <w:tc>
          <w:tcPr>
            <w:tcW w:w="700" w:type="dxa"/>
            <w:shd w:val="clear" w:color="auto" w:fill="auto"/>
            <w:tcMar>
              <w:right w:w="57" w:type="dxa"/>
            </w:tcMar>
            <w:vAlign w:val="bottom"/>
          </w:tcPr>
          <w:p w:rsidR="000B562B" w:rsidRPr="00FC79B7" w:rsidRDefault="000B562B" w:rsidP="007F57F7">
            <w:pPr>
              <w:pStyle w:val="Text"/>
              <w:keepNext/>
              <w:keepLines/>
              <w:spacing w:before="40" w:after="40" w:line="220" w:lineRule="exact"/>
              <w:jc w:val="right"/>
              <w:rPr>
                <w:rFonts w:ascii="Times New Roman" w:hAnsi="Times New Roman"/>
                <w:sz w:val="18"/>
                <w:szCs w:val="18"/>
                <w:lang w:val="fr-FR"/>
              </w:rPr>
            </w:pPr>
            <w:r w:rsidRPr="00FC79B7">
              <w:rPr>
                <w:rFonts w:ascii="Times New Roman" w:hAnsi="Times New Roman"/>
                <w:sz w:val="18"/>
                <w:szCs w:val="18"/>
                <w:lang w:val="fr-FR"/>
              </w:rPr>
              <w:t>1</w:t>
            </w:r>
            <w:r w:rsidR="00607F75" w:rsidRPr="00FC79B7">
              <w:rPr>
                <w:rFonts w:ascii="Times New Roman" w:hAnsi="Times New Roman"/>
                <w:sz w:val="18"/>
                <w:szCs w:val="18"/>
                <w:lang w:val="fr-FR"/>
              </w:rPr>
              <w:t xml:space="preserve"> </w:t>
            </w:r>
            <w:r w:rsidRPr="00FC79B7">
              <w:rPr>
                <w:rFonts w:ascii="Times New Roman" w:hAnsi="Times New Roman"/>
                <w:sz w:val="18"/>
                <w:szCs w:val="18"/>
                <w:lang w:val="fr-FR"/>
              </w:rPr>
              <w:t>780</w:t>
            </w:r>
          </w:p>
        </w:tc>
        <w:tc>
          <w:tcPr>
            <w:tcW w:w="742" w:type="dxa"/>
            <w:shd w:val="clear" w:color="auto" w:fill="auto"/>
            <w:tcMar>
              <w:right w:w="57" w:type="dxa"/>
            </w:tcMar>
            <w:vAlign w:val="bottom"/>
          </w:tcPr>
          <w:p w:rsidR="000B562B" w:rsidRPr="00FC79B7" w:rsidRDefault="000B562B" w:rsidP="007F57F7">
            <w:pPr>
              <w:pStyle w:val="Text"/>
              <w:keepNext/>
              <w:keepLines/>
              <w:spacing w:before="40" w:after="40" w:line="220" w:lineRule="exact"/>
              <w:jc w:val="right"/>
              <w:rPr>
                <w:rFonts w:ascii="Times New Roman" w:hAnsi="Times New Roman"/>
                <w:sz w:val="18"/>
                <w:szCs w:val="18"/>
                <w:lang w:val="fr-FR"/>
              </w:rPr>
            </w:pPr>
            <w:r w:rsidRPr="00FC79B7">
              <w:rPr>
                <w:rFonts w:ascii="Times New Roman" w:hAnsi="Times New Roman"/>
                <w:sz w:val="18"/>
                <w:szCs w:val="18"/>
                <w:lang w:val="fr-FR"/>
              </w:rPr>
              <w:t>1</w:t>
            </w:r>
            <w:r w:rsidR="00607F75" w:rsidRPr="00FC79B7">
              <w:rPr>
                <w:rFonts w:ascii="Times New Roman" w:hAnsi="Times New Roman"/>
                <w:sz w:val="18"/>
                <w:szCs w:val="18"/>
                <w:lang w:val="fr-FR"/>
              </w:rPr>
              <w:t xml:space="preserve"> </w:t>
            </w:r>
            <w:r w:rsidRPr="00FC79B7">
              <w:rPr>
                <w:rFonts w:ascii="Times New Roman" w:hAnsi="Times New Roman"/>
                <w:sz w:val="18"/>
                <w:szCs w:val="18"/>
                <w:lang w:val="fr-FR"/>
              </w:rPr>
              <w:t>230</w:t>
            </w:r>
          </w:p>
        </w:tc>
        <w:tc>
          <w:tcPr>
            <w:tcW w:w="728" w:type="dxa"/>
            <w:shd w:val="clear" w:color="auto" w:fill="auto"/>
            <w:tcMar>
              <w:right w:w="57" w:type="dxa"/>
            </w:tcMar>
            <w:vAlign w:val="bottom"/>
          </w:tcPr>
          <w:p w:rsidR="000B562B" w:rsidRPr="00FC79B7" w:rsidRDefault="000B562B" w:rsidP="007F57F7">
            <w:pPr>
              <w:pStyle w:val="Text"/>
              <w:keepNext/>
              <w:keepLines/>
              <w:spacing w:before="40" w:after="40" w:line="220" w:lineRule="exact"/>
              <w:jc w:val="right"/>
              <w:rPr>
                <w:rFonts w:ascii="Times New Roman" w:hAnsi="Times New Roman"/>
                <w:sz w:val="18"/>
                <w:szCs w:val="18"/>
                <w:lang w:val="fr-FR"/>
              </w:rPr>
            </w:pPr>
            <w:r w:rsidRPr="00FC79B7">
              <w:rPr>
                <w:rFonts w:ascii="Times New Roman" w:hAnsi="Times New Roman"/>
                <w:sz w:val="18"/>
                <w:szCs w:val="18"/>
                <w:lang w:val="fr-FR"/>
              </w:rPr>
              <w:t>2</w:t>
            </w:r>
            <w:r w:rsidR="00607F75" w:rsidRPr="00FC79B7">
              <w:rPr>
                <w:rFonts w:ascii="Times New Roman" w:hAnsi="Times New Roman"/>
                <w:sz w:val="18"/>
                <w:szCs w:val="18"/>
                <w:lang w:val="fr-FR"/>
              </w:rPr>
              <w:t xml:space="preserve"> </w:t>
            </w:r>
            <w:r w:rsidRPr="00FC79B7">
              <w:rPr>
                <w:rFonts w:ascii="Times New Roman" w:hAnsi="Times New Roman"/>
                <w:sz w:val="18"/>
                <w:szCs w:val="18"/>
                <w:lang w:val="fr-FR"/>
              </w:rPr>
              <w:t>740</w:t>
            </w:r>
          </w:p>
        </w:tc>
        <w:tc>
          <w:tcPr>
            <w:tcW w:w="756" w:type="dxa"/>
            <w:shd w:val="clear" w:color="auto" w:fill="auto"/>
            <w:tcMar>
              <w:right w:w="57" w:type="dxa"/>
            </w:tcMar>
            <w:vAlign w:val="bottom"/>
          </w:tcPr>
          <w:p w:rsidR="000B562B" w:rsidRPr="00FC79B7" w:rsidRDefault="000B562B" w:rsidP="007F57F7">
            <w:pPr>
              <w:pStyle w:val="Text"/>
              <w:keepNext/>
              <w:keepLines/>
              <w:spacing w:before="40" w:after="40" w:line="220" w:lineRule="exact"/>
              <w:jc w:val="right"/>
              <w:rPr>
                <w:rFonts w:ascii="Times New Roman" w:hAnsi="Times New Roman"/>
                <w:sz w:val="18"/>
                <w:szCs w:val="18"/>
                <w:lang w:val="fr-FR"/>
              </w:rPr>
            </w:pPr>
            <w:r w:rsidRPr="00FC79B7">
              <w:rPr>
                <w:rFonts w:ascii="Times New Roman" w:hAnsi="Times New Roman"/>
                <w:sz w:val="18"/>
                <w:szCs w:val="18"/>
                <w:lang w:val="fr-FR"/>
              </w:rPr>
              <w:t>3</w:t>
            </w:r>
            <w:r w:rsidR="00607F75" w:rsidRPr="00FC79B7">
              <w:rPr>
                <w:rFonts w:ascii="Times New Roman" w:hAnsi="Times New Roman"/>
                <w:sz w:val="18"/>
                <w:szCs w:val="18"/>
                <w:lang w:val="fr-FR"/>
              </w:rPr>
              <w:t xml:space="preserve"> </w:t>
            </w:r>
            <w:r w:rsidRPr="00FC79B7">
              <w:rPr>
                <w:rFonts w:ascii="Times New Roman" w:hAnsi="Times New Roman"/>
                <w:sz w:val="18"/>
                <w:szCs w:val="18"/>
                <w:lang w:val="fr-FR"/>
              </w:rPr>
              <w:t>345</w:t>
            </w:r>
          </w:p>
        </w:tc>
        <w:tc>
          <w:tcPr>
            <w:tcW w:w="714" w:type="dxa"/>
            <w:shd w:val="clear" w:color="auto" w:fill="auto"/>
            <w:tcMar>
              <w:right w:w="57" w:type="dxa"/>
            </w:tcMar>
            <w:vAlign w:val="bottom"/>
          </w:tcPr>
          <w:p w:rsidR="000B562B" w:rsidRPr="00FC79B7" w:rsidRDefault="000B562B" w:rsidP="007F57F7">
            <w:pPr>
              <w:pStyle w:val="Text"/>
              <w:keepNext/>
              <w:keepLines/>
              <w:spacing w:before="40" w:after="40" w:line="220" w:lineRule="exact"/>
              <w:jc w:val="right"/>
              <w:rPr>
                <w:rFonts w:ascii="Times New Roman" w:hAnsi="Times New Roman"/>
                <w:sz w:val="18"/>
                <w:szCs w:val="18"/>
                <w:lang w:val="fr-FR"/>
              </w:rPr>
            </w:pPr>
            <w:r w:rsidRPr="00FC79B7">
              <w:rPr>
                <w:rFonts w:ascii="Times New Roman" w:hAnsi="Times New Roman"/>
                <w:sz w:val="18"/>
                <w:szCs w:val="18"/>
                <w:lang w:val="fr-FR"/>
              </w:rPr>
              <w:t>2</w:t>
            </w:r>
            <w:r w:rsidR="00607F75" w:rsidRPr="00FC79B7">
              <w:rPr>
                <w:rFonts w:ascii="Times New Roman" w:hAnsi="Times New Roman"/>
                <w:sz w:val="18"/>
                <w:szCs w:val="18"/>
                <w:lang w:val="fr-FR"/>
              </w:rPr>
              <w:t xml:space="preserve"> </w:t>
            </w:r>
            <w:r w:rsidRPr="00FC79B7">
              <w:rPr>
                <w:rFonts w:ascii="Times New Roman" w:hAnsi="Times New Roman"/>
                <w:sz w:val="18"/>
                <w:szCs w:val="18"/>
                <w:lang w:val="fr-FR"/>
              </w:rPr>
              <w:t>905</w:t>
            </w:r>
          </w:p>
        </w:tc>
      </w:tr>
      <w:tr w:rsidR="000B562B" w:rsidRPr="00A176EA" w:rsidTr="00F54DBF">
        <w:trPr>
          <w:cantSplit/>
          <w:trHeight w:val="240"/>
        </w:trPr>
        <w:tc>
          <w:tcPr>
            <w:tcW w:w="8511" w:type="dxa"/>
            <w:gridSpan w:val="9"/>
            <w:tcBorders>
              <w:bottom w:val="single" w:sz="4" w:space="0" w:color="auto"/>
            </w:tcBorders>
            <w:shd w:val="clear" w:color="auto" w:fill="auto"/>
            <w:vAlign w:val="bottom"/>
          </w:tcPr>
          <w:p w:rsidR="000B562B" w:rsidRPr="00FC79B7" w:rsidRDefault="000B562B" w:rsidP="0081307C">
            <w:pPr>
              <w:pStyle w:val="Text"/>
              <w:keepNext/>
              <w:keepLines/>
              <w:spacing w:before="40" w:after="120" w:line="220" w:lineRule="exact"/>
              <w:rPr>
                <w:rFonts w:ascii="Times New Roman" w:hAnsi="Times New Roman"/>
                <w:sz w:val="18"/>
                <w:szCs w:val="18"/>
                <w:lang w:val="fr-FR"/>
              </w:rPr>
            </w:pPr>
            <w:r w:rsidRPr="00FC79B7">
              <w:rPr>
                <w:rFonts w:ascii="Times New Roman" w:hAnsi="Times New Roman"/>
                <w:sz w:val="18"/>
                <w:szCs w:val="18"/>
                <w:lang w:val="fr-FR"/>
              </w:rPr>
              <w:t>P</w:t>
            </w:r>
            <w:r w:rsidR="003961C5" w:rsidRPr="00FC79B7">
              <w:rPr>
                <w:rFonts w:ascii="Times New Roman" w:hAnsi="Times New Roman"/>
                <w:sz w:val="18"/>
                <w:szCs w:val="18"/>
                <w:lang w:val="fr-FR"/>
              </w:rPr>
              <w:t>ou</w:t>
            </w:r>
            <w:r w:rsidRPr="00FC79B7">
              <w:rPr>
                <w:rFonts w:ascii="Times New Roman" w:hAnsi="Times New Roman"/>
                <w:sz w:val="18"/>
                <w:szCs w:val="18"/>
                <w:lang w:val="fr-FR"/>
              </w:rPr>
              <w:t xml:space="preserve">rcentage </w:t>
            </w:r>
            <w:r w:rsidR="003961C5" w:rsidRPr="00FC79B7">
              <w:rPr>
                <w:rFonts w:ascii="Times New Roman" w:hAnsi="Times New Roman"/>
                <w:sz w:val="18"/>
                <w:szCs w:val="18"/>
                <w:lang w:val="fr-FR"/>
              </w:rPr>
              <w:t>de</w:t>
            </w:r>
            <w:r w:rsidRPr="00FC79B7">
              <w:rPr>
                <w:rFonts w:ascii="Times New Roman" w:hAnsi="Times New Roman"/>
                <w:sz w:val="18"/>
                <w:szCs w:val="18"/>
                <w:lang w:val="fr-FR"/>
              </w:rPr>
              <w:t xml:space="preserve"> </w:t>
            </w:r>
            <w:r w:rsidR="003961C5" w:rsidRPr="00FC79B7">
              <w:rPr>
                <w:rFonts w:ascii="Times New Roman" w:hAnsi="Times New Roman"/>
                <w:sz w:val="18"/>
                <w:szCs w:val="18"/>
                <w:lang w:val="fr-FR"/>
              </w:rPr>
              <w:t xml:space="preserve">décisions </w:t>
            </w:r>
            <w:r w:rsidRPr="00FC79B7">
              <w:rPr>
                <w:rFonts w:ascii="Times New Roman" w:hAnsi="Times New Roman"/>
                <w:sz w:val="18"/>
                <w:szCs w:val="18"/>
                <w:lang w:val="fr-FR"/>
              </w:rPr>
              <w:t>initial</w:t>
            </w:r>
            <w:r w:rsidR="003961C5" w:rsidRPr="00FC79B7">
              <w:rPr>
                <w:rFonts w:ascii="Times New Roman" w:hAnsi="Times New Roman"/>
                <w:sz w:val="18"/>
                <w:szCs w:val="18"/>
                <w:lang w:val="fr-FR"/>
              </w:rPr>
              <w:t>es</w:t>
            </w:r>
            <w:r w:rsidRPr="00FC79B7">
              <w:rPr>
                <w:rFonts w:ascii="Times New Roman" w:hAnsi="Times New Roman"/>
                <w:sz w:val="18"/>
                <w:szCs w:val="18"/>
                <w:lang w:val="fr-FR"/>
              </w:rPr>
              <w:t xml:space="preserve"> </w:t>
            </w:r>
            <w:r w:rsidR="003961C5" w:rsidRPr="00FC79B7">
              <w:rPr>
                <w:rFonts w:ascii="Times New Roman" w:hAnsi="Times New Roman"/>
                <w:sz w:val="18"/>
                <w:szCs w:val="18"/>
                <w:lang w:val="fr-FR"/>
              </w:rPr>
              <w:t xml:space="preserve">prises dans le cadre d’une procédure </w:t>
            </w:r>
            <w:r w:rsidRPr="00FC79B7">
              <w:rPr>
                <w:rFonts w:ascii="Times New Roman" w:hAnsi="Times New Roman"/>
                <w:sz w:val="18"/>
                <w:szCs w:val="18"/>
                <w:lang w:val="fr-FR"/>
              </w:rPr>
              <w:t>normal</w:t>
            </w:r>
            <w:r w:rsidR="003961C5" w:rsidRPr="00FC79B7">
              <w:rPr>
                <w:rFonts w:ascii="Times New Roman" w:hAnsi="Times New Roman"/>
                <w:sz w:val="18"/>
                <w:szCs w:val="18"/>
                <w:lang w:val="fr-FR"/>
              </w:rPr>
              <w:t>e</w:t>
            </w:r>
          </w:p>
        </w:tc>
      </w:tr>
      <w:tr w:rsidR="000B562B" w:rsidRPr="00D81A49" w:rsidTr="0023058B">
        <w:trPr>
          <w:cantSplit/>
          <w:trHeight w:val="240"/>
        </w:trPr>
        <w:tc>
          <w:tcPr>
            <w:tcW w:w="2646" w:type="dxa"/>
            <w:tcBorders>
              <w:top w:val="single" w:sz="4" w:space="0" w:color="auto"/>
              <w:bottom w:val="single" w:sz="4" w:space="0" w:color="auto"/>
            </w:tcBorders>
            <w:shd w:val="clear" w:color="auto" w:fill="auto"/>
          </w:tcPr>
          <w:p w:rsidR="000B562B" w:rsidRPr="00D81A49" w:rsidRDefault="000B562B" w:rsidP="005C6E16">
            <w:pPr>
              <w:pStyle w:val="Text"/>
              <w:keepNext/>
              <w:keepLines/>
              <w:spacing w:before="80" w:after="80" w:line="220" w:lineRule="exact"/>
              <w:ind w:left="283"/>
              <w:rPr>
                <w:rFonts w:ascii="Times New Roman" w:hAnsi="Times New Roman"/>
                <w:b/>
                <w:bCs/>
                <w:sz w:val="18"/>
                <w:szCs w:val="18"/>
                <w:lang w:val="fr-FR"/>
              </w:rPr>
            </w:pPr>
            <w:r w:rsidRPr="00D81A49">
              <w:rPr>
                <w:rFonts w:ascii="Times New Roman" w:hAnsi="Times New Roman"/>
                <w:b/>
                <w:bCs/>
                <w:sz w:val="18"/>
                <w:szCs w:val="18"/>
                <w:lang w:val="fr-FR"/>
              </w:rPr>
              <w:t>Total</w:t>
            </w:r>
          </w:p>
        </w:tc>
        <w:tc>
          <w:tcPr>
            <w:tcW w:w="756" w:type="dxa"/>
            <w:tcBorders>
              <w:top w:val="single" w:sz="4" w:space="0" w:color="auto"/>
              <w:bottom w:val="single" w:sz="4" w:space="0" w:color="auto"/>
            </w:tcBorders>
            <w:shd w:val="clear" w:color="auto" w:fill="auto"/>
            <w:tcMar>
              <w:right w:w="57" w:type="dxa"/>
            </w:tcMar>
            <w:vAlign w:val="bottom"/>
          </w:tcPr>
          <w:p w:rsidR="000B562B" w:rsidRPr="00D81A49" w:rsidRDefault="000B562B" w:rsidP="005C6E16">
            <w:pPr>
              <w:pStyle w:val="Text"/>
              <w:keepNext/>
              <w:keepLines/>
              <w:spacing w:before="80" w:after="80" w:line="220" w:lineRule="exact"/>
              <w:jc w:val="right"/>
              <w:rPr>
                <w:rFonts w:ascii="Times New Roman" w:hAnsi="Times New Roman"/>
                <w:b/>
                <w:bCs/>
                <w:sz w:val="18"/>
                <w:szCs w:val="18"/>
                <w:lang w:val="fr-FR"/>
              </w:rPr>
            </w:pPr>
            <w:r w:rsidRPr="00D81A49">
              <w:rPr>
                <w:rFonts w:ascii="Times New Roman" w:hAnsi="Times New Roman"/>
                <w:b/>
                <w:bCs/>
                <w:sz w:val="18"/>
                <w:szCs w:val="18"/>
                <w:lang w:val="fr-FR"/>
              </w:rPr>
              <w:t>(100)</w:t>
            </w:r>
          </w:p>
        </w:tc>
        <w:tc>
          <w:tcPr>
            <w:tcW w:w="714" w:type="dxa"/>
            <w:tcBorders>
              <w:top w:val="single" w:sz="4" w:space="0" w:color="auto"/>
              <w:bottom w:val="single" w:sz="4" w:space="0" w:color="auto"/>
            </w:tcBorders>
            <w:shd w:val="clear" w:color="auto" w:fill="auto"/>
            <w:tcMar>
              <w:right w:w="57" w:type="dxa"/>
            </w:tcMar>
            <w:vAlign w:val="bottom"/>
          </w:tcPr>
          <w:p w:rsidR="000B562B" w:rsidRPr="00D81A49" w:rsidRDefault="000B562B" w:rsidP="005C6E16">
            <w:pPr>
              <w:pStyle w:val="Text"/>
              <w:keepNext/>
              <w:keepLines/>
              <w:spacing w:before="80" w:after="80" w:line="220" w:lineRule="exact"/>
              <w:jc w:val="right"/>
              <w:rPr>
                <w:rFonts w:ascii="Times New Roman" w:hAnsi="Times New Roman"/>
                <w:b/>
                <w:bCs/>
                <w:sz w:val="18"/>
                <w:szCs w:val="18"/>
                <w:lang w:val="fr-FR"/>
              </w:rPr>
            </w:pPr>
            <w:r w:rsidRPr="00D81A49">
              <w:rPr>
                <w:rFonts w:ascii="Times New Roman" w:hAnsi="Times New Roman"/>
                <w:b/>
                <w:bCs/>
                <w:sz w:val="18"/>
                <w:szCs w:val="18"/>
                <w:lang w:val="fr-FR"/>
              </w:rPr>
              <w:t>(100)</w:t>
            </w:r>
          </w:p>
        </w:tc>
        <w:tc>
          <w:tcPr>
            <w:tcW w:w="755" w:type="dxa"/>
            <w:tcBorders>
              <w:top w:val="single" w:sz="4" w:space="0" w:color="auto"/>
              <w:bottom w:val="single" w:sz="4" w:space="0" w:color="auto"/>
            </w:tcBorders>
            <w:shd w:val="clear" w:color="auto" w:fill="auto"/>
            <w:tcMar>
              <w:right w:w="57" w:type="dxa"/>
            </w:tcMar>
            <w:vAlign w:val="bottom"/>
          </w:tcPr>
          <w:p w:rsidR="000B562B" w:rsidRPr="00D81A49" w:rsidRDefault="000B562B" w:rsidP="005C6E16">
            <w:pPr>
              <w:pStyle w:val="Text"/>
              <w:keepNext/>
              <w:keepLines/>
              <w:spacing w:before="80" w:after="80" w:line="220" w:lineRule="exact"/>
              <w:jc w:val="right"/>
              <w:rPr>
                <w:rFonts w:ascii="Times New Roman" w:hAnsi="Times New Roman"/>
                <w:b/>
                <w:bCs/>
                <w:sz w:val="18"/>
                <w:szCs w:val="18"/>
                <w:lang w:val="fr-FR"/>
              </w:rPr>
            </w:pPr>
            <w:r w:rsidRPr="00D81A49">
              <w:rPr>
                <w:rFonts w:ascii="Times New Roman" w:hAnsi="Times New Roman"/>
                <w:b/>
                <w:bCs/>
                <w:sz w:val="18"/>
                <w:szCs w:val="18"/>
                <w:lang w:val="fr-FR"/>
              </w:rPr>
              <w:t>(100)</w:t>
            </w:r>
          </w:p>
        </w:tc>
        <w:tc>
          <w:tcPr>
            <w:tcW w:w="700" w:type="dxa"/>
            <w:tcBorders>
              <w:top w:val="single" w:sz="4" w:space="0" w:color="auto"/>
              <w:bottom w:val="single" w:sz="4" w:space="0" w:color="auto"/>
            </w:tcBorders>
            <w:shd w:val="clear" w:color="auto" w:fill="auto"/>
            <w:tcMar>
              <w:right w:w="57" w:type="dxa"/>
            </w:tcMar>
            <w:vAlign w:val="bottom"/>
          </w:tcPr>
          <w:p w:rsidR="000B562B" w:rsidRPr="00D81A49" w:rsidRDefault="000B562B" w:rsidP="005C6E16">
            <w:pPr>
              <w:pStyle w:val="Text"/>
              <w:keepNext/>
              <w:keepLines/>
              <w:spacing w:before="80" w:after="80" w:line="220" w:lineRule="exact"/>
              <w:jc w:val="right"/>
              <w:rPr>
                <w:rFonts w:ascii="Times New Roman" w:hAnsi="Times New Roman"/>
                <w:b/>
                <w:bCs/>
                <w:sz w:val="18"/>
                <w:szCs w:val="18"/>
                <w:lang w:val="fr-FR"/>
              </w:rPr>
            </w:pPr>
            <w:r w:rsidRPr="00D81A49">
              <w:rPr>
                <w:rFonts w:ascii="Times New Roman" w:hAnsi="Times New Roman"/>
                <w:b/>
                <w:bCs/>
                <w:sz w:val="18"/>
                <w:szCs w:val="18"/>
                <w:lang w:val="fr-FR"/>
              </w:rPr>
              <w:t>(100)</w:t>
            </w:r>
          </w:p>
        </w:tc>
        <w:tc>
          <w:tcPr>
            <w:tcW w:w="742" w:type="dxa"/>
            <w:tcBorders>
              <w:top w:val="single" w:sz="4" w:space="0" w:color="auto"/>
              <w:bottom w:val="single" w:sz="4" w:space="0" w:color="auto"/>
            </w:tcBorders>
            <w:shd w:val="clear" w:color="auto" w:fill="auto"/>
            <w:tcMar>
              <w:right w:w="57" w:type="dxa"/>
            </w:tcMar>
            <w:vAlign w:val="bottom"/>
          </w:tcPr>
          <w:p w:rsidR="000B562B" w:rsidRPr="00D81A49" w:rsidRDefault="000B562B" w:rsidP="005C6E16">
            <w:pPr>
              <w:pStyle w:val="Text"/>
              <w:keepNext/>
              <w:keepLines/>
              <w:spacing w:before="80" w:after="80" w:line="220" w:lineRule="exact"/>
              <w:jc w:val="right"/>
              <w:rPr>
                <w:rFonts w:ascii="Times New Roman" w:hAnsi="Times New Roman"/>
                <w:b/>
                <w:bCs/>
                <w:sz w:val="18"/>
                <w:szCs w:val="18"/>
                <w:lang w:val="fr-FR"/>
              </w:rPr>
            </w:pPr>
            <w:r w:rsidRPr="00D81A49">
              <w:rPr>
                <w:rFonts w:ascii="Times New Roman" w:hAnsi="Times New Roman"/>
                <w:b/>
                <w:bCs/>
                <w:sz w:val="18"/>
                <w:szCs w:val="18"/>
                <w:lang w:val="fr-FR"/>
              </w:rPr>
              <w:t>(100)</w:t>
            </w:r>
          </w:p>
        </w:tc>
        <w:tc>
          <w:tcPr>
            <w:tcW w:w="728" w:type="dxa"/>
            <w:tcBorders>
              <w:top w:val="single" w:sz="4" w:space="0" w:color="auto"/>
              <w:bottom w:val="single" w:sz="4" w:space="0" w:color="auto"/>
            </w:tcBorders>
            <w:shd w:val="clear" w:color="auto" w:fill="auto"/>
            <w:tcMar>
              <w:right w:w="57" w:type="dxa"/>
            </w:tcMar>
            <w:vAlign w:val="bottom"/>
          </w:tcPr>
          <w:p w:rsidR="000B562B" w:rsidRPr="00D81A49" w:rsidRDefault="000B562B" w:rsidP="005C6E16">
            <w:pPr>
              <w:pStyle w:val="Text"/>
              <w:keepNext/>
              <w:keepLines/>
              <w:spacing w:before="80" w:after="80" w:line="220" w:lineRule="exact"/>
              <w:jc w:val="right"/>
              <w:rPr>
                <w:rFonts w:ascii="Times New Roman" w:hAnsi="Times New Roman"/>
                <w:b/>
                <w:bCs/>
                <w:sz w:val="18"/>
                <w:szCs w:val="18"/>
                <w:lang w:val="fr-FR"/>
              </w:rPr>
            </w:pPr>
            <w:r w:rsidRPr="00D81A49">
              <w:rPr>
                <w:rFonts w:ascii="Times New Roman" w:hAnsi="Times New Roman"/>
                <w:b/>
                <w:bCs/>
                <w:sz w:val="18"/>
                <w:szCs w:val="18"/>
                <w:lang w:val="fr-FR"/>
              </w:rPr>
              <w:t>(100)</w:t>
            </w:r>
          </w:p>
        </w:tc>
        <w:tc>
          <w:tcPr>
            <w:tcW w:w="756" w:type="dxa"/>
            <w:tcBorders>
              <w:top w:val="single" w:sz="4" w:space="0" w:color="auto"/>
              <w:bottom w:val="single" w:sz="4" w:space="0" w:color="auto"/>
            </w:tcBorders>
            <w:shd w:val="clear" w:color="auto" w:fill="auto"/>
            <w:tcMar>
              <w:right w:w="57" w:type="dxa"/>
            </w:tcMar>
            <w:vAlign w:val="bottom"/>
          </w:tcPr>
          <w:p w:rsidR="000B562B" w:rsidRPr="00D81A49" w:rsidRDefault="000B562B" w:rsidP="005C6E16">
            <w:pPr>
              <w:pStyle w:val="Text"/>
              <w:keepNext/>
              <w:keepLines/>
              <w:spacing w:before="80" w:after="80" w:line="220" w:lineRule="exact"/>
              <w:jc w:val="right"/>
              <w:rPr>
                <w:rFonts w:ascii="Times New Roman" w:hAnsi="Times New Roman"/>
                <w:b/>
                <w:bCs/>
                <w:sz w:val="18"/>
                <w:szCs w:val="18"/>
                <w:lang w:val="fr-FR"/>
              </w:rPr>
            </w:pPr>
            <w:r w:rsidRPr="00D81A49">
              <w:rPr>
                <w:rFonts w:ascii="Times New Roman" w:hAnsi="Times New Roman"/>
                <w:b/>
                <w:bCs/>
                <w:sz w:val="18"/>
                <w:szCs w:val="18"/>
                <w:lang w:val="fr-FR"/>
              </w:rPr>
              <w:t>(100)</w:t>
            </w:r>
          </w:p>
        </w:tc>
        <w:tc>
          <w:tcPr>
            <w:tcW w:w="714" w:type="dxa"/>
            <w:tcBorders>
              <w:top w:val="single" w:sz="4" w:space="0" w:color="auto"/>
              <w:bottom w:val="single" w:sz="4" w:space="0" w:color="auto"/>
            </w:tcBorders>
            <w:shd w:val="clear" w:color="auto" w:fill="auto"/>
            <w:tcMar>
              <w:right w:w="57" w:type="dxa"/>
            </w:tcMar>
            <w:vAlign w:val="bottom"/>
          </w:tcPr>
          <w:p w:rsidR="000B562B" w:rsidRPr="00D81A49" w:rsidRDefault="000B562B" w:rsidP="005C6E16">
            <w:pPr>
              <w:pStyle w:val="Text"/>
              <w:keepNext/>
              <w:keepLines/>
              <w:spacing w:before="80" w:after="80" w:line="220" w:lineRule="exact"/>
              <w:jc w:val="right"/>
              <w:rPr>
                <w:rFonts w:ascii="Times New Roman" w:hAnsi="Times New Roman"/>
                <w:b/>
                <w:bCs/>
                <w:sz w:val="18"/>
                <w:szCs w:val="18"/>
                <w:lang w:val="fr-FR"/>
              </w:rPr>
            </w:pPr>
            <w:r w:rsidRPr="00D81A49">
              <w:rPr>
                <w:rFonts w:ascii="Times New Roman" w:hAnsi="Times New Roman"/>
                <w:b/>
                <w:bCs/>
                <w:sz w:val="18"/>
                <w:szCs w:val="18"/>
                <w:lang w:val="fr-FR"/>
              </w:rPr>
              <w:t>(100)</w:t>
            </w:r>
          </w:p>
        </w:tc>
      </w:tr>
      <w:tr w:rsidR="000B562B" w:rsidRPr="00A176EA" w:rsidTr="0023058B">
        <w:trPr>
          <w:cantSplit/>
          <w:trHeight w:val="240"/>
        </w:trPr>
        <w:tc>
          <w:tcPr>
            <w:tcW w:w="2646" w:type="dxa"/>
            <w:tcBorders>
              <w:top w:val="single" w:sz="4" w:space="0" w:color="auto"/>
            </w:tcBorders>
            <w:shd w:val="clear" w:color="auto" w:fill="auto"/>
            <w:vAlign w:val="bottom"/>
          </w:tcPr>
          <w:p w:rsidR="000B562B" w:rsidRPr="00FC79B7" w:rsidRDefault="003961C5" w:rsidP="007F57F7">
            <w:pPr>
              <w:pStyle w:val="Text"/>
              <w:keepNext/>
              <w:keepLines/>
              <w:spacing w:before="40" w:after="40" w:line="220" w:lineRule="exact"/>
              <w:rPr>
                <w:rFonts w:ascii="Times New Roman" w:hAnsi="Times New Roman"/>
                <w:sz w:val="18"/>
                <w:szCs w:val="18"/>
                <w:lang w:val="fr-FR"/>
              </w:rPr>
            </w:pPr>
            <w:r w:rsidRPr="00FC79B7">
              <w:rPr>
                <w:rFonts w:ascii="Times New Roman" w:hAnsi="Times New Roman"/>
                <w:sz w:val="18"/>
                <w:szCs w:val="18"/>
                <w:lang w:val="fr-FR"/>
              </w:rPr>
              <w:t>Asile accordé</w:t>
            </w:r>
          </w:p>
        </w:tc>
        <w:tc>
          <w:tcPr>
            <w:tcW w:w="756" w:type="dxa"/>
            <w:tcBorders>
              <w:top w:val="single" w:sz="4" w:space="0" w:color="auto"/>
            </w:tcBorders>
            <w:shd w:val="clear" w:color="auto" w:fill="auto"/>
            <w:tcMar>
              <w:right w:w="57" w:type="dxa"/>
            </w:tcMar>
            <w:vAlign w:val="bottom"/>
          </w:tcPr>
          <w:p w:rsidR="000B562B" w:rsidRPr="00FC79B7" w:rsidRDefault="000B562B" w:rsidP="007F57F7">
            <w:pPr>
              <w:pStyle w:val="Text"/>
              <w:keepNext/>
              <w:keepLines/>
              <w:spacing w:before="40" w:after="40" w:line="220" w:lineRule="exact"/>
              <w:jc w:val="right"/>
              <w:rPr>
                <w:rFonts w:ascii="Times New Roman" w:hAnsi="Times New Roman"/>
                <w:sz w:val="18"/>
                <w:szCs w:val="18"/>
                <w:lang w:val="fr-FR"/>
              </w:rPr>
            </w:pPr>
            <w:r w:rsidRPr="00FC79B7">
              <w:rPr>
                <w:rFonts w:ascii="Times New Roman" w:hAnsi="Times New Roman"/>
                <w:sz w:val="18"/>
                <w:szCs w:val="18"/>
                <w:lang w:val="fr-FR"/>
              </w:rPr>
              <w:t>(6)</w:t>
            </w:r>
          </w:p>
        </w:tc>
        <w:tc>
          <w:tcPr>
            <w:tcW w:w="714" w:type="dxa"/>
            <w:tcBorders>
              <w:top w:val="single" w:sz="4" w:space="0" w:color="auto"/>
            </w:tcBorders>
            <w:shd w:val="clear" w:color="auto" w:fill="auto"/>
            <w:tcMar>
              <w:right w:w="57" w:type="dxa"/>
            </w:tcMar>
            <w:vAlign w:val="bottom"/>
          </w:tcPr>
          <w:p w:rsidR="000B562B" w:rsidRPr="00FC79B7" w:rsidRDefault="000B562B" w:rsidP="007F57F7">
            <w:pPr>
              <w:pStyle w:val="Text"/>
              <w:keepNext/>
              <w:keepLines/>
              <w:spacing w:before="40" w:after="40" w:line="220" w:lineRule="exact"/>
              <w:jc w:val="right"/>
              <w:rPr>
                <w:rFonts w:ascii="Times New Roman" w:hAnsi="Times New Roman"/>
                <w:sz w:val="18"/>
                <w:szCs w:val="18"/>
                <w:lang w:val="fr-FR"/>
              </w:rPr>
            </w:pPr>
            <w:r w:rsidRPr="00FC79B7">
              <w:rPr>
                <w:rFonts w:ascii="Times New Roman" w:hAnsi="Times New Roman"/>
                <w:sz w:val="18"/>
                <w:szCs w:val="18"/>
                <w:lang w:val="fr-FR"/>
              </w:rPr>
              <w:t>(3)</w:t>
            </w:r>
          </w:p>
        </w:tc>
        <w:tc>
          <w:tcPr>
            <w:tcW w:w="755" w:type="dxa"/>
            <w:tcBorders>
              <w:top w:val="single" w:sz="4" w:space="0" w:color="auto"/>
            </w:tcBorders>
            <w:shd w:val="clear" w:color="auto" w:fill="auto"/>
            <w:tcMar>
              <w:right w:w="57" w:type="dxa"/>
            </w:tcMar>
            <w:vAlign w:val="bottom"/>
          </w:tcPr>
          <w:p w:rsidR="000B562B" w:rsidRPr="00FC79B7" w:rsidRDefault="000B562B" w:rsidP="007F57F7">
            <w:pPr>
              <w:pStyle w:val="Text"/>
              <w:keepNext/>
              <w:keepLines/>
              <w:spacing w:before="40" w:after="40" w:line="220" w:lineRule="exact"/>
              <w:jc w:val="right"/>
              <w:rPr>
                <w:rFonts w:ascii="Times New Roman" w:hAnsi="Times New Roman"/>
                <w:sz w:val="18"/>
                <w:szCs w:val="18"/>
                <w:lang w:val="fr-FR"/>
              </w:rPr>
            </w:pPr>
            <w:r w:rsidRPr="00FC79B7">
              <w:rPr>
                <w:rFonts w:ascii="Times New Roman" w:hAnsi="Times New Roman"/>
                <w:sz w:val="18"/>
                <w:szCs w:val="18"/>
                <w:lang w:val="fr-FR"/>
              </w:rPr>
              <w:t>(7)</w:t>
            </w:r>
          </w:p>
        </w:tc>
        <w:tc>
          <w:tcPr>
            <w:tcW w:w="700" w:type="dxa"/>
            <w:tcBorders>
              <w:top w:val="single" w:sz="4" w:space="0" w:color="auto"/>
            </w:tcBorders>
            <w:shd w:val="clear" w:color="auto" w:fill="auto"/>
            <w:tcMar>
              <w:right w:w="57" w:type="dxa"/>
            </w:tcMar>
            <w:vAlign w:val="bottom"/>
          </w:tcPr>
          <w:p w:rsidR="000B562B" w:rsidRPr="00FC79B7" w:rsidRDefault="000B562B" w:rsidP="007F57F7">
            <w:pPr>
              <w:pStyle w:val="Text"/>
              <w:keepNext/>
              <w:keepLines/>
              <w:spacing w:before="40" w:after="40" w:line="220" w:lineRule="exact"/>
              <w:jc w:val="right"/>
              <w:rPr>
                <w:rFonts w:ascii="Times New Roman" w:hAnsi="Times New Roman"/>
                <w:sz w:val="18"/>
                <w:szCs w:val="18"/>
                <w:lang w:val="fr-FR"/>
              </w:rPr>
            </w:pPr>
            <w:r w:rsidRPr="00FC79B7">
              <w:rPr>
                <w:rFonts w:ascii="Times New Roman" w:hAnsi="Times New Roman"/>
                <w:sz w:val="18"/>
                <w:szCs w:val="18"/>
                <w:lang w:val="fr-FR"/>
              </w:rPr>
              <w:t>(10)</w:t>
            </w:r>
          </w:p>
        </w:tc>
        <w:tc>
          <w:tcPr>
            <w:tcW w:w="742" w:type="dxa"/>
            <w:tcBorders>
              <w:top w:val="single" w:sz="4" w:space="0" w:color="auto"/>
            </w:tcBorders>
            <w:shd w:val="clear" w:color="auto" w:fill="auto"/>
            <w:tcMar>
              <w:right w:w="57" w:type="dxa"/>
            </w:tcMar>
            <w:vAlign w:val="bottom"/>
          </w:tcPr>
          <w:p w:rsidR="000B562B" w:rsidRPr="00FC79B7" w:rsidRDefault="000B562B" w:rsidP="007F57F7">
            <w:pPr>
              <w:pStyle w:val="Text"/>
              <w:keepNext/>
              <w:keepLines/>
              <w:spacing w:before="40" w:after="40" w:line="220" w:lineRule="exact"/>
              <w:jc w:val="right"/>
              <w:rPr>
                <w:rFonts w:ascii="Times New Roman" w:hAnsi="Times New Roman"/>
                <w:sz w:val="18"/>
                <w:szCs w:val="18"/>
                <w:lang w:val="fr-FR"/>
              </w:rPr>
            </w:pPr>
            <w:r w:rsidRPr="00FC79B7">
              <w:rPr>
                <w:rFonts w:ascii="Times New Roman" w:hAnsi="Times New Roman"/>
                <w:sz w:val="18"/>
                <w:szCs w:val="18"/>
                <w:lang w:val="fr-FR"/>
              </w:rPr>
              <w:t>(16)</w:t>
            </w:r>
          </w:p>
        </w:tc>
        <w:tc>
          <w:tcPr>
            <w:tcW w:w="728" w:type="dxa"/>
            <w:tcBorders>
              <w:top w:val="single" w:sz="4" w:space="0" w:color="auto"/>
            </w:tcBorders>
            <w:shd w:val="clear" w:color="auto" w:fill="auto"/>
            <w:tcMar>
              <w:right w:w="57" w:type="dxa"/>
            </w:tcMar>
            <w:vAlign w:val="bottom"/>
          </w:tcPr>
          <w:p w:rsidR="000B562B" w:rsidRPr="00FC79B7" w:rsidRDefault="000B562B" w:rsidP="007F57F7">
            <w:pPr>
              <w:pStyle w:val="Text"/>
              <w:keepNext/>
              <w:keepLines/>
              <w:spacing w:before="40" w:after="40" w:line="220" w:lineRule="exact"/>
              <w:jc w:val="right"/>
              <w:rPr>
                <w:rFonts w:ascii="Times New Roman" w:hAnsi="Times New Roman"/>
                <w:sz w:val="18"/>
                <w:szCs w:val="18"/>
                <w:lang w:val="fr-FR"/>
              </w:rPr>
            </w:pPr>
            <w:r w:rsidRPr="00FC79B7">
              <w:rPr>
                <w:rFonts w:ascii="Times New Roman" w:hAnsi="Times New Roman"/>
                <w:sz w:val="18"/>
                <w:szCs w:val="18"/>
                <w:lang w:val="fr-FR"/>
              </w:rPr>
              <w:t>(19)</w:t>
            </w:r>
          </w:p>
        </w:tc>
        <w:tc>
          <w:tcPr>
            <w:tcW w:w="756" w:type="dxa"/>
            <w:tcBorders>
              <w:top w:val="single" w:sz="4" w:space="0" w:color="auto"/>
            </w:tcBorders>
            <w:shd w:val="clear" w:color="auto" w:fill="auto"/>
            <w:tcMar>
              <w:right w:w="57" w:type="dxa"/>
            </w:tcMar>
            <w:vAlign w:val="bottom"/>
          </w:tcPr>
          <w:p w:rsidR="000B562B" w:rsidRPr="00FC79B7" w:rsidRDefault="000B562B" w:rsidP="007F57F7">
            <w:pPr>
              <w:pStyle w:val="Text"/>
              <w:keepNext/>
              <w:keepLines/>
              <w:spacing w:before="40" w:after="40" w:line="220" w:lineRule="exact"/>
              <w:jc w:val="right"/>
              <w:rPr>
                <w:rFonts w:ascii="Times New Roman" w:hAnsi="Times New Roman"/>
                <w:sz w:val="18"/>
                <w:szCs w:val="18"/>
                <w:lang w:val="fr-FR"/>
              </w:rPr>
            </w:pPr>
            <w:r w:rsidRPr="00FC79B7">
              <w:rPr>
                <w:rFonts w:ascii="Times New Roman" w:hAnsi="Times New Roman"/>
                <w:sz w:val="18"/>
                <w:szCs w:val="18"/>
                <w:lang w:val="fr-FR"/>
              </w:rPr>
              <w:t>(17)</w:t>
            </w:r>
          </w:p>
        </w:tc>
        <w:tc>
          <w:tcPr>
            <w:tcW w:w="714" w:type="dxa"/>
            <w:tcBorders>
              <w:top w:val="single" w:sz="4" w:space="0" w:color="auto"/>
            </w:tcBorders>
            <w:shd w:val="clear" w:color="auto" w:fill="auto"/>
            <w:tcMar>
              <w:right w:w="57" w:type="dxa"/>
            </w:tcMar>
            <w:vAlign w:val="bottom"/>
          </w:tcPr>
          <w:p w:rsidR="000B562B" w:rsidRPr="00FC79B7" w:rsidRDefault="000B562B" w:rsidP="007F57F7">
            <w:pPr>
              <w:pStyle w:val="Text"/>
              <w:keepNext/>
              <w:keepLines/>
              <w:spacing w:before="40" w:after="40" w:line="220" w:lineRule="exact"/>
              <w:jc w:val="right"/>
              <w:rPr>
                <w:rFonts w:ascii="Times New Roman" w:hAnsi="Times New Roman"/>
                <w:sz w:val="18"/>
                <w:szCs w:val="18"/>
                <w:lang w:val="fr-FR"/>
              </w:rPr>
            </w:pPr>
            <w:r w:rsidRPr="00FC79B7">
              <w:rPr>
                <w:rFonts w:ascii="Times New Roman" w:hAnsi="Times New Roman"/>
                <w:sz w:val="18"/>
                <w:szCs w:val="18"/>
                <w:lang w:val="fr-FR"/>
              </w:rPr>
              <w:t>(17)</w:t>
            </w:r>
          </w:p>
        </w:tc>
      </w:tr>
      <w:tr w:rsidR="000B562B" w:rsidRPr="00A176EA" w:rsidTr="0023058B">
        <w:trPr>
          <w:cantSplit/>
          <w:trHeight w:val="240"/>
        </w:trPr>
        <w:tc>
          <w:tcPr>
            <w:tcW w:w="2646" w:type="dxa"/>
            <w:shd w:val="clear" w:color="auto" w:fill="auto"/>
            <w:vAlign w:val="bottom"/>
          </w:tcPr>
          <w:p w:rsidR="000B562B" w:rsidRPr="00FC79B7" w:rsidRDefault="003961C5" w:rsidP="007F57F7">
            <w:pPr>
              <w:pStyle w:val="Text"/>
              <w:keepNext/>
              <w:keepLines/>
              <w:spacing w:before="40" w:after="40" w:line="220" w:lineRule="exact"/>
              <w:rPr>
                <w:rFonts w:ascii="Times New Roman" w:hAnsi="Times New Roman"/>
                <w:sz w:val="18"/>
                <w:szCs w:val="18"/>
                <w:lang w:val="fr-FR"/>
              </w:rPr>
            </w:pPr>
            <w:r w:rsidRPr="00FC79B7">
              <w:rPr>
                <w:rFonts w:ascii="Times New Roman" w:hAnsi="Times New Roman"/>
                <w:sz w:val="18"/>
                <w:szCs w:val="18"/>
                <w:lang w:val="fr-FR"/>
              </w:rPr>
              <w:t>Autorisation</w:t>
            </w:r>
            <w:r w:rsidR="000B562B" w:rsidRPr="00FC79B7">
              <w:rPr>
                <w:rFonts w:ascii="Times New Roman" w:hAnsi="Times New Roman"/>
                <w:sz w:val="18"/>
                <w:szCs w:val="18"/>
                <w:lang w:val="fr-FR"/>
              </w:rPr>
              <w:t xml:space="preserve"> exception</w:t>
            </w:r>
            <w:r w:rsidRPr="00FC79B7">
              <w:rPr>
                <w:rFonts w:ascii="Times New Roman" w:hAnsi="Times New Roman"/>
                <w:sz w:val="18"/>
                <w:szCs w:val="18"/>
                <w:lang w:val="fr-FR"/>
              </w:rPr>
              <w:t>ne</w:t>
            </w:r>
            <w:r w:rsidR="000B562B" w:rsidRPr="00FC79B7">
              <w:rPr>
                <w:rFonts w:ascii="Times New Roman" w:hAnsi="Times New Roman"/>
                <w:sz w:val="18"/>
                <w:szCs w:val="18"/>
                <w:lang w:val="fr-FR"/>
              </w:rPr>
              <w:t>l</w:t>
            </w:r>
            <w:r w:rsidRPr="00FC79B7">
              <w:rPr>
                <w:rFonts w:ascii="Times New Roman" w:hAnsi="Times New Roman"/>
                <w:sz w:val="18"/>
                <w:szCs w:val="18"/>
                <w:lang w:val="fr-FR"/>
              </w:rPr>
              <w:t>le de rester sur le territoire</w:t>
            </w:r>
            <w:r w:rsidR="00275826" w:rsidRPr="00FC79B7">
              <w:rPr>
                <w:rFonts w:ascii="Times New Roman" w:hAnsi="Times New Roman"/>
                <w:sz w:val="18"/>
                <w:szCs w:val="18"/>
                <w:lang w:val="fr-FR"/>
              </w:rPr>
              <w:t xml:space="preserve"> (ELR)</w:t>
            </w:r>
            <w:r w:rsidR="000B562B" w:rsidRPr="00FC79B7">
              <w:rPr>
                <w:rFonts w:ascii="Times New Roman" w:hAnsi="Times New Roman"/>
                <w:sz w:val="18"/>
                <w:szCs w:val="18"/>
                <w:lang w:val="fr-FR"/>
              </w:rPr>
              <w:t xml:space="preserve">, </w:t>
            </w:r>
            <w:r w:rsidRPr="00FC79B7">
              <w:rPr>
                <w:rFonts w:ascii="Times New Roman" w:hAnsi="Times New Roman"/>
                <w:sz w:val="18"/>
                <w:szCs w:val="18"/>
                <w:lang w:val="fr-FR"/>
              </w:rPr>
              <w:t xml:space="preserve">protection </w:t>
            </w:r>
            <w:r w:rsidR="000B562B" w:rsidRPr="00FC79B7">
              <w:rPr>
                <w:rFonts w:ascii="Times New Roman" w:hAnsi="Times New Roman"/>
                <w:sz w:val="18"/>
                <w:szCs w:val="18"/>
                <w:lang w:val="fr-FR"/>
              </w:rPr>
              <w:t>humanita</w:t>
            </w:r>
            <w:r w:rsidRPr="00FC79B7">
              <w:rPr>
                <w:rFonts w:ascii="Times New Roman" w:hAnsi="Times New Roman"/>
                <w:sz w:val="18"/>
                <w:szCs w:val="18"/>
                <w:lang w:val="fr-FR"/>
              </w:rPr>
              <w:t>ire</w:t>
            </w:r>
            <w:r w:rsidR="000B562B" w:rsidRPr="00FC79B7">
              <w:rPr>
                <w:rFonts w:ascii="Times New Roman" w:hAnsi="Times New Roman"/>
                <w:sz w:val="18"/>
                <w:szCs w:val="18"/>
                <w:lang w:val="fr-FR"/>
              </w:rPr>
              <w:t xml:space="preserve"> o</w:t>
            </w:r>
            <w:r w:rsidRPr="00FC79B7">
              <w:rPr>
                <w:rFonts w:ascii="Times New Roman" w:hAnsi="Times New Roman"/>
                <w:sz w:val="18"/>
                <w:szCs w:val="18"/>
                <w:lang w:val="fr-FR"/>
              </w:rPr>
              <w:t>u</w:t>
            </w:r>
            <w:r w:rsidR="000B562B" w:rsidRPr="00FC79B7">
              <w:rPr>
                <w:rFonts w:ascii="Times New Roman" w:hAnsi="Times New Roman"/>
                <w:sz w:val="18"/>
                <w:szCs w:val="18"/>
                <w:lang w:val="fr-FR"/>
              </w:rPr>
              <w:t xml:space="preserve"> </w:t>
            </w:r>
            <w:r w:rsidRPr="00FC79B7">
              <w:rPr>
                <w:rFonts w:ascii="Times New Roman" w:hAnsi="Times New Roman"/>
                <w:sz w:val="18"/>
                <w:szCs w:val="18"/>
                <w:lang w:val="fr-FR"/>
              </w:rPr>
              <w:t>autorisation discrétionnair</w:t>
            </w:r>
            <w:r w:rsidR="000B562B" w:rsidRPr="00FC79B7">
              <w:rPr>
                <w:rFonts w:ascii="Times New Roman" w:hAnsi="Times New Roman"/>
                <w:sz w:val="18"/>
                <w:szCs w:val="18"/>
                <w:lang w:val="fr-FR"/>
              </w:rPr>
              <w:t>e</w:t>
            </w:r>
            <w:r w:rsidR="000023A1">
              <w:rPr>
                <w:rFonts w:ascii="Times New Roman" w:hAnsi="Times New Roman"/>
                <w:sz w:val="18"/>
                <w:szCs w:val="18"/>
                <w:lang w:val="fr-FR"/>
              </w:rPr>
              <w:t xml:space="preserve"> </w:t>
            </w:r>
            <w:r w:rsidR="00687E2B" w:rsidRPr="00687E2B">
              <w:rPr>
                <w:rFonts w:ascii="Times New Roman" w:hAnsi="Times New Roman"/>
                <w:i/>
                <w:iCs/>
                <w:sz w:val="18"/>
                <w:szCs w:val="18"/>
                <w:vertAlign w:val="superscript"/>
                <w:lang w:val="fr-FR"/>
              </w:rPr>
              <w:t>2</w:t>
            </w:r>
          </w:p>
        </w:tc>
        <w:tc>
          <w:tcPr>
            <w:tcW w:w="756" w:type="dxa"/>
            <w:shd w:val="clear" w:color="auto" w:fill="auto"/>
            <w:tcMar>
              <w:right w:w="57" w:type="dxa"/>
            </w:tcMar>
            <w:vAlign w:val="bottom"/>
          </w:tcPr>
          <w:p w:rsidR="000B562B" w:rsidRPr="00FC79B7" w:rsidRDefault="000B562B" w:rsidP="007F57F7">
            <w:pPr>
              <w:pStyle w:val="Text"/>
              <w:keepNext/>
              <w:keepLines/>
              <w:spacing w:before="40" w:after="40" w:line="220" w:lineRule="exact"/>
              <w:jc w:val="right"/>
              <w:rPr>
                <w:rFonts w:ascii="Times New Roman" w:hAnsi="Times New Roman"/>
                <w:sz w:val="18"/>
                <w:szCs w:val="18"/>
                <w:lang w:val="fr-FR"/>
              </w:rPr>
            </w:pPr>
            <w:r w:rsidRPr="00FC79B7">
              <w:rPr>
                <w:rFonts w:ascii="Times New Roman" w:hAnsi="Times New Roman"/>
                <w:sz w:val="18"/>
                <w:szCs w:val="18"/>
                <w:lang w:val="fr-FR"/>
              </w:rPr>
              <w:t>(11)</w:t>
            </w:r>
          </w:p>
        </w:tc>
        <w:tc>
          <w:tcPr>
            <w:tcW w:w="714" w:type="dxa"/>
            <w:shd w:val="clear" w:color="auto" w:fill="auto"/>
            <w:tcMar>
              <w:right w:w="57" w:type="dxa"/>
            </w:tcMar>
            <w:vAlign w:val="bottom"/>
          </w:tcPr>
          <w:p w:rsidR="000B562B" w:rsidRPr="00FC79B7" w:rsidRDefault="000B562B" w:rsidP="007F57F7">
            <w:pPr>
              <w:pStyle w:val="Text"/>
              <w:keepNext/>
              <w:keepLines/>
              <w:spacing w:before="40" w:after="40" w:line="220" w:lineRule="exact"/>
              <w:jc w:val="right"/>
              <w:rPr>
                <w:rFonts w:ascii="Times New Roman" w:hAnsi="Times New Roman"/>
                <w:sz w:val="18"/>
                <w:szCs w:val="18"/>
                <w:lang w:val="fr-FR"/>
              </w:rPr>
            </w:pPr>
            <w:r w:rsidRPr="00FC79B7">
              <w:rPr>
                <w:rFonts w:ascii="Times New Roman" w:hAnsi="Times New Roman"/>
                <w:sz w:val="18"/>
                <w:szCs w:val="18"/>
                <w:lang w:val="fr-FR"/>
              </w:rPr>
              <w:t>(9)</w:t>
            </w:r>
          </w:p>
        </w:tc>
        <w:tc>
          <w:tcPr>
            <w:tcW w:w="755" w:type="dxa"/>
            <w:shd w:val="clear" w:color="auto" w:fill="auto"/>
            <w:tcMar>
              <w:right w:w="57" w:type="dxa"/>
            </w:tcMar>
            <w:vAlign w:val="bottom"/>
          </w:tcPr>
          <w:p w:rsidR="000B562B" w:rsidRPr="00FC79B7" w:rsidRDefault="000B562B" w:rsidP="007F57F7">
            <w:pPr>
              <w:pStyle w:val="Text"/>
              <w:keepNext/>
              <w:keepLines/>
              <w:spacing w:before="40" w:after="40" w:line="220" w:lineRule="exact"/>
              <w:jc w:val="right"/>
              <w:rPr>
                <w:rFonts w:ascii="Times New Roman" w:hAnsi="Times New Roman"/>
                <w:sz w:val="18"/>
                <w:szCs w:val="18"/>
                <w:lang w:val="fr-FR"/>
              </w:rPr>
            </w:pPr>
            <w:r w:rsidRPr="00FC79B7">
              <w:rPr>
                <w:rFonts w:ascii="Times New Roman" w:hAnsi="Times New Roman"/>
                <w:sz w:val="18"/>
                <w:szCs w:val="18"/>
                <w:lang w:val="fr-FR"/>
              </w:rPr>
              <w:t>(10)</w:t>
            </w:r>
          </w:p>
        </w:tc>
        <w:tc>
          <w:tcPr>
            <w:tcW w:w="700" w:type="dxa"/>
            <w:shd w:val="clear" w:color="auto" w:fill="auto"/>
            <w:tcMar>
              <w:right w:w="57" w:type="dxa"/>
            </w:tcMar>
            <w:vAlign w:val="bottom"/>
          </w:tcPr>
          <w:p w:rsidR="000B562B" w:rsidRPr="00FC79B7" w:rsidRDefault="000B562B" w:rsidP="007F57F7">
            <w:pPr>
              <w:pStyle w:val="Text"/>
              <w:keepNext/>
              <w:keepLines/>
              <w:spacing w:before="40" w:after="40" w:line="220" w:lineRule="exact"/>
              <w:jc w:val="right"/>
              <w:rPr>
                <w:rFonts w:ascii="Times New Roman" w:hAnsi="Times New Roman"/>
                <w:sz w:val="18"/>
                <w:szCs w:val="18"/>
                <w:lang w:val="fr-FR"/>
              </w:rPr>
            </w:pPr>
            <w:r w:rsidRPr="00FC79B7">
              <w:rPr>
                <w:rFonts w:ascii="Times New Roman" w:hAnsi="Times New Roman"/>
                <w:sz w:val="18"/>
                <w:szCs w:val="18"/>
                <w:lang w:val="fr-FR"/>
              </w:rPr>
              <w:t>(11)</w:t>
            </w:r>
            <w:r w:rsidR="007302C4">
              <w:rPr>
                <w:rFonts w:ascii="Times New Roman" w:hAnsi="Times New Roman"/>
                <w:sz w:val="18"/>
                <w:szCs w:val="18"/>
                <w:lang w:val="fr-FR"/>
              </w:rPr>
              <w:t xml:space="preserve">                 </w:t>
            </w:r>
          </w:p>
        </w:tc>
        <w:tc>
          <w:tcPr>
            <w:tcW w:w="742" w:type="dxa"/>
            <w:shd w:val="clear" w:color="auto" w:fill="auto"/>
            <w:tcMar>
              <w:right w:w="57" w:type="dxa"/>
            </w:tcMar>
            <w:vAlign w:val="bottom"/>
          </w:tcPr>
          <w:p w:rsidR="000B562B" w:rsidRPr="00FC79B7" w:rsidRDefault="000B562B" w:rsidP="007F57F7">
            <w:pPr>
              <w:pStyle w:val="Text"/>
              <w:keepNext/>
              <w:keepLines/>
              <w:spacing w:before="40" w:after="40" w:line="220" w:lineRule="exact"/>
              <w:jc w:val="right"/>
              <w:rPr>
                <w:rFonts w:ascii="Times New Roman" w:hAnsi="Times New Roman"/>
                <w:sz w:val="18"/>
                <w:szCs w:val="18"/>
                <w:lang w:val="fr-FR"/>
              </w:rPr>
            </w:pPr>
            <w:r w:rsidRPr="00FC79B7">
              <w:rPr>
                <w:rFonts w:ascii="Times New Roman" w:hAnsi="Times New Roman"/>
                <w:sz w:val="18"/>
                <w:szCs w:val="18"/>
                <w:lang w:val="fr-FR"/>
              </w:rPr>
              <w:t>(10)</w:t>
            </w:r>
          </w:p>
        </w:tc>
        <w:tc>
          <w:tcPr>
            <w:tcW w:w="728" w:type="dxa"/>
            <w:shd w:val="clear" w:color="auto" w:fill="auto"/>
            <w:tcMar>
              <w:right w:w="57" w:type="dxa"/>
            </w:tcMar>
            <w:vAlign w:val="bottom"/>
          </w:tcPr>
          <w:p w:rsidR="000B562B" w:rsidRPr="00FC79B7" w:rsidRDefault="000B562B" w:rsidP="007F57F7">
            <w:pPr>
              <w:pStyle w:val="Text"/>
              <w:keepNext/>
              <w:keepLines/>
              <w:spacing w:before="40" w:after="40" w:line="220" w:lineRule="exact"/>
              <w:jc w:val="right"/>
              <w:rPr>
                <w:rFonts w:ascii="Times New Roman" w:hAnsi="Times New Roman"/>
                <w:sz w:val="18"/>
                <w:szCs w:val="18"/>
                <w:lang w:val="fr-FR"/>
              </w:rPr>
            </w:pPr>
            <w:r w:rsidRPr="00FC79B7">
              <w:rPr>
                <w:rFonts w:ascii="Times New Roman" w:hAnsi="Times New Roman"/>
                <w:sz w:val="18"/>
                <w:szCs w:val="18"/>
                <w:lang w:val="fr-FR"/>
              </w:rPr>
              <w:t>(11)</w:t>
            </w:r>
          </w:p>
        </w:tc>
        <w:tc>
          <w:tcPr>
            <w:tcW w:w="756" w:type="dxa"/>
            <w:shd w:val="clear" w:color="auto" w:fill="auto"/>
            <w:tcMar>
              <w:right w:w="57" w:type="dxa"/>
            </w:tcMar>
            <w:vAlign w:val="bottom"/>
          </w:tcPr>
          <w:p w:rsidR="000B562B" w:rsidRPr="00FC79B7" w:rsidRDefault="000B562B" w:rsidP="007F57F7">
            <w:pPr>
              <w:pStyle w:val="Text"/>
              <w:keepNext/>
              <w:keepLines/>
              <w:spacing w:before="40" w:after="40" w:line="220" w:lineRule="exact"/>
              <w:jc w:val="right"/>
              <w:rPr>
                <w:rFonts w:ascii="Times New Roman" w:hAnsi="Times New Roman"/>
                <w:sz w:val="18"/>
                <w:szCs w:val="18"/>
                <w:lang w:val="fr-FR"/>
              </w:rPr>
            </w:pPr>
            <w:r w:rsidRPr="00FC79B7">
              <w:rPr>
                <w:rFonts w:ascii="Times New Roman" w:hAnsi="Times New Roman"/>
                <w:sz w:val="18"/>
                <w:szCs w:val="18"/>
                <w:lang w:val="fr-FR"/>
              </w:rPr>
              <w:t>(11)</w:t>
            </w:r>
          </w:p>
        </w:tc>
        <w:tc>
          <w:tcPr>
            <w:tcW w:w="714" w:type="dxa"/>
            <w:shd w:val="clear" w:color="auto" w:fill="auto"/>
            <w:tcMar>
              <w:right w:w="57" w:type="dxa"/>
            </w:tcMar>
            <w:vAlign w:val="bottom"/>
          </w:tcPr>
          <w:p w:rsidR="000B562B" w:rsidRPr="00FC79B7" w:rsidRDefault="000B562B" w:rsidP="007F57F7">
            <w:pPr>
              <w:pStyle w:val="Text"/>
              <w:keepNext/>
              <w:keepLines/>
              <w:spacing w:before="40" w:after="40" w:line="220" w:lineRule="exact"/>
              <w:jc w:val="right"/>
              <w:rPr>
                <w:rFonts w:ascii="Times New Roman" w:hAnsi="Times New Roman"/>
                <w:sz w:val="18"/>
                <w:szCs w:val="18"/>
                <w:lang w:val="fr-FR"/>
              </w:rPr>
            </w:pPr>
            <w:r w:rsidRPr="00FC79B7">
              <w:rPr>
                <w:rFonts w:ascii="Times New Roman" w:hAnsi="Times New Roman"/>
                <w:sz w:val="18"/>
                <w:szCs w:val="18"/>
                <w:lang w:val="fr-FR"/>
              </w:rPr>
              <w:t>(8)</w:t>
            </w:r>
          </w:p>
        </w:tc>
      </w:tr>
      <w:tr w:rsidR="000B562B" w:rsidRPr="00A176EA" w:rsidTr="0023058B">
        <w:trPr>
          <w:cantSplit/>
          <w:trHeight w:val="240"/>
        </w:trPr>
        <w:tc>
          <w:tcPr>
            <w:tcW w:w="2646" w:type="dxa"/>
            <w:tcBorders>
              <w:bottom w:val="single" w:sz="12" w:space="0" w:color="auto"/>
            </w:tcBorders>
            <w:shd w:val="clear" w:color="auto" w:fill="auto"/>
            <w:vAlign w:val="bottom"/>
          </w:tcPr>
          <w:p w:rsidR="000B562B" w:rsidRPr="00FC79B7" w:rsidRDefault="003961C5" w:rsidP="007F57F7">
            <w:pPr>
              <w:pStyle w:val="Text"/>
              <w:keepNext/>
              <w:keepLines/>
              <w:spacing w:before="40" w:after="40" w:line="220" w:lineRule="exact"/>
              <w:rPr>
                <w:rFonts w:ascii="Times New Roman" w:hAnsi="Times New Roman"/>
                <w:sz w:val="18"/>
                <w:szCs w:val="18"/>
                <w:lang w:val="fr-FR"/>
              </w:rPr>
            </w:pPr>
            <w:r w:rsidRPr="00FC79B7">
              <w:rPr>
                <w:rFonts w:ascii="Times New Roman" w:hAnsi="Times New Roman"/>
                <w:sz w:val="18"/>
                <w:szCs w:val="18"/>
                <w:lang w:val="fr-FR"/>
              </w:rPr>
              <w:t>Asile refusé</w:t>
            </w:r>
            <w:r w:rsidR="000B562B" w:rsidRPr="00FC79B7">
              <w:rPr>
                <w:rFonts w:ascii="Times New Roman" w:hAnsi="Times New Roman"/>
                <w:sz w:val="18"/>
                <w:szCs w:val="18"/>
                <w:lang w:val="fr-FR"/>
              </w:rPr>
              <w:t xml:space="preserve">, ELR, HP </w:t>
            </w:r>
            <w:r w:rsidRPr="00FC79B7">
              <w:rPr>
                <w:rFonts w:ascii="Times New Roman" w:hAnsi="Times New Roman"/>
                <w:sz w:val="18"/>
                <w:szCs w:val="18"/>
                <w:lang w:val="fr-FR"/>
              </w:rPr>
              <w:t>et</w:t>
            </w:r>
            <w:r w:rsidR="000B562B" w:rsidRPr="00FC79B7">
              <w:rPr>
                <w:rFonts w:ascii="Times New Roman" w:hAnsi="Times New Roman"/>
                <w:sz w:val="18"/>
                <w:szCs w:val="18"/>
                <w:lang w:val="fr-FR"/>
              </w:rPr>
              <w:t xml:space="preserve"> DL</w:t>
            </w:r>
          </w:p>
        </w:tc>
        <w:tc>
          <w:tcPr>
            <w:tcW w:w="756" w:type="dxa"/>
            <w:tcBorders>
              <w:bottom w:val="single" w:sz="12" w:space="0" w:color="auto"/>
            </w:tcBorders>
            <w:shd w:val="clear" w:color="auto" w:fill="auto"/>
            <w:tcMar>
              <w:right w:w="57" w:type="dxa"/>
            </w:tcMar>
            <w:vAlign w:val="bottom"/>
          </w:tcPr>
          <w:p w:rsidR="000B562B" w:rsidRPr="00FC79B7" w:rsidRDefault="000B562B" w:rsidP="007F57F7">
            <w:pPr>
              <w:pStyle w:val="Text"/>
              <w:keepNext/>
              <w:keepLines/>
              <w:spacing w:before="40" w:after="40" w:line="220" w:lineRule="exact"/>
              <w:jc w:val="right"/>
              <w:rPr>
                <w:rFonts w:ascii="Times New Roman" w:hAnsi="Times New Roman"/>
                <w:sz w:val="18"/>
                <w:szCs w:val="18"/>
                <w:lang w:val="fr-FR"/>
              </w:rPr>
            </w:pPr>
            <w:r w:rsidRPr="00FC79B7">
              <w:rPr>
                <w:rFonts w:ascii="Times New Roman" w:hAnsi="Times New Roman"/>
                <w:sz w:val="18"/>
                <w:szCs w:val="18"/>
                <w:lang w:val="fr-FR"/>
              </w:rPr>
              <w:t>(83)</w:t>
            </w:r>
          </w:p>
        </w:tc>
        <w:tc>
          <w:tcPr>
            <w:tcW w:w="714" w:type="dxa"/>
            <w:tcBorders>
              <w:bottom w:val="single" w:sz="12" w:space="0" w:color="auto"/>
            </w:tcBorders>
            <w:shd w:val="clear" w:color="auto" w:fill="auto"/>
            <w:tcMar>
              <w:right w:w="57" w:type="dxa"/>
            </w:tcMar>
            <w:vAlign w:val="bottom"/>
          </w:tcPr>
          <w:p w:rsidR="000B562B" w:rsidRPr="00FC79B7" w:rsidRDefault="000B562B" w:rsidP="007F57F7">
            <w:pPr>
              <w:pStyle w:val="Text"/>
              <w:keepNext/>
              <w:keepLines/>
              <w:spacing w:before="40" w:after="40" w:line="220" w:lineRule="exact"/>
              <w:jc w:val="right"/>
              <w:rPr>
                <w:rFonts w:ascii="Times New Roman" w:hAnsi="Times New Roman"/>
                <w:sz w:val="18"/>
                <w:szCs w:val="18"/>
                <w:lang w:val="fr-FR"/>
              </w:rPr>
            </w:pPr>
            <w:r w:rsidRPr="00FC79B7">
              <w:rPr>
                <w:rFonts w:ascii="Times New Roman" w:hAnsi="Times New Roman"/>
                <w:sz w:val="18"/>
                <w:szCs w:val="18"/>
                <w:lang w:val="fr-FR"/>
              </w:rPr>
              <w:t>(88)</w:t>
            </w:r>
          </w:p>
        </w:tc>
        <w:tc>
          <w:tcPr>
            <w:tcW w:w="755" w:type="dxa"/>
            <w:tcBorders>
              <w:bottom w:val="single" w:sz="12" w:space="0" w:color="auto"/>
            </w:tcBorders>
            <w:shd w:val="clear" w:color="auto" w:fill="auto"/>
            <w:tcMar>
              <w:right w:w="57" w:type="dxa"/>
            </w:tcMar>
            <w:vAlign w:val="bottom"/>
          </w:tcPr>
          <w:p w:rsidR="000B562B" w:rsidRPr="00FC79B7" w:rsidRDefault="000B562B" w:rsidP="007F57F7">
            <w:pPr>
              <w:pStyle w:val="Text"/>
              <w:keepNext/>
              <w:keepLines/>
              <w:spacing w:before="40" w:after="40" w:line="220" w:lineRule="exact"/>
              <w:jc w:val="right"/>
              <w:rPr>
                <w:rFonts w:ascii="Times New Roman" w:hAnsi="Times New Roman"/>
                <w:sz w:val="18"/>
                <w:szCs w:val="18"/>
                <w:lang w:val="fr-FR"/>
              </w:rPr>
            </w:pPr>
            <w:r w:rsidRPr="00FC79B7">
              <w:rPr>
                <w:rFonts w:ascii="Times New Roman" w:hAnsi="Times New Roman"/>
                <w:sz w:val="18"/>
                <w:szCs w:val="18"/>
                <w:lang w:val="fr-FR"/>
              </w:rPr>
              <w:t>(83)</w:t>
            </w:r>
          </w:p>
        </w:tc>
        <w:tc>
          <w:tcPr>
            <w:tcW w:w="700" w:type="dxa"/>
            <w:tcBorders>
              <w:bottom w:val="single" w:sz="12" w:space="0" w:color="auto"/>
            </w:tcBorders>
            <w:shd w:val="clear" w:color="auto" w:fill="auto"/>
            <w:tcMar>
              <w:right w:w="57" w:type="dxa"/>
            </w:tcMar>
            <w:vAlign w:val="bottom"/>
          </w:tcPr>
          <w:p w:rsidR="000B562B" w:rsidRPr="00FC79B7" w:rsidRDefault="000B562B" w:rsidP="007F57F7">
            <w:pPr>
              <w:pStyle w:val="Text"/>
              <w:keepNext/>
              <w:keepLines/>
              <w:spacing w:before="40" w:after="40" w:line="220" w:lineRule="exact"/>
              <w:jc w:val="right"/>
              <w:rPr>
                <w:rFonts w:ascii="Times New Roman" w:hAnsi="Times New Roman"/>
                <w:sz w:val="18"/>
                <w:szCs w:val="18"/>
                <w:lang w:val="fr-FR"/>
              </w:rPr>
            </w:pPr>
            <w:r w:rsidRPr="00FC79B7">
              <w:rPr>
                <w:rFonts w:ascii="Times New Roman" w:hAnsi="Times New Roman"/>
                <w:sz w:val="18"/>
                <w:szCs w:val="18"/>
                <w:lang w:val="fr-FR"/>
              </w:rPr>
              <w:t>(79)</w:t>
            </w:r>
          </w:p>
        </w:tc>
        <w:tc>
          <w:tcPr>
            <w:tcW w:w="742" w:type="dxa"/>
            <w:tcBorders>
              <w:bottom w:val="single" w:sz="12" w:space="0" w:color="auto"/>
            </w:tcBorders>
            <w:shd w:val="clear" w:color="auto" w:fill="auto"/>
            <w:tcMar>
              <w:right w:w="57" w:type="dxa"/>
            </w:tcMar>
            <w:vAlign w:val="bottom"/>
          </w:tcPr>
          <w:p w:rsidR="000B562B" w:rsidRPr="00FC79B7" w:rsidRDefault="000B562B" w:rsidP="007F57F7">
            <w:pPr>
              <w:pStyle w:val="Text"/>
              <w:keepNext/>
              <w:keepLines/>
              <w:spacing w:before="40" w:after="40" w:line="220" w:lineRule="exact"/>
              <w:jc w:val="right"/>
              <w:rPr>
                <w:rFonts w:ascii="Times New Roman" w:hAnsi="Times New Roman"/>
                <w:sz w:val="18"/>
                <w:szCs w:val="18"/>
                <w:lang w:val="fr-FR"/>
              </w:rPr>
            </w:pPr>
            <w:r w:rsidRPr="00FC79B7">
              <w:rPr>
                <w:rFonts w:ascii="Times New Roman" w:hAnsi="Times New Roman"/>
                <w:sz w:val="18"/>
                <w:szCs w:val="18"/>
                <w:lang w:val="fr-FR"/>
              </w:rPr>
              <w:t>(74)</w:t>
            </w:r>
          </w:p>
        </w:tc>
        <w:tc>
          <w:tcPr>
            <w:tcW w:w="728" w:type="dxa"/>
            <w:tcBorders>
              <w:bottom w:val="single" w:sz="12" w:space="0" w:color="auto"/>
            </w:tcBorders>
            <w:shd w:val="clear" w:color="auto" w:fill="auto"/>
            <w:tcMar>
              <w:right w:w="57" w:type="dxa"/>
            </w:tcMar>
            <w:vAlign w:val="bottom"/>
          </w:tcPr>
          <w:p w:rsidR="000B562B" w:rsidRPr="00FC79B7" w:rsidRDefault="000B562B" w:rsidP="007F57F7">
            <w:pPr>
              <w:pStyle w:val="Text"/>
              <w:keepNext/>
              <w:keepLines/>
              <w:spacing w:before="40" w:after="40" w:line="220" w:lineRule="exact"/>
              <w:jc w:val="right"/>
              <w:rPr>
                <w:rFonts w:ascii="Times New Roman" w:hAnsi="Times New Roman"/>
                <w:sz w:val="18"/>
                <w:szCs w:val="18"/>
                <w:lang w:val="fr-FR"/>
              </w:rPr>
            </w:pPr>
            <w:r w:rsidRPr="00FC79B7">
              <w:rPr>
                <w:rFonts w:ascii="Times New Roman" w:hAnsi="Times New Roman"/>
                <w:sz w:val="18"/>
                <w:szCs w:val="18"/>
                <w:lang w:val="fr-FR"/>
              </w:rPr>
              <w:t>(70)</w:t>
            </w:r>
          </w:p>
        </w:tc>
        <w:tc>
          <w:tcPr>
            <w:tcW w:w="756" w:type="dxa"/>
            <w:tcBorders>
              <w:bottom w:val="single" w:sz="12" w:space="0" w:color="auto"/>
            </w:tcBorders>
            <w:shd w:val="clear" w:color="auto" w:fill="auto"/>
            <w:tcMar>
              <w:right w:w="57" w:type="dxa"/>
            </w:tcMar>
            <w:vAlign w:val="bottom"/>
          </w:tcPr>
          <w:p w:rsidR="000B562B" w:rsidRPr="00FC79B7" w:rsidRDefault="000B562B" w:rsidP="007F57F7">
            <w:pPr>
              <w:pStyle w:val="Text"/>
              <w:keepNext/>
              <w:keepLines/>
              <w:spacing w:before="40" w:after="40" w:line="220" w:lineRule="exact"/>
              <w:jc w:val="right"/>
              <w:rPr>
                <w:rFonts w:ascii="Times New Roman" w:hAnsi="Times New Roman"/>
                <w:sz w:val="18"/>
                <w:szCs w:val="18"/>
                <w:lang w:val="fr-FR"/>
              </w:rPr>
            </w:pPr>
            <w:r w:rsidRPr="00FC79B7">
              <w:rPr>
                <w:rFonts w:ascii="Times New Roman" w:hAnsi="Times New Roman"/>
                <w:sz w:val="18"/>
                <w:szCs w:val="18"/>
                <w:lang w:val="fr-FR"/>
              </w:rPr>
              <w:t>(72)</w:t>
            </w:r>
          </w:p>
        </w:tc>
        <w:tc>
          <w:tcPr>
            <w:tcW w:w="714" w:type="dxa"/>
            <w:tcBorders>
              <w:bottom w:val="single" w:sz="12" w:space="0" w:color="auto"/>
            </w:tcBorders>
            <w:shd w:val="clear" w:color="auto" w:fill="auto"/>
            <w:tcMar>
              <w:right w:w="57" w:type="dxa"/>
            </w:tcMar>
            <w:vAlign w:val="bottom"/>
          </w:tcPr>
          <w:p w:rsidR="000B562B" w:rsidRPr="00FC79B7" w:rsidRDefault="000B562B" w:rsidP="007F57F7">
            <w:pPr>
              <w:pStyle w:val="Text"/>
              <w:keepNext/>
              <w:keepLines/>
              <w:spacing w:before="40" w:after="40" w:line="220" w:lineRule="exact"/>
              <w:jc w:val="right"/>
              <w:rPr>
                <w:rFonts w:ascii="Times New Roman" w:hAnsi="Times New Roman"/>
                <w:sz w:val="18"/>
                <w:szCs w:val="18"/>
                <w:lang w:val="fr-FR"/>
              </w:rPr>
            </w:pPr>
            <w:r w:rsidRPr="00FC79B7">
              <w:rPr>
                <w:rFonts w:ascii="Times New Roman" w:hAnsi="Times New Roman"/>
                <w:sz w:val="18"/>
                <w:szCs w:val="18"/>
                <w:lang w:val="fr-FR"/>
              </w:rPr>
              <w:t>(75)</w:t>
            </w:r>
          </w:p>
        </w:tc>
      </w:tr>
    </w:tbl>
    <w:p w:rsidR="00F650AE" w:rsidRDefault="00F650AE" w:rsidP="00F650AE">
      <w:pPr>
        <w:pStyle w:val="SingleTxtG"/>
        <w:suppressAutoHyphens w:val="0"/>
        <w:spacing w:before="120" w:after="0" w:line="220" w:lineRule="atLeast"/>
        <w:ind w:left="1304"/>
        <w:jc w:val="left"/>
        <w:rPr>
          <w:sz w:val="18"/>
          <w:szCs w:val="18"/>
          <w:lang w:val="fr-FR" w:eastAsia="es-ES"/>
        </w:rPr>
      </w:pPr>
      <w:r w:rsidRPr="00692B0C">
        <w:rPr>
          <w:i/>
          <w:iCs/>
          <w:sz w:val="18"/>
          <w:szCs w:val="18"/>
          <w:lang w:val="fr-FR" w:eastAsia="es-ES"/>
        </w:rPr>
        <w:t>(P)</w:t>
      </w:r>
      <w:r>
        <w:rPr>
          <w:sz w:val="18"/>
          <w:szCs w:val="18"/>
          <w:lang w:val="fr-FR" w:eastAsia="es-ES"/>
        </w:rPr>
        <w:t xml:space="preserve">  </w:t>
      </w:r>
      <w:r w:rsidRPr="006D5D60">
        <w:rPr>
          <w:sz w:val="18"/>
          <w:szCs w:val="18"/>
          <w:lang w:val="fr-FR" w:eastAsia="es-ES"/>
        </w:rPr>
        <w:t>Chiffres provisoires: révision possible en août.</w:t>
      </w:r>
    </w:p>
    <w:p w:rsidR="000B562B" w:rsidRPr="006D5D60" w:rsidRDefault="00687E2B" w:rsidP="00F650AE">
      <w:pPr>
        <w:pStyle w:val="SingleTxtG"/>
        <w:spacing w:after="0" w:line="220" w:lineRule="atLeast"/>
        <w:ind w:firstLine="170"/>
        <w:jc w:val="left"/>
        <w:rPr>
          <w:sz w:val="18"/>
          <w:szCs w:val="18"/>
          <w:lang w:val="fr-FR" w:eastAsia="es-ES"/>
        </w:rPr>
      </w:pPr>
      <w:r w:rsidRPr="00687E2B">
        <w:rPr>
          <w:i/>
          <w:iCs/>
          <w:sz w:val="18"/>
          <w:szCs w:val="18"/>
          <w:vertAlign w:val="superscript"/>
          <w:lang w:val="fr-FR" w:eastAsia="es-ES"/>
        </w:rPr>
        <w:t>1</w:t>
      </w:r>
      <w:r w:rsidR="000023A1">
        <w:rPr>
          <w:sz w:val="18"/>
          <w:szCs w:val="18"/>
          <w:lang w:val="fr-FR" w:eastAsia="es-ES"/>
        </w:rPr>
        <w:t xml:space="preserve">  </w:t>
      </w:r>
      <w:r w:rsidR="003961C5" w:rsidRPr="006D5D60">
        <w:rPr>
          <w:sz w:val="18"/>
          <w:szCs w:val="18"/>
          <w:lang w:val="fr-FR" w:eastAsia="es-ES"/>
        </w:rPr>
        <w:t xml:space="preserve">Les </w:t>
      </w:r>
      <w:r w:rsidR="003961C5" w:rsidRPr="006D5D60">
        <w:rPr>
          <w:sz w:val="18"/>
          <w:szCs w:val="18"/>
          <w:lang w:val="fr-FR"/>
        </w:rPr>
        <w:t>chiffres</w:t>
      </w:r>
      <w:r w:rsidR="000B562B" w:rsidRPr="006D5D60">
        <w:rPr>
          <w:sz w:val="18"/>
          <w:szCs w:val="18"/>
          <w:lang w:val="fr-FR" w:eastAsia="es-ES"/>
        </w:rPr>
        <w:t xml:space="preserve"> (</w:t>
      </w:r>
      <w:r w:rsidR="003961C5" w:rsidRPr="006D5D60">
        <w:rPr>
          <w:sz w:val="18"/>
          <w:szCs w:val="18"/>
          <w:lang w:val="fr-FR" w:eastAsia="es-ES"/>
        </w:rPr>
        <w:t>hors</w:t>
      </w:r>
      <w:r w:rsidR="000B562B" w:rsidRPr="006D5D60">
        <w:rPr>
          <w:sz w:val="18"/>
          <w:szCs w:val="18"/>
          <w:lang w:val="fr-FR" w:eastAsia="es-ES"/>
        </w:rPr>
        <w:t xml:space="preserve"> p</w:t>
      </w:r>
      <w:r w:rsidR="003961C5" w:rsidRPr="006D5D60">
        <w:rPr>
          <w:sz w:val="18"/>
          <w:szCs w:val="18"/>
          <w:lang w:val="fr-FR" w:eastAsia="es-ES"/>
        </w:rPr>
        <w:t>ou</w:t>
      </w:r>
      <w:r w:rsidR="000B562B" w:rsidRPr="006D5D60">
        <w:rPr>
          <w:sz w:val="18"/>
          <w:szCs w:val="18"/>
          <w:lang w:val="fr-FR" w:eastAsia="es-ES"/>
        </w:rPr>
        <w:t xml:space="preserve">rcentages) </w:t>
      </w:r>
      <w:r w:rsidR="003961C5" w:rsidRPr="006D5D60">
        <w:rPr>
          <w:sz w:val="18"/>
          <w:szCs w:val="18"/>
          <w:lang w:val="fr-FR" w:eastAsia="es-ES"/>
        </w:rPr>
        <w:t xml:space="preserve">sont </w:t>
      </w:r>
      <w:r w:rsidR="003667EB" w:rsidRPr="006D5D60">
        <w:rPr>
          <w:sz w:val="18"/>
          <w:szCs w:val="18"/>
          <w:lang w:val="fr-FR" w:eastAsia="es-ES"/>
        </w:rPr>
        <w:t xml:space="preserve">arrondis </w:t>
      </w:r>
      <w:r w:rsidR="00275826" w:rsidRPr="006D5D60">
        <w:rPr>
          <w:sz w:val="18"/>
          <w:szCs w:val="18"/>
          <w:lang w:val="fr-FR" w:eastAsia="es-ES"/>
        </w:rPr>
        <w:t>à l’unité</w:t>
      </w:r>
      <w:r w:rsidR="000B562B" w:rsidRPr="006D5D60">
        <w:rPr>
          <w:sz w:val="18"/>
          <w:szCs w:val="18"/>
          <w:lang w:val="fr-FR" w:eastAsia="es-ES"/>
        </w:rPr>
        <w:t xml:space="preserve">  (- = 0, * = 1 o</w:t>
      </w:r>
      <w:r w:rsidR="00607F75" w:rsidRPr="006D5D60">
        <w:rPr>
          <w:sz w:val="18"/>
          <w:szCs w:val="18"/>
          <w:lang w:val="fr-FR" w:eastAsia="es-ES"/>
        </w:rPr>
        <w:t>u</w:t>
      </w:r>
      <w:r w:rsidR="000B562B" w:rsidRPr="006D5D60">
        <w:rPr>
          <w:sz w:val="18"/>
          <w:szCs w:val="18"/>
          <w:lang w:val="fr-FR" w:eastAsia="es-ES"/>
        </w:rPr>
        <w:t xml:space="preserve"> 2) </w:t>
      </w:r>
      <w:r w:rsidR="00607F75" w:rsidRPr="006D5D60">
        <w:rPr>
          <w:sz w:val="18"/>
          <w:szCs w:val="18"/>
          <w:lang w:val="fr-FR" w:eastAsia="es-ES"/>
        </w:rPr>
        <w:t>et, de ce fait, leur somme peut différer des totaux indiqués</w:t>
      </w:r>
      <w:r w:rsidR="000B562B" w:rsidRPr="006D5D60">
        <w:rPr>
          <w:sz w:val="18"/>
          <w:szCs w:val="18"/>
          <w:lang w:val="fr-FR" w:eastAsia="es-ES"/>
        </w:rPr>
        <w:t>.</w:t>
      </w:r>
    </w:p>
    <w:p w:rsidR="000B562B" w:rsidRPr="006D5D60" w:rsidRDefault="00687E2B" w:rsidP="000023A1">
      <w:pPr>
        <w:pStyle w:val="SingleTxtG"/>
        <w:spacing w:after="240" w:line="220" w:lineRule="atLeast"/>
        <w:ind w:firstLine="170"/>
        <w:jc w:val="left"/>
        <w:rPr>
          <w:sz w:val="18"/>
          <w:szCs w:val="18"/>
          <w:lang w:val="fr-FR" w:eastAsia="es-ES"/>
        </w:rPr>
      </w:pPr>
      <w:r w:rsidRPr="00687E2B">
        <w:rPr>
          <w:i/>
          <w:iCs/>
          <w:sz w:val="18"/>
          <w:szCs w:val="18"/>
          <w:vertAlign w:val="superscript"/>
          <w:lang w:val="fr-FR" w:eastAsia="es-ES"/>
        </w:rPr>
        <w:t>2</w:t>
      </w:r>
      <w:r w:rsidR="000023A1">
        <w:rPr>
          <w:sz w:val="18"/>
          <w:szCs w:val="18"/>
          <w:lang w:val="fr-FR" w:eastAsia="es-ES"/>
        </w:rPr>
        <w:t xml:space="preserve">  </w:t>
      </w:r>
      <w:r w:rsidR="003961C5" w:rsidRPr="006D5D60">
        <w:rPr>
          <w:sz w:val="18"/>
          <w:szCs w:val="18"/>
          <w:lang w:val="fr-FR" w:eastAsia="es-ES"/>
        </w:rPr>
        <w:t xml:space="preserve">La protection </w:t>
      </w:r>
      <w:r w:rsidR="003961C5" w:rsidRPr="006D5D60">
        <w:rPr>
          <w:sz w:val="18"/>
          <w:szCs w:val="18"/>
          <w:lang w:val="fr-FR"/>
        </w:rPr>
        <w:t>humanitaire</w:t>
      </w:r>
      <w:r w:rsidR="000B562B" w:rsidRPr="006D5D60">
        <w:rPr>
          <w:sz w:val="18"/>
          <w:szCs w:val="18"/>
          <w:lang w:val="fr-FR" w:eastAsia="es-ES"/>
        </w:rPr>
        <w:t xml:space="preserve"> (HP) </w:t>
      </w:r>
      <w:r w:rsidR="003961C5" w:rsidRPr="006D5D60">
        <w:rPr>
          <w:sz w:val="18"/>
          <w:szCs w:val="18"/>
          <w:lang w:val="fr-FR" w:eastAsia="es-ES"/>
        </w:rPr>
        <w:t>et</w:t>
      </w:r>
      <w:r w:rsidR="000B562B" w:rsidRPr="006D5D60">
        <w:rPr>
          <w:sz w:val="18"/>
          <w:szCs w:val="18"/>
          <w:lang w:val="fr-FR" w:eastAsia="es-ES"/>
        </w:rPr>
        <w:t xml:space="preserve"> </w:t>
      </w:r>
      <w:r w:rsidR="003961C5" w:rsidRPr="006D5D60">
        <w:rPr>
          <w:sz w:val="18"/>
          <w:szCs w:val="18"/>
          <w:lang w:val="fr-FR" w:eastAsia="es-ES"/>
        </w:rPr>
        <w:t>l’autorisation discrétionnaire</w:t>
      </w:r>
      <w:r w:rsidR="000B562B" w:rsidRPr="006D5D60">
        <w:rPr>
          <w:sz w:val="18"/>
          <w:szCs w:val="18"/>
          <w:lang w:val="fr-FR" w:eastAsia="es-ES"/>
        </w:rPr>
        <w:t xml:space="preserve"> (DL) </w:t>
      </w:r>
      <w:r w:rsidR="003961C5" w:rsidRPr="006D5D60">
        <w:rPr>
          <w:sz w:val="18"/>
          <w:szCs w:val="18"/>
          <w:lang w:val="fr-FR" w:eastAsia="es-ES"/>
        </w:rPr>
        <w:t>remplacent</w:t>
      </w:r>
      <w:r w:rsidR="000B562B" w:rsidRPr="006D5D60">
        <w:rPr>
          <w:sz w:val="18"/>
          <w:szCs w:val="18"/>
          <w:lang w:val="fr-FR" w:eastAsia="es-ES"/>
        </w:rPr>
        <w:t xml:space="preserve"> </w:t>
      </w:r>
      <w:r w:rsidR="003961C5" w:rsidRPr="006D5D60">
        <w:rPr>
          <w:sz w:val="18"/>
          <w:szCs w:val="18"/>
          <w:lang w:val="fr-FR" w:eastAsia="es-ES"/>
        </w:rPr>
        <w:t xml:space="preserve">l’autorisation exceptionnelle de rester sur le territoire </w:t>
      </w:r>
      <w:r w:rsidR="000B562B" w:rsidRPr="006D5D60">
        <w:rPr>
          <w:sz w:val="18"/>
          <w:szCs w:val="18"/>
          <w:lang w:val="fr-FR" w:eastAsia="es-ES"/>
        </w:rPr>
        <w:t xml:space="preserve">(ELR) </w:t>
      </w:r>
      <w:r w:rsidR="003961C5" w:rsidRPr="006D5D60">
        <w:rPr>
          <w:sz w:val="18"/>
          <w:szCs w:val="18"/>
          <w:lang w:val="fr-FR" w:eastAsia="es-ES"/>
        </w:rPr>
        <w:t>depuis le 1er avril</w:t>
      </w:r>
      <w:r w:rsidR="000B562B" w:rsidRPr="006D5D60">
        <w:rPr>
          <w:sz w:val="18"/>
          <w:szCs w:val="18"/>
          <w:lang w:val="fr-FR" w:eastAsia="es-ES"/>
        </w:rPr>
        <w:t xml:space="preserve"> 2003</w:t>
      </w:r>
      <w:r w:rsidR="003961C5" w:rsidRPr="006D5D60">
        <w:rPr>
          <w:sz w:val="18"/>
          <w:szCs w:val="18"/>
          <w:lang w:val="fr-FR" w:eastAsia="es-ES"/>
        </w:rPr>
        <w:t>.</w:t>
      </w:r>
    </w:p>
    <w:p w:rsidR="000B562B" w:rsidRPr="00A176EA" w:rsidRDefault="00B82329" w:rsidP="001C135E">
      <w:pPr>
        <w:pStyle w:val="H1G"/>
      </w:pPr>
      <w:bookmarkStart w:id="20" w:name="_Toc299724694"/>
      <w:r>
        <w:tab/>
      </w:r>
      <w:r>
        <w:tab/>
      </w:r>
      <w:r w:rsidR="000B562B" w:rsidRPr="00607F75">
        <w:t>Article 4</w:t>
      </w:r>
      <w:r w:rsidR="00817245">
        <w:br/>
      </w:r>
      <w:r w:rsidR="000E5F91" w:rsidRPr="00607F75">
        <w:t>Incrimination de la</w:t>
      </w:r>
      <w:r w:rsidR="000B562B" w:rsidRPr="00607F75">
        <w:t xml:space="preserve"> </w:t>
      </w:r>
      <w:r w:rsidR="00F749B1" w:rsidRPr="00607F75">
        <w:t>t</w:t>
      </w:r>
      <w:r w:rsidR="000B562B" w:rsidRPr="00607F75">
        <w:t>orture</w:t>
      </w:r>
      <w:bookmarkEnd w:id="20"/>
    </w:p>
    <w:p w:rsidR="002D3932" w:rsidRDefault="002549A9" w:rsidP="002D3932">
      <w:pPr>
        <w:pStyle w:val="SingleTxtG"/>
        <w:rPr>
          <w:lang w:val="fr-FR"/>
        </w:rPr>
      </w:pPr>
      <w:r w:rsidRPr="00A176EA">
        <w:rPr>
          <w:lang w:val="fr-FR"/>
        </w:rPr>
        <w:t>197.</w:t>
      </w:r>
      <w:r w:rsidRPr="00A176EA">
        <w:rPr>
          <w:lang w:val="fr-FR"/>
        </w:rPr>
        <w:tab/>
      </w:r>
      <w:r w:rsidR="00607F75">
        <w:rPr>
          <w:lang w:val="fr-FR"/>
        </w:rPr>
        <w:t xml:space="preserve">Le détail des mesures prises pour </w:t>
      </w:r>
      <w:r w:rsidR="003667EB">
        <w:rPr>
          <w:lang w:val="fr-FR"/>
        </w:rPr>
        <w:t>incriminer</w:t>
      </w:r>
      <w:r w:rsidR="00607F75">
        <w:rPr>
          <w:lang w:val="fr-FR"/>
        </w:rPr>
        <w:t xml:space="preserve"> la torture au Royaume-Uni figure aux paragraphes 39 à 41 du quatrième rapport périodique du Royaume-Uni. </w:t>
      </w:r>
      <w:r w:rsidR="002D3932">
        <w:rPr>
          <w:lang w:val="fr-FR"/>
        </w:rPr>
        <w:t>Le Royaume-Uni a réaffirmé a</w:t>
      </w:r>
      <w:r w:rsidR="00607F75">
        <w:rPr>
          <w:lang w:val="fr-FR"/>
        </w:rPr>
        <w:t xml:space="preserve">u paragraphe 28 du présent rapport que le droit britannique </w:t>
      </w:r>
      <w:r w:rsidR="002D3932">
        <w:rPr>
          <w:lang w:val="fr-FR"/>
        </w:rPr>
        <w:t>était</w:t>
      </w:r>
      <w:r w:rsidR="00607F75">
        <w:rPr>
          <w:lang w:val="fr-FR"/>
        </w:rPr>
        <w:t xml:space="preserve"> conforme à la Convention</w:t>
      </w:r>
      <w:r w:rsidR="000B562B" w:rsidRPr="00A176EA">
        <w:rPr>
          <w:lang w:val="fr-FR"/>
        </w:rPr>
        <w:t>.</w:t>
      </w:r>
      <w:bookmarkStart w:id="21" w:name="_Toc299724695"/>
    </w:p>
    <w:p w:rsidR="000B562B" w:rsidRPr="002D3932" w:rsidRDefault="00607F75" w:rsidP="002D3932">
      <w:pPr>
        <w:pStyle w:val="SingleTxtG"/>
        <w:rPr>
          <w:b/>
          <w:lang w:val="fr-FR"/>
        </w:rPr>
      </w:pPr>
      <w:r w:rsidRPr="002D3932">
        <w:rPr>
          <w:b/>
          <w:lang w:val="fr-FR"/>
        </w:rPr>
        <w:t>Personnels militaires</w:t>
      </w:r>
      <w:r w:rsidR="000B562B" w:rsidRPr="002D3932">
        <w:rPr>
          <w:b/>
          <w:lang w:val="fr-FR"/>
        </w:rPr>
        <w:t xml:space="preserve"> </w:t>
      </w:r>
      <w:bookmarkEnd w:id="21"/>
    </w:p>
    <w:p w:rsidR="000B562B" w:rsidRPr="00A176EA" w:rsidRDefault="002549A9" w:rsidP="008E012B">
      <w:pPr>
        <w:pStyle w:val="SingleTxtG"/>
        <w:rPr>
          <w:lang w:val="fr-FR"/>
        </w:rPr>
      </w:pPr>
      <w:r w:rsidRPr="00A176EA">
        <w:rPr>
          <w:lang w:val="fr-FR"/>
        </w:rPr>
        <w:t>198.</w:t>
      </w:r>
      <w:r w:rsidRPr="00A176EA">
        <w:rPr>
          <w:lang w:val="fr-FR"/>
        </w:rPr>
        <w:tab/>
      </w:r>
      <w:r w:rsidR="00607F75">
        <w:rPr>
          <w:lang w:val="fr-FR"/>
        </w:rPr>
        <w:t xml:space="preserve">La loi de 1988 sur la justice pénale s’applique autant aux civils qu’aux militaires, comme toutes les lois pénales du Royaume-Uni. Le droit militaire comporte une disposition qui stipule qu’un </w:t>
      </w:r>
      <w:r w:rsidR="008E012B">
        <w:rPr>
          <w:lang w:val="fr-FR"/>
        </w:rPr>
        <w:t>acte constitu</w:t>
      </w:r>
      <w:r w:rsidR="00F016E0">
        <w:rPr>
          <w:lang w:val="fr-FR"/>
        </w:rPr>
        <w:t>ant</w:t>
      </w:r>
      <w:r w:rsidR="008E012B">
        <w:rPr>
          <w:lang w:val="fr-FR"/>
        </w:rPr>
        <w:t xml:space="preserve"> une infraction au regard du droit pénal d’Angleterre et du </w:t>
      </w:r>
      <w:r w:rsidR="00186A02">
        <w:rPr>
          <w:lang w:val="fr-FR"/>
        </w:rPr>
        <w:t>p</w:t>
      </w:r>
      <w:r w:rsidR="005601A1">
        <w:rPr>
          <w:lang w:val="fr-FR"/>
        </w:rPr>
        <w:t>ays de Galles</w:t>
      </w:r>
      <w:r w:rsidR="008E012B">
        <w:rPr>
          <w:lang w:val="fr-FR"/>
        </w:rPr>
        <w:t xml:space="preserve"> est également une infraction au regard du droit militaire. C’est pourquoi la torture est explicitement interdite par le droit militaire et passible de la même peine </w:t>
      </w:r>
      <w:r w:rsidR="002D3932">
        <w:rPr>
          <w:lang w:val="fr-FR"/>
        </w:rPr>
        <w:t>que celle prévue par le</w:t>
      </w:r>
      <w:r w:rsidR="008E012B">
        <w:rPr>
          <w:lang w:val="fr-FR"/>
        </w:rPr>
        <w:t xml:space="preserve"> droit pénal britannique</w:t>
      </w:r>
      <w:r w:rsidR="000B562B" w:rsidRPr="00A176EA">
        <w:rPr>
          <w:lang w:val="fr-FR"/>
        </w:rPr>
        <w:t>.</w:t>
      </w:r>
    </w:p>
    <w:p w:rsidR="000B562B" w:rsidRPr="00A176EA" w:rsidRDefault="002549A9" w:rsidP="00526A58">
      <w:pPr>
        <w:pStyle w:val="SingleTxtG"/>
        <w:rPr>
          <w:lang w:val="fr-FR"/>
        </w:rPr>
      </w:pPr>
      <w:r w:rsidRPr="00A176EA">
        <w:rPr>
          <w:lang w:val="fr-FR"/>
        </w:rPr>
        <w:t>199.</w:t>
      </w:r>
      <w:r w:rsidRPr="00A176EA">
        <w:rPr>
          <w:lang w:val="fr-FR"/>
        </w:rPr>
        <w:tab/>
      </w:r>
      <w:r w:rsidR="002D3932">
        <w:rPr>
          <w:lang w:val="fr-FR"/>
        </w:rPr>
        <w:t>Les forces armées britanniques relèvent en toutes circonstances</w:t>
      </w:r>
      <w:r w:rsidR="002D3932" w:rsidRPr="00CC48A3">
        <w:rPr>
          <w:lang w:val="fr-FR"/>
        </w:rPr>
        <w:t xml:space="preserve"> </w:t>
      </w:r>
      <w:r w:rsidR="002D3932">
        <w:rPr>
          <w:lang w:val="fr-FR"/>
        </w:rPr>
        <w:t xml:space="preserve">de la loi militaire, où qu’elles </w:t>
      </w:r>
      <w:r w:rsidR="00F016E0">
        <w:rPr>
          <w:lang w:val="fr-FR"/>
        </w:rPr>
        <w:t>se trouvent</w:t>
      </w:r>
      <w:r w:rsidR="002D3932">
        <w:rPr>
          <w:lang w:val="fr-FR"/>
        </w:rPr>
        <w:t xml:space="preserve"> dans le monde</w:t>
      </w:r>
      <w:r w:rsidR="002D3932" w:rsidRPr="00A176EA">
        <w:rPr>
          <w:lang w:val="fr-FR"/>
        </w:rPr>
        <w:t>.</w:t>
      </w:r>
      <w:r w:rsidR="002D3932">
        <w:rPr>
          <w:lang w:val="fr-FR"/>
        </w:rPr>
        <w:t xml:space="preserve"> </w:t>
      </w:r>
      <w:r w:rsidR="00526A58">
        <w:rPr>
          <w:lang w:val="fr-FR"/>
        </w:rPr>
        <w:t>C’est pourquoi les militaires peuvent être</w:t>
      </w:r>
      <w:r w:rsidR="00526A58" w:rsidRPr="00526A58">
        <w:rPr>
          <w:lang w:val="fr-FR"/>
        </w:rPr>
        <w:t xml:space="preserve"> </w:t>
      </w:r>
      <w:r w:rsidR="00526A58">
        <w:rPr>
          <w:lang w:val="fr-FR"/>
        </w:rPr>
        <w:t>poursuivis, et le seront, si la preuve est apportée qu’ils ont torturé ou agressé une personne ou s’ils se sont rendus coupables envers elle de toute autre infraction</w:t>
      </w:r>
      <w:r w:rsidR="00526A58" w:rsidRPr="00A176EA">
        <w:rPr>
          <w:lang w:val="fr-FR"/>
        </w:rPr>
        <w:t>.</w:t>
      </w:r>
      <w:r w:rsidR="00526A58">
        <w:rPr>
          <w:lang w:val="fr-FR"/>
        </w:rPr>
        <w:t xml:space="preserve"> Les infractions visées à l’article 134 de la loi de 1988 sur la justice pénale sont imprescriptibles</w:t>
      </w:r>
      <w:r w:rsidR="000B562B" w:rsidRPr="00A176EA">
        <w:rPr>
          <w:lang w:val="fr-FR"/>
        </w:rPr>
        <w:t>.</w:t>
      </w:r>
    </w:p>
    <w:p w:rsidR="000B562B" w:rsidRPr="00A176EA" w:rsidRDefault="002D3932" w:rsidP="00C655A5">
      <w:pPr>
        <w:pStyle w:val="H23G"/>
        <w:rPr>
          <w:lang w:val="fr-FR"/>
        </w:rPr>
      </w:pPr>
      <w:bookmarkStart w:id="22" w:name="_Toc299724696"/>
      <w:r w:rsidRPr="00A176EA">
        <w:rPr>
          <w:lang w:val="fr-FR"/>
        </w:rPr>
        <w:t>Personnel</w:t>
      </w:r>
      <w:r>
        <w:rPr>
          <w:lang w:val="fr-FR"/>
        </w:rPr>
        <w:t>s de p</w:t>
      </w:r>
      <w:r w:rsidR="000B562B" w:rsidRPr="00A176EA">
        <w:rPr>
          <w:lang w:val="fr-FR"/>
        </w:rPr>
        <w:t xml:space="preserve">olice </w:t>
      </w:r>
      <w:bookmarkEnd w:id="22"/>
    </w:p>
    <w:p w:rsidR="000B562B" w:rsidRPr="00A176EA" w:rsidRDefault="000E5F91" w:rsidP="00C655A5">
      <w:pPr>
        <w:pStyle w:val="H23G"/>
        <w:rPr>
          <w:lang w:val="fr-FR"/>
        </w:rPr>
      </w:pPr>
      <w:r w:rsidRPr="00FF4541">
        <w:rPr>
          <w:lang w:val="fr-FR"/>
        </w:rPr>
        <w:t xml:space="preserve">Angleterre et </w:t>
      </w:r>
      <w:r w:rsidR="00186A02">
        <w:rPr>
          <w:lang w:val="fr-FR"/>
        </w:rPr>
        <w:t>p</w:t>
      </w:r>
      <w:r w:rsidR="005601A1">
        <w:rPr>
          <w:lang w:val="fr-FR"/>
        </w:rPr>
        <w:t>ays de Galles</w:t>
      </w:r>
    </w:p>
    <w:p w:rsidR="000B562B" w:rsidRPr="00A176EA" w:rsidRDefault="002549A9" w:rsidP="00FF4541">
      <w:pPr>
        <w:pStyle w:val="SingleTxtG"/>
        <w:rPr>
          <w:lang w:val="fr-FR"/>
        </w:rPr>
      </w:pPr>
      <w:r w:rsidRPr="00A176EA">
        <w:rPr>
          <w:lang w:val="fr-FR"/>
        </w:rPr>
        <w:t>200.</w:t>
      </w:r>
      <w:r w:rsidRPr="00A176EA">
        <w:rPr>
          <w:lang w:val="fr-FR"/>
        </w:rPr>
        <w:tab/>
      </w:r>
      <w:r w:rsidR="00FF4541">
        <w:rPr>
          <w:lang w:val="fr-FR"/>
        </w:rPr>
        <w:t xml:space="preserve">Les procédures disciplinaires et </w:t>
      </w:r>
      <w:r w:rsidR="00232D89">
        <w:rPr>
          <w:lang w:val="fr-FR"/>
        </w:rPr>
        <w:t xml:space="preserve">les procédures </w:t>
      </w:r>
      <w:r w:rsidR="00A76C9A">
        <w:rPr>
          <w:lang w:val="fr-FR"/>
        </w:rPr>
        <w:t xml:space="preserve">pour </w:t>
      </w:r>
      <w:r w:rsidR="00232D89">
        <w:rPr>
          <w:lang w:val="fr-FR"/>
        </w:rPr>
        <w:t>insuffisance professionnelle</w:t>
      </w:r>
      <w:r w:rsidR="00EA41AF">
        <w:rPr>
          <w:lang w:val="fr-FR"/>
        </w:rPr>
        <w:t xml:space="preserve"> </w:t>
      </w:r>
      <w:r w:rsidR="00232D89">
        <w:rPr>
          <w:lang w:val="fr-FR"/>
        </w:rPr>
        <w:t xml:space="preserve">à l’encontre </w:t>
      </w:r>
      <w:r w:rsidR="00EA41AF">
        <w:rPr>
          <w:lang w:val="fr-FR"/>
        </w:rPr>
        <w:t>de fonctionnaires de police</w:t>
      </w:r>
      <w:r w:rsidR="00FF4541">
        <w:rPr>
          <w:lang w:val="fr-FR"/>
        </w:rPr>
        <w:t xml:space="preserve"> sont définies dans les lois sur la police de 1996 et 1997 </w:t>
      </w:r>
      <w:r w:rsidR="000B562B" w:rsidRPr="00A176EA">
        <w:rPr>
          <w:lang w:val="fr-FR"/>
        </w:rPr>
        <w:t>(</w:t>
      </w:r>
      <w:r w:rsidR="00FF4541">
        <w:rPr>
          <w:lang w:val="fr-FR"/>
        </w:rPr>
        <w:t xml:space="preserve">qui remplacent les dispositions de la partie IX de la </w:t>
      </w:r>
      <w:r w:rsidR="00440FAD" w:rsidRPr="00FF4541">
        <w:rPr>
          <w:lang w:val="fr-FR"/>
        </w:rPr>
        <w:t xml:space="preserve">loi sur la police et les preuves </w:t>
      </w:r>
      <w:r w:rsidR="00D10599" w:rsidRPr="00FF4541">
        <w:rPr>
          <w:lang w:val="fr-FR"/>
        </w:rPr>
        <w:t>pénales</w:t>
      </w:r>
      <w:r w:rsidR="000B562B" w:rsidRPr="00FF4541">
        <w:rPr>
          <w:lang w:val="fr-FR"/>
        </w:rPr>
        <w:t xml:space="preserve">), </w:t>
      </w:r>
      <w:r w:rsidR="00FF4541" w:rsidRPr="00FF4541">
        <w:rPr>
          <w:lang w:val="fr-FR"/>
        </w:rPr>
        <w:t xml:space="preserve">et régies par le Règlement </w:t>
      </w:r>
      <w:r w:rsidR="00725FE3" w:rsidRPr="00FF4541">
        <w:rPr>
          <w:lang w:val="fr-FR"/>
        </w:rPr>
        <w:t xml:space="preserve">des </w:t>
      </w:r>
      <w:r w:rsidR="00725FE3">
        <w:rPr>
          <w:lang w:val="fr-FR"/>
        </w:rPr>
        <w:t>s</w:t>
      </w:r>
      <w:r w:rsidR="00725FE3" w:rsidRPr="00FF4541">
        <w:rPr>
          <w:lang w:val="fr-FR"/>
        </w:rPr>
        <w:t>ervices</w:t>
      </w:r>
      <w:r w:rsidR="00725FE3">
        <w:rPr>
          <w:lang w:val="fr-FR"/>
        </w:rPr>
        <w:t xml:space="preserve"> de police </w:t>
      </w:r>
      <w:r w:rsidR="003667EB">
        <w:rPr>
          <w:lang w:val="fr-FR"/>
        </w:rPr>
        <w:t>(</w:t>
      </w:r>
      <w:r w:rsidR="00725FE3">
        <w:rPr>
          <w:lang w:val="fr-FR"/>
        </w:rPr>
        <w:t>C</w:t>
      </w:r>
      <w:r w:rsidR="003667EB">
        <w:rPr>
          <w:lang w:val="fr-FR"/>
        </w:rPr>
        <w:t>onduite) de</w:t>
      </w:r>
      <w:r w:rsidR="003667EB" w:rsidRPr="00A176EA">
        <w:rPr>
          <w:lang w:val="fr-FR"/>
        </w:rPr>
        <w:t xml:space="preserve"> 2008</w:t>
      </w:r>
      <w:r w:rsidR="003667EB" w:rsidRPr="00DB5FDF">
        <w:rPr>
          <w:rStyle w:val="FootnoteReference"/>
          <w:szCs w:val="24"/>
        </w:rPr>
        <w:footnoteReference w:id="28"/>
      </w:r>
      <w:r w:rsidR="003667EB">
        <w:rPr>
          <w:lang w:val="fr-FR"/>
        </w:rPr>
        <w:t xml:space="preserve"> et le Règlement</w:t>
      </w:r>
      <w:r w:rsidR="003667EB" w:rsidRPr="00FF4541">
        <w:rPr>
          <w:lang w:val="fr-FR"/>
        </w:rPr>
        <w:t xml:space="preserve"> </w:t>
      </w:r>
      <w:r w:rsidR="00725FE3">
        <w:rPr>
          <w:lang w:val="fr-FR"/>
        </w:rPr>
        <w:t xml:space="preserve">des services de police </w:t>
      </w:r>
      <w:r w:rsidR="00FF4541" w:rsidRPr="00FF4541">
        <w:rPr>
          <w:lang w:val="fr-FR"/>
        </w:rPr>
        <w:t>(</w:t>
      </w:r>
      <w:r w:rsidR="00725FE3">
        <w:rPr>
          <w:lang w:val="fr-FR"/>
        </w:rPr>
        <w:t>Efficacité</w:t>
      </w:r>
      <w:r w:rsidR="00FF4541" w:rsidRPr="00FF4541">
        <w:rPr>
          <w:lang w:val="fr-FR"/>
        </w:rPr>
        <w:t>)</w:t>
      </w:r>
      <w:r w:rsidR="003667EB">
        <w:rPr>
          <w:lang w:val="fr-FR"/>
        </w:rPr>
        <w:t xml:space="preserve"> de 2008</w:t>
      </w:r>
      <w:r w:rsidR="000B562B" w:rsidRPr="00A176EA">
        <w:rPr>
          <w:rStyle w:val="FootnoteReference"/>
          <w:szCs w:val="24"/>
        </w:rPr>
        <w:footnoteReference w:id="29"/>
      </w:r>
      <w:r w:rsidR="00FF4541">
        <w:rPr>
          <w:lang w:val="fr-FR"/>
        </w:rPr>
        <w:t>.</w:t>
      </w:r>
    </w:p>
    <w:p w:rsidR="000B562B" w:rsidRPr="00A176EA" w:rsidRDefault="002549A9" w:rsidP="00B231C1">
      <w:pPr>
        <w:pStyle w:val="SingleTxtG"/>
        <w:rPr>
          <w:lang w:val="fr-FR"/>
        </w:rPr>
      </w:pPr>
      <w:r w:rsidRPr="00A176EA">
        <w:rPr>
          <w:lang w:val="fr-FR"/>
        </w:rPr>
        <w:t>201.</w:t>
      </w:r>
      <w:r w:rsidRPr="00A176EA">
        <w:rPr>
          <w:lang w:val="fr-FR"/>
        </w:rPr>
        <w:tab/>
      </w:r>
      <w:r w:rsidR="00FF4541">
        <w:rPr>
          <w:lang w:val="fr-FR"/>
        </w:rPr>
        <w:t>E</w:t>
      </w:r>
      <w:r w:rsidR="000B562B" w:rsidRPr="00A176EA">
        <w:rPr>
          <w:lang w:val="fr-FR"/>
        </w:rPr>
        <w:t>n 2004</w:t>
      </w:r>
      <w:r w:rsidR="00FF4541">
        <w:rPr>
          <w:lang w:val="fr-FR"/>
        </w:rPr>
        <w:t xml:space="preserve">, </w:t>
      </w:r>
      <w:r w:rsidR="00187DDF">
        <w:rPr>
          <w:lang w:val="fr-FR"/>
        </w:rPr>
        <w:t xml:space="preserve">le Ministre de l’intérieur a </w:t>
      </w:r>
      <w:r w:rsidR="00EA41AF">
        <w:rPr>
          <w:lang w:val="fr-FR"/>
        </w:rPr>
        <w:t>de</w:t>
      </w:r>
      <w:r w:rsidR="00187DDF">
        <w:rPr>
          <w:lang w:val="fr-FR"/>
        </w:rPr>
        <w:t>mandé une étude sur les dispositi</w:t>
      </w:r>
      <w:r w:rsidR="00D62763">
        <w:rPr>
          <w:lang w:val="fr-FR"/>
        </w:rPr>
        <w:t>on</w:t>
      </w:r>
      <w:r w:rsidR="00187DDF">
        <w:rPr>
          <w:lang w:val="fr-FR"/>
        </w:rPr>
        <w:t>s existant</w:t>
      </w:r>
      <w:r w:rsidR="00D62763">
        <w:rPr>
          <w:lang w:val="fr-FR"/>
        </w:rPr>
        <w:t>e</w:t>
      </w:r>
      <w:r w:rsidR="00187DDF">
        <w:rPr>
          <w:lang w:val="fr-FR"/>
        </w:rPr>
        <w:t xml:space="preserve">s concernant les comportements répréhensibles </w:t>
      </w:r>
      <w:r w:rsidR="00EA41AF">
        <w:rPr>
          <w:lang w:val="fr-FR"/>
        </w:rPr>
        <w:t xml:space="preserve">et </w:t>
      </w:r>
      <w:r w:rsidR="00232D89">
        <w:rPr>
          <w:lang w:val="fr-FR"/>
        </w:rPr>
        <w:t>l’insuffisance professionnelle</w:t>
      </w:r>
      <w:r w:rsidR="00EA41AF">
        <w:rPr>
          <w:lang w:val="fr-FR"/>
        </w:rPr>
        <w:t xml:space="preserve"> </w:t>
      </w:r>
      <w:r w:rsidR="00187DDF">
        <w:rPr>
          <w:lang w:val="fr-FR"/>
        </w:rPr>
        <w:t>de</w:t>
      </w:r>
      <w:r w:rsidR="00EA41AF">
        <w:rPr>
          <w:lang w:val="fr-FR"/>
        </w:rPr>
        <w:t xml:space="preserve">s fonctionnaires de police. </w:t>
      </w:r>
      <w:r w:rsidR="00D62763">
        <w:rPr>
          <w:lang w:val="fr-FR"/>
        </w:rPr>
        <w:t>L’Étude sur les dispositions disciplinaires relatives à la police</w:t>
      </w:r>
      <w:r w:rsidR="000B562B" w:rsidRPr="00A176EA">
        <w:rPr>
          <w:rStyle w:val="FootnoteReference"/>
          <w:szCs w:val="24"/>
        </w:rPr>
        <w:footnoteReference w:id="30"/>
      </w:r>
      <w:r w:rsidR="000B562B" w:rsidRPr="00A176EA">
        <w:rPr>
          <w:lang w:val="fr-FR"/>
        </w:rPr>
        <w:t xml:space="preserve"> </w:t>
      </w:r>
      <w:r w:rsidR="00B231C1">
        <w:rPr>
          <w:lang w:val="fr-FR"/>
        </w:rPr>
        <w:t xml:space="preserve">a été réalisée par </w:t>
      </w:r>
      <w:r w:rsidR="000B562B" w:rsidRPr="00A176EA">
        <w:rPr>
          <w:lang w:val="fr-FR"/>
        </w:rPr>
        <w:t>William Taylor (</w:t>
      </w:r>
      <w:r w:rsidR="00B231C1">
        <w:rPr>
          <w:lang w:val="fr-FR"/>
        </w:rPr>
        <w:t>ancien</w:t>
      </w:r>
      <w:r w:rsidR="000B562B" w:rsidRPr="00A176EA">
        <w:rPr>
          <w:lang w:val="fr-FR"/>
        </w:rPr>
        <w:t xml:space="preserve"> Commiss</w:t>
      </w:r>
      <w:r w:rsidR="00B231C1">
        <w:rPr>
          <w:lang w:val="fr-FR"/>
        </w:rPr>
        <w:t>aire de la police de Londres et ancien</w:t>
      </w:r>
      <w:r w:rsidR="000B562B" w:rsidRPr="00A176EA">
        <w:rPr>
          <w:lang w:val="fr-FR"/>
        </w:rPr>
        <w:t xml:space="preserve"> </w:t>
      </w:r>
      <w:r w:rsidR="00B231C1">
        <w:rPr>
          <w:lang w:val="fr-FR"/>
        </w:rPr>
        <w:t xml:space="preserve">Inspecteur des </w:t>
      </w:r>
      <w:r w:rsidR="004C0E7E">
        <w:rPr>
          <w:lang w:val="fr-FR"/>
        </w:rPr>
        <w:t>s</w:t>
      </w:r>
      <w:r w:rsidR="00B231C1">
        <w:rPr>
          <w:lang w:val="fr-FR"/>
        </w:rPr>
        <w:t xml:space="preserve">ervices de police de Sa Majesté pour </w:t>
      </w:r>
      <w:r w:rsidR="00B231C1" w:rsidRPr="006E1152">
        <w:rPr>
          <w:lang w:val="fr-FR"/>
        </w:rPr>
        <w:t>l’</w:t>
      </w:r>
      <w:r w:rsidR="00FD2CE1" w:rsidRPr="006E1152">
        <w:rPr>
          <w:lang w:val="fr-FR"/>
        </w:rPr>
        <w:t>Écosse</w:t>
      </w:r>
      <w:r w:rsidR="000B562B" w:rsidRPr="006E1152">
        <w:rPr>
          <w:lang w:val="fr-FR"/>
        </w:rPr>
        <w:t>).</w:t>
      </w:r>
    </w:p>
    <w:p w:rsidR="000B562B" w:rsidRPr="00A176EA" w:rsidRDefault="002549A9" w:rsidP="00671A43">
      <w:pPr>
        <w:pStyle w:val="SingleTxtG"/>
        <w:rPr>
          <w:lang w:val="fr-FR"/>
        </w:rPr>
      </w:pPr>
      <w:r w:rsidRPr="00A176EA">
        <w:rPr>
          <w:lang w:val="fr-FR"/>
        </w:rPr>
        <w:t>202.</w:t>
      </w:r>
      <w:r w:rsidRPr="00A176EA">
        <w:rPr>
          <w:lang w:val="fr-FR"/>
        </w:rPr>
        <w:tab/>
      </w:r>
      <w:r w:rsidR="006E1152">
        <w:rPr>
          <w:lang w:val="fr-FR"/>
        </w:rPr>
        <w:t>Les recomman</w:t>
      </w:r>
      <w:r w:rsidR="008A7CEF">
        <w:rPr>
          <w:lang w:val="fr-FR"/>
        </w:rPr>
        <w:t>d</w:t>
      </w:r>
      <w:r w:rsidR="006E1152">
        <w:rPr>
          <w:lang w:val="fr-FR"/>
        </w:rPr>
        <w:t xml:space="preserve">ations formulées dans le rapport, publié en 2005, ont été acceptées par les ministres, de sorte que le Conseil consultatif de la police pour l’Angleterre et le </w:t>
      </w:r>
      <w:r w:rsidR="00186A02">
        <w:rPr>
          <w:lang w:val="fr-FR"/>
        </w:rPr>
        <w:t>p</w:t>
      </w:r>
      <w:r w:rsidR="005601A1">
        <w:rPr>
          <w:lang w:val="fr-FR"/>
        </w:rPr>
        <w:t>ays de Galles</w:t>
      </w:r>
      <w:r w:rsidR="006E1152">
        <w:rPr>
          <w:lang w:val="fr-FR"/>
        </w:rPr>
        <w:t xml:space="preserve"> a reçu pour instruction d’engager le processus de </w:t>
      </w:r>
      <w:r w:rsidR="004C0E7E">
        <w:rPr>
          <w:lang w:val="fr-FR"/>
        </w:rPr>
        <w:t xml:space="preserve">leur </w:t>
      </w:r>
      <w:r w:rsidR="006E1152">
        <w:rPr>
          <w:lang w:val="fr-FR"/>
        </w:rPr>
        <w:t>mise en œuvre</w:t>
      </w:r>
      <w:r w:rsidR="000B562B" w:rsidRPr="00A176EA">
        <w:rPr>
          <w:lang w:val="fr-FR"/>
        </w:rPr>
        <w:t>.</w:t>
      </w:r>
    </w:p>
    <w:p w:rsidR="000B562B" w:rsidRPr="00A176EA" w:rsidRDefault="002549A9" w:rsidP="00C118C0">
      <w:pPr>
        <w:pStyle w:val="SingleTxtG"/>
        <w:rPr>
          <w:lang w:val="fr-FR"/>
        </w:rPr>
      </w:pPr>
      <w:r w:rsidRPr="00A176EA">
        <w:rPr>
          <w:lang w:val="fr-FR"/>
        </w:rPr>
        <w:t>203.</w:t>
      </w:r>
      <w:r w:rsidRPr="00A176EA">
        <w:rPr>
          <w:lang w:val="fr-FR"/>
        </w:rPr>
        <w:tab/>
      </w:r>
      <w:r w:rsidR="006E1152">
        <w:rPr>
          <w:lang w:val="fr-FR"/>
        </w:rPr>
        <w:t xml:space="preserve">L’Étude Taylor a révélé que le système </w:t>
      </w:r>
      <w:r w:rsidR="006E1152" w:rsidRPr="004C0E7E">
        <w:rPr>
          <w:lang w:val="fr-FR"/>
        </w:rPr>
        <w:t>régissant</w:t>
      </w:r>
      <w:r w:rsidR="006E1152">
        <w:rPr>
          <w:lang w:val="fr-FR"/>
        </w:rPr>
        <w:t xml:space="preserve"> les </w:t>
      </w:r>
      <w:r w:rsidR="00232D89">
        <w:rPr>
          <w:lang w:val="fr-FR"/>
        </w:rPr>
        <w:t>manquements policiers</w:t>
      </w:r>
      <w:r w:rsidR="006E1152">
        <w:rPr>
          <w:lang w:val="fr-FR"/>
        </w:rPr>
        <w:t xml:space="preserve"> était </w:t>
      </w:r>
      <w:r w:rsidR="00232D89">
        <w:rPr>
          <w:lang w:val="fr-FR"/>
        </w:rPr>
        <w:t>bien</w:t>
      </w:r>
      <w:r w:rsidR="006E1152">
        <w:rPr>
          <w:lang w:val="fr-FR"/>
        </w:rPr>
        <w:t xml:space="preserve"> trop bureaucratique et légaliste, et encourageait peu, voire pas, la hiérarchie à régler de façon rapide et proportionnée les affaires </w:t>
      </w:r>
      <w:r w:rsidR="004C0E7E">
        <w:rPr>
          <w:lang w:val="fr-FR"/>
        </w:rPr>
        <w:t>de faute professionnelle</w:t>
      </w:r>
      <w:r w:rsidR="006E1152">
        <w:rPr>
          <w:lang w:val="fr-FR"/>
        </w:rPr>
        <w:t xml:space="preserve"> mineure. Les </w:t>
      </w:r>
      <w:r w:rsidR="00C118C0">
        <w:rPr>
          <w:lang w:val="fr-FR"/>
        </w:rPr>
        <w:t>audiences disciplinaires ressemblent davantage à des audiences pénal</w:t>
      </w:r>
      <w:r w:rsidR="00E620F3">
        <w:rPr>
          <w:lang w:val="fr-FR"/>
        </w:rPr>
        <w:t>es</w:t>
      </w:r>
      <w:r w:rsidR="00C118C0">
        <w:rPr>
          <w:lang w:val="fr-FR"/>
        </w:rPr>
        <w:t xml:space="preserve"> et même les </w:t>
      </w:r>
      <w:r w:rsidR="00232D89">
        <w:rPr>
          <w:lang w:val="fr-FR"/>
        </w:rPr>
        <w:t>fautes</w:t>
      </w:r>
      <w:r w:rsidR="00C118C0">
        <w:rPr>
          <w:lang w:val="fr-FR"/>
        </w:rPr>
        <w:t xml:space="preserve"> mineures sont jugées par un collège de trois hauts fonctionnaires de la police</w:t>
      </w:r>
      <w:r w:rsidR="000B562B" w:rsidRPr="00A176EA">
        <w:rPr>
          <w:lang w:val="fr-FR"/>
        </w:rPr>
        <w:t>.</w:t>
      </w:r>
    </w:p>
    <w:p w:rsidR="000B562B" w:rsidRPr="00A176EA" w:rsidRDefault="002549A9" w:rsidP="00671A43">
      <w:pPr>
        <w:pStyle w:val="SingleTxtG"/>
        <w:rPr>
          <w:lang w:val="fr-FR"/>
        </w:rPr>
      </w:pPr>
      <w:r w:rsidRPr="00A176EA">
        <w:rPr>
          <w:lang w:val="fr-FR"/>
        </w:rPr>
        <w:t>204.</w:t>
      </w:r>
      <w:r w:rsidRPr="00A176EA">
        <w:rPr>
          <w:lang w:val="fr-FR"/>
        </w:rPr>
        <w:tab/>
      </w:r>
      <w:r w:rsidR="00C118C0" w:rsidRPr="00C118C0">
        <w:rPr>
          <w:lang w:val="fr-FR"/>
        </w:rPr>
        <w:t>L’Étude Taylor</w:t>
      </w:r>
      <w:r w:rsidR="00C118C0">
        <w:rPr>
          <w:lang w:val="fr-FR"/>
        </w:rPr>
        <w:t xml:space="preserve"> a proposé de fonder les nouvelles procédures sur le</w:t>
      </w:r>
      <w:r w:rsidR="00CE0C3D">
        <w:rPr>
          <w:lang w:val="fr-FR"/>
        </w:rPr>
        <w:t>s principes du</w:t>
      </w:r>
      <w:r w:rsidR="00C118C0">
        <w:rPr>
          <w:lang w:val="fr-FR"/>
        </w:rPr>
        <w:t xml:space="preserve"> Service </w:t>
      </w:r>
      <w:r w:rsidR="00CE0C3D">
        <w:rPr>
          <w:lang w:val="fr-FR"/>
        </w:rPr>
        <w:t xml:space="preserve">de conseil, de conciliation et d’arbitrage (ACAS, un organisme dédié à la prévention et au règlement des conflits du travail) de façon à moderniser le système et à aider les fonctionnaires de police et la police en général à tirer des enseignements et améliorer les services rendus au public. </w:t>
      </w:r>
      <w:r w:rsidR="008A7CEF">
        <w:rPr>
          <w:lang w:val="fr-FR"/>
        </w:rPr>
        <w:t xml:space="preserve">L’un des points saillants révélés par l’étude est la nécessité </w:t>
      </w:r>
      <w:r w:rsidR="001B654C">
        <w:rPr>
          <w:lang w:val="fr-FR"/>
        </w:rPr>
        <w:t xml:space="preserve">d’aborder différemment les problèmes </w:t>
      </w:r>
      <w:r w:rsidR="004C0E7E">
        <w:rPr>
          <w:lang w:val="fr-FR"/>
        </w:rPr>
        <w:t>de faute professionnelle</w:t>
      </w:r>
      <w:r w:rsidR="001B654C">
        <w:rPr>
          <w:lang w:val="fr-FR"/>
        </w:rPr>
        <w:t xml:space="preserve"> en instaurant un environnement axé sur le développement et l’amélioration plutôt que sur la faute et la sanction. En outre, le rapport insiste sur l’importance d’effectuer une évaluation complète de la faute présumée </w:t>
      </w:r>
      <w:r w:rsidR="00232D89">
        <w:rPr>
          <w:lang w:val="fr-FR"/>
        </w:rPr>
        <w:t>dès le début de la procédure</w:t>
      </w:r>
      <w:r w:rsidR="001B654C">
        <w:rPr>
          <w:lang w:val="fr-FR"/>
        </w:rPr>
        <w:t xml:space="preserve"> afin d’</w:t>
      </w:r>
      <w:r w:rsidR="004C0E7E">
        <w:rPr>
          <w:lang w:val="fr-FR"/>
        </w:rPr>
        <w:t xml:space="preserve">y </w:t>
      </w:r>
      <w:r w:rsidR="001B654C">
        <w:rPr>
          <w:lang w:val="fr-FR"/>
        </w:rPr>
        <w:t xml:space="preserve">apporter une réponse proportionnée et non bureaucratique. Il recommande également un examen des procédures en vigueur sur </w:t>
      </w:r>
      <w:r w:rsidR="00232D89">
        <w:rPr>
          <w:lang w:val="fr-FR"/>
        </w:rPr>
        <w:t xml:space="preserve">le règlement des problèmes d’insuffisance professionnelle et </w:t>
      </w:r>
      <w:r w:rsidR="009D1CF6">
        <w:rPr>
          <w:lang w:val="fr-FR"/>
        </w:rPr>
        <w:t>d’absentéisme</w:t>
      </w:r>
      <w:r w:rsidR="000B562B" w:rsidRPr="00A176EA">
        <w:rPr>
          <w:lang w:val="fr-FR"/>
        </w:rPr>
        <w:t>.</w:t>
      </w:r>
    </w:p>
    <w:p w:rsidR="000B562B" w:rsidRPr="00A176EA" w:rsidRDefault="002549A9" w:rsidP="003D039C">
      <w:pPr>
        <w:pStyle w:val="SingleTxtG"/>
        <w:rPr>
          <w:lang w:val="fr-FR"/>
        </w:rPr>
      </w:pPr>
      <w:r w:rsidRPr="00A176EA">
        <w:rPr>
          <w:lang w:val="fr-FR"/>
        </w:rPr>
        <w:t>205.</w:t>
      </w:r>
      <w:r w:rsidRPr="00A176EA">
        <w:rPr>
          <w:lang w:val="fr-FR"/>
        </w:rPr>
        <w:tab/>
      </w:r>
      <w:r w:rsidR="009D1CF6">
        <w:rPr>
          <w:lang w:val="fr-FR"/>
        </w:rPr>
        <w:t xml:space="preserve">Le Règlement </w:t>
      </w:r>
      <w:r w:rsidR="00725FE3">
        <w:rPr>
          <w:lang w:val="fr-FR"/>
        </w:rPr>
        <w:t>des services de</w:t>
      </w:r>
      <w:r w:rsidR="009D1CF6">
        <w:rPr>
          <w:lang w:val="fr-FR"/>
        </w:rPr>
        <w:t xml:space="preserve"> police (</w:t>
      </w:r>
      <w:r w:rsidR="00725FE3">
        <w:rPr>
          <w:lang w:val="fr-FR"/>
        </w:rPr>
        <w:t>Efficacité</w:t>
      </w:r>
      <w:r w:rsidR="009D1CF6">
        <w:rPr>
          <w:lang w:val="fr-FR"/>
        </w:rPr>
        <w:t xml:space="preserve">) de 2008 et le Règlement </w:t>
      </w:r>
      <w:r w:rsidR="00725FE3">
        <w:rPr>
          <w:lang w:val="fr-FR"/>
        </w:rPr>
        <w:t>des services de</w:t>
      </w:r>
      <w:r w:rsidR="009D1CF6">
        <w:rPr>
          <w:lang w:val="fr-FR"/>
        </w:rPr>
        <w:t xml:space="preserve"> police (Conduite) de 2008 ont été introduits en décembre 2008 pour </w:t>
      </w:r>
      <w:r w:rsidR="003D039C">
        <w:rPr>
          <w:lang w:val="fr-FR"/>
        </w:rPr>
        <w:t xml:space="preserve">instaurer, s’agissant des questions de conduite et </w:t>
      </w:r>
      <w:r w:rsidR="00725FE3">
        <w:rPr>
          <w:lang w:val="fr-FR"/>
        </w:rPr>
        <w:t>d’efficacité</w:t>
      </w:r>
      <w:r w:rsidR="003D039C">
        <w:rPr>
          <w:lang w:val="fr-FR"/>
        </w:rPr>
        <w:t xml:space="preserve"> des</w:t>
      </w:r>
      <w:r w:rsidR="00E620F3">
        <w:rPr>
          <w:lang w:val="fr-FR"/>
        </w:rPr>
        <w:t xml:space="preserve"> fonctionnaires de police</w:t>
      </w:r>
      <w:r w:rsidR="003D039C">
        <w:rPr>
          <w:lang w:val="fr-FR"/>
        </w:rPr>
        <w:t>,</w:t>
      </w:r>
      <w:r w:rsidR="00E620F3">
        <w:rPr>
          <w:lang w:val="fr-FR"/>
        </w:rPr>
        <w:t xml:space="preserve"> </w:t>
      </w:r>
      <w:r w:rsidR="003D039C">
        <w:rPr>
          <w:lang w:val="fr-FR"/>
        </w:rPr>
        <w:t>un cadre réglementaire plus proche de celui qui s’applique dans les milieux professionnels civils</w:t>
      </w:r>
      <w:r w:rsidR="000B562B" w:rsidRPr="00A176EA">
        <w:rPr>
          <w:lang w:val="fr-FR"/>
        </w:rPr>
        <w:t>.</w:t>
      </w:r>
    </w:p>
    <w:p w:rsidR="000B562B" w:rsidRPr="00A176EA" w:rsidRDefault="002549A9" w:rsidP="00671A43">
      <w:pPr>
        <w:pStyle w:val="SingleTxtG"/>
        <w:rPr>
          <w:lang w:val="fr-FR"/>
        </w:rPr>
      </w:pPr>
      <w:r w:rsidRPr="00A176EA">
        <w:rPr>
          <w:lang w:val="fr-FR"/>
        </w:rPr>
        <w:t>206.</w:t>
      </w:r>
      <w:r w:rsidRPr="00A176EA">
        <w:rPr>
          <w:lang w:val="fr-FR"/>
        </w:rPr>
        <w:tab/>
      </w:r>
      <w:r w:rsidR="003D039C">
        <w:rPr>
          <w:lang w:val="fr-FR"/>
        </w:rPr>
        <w:t xml:space="preserve">Les nouvelles procédures instituent une </w:t>
      </w:r>
      <w:r w:rsidR="008C3084">
        <w:rPr>
          <w:lang w:val="fr-FR"/>
        </w:rPr>
        <w:t>méthode</w:t>
      </w:r>
      <w:r w:rsidR="003D039C">
        <w:rPr>
          <w:lang w:val="fr-FR"/>
        </w:rPr>
        <w:t xml:space="preserve"> juste, ouverte et proportionnée pour régler les </w:t>
      </w:r>
      <w:r w:rsidR="008C3084">
        <w:rPr>
          <w:lang w:val="fr-FR"/>
        </w:rPr>
        <w:t xml:space="preserve">allégations de manquement et d’insuffisance professionnelle. Elles visent à encourager une culture de l’apprentissage et du développement pour les individus et/ou l’institution elle-même. </w:t>
      </w:r>
      <w:r w:rsidR="002450CA">
        <w:rPr>
          <w:lang w:val="fr-FR"/>
        </w:rPr>
        <w:t>Des sanctions demeurent applicables, lorsque les circonstances l’exigent, mais l’amélioration demeure l’objectif principal en toute circonstance (même l</w:t>
      </w:r>
      <w:r w:rsidR="00E91229">
        <w:rPr>
          <w:lang w:val="fr-FR"/>
        </w:rPr>
        <w:t>a</w:t>
      </w:r>
      <w:r w:rsidR="002450CA">
        <w:rPr>
          <w:lang w:val="fr-FR"/>
        </w:rPr>
        <w:t xml:space="preserve"> </w:t>
      </w:r>
      <w:r w:rsidR="00E91229">
        <w:rPr>
          <w:lang w:val="fr-FR"/>
        </w:rPr>
        <w:t>révocation</w:t>
      </w:r>
      <w:r w:rsidR="002450CA">
        <w:rPr>
          <w:lang w:val="fr-FR"/>
        </w:rPr>
        <w:t xml:space="preserve"> d’un </w:t>
      </w:r>
      <w:r w:rsidR="004C0E7E">
        <w:rPr>
          <w:lang w:val="fr-FR"/>
        </w:rPr>
        <w:t>des leurs</w:t>
      </w:r>
      <w:r w:rsidR="002450CA">
        <w:rPr>
          <w:lang w:val="fr-FR"/>
        </w:rPr>
        <w:t xml:space="preserve"> permet aux Services de police de tirer des enseignements</w:t>
      </w:r>
      <w:r w:rsidR="000B562B" w:rsidRPr="00A176EA">
        <w:rPr>
          <w:lang w:val="fr-FR"/>
        </w:rPr>
        <w:t>).</w:t>
      </w:r>
    </w:p>
    <w:p w:rsidR="000B562B" w:rsidRPr="00A176EA" w:rsidRDefault="002549A9" w:rsidP="00671A43">
      <w:pPr>
        <w:pStyle w:val="SingleTxtG"/>
        <w:rPr>
          <w:lang w:val="fr-FR"/>
        </w:rPr>
      </w:pPr>
      <w:r w:rsidRPr="00A176EA">
        <w:rPr>
          <w:lang w:val="fr-FR"/>
        </w:rPr>
        <w:t>207.</w:t>
      </w:r>
      <w:r w:rsidRPr="00A176EA">
        <w:rPr>
          <w:lang w:val="fr-FR"/>
        </w:rPr>
        <w:tab/>
      </w:r>
      <w:r w:rsidR="002450CA">
        <w:rPr>
          <w:lang w:val="fr-FR"/>
        </w:rPr>
        <w:t>Le</w:t>
      </w:r>
      <w:r w:rsidR="004C0E7E">
        <w:rPr>
          <w:lang w:val="fr-FR"/>
        </w:rPr>
        <w:t>s</w:t>
      </w:r>
      <w:r w:rsidR="002450CA">
        <w:rPr>
          <w:lang w:val="fr-FR"/>
        </w:rPr>
        <w:t xml:space="preserve"> Règlement</w:t>
      </w:r>
      <w:r w:rsidR="004C0E7E">
        <w:rPr>
          <w:lang w:val="fr-FR"/>
        </w:rPr>
        <w:t>s</w:t>
      </w:r>
      <w:r w:rsidR="002450CA">
        <w:rPr>
          <w:lang w:val="fr-FR"/>
        </w:rPr>
        <w:t xml:space="preserve"> de condui</w:t>
      </w:r>
      <w:r w:rsidR="00E91229">
        <w:rPr>
          <w:lang w:val="fr-FR"/>
        </w:rPr>
        <w:t>t</w:t>
      </w:r>
      <w:r w:rsidR="002450CA">
        <w:rPr>
          <w:lang w:val="fr-FR"/>
        </w:rPr>
        <w:t xml:space="preserve">e et </w:t>
      </w:r>
      <w:r w:rsidR="00725FE3">
        <w:rPr>
          <w:lang w:val="fr-FR"/>
        </w:rPr>
        <w:t>d’efficacité</w:t>
      </w:r>
      <w:r w:rsidR="002450CA">
        <w:rPr>
          <w:lang w:val="fr-FR"/>
        </w:rPr>
        <w:t xml:space="preserve"> indui</w:t>
      </w:r>
      <w:r w:rsidR="004C0E7E">
        <w:rPr>
          <w:lang w:val="fr-FR"/>
        </w:rPr>
        <w:t>sen</w:t>
      </w:r>
      <w:r w:rsidR="002450CA">
        <w:rPr>
          <w:lang w:val="fr-FR"/>
        </w:rPr>
        <w:t>t que</w:t>
      </w:r>
      <w:r w:rsidR="00FC2B97">
        <w:rPr>
          <w:lang w:val="fr-FR"/>
        </w:rPr>
        <w:t>:</w:t>
      </w:r>
    </w:p>
    <w:p w:rsidR="000B562B" w:rsidRPr="00A51B22" w:rsidRDefault="002450CA" w:rsidP="00BC0033">
      <w:pPr>
        <w:pStyle w:val="Bullet1G"/>
      </w:pPr>
      <w:r w:rsidRPr="002450CA">
        <w:t>Le nouvel</w:t>
      </w:r>
      <w:r>
        <w:t xml:space="preserve"> ensemble de Normes de conduite professionnelle établit les normes auxquelles les fonctionnaires de police </w:t>
      </w:r>
      <w:r w:rsidR="00A51B22">
        <w:t>sont tenus de</w:t>
      </w:r>
      <w:r>
        <w:t xml:space="preserve"> se conformer. Elles portent notamment</w:t>
      </w:r>
      <w:r w:rsidR="00A51B22">
        <w:t xml:space="preserve"> sur les principes d’autorité, de respect et de courtoisie, qui interdisent aux fonctionnaires de police, quelles que soient les circonstances, d’infliger, de susciter ou de tolérer tout acte de torture, ou tout traitement cruel, inhumain ou dégradant, ainsi qu’il est énoncé à </w:t>
      </w:r>
      <w:r w:rsidR="00D25FE7" w:rsidRPr="00A51B22">
        <w:t>l’a</w:t>
      </w:r>
      <w:r w:rsidR="000B562B" w:rsidRPr="00A51B22">
        <w:t xml:space="preserve">rticle 3 </w:t>
      </w:r>
      <w:r w:rsidR="00D25FE7" w:rsidRPr="00A51B22">
        <w:t>de la</w:t>
      </w:r>
      <w:r w:rsidR="000B562B" w:rsidRPr="00A51B22">
        <w:t xml:space="preserve"> </w:t>
      </w:r>
      <w:r w:rsidR="00204260" w:rsidRPr="00A51B22">
        <w:t>Convention européenne des droits de l’homme</w:t>
      </w:r>
      <w:r w:rsidR="00FC2B97">
        <w:t>;</w:t>
      </w:r>
    </w:p>
    <w:p w:rsidR="000B562B" w:rsidRPr="00A176EA" w:rsidRDefault="0080325F" w:rsidP="00BC0033">
      <w:pPr>
        <w:pStyle w:val="Bullet1G"/>
      </w:pPr>
      <w:r w:rsidRPr="00A51B22">
        <w:t xml:space="preserve">Les procédures disciplinaires </w:t>
      </w:r>
      <w:r w:rsidR="00A51B22">
        <w:t>suivent désormais des</w:t>
      </w:r>
      <w:r w:rsidR="000B562B" w:rsidRPr="00A51B22">
        <w:t xml:space="preserve"> process</w:t>
      </w:r>
      <w:r w:rsidR="00A51B22">
        <w:t>u</w:t>
      </w:r>
      <w:r w:rsidR="000B562B" w:rsidRPr="00A51B22">
        <w:t xml:space="preserve">s </w:t>
      </w:r>
      <w:r w:rsidR="004C0E7E">
        <w:t>appliqués</w:t>
      </w:r>
      <w:r w:rsidR="00A51B22">
        <w:t xml:space="preserve"> dans d’autres </w:t>
      </w:r>
      <w:r w:rsidR="000B562B" w:rsidRPr="00A51B22">
        <w:t xml:space="preserve"> </w:t>
      </w:r>
      <w:r w:rsidR="003C4B2E">
        <w:t>milieux</w:t>
      </w:r>
      <w:r w:rsidR="00A51B22">
        <w:t xml:space="preserve"> professionnels</w:t>
      </w:r>
      <w:r w:rsidR="00FC2B97">
        <w:t>;</w:t>
      </w:r>
    </w:p>
    <w:p w:rsidR="000B562B" w:rsidRPr="003C4B2E" w:rsidRDefault="00D25FE7" w:rsidP="00BC0033">
      <w:pPr>
        <w:pStyle w:val="Bullet1G"/>
      </w:pPr>
      <w:r w:rsidRPr="003C4B2E">
        <w:t>La norme civile de la preuve</w:t>
      </w:r>
      <w:r w:rsidR="000B562B" w:rsidRPr="003C4B2E">
        <w:t xml:space="preserve"> (</w:t>
      </w:r>
      <w:r w:rsidR="003C4B2E" w:rsidRPr="003C4B2E">
        <w:t xml:space="preserve">le </w:t>
      </w:r>
      <w:r w:rsidR="00CD0110">
        <w:t>«</w:t>
      </w:r>
      <w:r w:rsidR="003C4B2E" w:rsidRPr="003C4B2E">
        <w:t>critère de la plus grande probabilité</w:t>
      </w:r>
      <w:r w:rsidR="00CD0110">
        <w:t>»</w:t>
      </w:r>
      <w:r w:rsidR="000B562B" w:rsidRPr="003C4B2E">
        <w:t xml:space="preserve"> </w:t>
      </w:r>
      <w:r w:rsidRPr="003C4B2E">
        <w:t xml:space="preserve">plutôt que la norme pénale </w:t>
      </w:r>
      <w:r w:rsidR="00CD0110">
        <w:t>«</w:t>
      </w:r>
      <w:r w:rsidRPr="003C4B2E">
        <w:t>au-delà de tout doute raisonnable</w:t>
      </w:r>
      <w:r w:rsidR="00CD0110">
        <w:t>»</w:t>
      </w:r>
      <w:r w:rsidR="000B562B" w:rsidRPr="003C4B2E">
        <w:t>) continue</w:t>
      </w:r>
      <w:r w:rsidRPr="003C4B2E">
        <w:t xml:space="preserve"> de s’appliquer en matière disciplinaire</w:t>
      </w:r>
      <w:r w:rsidR="00FC2B97">
        <w:t>;</w:t>
      </w:r>
    </w:p>
    <w:p w:rsidR="000B562B" w:rsidRPr="00A176EA" w:rsidRDefault="003C4B2E" w:rsidP="00BC0033">
      <w:pPr>
        <w:pStyle w:val="Bullet1G"/>
      </w:pPr>
      <w:r>
        <w:t xml:space="preserve">Une procédure accélérée permet de régler les affaires où les preuves de </w:t>
      </w:r>
      <w:r w:rsidR="006A71C2">
        <w:t>faute grave</w:t>
      </w:r>
      <w:r>
        <w:t xml:space="preserve"> sont accablantes</w:t>
      </w:r>
      <w:r w:rsidR="00FC2B97">
        <w:t>;</w:t>
      </w:r>
    </w:p>
    <w:p w:rsidR="000B562B" w:rsidRPr="00A176EA" w:rsidRDefault="003C4B2E" w:rsidP="00BC0033">
      <w:pPr>
        <w:pStyle w:val="Bullet1G"/>
      </w:pPr>
      <w:r>
        <w:t xml:space="preserve">Il est </w:t>
      </w:r>
      <w:r w:rsidR="0004473C">
        <w:t xml:space="preserve">désormais </w:t>
      </w:r>
      <w:r>
        <w:t xml:space="preserve">plus facile </w:t>
      </w:r>
      <w:r w:rsidRPr="0004473C">
        <w:t>d’engager une procédure</w:t>
      </w:r>
      <w:r>
        <w:t xml:space="preserve"> en l’absence d’un fonctionnaire de police accusé qui se </w:t>
      </w:r>
      <w:r w:rsidR="0004473C">
        <w:t>fait porter malade</w:t>
      </w:r>
      <w:r>
        <w:t xml:space="preserve"> lorsqu’il </w:t>
      </w:r>
      <w:r w:rsidR="001C1986">
        <w:t>risque</w:t>
      </w:r>
      <w:r w:rsidR="0004473C">
        <w:t xml:space="preserve"> </w:t>
      </w:r>
      <w:r>
        <w:t>une action disciplinaire</w:t>
      </w:r>
      <w:r w:rsidR="00FC2B97">
        <w:t>;</w:t>
      </w:r>
    </w:p>
    <w:p w:rsidR="000B562B" w:rsidRPr="00A176EA" w:rsidRDefault="0004473C" w:rsidP="00BC0033">
      <w:pPr>
        <w:pStyle w:val="Bullet1G"/>
      </w:pPr>
      <w:r>
        <w:t xml:space="preserve">Le </w:t>
      </w:r>
      <w:r w:rsidR="004C0E7E">
        <w:t>responsable hiérarchique</w:t>
      </w:r>
      <w:r w:rsidR="00903B2F">
        <w:t xml:space="preserve"> peut suspendre un membre de son service qui fait l’objet d’une allégation de grave </w:t>
      </w:r>
      <w:r>
        <w:t>infraction disciplinaire</w:t>
      </w:r>
      <w:r w:rsidR="00903B2F">
        <w:t xml:space="preserve">, que l’affaire ait </w:t>
      </w:r>
      <w:r>
        <w:t>fait</w:t>
      </w:r>
      <w:r w:rsidR="00903B2F">
        <w:t xml:space="preserve"> ou non</w:t>
      </w:r>
      <w:r>
        <w:t xml:space="preserve"> l’objet d’une enquête</w:t>
      </w:r>
      <w:r w:rsidR="00903B2F">
        <w:t xml:space="preserve">. Un fonctionnaire suspendu ne peut </w:t>
      </w:r>
      <w:r w:rsidR="00E91229">
        <w:t>prendre sa retraite sans l’autorisation du chef de la police</w:t>
      </w:r>
      <w:r w:rsidR="00FC2B97">
        <w:t>;</w:t>
      </w:r>
      <w:r w:rsidR="00E91229">
        <w:t xml:space="preserve"> et</w:t>
      </w:r>
    </w:p>
    <w:p w:rsidR="000B562B" w:rsidRPr="004325BA" w:rsidRDefault="00E91229" w:rsidP="00BC0033">
      <w:pPr>
        <w:pStyle w:val="Bullet1G"/>
      </w:pPr>
      <w:r w:rsidRPr="004325BA">
        <w:t xml:space="preserve">Il existe </w:t>
      </w:r>
      <w:r w:rsidR="0004473C">
        <w:t xml:space="preserve">désormais </w:t>
      </w:r>
      <w:r w:rsidRPr="004325BA">
        <w:t xml:space="preserve">une procédure pour traiter les insuffisances professionnelles (ou l’absentéisme) d’un fonctionnaire de police, qui </w:t>
      </w:r>
      <w:r w:rsidR="00A05CE1">
        <w:t>permet</w:t>
      </w:r>
      <w:r w:rsidRPr="004325BA">
        <w:t xml:space="preserve"> de révoquer un fonctionnaire dont les compétences professionnelles </w:t>
      </w:r>
      <w:r w:rsidR="0004473C">
        <w:t>ne peuvent être portées au niveau requis</w:t>
      </w:r>
      <w:r w:rsidR="000B562B" w:rsidRPr="004325BA">
        <w:t>.</w:t>
      </w:r>
    </w:p>
    <w:p w:rsidR="000B562B" w:rsidRPr="00A176EA" w:rsidRDefault="00FD2CE1" w:rsidP="00C655A5">
      <w:pPr>
        <w:pStyle w:val="H23G"/>
        <w:rPr>
          <w:lang w:val="fr-FR"/>
        </w:rPr>
      </w:pPr>
      <w:r w:rsidRPr="004325BA">
        <w:rPr>
          <w:lang w:val="fr-FR"/>
        </w:rPr>
        <w:t>Écosse</w:t>
      </w:r>
    </w:p>
    <w:p w:rsidR="000B562B" w:rsidRPr="00A176EA" w:rsidRDefault="002549A9" w:rsidP="004C24F3">
      <w:pPr>
        <w:pStyle w:val="SingleTxtG"/>
        <w:rPr>
          <w:lang w:val="fr-FR"/>
        </w:rPr>
      </w:pPr>
      <w:r w:rsidRPr="00A176EA">
        <w:rPr>
          <w:lang w:val="fr-FR"/>
        </w:rPr>
        <w:t>208.</w:t>
      </w:r>
      <w:r w:rsidRPr="00A176EA">
        <w:rPr>
          <w:lang w:val="fr-FR"/>
        </w:rPr>
        <w:tab/>
      </w:r>
      <w:r w:rsidR="004325BA">
        <w:rPr>
          <w:lang w:val="fr-FR"/>
        </w:rPr>
        <w:t xml:space="preserve">Des dispositions équivalentes s’appliquent en </w:t>
      </w:r>
      <w:r w:rsidR="004325BA" w:rsidRPr="004325BA">
        <w:rPr>
          <w:lang w:val="fr-FR"/>
        </w:rPr>
        <w:t>Écosse</w:t>
      </w:r>
      <w:r w:rsidR="004325BA">
        <w:rPr>
          <w:lang w:val="fr-FR"/>
        </w:rPr>
        <w:t xml:space="preserve"> en vertu du Règlement de la police (Efficacité) </w:t>
      </w:r>
      <w:r w:rsidR="004325BA" w:rsidRPr="00A176EA">
        <w:rPr>
          <w:lang w:val="fr-FR"/>
        </w:rPr>
        <w:t>(</w:t>
      </w:r>
      <w:r w:rsidR="004325BA" w:rsidRPr="004325BA">
        <w:rPr>
          <w:lang w:val="fr-FR"/>
        </w:rPr>
        <w:t>Écosse</w:t>
      </w:r>
      <w:r w:rsidR="004325BA" w:rsidRPr="00A176EA">
        <w:rPr>
          <w:lang w:val="fr-FR"/>
        </w:rPr>
        <w:t>)</w:t>
      </w:r>
      <w:r w:rsidR="004325BA" w:rsidRPr="004325BA">
        <w:rPr>
          <w:lang w:val="fr-FR"/>
        </w:rPr>
        <w:t xml:space="preserve"> </w:t>
      </w:r>
      <w:r w:rsidR="004325BA">
        <w:rPr>
          <w:lang w:val="fr-FR"/>
        </w:rPr>
        <w:t xml:space="preserve">de 1996 et le Règlement de la police (Conduite) </w:t>
      </w:r>
      <w:r w:rsidR="004325BA" w:rsidRPr="004325BA">
        <w:rPr>
          <w:lang w:val="fr-FR"/>
        </w:rPr>
        <w:t>(Écosse)</w:t>
      </w:r>
      <w:r w:rsidR="004325BA" w:rsidRPr="00A176EA">
        <w:rPr>
          <w:lang w:val="fr-FR"/>
        </w:rPr>
        <w:t xml:space="preserve"> </w:t>
      </w:r>
      <w:r w:rsidR="004325BA">
        <w:rPr>
          <w:lang w:val="fr-FR"/>
        </w:rPr>
        <w:t xml:space="preserve">de 1996. Le </w:t>
      </w:r>
      <w:r w:rsidR="004C24F3">
        <w:rPr>
          <w:lang w:val="fr-FR"/>
        </w:rPr>
        <w:t xml:space="preserve">Groupe de travail technique du </w:t>
      </w:r>
      <w:r w:rsidR="004325BA">
        <w:rPr>
          <w:lang w:val="fr-FR"/>
        </w:rPr>
        <w:t xml:space="preserve">Conseil consultatif de la police pour </w:t>
      </w:r>
      <w:r w:rsidR="004325BA" w:rsidRPr="004325BA">
        <w:rPr>
          <w:lang w:val="fr-FR"/>
        </w:rPr>
        <w:t>l’Écosse</w:t>
      </w:r>
      <w:r w:rsidR="004325BA" w:rsidRPr="00A176EA">
        <w:rPr>
          <w:lang w:val="fr-FR"/>
        </w:rPr>
        <w:t xml:space="preserve"> </w:t>
      </w:r>
      <w:r w:rsidR="004C24F3">
        <w:rPr>
          <w:lang w:val="fr-FR"/>
        </w:rPr>
        <w:t>procède actuellement à un examen de c</w:t>
      </w:r>
      <w:r w:rsidR="004325BA">
        <w:rPr>
          <w:lang w:val="fr-FR"/>
        </w:rPr>
        <w:t xml:space="preserve">es </w:t>
      </w:r>
      <w:r w:rsidR="004C24F3">
        <w:rPr>
          <w:lang w:val="fr-FR"/>
        </w:rPr>
        <w:t xml:space="preserve">deux règlements, qui </w:t>
      </w:r>
      <w:r w:rsidR="001A3D6D">
        <w:rPr>
          <w:lang w:val="fr-FR"/>
        </w:rPr>
        <w:t>tiendra</w:t>
      </w:r>
      <w:r w:rsidR="004C24F3">
        <w:rPr>
          <w:lang w:val="fr-FR"/>
        </w:rPr>
        <w:t xml:space="preserve"> compte du travail effectué en Angleterre et au </w:t>
      </w:r>
      <w:r w:rsidR="00186A02">
        <w:rPr>
          <w:lang w:val="fr-FR"/>
        </w:rPr>
        <w:t>p</w:t>
      </w:r>
      <w:r w:rsidR="005601A1">
        <w:rPr>
          <w:lang w:val="fr-FR"/>
        </w:rPr>
        <w:t>ays de Galles</w:t>
      </w:r>
      <w:r w:rsidR="004C24F3">
        <w:rPr>
          <w:lang w:val="fr-FR"/>
        </w:rPr>
        <w:t xml:space="preserve"> par l</w:t>
      </w:r>
      <w:r w:rsidR="004C24F3" w:rsidRPr="00C118C0">
        <w:rPr>
          <w:lang w:val="fr-FR"/>
        </w:rPr>
        <w:t>’Étude Taylor</w:t>
      </w:r>
      <w:r w:rsidR="000B562B" w:rsidRPr="00A176EA">
        <w:rPr>
          <w:lang w:val="fr-FR"/>
        </w:rPr>
        <w:t>.</w:t>
      </w:r>
    </w:p>
    <w:p w:rsidR="000B562B" w:rsidRPr="00A176EA" w:rsidRDefault="00B45A95" w:rsidP="001C135E">
      <w:pPr>
        <w:pStyle w:val="H1G"/>
      </w:pPr>
      <w:bookmarkStart w:id="23" w:name="_Toc299724697"/>
      <w:r>
        <w:tab/>
      </w:r>
      <w:r>
        <w:tab/>
      </w:r>
      <w:r w:rsidR="000B562B" w:rsidRPr="00A176EA">
        <w:t xml:space="preserve">Article 5 </w:t>
      </w:r>
      <w:r w:rsidR="00B70353">
        <w:br/>
      </w:r>
      <w:r w:rsidR="004C24F3" w:rsidRPr="004C24F3">
        <w:t>É</w:t>
      </w:r>
      <w:r w:rsidR="000B562B" w:rsidRPr="00A176EA">
        <w:t>tablis</w:t>
      </w:r>
      <w:r w:rsidR="004C24F3">
        <w:t>se</w:t>
      </w:r>
      <w:r w:rsidR="000B562B" w:rsidRPr="00A176EA">
        <w:t xml:space="preserve">ment </w:t>
      </w:r>
      <w:bookmarkEnd w:id="23"/>
      <w:r w:rsidR="004C24F3">
        <w:t>de la compétence</w:t>
      </w:r>
      <w:r w:rsidR="000B628E">
        <w:t xml:space="preserve"> de juridiction</w:t>
      </w:r>
    </w:p>
    <w:p w:rsidR="000B562B" w:rsidRPr="00A176EA" w:rsidRDefault="002549A9" w:rsidP="0004473C">
      <w:pPr>
        <w:pStyle w:val="SingleTxtG"/>
        <w:rPr>
          <w:lang w:val="fr-FR"/>
        </w:rPr>
      </w:pPr>
      <w:r w:rsidRPr="00A176EA">
        <w:rPr>
          <w:lang w:val="fr-FR"/>
        </w:rPr>
        <w:t>209.</w:t>
      </w:r>
      <w:r w:rsidRPr="00A176EA">
        <w:rPr>
          <w:lang w:val="fr-FR"/>
        </w:rPr>
        <w:tab/>
      </w:r>
      <w:r w:rsidR="004C24F3">
        <w:rPr>
          <w:lang w:val="fr-FR"/>
        </w:rPr>
        <w:t xml:space="preserve">Le Gouvernement du Royaume-Uni a toujours été d’avis que la Convention des Nations Unies contre la torture </w:t>
      </w:r>
      <w:r w:rsidR="00771E0E">
        <w:rPr>
          <w:lang w:val="fr-FR"/>
        </w:rPr>
        <w:t xml:space="preserve">n’a </w:t>
      </w:r>
      <w:r w:rsidR="0004473C">
        <w:rPr>
          <w:lang w:val="fr-FR"/>
        </w:rPr>
        <w:t>pas</w:t>
      </w:r>
      <w:r w:rsidR="00771E0E">
        <w:rPr>
          <w:lang w:val="fr-FR"/>
        </w:rPr>
        <w:t xml:space="preserve"> incidence sur la </w:t>
      </w:r>
      <w:r w:rsidR="0004473C">
        <w:rPr>
          <w:lang w:val="fr-FR"/>
        </w:rPr>
        <w:t xml:space="preserve">question de la </w:t>
      </w:r>
      <w:r w:rsidR="00771E0E">
        <w:rPr>
          <w:lang w:val="fr-FR"/>
        </w:rPr>
        <w:t xml:space="preserve">compétence civile </w:t>
      </w:r>
      <w:r w:rsidR="0004473C" w:rsidRPr="0004473C">
        <w:rPr>
          <w:lang w:val="fr-FR"/>
        </w:rPr>
        <w:t>quand les actes visés sont commis à l'étranger et n'a d'effet qu'en ce qui concerne la compétence pénale</w:t>
      </w:r>
      <w:r w:rsidR="00771E0E">
        <w:rPr>
          <w:lang w:val="fr-FR"/>
        </w:rPr>
        <w:t xml:space="preserve">. </w:t>
      </w:r>
      <w:r w:rsidR="0004473C" w:rsidRPr="0004473C">
        <w:rPr>
          <w:lang w:val="fr-FR"/>
        </w:rPr>
        <w:t>C'est pourquoi le Royaume-Uni a donné effet aux dispositions pertinentes de la Convention en adoptant les articles 134 et 135 de la loi de 1988 relative à la justice pénale</w:t>
      </w:r>
      <w:r w:rsidR="000B628E">
        <w:rPr>
          <w:lang w:val="fr-FR"/>
        </w:rPr>
        <w:t>,</w:t>
      </w:r>
      <w:r w:rsidR="0004473C" w:rsidRPr="0004473C">
        <w:rPr>
          <w:lang w:val="fr-FR"/>
        </w:rPr>
        <w:t xml:space="preserve"> qui fait de la torture un délit passible de sanction au Royaume-Uni</w:t>
      </w:r>
      <w:r w:rsidR="000B562B" w:rsidRPr="00A176EA">
        <w:rPr>
          <w:lang w:val="fr-FR"/>
        </w:rPr>
        <w:t>.</w:t>
      </w:r>
    </w:p>
    <w:p w:rsidR="000B562B" w:rsidRPr="00A176EA" w:rsidRDefault="002549A9" w:rsidP="008C0784">
      <w:pPr>
        <w:pStyle w:val="SingleTxtG"/>
        <w:rPr>
          <w:lang w:val="fr-FR"/>
        </w:rPr>
      </w:pPr>
      <w:r w:rsidRPr="00A176EA">
        <w:rPr>
          <w:lang w:val="fr-FR"/>
        </w:rPr>
        <w:t>210.</w:t>
      </w:r>
      <w:r w:rsidRPr="00A176EA">
        <w:rPr>
          <w:lang w:val="fr-FR"/>
        </w:rPr>
        <w:tab/>
      </w:r>
      <w:r w:rsidR="0004473C">
        <w:rPr>
          <w:lang w:val="fr-FR"/>
        </w:rPr>
        <w:t>Le 7 juillet</w:t>
      </w:r>
      <w:r w:rsidR="000B562B" w:rsidRPr="00A176EA">
        <w:rPr>
          <w:lang w:val="fr-FR"/>
        </w:rPr>
        <w:t xml:space="preserve"> 2011, </w:t>
      </w:r>
      <w:r w:rsidR="00AD6E69">
        <w:rPr>
          <w:lang w:val="fr-FR"/>
        </w:rPr>
        <w:t xml:space="preserve">la Grande Chambre de la </w:t>
      </w:r>
      <w:r w:rsidR="00584246" w:rsidRPr="00AD6E69">
        <w:rPr>
          <w:lang w:val="fr-FR"/>
        </w:rPr>
        <w:t>Cour européenne des droits de l’homme</w:t>
      </w:r>
      <w:r w:rsidR="00584246" w:rsidRPr="00A176EA">
        <w:rPr>
          <w:lang w:val="fr-FR"/>
        </w:rPr>
        <w:t xml:space="preserve"> </w:t>
      </w:r>
      <w:r w:rsidR="00AD6E69">
        <w:rPr>
          <w:lang w:val="fr-FR"/>
        </w:rPr>
        <w:t xml:space="preserve">a rendu ses arrêts sur les affaires </w:t>
      </w:r>
      <w:r w:rsidR="000B562B" w:rsidRPr="00DC5441">
        <w:rPr>
          <w:i/>
          <w:lang w:val="fr-FR"/>
        </w:rPr>
        <w:t>Al</w:t>
      </w:r>
      <w:r w:rsidR="0077474D" w:rsidRPr="00DC5441">
        <w:rPr>
          <w:i/>
          <w:lang w:val="fr-FR"/>
        </w:rPr>
        <w:t>-</w:t>
      </w:r>
      <w:r w:rsidR="000B562B" w:rsidRPr="00DC5441">
        <w:rPr>
          <w:i/>
          <w:lang w:val="fr-FR"/>
        </w:rPr>
        <w:t>Skeini</w:t>
      </w:r>
      <w:r w:rsidR="000B562B" w:rsidRPr="00AD6E69">
        <w:rPr>
          <w:iCs/>
          <w:lang w:val="fr-FR"/>
        </w:rPr>
        <w:t xml:space="preserve"> </w:t>
      </w:r>
      <w:r w:rsidR="00AD6E69">
        <w:rPr>
          <w:iCs/>
          <w:lang w:val="fr-FR"/>
        </w:rPr>
        <w:t xml:space="preserve">c. </w:t>
      </w:r>
      <w:r w:rsidR="00AD6E69" w:rsidRPr="00DC5441">
        <w:rPr>
          <w:i/>
          <w:lang w:val="fr-FR"/>
        </w:rPr>
        <w:t>Royaume-Uni</w:t>
      </w:r>
      <w:r w:rsidR="00AD6E69">
        <w:rPr>
          <w:iCs/>
          <w:lang w:val="fr-FR"/>
        </w:rPr>
        <w:t xml:space="preserve"> </w:t>
      </w:r>
      <w:r w:rsidR="000B562B" w:rsidRPr="00A176EA">
        <w:rPr>
          <w:lang w:val="fr-FR"/>
        </w:rPr>
        <w:t>(</w:t>
      </w:r>
      <w:r w:rsidR="00AD6E69">
        <w:rPr>
          <w:lang w:val="fr-FR"/>
        </w:rPr>
        <w:t>requête n°</w:t>
      </w:r>
      <w:r w:rsidR="000B562B" w:rsidRPr="00A176EA">
        <w:rPr>
          <w:lang w:val="fr-FR"/>
        </w:rPr>
        <w:t xml:space="preserve"> 55721/07) </w:t>
      </w:r>
      <w:r w:rsidR="00AD6E69">
        <w:rPr>
          <w:lang w:val="fr-FR"/>
        </w:rPr>
        <w:t>et</w:t>
      </w:r>
      <w:r w:rsidR="000B562B" w:rsidRPr="00A176EA">
        <w:rPr>
          <w:lang w:val="fr-FR"/>
        </w:rPr>
        <w:t xml:space="preserve"> </w:t>
      </w:r>
      <w:r w:rsidR="000B562B" w:rsidRPr="00DC5441">
        <w:rPr>
          <w:i/>
          <w:lang w:val="fr-FR"/>
        </w:rPr>
        <w:t>Al-Jedda</w:t>
      </w:r>
      <w:r w:rsidR="000B562B" w:rsidRPr="00AD6E69">
        <w:rPr>
          <w:iCs/>
          <w:lang w:val="fr-FR"/>
        </w:rPr>
        <w:t xml:space="preserve"> </w:t>
      </w:r>
      <w:r w:rsidR="00AD6E69">
        <w:rPr>
          <w:iCs/>
          <w:lang w:val="fr-FR"/>
        </w:rPr>
        <w:t xml:space="preserve">c. </w:t>
      </w:r>
      <w:r w:rsidR="00AD6E69" w:rsidRPr="00DC5441">
        <w:rPr>
          <w:i/>
          <w:lang w:val="fr-FR"/>
        </w:rPr>
        <w:t>Royaume-Uni</w:t>
      </w:r>
      <w:r w:rsidR="000B562B" w:rsidRPr="00A176EA">
        <w:rPr>
          <w:lang w:val="fr-FR"/>
        </w:rPr>
        <w:t xml:space="preserve"> (</w:t>
      </w:r>
      <w:r w:rsidR="00AD6E69">
        <w:rPr>
          <w:lang w:val="fr-FR"/>
        </w:rPr>
        <w:t>requête n°</w:t>
      </w:r>
      <w:r w:rsidR="000B562B" w:rsidRPr="00A176EA">
        <w:rPr>
          <w:lang w:val="fr-FR"/>
        </w:rPr>
        <w:t xml:space="preserve"> 27021/08).</w:t>
      </w:r>
      <w:r w:rsidR="00AD6E69">
        <w:rPr>
          <w:lang w:val="fr-FR"/>
        </w:rPr>
        <w:t xml:space="preserve"> </w:t>
      </w:r>
      <w:r w:rsidR="00AD6E69" w:rsidRPr="00DC6C88">
        <w:rPr>
          <w:lang w:val="fr-FR"/>
        </w:rPr>
        <w:t xml:space="preserve">Concernant cette dernière affaire, la Cour a jugé que le Royaume-Uni </w:t>
      </w:r>
      <w:r w:rsidR="00DC6C88" w:rsidRPr="00DC6C88">
        <w:rPr>
          <w:lang w:val="fr-FR"/>
        </w:rPr>
        <w:t xml:space="preserve">avait compétence en vertu de l’article 1 de la </w:t>
      </w:r>
      <w:r w:rsidR="00B669A3" w:rsidRPr="00DC6C88">
        <w:rPr>
          <w:lang w:val="fr-FR"/>
        </w:rPr>
        <w:t>Convention européenne des droits de l’homme</w:t>
      </w:r>
      <w:r w:rsidR="000B562B" w:rsidRPr="00DC6C88">
        <w:rPr>
          <w:lang w:val="fr-FR"/>
        </w:rPr>
        <w:t xml:space="preserve"> (</w:t>
      </w:r>
      <w:r w:rsidR="00CD78D8">
        <w:rPr>
          <w:lang w:val="fr-FR"/>
        </w:rPr>
        <w:t>O</w:t>
      </w:r>
      <w:r w:rsidR="000B562B" w:rsidRPr="00DC6C88">
        <w:rPr>
          <w:lang w:val="fr-FR"/>
        </w:rPr>
        <w:t xml:space="preserve">bligation </w:t>
      </w:r>
      <w:r w:rsidR="00DC6C88" w:rsidRPr="00DC6C88">
        <w:rPr>
          <w:lang w:val="fr-FR"/>
        </w:rPr>
        <w:t>de</w:t>
      </w:r>
      <w:r w:rsidR="000B562B" w:rsidRPr="00DC6C88">
        <w:rPr>
          <w:lang w:val="fr-FR"/>
        </w:rPr>
        <w:t xml:space="preserve"> respect</w:t>
      </w:r>
      <w:r w:rsidR="00DC6C88" w:rsidRPr="00DC6C88">
        <w:rPr>
          <w:lang w:val="fr-FR"/>
        </w:rPr>
        <w:t>er</w:t>
      </w:r>
      <w:r w:rsidR="000B562B" w:rsidRPr="00DC6C88">
        <w:rPr>
          <w:lang w:val="fr-FR"/>
        </w:rPr>
        <w:t xml:space="preserve"> </w:t>
      </w:r>
      <w:r w:rsidR="00DC6C88" w:rsidRPr="00DC6C88">
        <w:rPr>
          <w:lang w:val="fr-FR"/>
        </w:rPr>
        <w:t>les droits de l’homme</w:t>
      </w:r>
      <w:r w:rsidR="00AD6E69" w:rsidRPr="00DC6C88">
        <w:rPr>
          <w:lang w:val="fr-FR"/>
        </w:rPr>
        <w:t>)</w:t>
      </w:r>
      <w:r w:rsidR="000B562B" w:rsidRPr="00A176EA">
        <w:rPr>
          <w:lang w:val="fr-FR"/>
        </w:rPr>
        <w:t xml:space="preserve"> </w:t>
      </w:r>
      <w:r w:rsidR="00DC6C88">
        <w:rPr>
          <w:lang w:val="fr-FR"/>
        </w:rPr>
        <w:t xml:space="preserve">concernant un individu qui avait été </w:t>
      </w:r>
      <w:r w:rsidR="00C02882">
        <w:rPr>
          <w:lang w:val="fr-FR"/>
        </w:rPr>
        <w:t>interné</w:t>
      </w:r>
      <w:r w:rsidR="00DC6C88">
        <w:rPr>
          <w:lang w:val="fr-FR"/>
        </w:rPr>
        <w:t xml:space="preserve"> par les forces britanniques </w:t>
      </w:r>
      <w:r w:rsidR="00C02882">
        <w:rPr>
          <w:lang w:val="fr-FR"/>
        </w:rPr>
        <w:t>au titre de</w:t>
      </w:r>
      <w:r w:rsidR="00DC6C88">
        <w:rPr>
          <w:lang w:val="fr-FR"/>
        </w:rPr>
        <w:t xml:space="preserve"> la résolution 1546 du Conseil de sécurité des Nations Unies. </w:t>
      </w:r>
      <w:r w:rsidR="008C0784">
        <w:rPr>
          <w:lang w:val="fr-FR"/>
        </w:rPr>
        <w:t>Concernant la première affaire, la Cour a jugé que les requérants relevaient de la compétence du Royaume-Uni puisqu’il s’agissait de civils tués au cours d’opération</w:t>
      </w:r>
      <w:r w:rsidR="00C02882">
        <w:rPr>
          <w:lang w:val="fr-FR"/>
        </w:rPr>
        <w:t>s</w:t>
      </w:r>
      <w:r w:rsidR="008C0784">
        <w:rPr>
          <w:lang w:val="fr-FR"/>
        </w:rPr>
        <w:t xml:space="preserve"> de sécurité menées à Bassorah par des soldats britanniques entre mai 2003 et juin 2004. </w:t>
      </w:r>
      <w:r w:rsidR="008C0784" w:rsidRPr="008C0784">
        <w:rPr>
          <w:lang w:val="fr-FR"/>
        </w:rPr>
        <w:t xml:space="preserve">Bien que ces </w:t>
      </w:r>
      <w:r w:rsidR="00C02882">
        <w:rPr>
          <w:lang w:val="fr-FR"/>
        </w:rPr>
        <w:t>décisions</w:t>
      </w:r>
      <w:r w:rsidR="008C0784" w:rsidRPr="008C0784">
        <w:rPr>
          <w:lang w:val="fr-FR"/>
        </w:rPr>
        <w:t xml:space="preserve"> soient très récent</w:t>
      </w:r>
      <w:r w:rsidR="00C02882">
        <w:rPr>
          <w:lang w:val="fr-FR"/>
        </w:rPr>
        <w:t>e</w:t>
      </w:r>
      <w:r w:rsidR="008C0784" w:rsidRPr="008C0784">
        <w:rPr>
          <w:lang w:val="fr-FR"/>
        </w:rPr>
        <w:t xml:space="preserve">s et que leurs implications soient en cours d’analyse, la Cour a réaffirmé le principe selon lequel </w:t>
      </w:r>
      <w:r w:rsidR="00C7153C" w:rsidRPr="008C0784">
        <w:rPr>
          <w:lang w:val="fr-FR"/>
        </w:rPr>
        <w:t>la signification du terme</w:t>
      </w:r>
      <w:r w:rsidR="000B562B" w:rsidRPr="008C0784">
        <w:rPr>
          <w:lang w:val="fr-FR"/>
        </w:rPr>
        <w:t xml:space="preserve"> </w:t>
      </w:r>
      <w:r w:rsidR="00CD0110">
        <w:rPr>
          <w:lang w:val="fr-FR"/>
        </w:rPr>
        <w:t>«</w:t>
      </w:r>
      <w:r w:rsidR="00C7153C" w:rsidRPr="008C0784">
        <w:rPr>
          <w:lang w:val="fr-FR"/>
        </w:rPr>
        <w:t>juri</w:t>
      </w:r>
      <w:r w:rsidR="000B562B" w:rsidRPr="008C0784">
        <w:rPr>
          <w:lang w:val="fr-FR"/>
        </w:rPr>
        <w:t>diction</w:t>
      </w:r>
      <w:r w:rsidR="00CD0110">
        <w:rPr>
          <w:lang w:val="fr-FR"/>
        </w:rPr>
        <w:t>»</w:t>
      </w:r>
      <w:r w:rsidR="00C7153C" w:rsidRPr="008C0784">
        <w:rPr>
          <w:lang w:val="fr-FR"/>
        </w:rPr>
        <w:t xml:space="preserve"> figurant </w:t>
      </w:r>
      <w:r w:rsidR="008C0784">
        <w:rPr>
          <w:lang w:val="fr-FR"/>
        </w:rPr>
        <w:t>à</w:t>
      </w:r>
      <w:r w:rsidR="00C7153C" w:rsidRPr="008C0784">
        <w:rPr>
          <w:lang w:val="fr-FR"/>
        </w:rPr>
        <w:t xml:space="preserve"> l’a</w:t>
      </w:r>
      <w:r w:rsidR="000B562B" w:rsidRPr="008C0784">
        <w:rPr>
          <w:lang w:val="fr-FR"/>
        </w:rPr>
        <w:t xml:space="preserve">rticle 1 </w:t>
      </w:r>
      <w:r w:rsidR="00C7153C" w:rsidRPr="008C0784">
        <w:rPr>
          <w:lang w:val="fr-FR"/>
        </w:rPr>
        <w:t xml:space="preserve">de la </w:t>
      </w:r>
      <w:r w:rsidR="00B669A3" w:rsidRPr="008C0784">
        <w:rPr>
          <w:lang w:val="fr-FR"/>
        </w:rPr>
        <w:t>Convention européenne des droits de l’homme</w:t>
      </w:r>
      <w:r w:rsidR="000B562B" w:rsidRPr="008C0784">
        <w:rPr>
          <w:lang w:val="fr-FR"/>
        </w:rPr>
        <w:t xml:space="preserve"> </w:t>
      </w:r>
      <w:r w:rsidR="00C7153C" w:rsidRPr="008C0784">
        <w:rPr>
          <w:lang w:val="fr-FR"/>
        </w:rPr>
        <w:t>est principalement</w:t>
      </w:r>
      <w:r w:rsidR="000B562B" w:rsidRPr="008C0784">
        <w:rPr>
          <w:lang w:val="fr-FR"/>
        </w:rPr>
        <w:t xml:space="preserve"> territorial</w:t>
      </w:r>
      <w:r w:rsidR="00C7153C" w:rsidRPr="008C0784">
        <w:rPr>
          <w:lang w:val="fr-FR"/>
        </w:rPr>
        <w:t>e</w:t>
      </w:r>
      <w:r w:rsidR="000B562B" w:rsidRPr="008C0784">
        <w:rPr>
          <w:lang w:val="fr-FR"/>
        </w:rPr>
        <w:t>,</w:t>
      </w:r>
      <w:r w:rsidR="000B562B" w:rsidRPr="00A176EA">
        <w:rPr>
          <w:lang w:val="fr-FR"/>
        </w:rPr>
        <w:t xml:space="preserve"> </w:t>
      </w:r>
      <w:r w:rsidR="00C03B48">
        <w:rPr>
          <w:lang w:val="fr-FR"/>
        </w:rPr>
        <w:t>reconnaissant</w:t>
      </w:r>
      <w:r w:rsidR="00C02882">
        <w:rPr>
          <w:lang w:val="fr-FR"/>
        </w:rPr>
        <w:t xml:space="preserve"> toutefois </w:t>
      </w:r>
      <w:r w:rsidR="00CD0110">
        <w:rPr>
          <w:lang w:val="fr-FR"/>
        </w:rPr>
        <w:t>«</w:t>
      </w:r>
      <w:r w:rsidR="00C02882">
        <w:rPr>
          <w:lang w:val="fr-FR"/>
        </w:rPr>
        <w:t xml:space="preserve">un certain nombre de circonstances exceptionnelles susceptibles </w:t>
      </w:r>
      <w:r w:rsidR="00C02882" w:rsidRPr="00C02882">
        <w:rPr>
          <w:lang w:val="fr-FR"/>
        </w:rPr>
        <w:t>d'emporter exercice par l'</w:t>
      </w:r>
      <w:r w:rsidR="00C03B48">
        <w:rPr>
          <w:lang w:val="fr-FR"/>
        </w:rPr>
        <w:t>É</w:t>
      </w:r>
      <w:r w:rsidR="00C02882" w:rsidRPr="00C02882">
        <w:rPr>
          <w:lang w:val="fr-FR"/>
        </w:rPr>
        <w:t>tat contractant de sa juridiction à l'extérieur de ses propres frontières</w:t>
      </w:r>
      <w:r w:rsidR="00CD0110">
        <w:rPr>
          <w:lang w:val="fr-FR"/>
        </w:rPr>
        <w:t>»</w:t>
      </w:r>
      <w:r w:rsidR="00C02882" w:rsidRPr="00C02882">
        <w:rPr>
          <w:lang w:val="fr-FR"/>
        </w:rPr>
        <w:t>.</w:t>
      </w:r>
      <w:r w:rsidR="00C03B48">
        <w:rPr>
          <w:lang w:val="fr-FR"/>
        </w:rPr>
        <w:t xml:space="preserve"> </w:t>
      </w:r>
      <w:r w:rsidR="0077474D">
        <w:rPr>
          <w:lang w:val="fr-FR"/>
        </w:rPr>
        <w:t xml:space="preserve">S’agissant des faits concernant l’affaire Al-Skeini, la Cour a </w:t>
      </w:r>
      <w:r w:rsidR="006119E7">
        <w:rPr>
          <w:lang w:val="fr-FR"/>
        </w:rPr>
        <w:t>jugé</w:t>
      </w:r>
      <w:r w:rsidR="0077474D">
        <w:rPr>
          <w:lang w:val="fr-FR"/>
        </w:rPr>
        <w:t xml:space="preserve"> que des circonstances exceptionnelles justifiaient la compétence du Royaume-Uni à l’intérieur de limites géographiques et temporelles spécifiques en Iraq. En particulier, la Cour a </w:t>
      </w:r>
      <w:r w:rsidR="006119E7">
        <w:rPr>
          <w:lang w:val="fr-FR"/>
        </w:rPr>
        <w:t xml:space="preserve">considéré </w:t>
      </w:r>
      <w:r w:rsidR="00CD0110">
        <w:rPr>
          <w:lang w:val="fr-FR"/>
        </w:rPr>
        <w:t>«</w:t>
      </w:r>
      <w:r w:rsidR="006119E7">
        <w:rPr>
          <w:lang w:val="fr-FR"/>
        </w:rPr>
        <w:t>que le Royaume-Uni,</w:t>
      </w:r>
      <w:r w:rsidR="006119E7" w:rsidRPr="00F971A3">
        <w:rPr>
          <w:lang w:val="fr-FR"/>
        </w:rPr>
        <w:t xml:space="preserve"> </w:t>
      </w:r>
      <w:r w:rsidR="006119E7" w:rsidRPr="006119E7">
        <w:rPr>
          <w:lang w:val="fr-FR"/>
        </w:rPr>
        <w:t>par le biais de ses soldats affectés à des opérations de sécurité à Bassorah lors de cette période, exerçait sur les personnes tuées lors de ces opérations une autorité et un contrôle propres à établir, aux fins de l'article 1 de la Convention, un lien juridictionnel entre lui et ces personnes</w:t>
      </w:r>
      <w:r w:rsidR="00CD0110">
        <w:rPr>
          <w:lang w:val="fr-FR"/>
        </w:rPr>
        <w:t>»</w:t>
      </w:r>
      <w:r w:rsidR="000B562B" w:rsidRPr="00A176EA">
        <w:rPr>
          <w:lang w:val="fr-FR"/>
        </w:rPr>
        <w:t>.</w:t>
      </w:r>
    </w:p>
    <w:p w:rsidR="000B562B" w:rsidRPr="00A176EA" w:rsidRDefault="002549A9" w:rsidP="00443481">
      <w:pPr>
        <w:pStyle w:val="SingleTxtG"/>
        <w:rPr>
          <w:lang w:val="fr-FR"/>
        </w:rPr>
      </w:pPr>
      <w:r w:rsidRPr="00A176EA">
        <w:rPr>
          <w:lang w:val="fr-FR"/>
        </w:rPr>
        <w:t>211.</w:t>
      </w:r>
      <w:r w:rsidRPr="00A176EA">
        <w:rPr>
          <w:lang w:val="fr-FR"/>
        </w:rPr>
        <w:tab/>
      </w:r>
      <w:r w:rsidR="006119E7">
        <w:rPr>
          <w:lang w:val="fr-FR"/>
        </w:rPr>
        <w:t xml:space="preserve">Dans l’affaire </w:t>
      </w:r>
      <w:r w:rsidR="006119E7" w:rsidRPr="00DC5441">
        <w:rPr>
          <w:i/>
          <w:iCs/>
          <w:lang w:val="fr-FR"/>
        </w:rPr>
        <w:t xml:space="preserve">Al-Saadoon </w:t>
      </w:r>
      <w:r w:rsidR="006119E7" w:rsidRPr="009F2DD9">
        <w:rPr>
          <w:lang w:val="fr-FR"/>
        </w:rPr>
        <w:t>et</w:t>
      </w:r>
      <w:r w:rsidR="006119E7" w:rsidRPr="00DC5441">
        <w:rPr>
          <w:i/>
          <w:iCs/>
          <w:lang w:val="fr-FR"/>
        </w:rPr>
        <w:t xml:space="preserve"> Mufdhi</w:t>
      </w:r>
      <w:r w:rsidR="006119E7">
        <w:rPr>
          <w:lang w:val="fr-FR"/>
        </w:rPr>
        <w:t xml:space="preserve"> c. </w:t>
      </w:r>
      <w:r w:rsidR="006119E7" w:rsidRPr="00DC5441">
        <w:rPr>
          <w:i/>
          <w:iCs/>
          <w:lang w:val="fr-FR"/>
        </w:rPr>
        <w:t>Royaume-Uni</w:t>
      </w:r>
      <w:r w:rsidR="006119E7" w:rsidRPr="00443481">
        <w:rPr>
          <w:lang w:val="fr-FR"/>
        </w:rPr>
        <w:t xml:space="preserve"> </w:t>
      </w:r>
      <w:r w:rsidR="000B562B" w:rsidRPr="00443481">
        <w:rPr>
          <w:lang w:val="fr-FR"/>
        </w:rPr>
        <w:t>(</w:t>
      </w:r>
      <w:r w:rsidR="00AD6E69" w:rsidRPr="00443481">
        <w:rPr>
          <w:lang w:val="fr-FR"/>
        </w:rPr>
        <w:t>n°</w:t>
      </w:r>
      <w:r w:rsidR="000B562B" w:rsidRPr="00443481">
        <w:rPr>
          <w:lang w:val="fr-FR"/>
        </w:rPr>
        <w:t xml:space="preserve"> 61498/08)</w:t>
      </w:r>
      <w:r w:rsidR="006119E7" w:rsidRPr="00443481">
        <w:rPr>
          <w:lang w:val="fr-FR"/>
        </w:rPr>
        <w:t>, une</w:t>
      </w:r>
      <w:r w:rsidR="000B562B" w:rsidRPr="00443481">
        <w:rPr>
          <w:lang w:val="fr-FR"/>
        </w:rPr>
        <w:t xml:space="preserve"> Chamb</w:t>
      </w:r>
      <w:r w:rsidR="006119E7" w:rsidRPr="00443481">
        <w:rPr>
          <w:lang w:val="fr-FR"/>
        </w:rPr>
        <w:t>re</w:t>
      </w:r>
      <w:r w:rsidR="000B562B" w:rsidRPr="00443481">
        <w:rPr>
          <w:lang w:val="fr-FR"/>
        </w:rPr>
        <w:t xml:space="preserve"> </w:t>
      </w:r>
      <w:r w:rsidR="006119E7" w:rsidRPr="00443481">
        <w:rPr>
          <w:lang w:val="fr-FR"/>
        </w:rPr>
        <w:t>de la</w:t>
      </w:r>
      <w:r w:rsidR="000B562B" w:rsidRPr="00443481">
        <w:rPr>
          <w:lang w:val="fr-FR"/>
        </w:rPr>
        <w:t xml:space="preserve"> </w:t>
      </w:r>
      <w:r w:rsidR="00584246" w:rsidRPr="00443481">
        <w:rPr>
          <w:lang w:val="fr-FR"/>
        </w:rPr>
        <w:t>Cour européenne des droits de l’homme</w:t>
      </w:r>
      <w:r w:rsidR="00584246" w:rsidRPr="00443481">
        <w:rPr>
          <w:lang w:val="fr-FR"/>
        </w:rPr>
        <w:t xml:space="preserve"> </w:t>
      </w:r>
      <w:r w:rsidR="006119E7" w:rsidRPr="00443481">
        <w:rPr>
          <w:lang w:val="fr-FR"/>
        </w:rPr>
        <w:t>a examiné si la remise par le Royaume-Uni des requérants, détenus par les troupes britanniques in Iraq</w:t>
      </w:r>
      <w:r w:rsidR="00443481" w:rsidRPr="00443481">
        <w:rPr>
          <w:lang w:val="fr-FR"/>
        </w:rPr>
        <w:t xml:space="preserve">, aux autorités iraquiennes pour être jugés violait </w:t>
      </w:r>
      <w:r w:rsidR="00AD6E69" w:rsidRPr="00443481">
        <w:rPr>
          <w:lang w:val="fr-FR"/>
        </w:rPr>
        <w:t>l’a</w:t>
      </w:r>
      <w:r w:rsidR="000B562B" w:rsidRPr="00443481">
        <w:rPr>
          <w:lang w:val="fr-FR"/>
        </w:rPr>
        <w:t xml:space="preserve">rticle 3 </w:t>
      </w:r>
      <w:r w:rsidR="00AD6E69" w:rsidRPr="00443481">
        <w:rPr>
          <w:lang w:val="fr-FR"/>
        </w:rPr>
        <w:t>de la</w:t>
      </w:r>
      <w:r w:rsidR="000B562B" w:rsidRPr="00443481">
        <w:rPr>
          <w:lang w:val="fr-FR"/>
        </w:rPr>
        <w:t xml:space="preserve"> </w:t>
      </w:r>
      <w:r w:rsidR="00B669A3" w:rsidRPr="00443481">
        <w:rPr>
          <w:lang w:val="fr-FR"/>
        </w:rPr>
        <w:t>Convention européenne des droits de l’homme</w:t>
      </w:r>
      <w:r w:rsidR="000B562B" w:rsidRPr="00443481">
        <w:rPr>
          <w:lang w:val="fr-FR"/>
        </w:rPr>
        <w:t>.</w:t>
      </w:r>
      <w:r w:rsidR="000B562B" w:rsidRPr="00A176EA">
        <w:rPr>
          <w:lang w:val="fr-FR"/>
        </w:rPr>
        <w:t xml:space="preserve"> </w:t>
      </w:r>
      <w:r w:rsidR="00443481">
        <w:rPr>
          <w:lang w:val="fr-FR"/>
        </w:rPr>
        <w:t xml:space="preserve">La Cour d’appel britannique a jugé </w:t>
      </w:r>
      <w:r w:rsidR="00443481" w:rsidRPr="00A176EA">
        <w:rPr>
          <w:bCs/>
          <w:lang w:val="fr-FR"/>
        </w:rPr>
        <w:t>([2009] EWCA Civ7)</w:t>
      </w:r>
      <w:r w:rsidR="00443481">
        <w:rPr>
          <w:bCs/>
          <w:lang w:val="fr-FR"/>
        </w:rPr>
        <w:t xml:space="preserve"> que la </w:t>
      </w:r>
      <w:r w:rsidR="00B669A3" w:rsidRPr="00443481">
        <w:rPr>
          <w:lang w:val="fr-FR"/>
        </w:rPr>
        <w:t>Convention européenne des droits de l’homme</w:t>
      </w:r>
      <w:r w:rsidR="000B562B" w:rsidRPr="00A176EA">
        <w:rPr>
          <w:bCs/>
          <w:lang w:val="fr-FR"/>
        </w:rPr>
        <w:t xml:space="preserve"> </w:t>
      </w:r>
      <w:r w:rsidR="00443481">
        <w:rPr>
          <w:bCs/>
          <w:lang w:val="fr-FR"/>
        </w:rPr>
        <w:t>ne s’appliqu</w:t>
      </w:r>
      <w:r w:rsidR="00CD78D8">
        <w:rPr>
          <w:bCs/>
          <w:lang w:val="fr-FR"/>
        </w:rPr>
        <w:t>e</w:t>
      </w:r>
      <w:r w:rsidR="00443481">
        <w:rPr>
          <w:bCs/>
          <w:lang w:val="fr-FR"/>
        </w:rPr>
        <w:t xml:space="preserve"> aux individus détenus par les forces britanniques en Iraq que lorsque le Royaume-Uni </w:t>
      </w:r>
      <w:r w:rsidR="00CC0A48">
        <w:rPr>
          <w:bCs/>
          <w:lang w:val="fr-FR"/>
        </w:rPr>
        <w:t xml:space="preserve">exerce une autorité à la fois </w:t>
      </w:r>
      <w:r w:rsidR="00CC0A48" w:rsidRPr="00CC0A48">
        <w:rPr>
          <w:bCs/>
          <w:i/>
          <w:lang w:val="fr-FR"/>
        </w:rPr>
        <w:t>de jure</w:t>
      </w:r>
      <w:r w:rsidR="00CC0A48">
        <w:rPr>
          <w:bCs/>
          <w:lang w:val="fr-FR"/>
        </w:rPr>
        <w:t xml:space="preserve"> et </w:t>
      </w:r>
      <w:r w:rsidR="00CC0A48" w:rsidRPr="00CC0A48">
        <w:rPr>
          <w:bCs/>
          <w:i/>
          <w:lang w:val="fr-FR"/>
        </w:rPr>
        <w:t>de facto</w:t>
      </w:r>
      <w:r w:rsidR="00CC0A48">
        <w:rPr>
          <w:bCs/>
          <w:lang w:val="fr-FR"/>
        </w:rPr>
        <w:t xml:space="preserve"> sur eux</w:t>
      </w:r>
      <w:r w:rsidR="00FC2B97">
        <w:rPr>
          <w:bCs/>
          <w:lang w:val="fr-FR"/>
        </w:rPr>
        <w:t>:</w:t>
      </w:r>
      <w:r w:rsidR="00CC0A48">
        <w:rPr>
          <w:bCs/>
          <w:lang w:val="fr-FR"/>
        </w:rPr>
        <w:t xml:space="preserve"> le seul contrôle physique </w:t>
      </w:r>
      <w:r w:rsidR="00CC0A48" w:rsidRPr="00CC0A48">
        <w:rPr>
          <w:bCs/>
          <w:i/>
          <w:lang w:val="fr-FR"/>
        </w:rPr>
        <w:t>de facto</w:t>
      </w:r>
      <w:r w:rsidR="00CC0A48">
        <w:rPr>
          <w:bCs/>
          <w:lang w:val="fr-FR"/>
        </w:rPr>
        <w:t xml:space="preserve"> est insuffisant pour invoquer les droits et les obligations découlant de la Convention. La Chambre de la Cour européenne </w:t>
      </w:r>
      <w:r w:rsidR="008C004F">
        <w:rPr>
          <w:bCs/>
          <w:lang w:val="fr-FR"/>
        </w:rPr>
        <w:t>des droits de l’homme s’est déclaré</w:t>
      </w:r>
      <w:r w:rsidR="00CD78D8">
        <w:rPr>
          <w:bCs/>
          <w:lang w:val="fr-FR"/>
        </w:rPr>
        <w:t>e</w:t>
      </w:r>
      <w:r w:rsidR="008C004F">
        <w:rPr>
          <w:bCs/>
          <w:lang w:val="fr-FR"/>
        </w:rPr>
        <w:t xml:space="preserve"> d’accord sur le principe, mais a jugé que le Royaume-Uni exerçait une autorité </w:t>
      </w:r>
      <w:r w:rsidR="008C004F" w:rsidRPr="008C004F">
        <w:rPr>
          <w:bCs/>
          <w:i/>
          <w:lang w:val="fr-FR"/>
        </w:rPr>
        <w:t>de jure</w:t>
      </w:r>
      <w:r w:rsidR="008C004F">
        <w:rPr>
          <w:bCs/>
          <w:lang w:val="fr-FR"/>
        </w:rPr>
        <w:t>, contrairement à la Cour d’appel. Elle a donc conclu que les intéressés relevaient de la juridiction britannique. La Cour d’appel a conclu que l’article 3 de la Convention européenne des droits de l’homme (</w:t>
      </w:r>
      <w:r w:rsidR="00CD78D8">
        <w:rPr>
          <w:bCs/>
          <w:lang w:val="fr-FR"/>
        </w:rPr>
        <w:t>I</w:t>
      </w:r>
      <w:r w:rsidR="008C004F">
        <w:rPr>
          <w:bCs/>
          <w:lang w:val="fr-FR"/>
        </w:rPr>
        <w:t>nterdiction de la torture) avait été violé</w:t>
      </w:r>
      <w:r w:rsidR="00E543D2">
        <w:rPr>
          <w:bCs/>
          <w:lang w:val="fr-FR"/>
        </w:rPr>
        <w:t xml:space="preserve"> puisque la remise des intéressés aux autorités iraquiennes dans des circonstances où ils couraient le risque réel d’être exécutés les avait exposés à une souffrance psychique d’une nature et d’une intensité constituant un traitement inhumain. La </w:t>
      </w:r>
      <w:r w:rsidR="00330F51">
        <w:rPr>
          <w:bCs/>
          <w:lang w:val="fr-FR"/>
        </w:rPr>
        <w:t>demande</w:t>
      </w:r>
      <w:r w:rsidR="00E543D2">
        <w:rPr>
          <w:bCs/>
          <w:lang w:val="fr-FR"/>
        </w:rPr>
        <w:t xml:space="preserve"> </w:t>
      </w:r>
      <w:r w:rsidR="00330F51">
        <w:rPr>
          <w:bCs/>
          <w:lang w:val="fr-FR"/>
        </w:rPr>
        <w:t xml:space="preserve">de renvoi à la Grande Chambre </w:t>
      </w:r>
      <w:r w:rsidR="00CD78D8">
        <w:rPr>
          <w:bCs/>
          <w:lang w:val="fr-FR"/>
        </w:rPr>
        <w:t>présentée par le</w:t>
      </w:r>
      <w:r w:rsidR="00E543D2">
        <w:rPr>
          <w:bCs/>
          <w:lang w:val="fr-FR"/>
        </w:rPr>
        <w:t xml:space="preserve"> Gouvernement de Sa Majesté </w:t>
      </w:r>
      <w:r w:rsidR="00330F51">
        <w:rPr>
          <w:bCs/>
          <w:lang w:val="fr-FR"/>
        </w:rPr>
        <w:t>a été rejetée</w:t>
      </w:r>
      <w:r w:rsidR="000B562B" w:rsidRPr="00A176EA">
        <w:rPr>
          <w:bCs/>
          <w:lang w:val="fr-FR"/>
        </w:rPr>
        <w:t>.</w:t>
      </w:r>
    </w:p>
    <w:p w:rsidR="000B562B" w:rsidRPr="00A176EA" w:rsidRDefault="002549A9" w:rsidP="001D14F2">
      <w:pPr>
        <w:pStyle w:val="SingleTxtG"/>
        <w:rPr>
          <w:lang w:val="fr-FR"/>
        </w:rPr>
      </w:pPr>
      <w:r w:rsidRPr="00A176EA">
        <w:rPr>
          <w:lang w:val="fr-FR"/>
        </w:rPr>
        <w:t>212.</w:t>
      </w:r>
      <w:r w:rsidRPr="00A176EA">
        <w:rPr>
          <w:lang w:val="fr-FR"/>
        </w:rPr>
        <w:tab/>
      </w:r>
      <w:r w:rsidR="001D14F2">
        <w:rPr>
          <w:lang w:val="fr-FR"/>
        </w:rPr>
        <w:t xml:space="preserve">Les normes de conduite et </w:t>
      </w:r>
      <w:r w:rsidR="00134906">
        <w:rPr>
          <w:lang w:val="fr-FR"/>
        </w:rPr>
        <w:t xml:space="preserve">les normes </w:t>
      </w:r>
      <w:r w:rsidR="001D14F2">
        <w:rPr>
          <w:lang w:val="fr-FR"/>
        </w:rPr>
        <w:t>de traitement physique des prisonniers applicables aux forces britanniques figurent dans le droit international et la loi militaire nationale</w:t>
      </w:r>
      <w:r w:rsidR="00134906">
        <w:rPr>
          <w:lang w:val="fr-FR"/>
        </w:rPr>
        <w:t>,</w:t>
      </w:r>
      <w:r w:rsidR="001D14F2">
        <w:rPr>
          <w:lang w:val="fr-FR"/>
        </w:rPr>
        <w:t xml:space="preserve"> dont elles </w:t>
      </w:r>
      <w:r w:rsidR="001D14F2" w:rsidRPr="001D14F2">
        <w:rPr>
          <w:lang w:val="fr-FR"/>
        </w:rPr>
        <w:t>relèvent en toutes circonstances, où qu’elles soient dans le monde</w:t>
      </w:r>
      <w:r w:rsidR="001D14F2">
        <w:rPr>
          <w:lang w:val="fr-FR"/>
        </w:rPr>
        <w:t>. Le droit militaire érige explicitement la torture en infraction pénale</w:t>
      </w:r>
      <w:r w:rsidR="000B562B" w:rsidRPr="00A176EA">
        <w:rPr>
          <w:lang w:val="fr-FR"/>
        </w:rPr>
        <w:t xml:space="preserve">, </w:t>
      </w:r>
      <w:r w:rsidR="008A4ADF">
        <w:rPr>
          <w:lang w:val="fr-FR"/>
        </w:rPr>
        <w:t>comme l’exige</w:t>
      </w:r>
      <w:r w:rsidR="001D14F2">
        <w:rPr>
          <w:lang w:val="fr-FR"/>
        </w:rPr>
        <w:t xml:space="preserve"> la</w:t>
      </w:r>
      <w:r w:rsidR="000B562B" w:rsidRPr="00A176EA">
        <w:rPr>
          <w:lang w:val="fr-FR"/>
        </w:rPr>
        <w:t xml:space="preserve"> Convention </w:t>
      </w:r>
      <w:r w:rsidR="001D14F2">
        <w:rPr>
          <w:lang w:val="fr-FR"/>
        </w:rPr>
        <w:t>contre la</w:t>
      </w:r>
      <w:r w:rsidR="000B562B" w:rsidRPr="00A176EA">
        <w:rPr>
          <w:lang w:val="fr-FR"/>
        </w:rPr>
        <w:t xml:space="preserve"> </w:t>
      </w:r>
      <w:r w:rsidR="001D14F2">
        <w:rPr>
          <w:lang w:val="fr-FR"/>
        </w:rPr>
        <w:t>t</w:t>
      </w:r>
      <w:r w:rsidR="000B562B" w:rsidRPr="00A176EA">
        <w:rPr>
          <w:lang w:val="fr-FR"/>
        </w:rPr>
        <w:t>orture.</w:t>
      </w:r>
    </w:p>
    <w:p w:rsidR="000B562B" w:rsidRPr="00F44637" w:rsidRDefault="00B45A95" w:rsidP="001C135E">
      <w:pPr>
        <w:pStyle w:val="H1G"/>
      </w:pPr>
      <w:bookmarkStart w:id="24" w:name="_Toc299724698"/>
      <w:r>
        <w:tab/>
      </w:r>
      <w:r>
        <w:tab/>
      </w:r>
      <w:r w:rsidR="000B562B" w:rsidRPr="00F44637">
        <w:t>Article 6</w:t>
      </w:r>
      <w:r w:rsidR="0096557C">
        <w:br/>
      </w:r>
      <w:r w:rsidR="00330F51" w:rsidRPr="00F44637">
        <w:t xml:space="preserve">Placement en détention de personnes soupçonnées d’avoir pratiqué la </w:t>
      </w:r>
      <w:r w:rsidR="000B562B" w:rsidRPr="00F44637">
        <w:t>torture</w:t>
      </w:r>
      <w:bookmarkEnd w:id="24"/>
    </w:p>
    <w:p w:rsidR="000B562B" w:rsidRPr="00F44637" w:rsidRDefault="002549A9" w:rsidP="00671A43">
      <w:pPr>
        <w:pStyle w:val="SingleTxtG"/>
        <w:rPr>
          <w:lang w:val="fr-FR"/>
        </w:rPr>
      </w:pPr>
      <w:r w:rsidRPr="00F44637">
        <w:rPr>
          <w:lang w:val="fr-FR"/>
        </w:rPr>
        <w:t>213.</w:t>
      </w:r>
      <w:r w:rsidRPr="00F44637">
        <w:rPr>
          <w:lang w:val="fr-FR"/>
        </w:rPr>
        <w:tab/>
      </w:r>
      <w:r w:rsidR="00330F51" w:rsidRPr="00F44637">
        <w:rPr>
          <w:lang w:val="fr-FR"/>
        </w:rPr>
        <w:t>Les p</w:t>
      </w:r>
      <w:r w:rsidR="000B562B" w:rsidRPr="00F44637">
        <w:rPr>
          <w:lang w:val="fr-FR"/>
        </w:rPr>
        <w:t>roc</w:t>
      </w:r>
      <w:r w:rsidR="00330F51" w:rsidRPr="00F44637">
        <w:rPr>
          <w:lang w:val="fr-FR"/>
        </w:rPr>
        <w:t>é</w:t>
      </w:r>
      <w:r w:rsidR="000B562B" w:rsidRPr="00F44637">
        <w:rPr>
          <w:lang w:val="fr-FR"/>
        </w:rPr>
        <w:t xml:space="preserve">dures </w:t>
      </w:r>
      <w:r w:rsidR="00330F51" w:rsidRPr="00F44637">
        <w:rPr>
          <w:lang w:val="fr-FR"/>
        </w:rPr>
        <w:t xml:space="preserve">régissant le placement en </w:t>
      </w:r>
      <w:r w:rsidR="000B562B" w:rsidRPr="00F44637">
        <w:rPr>
          <w:lang w:val="fr-FR"/>
        </w:rPr>
        <w:t>d</w:t>
      </w:r>
      <w:r w:rsidR="00330F51" w:rsidRPr="00F44637">
        <w:rPr>
          <w:lang w:val="fr-FR"/>
        </w:rPr>
        <w:t>é</w:t>
      </w:r>
      <w:r w:rsidR="000B562B" w:rsidRPr="00F44637">
        <w:rPr>
          <w:lang w:val="fr-FR"/>
        </w:rPr>
        <w:t xml:space="preserve">tention </w:t>
      </w:r>
      <w:r w:rsidR="00330F51" w:rsidRPr="00F44637">
        <w:rPr>
          <w:lang w:val="fr-FR"/>
        </w:rPr>
        <w:t>de personnes soupçonnées d’avoir pratiqué la torture sont exposées aux</w:t>
      </w:r>
      <w:r w:rsidR="000B562B" w:rsidRPr="00F44637">
        <w:rPr>
          <w:lang w:val="fr-FR"/>
        </w:rPr>
        <w:t xml:space="preserve"> paragraph</w:t>
      </w:r>
      <w:r w:rsidR="00330F51" w:rsidRPr="00F44637">
        <w:rPr>
          <w:lang w:val="fr-FR"/>
        </w:rPr>
        <w:t>e</w:t>
      </w:r>
      <w:r w:rsidR="000B562B" w:rsidRPr="00F44637">
        <w:rPr>
          <w:lang w:val="fr-FR"/>
        </w:rPr>
        <w:t>s 155</w:t>
      </w:r>
      <w:r w:rsidR="00330F51" w:rsidRPr="00F44637">
        <w:rPr>
          <w:lang w:val="fr-FR"/>
        </w:rPr>
        <w:t xml:space="preserve"> à </w:t>
      </w:r>
      <w:r w:rsidR="000B562B" w:rsidRPr="00F44637">
        <w:rPr>
          <w:lang w:val="fr-FR"/>
        </w:rPr>
        <w:t xml:space="preserve">164 </w:t>
      </w:r>
      <w:r w:rsidR="00330F51" w:rsidRPr="00F44637">
        <w:rPr>
          <w:lang w:val="fr-FR"/>
        </w:rPr>
        <w:t>du présent rapport</w:t>
      </w:r>
      <w:r w:rsidR="000B562B" w:rsidRPr="00F44637">
        <w:rPr>
          <w:lang w:val="fr-FR"/>
        </w:rPr>
        <w:t>.</w:t>
      </w:r>
    </w:p>
    <w:p w:rsidR="000B562B" w:rsidRPr="00A176EA" w:rsidRDefault="00B45A95" w:rsidP="001C135E">
      <w:pPr>
        <w:pStyle w:val="H1G"/>
      </w:pPr>
      <w:bookmarkStart w:id="25" w:name="_Toc299724699"/>
      <w:r>
        <w:tab/>
      </w:r>
      <w:r>
        <w:tab/>
      </w:r>
      <w:r w:rsidR="000B562B" w:rsidRPr="00F44637">
        <w:t>Article 7</w:t>
      </w:r>
      <w:r w:rsidR="0096557C">
        <w:br/>
      </w:r>
      <w:r w:rsidR="00330F51" w:rsidRPr="00F44637">
        <w:t>Action pénale à l’encontre de personnes soupçonnées d’avoir pratiqu</w:t>
      </w:r>
      <w:r w:rsidR="000B628E">
        <w:t>é</w:t>
      </w:r>
      <w:r w:rsidR="00330F51" w:rsidRPr="00F44637">
        <w:t xml:space="preserve"> la torture et non extradées</w:t>
      </w:r>
      <w:bookmarkEnd w:id="25"/>
    </w:p>
    <w:p w:rsidR="000B562B" w:rsidRPr="00A176EA" w:rsidRDefault="00F44637" w:rsidP="00671A43">
      <w:pPr>
        <w:pStyle w:val="H23G"/>
        <w:rPr>
          <w:szCs w:val="24"/>
          <w:lang w:val="fr-FR"/>
        </w:rPr>
      </w:pPr>
      <w:r>
        <w:rPr>
          <w:lang w:val="fr-FR"/>
        </w:rPr>
        <w:t>Premier procès au Royaume-Uni pour infraction de</w:t>
      </w:r>
      <w:r w:rsidR="000B562B" w:rsidRPr="00A176EA">
        <w:rPr>
          <w:lang w:val="fr-FR"/>
        </w:rPr>
        <w:t xml:space="preserve"> torture</w:t>
      </w:r>
    </w:p>
    <w:p w:rsidR="000B562B" w:rsidRPr="00A176EA" w:rsidRDefault="002549A9" w:rsidP="0081165C">
      <w:pPr>
        <w:pStyle w:val="SingleTxtG"/>
        <w:rPr>
          <w:lang w:val="fr-FR"/>
        </w:rPr>
      </w:pPr>
      <w:r w:rsidRPr="00A176EA">
        <w:rPr>
          <w:lang w:val="fr-FR"/>
        </w:rPr>
        <w:t>214.</w:t>
      </w:r>
      <w:r w:rsidRPr="00A176EA">
        <w:rPr>
          <w:lang w:val="fr-FR"/>
        </w:rPr>
        <w:tab/>
      </w:r>
      <w:r w:rsidR="00F44637">
        <w:rPr>
          <w:lang w:val="fr-FR"/>
        </w:rPr>
        <w:t>E</w:t>
      </w:r>
      <w:r w:rsidR="000B562B" w:rsidRPr="00A176EA">
        <w:rPr>
          <w:lang w:val="fr-FR"/>
        </w:rPr>
        <w:t xml:space="preserve">n 2005, </w:t>
      </w:r>
      <w:r w:rsidR="00F44637">
        <w:rPr>
          <w:lang w:val="fr-FR"/>
        </w:rPr>
        <w:t xml:space="preserve">le Royaume-Uni </w:t>
      </w:r>
      <w:r w:rsidR="0081165C">
        <w:rPr>
          <w:lang w:val="fr-FR"/>
        </w:rPr>
        <w:t xml:space="preserve">a engagé pour la première fois des poursuites à l’encontre d’un ressortissant étranger pour actes de torture commis hors du territoire national. Il s’agissait d’un ressortissant afghan, Faryadi Zardad, qui commandait un point de contrôle </w:t>
      </w:r>
      <w:r w:rsidR="00603D7D">
        <w:rPr>
          <w:lang w:val="fr-FR"/>
        </w:rPr>
        <w:t xml:space="preserve">routier </w:t>
      </w:r>
      <w:r w:rsidR="0081165C">
        <w:rPr>
          <w:lang w:val="fr-FR"/>
        </w:rPr>
        <w:t xml:space="preserve">en Afghanistan entre 1992 et </w:t>
      </w:r>
      <w:r w:rsidR="000B562B" w:rsidRPr="00A176EA">
        <w:rPr>
          <w:lang w:val="fr-FR"/>
        </w:rPr>
        <w:t>1996.</w:t>
      </w:r>
    </w:p>
    <w:p w:rsidR="000B562B" w:rsidRPr="00A176EA" w:rsidRDefault="002549A9" w:rsidP="00A90767">
      <w:pPr>
        <w:pStyle w:val="SingleTxtG"/>
        <w:rPr>
          <w:lang w:val="fr-FR"/>
        </w:rPr>
      </w:pPr>
      <w:r w:rsidRPr="00A176EA">
        <w:rPr>
          <w:lang w:val="fr-FR"/>
        </w:rPr>
        <w:t>215.</w:t>
      </w:r>
      <w:r w:rsidRPr="00A176EA">
        <w:rPr>
          <w:lang w:val="fr-FR"/>
        </w:rPr>
        <w:tab/>
      </w:r>
      <w:r w:rsidR="0081165C">
        <w:rPr>
          <w:lang w:val="fr-FR"/>
        </w:rPr>
        <w:t xml:space="preserve">En vertu </w:t>
      </w:r>
      <w:r w:rsidR="00C0693F">
        <w:rPr>
          <w:lang w:val="fr-FR"/>
        </w:rPr>
        <w:t xml:space="preserve">du paragraphe 1 </w:t>
      </w:r>
      <w:r w:rsidR="0081165C">
        <w:rPr>
          <w:lang w:val="fr-FR"/>
        </w:rPr>
        <w:t>de l’article 6 de la Convention, Zardad avait été arrêté par la police à son domicile de Londres en juillet 2003 et placé en garde à vue. Une enquête sur son passé</w:t>
      </w:r>
      <w:r w:rsidR="008A4ADF">
        <w:rPr>
          <w:lang w:val="fr-FR"/>
        </w:rPr>
        <w:t xml:space="preserve"> diffusé</w:t>
      </w:r>
      <w:r w:rsidR="00A90767">
        <w:rPr>
          <w:lang w:val="fr-FR"/>
        </w:rPr>
        <w:t>e</w:t>
      </w:r>
      <w:r w:rsidR="008A4ADF">
        <w:rPr>
          <w:lang w:val="fr-FR"/>
        </w:rPr>
        <w:t xml:space="preserve"> </w:t>
      </w:r>
      <w:r w:rsidR="00A90767">
        <w:rPr>
          <w:lang w:val="fr-FR"/>
        </w:rPr>
        <w:t xml:space="preserve">dans </w:t>
      </w:r>
      <w:r w:rsidR="000964AA">
        <w:rPr>
          <w:lang w:val="fr-FR"/>
        </w:rPr>
        <w:t xml:space="preserve">un reportage </w:t>
      </w:r>
      <w:r w:rsidR="001A3D6D">
        <w:rPr>
          <w:lang w:val="fr-FR"/>
        </w:rPr>
        <w:t>télévisé</w:t>
      </w:r>
      <w:r w:rsidR="00A90767">
        <w:rPr>
          <w:lang w:val="fr-FR"/>
        </w:rPr>
        <w:t xml:space="preserve"> a permis de conclure que l’on pouvait raisonnablement envisager sa condamnation pour torture et prise d’</w:t>
      </w:r>
      <w:r w:rsidR="000964AA">
        <w:rPr>
          <w:lang w:val="fr-FR"/>
        </w:rPr>
        <w:t>o</w:t>
      </w:r>
      <w:r w:rsidR="00A90767">
        <w:rPr>
          <w:lang w:val="fr-FR"/>
        </w:rPr>
        <w:t>tages</w:t>
      </w:r>
      <w:r w:rsidR="000B562B" w:rsidRPr="00A176EA">
        <w:rPr>
          <w:lang w:val="fr-FR"/>
        </w:rPr>
        <w:t>.</w:t>
      </w:r>
    </w:p>
    <w:p w:rsidR="000B562B" w:rsidRPr="00A176EA" w:rsidRDefault="002549A9" w:rsidP="00A90767">
      <w:pPr>
        <w:pStyle w:val="SingleTxtG"/>
        <w:rPr>
          <w:lang w:val="fr-FR"/>
        </w:rPr>
      </w:pPr>
      <w:r w:rsidRPr="00A176EA">
        <w:rPr>
          <w:lang w:val="fr-FR"/>
        </w:rPr>
        <w:t>216.</w:t>
      </w:r>
      <w:r w:rsidRPr="00A176EA">
        <w:rPr>
          <w:lang w:val="fr-FR"/>
        </w:rPr>
        <w:tab/>
      </w:r>
      <w:r w:rsidR="000B562B" w:rsidRPr="00A90767">
        <w:rPr>
          <w:lang w:val="fr-FR"/>
        </w:rPr>
        <w:t xml:space="preserve">Zardad </w:t>
      </w:r>
      <w:r w:rsidR="00A90767" w:rsidRPr="00A90767">
        <w:rPr>
          <w:lang w:val="fr-FR"/>
        </w:rPr>
        <w:t xml:space="preserve">a été placé en garde à vue pour son audition, conformément à la </w:t>
      </w:r>
      <w:r w:rsidR="00440FAD" w:rsidRPr="00A90767">
        <w:rPr>
          <w:lang w:val="fr-FR"/>
        </w:rPr>
        <w:t xml:space="preserve">loi sur la police et les preuves </w:t>
      </w:r>
      <w:r w:rsidR="00D10599" w:rsidRPr="00A90767">
        <w:rPr>
          <w:lang w:val="fr-FR"/>
        </w:rPr>
        <w:t>pénales</w:t>
      </w:r>
      <w:r w:rsidR="00A90767" w:rsidRPr="00A90767">
        <w:rPr>
          <w:lang w:val="fr-FR"/>
        </w:rPr>
        <w:t xml:space="preserve"> et </w:t>
      </w:r>
      <w:r w:rsidR="00A90767">
        <w:rPr>
          <w:lang w:val="fr-FR"/>
        </w:rPr>
        <w:t>aux</w:t>
      </w:r>
      <w:r w:rsidR="00A90767" w:rsidRPr="00A90767">
        <w:rPr>
          <w:lang w:val="fr-FR"/>
        </w:rPr>
        <w:t xml:space="preserve"> </w:t>
      </w:r>
      <w:r w:rsidR="00016977" w:rsidRPr="00A90767">
        <w:rPr>
          <w:lang w:val="fr-FR"/>
        </w:rPr>
        <w:t>Codes de bonnes pratiques de la</w:t>
      </w:r>
      <w:r w:rsidR="00A90767">
        <w:rPr>
          <w:lang w:val="fr-FR"/>
        </w:rPr>
        <w:t>dite</w:t>
      </w:r>
      <w:r w:rsidR="00016977" w:rsidRPr="00A90767">
        <w:rPr>
          <w:lang w:val="fr-FR"/>
        </w:rPr>
        <w:t xml:space="preserve"> </w:t>
      </w:r>
      <w:r w:rsidR="00440FAD" w:rsidRPr="00A90767">
        <w:rPr>
          <w:lang w:val="fr-FR"/>
        </w:rPr>
        <w:t>loi</w:t>
      </w:r>
      <w:r w:rsidR="00A90767">
        <w:rPr>
          <w:lang w:val="fr-FR"/>
        </w:rPr>
        <w:t xml:space="preserve">, législation de l’État visée </w:t>
      </w:r>
      <w:r w:rsidR="00C0693F">
        <w:rPr>
          <w:lang w:val="fr-FR"/>
        </w:rPr>
        <w:t>au paragraphe 1 de</w:t>
      </w:r>
      <w:r w:rsidR="00A90767">
        <w:rPr>
          <w:lang w:val="fr-FR"/>
        </w:rPr>
        <w:t xml:space="preserve"> l’article 6 de la Convention. </w:t>
      </w:r>
      <w:r w:rsidR="008B2996" w:rsidRPr="008B2996">
        <w:rPr>
          <w:lang w:val="fr-FR"/>
        </w:rPr>
        <w:t>Pendant sa détention, il a pu bénéficier de tous les droits d’une personne détenue en vertu de ces dispositions.</w:t>
      </w:r>
      <w:r w:rsidR="008B2996">
        <w:rPr>
          <w:lang w:val="fr-FR"/>
        </w:rPr>
        <w:t xml:space="preserve"> </w:t>
      </w:r>
      <w:r w:rsidR="001526B0">
        <w:rPr>
          <w:lang w:val="fr-FR"/>
        </w:rPr>
        <w:t xml:space="preserve">Il s’agit, notamment, du droit à des soins médicaux et du droit de </w:t>
      </w:r>
      <w:r w:rsidR="00CD0110">
        <w:rPr>
          <w:lang w:val="fr-FR"/>
        </w:rPr>
        <w:t>«</w:t>
      </w:r>
      <w:r w:rsidR="001526B0" w:rsidRPr="001526B0">
        <w:rPr>
          <w:lang w:val="fr-FR"/>
        </w:rPr>
        <w:t>communiquer immédiatement avec le plus proche représentant qualifié de l'</w:t>
      </w:r>
      <w:r w:rsidR="001526B0">
        <w:rPr>
          <w:lang w:val="fr-FR"/>
        </w:rPr>
        <w:t>É</w:t>
      </w:r>
      <w:r w:rsidR="001526B0" w:rsidRPr="001526B0">
        <w:rPr>
          <w:lang w:val="fr-FR"/>
        </w:rPr>
        <w:t>tat dont elle a la nationalité</w:t>
      </w:r>
      <w:r w:rsidR="00CD0110">
        <w:rPr>
          <w:lang w:val="fr-FR"/>
        </w:rPr>
        <w:t>»</w:t>
      </w:r>
      <w:r w:rsidR="001526B0">
        <w:rPr>
          <w:lang w:val="fr-FR"/>
        </w:rPr>
        <w:t xml:space="preserve">, conformément </w:t>
      </w:r>
      <w:r w:rsidR="00C0693F">
        <w:rPr>
          <w:lang w:val="fr-FR"/>
        </w:rPr>
        <w:t>au paragraphe 3 de</w:t>
      </w:r>
      <w:r w:rsidR="001526B0">
        <w:rPr>
          <w:lang w:val="fr-FR"/>
        </w:rPr>
        <w:t xml:space="preserve"> l’</w:t>
      </w:r>
      <w:r w:rsidR="001A3D6D">
        <w:rPr>
          <w:lang w:val="fr-FR"/>
        </w:rPr>
        <w:t>article</w:t>
      </w:r>
      <w:r w:rsidR="001526B0">
        <w:rPr>
          <w:lang w:val="fr-FR"/>
        </w:rPr>
        <w:t xml:space="preserve"> 6 de la </w:t>
      </w:r>
      <w:r w:rsidR="000B562B" w:rsidRPr="00A176EA">
        <w:rPr>
          <w:lang w:val="fr-FR"/>
        </w:rPr>
        <w:t>Convention.</w:t>
      </w:r>
    </w:p>
    <w:p w:rsidR="000B562B" w:rsidRPr="00A176EA" w:rsidRDefault="002549A9" w:rsidP="00671A43">
      <w:pPr>
        <w:pStyle w:val="SingleTxtG"/>
        <w:rPr>
          <w:lang w:val="fr-FR"/>
        </w:rPr>
      </w:pPr>
      <w:r w:rsidRPr="00A176EA">
        <w:rPr>
          <w:lang w:val="fr-FR"/>
        </w:rPr>
        <w:t>217.</w:t>
      </w:r>
      <w:r w:rsidRPr="00A176EA">
        <w:rPr>
          <w:lang w:val="fr-FR"/>
        </w:rPr>
        <w:tab/>
      </w:r>
      <w:r w:rsidR="001526B0">
        <w:rPr>
          <w:lang w:val="fr-FR"/>
        </w:rPr>
        <w:t>Zardad n’a pas fait l’objet d’une demande d’extradition de la part de l’Afghanistan. L</w:t>
      </w:r>
      <w:r w:rsidR="00C0693F">
        <w:rPr>
          <w:lang w:val="fr-FR"/>
        </w:rPr>
        <w:t>e paragraphe 1 de l</w:t>
      </w:r>
      <w:r w:rsidR="001526B0">
        <w:rPr>
          <w:lang w:val="fr-FR"/>
        </w:rPr>
        <w:t>’article 7 de la Convention stipule que l</w:t>
      </w:r>
      <w:r w:rsidR="001526B0" w:rsidRPr="001526B0">
        <w:rPr>
          <w:lang w:val="fr-FR"/>
        </w:rPr>
        <w:t>'</w:t>
      </w:r>
      <w:r w:rsidR="001526B0">
        <w:rPr>
          <w:lang w:val="fr-FR"/>
        </w:rPr>
        <w:t>É</w:t>
      </w:r>
      <w:r w:rsidR="001526B0" w:rsidRPr="001526B0">
        <w:rPr>
          <w:lang w:val="fr-FR"/>
        </w:rPr>
        <w:t xml:space="preserve">tat partie sur le territoire sous la juridiction duquel l'auteur présumé </w:t>
      </w:r>
      <w:r w:rsidR="00603D7D">
        <w:rPr>
          <w:lang w:val="fr-FR"/>
        </w:rPr>
        <w:t>d’actes de torture</w:t>
      </w:r>
      <w:r w:rsidR="001526B0" w:rsidRPr="001526B0">
        <w:rPr>
          <w:lang w:val="fr-FR"/>
        </w:rPr>
        <w:t xml:space="preserve"> est découvert, s'il n'extrade pas ce dernier, soumet l'affaire</w:t>
      </w:r>
      <w:r w:rsidR="00603D7D">
        <w:rPr>
          <w:lang w:val="fr-FR"/>
        </w:rPr>
        <w:t xml:space="preserve"> </w:t>
      </w:r>
      <w:r w:rsidR="001526B0" w:rsidRPr="001526B0">
        <w:rPr>
          <w:lang w:val="fr-FR"/>
        </w:rPr>
        <w:t>à ses autorités compétentes pour l'exercice de l'action pénale</w:t>
      </w:r>
      <w:r w:rsidR="000B562B" w:rsidRPr="00A176EA">
        <w:rPr>
          <w:lang w:val="fr-FR"/>
        </w:rPr>
        <w:t>.</w:t>
      </w:r>
    </w:p>
    <w:p w:rsidR="000B562B" w:rsidRPr="00A176EA" w:rsidRDefault="002549A9" w:rsidP="007E34D1">
      <w:pPr>
        <w:pStyle w:val="SingleTxtG"/>
        <w:rPr>
          <w:lang w:val="fr-FR"/>
        </w:rPr>
      </w:pPr>
      <w:r w:rsidRPr="00A176EA">
        <w:rPr>
          <w:lang w:val="fr-FR"/>
        </w:rPr>
        <w:t>218.</w:t>
      </w:r>
      <w:r w:rsidRPr="00A176EA">
        <w:rPr>
          <w:lang w:val="fr-FR"/>
        </w:rPr>
        <w:tab/>
      </w:r>
      <w:r w:rsidR="00603D7D">
        <w:rPr>
          <w:lang w:val="fr-FR"/>
        </w:rPr>
        <w:t>Par conséquent</w:t>
      </w:r>
      <w:r w:rsidR="000B562B" w:rsidRPr="00A176EA">
        <w:rPr>
          <w:lang w:val="fr-FR"/>
        </w:rPr>
        <w:t xml:space="preserve">, </w:t>
      </w:r>
      <w:r w:rsidR="00603D7D">
        <w:rPr>
          <w:lang w:val="fr-FR"/>
        </w:rPr>
        <w:t>l</w:t>
      </w:r>
      <w:r w:rsidR="000B562B" w:rsidRPr="00A176EA">
        <w:rPr>
          <w:lang w:val="fr-FR"/>
        </w:rPr>
        <w:t xml:space="preserve">e </w:t>
      </w:r>
      <w:r w:rsidR="007A1549">
        <w:rPr>
          <w:lang w:val="fr-FR"/>
        </w:rPr>
        <w:t>m</w:t>
      </w:r>
      <w:r w:rsidR="00327073" w:rsidRPr="00603D7D">
        <w:rPr>
          <w:lang w:val="fr-FR"/>
        </w:rPr>
        <w:t>inistère public de la Couronne</w:t>
      </w:r>
      <w:r w:rsidR="00327073" w:rsidRPr="00A176EA">
        <w:rPr>
          <w:lang w:val="fr-FR"/>
        </w:rPr>
        <w:t xml:space="preserve"> </w:t>
      </w:r>
      <w:r w:rsidR="00603D7D">
        <w:rPr>
          <w:lang w:val="fr-FR"/>
        </w:rPr>
        <w:t>a examiné les éléments de preuve contre Zardad puis décidé de le poursuivre pour infraction de torture et de prise d’</w:t>
      </w:r>
      <w:r w:rsidR="000964AA">
        <w:rPr>
          <w:lang w:val="fr-FR"/>
        </w:rPr>
        <w:t>o</w:t>
      </w:r>
      <w:r w:rsidR="00603D7D">
        <w:rPr>
          <w:lang w:val="fr-FR"/>
        </w:rPr>
        <w:t xml:space="preserve">tages. Cette décision était fondée sur </w:t>
      </w:r>
      <w:r w:rsidR="007E34D1">
        <w:rPr>
          <w:lang w:val="fr-FR"/>
        </w:rPr>
        <w:t>le critère prévu par le Code des procureurs de la Couronne</w:t>
      </w:r>
      <w:r w:rsidR="00134906">
        <w:rPr>
          <w:lang w:val="fr-FR"/>
        </w:rPr>
        <w:t>, qui</w:t>
      </w:r>
      <w:r w:rsidR="007E34D1">
        <w:rPr>
          <w:lang w:val="fr-FR"/>
        </w:rPr>
        <w:t xml:space="preserve"> est appliqué à toutes les affaires pénales prises en charge par le </w:t>
      </w:r>
      <w:r w:rsidR="007A1549">
        <w:rPr>
          <w:lang w:val="fr-FR"/>
        </w:rPr>
        <w:t>m</w:t>
      </w:r>
      <w:r w:rsidR="007E34D1">
        <w:rPr>
          <w:lang w:val="fr-FR"/>
        </w:rPr>
        <w:t>inistère public. Comme l’exige l</w:t>
      </w:r>
      <w:r w:rsidR="00C0693F">
        <w:rPr>
          <w:lang w:val="fr-FR"/>
        </w:rPr>
        <w:t>e paragraphe 2 de l</w:t>
      </w:r>
      <w:r w:rsidR="007E34D1">
        <w:rPr>
          <w:lang w:val="fr-FR"/>
        </w:rPr>
        <w:t>’article 7</w:t>
      </w:r>
      <w:r w:rsidR="00C0693F">
        <w:rPr>
          <w:lang w:val="fr-FR"/>
        </w:rPr>
        <w:t xml:space="preserve"> </w:t>
      </w:r>
      <w:r w:rsidR="007E34D1">
        <w:rPr>
          <w:lang w:val="fr-FR"/>
        </w:rPr>
        <w:t xml:space="preserve">de la Convention, les règles de preuve qui s’appliquent aux poursuites et à la condamnation sont les mêmes que pour les affaires relevant </w:t>
      </w:r>
      <w:r w:rsidR="007E34D1" w:rsidRPr="005E76CE">
        <w:rPr>
          <w:lang w:val="fr-FR"/>
        </w:rPr>
        <w:t>de la</w:t>
      </w:r>
      <w:r w:rsidR="007E34D1">
        <w:rPr>
          <w:lang w:val="fr-FR"/>
        </w:rPr>
        <w:t xml:space="preserve"> compétence extraterritoriale</w:t>
      </w:r>
      <w:r w:rsidR="000B562B" w:rsidRPr="00A176EA">
        <w:rPr>
          <w:lang w:val="fr-FR"/>
        </w:rPr>
        <w:t>.</w:t>
      </w:r>
    </w:p>
    <w:p w:rsidR="000B562B" w:rsidRPr="00A176EA" w:rsidRDefault="002549A9" w:rsidP="00A65A0A">
      <w:pPr>
        <w:pStyle w:val="SingleTxtG"/>
        <w:rPr>
          <w:lang w:val="fr-FR"/>
        </w:rPr>
      </w:pPr>
      <w:r w:rsidRPr="00A176EA">
        <w:rPr>
          <w:lang w:val="fr-FR"/>
        </w:rPr>
        <w:t>219.</w:t>
      </w:r>
      <w:r w:rsidRPr="00A176EA">
        <w:rPr>
          <w:lang w:val="fr-FR"/>
        </w:rPr>
        <w:tab/>
      </w:r>
      <w:r w:rsidR="007E34D1">
        <w:rPr>
          <w:lang w:val="fr-FR"/>
        </w:rPr>
        <w:t>Les difficultés opérationnelles et le c</w:t>
      </w:r>
      <w:r w:rsidR="005E76CE">
        <w:rPr>
          <w:lang w:val="fr-FR"/>
        </w:rPr>
        <w:t>oû</w:t>
      </w:r>
      <w:r w:rsidR="007E34D1">
        <w:rPr>
          <w:lang w:val="fr-FR"/>
        </w:rPr>
        <w:t>t pour l’État que représentent des poursuites pénales</w:t>
      </w:r>
      <w:r w:rsidR="005E76CE">
        <w:rPr>
          <w:lang w:val="fr-FR"/>
        </w:rPr>
        <w:t xml:space="preserve"> relevant de la compétence extraterritoriale ne devraient toutefois pas être sous-estimés. Ils sont considérables et ne sont pas toujours pleinement évalués. La majeure partie des enquêtes ont dû être menées en Afghanistan, parfois dans des conditions difficiles ou dangereuses. À quatre reprises, les enquêteurs étaient accompagnés par des avocats de l’accusation. En prononçant le verdict, le j</w:t>
      </w:r>
      <w:r w:rsidR="00A65A0A">
        <w:rPr>
          <w:lang w:val="fr-FR"/>
        </w:rPr>
        <w:t>uge Justice Treacy a fait le commentaire suivant</w:t>
      </w:r>
      <w:r w:rsidR="00FC2B97">
        <w:rPr>
          <w:lang w:val="fr-FR"/>
        </w:rPr>
        <w:t>:</w:t>
      </w:r>
    </w:p>
    <w:p w:rsidR="000B562B" w:rsidRPr="00A176EA" w:rsidRDefault="00CD0110" w:rsidP="00A65A0A">
      <w:pPr>
        <w:pStyle w:val="SingleTxtG"/>
        <w:rPr>
          <w:lang w:val="fr-FR"/>
        </w:rPr>
      </w:pPr>
      <w:r>
        <w:rPr>
          <w:lang w:val="fr-FR"/>
        </w:rPr>
        <w:t>«</w:t>
      </w:r>
      <w:r w:rsidR="00A65A0A">
        <w:rPr>
          <w:lang w:val="fr-FR"/>
        </w:rPr>
        <w:t>Je sais que les fonctionnaires qui ont travaillé en Afghanistan pour enquêter sur cette affaire et la traiter ont travaillé dans des conditions d’inconfort personnel extrême, parfois en courant d’énormes risques. Il est évident à mes yeux qu’ils ont fait preuve d’un dévouement hors du commun</w:t>
      </w:r>
      <w:r>
        <w:rPr>
          <w:lang w:val="fr-FR"/>
        </w:rPr>
        <w:t>»</w:t>
      </w:r>
      <w:r w:rsidR="00A65A0A">
        <w:rPr>
          <w:lang w:val="fr-FR"/>
        </w:rPr>
        <w:t>.</w:t>
      </w:r>
    </w:p>
    <w:p w:rsidR="000B562B" w:rsidRPr="00A176EA" w:rsidRDefault="00A65A0A" w:rsidP="00671A43">
      <w:pPr>
        <w:pStyle w:val="H23G"/>
        <w:rPr>
          <w:szCs w:val="24"/>
          <w:lang w:val="fr-FR"/>
        </w:rPr>
      </w:pPr>
      <w:r>
        <w:rPr>
          <w:lang w:val="fr-FR"/>
        </w:rPr>
        <w:t>Faits</w:t>
      </w:r>
    </w:p>
    <w:p w:rsidR="000B562B" w:rsidRPr="00A176EA" w:rsidRDefault="002549A9" w:rsidP="00BD036D">
      <w:pPr>
        <w:pStyle w:val="SingleTxtG"/>
        <w:rPr>
          <w:lang w:val="fr-FR"/>
        </w:rPr>
      </w:pPr>
      <w:r w:rsidRPr="00A176EA">
        <w:rPr>
          <w:lang w:val="fr-FR"/>
        </w:rPr>
        <w:t>220.</w:t>
      </w:r>
      <w:r w:rsidRPr="00A176EA">
        <w:rPr>
          <w:lang w:val="fr-FR"/>
        </w:rPr>
        <w:tab/>
      </w:r>
      <w:r w:rsidR="00BD036D">
        <w:rPr>
          <w:lang w:val="fr-FR"/>
        </w:rPr>
        <w:t xml:space="preserve">Les faits se sont déroulés pendant la guerre civile d’Afghanistan entre 1992 et 1996. Les clans afghans s’étaient montrés incapables de se mettre d’accord pour partager le pouvoir après le départ des forces </w:t>
      </w:r>
      <w:r w:rsidR="00F23F70">
        <w:rPr>
          <w:lang w:val="fr-FR"/>
        </w:rPr>
        <w:t>soviétiques</w:t>
      </w:r>
      <w:r w:rsidR="00BD036D">
        <w:rPr>
          <w:lang w:val="fr-FR"/>
        </w:rPr>
        <w:t>. Le conflit principal opposait deux factions rivales</w:t>
      </w:r>
      <w:r w:rsidR="00FC2B97">
        <w:rPr>
          <w:lang w:val="fr-FR"/>
        </w:rPr>
        <w:t>:</w:t>
      </w:r>
      <w:r w:rsidR="00BD036D">
        <w:rPr>
          <w:lang w:val="fr-FR"/>
        </w:rPr>
        <w:t xml:space="preserve"> le </w:t>
      </w:r>
      <w:r w:rsidR="000B562B" w:rsidRPr="00A176EA">
        <w:rPr>
          <w:lang w:val="fr-FR"/>
        </w:rPr>
        <w:t xml:space="preserve">Hezb-e-Islami </w:t>
      </w:r>
      <w:r w:rsidR="00BD036D">
        <w:rPr>
          <w:lang w:val="fr-FR"/>
        </w:rPr>
        <w:t>et</w:t>
      </w:r>
      <w:r w:rsidR="000B562B" w:rsidRPr="00A176EA">
        <w:rPr>
          <w:lang w:val="fr-FR"/>
        </w:rPr>
        <w:t xml:space="preserve"> </w:t>
      </w:r>
      <w:r w:rsidR="00BD036D">
        <w:rPr>
          <w:lang w:val="fr-FR"/>
        </w:rPr>
        <w:t xml:space="preserve">le </w:t>
      </w:r>
      <w:r w:rsidR="000B562B" w:rsidRPr="00A176EA">
        <w:rPr>
          <w:lang w:val="fr-FR"/>
        </w:rPr>
        <w:t>Jamiat-e-Islami.</w:t>
      </w:r>
    </w:p>
    <w:p w:rsidR="000B562B" w:rsidRPr="00A176EA" w:rsidRDefault="002549A9" w:rsidP="00671A43">
      <w:pPr>
        <w:pStyle w:val="SingleTxtG"/>
        <w:rPr>
          <w:lang w:val="fr-FR"/>
        </w:rPr>
      </w:pPr>
      <w:r w:rsidRPr="00A176EA">
        <w:rPr>
          <w:lang w:val="fr-FR"/>
        </w:rPr>
        <w:t>221.</w:t>
      </w:r>
      <w:r w:rsidRPr="00A176EA">
        <w:rPr>
          <w:lang w:val="fr-FR"/>
        </w:rPr>
        <w:tab/>
      </w:r>
      <w:r w:rsidR="00BD036D">
        <w:rPr>
          <w:lang w:val="fr-FR"/>
        </w:rPr>
        <w:t xml:space="preserve">Membre du </w:t>
      </w:r>
      <w:r w:rsidR="00BD036D" w:rsidRPr="00BD036D">
        <w:rPr>
          <w:lang w:val="fr-FR"/>
        </w:rPr>
        <w:t>Hezb-e-Islami</w:t>
      </w:r>
      <w:r w:rsidR="00BD036D">
        <w:rPr>
          <w:lang w:val="fr-FR"/>
        </w:rPr>
        <w:t>,</w:t>
      </w:r>
      <w:r w:rsidR="00BD036D" w:rsidRPr="00BD036D">
        <w:rPr>
          <w:lang w:val="fr-FR"/>
        </w:rPr>
        <w:t xml:space="preserve"> </w:t>
      </w:r>
      <w:r w:rsidR="000B562B" w:rsidRPr="00A176EA">
        <w:rPr>
          <w:lang w:val="fr-FR"/>
        </w:rPr>
        <w:t xml:space="preserve">Faryadi Zardad </w:t>
      </w:r>
      <w:r w:rsidR="00BD036D">
        <w:rPr>
          <w:lang w:val="fr-FR"/>
        </w:rPr>
        <w:t>commandait environ un millier d’hommes</w:t>
      </w:r>
      <w:r w:rsidR="00337FF4">
        <w:rPr>
          <w:lang w:val="fr-FR"/>
        </w:rPr>
        <w:t xml:space="preserve"> et avait sa base militaire dans la région de Sarobi, fief de l’Hezb-e-Islami, qu’il contrôlait. </w:t>
      </w:r>
      <w:r w:rsidR="002D63E8">
        <w:rPr>
          <w:lang w:val="fr-FR"/>
        </w:rPr>
        <w:t>La quasi-totalité du trafic entre Peshawar, au Pakistan, et Kaboul, en Afghanistan, empruntait la route traversant Sarobi, où se trouvait la base militaire de Zardad, qui avait établi un poste de contrôle dans un endroit stratégique</w:t>
      </w:r>
      <w:r w:rsidR="000B562B" w:rsidRPr="00A176EA">
        <w:rPr>
          <w:lang w:val="fr-FR"/>
        </w:rPr>
        <w:t>.</w:t>
      </w:r>
    </w:p>
    <w:p w:rsidR="000B562B" w:rsidRPr="00A176EA" w:rsidRDefault="002549A9" w:rsidP="002D63E8">
      <w:pPr>
        <w:pStyle w:val="SingleTxtG"/>
        <w:rPr>
          <w:lang w:val="fr-FR"/>
        </w:rPr>
      </w:pPr>
      <w:r w:rsidRPr="00A176EA">
        <w:rPr>
          <w:lang w:val="fr-FR"/>
        </w:rPr>
        <w:t>222.</w:t>
      </w:r>
      <w:r w:rsidRPr="00A176EA">
        <w:rPr>
          <w:lang w:val="fr-FR"/>
        </w:rPr>
        <w:tab/>
      </w:r>
      <w:r w:rsidR="002D63E8">
        <w:rPr>
          <w:lang w:val="fr-FR"/>
        </w:rPr>
        <w:t xml:space="preserve">Ce poste de contrôle lui permettait, ainsi qu’à ses soldats, de voler des biens et de l’argent à ceux qui y </w:t>
      </w:r>
      <w:r w:rsidR="001A3D6D">
        <w:rPr>
          <w:lang w:val="fr-FR"/>
        </w:rPr>
        <w:t>passaient</w:t>
      </w:r>
      <w:r w:rsidR="002D63E8">
        <w:rPr>
          <w:lang w:val="fr-FR"/>
        </w:rPr>
        <w:t>, d’empêcher la livraison de marchandises à ses ennemis de Kaboul et d’échanger des prisonniers capturés par des groupes rivaux</w:t>
      </w:r>
      <w:r w:rsidR="000B562B" w:rsidRPr="00A176EA">
        <w:rPr>
          <w:lang w:val="fr-FR"/>
        </w:rPr>
        <w:t>.</w:t>
      </w:r>
    </w:p>
    <w:p w:rsidR="000B562B" w:rsidRPr="00A176EA" w:rsidRDefault="002549A9" w:rsidP="002D63E8">
      <w:pPr>
        <w:pStyle w:val="SingleTxtG"/>
        <w:rPr>
          <w:lang w:val="fr-FR"/>
        </w:rPr>
      </w:pPr>
      <w:r w:rsidRPr="00A176EA">
        <w:rPr>
          <w:lang w:val="fr-FR"/>
        </w:rPr>
        <w:t>223.</w:t>
      </w:r>
      <w:r w:rsidRPr="00A176EA">
        <w:rPr>
          <w:lang w:val="fr-FR"/>
        </w:rPr>
        <w:tab/>
      </w:r>
      <w:r w:rsidR="000B562B" w:rsidRPr="00A176EA">
        <w:rPr>
          <w:lang w:val="fr-FR"/>
        </w:rPr>
        <w:t>M</w:t>
      </w:r>
      <w:r w:rsidR="002D63E8">
        <w:rPr>
          <w:lang w:val="fr-FR"/>
        </w:rPr>
        <w:t>.</w:t>
      </w:r>
      <w:r w:rsidR="000B562B" w:rsidRPr="00A176EA">
        <w:rPr>
          <w:lang w:val="fr-FR"/>
        </w:rPr>
        <w:t xml:space="preserve"> Zardad </w:t>
      </w:r>
      <w:r w:rsidR="002D63E8">
        <w:rPr>
          <w:lang w:val="fr-FR"/>
        </w:rPr>
        <w:t>et les hommes qu’il commandait ont commis de multiples infractions de torture et de prise d’otages. Ils ont usé d’une violence aveugle et injustifiée à l’encontre de voyageurs civils innocents, se rendant coupables de torture, de brutalités, de blessures, d’emprisonnements, d’extorsion et d’exécutions</w:t>
      </w:r>
      <w:r w:rsidR="000B562B" w:rsidRPr="00A176EA">
        <w:rPr>
          <w:lang w:val="fr-FR"/>
        </w:rPr>
        <w:t>.</w:t>
      </w:r>
    </w:p>
    <w:p w:rsidR="000B562B" w:rsidRPr="00A176EA" w:rsidRDefault="002549A9" w:rsidP="00671A43">
      <w:pPr>
        <w:pStyle w:val="SingleTxtG"/>
        <w:rPr>
          <w:lang w:val="fr-FR"/>
        </w:rPr>
      </w:pPr>
      <w:r w:rsidRPr="00A176EA">
        <w:rPr>
          <w:lang w:val="fr-FR"/>
        </w:rPr>
        <w:t>224.</w:t>
      </w:r>
      <w:r w:rsidRPr="00A176EA">
        <w:rPr>
          <w:lang w:val="fr-FR"/>
        </w:rPr>
        <w:tab/>
      </w:r>
      <w:r w:rsidR="002D63E8">
        <w:rPr>
          <w:lang w:val="fr-FR"/>
        </w:rPr>
        <w:t>Lorsque les Taliban ont pris le contrôle de l’</w:t>
      </w:r>
      <w:r w:rsidR="000B562B" w:rsidRPr="00A176EA">
        <w:rPr>
          <w:lang w:val="fr-FR"/>
        </w:rPr>
        <w:t>Afghanistan, M</w:t>
      </w:r>
      <w:r w:rsidR="002D63E8">
        <w:rPr>
          <w:lang w:val="fr-FR"/>
        </w:rPr>
        <w:t>.</w:t>
      </w:r>
      <w:r w:rsidR="000B562B" w:rsidRPr="00A176EA">
        <w:rPr>
          <w:lang w:val="fr-FR"/>
        </w:rPr>
        <w:t xml:space="preserve"> Zardad </w:t>
      </w:r>
      <w:r w:rsidR="002D63E8">
        <w:rPr>
          <w:lang w:val="fr-FR"/>
        </w:rPr>
        <w:t>s’est enfui au</w:t>
      </w:r>
      <w:r w:rsidR="000B562B" w:rsidRPr="00A176EA">
        <w:rPr>
          <w:lang w:val="fr-FR"/>
        </w:rPr>
        <w:t xml:space="preserve"> Pakistan, </w:t>
      </w:r>
      <w:r w:rsidR="002D63E8">
        <w:rPr>
          <w:lang w:val="fr-FR"/>
        </w:rPr>
        <w:t xml:space="preserve">puis il s’est rendu au Royaume-Uni où il a demandé l’asile, en septembre </w:t>
      </w:r>
      <w:r w:rsidR="000B562B" w:rsidRPr="00A176EA">
        <w:rPr>
          <w:lang w:val="fr-FR"/>
        </w:rPr>
        <w:t>1998.</w:t>
      </w:r>
    </w:p>
    <w:p w:rsidR="000B562B" w:rsidRPr="00A176EA" w:rsidRDefault="004579A8" w:rsidP="00671A43">
      <w:pPr>
        <w:pStyle w:val="H23G"/>
        <w:rPr>
          <w:szCs w:val="24"/>
          <w:lang w:val="fr-FR"/>
        </w:rPr>
      </w:pPr>
      <w:r>
        <w:rPr>
          <w:lang w:val="fr-FR"/>
        </w:rPr>
        <w:t>Procès</w:t>
      </w:r>
    </w:p>
    <w:p w:rsidR="000B562B" w:rsidRPr="00A176EA" w:rsidRDefault="002549A9" w:rsidP="00E57C0D">
      <w:pPr>
        <w:pStyle w:val="SingleTxtG"/>
        <w:rPr>
          <w:lang w:val="fr-FR"/>
        </w:rPr>
      </w:pPr>
      <w:r w:rsidRPr="00A176EA">
        <w:rPr>
          <w:lang w:val="fr-FR"/>
        </w:rPr>
        <w:t>225.</w:t>
      </w:r>
      <w:r w:rsidRPr="00A176EA">
        <w:rPr>
          <w:lang w:val="fr-FR"/>
        </w:rPr>
        <w:tab/>
      </w:r>
      <w:r w:rsidR="00F23F70">
        <w:rPr>
          <w:lang w:val="fr-FR"/>
        </w:rPr>
        <w:t xml:space="preserve">Lors de son procès, M. Zardad a dû répondre d’accusations de torture et de prise d’otages perpétrées entre 1992 et 1996. Tout au long de la procédure, il a été représenté par un avocat principal et un avocat adjoint. </w:t>
      </w:r>
      <w:r w:rsidR="00E57C0D">
        <w:rPr>
          <w:lang w:val="fr-FR"/>
        </w:rPr>
        <w:t xml:space="preserve">Il a été jugé par un juge de la Haute Cour et un jury </w:t>
      </w:r>
      <w:r w:rsidR="00DF4C14">
        <w:rPr>
          <w:lang w:val="fr-FR"/>
        </w:rPr>
        <w:t>d</w:t>
      </w:r>
      <w:r w:rsidR="00E57C0D">
        <w:rPr>
          <w:lang w:val="fr-FR"/>
        </w:rPr>
        <w:t>u Tribunal pénal central. Le 18 juillet 2005, après un second procès (le jury du premier procès n’avait pu parvenir à un verdict), il a été condamné à l’unanimité pour les deux chefs d’inculpation. Le 19 juillet 2005, le juge l’a condamné à 20 ans de réclusion pour chacun des deux chefs d’inculpation, avec confusion des peines</w:t>
      </w:r>
      <w:r w:rsidR="000B562B" w:rsidRPr="00A176EA">
        <w:rPr>
          <w:lang w:val="fr-FR"/>
        </w:rPr>
        <w:t>.</w:t>
      </w:r>
    </w:p>
    <w:p w:rsidR="000B562B" w:rsidRPr="00A176EA" w:rsidRDefault="004579A8" w:rsidP="00671A43">
      <w:pPr>
        <w:pStyle w:val="H23G"/>
        <w:rPr>
          <w:szCs w:val="24"/>
          <w:lang w:val="fr-FR"/>
        </w:rPr>
      </w:pPr>
      <w:r>
        <w:rPr>
          <w:lang w:val="fr-FR"/>
        </w:rPr>
        <w:t>Jurisprudence</w:t>
      </w:r>
    </w:p>
    <w:p w:rsidR="000B562B" w:rsidRPr="00A176EA" w:rsidRDefault="002549A9" w:rsidP="0029462A">
      <w:pPr>
        <w:pStyle w:val="SingleTxtG"/>
        <w:rPr>
          <w:lang w:val="fr-FR"/>
        </w:rPr>
      </w:pPr>
      <w:r w:rsidRPr="00A176EA">
        <w:rPr>
          <w:lang w:val="fr-FR"/>
        </w:rPr>
        <w:t>226.</w:t>
      </w:r>
      <w:r w:rsidRPr="00A176EA">
        <w:rPr>
          <w:lang w:val="fr-FR"/>
        </w:rPr>
        <w:tab/>
      </w:r>
      <w:r w:rsidR="00E57C0D">
        <w:rPr>
          <w:lang w:val="fr-FR"/>
        </w:rPr>
        <w:t xml:space="preserve">Lors du premier procès, la Cour s’est prononcée sur les circonstances dans lesquelles une personne peut être considérée comme </w:t>
      </w:r>
      <w:r w:rsidR="00CD0110">
        <w:rPr>
          <w:lang w:val="fr-FR"/>
        </w:rPr>
        <w:t>«</w:t>
      </w:r>
      <w:r w:rsidR="00E57C0D">
        <w:rPr>
          <w:lang w:val="fr-FR"/>
        </w:rPr>
        <w:t xml:space="preserve">agissant </w:t>
      </w:r>
      <w:r w:rsidR="0029462A">
        <w:rPr>
          <w:lang w:val="fr-FR"/>
        </w:rPr>
        <w:t>à titre officiel</w:t>
      </w:r>
      <w:r w:rsidR="00CD0110">
        <w:rPr>
          <w:lang w:val="fr-FR"/>
        </w:rPr>
        <w:t>»</w:t>
      </w:r>
      <w:r w:rsidR="00E57C0D">
        <w:rPr>
          <w:lang w:val="fr-FR"/>
        </w:rPr>
        <w:t xml:space="preserve">, autrement dit en </w:t>
      </w:r>
      <w:r w:rsidR="0029462A">
        <w:rPr>
          <w:lang w:val="fr-FR"/>
        </w:rPr>
        <w:t>qualité</w:t>
      </w:r>
      <w:r w:rsidR="00E57C0D">
        <w:rPr>
          <w:lang w:val="fr-FR"/>
        </w:rPr>
        <w:t xml:space="preserve"> </w:t>
      </w:r>
      <w:r w:rsidR="0029462A">
        <w:rPr>
          <w:lang w:val="fr-FR"/>
        </w:rPr>
        <w:t>d</w:t>
      </w:r>
      <w:r w:rsidR="00CD0110">
        <w:rPr>
          <w:lang w:val="fr-FR"/>
        </w:rPr>
        <w:t>’«</w:t>
      </w:r>
      <w:r w:rsidR="0029462A">
        <w:rPr>
          <w:lang w:val="fr-FR"/>
        </w:rPr>
        <w:t>agent de la fonction publique</w:t>
      </w:r>
      <w:r w:rsidR="00CD0110">
        <w:rPr>
          <w:lang w:val="fr-FR"/>
        </w:rPr>
        <w:t>»</w:t>
      </w:r>
      <w:r w:rsidR="0029462A">
        <w:rPr>
          <w:lang w:val="fr-FR"/>
        </w:rPr>
        <w:t xml:space="preserve"> </w:t>
      </w:r>
      <w:r w:rsidR="0029462A" w:rsidRPr="0029462A">
        <w:rPr>
          <w:i/>
          <w:lang w:val="fr-FR"/>
        </w:rPr>
        <w:t>de facto</w:t>
      </w:r>
      <w:r w:rsidR="0029462A">
        <w:rPr>
          <w:lang w:val="fr-FR"/>
        </w:rPr>
        <w:t xml:space="preserve">, ainsi qu’il est énoncé à l’article 1 de la Convention et dans les </w:t>
      </w:r>
      <w:r w:rsidR="00DF4C14">
        <w:rPr>
          <w:lang w:val="fr-FR"/>
        </w:rPr>
        <w:t>textes d’application</w:t>
      </w:r>
      <w:r w:rsidR="0029462A">
        <w:rPr>
          <w:lang w:val="fr-FR"/>
        </w:rPr>
        <w:t xml:space="preserve"> britanniques</w:t>
      </w:r>
      <w:r w:rsidR="000B562B" w:rsidRPr="00A176EA">
        <w:rPr>
          <w:lang w:val="fr-FR"/>
        </w:rPr>
        <w:t>.</w:t>
      </w:r>
    </w:p>
    <w:p w:rsidR="000B562B" w:rsidRPr="00A176EA" w:rsidRDefault="002549A9" w:rsidP="00147B65">
      <w:pPr>
        <w:pStyle w:val="SingleTxtG"/>
        <w:rPr>
          <w:lang w:val="fr-FR"/>
        </w:rPr>
      </w:pPr>
      <w:r w:rsidRPr="00A176EA">
        <w:rPr>
          <w:lang w:val="fr-FR"/>
        </w:rPr>
        <w:t>227.</w:t>
      </w:r>
      <w:r w:rsidRPr="00A176EA">
        <w:rPr>
          <w:lang w:val="fr-FR"/>
        </w:rPr>
        <w:tab/>
      </w:r>
      <w:r w:rsidR="0029462A">
        <w:rPr>
          <w:lang w:val="fr-FR"/>
        </w:rPr>
        <w:t xml:space="preserve">Ce jugement est important puisqu’il crée un précédent en droit britannique et que peu de </w:t>
      </w:r>
      <w:r w:rsidR="00147B65">
        <w:rPr>
          <w:lang w:val="fr-FR"/>
        </w:rPr>
        <w:t xml:space="preserve">tribunaux d’autres États parties à la Convention ont prononcé ce type de jugement. C’est pourquoi le juge n’a pu s’appuyer sur la jurisprudence pour interpréter la Convention et les textes d’application. Il convient de noter le poids conséquent accordé par le juge aux sources internationales pour rendre son verdict, dont deux décisions du Comité des Nations Unies contre la torture, un précédent </w:t>
      </w:r>
      <w:r w:rsidR="00DF4C14">
        <w:rPr>
          <w:lang w:val="fr-FR"/>
        </w:rPr>
        <w:t xml:space="preserve">qui sera </w:t>
      </w:r>
      <w:r w:rsidR="00147B65">
        <w:rPr>
          <w:lang w:val="fr-FR"/>
        </w:rPr>
        <w:t>utile aux tribunaux d’autres juridiction</w:t>
      </w:r>
      <w:r w:rsidR="00DF4C14">
        <w:rPr>
          <w:lang w:val="fr-FR"/>
        </w:rPr>
        <w:t>s</w:t>
      </w:r>
      <w:r w:rsidR="00147B65">
        <w:rPr>
          <w:lang w:val="fr-FR"/>
        </w:rPr>
        <w:t xml:space="preserve"> ayant à connaître d’affaires similaires</w:t>
      </w:r>
      <w:r w:rsidR="000B562B" w:rsidRPr="00A176EA">
        <w:rPr>
          <w:lang w:val="fr-FR"/>
        </w:rPr>
        <w:t>.</w:t>
      </w:r>
    </w:p>
    <w:p w:rsidR="000B562B" w:rsidRPr="00147B65" w:rsidRDefault="002549A9" w:rsidP="00671A43">
      <w:pPr>
        <w:pStyle w:val="SingleTxtG"/>
        <w:rPr>
          <w:lang w:val="fr-FR"/>
        </w:rPr>
      </w:pPr>
      <w:r w:rsidRPr="00A176EA">
        <w:rPr>
          <w:lang w:val="fr-FR"/>
        </w:rPr>
        <w:t>228.</w:t>
      </w:r>
      <w:r w:rsidRPr="00A176EA">
        <w:rPr>
          <w:lang w:val="fr-FR"/>
        </w:rPr>
        <w:tab/>
      </w:r>
      <w:r w:rsidR="00147B65">
        <w:rPr>
          <w:lang w:val="fr-FR"/>
        </w:rPr>
        <w:t>L</w:t>
      </w:r>
      <w:r w:rsidR="00C0693F">
        <w:rPr>
          <w:lang w:val="fr-FR"/>
        </w:rPr>
        <w:t>e paragraphe 1 de l</w:t>
      </w:r>
      <w:r w:rsidR="00147B65">
        <w:rPr>
          <w:lang w:val="fr-FR"/>
        </w:rPr>
        <w:t>’article</w:t>
      </w:r>
      <w:r w:rsidR="000B562B" w:rsidRPr="00A176EA">
        <w:rPr>
          <w:lang w:val="fr-FR"/>
        </w:rPr>
        <w:t xml:space="preserve"> 134 </w:t>
      </w:r>
      <w:r w:rsidR="00147B65">
        <w:rPr>
          <w:lang w:val="fr-FR"/>
        </w:rPr>
        <w:t xml:space="preserve">de la loi sur la justice pénale, qui donne effet aux articles 1 et 4 de la Convention, </w:t>
      </w:r>
      <w:r w:rsidR="00147B65" w:rsidRPr="00147B65">
        <w:rPr>
          <w:lang w:val="fr-FR"/>
        </w:rPr>
        <w:t>stipule</w:t>
      </w:r>
      <w:r w:rsidR="000B562B" w:rsidRPr="00147B65">
        <w:rPr>
          <w:lang w:val="fr-FR"/>
        </w:rPr>
        <w:t xml:space="preserve"> </w:t>
      </w:r>
      <w:r w:rsidR="00147B65" w:rsidRPr="00147B65">
        <w:rPr>
          <w:lang w:val="fr-FR"/>
        </w:rPr>
        <w:t>que</w:t>
      </w:r>
      <w:r w:rsidR="00FC2B97">
        <w:rPr>
          <w:lang w:val="fr-FR"/>
        </w:rPr>
        <w:t>:</w:t>
      </w:r>
    </w:p>
    <w:p w:rsidR="000B562B" w:rsidRPr="00A176EA" w:rsidRDefault="00CD0110" w:rsidP="004717D8">
      <w:pPr>
        <w:pStyle w:val="SingleTxtG"/>
        <w:rPr>
          <w:lang w:val="fr-FR"/>
        </w:rPr>
      </w:pPr>
      <w:r>
        <w:rPr>
          <w:lang w:val="fr-FR"/>
        </w:rPr>
        <w:t>«</w:t>
      </w:r>
      <w:r w:rsidR="004717D8">
        <w:rPr>
          <w:lang w:val="fr-FR"/>
        </w:rPr>
        <w:t>Un agent de la fonction publique ou toute personne agissant à titre officiel, quelle que soit sa nationalité, commet l’infraction de torture si, au Royaume-Uni ou ailleurs, il inflige intentionnellement une douleur ou des souffrances aiguës à une personne dans l’exercice de ses fonctions officielles ou prétendument officielles</w:t>
      </w:r>
      <w:r>
        <w:rPr>
          <w:lang w:val="fr-FR"/>
        </w:rPr>
        <w:t>»</w:t>
      </w:r>
      <w:r w:rsidR="004717D8">
        <w:rPr>
          <w:lang w:val="fr-FR"/>
        </w:rPr>
        <w:t>.</w:t>
      </w:r>
    </w:p>
    <w:p w:rsidR="000B562B" w:rsidRPr="00A176EA" w:rsidRDefault="002549A9" w:rsidP="00671A43">
      <w:pPr>
        <w:pStyle w:val="SingleTxtG"/>
        <w:rPr>
          <w:lang w:val="fr-FR"/>
        </w:rPr>
      </w:pPr>
      <w:r w:rsidRPr="00A176EA">
        <w:rPr>
          <w:lang w:val="fr-FR"/>
        </w:rPr>
        <w:t>229.</w:t>
      </w:r>
      <w:r w:rsidRPr="00A176EA">
        <w:rPr>
          <w:lang w:val="fr-FR"/>
        </w:rPr>
        <w:tab/>
      </w:r>
      <w:r w:rsidR="004717D8">
        <w:rPr>
          <w:lang w:val="fr-FR"/>
        </w:rPr>
        <w:t xml:space="preserve">La défense a invoqué que M. Zardad était </w:t>
      </w:r>
      <w:r w:rsidR="00CD0110">
        <w:rPr>
          <w:lang w:val="fr-FR"/>
        </w:rPr>
        <w:t>«</w:t>
      </w:r>
      <w:r w:rsidR="004717D8">
        <w:rPr>
          <w:lang w:val="fr-FR"/>
        </w:rPr>
        <w:t>ni un agent de la fonction publique ni une personne agissant à titre officiel</w:t>
      </w:r>
      <w:r w:rsidR="00CD0110">
        <w:rPr>
          <w:lang w:val="fr-FR"/>
        </w:rPr>
        <w:t>»</w:t>
      </w:r>
      <w:r w:rsidR="004717D8">
        <w:rPr>
          <w:lang w:val="fr-FR"/>
        </w:rPr>
        <w:t xml:space="preserve"> au sens de l’article 134</w:t>
      </w:r>
      <w:r w:rsidR="00FC2B97">
        <w:rPr>
          <w:lang w:val="fr-FR"/>
        </w:rPr>
        <w:t>:</w:t>
      </w:r>
      <w:r w:rsidR="004717D8">
        <w:rPr>
          <w:lang w:val="fr-FR"/>
        </w:rPr>
        <w:t xml:space="preserve"> par conséquent, </w:t>
      </w:r>
      <w:r w:rsidR="00F93D83">
        <w:rPr>
          <w:lang w:val="fr-FR"/>
        </w:rPr>
        <w:t xml:space="preserve">le fait que M. Zardad ait commandé un groupe contrôlant une </w:t>
      </w:r>
      <w:r w:rsidR="00DF4C14">
        <w:rPr>
          <w:lang w:val="fr-FR"/>
        </w:rPr>
        <w:t>zone</w:t>
      </w:r>
      <w:r w:rsidR="00F93D83">
        <w:rPr>
          <w:lang w:val="fr-FR"/>
        </w:rPr>
        <w:t xml:space="preserve"> de l’Afghanistan ne permettait </w:t>
      </w:r>
      <w:r w:rsidR="001A3D6D">
        <w:rPr>
          <w:lang w:val="fr-FR"/>
        </w:rPr>
        <w:t>pas</w:t>
      </w:r>
      <w:r w:rsidR="00F93D83">
        <w:rPr>
          <w:lang w:val="fr-FR"/>
        </w:rPr>
        <w:t xml:space="preserve"> au parquet d’affirmer qu’il était un </w:t>
      </w:r>
      <w:r w:rsidR="00CD0110">
        <w:rPr>
          <w:lang w:val="fr-FR"/>
        </w:rPr>
        <w:t>«</w:t>
      </w:r>
      <w:r w:rsidR="00F93D83">
        <w:rPr>
          <w:lang w:val="fr-FR"/>
        </w:rPr>
        <w:t>agent de la fonction publique</w:t>
      </w:r>
      <w:r w:rsidR="00CD0110">
        <w:rPr>
          <w:lang w:val="fr-FR"/>
        </w:rPr>
        <w:t>»</w:t>
      </w:r>
      <w:r w:rsidR="00F93D83">
        <w:rPr>
          <w:lang w:val="fr-FR"/>
        </w:rPr>
        <w:t xml:space="preserve"> </w:t>
      </w:r>
      <w:r w:rsidR="00F93D83" w:rsidRPr="00F93D83">
        <w:rPr>
          <w:i/>
          <w:lang w:val="fr-FR"/>
        </w:rPr>
        <w:t>de facto</w:t>
      </w:r>
      <w:r w:rsidR="00F93D83">
        <w:rPr>
          <w:lang w:val="fr-FR"/>
        </w:rPr>
        <w:t xml:space="preserve">. Au contraire, le parquet devait prouver </w:t>
      </w:r>
      <w:r w:rsidR="009A1618">
        <w:rPr>
          <w:lang w:val="fr-FR"/>
        </w:rPr>
        <w:t>soit qu’</w:t>
      </w:r>
      <w:r w:rsidR="00F93D83">
        <w:rPr>
          <w:lang w:val="fr-FR"/>
        </w:rPr>
        <w:t>il n’y avait aucune autorité publique en Afghanistan à l’époque concernée, auquel cas d’autres entités pouvaient exercer une autorité quasi</w:t>
      </w:r>
      <w:r w:rsidR="008476D9">
        <w:rPr>
          <w:lang w:val="fr-FR"/>
        </w:rPr>
        <w:t xml:space="preserve"> </w:t>
      </w:r>
      <w:r w:rsidR="00F93D83">
        <w:rPr>
          <w:lang w:val="fr-FR"/>
        </w:rPr>
        <w:t>publique, soit, s’il y avait une autorité publique (ce qui était le cas</w:t>
      </w:r>
      <w:r w:rsidR="00FC2B97">
        <w:rPr>
          <w:lang w:val="fr-FR"/>
        </w:rPr>
        <w:t>:</w:t>
      </w:r>
      <w:r w:rsidR="00F93D83">
        <w:rPr>
          <w:lang w:val="fr-FR"/>
        </w:rPr>
        <w:t xml:space="preserve"> il y avait à Kaboul un gouvernement doté d’un ambassadeur auprès des Nations Unies), que M. Zardad devait son poste à cette autorité. </w:t>
      </w:r>
      <w:r w:rsidR="00456994">
        <w:rPr>
          <w:lang w:val="fr-FR"/>
        </w:rPr>
        <w:t xml:space="preserve">Pour appuyer ce point de vue, la défense a renvoyé à la décision du Comité contre la torture dans l’affaire </w:t>
      </w:r>
      <w:r w:rsidR="00456994" w:rsidRPr="00DC5441">
        <w:rPr>
          <w:i/>
          <w:iCs/>
          <w:lang w:val="fr-FR"/>
        </w:rPr>
        <w:t>HMHI</w:t>
      </w:r>
      <w:r w:rsidR="00456994">
        <w:rPr>
          <w:lang w:val="fr-FR"/>
        </w:rPr>
        <w:t xml:space="preserve"> c. </w:t>
      </w:r>
      <w:r w:rsidR="00456994" w:rsidRPr="00DC5441">
        <w:rPr>
          <w:i/>
          <w:iCs/>
          <w:lang w:val="fr-FR"/>
        </w:rPr>
        <w:t>Australie</w:t>
      </w:r>
      <w:r w:rsidR="00456994">
        <w:rPr>
          <w:lang w:val="fr-FR"/>
        </w:rPr>
        <w:t>, c</w:t>
      </w:r>
      <w:r w:rsidR="000B562B" w:rsidRPr="00A176EA">
        <w:rPr>
          <w:lang w:val="fr-FR"/>
        </w:rPr>
        <w:t xml:space="preserve">ommunication </w:t>
      </w:r>
      <w:r w:rsidR="00456994">
        <w:rPr>
          <w:lang w:val="fr-FR"/>
        </w:rPr>
        <w:t>n°</w:t>
      </w:r>
      <w:r w:rsidR="000B562B" w:rsidRPr="00A176EA">
        <w:rPr>
          <w:lang w:val="fr-FR"/>
        </w:rPr>
        <w:t xml:space="preserve"> 177/2001.</w:t>
      </w:r>
    </w:p>
    <w:p w:rsidR="000B562B" w:rsidRPr="00A176EA" w:rsidRDefault="002549A9" w:rsidP="00E027DE">
      <w:pPr>
        <w:pStyle w:val="SingleTxtG"/>
        <w:rPr>
          <w:lang w:val="fr-FR"/>
        </w:rPr>
      </w:pPr>
      <w:r w:rsidRPr="00A176EA">
        <w:rPr>
          <w:lang w:val="fr-FR"/>
        </w:rPr>
        <w:t>230.</w:t>
      </w:r>
      <w:r w:rsidRPr="00A176EA">
        <w:rPr>
          <w:lang w:val="fr-FR"/>
        </w:rPr>
        <w:tab/>
      </w:r>
      <w:r w:rsidR="00456994">
        <w:rPr>
          <w:lang w:val="fr-FR"/>
        </w:rPr>
        <w:t xml:space="preserve">Le parquet a invoqué que M. Zardad occupait une fonction d’agent de la fonction publique </w:t>
      </w:r>
      <w:r w:rsidR="00456994" w:rsidRPr="00456994">
        <w:rPr>
          <w:i/>
          <w:lang w:val="fr-FR"/>
        </w:rPr>
        <w:t>de facto</w:t>
      </w:r>
      <w:r w:rsidR="00456994">
        <w:rPr>
          <w:lang w:val="fr-FR"/>
        </w:rPr>
        <w:t xml:space="preserve"> puisque sa faction, au cours de la guerre civile, contrôlait une région d’Afghanistan d’une façon </w:t>
      </w:r>
      <w:r w:rsidR="000C1439">
        <w:rPr>
          <w:lang w:val="fr-FR"/>
        </w:rPr>
        <w:t xml:space="preserve">quasi gouvernementale en dépit de l’existence, du moins sur le papier, d’une autorité gouvernementale formelle à Kaboul. À cet effet, le parquet a renvoyé à la décision du Comité contre la torture dans l’affaire </w:t>
      </w:r>
      <w:r w:rsidR="000C1439" w:rsidRPr="00DC5441">
        <w:rPr>
          <w:i/>
          <w:iCs/>
          <w:lang w:val="fr-FR"/>
        </w:rPr>
        <w:t>Elmi</w:t>
      </w:r>
      <w:r w:rsidR="000C1439">
        <w:rPr>
          <w:lang w:val="fr-FR"/>
        </w:rPr>
        <w:t xml:space="preserve"> c</w:t>
      </w:r>
      <w:r w:rsidR="00DF4C14">
        <w:rPr>
          <w:lang w:val="fr-FR"/>
        </w:rPr>
        <w:t>.</w:t>
      </w:r>
      <w:r w:rsidR="000C1439">
        <w:rPr>
          <w:lang w:val="fr-FR"/>
        </w:rPr>
        <w:t xml:space="preserve"> </w:t>
      </w:r>
      <w:r w:rsidR="000C1439" w:rsidRPr="00DC5441">
        <w:rPr>
          <w:i/>
          <w:iCs/>
          <w:lang w:val="fr-FR"/>
        </w:rPr>
        <w:t>Australie</w:t>
      </w:r>
      <w:r w:rsidR="00DC5441">
        <w:rPr>
          <w:lang w:val="fr-FR"/>
        </w:rPr>
        <w:t xml:space="preserve"> (communication n° </w:t>
      </w:r>
      <w:r w:rsidR="000C1439">
        <w:rPr>
          <w:lang w:val="fr-FR"/>
        </w:rPr>
        <w:t>120/1998) et à celle du Tribunal pénal international pour l’ex-Yougoslavie (TPIY) dans l’affaire Furundzija (10 décembre 1998</w:t>
      </w:r>
      <w:r w:rsidR="00FC2B97">
        <w:rPr>
          <w:lang w:val="fr-FR"/>
        </w:rPr>
        <w:t>:</w:t>
      </w:r>
      <w:r w:rsidR="000C1439">
        <w:rPr>
          <w:lang w:val="fr-FR"/>
        </w:rPr>
        <w:t xml:space="preserve"> </w:t>
      </w:r>
      <w:r w:rsidR="000B562B" w:rsidRPr="00A176EA">
        <w:rPr>
          <w:lang w:val="fr-FR"/>
        </w:rPr>
        <w:t>IT-95-17H-T).</w:t>
      </w:r>
    </w:p>
    <w:p w:rsidR="000B562B" w:rsidRPr="00A176EA" w:rsidRDefault="002549A9" w:rsidP="003B7BA8">
      <w:pPr>
        <w:pStyle w:val="SingleTxtG"/>
        <w:rPr>
          <w:lang w:val="fr-FR"/>
        </w:rPr>
      </w:pPr>
      <w:r w:rsidRPr="00A176EA">
        <w:rPr>
          <w:lang w:val="fr-FR"/>
        </w:rPr>
        <w:t>231.</w:t>
      </w:r>
      <w:r w:rsidRPr="00A176EA">
        <w:rPr>
          <w:lang w:val="fr-FR"/>
        </w:rPr>
        <w:tab/>
      </w:r>
      <w:r w:rsidR="00A53AB0">
        <w:rPr>
          <w:lang w:val="fr-FR"/>
        </w:rPr>
        <w:t>La Cour</w:t>
      </w:r>
      <w:r w:rsidR="00E027DE">
        <w:rPr>
          <w:lang w:val="fr-FR"/>
        </w:rPr>
        <w:t xml:space="preserve"> a considéré que, aux fins des éléments constitutifs de torture définis à l’article 1 de la Convention et à l’article 134 de la loi sur la justice pénale, la réalité d’une situation particulière devait être examinée </w:t>
      </w:r>
      <w:r w:rsidR="00A53AB0" w:rsidRPr="00DF4C14">
        <w:rPr>
          <w:lang w:val="fr-FR"/>
        </w:rPr>
        <w:t>de façon à</w:t>
      </w:r>
      <w:r w:rsidR="00E027DE" w:rsidRPr="00DF4C14">
        <w:rPr>
          <w:lang w:val="fr-FR"/>
        </w:rPr>
        <w:t xml:space="preserve"> rechercher</w:t>
      </w:r>
      <w:r w:rsidR="00E027DE">
        <w:rPr>
          <w:lang w:val="fr-FR"/>
        </w:rPr>
        <w:t xml:space="preserve"> des preuves suffisantes que l’organisation exerçait un contrôle effectif sur la région et le type d’autorité qu’un gouvernement exercerait</w:t>
      </w:r>
      <w:r w:rsidR="00FC2B97">
        <w:rPr>
          <w:lang w:val="fr-FR"/>
        </w:rPr>
        <w:t>:</w:t>
      </w:r>
    </w:p>
    <w:p w:rsidR="000B562B" w:rsidRPr="00A176EA" w:rsidRDefault="00CD0110" w:rsidP="00027A81">
      <w:pPr>
        <w:pStyle w:val="SingleTxtG"/>
        <w:rPr>
          <w:snapToGrid w:val="0"/>
          <w:lang w:val="fr-FR"/>
        </w:rPr>
      </w:pPr>
      <w:r>
        <w:rPr>
          <w:lang w:val="fr-FR"/>
        </w:rPr>
        <w:t>«</w:t>
      </w:r>
      <w:r w:rsidR="008476D9" w:rsidRPr="00A53AB0">
        <w:rPr>
          <w:lang w:val="fr-FR"/>
        </w:rPr>
        <w:t>J’ai interprété</w:t>
      </w:r>
      <w:r w:rsidR="000B562B" w:rsidRPr="00A53AB0">
        <w:rPr>
          <w:lang w:val="fr-FR"/>
        </w:rPr>
        <w:t xml:space="preserve"> [</w:t>
      </w:r>
      <w:r w:rsidR="008476D9" w:rsidRPr="00A53AB0">
        <w:rPr>
          <w:lang w:val="fr-FR"/>
        </w:rPr>
        <w:t>l</w:t>
      </w:r>
      <w:r w:rsidR="00C0693F">
        <w:rPr>
          <w:lang w:val="fr-FR"/>
        </w:rPr>
        <w:t>e paragraphe 1 de l</w:t>
      </w:r>
      <w:r w:rsidR="008476D9" w:rsidRPr="00A53AB0">
        <w:rPr>
          <w:lang w:val="fr-FR"/>
        </w:rPr>
        <w:t>’article</w:t>
      </w:r>
      <w:r w:rsidR="000B562B" w:rsidRPr="00A53AB0">
        <w:rPr>
          <w:lang w:val="fr-FR"/>
        </w:rPr>
        <w:t xml:space="preserve"> 134]</w:t>
      </w:r>
      <w:r w:rsidR="000B562B" w:rsidRPr="00A176EA">
        <w:rPr>
          <w:lang w:val="fr-FR"/>
        </w:rPr>
        <w:t xml:space="preserve"> </w:t>
      </w:r>
      <w:r w:rsidR="00061682">
        <w:rPr>
          <w:lang w:val="fr-FR"/>
        </w:rPr>
        <w:t xml:space="preserve">au regard de l’objet de la Convention et des précédents internationaux qui ont été portés à mon </w:t>
      </w:r>
      <w:r w:rsidR="000B562B" w:rsidRPr="00061682">
        <w:rPr>
          <w:lang w:val="fr-FR"/>
        </w:rPr>
        <w:t>attention,</w:t>
      </w:r>
      <w:r w:rsidR="000B562B" w:rsidRPr="00A176EA">
        <w:rPr>
          <w:lang w:val="fr-FR"/>
        </w:rPr>
        <w:t xml:space="preserve"> </w:t>
      </w:r>
      <w:r w:rsidR="008476D9" w:rsidRPr="00A53AB0">
        <w:rPr>
          <w:lang w:val="fr-FR"/>
        </w:rPr>
        <w:t xml:space="preserve">qu’une </w:t>
      </w:r>
      <w:r w:rsidR="00027A81">
        <w:rPr>
          <w:lang w:val="fr-FR"/>
        </w:rPr>
        <w:t>«</w:t>
      </w:r>
      <w:r w:rsidR="008476D9" w:rsidRPr="00A53AB0">
        <w:rPr>
          <w:lang w:val="fr-FR"/>
        </w:rPr>
        <w:t>p</w:t>
      </w:r>
      <w:r w:rsidR="00027A81">
        <w:rPr>
          <w:lang w:val="fr-FR"/>
        </w:rPr>
        <w:t>ersonne agissant à titre public»</w:t>
      </w:r>
      <w:r w:rsidR="008476D9" w:rsidRPr="00A53AB0">
        <w:rPr>
          <w:lang w:val="fr-FR"/>
        </w:rPr>
        <w:t xml:space="preserve"> comprend</w:t>
      </w:r>
      <w:r w:rsidR="000B562B" w:rsidRPr="00A53AB0">
        <w:rPr>
          <w:lang w:val="fr-FR"/>
        </w:rPr>
        <w:t xml:space="preserve"> </w:t>
      </w:r>
      <w:r w:rsidR="008476D9" w:rsidRPr="00A53AB0">
        <w:rPr>
          <w:lang w:val="fr-FR"/>
        </w:rPr>
        <w:t>les personnes agiss</w:t>
      </w:r>
      <w:r w:rsidR="000C1439" w:rsidRPr="00A53AB0">
        <w:rPr>
          <w:lang w:val="fr-FR"/>
        </w:rPr>
        <w:t>a</w:t>
      </w:r>
      <w:r w:rsidR="008476D9" w:rsidRPr="00A53AB0">
        <w:rPr>
          <w:lang w:val="fr-FR"/>
        </w:rPr>
        <w:t xml:space="preserve">nt pour une entité qui a acquis un contrôle effectif </w:t>
      </w:r>
      <w:r w:rsidR="008476D9" w:rsidRPr="00A53AB0">
        <w:rPr>
          <w:i/>
          <w:lang w:val="fr-FR"/>
        </w:rPr>
        <w:t>de facto</w:t>
      </w:r>
      <w:r w:rsidR="008476D9" w:rsidRPr="00A53AB0">
        <w:rPr>
          <w:lang w:val="fr-FR"/>
        </w:rPr>
        <w:t xml:space="preserve"> sur une zone du pays et exerce des fonctions gouvernementales ou quasi</w:t>
      </w:r>
      <w:r w:rsidR="000C1439" w:rsidRPr="00A53AB0">
        <w:rPr>
          <w:lang w:val="fr-FR"/>
        </w:rPr>
        <w:t xml:space="preserve"> </w:t>
      </w:r>
      <w:r w:rsidR="008476D9" w:rsidRPr="00A53AB0">
        <w:rPr>
          <w:lang w:val="fr-FR"/>
        </w:rPr>
        <w:t>gouvernementales dans cette zone</w:t>
      </w:r>
      <w:r>
        <w:rPr>
          <w:lang w:val="fr-FR"/>
        </w:rPr>
        <w:t>»</w:t>
      </w:r>
      <w:r w:rsidR="008476D9" w:rsidRPr="00A53AB0">
        <w:rPr>
          <w:lang w:val="fr-FR"/>
        </w:rPr>
        <w:t>.</w:t>
      </w:r>
    </w:p>
    <w:p w:rsidR="000B562B" w:rsidRPr="00A176EA" w:rsidRDefault="002549A9" w:rsidP="005F1303">
      <w:pPr>
        <w:pStyle w:val="SingleTxtG"/>
        <w:rPr>
          <w:snapToGrid w:val="0"/>
          <w:lang w:val="fr-FR"/>
        </w:rPr>
      </w:pPr>
      <w:r w:rsidRPr="00A176EA">
        <w:rPr>
          <w:snapToGrid w:val="0"/>
          <w:lang w:val="fr-FR"/>
        </w:rPr>
        <w:t>232.</w:t>
      </w:r>
      <w:r w:rsidRPr="00A176EA">
        <w:rPr>
          <w:snapToGrid w:val="0"/>
          <w:lang w:val="fr-FR"/>
        </w:rPr>
        <w:tab/>
      </w:r>
      <w:r w:rsidR="00A53AB0">
        <w:rPr>
          <w:lang w:val="fr-FR"/>
        </w:rPr>
        <w:t xml:space="preserve">La Cour a jugé que retenir le raisonnement soutenu par la défense ne traduirait pas les réalités de nombreux pays et </w:t>
      </w:r>
      <w:r w:rsidR="00A53AB0">
        <w:rPr>
          <w:snapToGrid w:val="0"/>
          <w:lang w:val="fr-FR"/>
        </w:rPr>
        <w:t xml:space="preserve">reviendrait à admettre une </w:t>
      </w:r>
      <w:r w:rsidR="001A3D6D">
        <w:rPr>
          <w:snapToGrid w:val="0"/>
          <w:lang w:val="fr-FR"/>
        </w:rPr>
        <w:t>lacune</w:t>
      </w:r>
      <w:r w:rsidR="00A53AB0">
        <w:rPr>
          <w:snapToGrid w:val="0"/>
          <w:lang w:val="fr-FR"/>
        </w:rPr>
        <w:t xml:space="preserve"> importante dans l’exécution de l’article 134</w:t>
      </w:r>
      <w:r w:rsidR="005F1303">
        <w:rPr>
          <w:snapToGrid w:val="0"/>
          <w:lang w:val="fr-FR"/>
        </w:rPr>
        <w:t xml:space="preserve"> de la loi sur la justice pénale</w:t>
      </w:r>
      <w:r w:rsidR="000B562B" w:rsidRPr="00A176EA">
        <w:rPr>
          <w:snapToGrid w:val="0"/>
          <w:lang w:val="fr-FR"/>
        </w:rPr>
        <w:t>.</w:t>
      </w:r>
    </w:p>
    <w:p w:rsidR="000B562B" w:rsidRPr="00A176EA" w:rsidRDefault="00B45A95" w:rsidP="001C135E">
      <w:pPr>
        <w:pStyle w:val="H1G"/>
      </w:pPr>
      <w:bookmarkStart w:id="26" w:name="_Toc299724700"/>
      <w:r>
        <w:tab/>
      </w:r>
      <w:r>
        <w:tab/>
      </w:r>
      <w:r w:rsidR="000B562B" w:rsidRPr="00A176EA">
        <w:t>Article 8</w:t>
      </w:r>
      <w:r w:rsidR="00FA56F9">
        <w:br/>
      </w:r>
      <w:r w:rsidR="000B562B" w:rsidRPr="00A176EA">
        <w:t xml:space="preserve">Extradition </w:t>
      </w:r>
      <w:r w:rsidR="005F1303">
        <w:t>de personnes soupçonnées d’avoir pratiqué la</w:t>
      </w:r>
      <w:r w:rsidR="000B562B" w:rsidRPr="00A176EA">
        <w:t xml:space="preserve"> torture</w:t>
      </w:r>
      <w:bookmarkEnd w:id="26"/>
    </w:p>
    <w:p w:rsidR="000B562B" w:rsidRPr="00A176EA" w:rsidRDefault="002549A9" w:rsidP="00671A43">
      <w:pPr>
        <w:pStyle w:val="SingleTxtG"/>
        <w:rPr>
          <w:lang w:val="fr-FR"/>
        </w:rPr>
      </w:pPr>
      <w:r w:rsidRPr="00A176EA">
        <w:rPr>
          <w:lang w:val="fr-FR"/>
        </w:rPr>
        <w:t>233.</w:t>
      </w:r>
      <w:r w:rsidRPr="00A176EA">
        <w:rPr>
          <w:lang w:val="fr-FR"/>
        </w:rPr>
        <w:tab/>
      </w:r>
      <w:r w:rsidR="005F1303">
        <w:rPr>
          <w:lang w:val="fr-FR"/>
        </w:rPr>
        <w:t>Le Royaume-Uni n’a reçu aucune demande d’extradition d’une personne accusée de torture depuis le</w:t>
      </w:r>
      <w:r w:rsidR="00B161B1">
        <w:rPr>
          <w:lang w:val="fr-FR"/>
        </w:rPr>
        <w:t xml:space="preserve"> quatrième</w:t>
      </w:r>
      <w:r w:rsidR="005F1303">
        <w:rPr>
          <w:lang w:val="fr-FR"/>
        </w:rPr>
        <w:t xml:space="preserve"> rapport</w:t>
      </w:r>
      <w:r w:rsidR="000B562B" w:rsidRPr="00A176EA">
        <w:rPr>
          <w:lang w:val="fr-FR"/>
        </w:rPr>
        <w:t>.</w:t>
      </w:r>
    </w:p>
    <w:p w:rsidR="000B562B" w:rsidRPr="00A176EA" w:rsidRDefault="00B45A95" w:rsidP="001C135E">
      <w:pPr>
        <w:pStyle w:val="H1G"/>
      </w:pPr>
      <w:bookmarkStart w:id="27" w:name="_Toc299724701"/>
      <w:r>
        <w:tab/>
      </w:r>
      <w:r>
        <w:tab/>
      </w:r>
      <w:r w:rsidR="000B562B" w:rsidRPr="00A176EA">
        <w:t>Article 9</w:t>
      </w:r>
      <w:bookmarkEnd w:id="27"/>
      <w:r w:rsidR="00FA56F9">
        <w:br/>
      </w:r>
      <w:r w:rsidR="005F1303">
        <w:t>Entraide judiciaire</w:t>
      </w:r>
    </w:p>
    <w:p w:rsidR="000B562B" w:rsidRPr="00A176EA" w:rsidRDefault="002549A9" w:rsidP="005F1303">
      <w:pPr>
        <w:pStyle w:val="SingleTxtG"/>
        <w:rPr>
          <w:snapToGrid w:val="0"/>
          <w:lang w:val="fr-FR"/>
        </w:rPr>
      </w:pPr>
      <w:r w:rsidRPr="00A176EA">
        <w:rPr>
          <w:snapToGrid w:val="0"/>
          <w:lang w:val="fr-FR"/>
        </w:rPr>
        <w:t>234.</w:t>
      </w:r>
      <w:r w:rsidRPr="00A176EA">
        <w:rPr>
          <w:snapToGrid w:val="0"/>
          <w:lang w:val="fr-FR"/>
        </w:rPr>
        <w:tab/>
      </w:r>
      <w:r w:rsidR="005F1303">
        <w:rPr>
          <w:snapToGrid w:val="0"/>
          <w:lang w:val="fr-FR"/>
        </w:rPr>
        <w:t>Ainsi qu’il a été indiqué dans les précédents rapports, le Royaume-Uni apporte</w:t>
      </w:r>
      <w:r w:rsidR="005F1303" w:rsidRPr="005F1303">
        <w:rPr>
          <w:snapToGrid w:val="0"/>
          <w:lang w:val="fr-FR"/>
        </w:rPr>
        <w:t xml:space="preserve"> </w:t>
      </w:r>
      <w:r w:rsidR="005F1303">
        <w:rPr>
          <w:snapToGrid w:val="0"/>
          <w:lang w:val="fr-FR"/>
        </w:rPr>
        <w:t xml:space="preserve">toute l’aide judiciaire voulue, en vertu de la loi </w:t>
      </w:r>
      <w:r w:rsidR="00B161B1">
        <w:rPr>
          <w:snapToGrid w:val="0"/>
          <w:lang w:val="fr-FR"/>
        </w:rPr>
        <w:t xml:space="preserve">de 1990 </w:t>
      </w:r>
      <w:r w:rsidR="005F1303">
        <w:rPr>
          <w:snapToGrid w:val="0"/>
          <w:lang w:val="fr-FR"/>
        </w:rPr>
        <w:t xml:space="preserve">sur la justice pénale (Coopération internationale), aux tribunaux ou aux autorités judiciaires des pays étrangers. L’Office central d’entraide judiciaire du Royaume-Uni n’a reçu aucune demande d’assistance d’un quelconque service étranger pour une infraction liée à la  </w:t>
      </w:r>
      <w:r w:rsidR="000B562B" w:rsidRPr="00A176EA">
        <w:rPr>
          <w:lang w:val="fr-FR"/>
        </w:rPr>
        <w:t>torture.</w:t>
      </w:r>
    </w:p>
    <w:p w:rsidR="000B562B" w:rsidRPr="00A176EA" w:rsidRDefault="00B45A95" w:rsidP="001C135E">
      <w:pPr>
        <w:pStyle w:val="H1G"/>
      </w:pPr>
      <w:bookmarkStart w:id="28" w:name="_Toc299724702"/>
      <w:r>
        <w:tab/>
      </w:r>
      <w:r>
        <w:tab/>
      </w:r>
      <w:r w:rsidR="000B562B" w:rsidRPr="00A176EA">
        <w:t>Article 10</w:t>
      </w:r>
      <w:r w:rsidR="006D7250">
        <w:br/>
      </w:r>
      <w:r w:rsidR="005F1303">
        <w:t>Enseignement et formation destinés à la</w:t>
      </w:r>
      <w:r w:rsidR="000B562B" w:rsidRPr="00A176EA">
        <w:t xml:space="preserve"> police, </w:t>
      </w:r>
      <w:r w:rsidR="005F1303">
        <w:t>à l’armée</w:t>
      </w:r>
      <w:r w:rsidR="000B562B" w:rsidRPr="00A176EA">
        <w:t xml:space="preserve">, </w:t>
      </w:r>
      <w:r w:rsidR="005F1303">
        <w:t xml:space="preserve">aux médecins et à d’autres personnels aux fins </w:t>
      </w:r>
      <w:r w:rsidR="004D16F0">
        <w:t>de prévenir</w:t>
      </w:r>
      <w:r w:rsidR="005F1303">
        <w:t xml:space="preserve"> la torture et autres formes de </w:t>
      </w:r>
      <w:bookmarkEnd w:id="28"/>
      <w:r w:rsidR="000B628E">
        <w:t>mauvais traitement</w:t>
      </w:r>
      <w:r w:rsidR="00A91FC7">
        <w:t>s</w:t>
      </w:r>
    </w:p>
    <w:p w:rsidR="000B562B" w:rsidRPr="00A176EA" w:rsidRDefault="002549A9" w:rsidP="0058092A">
      <w:pPr>
        <w:pStyle w:val="SingleTxtG"/>
        <w:rPr>
          <w:lang w:val="fr-FR"/>
        </w:rPr>
      </w:pPr>
      <w:r w:rsidRPr="00A176EA">
        <w:rPr>
          <w:lang w:val="fr-FR"/>
        </w:rPr>
        <w:t>235.</w:t>
      </w:r>
      <w:r w:rsidRPr="00A176EA">
        <w:rPr>
          <w:lang w:val="fr-FR"/>
        </w:rPr>
        <w:tab/>
      </w:r>
      <w:r w:rsidR="0018471B">
        <w:rPr>
          <w:lang w:val="fr-FR"/>
        </w:rPr>
        <w:t xml:space="preserve">Le Gouvernement britannique a pris note de l’opinion formulée par le </w:t>
      </w:r>
      <w:r w:rsidR="000B562B" w:rsidRPr="00A176EA">
        <w:rPr>
          <w:lang w:val="fr-FR"/>
        </w:rPr>
        <w:t xml:space="preserve">Rapporteur </w:t>
      </w:r>
      <w:r w:rsidR="005F1303">
        <w:rPr>
          <w:lang w:val="fr-FR"/>
        </w:rPr>
        <w:t xml:space="preserve">spécial des Nations Unies sur la question de la </w:t>
      </w:r>
      <w:r w:rsidR="0018471B">
        <w:rPr>
          <w:lang w:val="fr-FR"/>
        </w:rPr>
        <w:t>torture dans son rapport</w:t>
      </w:r>
      <w:r w:rsidR="005F1303">
        <w:rPr>
          <w:lang w:val="fr-FR"/>
        </w:rPr>
        <w:t xml:space="preserve"> E/CN.4/2006/6</w:t>
      </w:r>
      <w:r w:rsidR="0058092A">
        <w:rPr>
          <w:rStyle w:val="FootnoteReference"/>
        </w:rPr>
        <w:footnoteReference w:id="31"/>
      </w:r>
      <w:r w:rsidR="005F1303">
        <w:rPr>
          <w:lang w:val="fr-FR"/>
        </w:rPr>
        <w:t>,</w:t>
      </w:r>
      <w:r w:rsidR="000B562B" w:rsidRPr="00A176EA">
        <w:rPr>
          <w:lang w:val="fr-FR"/>
        </w:rPr>
        <w:t xml:space="preserve"> </w:t>
      </w:r>
      <w:r w:rsidR="0018471B">
        <w:rPr>
          <w:lang w:val="fr-FR"/>
        </w:rPr>
        <w:t xml:space="preserve">selon laquelle la définition de la torture [pourrait] être élargie pour qu’y soit incluse la notion d’impuissance de la victime, en particulier des femmes [et des enfants]. Le Gouvernement déplore les pratiques mentionnées par le Rapporteur, qui ont donné lieu à sa suggestion. Au Royaume-Uni, le viol et les mutilations génitales féminines sont des infractions pénales au regard de la loi </w:t>
      </w:r>
      <w:r w:rsidR="003843ED">
        <w:rPr>
          <w:lang w:val="fr-FR"/>
        </w:rPr>
        <w:t xml:space="preserve">de 2003 </w:t>
      </w:r>
      <w:r w:rsidR="0018471B">
        <w:rPr>
          <w:lang w:val="fr-FR"/>
        </w:rPr>
        <w:t xml:space="preserve">sur les infractions sexuelles et de la loi </w:t>
      </w:r>
      <w:r w:rsidR="003843ED">
        <w:rPr>
          <w:lang w:val="fr-FR"/>
        </w:rPr>
        <w:t xml:space="preserve">de 2003 </w:t>
      </w:r>
      <w:r w:rsidR="0018471B">
        <w:rPr>
          <w:lang w:val="fr-FR"/>
        </w:rPr>
        <w:t>sur</w:t>
      </w:r>
      <w:r w:rsidR="002801D6">
        <w:rPr>
          <w:lang w:val="fr-FR"/>
        </w:rPr>
        <w:t xml:space="preserve"> </w:t>
      </w:r>
      <w:r w:rsidR="0018471B">
        <w:rPr>
          <w:lang w:val="fr-FR"/>
        </w:rPr>
        <w:t>les mutilations génitales féminines, respectivement</w:t>
      </w:r>
      <w:r w:rsidR="000B562B" w:rsidRPr="00A176EA">
        <w:rPr>
          <w:lang w:val="fr-FR"/>
        </w:rPr>
        <w:t>.</w:t>
      </w:r>
    </w:p>
    <w:p w:rsidR="000B562B" w:rsidRPr="00A176EA" w:rsidRDefault="002549A9" w:rsidP="00E57402">
      <w:pPr>
        <w:pStyle w:val="SingleTxtG"/>
        <w:rPr>
          <w:lang w:val="fr-FR"/>
        </w:rPr>
      </w:pPr>
      <w:r w:rsidRPr="00A176EA">
        <w:rPr>
          <w:lang w:val="fr-FR"/>
        </w:rPr>
        <w:t>236.</w:t>
      </w:r>
      <w:r w:rsidRPr="00A176EA">
        <w:rPr>
          <w:lang w:val="fr-FR"/>
        </w:rPr>
        <w:tab/>
      </w:r>
      <w:r w:rsidR="002801D6" w:rsidRPr="002801D6">
        <w:rPr>
          <w:lang w:val="fr-FR"/>
        </w:rPr>
        <w:t xml:space="preserve">Nous avons dégagé dans </w:t>
      </w:r>
      <w:r w:rsidR="003843ED">
        <w:rPr>
          <w:lang w:val="fr-FR"/>
        </w:rPr>
        <w:t>les</w:t>
      </w:r>
      <w:r w:rsidR="002801D6" w:rsidRPr="002801D6">
        <w:rPr>
          <w:lang w:val="fr-FR"/>
        </w:rPr>
        <w:t xml:space="preserve"> précédents rapports les grands principes dont s'inspirent tous les programmes de formation destinés au personnel chargé de l'application des lois et aux membres du personnel médical</w:t>
      </w:r>
      <w:r w:rsidR="00FC2B97">
        <w:rPr>
          <w:lang w:val="fr-FR"/>
        </w:rPr>
        <w:t>:</w:t>
      </w:r>
      <w:r w:rsidR="002801D6" w:rsidRPr="002801D6">
        <w:rPr>
          <w:lang w:val="fr-FR"/>
        </w:rPr>
        <w:t xml:space="preserve"> respect de la personne, principe d'humanité, </w:t>
      </w:r>
      <w:r w:rsidR="002801D6">
        <w:rPr>
          <w:lang w:val="fr-FR"/>
        </w:rPr>
        <w:t xml:space="preserve">et </w:t>
      </w:r>
      <w:r w:rsidR="002801D6" w:rsidRPr="002801D6">
        <w:rPr>
          <w:lang w:val="fr-FR"/>
        </w:rPr>
        <w:t>nécessité d'agir constamment dans le cadre de la loi et de la respecter. On trouvera ci-après des indications sur l'évolution de la situation à cet égard</w:t>
      </w:r>
      <w:r w:rsidR="000B562B" w:rsidRPr="00A176EA">
        <w:rPr>
          <w:lang w:val="fr-FR"/>
        </w:rPr>
        <w:t>.</w:t>
      </w:r>
    </w:p>
    <w:p w:rsidR="000B562B" w:rsidRPr="00A176EA" w:rsidRDefault="005F1303" w:rsidP="00671A43">
      <w:pPr>
        <w:pStyle w:val="H23G"/>
        <w:rPr>
          <w:lang w:val="fr-FR"/>
        </w:rPr>
      </w:pPr>
      <w:r>
        <w:rPr>
          <w:lang w:val="fr-FR"/>
        </w:rPr>
        <w:t>Fonctionnaires de police</w:t>
      </w:r>
    </w:p>
    <w:p w:rsidR="000B562B" w:rsidRPr="00A176EA" w:rsidRDefault="005F1303" w:rsidP="00C655A5">
      <w:pPr>
        <w:pStyle w:val="H23G"/>
        <w:rPr>
          <w:lang w:val="fr-FR"/>
        </w:rPr>
      </w:pPr>
      <w:r>
        <w:rPr>
          <w:lang w:val="fr-FR"/>
        </w:rPr>
        <w:t>Grande-Bretagne</w:t>
      </w:r>
    </w:p>
    <w:p w:rsidR="000B562B" w:rsidRPr="00A176EA" w:rsidRDefault="002549A9" w:rsidP="0058092A">
      <w:pPr>
        <w:pStyle w:val="SingleTxtG"/>
        <w:rPr>
          <w:lang w:val="fr-FR"/>
        </w:rPr>
      </w:pPr>
      <w:r w:rsidRPr="00A176EA">
        <w:rPr>
          <w:lang w:val="fr-FR"/>
        </w:rPr>
        <w:t>237.</w:t>
      </w:r>
      <w:r w:rsidRPr="00A176EA">
        <w:rPr>
          <w:lang w:val="fr-FR"/>
        </w:rPr>
        <w:tab/>
      </w:r>
      <w:r w:rsidR="00E57402">
        <w:rPr>
          <w:lang w:val="fr-FR"/>
        </w:rPr>
        <w:t>En janvier</w:t>
      </w:r>
      <w:r w:rsidR="000B562B" w:rsidRPr="00A176EA">
        <w:rPr>
          <w:lang w:val="fr-FR"/>
        </w:rPr>
        <w:t xml:space="preserve"> 2008, </w:t>
      </w:r>
      <w:r w:rsidR="00E57402">
        <w:rPr>
          <w:lang w:val="fr-FR"/>
        </w:rPr>
        <w:t>le Conseil sectoriel des compétences en matière de</w:t>
      </w:r>
      <w:r w:rsidR="004D16F0">
        <w:rPr>
          <w:lang w:val="fr-FR"/>
        </w:rPr>
        <w:t xml:space="preserve"> santé</w:t>
      </w:r>
      <w:r w:rsidR="0058092A">
        <w:rPr>
          <w:rStyle w:val="FootnoteReference"/>
        </w:rPr>
        <w:footnoteReference w:id="32"/>
      </w:r>
      <w:r w:rsidR="000B562B" w:rsidRPr="00A176EA">
        <w:rPr>
          <w:lang w:val="fr-FR"/>
        </w:rPr>
        <w:t xml:space="preserve"> (</w:t>
      </w:r>
      <w:r w:rsidR="005F1303">
        <w:rPr>
          <w:lang w:val="fr-FR"/>
        </w:rPr>
        <w:t>à la demande du Ministère de l’intérieur</w:t>
      </w:r>
      <w:r w:rsidR="000B562B" w:rsidRPr="00A176EA">
        <w:rPr>
          <w:lang w:val="fr-FR"/>
        </w:rPr>
        <w:t xml:space="preserve">) </w:t>
      </w:r>
      <w:r w:rsidR="00E57402">
        <w:rPr>
          <w:lang w:val="fr-FR"/>
        </w:rPr>
        <w:t xml:space="preserve">a fixé les Normes professionnelles nationales pour les professionnels de santé travaillant les locaux de la police. </w:t>
      </w:r>
      <w:r w:rsidR="00531AF3">
        <w:rPr>
          <w:lang w:val="fr-FR"/>
        </w:rPr>
        <w:t xml:space="preserve">Ces normes </w:t>
      </w:r>
      <w:r w:rsidR="003843ED">
        <w:rPr>
          <w:lang w:val="fr-FR"/>
        </w:rPr>
        <w:t>fixent</w:t>
      </w:r>
      <w:r w:rsidR="00531AF3">
        <w:rPr>
          <w:lang w:val="fr-FR"/>
        </w:rPr>
        <w:t xml:space="preserve"> les compétences requises pour chaque catégorie de professionnels de santé intervenant auprès de personnes détenues dans des postes de police</w:t>
      </w:r>
      <w:r w:rsidR="000B562B" w:rsidRPr="00A176EA">
        <w:rPr>
          <w:lang w:val="fr-FR"/>
        </w:rPr>
        <w:t>.</w:t>
      </w:r>
    </w:p>
    <w:p w:rsidR="000B562B" w:rsidRPr="00A176EA" w:rsidRDefault="002549A9" w:rsidP="0058092A">
      <w:pPr>
        <w:pStyle w:val="SingleTxtG"/>
        <w:rPr>
          <w:lang w:val="fr-FR"/>
        </w:rPr>
      </w:pPr>
      <w:r w:rsidRPr="00A176EA">
        <w:rPr>
          <w:lang w:val="fr-FR"/>
        </w:rPr>
        <w:t>238.</w:t>
      </w:r>
      <w:r w:rsidRPr="00A176EA">
        <w:rPr>
          <w:lang w:val="fr-FR"/>
        </w:rPr>
        <w:tab/>
      </w:r>
      <w:r w:rsidR="00531AF3">
        <w:rPr>
          <w:lang w:val="fr-FR"/>
        </w:rPr>
        <w:t>Depuis le 1</w:t>
      </w:r>
      <w:r w:rsidR="00531AF3" w:rsidRPr="00531AF3">
        <w:rPr>
          <w:vertAlign w:val="superscript"/>
          <w:lang w:val="fr-FR"/>
        </w:rPr>
        <w:t>er</w:t>
      </w:r>
      <w:r w:rsidR="00531AF3">
        <w:rPr>
          <w:lang w:val="fr-FR"/>
        </w:rPr>
        <w:t xml:space="preserve"> avril</w:t>
      </w:r>
      <w:r w:rsidR="000B562B" w:rsidRPr="00A176EA">
        <w:rPr>
          <w:lang w:val="fr-FR"/>
        </w:rPr>
        <w:t xml:space="preserve"> 2008, </w:t>
      </w:r>
      <w:r w:rsidR="00531AF3">
        <w:rPr>
          <w:lang w:val="fr-FR"/>
        </w:rPr>
        <w:t>les dispositions de la</w:t>
      </w:r>
      <w:r w:rsidR="000B562B" w:rsidRPr="00A176EA">
        <w:rPr>
          <w:lang w:val="fr-FR"/>
        </w:rPr>
        <w:t xml:space="preserve"> </w:t>
      </w:r>
      <w:r w:rsidR="00527932" w:rsidRPr="00531AF3">
        <w:rPr>
          <w:lang w:val="fr-FR"/>
        </w:rPr>
        <w:t xml:space="preserve">loi </w:t>
      </w:r>
      <w:r w:rsidR="003843ED">
        <w:rPr>
          <w:lang w:val="fr-FR"/>
        </w:rPr>
        <w:t xml:space="preserve">de </w:t>
      </w:r>
      <w:r w:rsidR="003843ED" w:rsidRPr="00531AF3">
        <w:rPr>
          <w:lang w:val="fr-FR"/>
        </w:rPr>
        <w:t>2007</w:t>
      </w:r>
      <w:r w:rsidR="003843ED">
        <w:rPr>
          <w:lang w:val="fr-FR"/>
        </w:rPr>
        <w:t xml:space="preserve"> sur la santé mentale</w:t>
      </w:r>
      <w:r w:rsidR="0058092A">
        <w:rPr>
          <w:rStyle w:val="FootnoteReference"/>
        </w:rPr>
        <w:footnoteReference w:id="33"/>
      </w:r>
      <w:r w:rsidR="000B562B" w:rsidRPr="00A176EA">
        <w:rPr>
          <w:lang w:val="fr-FR"/>
        </w:rPr>
        <w:t xml:space="preserve"> </w:t>
      </w:r>
      <w:r w:rsidR="00531AF3">
        <w:rPr>
          <w:lang w:val="fr-FR"/>
        </w:rPr>
        <w:t xml:space="preserve">permettent de transférer une personne détenue en vertu de l’article 136 de la loi </w:t>
      </w:r>
      <w:r w:rsidR="000B628E">
        <w:rPr>
          <w:lang w:val="fr-FR"/>
        </w:rPr>
        <w:t xml:space="preserve">de 1983 </w:t>
      </w:r>
      <w:r w:rsidR="00531AF3">
        <w:rPr>
          <w:lang w:val="fr-FR"/>
        </w:rPr>
        <w:t xml:space="preserve">sur la santé mentale (personne placée en détention et emmenée dans un lieu </w:t>
      </w:r>
      <w:r w:rsidR="000B628E">
        <w:rPr>
          <w:lang w:val="fr-FR"/>
        </w:rPr>
        <w:t xml:space="preserve">de </w:t>
      </w:r>
      <w:r w:rsidR="00531AF3">
        <w:rPr>
          <w:lang w:val="fr-FR"/>
        </w:rPr>
        <w:t>sûr</w:t>
      </w:r>
      <w:r w:rsidR="000B628E">
        <w:rPr>
          <w:lang w:val="fr-FR"/>
        </w:rPr>
        <w:t>eté</w:t>
      </w:r>
      <w:r w:rsidR="00531AF3">
        <w:rPr>
          <w:lang w:val="fr-FR"/>
        </w:rPr>
        <w:t xml:space="preserve"> pour son évaluation) d’un lieu </w:t>
      </w:r>
      <w:r w:rsidR="003843ED">
        <w:rPr>
          <w:lang w:val="fr-FR"/>
        </w:rPr>
        <w:t xml:space="preserve">de </w:t>
      </w:r>
      <w:r w:rsidR="00531AF3">
        <w:rPr>
          <w:lang w:val="fr-FR"/>
        </w:rPr>
        <w:t>sûr</w:t>
      </w:r>
      <w:r w:rsidR="003843ED">
        <w:rPr>
          <w:lang w:val="fr-FR"/>
        </w:rPr>
        <w:t>eté</w:t>
      </w:r>
      <w:r w:rsidR="00531AF3">
        <w:rPr>
          <w:lang w:val="fr-FR"/>
        </w:rPr>
        <w:t xml:space="preserve"> à un autre avant la réalisation de l’évaluation. </w:t>
      </w:r>
      <w:r w:rsidR="0020080B">
        <w:rPr>
          <w:lang w:val="fr-FR"/>
        </w:rPr>
        <w:t>La principale raison de cette modification est de permettre aux personnes détenues en vertu de l’article 136 et emmenées dans un poste de police d’en sortir le plus rapidement possible pour être emmenée dans un lieu plus approprié (un hôpital, par exemple) aux fins d’évaluation. Cette loi est assortie d’un Code de bonnes pratiques</w:t>
      </w:r>
      <w:r w:rsidR="0058092A">
        <w:rPr>
          <w:rStyle w:val="FootnoteReference"/>
        </w:rPr>
        <w:footnoteReference w:id="34"/>
      </w:r>
      <w:r w:rsidR="000B562B" w:rsidRPr="00A176EA">
        <w:rPr>
          <w:lang w:val="fr-FR"/>
        </w:rPr>
        <w:t xml:space="preserve"> </w:t>
      </w:r>
      <w:r w:rsidR="0020080B">
        <w:rPr>
          <w:lang w:val="fr-FR"/>
        </w:rPr>
        <w:t xml:space="preserve">et </w:t>
      </w:r>
      <w:r w:rsidR="003843ED">
        <w:rPr>
          <w:lang w:val="fr-FR"/>
        </w:rPr>
        <w:t>de directives</w:t>
      </w:r>
      <w:r w:rsidR="0020080B">
        <w:rPr>
          <w:lang w:val="fr-FR"/>
        </w:rPr>
        <w:t xml:space="preserve"> qui indiquent explicitement qu’un poste de police n’est pas un lieu adéquat pour placer une personne en détention à cet effet et </w:t>
      </w:r>
      <w:r w:rsidR="005A3CCD">
        <w:rPr>
          <w:lang w:val="fr-FR"/>
        </w:rPr>
        <w:t>qu’il ne peut être utilisé qu’à titre exceptionnel si la personne est violente ou potentiellement violente et présent</w:t>
      </w:r>
      <w:r w:rsidR="000323B8">
        <w:rPr>
          <w:lang w:val="fr-FR"/>
        </w:rPr>
        <w:t>e</w:t>
      </w:r>
      <w:r w:rsidR="005A3CCD">
        <w:rPr>
          <w:lang w:val="fr-FR"/>
        </w:rPr>
        <w:t xml:space="preserve"> un danger pour elle-même ou autrui</w:t>
      </w:r>
      <w:r w:rsidR="000B562B" w:rsidRPr="00A176EA">
        <w:rPr>
          <w:lang w:val="fr-FR"/>
        </w:rPr>
        <w:t>.</w:t>
      </w:r>
    </w:p>
    <w:p w:rsidR="000B562B" w:rsidRPr="00A176EA" w:rsidRDefault="002549A9" w:rsidP="0058092A">
      <w:pPr>
        <w:pStyle w:val="SingleTxtG"/>
        <w:rPr>
          <w:lang w:val="fr-FR"/>
        </w:rPr>
      </w:pPr>
      <w:r w:rsidRPr="00A176EA">
        <w:rPr>
          <w:lang w:val="fr-FR"/>
        </w:rPr>
        <w:t>239.</w:t>
      </w:r>
      <w:r w:rsidRPr="00A176EA">
        <w:rPr>
          <w:lang w:val="fr-FR"/>
        </w:rPr>
        <w:tab/>
      </w:r>
      <w:r w:rsidR="00016977" w:rsidRPr="003B5AA4">
        <w:rPr>
          <w:lang w:val="fr-FR"/>
        </w:rPr>
        <w:t xml:space="preserve">Le Code C de la </w:t>
      </w:r>
      <w:r w:rsidR="00440FAD" w:rsidRPr="003B5AA4">
        <w:rPr>
          <w:lang w:val="fr-FR"/>
        </w:rPr>
        <w:t xml:space="preserve">loi sur la police et les preuves </w:t>
      </w:r>
      <w:r w:rsidR="00D10599" w:rsidRPr="003B5AA4">
        <w:rPr>
          <w:lang w:val="fr-FR"/>
        </w:rPr>
        <w:t>pénales</w:t>
      </w:r>
      <w:r w:rsidR="005A3CCD" w:rsidRPr="003B5AA4">
        <w:rPr>
          <w:lang w:val="fr-FR"/>
        </w:rPr>
        <w:t>,</w:t>
      </w:r>
      <w:r w:rsidR="000B562B" w:rsidRPr="003B5AA4">
        <w:rPr>
          <w:lang w:val="fr-FR"/>
        </w:rPr>
        <w:t xml:space="preserve"> </w:t>
      </w:r>
      <w:r w:rsidR="00016977" w:rsidRPr="003B5AA4">
        <w:rPr>
          <w:lang w:val="fr-FR"/>
        </w:rPr>
        <w:t>et</w:t>
      </w:r>
      <w:r w:rsidR="000B562B" w:rsidRPr="003B5AA4">
        <w:rPr>
          <w:lang w:val="fr-FR"/>
        </w:rPr>
        <w:t xml:space="preserve"> </w:t>
      </w:r>
      <w:r w:rsidR="00C515F4" w:rsidRPr="003B5AA4">
        <w:rPr>
          <w:lang w:val="fr-FR"/>
        </w:rPr>
        <w:t>les</w:t>
      </w:r>
      <w:r w:rsidR="000B562B" w:rsidRPr="003B5AA4">
        <w:rPr>
          <w:lang w:val="fr-FR"/>
        </w:rPr>
        <w:t xml:space="preserve"> </w:t>
      </w:r>
      <w:r w:rsidR="00C515F4" w:rsidRPr="003B5AA4">
        <w:rPr>
          <w:lang w:val="fr-FR"/>
        </w:rPr>
        <w:t>directives relatives aux conditions de détention et au traitement plus sûrs des personnes en garde à vue</w:t>
      </w:r>
      <w:r w:rsidR="0058092A">
        <w:rPr>
          <w:rStyle w:val="FootnoteReference"/>
        </w:rPr>
        <w:footnoteReference w:id="35"/>
      </w:r>
      <w:r w:rsidR="000B562B" w:rsidRPr="00A176EA">
        <w:rPr>
          <w:lang w:val="fr-FR"/>
        </w:rPr>
        <w:t xml:space="preserve"> </w:t>
      </w:r>
      <w:r w:rsidR="003B5AA4">
        <w:rPr>
          <w:lang w:val="fr-FR"/>
        </w:rPr>
        <w:t xml:space="preserve">indique clairement qu’il faut fournir à tous les détenus un traitement approprié et respectueux, et détecter si un détenu souffre d’une vulnérabilité supplémentaire ou a des besoins spécifiques. Il convient de prendre les mesures nécessaires pour aider l’intéressé et contribuer à minimiser tout risque supplémentaire dû à sa situation ou sa vulnérabilité. Il faut par ailleurs mettre à disposition des installations et du matériel appropriés pour satisfaire les conditions spécifiques d’ordre ethnique ou religieux. </w:t>
      </w:r>
      <w:r w:rsidR="003B5AA4" w:rsidRPr="003B5AA4">
        <w:rPr>
          <w:lang w:val="fr-FR"/>
        </w:rPr>
        <w:t>En janvier 2008, un programme de formation</w:t>
      </w:r>
      <w:r w:rsidR="0058092A">
        <w:rPr>
          <w:rStyle w:val="FootnoteReference"/>
        </w:rPr>
        <w:footnoteReference w:id="36"/>
      </w:r>
      <w:r w:rsidR="000B562B" w:rsidRPr="003B5AA4">
        <w:rPr>
          <w:lang w:val="fr-FR"/>
        </w:rPr>
        <w:t xml:space="preserve"> </w:t>
      </w:r>
      <w:r w:rsidR="003B5AA4" w:rsidRPr="003B5AA4">
        <w:rPr>
          <w:lang w:val="fr-FR"/>
        </w:rPr>
        <w:t>a été publié en complément d</w:t>
      </w:r>
      <w:r w:rsidR="00C515F4" w:rsidRPr="003B5AA4">
        <w:rPr>
          <w:lang w:val="fr-FR"/>
        </w:rPr>
        <w:t>es</w:t>
      </w:r>
      <w:r w:rsidR="000B562B" w:rsidRPr="003B5AA4">
        <w:rPr>
          <w:lang w:val="fr-FR"/>
        </w:rPr>
        <w:t xml:space="preserve"> </w:t>
      </w:r>
      <w:r w:rsidR="00C515F4" w:rsidRPr="003B5AA4">
        <w:rPr>
          <w:lang w:val="fr-FR"/>
        </w:rPr>
        <w:t>directives relatives aux conditions de détention et au traitement plus sûrs des personnes en garde à vue</w:t>
      </w:r>
      <w:r w:rsidR="000B562B" w:rsidRPr="003B5AA4">
        <w:rPr>
          <w:lang w:val="fr-FR"/>
        </w:rPr>
        <w:t>.</w:t>
      </w:r>
    </w:p>
    <w:p w:rsidR="000B562B" w:rsidRPr="00A176EA" w:rsidRDefault="002334C8" w:rsidP="00C655A5">
      <w:pPr>
        <w:pStyle w:val="H23G"/>
        <w:rPr>
          <w:lang w:val="fr-FR"/>
        </w:rPr>
      </w:pPr>
      <w:r w:rsidRPr="003B5AA4">
        <w:rPr>
          <w:lang w:val="fr-FR"/>
        </w:rPr>
        <w:t>Écosse</w:t>
      </w:r>
    </w:p>
    <w:p w:rsidR="000B562B" w:rsidRPr="00A176EA" w:rsidRDefault="002549A9" w:rsidP="003B5AA4">
      <w:pPr>
        <w:pStyle w:val="SingleTxtG"/>
        <w:rPr>
          <w:lang w:val="fr-FR"/>
        </w:rPr>
      </w:pPr>
      <w:r w:rsidRPr="00A176EA">
        <w:rPr>
          <w:lang w:val="fr-FR"/>
        </w:rPr>
        <w:t>240.</w:t>
      </w:r>
      <w:r w:rsidRPr="00A176EA">
        <w:rPr>
          <w:lang w:val="fr-FR"/>
        </w:rPr>
        <w:tab/>
      </w:r>
      <w:r w:rsidR="003B5AA4" w:rsidRPr="004C6520">
        <w:rPr>
          <w:lang w:val="fr-FR"/>
        </w:rPr>
        <w:t xml:space="preserve">Les orientations concernant la détention et la garde à vue en </w:t>
      </w:r>
      <w:r w:rsidR="00FD2CE1" w:rsidRPr="004C6520">
        <w:rPr>
          <w:lang w:val="fr-FR"/>
        </w:rPr>
        <w:t>Écosse</w:t>
      </w:r>
      <w:r w:rsidR="000B562B" w:rsidRPr="004C6520">
        <w:rPr>
          <w:lang w:val="fr-FR"/>
        </w:rPr>
        <w:t xml:space="preserve"> </w:t>
      </w:r>
      <w:r w:rsidR="003B5AA4" w:rsidRPr="004C6520">
        <w:rPr>
          <w:lang w:val="fr-FR"/>
        </w:rPr>
        <w:t>figurent dans</w:t>
      </w:r>
      <w:r w:rsidR="000B562B" w:rsidRPr="004C6520">
        <w:rPr>
          <w:lang w:val="fr-FR"/>
        </w:rPr>
        <w:t xml:space="preserve"> </w:t>
      </w:r>
      <w:r w:rsidR="003B5AA4" w:rsidRPr="004C6520">
        <w:rPr>
          <w:lang w:val="fr-FR"/>
        </w:rPr>
        <w:t>l</w:t>
      </w:r>
      <w:r w:rsidR="000B562B" w:rsidRPr="004C6520">
        <w:rPr>
          <w:lang w:val="fr-FR"/>
        </w:rPr>
        <w:t xml:space="preserve">e document </w:t>
      </w:r>
      <w:r w:rsidR="003B5AA4" w:rsidRPr="004C6520">
        <w:rPr>
          <w:lang w:val="fr-FR"/>
        </w:rPr>
        <w:t>intitulé Manuel d’orientation pour le</w:t>
      </w:r>
      <w:r w:rsidR="004C6520" w:rsidRPr="004C6520">
        <w:rPr>
          <w:lang w:val="fr-FR"/>
        </w:rPr>
        <w:t>s</w:t>
      </w:r>
      <w:r w:rsidR="003B5AA4" w:rsidRPr="004C6520">
        <w:rPr>
          <w:lang w:val="fr-FR"/>
        </w:rPr>
        <w:t xml:space="preserve"> gardes à vue </w:t>
      </w:r>
      <w:r w:rsidR="000A1593" w:rsidRPr="004C6520">
        <w:rPr>
          <w:lang w:val="fr-FR"/>
        </w:rPr>
        <w:t xml:space="preserve">de l’Association des </w:t>
      </w:r>
      <w:r w:rsidR="009B0111">
        <w:rPr>
          <w:lang w:val="fr-FR"/>
        </w:rPr>
        <w:t>officiers supérieurs</w:t>
      </w:r>
      <w:r w:rsidR="000A1593" w:rsidRPr="004C6520">
        <w:rPr>
          <w:lang w:val="fr-FR"/>
        </w:rPr>
        <w:t xml:space="preserve"> de </w:t>
      </w:r>
      <w:r w:rsidR="009707B1" w:rsidRPr="004C6520">
        <w:rPr>
          <w:lang w:val="fr-FR"/>
        </w:rPr>
        <w:t xml:space="preserve">la </w:t>
      </w:r>
      <w:r w:rsidR="000A1593" w:rsidRPr="004C6520">
        <w:rPr>
          <w:lang w:val="fr-FR"/>
        </w:rPr>
        <w:t>police d’Écosse</w:t>
      </w:r>
      <w:r w:rsidR="004C6520" w:rsidRPr="004C6520">
        <w:rPr>
          <w:lang w:val="fr-FR"/>
        </w:rPr>
        <w:t>, publié en 2008</w:t>
      </w:r>
      <w:r w:rsidR="000B562B" w:rsidRPr="004C6520">
        <w:rPr>
          <w:lang w:val="fr-FR"/>
        </w:rPr>
        <w:t>.</w:t>
      </w:r>
    </w:p>
    <w:p w:rsidR="000B562B" w:rsidRPr="002334C8" w:rsidRDefault="002334C8" w:rsidP="00C655A5">
      <w:pPr>
        <w:pStyle w:val="H23G"/>
        <w:rPr>
          <w:lang w:val="fr-FR"/>
        </w:rPr>
      </w:pPr>
      <w:r w:rsidRPr="004C6520">
        <w:rPr>
          <w:lang w:val="fr-FR"/>
        </w:rPr>
        <w:t>Irlande du Nord</w:t>
      </w:r>
    </w:p>
    <w:p w:rsidR="000B562B" w:rsidRPr="00A176EA" w:rsidRDefault="002549A9" w:rsidP="004C6520">
      <w:pPr>
        <w:pStyle w:val="SingleTxtG"/>
        <w:rPr>
          <w:lang w:val="fr-FR"/>
        </w:rPr>
      </w:pPr>
      <w:r w:rsidRPr="00A176EA">
        <w:rPr>
          <w:lang w:val="fr-FR"/>
        </w:rPr>
        <w:t>241.</w:t>
      </w:r>
      <w:r w:rsidRPr="00A176EA">
        <w:rPr>
          <w:lang w:val="fr-FR"/>
        </w:rPr>
        <w:tab/>
      </w:r>
      <w:r w:rsidR="004C6520">
        <w:rPr>
          <w:lang w:val="fr-FR"/>
        </w:rPr>
        <w:t xml:space="preserve">Les détails concernant la formation et l’enseignement </w:t>
      </w:r>
      <w:r w:rsidR="003843ED">
        <w:rPr>
          <w:lang w:val="fr-FR"/>
        </w:rPr>
        <w:t>dispensés aux</w:t>
      </w:r>
      <w:r w:rsidR="004C6520">
        <w:rPr>
          <w:lang w:val="fr-FR"/>
        </w:rPr>
        <w:t xml:space="preserve"> fonctionnaires de police en </w:t>
      </w:r>
      <w:r w:rsidR="008F3DA4" w:rsidRPr="004C6520">
        <w:rPr>
          <w:lang w:val="fr-FR"/>
        </w:rPr>
        <w:t>Irlande du Nord</w:t>
      </w:r>
      <w:r w:rsidR="000B562B" w:rsidRPr="00A176EA">
        <w:rPr>
          <w:lang w:val="fr-FR"/>
        </w:rPr>
        <w:t xml:space="preserve"> </w:t>
      </w:r>
      <w:r w:rsidR="004C6520">
        <w:rPr>
          <w:lang w:val="fr-FR"/>
        </w:rPr>
        <w:t>figurent aux</w:t>
      </w:r>
      <w:r w:rsidR="000B562B" w:rsidRPr="00A176EA">
        <w:rPr>
          <w:lang w:val="fr-FR"/>
        </w:rPr>
        <w:t xml:space="preserve"> paragraph</w:t>
      </w:r>
      <w:r w:rsidR="004C6520">
        <w:rPr>
          <w:lang w:val="fr-FR"/>
        </w:rPr>
        <w:t>e</w:t>
      </w:r>
      <w:r w:rsidR="000B562B" w:rsidRPr="00A176EA">
        <w:rPr>
          <w:lang w:val="fr-FR"/>
        </w:rPr>
        <w:t xml:space="preserve">s </w:t>
      </w:r>
      <w:r w:rsidR="004C6520" w:rsidRPr="0058092A">
        <w:rPr>
          <w:lang w:val="fr-FR"/>
        </w:rPr>
        <w:t>71 à 80</w:t>
      </w:r>
      <w:r w:rsidR="000B562B" w:rsidRPr="00A176EA">
        <w:rPr>
          <w:lang w:val="fr-FR"/>
        </w:rPr>
        <w:t xml:space="preserve"> </w:t>
      </w:r>
      <w:r w:rsidR="004C6520">
        <w:rPr>
          <w:lang w:val="fr-FR"/>
        </w:rPr>
        <w:t>du quatrième rapport du Royaume-Uni</w:t>
      </w:r>
      <w:r w:rsidR="000B562B" w:rsidRPr="00A176EA">
        <w:rPr>
          <w:lang w:val="fr-FR"/>
        </w:rPr>
        <w:t>.</w:t>
      </w:r>
    </w:p>
    <w:p w:rsidR="000B562B" w:rsidRPr="00A176EA" w:rsidRDefault="002549A9" w:rsidP="00E63B77">
      <w:pPr>
        <w:pStyle w:val="SingleTxtG"/>
        <w:rPr>
          <w:lang w:val="fr-FR"/>
        </w:rPr>
      </w:pPr>
      <w:r w:rsidRPr="00A176EA">
        <w:rPr>
          <w:lang w:val="fr-FR"/>
        </w:rPr>
        <w:t>242.</w:t>
      </w:r>
      <w:r w:rsidRPr="00A176EA">
        <w:rPr>
          <w:lang w:val="fr-FR"/>
        </w:rPr>
        <w:tab/>
      </w:r>
      <w:r w:rsidR="004C6520">
        <w:rPr>
          <w:lang w:val="fr-FR"/>
        </w:rPr>
        <w:t>En mars</w:t>
      </w:r>
      <w:r w:rsidR="000B562B" w:rsidRPr="00A176EA">
        <w:rPr>
          <w:lang w:val="fr-FR"/>
        </w:rPr>
        <w:t xml:space="preserve"> 2008, </w:t>
      </w:r>
      <w:r w:rsidR="004C6520">
        <w:rPr>
          <w:lang w:val="fr-FR"/>
        </w:rPr>
        <w:t xml:space="preserve">le Conseil supérieur de la police </w:t>
      </w:r>
      <w:r w:rsidR="004C6520" w:rsidRPr="004C6520">
        <w:rPr>
          <w:lang w:val="fr-FR"/>
        </w:rPr>
        <w:t>d’</w:t>
      </w:r>
      <w:r w:rsidR="008F3DA4" w:rsidRPr="004C6520">
        <w:rPr>
          <w:lang w:val="fr-FR"/>
        </w:rPr>
        <w:t>Irlande du Nord</w:t>
      </w:r>
      <w:r w:rsidR="000B562B" w:rsidRPr="00A176EA">
        <w:rPr>
          <w:lang w:val="fr-FR"/>
        </w:rPr>
        <w:t xml:space="preserve"> </w:t>
      </w:r>
      <w:r w:rsidR="004C6520">
        <w:rPr>
          <w:lang w:val="fr-FR"/>
        </w:rPr>
        <w:t>a publié un Code de déontologie</w:t>
      </w:r>
      <w:r w:rsidR="00E63B77">
        <w:rPr>
          <w:rStyle w:val="FootnoteReference"/>
        </w:rPr>
        <w:footnoteReference w:id="37"/>
      </w:r>
      <w:r w:rsidR="000B562B" w:rsidRPr="00A176EA">
        <w:rPr>
          <w:lang w:val="fr-FR"/>
        </w:rPr>
        <w:t xml:space="preserve"> </w:t>
      </w:r>
      <w:r w:rsidR="004C6520">
        <w:rPr>
          <w:lang w:val="fr-FR"/>
        </w:rPr>
        <w:t xml:space="preserve">révisé pour les </w:t>
      </w:r>
      <w:r w:rsidR="004C6520" w:rsidRPr="004C6520">
        <w:rPr>
          <w:lang w:val="fr-FR"/>
        </w:rPr>
        <w:t>Services de police d’Irlande du Nord</w:t>
      </w:r>
      <w:r w:rsidR="004C6520">
        <w:rPr>
          <w:lang w:val="fr-FR"/>
        </w:rPr>
        <w:t xml:space="preserve">. </w:t>
      </w:r>
      <w:r w:rsidR="004C6520" w:rsidRPr="004C6520">
        <w:rPr>
          <w:lang w:val="fr-FR"/>
        </w:rPr>
        <w:t>Ce code s’inspire largement de textes internationaux relatifs aux droits de l’homme</w:t>
      </w:r>
      <w:r w:rsidR="000B562B" w:rsidRPr="004C6520">
        <w:rPr>
          <w:lang w:val="fr-FR"/>
        </w:rPr>
        <w:t xml:space="preserve">, </w:t>
      </w:r>
      <w:r w:rsidR="008432D4" w:rsidRPr="004C6520">
        <w:rPr>
          <w:lang w:val="fr-FR"/>
        </w:rPr>
        <w:t>dont le</w:t>
      </w:r>
      <w:r w:rsidR="000B562B" w:rsidRPr="004C6520">
        <w:rPr>
          <w:lang w:val="fr-FR"/>
        </w:rPr>
        <w:t xml:space="preserve"> </w:t>
      </w:r>
      <w:r w:rsidR="008432D4" w:rsidRPr="004C6520">
        <w:rPr>
          <w:lang w:val="fr-FR"/>
        </w:rPr>
        <w:t>Code de conduite des Nations Unies pour le</w:t>
      </w:r>
      <w:r w:rsidR="00C8658E">
        <w:rPr>
          <w:lang w:val="fr-FR"/>
        </w:rPr>
        <w:t xml:space="preserve">s responsables de l’application </w:t>
      </w:r>
      <w:r w:rsidR="008432D4" w:rsidRPr="004C6520">
        <w:rPr>
          <w:lang w:val="fr-FR"/>
        </w:rPr>
        <w:t>des lois</w:t>
      </w:r>
      <w:r w:rsidR="000B562B" w:rsidRPr="004C6520">
        <w:rPr>
          <w:lang w:val="fr-FR"/>
        </w:rPr>
        <w:t>.</w:t>
      </w:r>
    </w:p>
    <w:p w:rsidR="000B562B" w:rsidRPr="00A176EA" w:rsidRDefault="005152D9" w:rsidP="00671A43">
      <w:pPr>
        <w:pStyle w:val="H23G"/>
        <w:rPr>
          <w:lang w:val="fr-FR"/>
        </w:rPr>
      </w:pPr>
      <w:r>
        <w:rPr>
          <w:lang w:val="fr-FR"/>
        </w:rPr>
        <w:t>Personnel pénitentiaire</w:t>
      </w:r>
    </w:p>
    <w:p w:rsidR="000B562B" w:rsidRPr="00A176EA" w:rsidRDefault="00EC7069" w:rsidP="00C655A5">
      <w:pPr>
        <w:pStyle w:val="H23G"/>
        <w:rPr>
          <w:lang w:val="fr-FR"/>
        </w:rPr>
      </w:pPr>
      <w:r w:rsidRPr="004C6520">
        <w:rPr>
          <w:lang w:val="fr-FR"/>
        </w:rPr>
        <w:t>Angleterre</w:t>
      </w:r>
      <w:r w:rsidR="000B562B" w:rsidRPr="004C6520">
        <w:rPr>
          <w:lang w:val="fr-FR"/>
        </w:rPr>
        <w:t xml:space="preserve"> </w:t>
      </w:r>
      <w:r w:rsidR="005152D9">
        <w:rPr>
          <w:lang w:val="fr-FR"/>
        </w:rPr>
        <w:t>et</w:t>
      </w:r>
      <w:r w:rsidR="000B562B" w:rsidRPr="004C6520">
        <w:rPr>
          <w:lang w:val="fr-FR"/>
        </w:rPr>
        <w:t xml:space="preserve"> </w:t>
      </w:r>
      <w:r w:rsidR="00EA083A">
        <w:rPr>
          <w:lang w:val="fr-FR"/>
        </w:rPr>
        <w:t>p</w:t>
      </w:r>
      <w:r w:rsidR="005601A1">
        <w:rPr>
          <w:lang w:val="fr-FR"/>
        </w:rPr>
        <w:t>ays de Galles</w:t>
      </w:r>
    </w:p>
    <w:p w:rsidR="000B562B" w:rsidRPr="00A176EA" w:rsidRDefault="002549A9" w:rsidP="005152D9">
      <w:pPr>
        <w:pStyle w:val="SingleTxtG"/>
        <w:rPr>
          <w:lang w:val="fr-FR"/>
        </w:rPr>
      </w:pPr>
      <w:r w:rsidRPr="00A176EA">
        <w:rPr>
          <w:lang w:val="fr-FR"/>
        </w:rPr>
        <w:t>243.</w:t>
      </w:r>
      <w:r w:rsidRPr="00A176EA">
        <w:rPr>
          <w:lang w:val="fr-FR"/>
        </w:rPr>
        <w:tab/>
      </w:r>
      <w:r w:rsidR="00EC7069" w:rsidRPr="005152D9">
        <w:rPr>
          <w:lang w:val="fr-FR"/>
        </w:rPr>
        <w:t>L</w:t>
      </w:r>
      <w:r w:rsidR="000B562B" w:rsidRPr="005152D9">
        <w:rPr>
          <w:lang w:val="fr-FR"/>
        </w:rPr>
        <w:t xml:space="preserve">e </w:t>
      </w:r>
      <w:r w:rsidR="00EC7069" w:rsidRPr="005152D9">
        <w:rPr>
          <w:lang w:val="fr-FR"/>
        </w:rPr>
        <w:t xml:space="preserve">Service national de gestion des </w:t>
      </w:r>
      <w:r w:rsidR="000423A5">
        <w:rPr>
          <w:lang w:val="fr-FR"/>
        </w:rPr>
        <w:t xml:space="preserve">détenus </w:t>
      </w:r>
      <w:r w:rsidR="00EC7069" w:rsidRPr="005152D9">
        <w:rPr>
          <w:lang w:val="fr-FR"/>
        </w:rPr>
        <w:t xml:space="preserve">pour l’Angleterre et le </w:t>
      </w:r>
      <w:r w:rsidR="00EA083A">
        <w:rPr>
          <w:lang w:val="fr-FR"/>
        </w:rPr>
        <w:t>p</w:t>
      </w:r>
      <w:r w:rsidR="005601A1">
        <w:rPr>
          <w:lang w:val="fr-FR"/>
        </w:rPr>
        <w:t>ays de Galles</w:t>
      </w:r>
      <w:r w:rsidR="000B562B" w:rsidRPr="00A176EA">
        <w:rPr>
          <w:lang w:val="fr-FR"/>
        </w:rPr>
        <w:t xml:space="preserve"> </w:t>
      </w:r>
      <w:r w:rsidR="003843ED">
        <w:rPr>
          <w:lang w:val="fr-FR"/>
        </w:rPr>
        <w:t>se</w:t>
      </w:r>
      <w:r w:rsidR="005152D9">
        <w:rPr>
          <w:lang w:val="fr-FR"/>
        </w:rPr>
        <w:t xml:space="preserve"> </w:t>
      </w:r>
      <w:r w:rsidR="003843ED">
        <w:rPr>
          <w:lang w:val="fr-FR"/>
        </w:rPr>
        <w:t>consacre</w:t>
      </w:r>
      <w:r w:rsidR="005152D9">
        <w:rPr>
          <w:lang w:val="fr-FR"/>
        </w:rPr>
        <w:t xml:space="preserve"> au traitement décent des prisonniers dans un environnement attentif et sûr, et </w:t>
      </w:r>
      <w:r w:rsidR="002227B4">
        <w:rPr>
          <w:lang w:val="fr-FR"/>
        </w:rPr>
        <w:t xml:space="preserve">à </w:t>
      </w:r>
      <w:r w:rsidR="005152D9">
        <w:rPr>
          <w:lang w:val="fr-FR"/>
        </w:rPr>
        <w:t>la formation du personnel pénitentiaire à cet effet. L’accent est mis sur les qualités interpersonnelles et la construction de relations positives avec les détenus</w:t>
      </w:r>
      <w:r w:rsidR="000B562B" w:rsidRPr="00A176EA">
        <w:rPr>
          <w:lang w:val="fr-FR"/>
        </w:rPr>
        <w:t>.</w:t>
      </w:r>
    </w:p>
    <w:p w:rsidR="000B562B" w:rsidRPr="00A176EA" w:rsidRDefault="002549A9" w:rsidP="00671A43">
      <w:pPr>
        <w:pStyle w:val="SingleTxtG"/>
        <w:rPr>
          <w:lang w:val="fr-FR"/>
        </w:rPr>
      </w:pPr>
      <w:r w:rsidRPr="00A176EA">
        <w:rPr>
          <w:lang w:val="fr-FR"/>
        </w:rPr>
        <w:t>244.</w:t>
      </w:r>
      <w:r w:rsidRPr="00A176EA">
        <w:rPr>
          <w:lang w:val="fr-FR"/>
        </w:rPr>
        <w:tab/>
      </w:r>
      <w:r w:rsidR="005152D9">
        <w:rPr>
          <w:lang w:val="fr-FR"/>
        </w:rPr>
        <w:t>Tous les fonctionnaires de l’administration pénitentiaire nouvellement recrutés sont tenus de suivre un programme de formation initiale de un an, qui débouche sur  une Qualification professionnelle nationale</w:t>
      </w:r>
      <w:r w:rsidR="001E2D90">
        <w:rPr>
          <w:lang w:val="fr-FR"/>
        </w:rPr>
        <w:t xml:space="preserve"> </w:t>
      </w:r>
      <w:r w:rsidR="00CC1726">
        <w:rPr>
          <w:lang w:val="fr-FR"/>
        </w:rPr>
        <w:t xml:space="preserve">de niveau 3 </w:t>
      </w:r>
      <w:r w:rsidR="001E2D90">
        <w:rPr>
          <w:lang w:val="fr-FR"/>
        </w:rPr>
        <w:t>en surveillance pénitentiaire. L</w:t>
      </w:r>
      <w:r w:rsidR="00C22B03">
        <w:rPr>
          <w:lang w:val="fr-FR"/>
        </w:rPr>
        <w:t>e</w:t>
      </w:r>
      <w:r w:rsidR="001E2D90">
        <w:rPr>
          <w:lang w:val="fr-FR"/>
        </w:rPr>
        <w:t xml:space="preserve"> </w:t>
      </w:r>
      <w:r w:rsidR="00C22B03">
        <w:rPr>
          <w:lang w:val="fr-FR"/>
        </w:rPr>
        <w:t>programme</w:t>
      </w:r>
      <w:r w:rsidR="001E2D90">
        <w:rPr>
          <w:lang w:val="fr-FR"/>
        </w:rPr>
        <w:t xml:space="preserve"> débute par une Formation de base de surveillant pénitentiaire</w:t>
      </w:r>
      <w:r w:rsidR="00350E7C">
        <w:rPr>
          <w:lang w:val="fr-FR"/>
        </w:rPr>
        <w:t xml:space="preserve"> de huit semaines</w:t>
      </w:r>
      <w:r w:rsidR="001E2D90">
        <w:rPr>
          <w:lang w:val="fr-FR"/>
        </w:rPr>
        <w:t xml:space="preserve">, qui </w:t>
      </w:r>
      <w:r w:rsidR="00C22B03">
        <w:rPr>
          <w:lang w:val="fr-FR"/>
        </w:rPr>
        <w:t xml:space="preserve">permet d’acquérir les fondamentaux dans les </w:t>
      </w:r>
      <w:r w:rsidR="00350E7C">
        <w:rPr>
          <w:lang w:val="fr-FR"/>
        </w:rPr>
        <w:t>matières</w:t>
      </w:r>
      <w:r w:rsidR="00C22B03" w:rsidRPr="00C22B03">
        <w:rPr>
          <w:lang w:val="fr-FR"/>
        </w:rPr>
        <w:t xml:space="preserve"> </w:t>
      </w:r>
      <w:r w:rsidR="00C22B03">
        <w:rPr>
          <w:lang w:val="fr-FR"/>
        </w:rPr>
        <w:t>essentiel</w:t>
      </w:r>
      <w:r w:rsidR="00350E7C">
        <w:rPr>
          <w:lang w:val="fr-FR"/>
        </w:rPr>
        <w:t>le</w:t>
      </w:r>
      <w:r w:rsidR="00C22B03">
        <w:rPr>
          <w:lang w:val="fr-FR"/>
        </w:rPr>
        <w:t>s</w:t>
      </w:r>
      <w:r w:rsidR="00350E7C">
        <w:rPr>
          <w:lang w:val="fr-FR"/>
        </w:rPr>
        <w:t xml:space="preserve"> que sont</w:t>
      </w:r>
      <w:r w:rsidR="00C22B03">
        <w:rPr>
          <w:lang w:val="fr-FR"/>
        </w:rPr>
        <w:t xml:space="preserve"> les qualités interpersonnelles, la santé mentale, les </w:t>
      </w:r>
      <w:r w:rsidR="00446B8D">
        <w:rPr>
          <w:lang w:val="fr-FR"/>
        </w:rPr>
        <w:t xml:space="preserve">questions de </w:t>
      </w:r>
      <w:r w:rsidR="00C22B03">
        <w:rPr>
          <w:lang w:val="fr-FR"/>
        </w:rPr>
        <w:t xml:space="preserve">race et la diversité, la réduction de la violence et l’amélioration de la sécurité, outre les questions plus classiques de </w:t>
      </w:r>
      <w:r w:rsidR="00350E7C">
        <w:rPr>
          <w:lang w:val="fr-FR"/>
        </w:rPr>
        <w:t>sensibilisation à la sécurité et les compétences concrètes requises pour être surveillant pénitentiaire. Les personnels déjà en place ont également la possibilité d’obtenir la Qualification nationale de niveau 3</w:t>
      </w:r>
      <w:r w:rsidR="000B562B" w:rsidRPr="00A176EA">
        <w:rPr>
          <w:lang w:val="fr-FR"/>
        </w:rPr>
        <w:t>.</w:t>
      </w:r>
    </w:p>
    <w:p w:rsidR="000B562B" w:rsidRPr="00A176EA" w:rsidRDefault="002549A9" w:rsidP="00A43F6F">
      <w:pPr>
        <w:pStyle w:val="SingleTxtG"/>
        <w:rPr>
          <w:lang w:val="fr-FR"/>
        </w:rPr>
      </w:pPr>
      <w:r w:rsidRPr="00A176EA">
        <w:rPr>
          <w:lang w:val="fr-FR"/>
        </w:rPr>
        <w:t>245.</w:t>
      </w:r>
      <w:r w:rsidRPr="00A176EA">
        <w:rPr>
          <w:lang w:val="fr-FR"/>
        </w:rPr>
        <w:tab/>
      </w:r>
      <w:r w:rsidR="00350E7C">
        <w:rPr>
          <w:lang w:val="fr-FR"/>
        </w:rPr>
        <w:t xml:space="preserve">Le respect de la dignité humaine et la reconnaissance des droits de la personne sont un thème récurrent de la Formation de base. Le cours sur les qualités interpersonnelles enseigne aux stagiaires </w:t>
      </w:r>
      <w:r w:rsidR="000827DD">
        <w:rPr>
          <w:lang w:val="fr-FR"/>
        </w:rPr>
        <w:t xml:space="preserve">les différentes formes de communication (verbale, langage corporel et écoute), le travail d’équipe et les différents types de comportement. La diversité est également au cœur du programme et fait l’objet de deux sessions spécifiques. Le programme d’apprentissage </w:t>
      </w:r>
      <w:r w:rsidR="00CD0110">
        <w:rPr>
          <w:lang w:val="fr-FR"/>
        </w:rPr>
        <w:t>«</w:t>
      </w:r>
      <w:r w:rsidR="000827DD">
        <w:rPr>
          <w:lang w:val="fr-FR"/>
        </w:rPr>
        <w:t>Challenge it, Change it</w:t>
      </w:r>
      <w:r w:rsidR="00CD0110">
        <w:rPr>
          <w:lang w:val="fr-FR"/>
        </w:rPr>
        <w:t>»</w:t>
      </w:r>
      <w:r w:rsidR="000827DD">
        <w:rPr>
          <w:lang w:val="fr-FR"/>
        </w:rPr>
        <w:t xml:space="preserve"> (</w:t>
      </w:r>
      <w:r w:rsidR="00CD0110">
        <w:rPr>
          <w:lang w:val="fr-FR"/>
        </w:rPr>
        <w:t>«</w:t>
      </w:r>
      <w:r w:rsidR="00D90C38">
        <w:rPr>
          <w:lang w:val="fr-FR"/>
        </w:rPr>
        <w:t>Réprouver et changer</w:t>
      </w:r>
      <w:r w:rsidR="00CD0110">
        <w:rPr>
          <w:lang w:val="fr-FR"/>
        </w:rPr>
        <w:t>»</w:t>
      </w:r>
      <w:r w:rsidR="000827DD">
        <w:rPr>
          <w:lang w:val="fr-FR"/>
        </w:rPr>
        <w:t xml:space="preserve">), qui traite </w:t>
      </w:r>
      <w:r w:rsidR="00D90C38">
        <w:rPr>
          <w:lang w:val="fr-FR"/>
        </w:rPr>
        <w:t>d</w:t>
      </w:r>
      <w:r w:rsidR="000827DD">
        <w:rPr>
          <w:lang w:val="fr-FR"/>
        </w:rPr>
        <w:t>es comportements inappropriés dans tous les aspects de la diversité</w:t>
      </w:r>
      <w:r w:rsidR="00D90C38">
        <w:rPr>
          <w:lang w:val="fr-FR"/>
        </w:rPr>
        <w:t xml:space="preserve"> et est en cours de mise en place dans tous les établissements du Service national de gestion des </w:t>
      </w:r>
      <w:r w:rsidR="000423A5">
        <w:rPr>
          <w:lang w:val="fr-FR"/>
        </w:rPr>
        <w:t>détenus</w:t>
      </w:r>
      <w:r w:rsidR="00D90C38">
        <w:rPr>
          <w:lang w:val="fr-FR"/>
        </w:rPr>
        <w:t xml:space="preserve">, a été intégré dans la Formation de base. Le programme comporte </w:t>
      </w:r>
      <w:r w:rsidR="00A43F6F">
        <w:rPr>
          <w:lang w:val="fr-FR"/>
        </w:rPr>
        <w:t xml:space="preserve">également </w:t>
      </w:r>
      <w:r w:rsidR="00D90C38">
        <w:rPr>
          <w:lang w:val="fr-FR"/>
        </w:rPr>
        <w:t>une session de sensibili</w:t>
      </w:r>
      <w:r w:rsidR="00A43F6F">
        <w:rPr>
          <w:lang w:val="fr-FR"/>
        </w:rPr>
        <w:t>sation aux questions de race, qui met l’accent sur la nécessité, pour le personnel, de se mettre à la place des détenus noirs et membres de minorités ethniques pour voir la situation de leur point de vue. Les stagiaires apprennent des techniques pour développer cette capacité. Le programme compte par ailleurs des sessions sur la prise en charge des détenus ayant des besoins spécifiques, qu’il s’agisse de santé mentale, de détenus âgés, de difficultés d’apprentissage, de risque d’automutilation/suicide et de ressortissants étrangers</w:t>
      </w:r>
      <w:r w:rsidR="000B562B" w:rsidRPr="00A176EA">
        <w:rPr>
          <w:lang w:val="fr-FR"/>
        </w:rPr>
        <w:t>.</w:t>
      </w:r>
    </w:p>
    <w:p w:rsidR="000B562B" w:rsidRPr="00A176EA" w:rsidRDefault="002549A9" w:rsidP="00E6445D">
      <w:pPr>
        <w:pStyle w:val="SingleTxtG"/>
        <w:rPr>
          <w:lang w:val="fr-FR"/>
        </w:rPr>
      </w:pPr>
      <w:r w:rsidRPr="00A176EA">
        <w:rPr>
          <w:lang w:val="fr-FR"/>
        </w:rPr>
        <w:t>246.</w:t>
      </w:r>
      <w:r w:rsidRPr="00A176EA">
        <w:rPr>
          <w:lang w:val="fr-FR"/>
        </w:rPr>
        <w:tab/>
      </w:r>
      <w:r w:rsidR="00A43F6F">
        <w:rPr>
          <w:lang w:val="fr-FR"/>
        </w:rPr>
        <w:t xml:space="preserve">Les personnels déjà en place, dont les cadres </w:t>
      </w:r>
      <w:r w:rsidR="00104DFF">
        <w:rPr>
          <w:lang w:val="fr-FR"/>
        </w:rPr>
        <w:t>supérieurs</w:t>
      </w:r>
      <w:r w:rsidR="00A43F6F">
        <w:rPr>
          <w:lang w:val="fr-FR"/>
        </w:rPr>
        <w:t xml:space="preserve">, reçoivent une formation spécifique sur leur fonction et le traitement approprié et respectueux des détenus figure dans tous les programmes. </w:t>
      </w:r>
      <w:r w:rsidR="00104DFF">
        <w:rPr>
          <w:lang w:val="fr-FR"/>
        </w:rPr>
        <w:t xml:space="preserve">Le cours consacré </w:t>
      </w:r>
      <w:r w:rsidR="00E6445D">
        <w:rPr>
          <w:lang w:val="fr-FR"/>
        </w:rPr>
        <w:t>au</w:t>
      </w:r>
      <w:r w:rsidR="00104DFF">
        <w:rPr>
          <w:lang w:val="fr-FR"/>
        </w:rPr>
        <w:t xml:space="preserve"> </w:t>
      </w:r>
      <w:r w:rsidR="00E6445D">
        <w:rPr>
          <w:lang w:val="fr-FR"/>
        </w:rPr>
        <w:t>régime disciplinaire</w:t>
      </w:r>
      <w:r w:rsidR="003104D0">
        <w:rPr>
          <w:lang w:val="fr-FR"/>
        </w:rPr>
        <w:t xml:space="preserve">, qui examine la </w:t>
      </w:r>
      <w:r w:rsidR="003104D0" w:rsidRPr="00E6445D">
        <w:rPr>
          <w:lang w:val="fr-FR"/>
        </w:rPr>
        <w:t xml:space="preserve">procédure </w:t>
      </w:r>
      <w:r w:rsidR="00E6445D">
        <w:rPr>
          <w:lang w:val="fr-FR"/>
        </w:rPr>
        <w:t>disciplinaire</w:t>
      </w:r>
      <w:r w:rsidR="003104D0">
        <w:rPr>
          <w:lang w:val="fr-FR"/>
        </w:rPr>
        <w:t xml:space="preserve">, </w:t>
      </w:r>
      <w:r w:rsidR="00104DFF">
        <w:rPr>
          <w:lang w:val="fr-FR"/>
        </w:rPr>
        <w:t>explique ce qu’est une sanction légitime</w:t>
      </w:r>
      <w:r w:rsidR="003104D0">
        <w:rPr>
          <w:lang w:val="fr-FR"/>
        </w:rPr>
        <w:t>, qui doit être proportionnée à l’infraction</w:t>
      </w:r>
      <w:r w:rsidR="008F2103">
        <w:rPr>
          <w:lang w:val="fr-FR"/>
        </w:rPr>
        <w:t>,</w:t>
      </w:r>
      <w:r w:rsidR="003104D0">
        <w:rPr>
          <w:lang w:val="fr-FR"/>
        </w:rPr>
        <w:t xml:space="preserve"> et </w:t>
      </w:r>
      <w:r w:rsidR="008F2103">
        <w:rPr>
          <w:lang w:val="fr-FR"/>
        </w:rPr>
        <w:t>comment</w:t>
      </w:r>
      <w:r w:rsidR="003104D0">
        <w:rPr>
          <w:lang w:val="fr-FR"/>
        </w:rPr>
        <w:t xml:space="preserve"> traiter les détenus avec décence et respect. Le Manuel de </w:t>
      </w:r>
      <w:r w:rsidR="003104D0" w:rsidRPr="003104D0">
        <w:rPr>
          <w:lang w:val="fr-FR"/>
        </w:rPr>
        <w:t>l’Administration pénitentiaire</w:t>
      </w:r>
      <w:r w:rsidR="003104D0" w:rsidRPr="00A176EA">
        <w:rPr>
          <w:lang w:val="fr-FR"/>
        </w:rPr>
        <w:t xml:space="preserve"> </w:t>
      </w:r>
      <w:r w:rsidR="00104DFF">
        <w:rPr>
          <w:lang w:val="fr-FR"/>
        </w:rPr>
        <w:t xml:space="preserve">sur </w:t>
      </w:r>
      <w:r w:rsidR="00E6445D">
        <w:rPr>
          <w:lang w:val="fr-FR"/>
        </w:rPr>
        <w:t>le régime disciplinaire</w:t>
      </w:r>
      <w:r w:rsidR="000B562B" w:rsidRPr="00A176EA">
        <w:rPr>
          <w:lang w:val="fr-FR"/>
        </w:rPr>
        <w:t xml:space="preserve"> </w:t>
      </w:r>
      <w:r w:rsidR="003104D0">
        <w:rPr>
          <w:lang w:val="fr-FR"/>
        </w:rPr>
        <w:t>et</w:t>
      </w:r>
      <w:r w:rsidR="000B562B" w:rsidRPr="00A176EA">
        <w:rPr>
          <w:lang w:val="fr-FR"/>
        </w:rPr>
        <w:t xml:space="preserve"> </w:t>
      </w:r>
      <w:r w:rsidR="003104D0">
        <w:rPr>
          <w:lang w:val="fr-FR"/>
        </w:rPr>
        <w:t xml:space="preserve">l’ordonnance </w:t>
      </w:r>
      <w:r w:rsidR="00D4624A">
        <w:rPr>
          <w:lang w:val="fr-FR"/>
        </w:rPr>
        <w:t>relative à</w:t>
      </w:r>
      <w:r w:rsidR="003104D0">
        <w:rPr>
          <w:lang w:val="fr-FR"/>
        </w:rPr>
        <w:t xml:space="preserve"> l’Administration pénitentiaire </w:t>
      </w:r>
      <w:r w:rsidR="002D7355">
        <w:rPr>
          <w:lang w:val="fr-FR"/>
        </w:rPr>
        <w:t xml:space="preserve">PSO </w:t>
      </w:r>
      <w:r w:rsidR="000B562B" w:rsidRPr="00A176EA">
        <w:rPr>
          <w:lang w:val="fr-FR"/>
        </w:rPr>
        <w:t>2000</w:t>
      </w:r>
      <w:r w:rsidR="003104D0">
        <w:rPr>
          <w:lang w:val="fr-FR"/>
        </w:rPr>
        <w:t xml:space="preserve"> (</w:t>
      </w:r>
      <w:r w:rsidR="00E6445D">
        <w:rPr>
          <w:lang w:val="fr-FR"/>
        </w:rPr>
        <w:t>Régime disciplinaire</w:t>
      </w:r>
      <w:r w:rsidR="003104D0">
        <w:rPr>
          <w:lang w:val="fr-FR"/>
        </w:rPr>
        <w:t>)</w:t>
      </w:r>
      <w:r w:rsidR="000B562B" w:rsidRPr="00A176EA">
        <w:rPr>
          <w:lang w:val="fr-FR"/>
        </w:rPr>
        <w:t xml:space="preserve">, </w:t>
      </w:r>
      <w:r w:rsidR="00E6445D">
        <w:rPr>
          <w:lang w:val="fr-FR"/>
        </w:rPr>
        <w:t>vien</w:t>
      </w:r>
      <w:r w:rsidR="000423A5">
        <w:rPr>
          <w:lang w:val="fr-FR"/>
        </w:rPr>
        <w:t>nen</w:t>
      </w:r>
      <w:r w:rsidR="00E6445D">
        <w:rPr>
          <w:lang w:val="fr-FR"/>
        </w:rPr>
        <w:t xml:space="preserve">t à l’appui de cette formation en fournissant des instructions et des orientations claires sur les </w:t>
      </w:r>
      <w:r w:rsidR="002D7355">
        <w:rPr>
          <w:lang w:val="fr-FR"/>
        </w:rPr>
        <w:t>mesures</w:t>
      </w:r>
      <w:r w:rsidR="00E6445D">
        <w:rPr>
          <w:lang w:val="fr-FR"/>
        </w:rPr>
        <w:t xml:space="preserve"> à l’encontre de prisonniers accusés </w:t>
      </w:r>
      <w:r w:rsidR="00DF3B5E">
        <w:rPr>
          <w:lang w:val="fr-FR"/>
        </w:rPr>
        <w:t>d’avoir enfreint la</w:t>
      </w:r>
      <w:r w:rsidR="000B562B" w:rsidRPr="00A176EA">
        <w:rPr>
          <w:lang w:val="fr-FR"/>
        </w:rPr>
        <w:t xml:space="preserve"> </w:t>
      </w:r>
      <w:r w:rsidR="00DF3B5E" w:rsidRPr="00A176EA">
        <w:rPr>
          <w:lang w:val="fr-FR"/>
        </w:rPr>
        <w:t xml:space="preserve">discipline </w:t>
      </w:r>
      <w:r w:rsidR="00DF3B5E">
        <w:rPr>
          <w:lang w:val="fr-FR"/>
        </w:rPr>
        <w:t>pénitentiaire</w:t>
      </w:r>
      <w:r w:rsidR="000B562B" w:rsidRPr="00A176EA">
        <w:rPr>
          <w:lang w:val="fr-FR"/>
        </w:rPr>
        <w:t>.</w:t>
      </w:r>
    </w:p>
    <w:p w:rsidR="000B562B" w:rsidRPr="00A176EA" w:rsidRDefault="002549A9" w:rsidP="00E63B77">
      <w:pPr>
        <w:pStyle w:val="SingleTxtG"/>
        <w:keepNext/>
        <w:keepLines/>
        <w:rPr>
          <w:lang w:val="fr-FR"/>
        </w:rPr>
      </w:pPr>
      <w:r w:rsidRPr="00A176EA">
        <w:rPr>
          <w:lang w:val="fr-FR"/>
        </w:rPr>
        <w:t>247.</w:t>
      </w:r>
      <w:r w:rsidRPr="00A176EA">
        <w:rPr>
          <w:lang w:val="fr-FR"/>
        </w:rPr>
        <w:tab/>
      </w:r>
      <w:r w:rsidR="008F2103" w:rsidRPr="007E3884">
        <w:rPr>
          <w:lang w:val="fr-FR"/>
        </w:rPr>
        <w:t>L</w:t>
      </w:r>
      <w:r w:rsidR="000B562B" w:rsidRPr="007E3884">
        <w:rPr>
          <w:lang w:val="fr-FR"/>
        </w:rPr>
        <w:t xml:space="preserve">e </w:t>
      </w:r>
      <w:r w:rsidR="007E3884" w:rsidRPr="007E3884">
        <w:rPr>
          <w:lang w:val="fr-FR"/>
        </w:rPr>
        <w:t xml:space="preserve">Modèle de gestion des </w:t>
      </w:r>
      <w:r w:rsidR="00C4746E">
        <w:rPr>
          <w:lang w:val="fr-FR"/>
        </w:rPr>
        <w:t>détenus</w:t>
      </w:r>
      <w:r w:rsidR="00E63B77">
        <w:rPr>
          <w:rStyle w:val="FootnoteReference"/>
        </w:rPr>
        <w:footnoteReference w:id="38"/>
      </w:r>
      <w:r w:rsidR="000B562B" w:rsidRPr="007E3884">
        <w:rPr>
          <w:lang w:val="fr-FR"/>
        </w:rPr>
        <w:t xml:space="preserve"> </w:t>
      </w:r>
      <w:r w:rsidR="008F2103" w:rsidRPr="007E3884">
        <w:rPr>
          <w:lang w:val="fr-FR"/>
        </w:rPr>
        <w:t xml:space="preserve">du Service national de gestion des </w:t>
      </w:r>
      <w:r w:rsidR="002D7355">
        <w:rPr>
          <w:lang w:val="fr-FR"/>
        </w:rPr>
        <w:t>détenus</w:t>
      </w:r>
      <w:r w:rsidR="009B4A37">
        <w:rPr>
          <w:lang w:val="fr-FR"/>
        </w:rPr>
        <w:t xml:space="preserve"> </w:t>
      </w:r>
      <w:r w:rsidR="000423A5">
        <w:rPr>
          <w:lang w:val="fr-FR"/>
        </w:rPr>
        <w:t>garantit que les détenus qui ont commis une infraction disciplinaire soient traités de façon conséquente, cohérente et constructive pendant la totalité du processus, les principaux organismes concernés travaillant ensemble</w:t>
      </w:r>
      <w:r w:rsidR="009B4A37">
        <w:rPr>
          <w:lang w:val="fr-FR"/>
        </w:rPr>
        <w:t xml:space="preserve"> à différentes étapes des poursuites judiciaires (</w:t>
      </w:r>
      <w:r w:rsidR="00C4746E">
        <w:rPr>
          <w:lang w:val="fr-FR"/>
        </w:rPr>
        <w:t>procès</w:t>
      </w:r>
      <w:r w:rsidR="009B4A37">
        <w:rPr>
          <w:lang w:val="fr-FR"/>
        </w:rPr>
        <w:t xml:space="preserve">, condamnation, détention et suivi après réinsertion). Le modèle est fondé sur une évaluation approfondie à partir de laquelle un plan d’exécution de la peine </w:t>
      </w:r>
      <w:r w:rsidR="000D7FE0">
        <w:rPr>
          <w:lang w:val="fr-FR"/>
        </w:rPr>
        <w:t>est élaboré en collaboration avec le délinquant. Ce plan est réexaminé et évalué tout au long de l’exécution de la peine, le principe fondamental étant de maintenir l’intéressé au cœur du processus d’évaluation, de planification et de supervision</w:t>
      </w:r>
      <w:r w:rsidR="000B562B" w:rsidRPr="00A176EA">
        <w:rPr>
          <w:lang w:val="fr-FR"/>
        </w:rPr>
        <w:t>.</w:t>
      </w:r>
    </w:p>
    <w:p w:rsidR="000B562B" w:rsidRPr="00A176EA" w:rsidRDefault="002549A9" w:rsidP="0048582D">
      <w:pPr>
        <w:pStyle w:val="SingleTxtG"/>
        <w:rPr>
          <w:lang w:val="fr-FR"/>
        </w:rPr>
      </w:pPr>
      <w:r w:rsidRPr="00A176EA">
        <w:rPr>
          <w:lang w:val="fr-FR"/>
        </w:rPr>
        <w:t>248.</w:t>
      </w:r>
      <w:r w:rsidRPr="00A176EA">
        <w:rPr>
          <w:lang w:val="fr-FR"/>
        </w:rPr>
        <w:tab/>
      </w:r>
      <w:r w:rsidR="000D7FE0">
        <w:rPr>
          <w:lang w:val="fr-FR"/>
        </w:rPr>
        <w:t xml:space="preserve">S’ajoute à cela que la formation à la gestion des </w:t>
      </w:r>
      <w:r w:rsidR="00C4746E">
        <w:rPr>
          <w:lang w:val="fr-FR"/>
        </w:rPr>
        <w:t>détenus</w:t>
      </w:r>
      <w:r w:rsidR="000D7FE0">
        <w:rPr>
          <w:lang w:val="fr-FR"/>
        </w:rPr>
        <w:t xml:space="preserve"> </w:t>
      </w:r>
      <w:r w:rsidR="0048582D">
        <w:rPr>
          <w:lang w:val="fr-FR"/>
        </w:rPr>
        <w:t>attache une grande importance à la construction de relations positives entre les détenus et les personnels.</w:t>
      </w:r>
      <w:r w:rsidR="000D7FE0">
        <w:rPr>
          <w:lang w:val="fr-FR"/>
        </w:rPr>
        <w:t xml:space="preserve"> </w:t>
      </w:r>
      <w:r w:rsidR="0048582D">
        <w:rPr>
          <w:lang w:val="fr-FR"/>
        </w:rPr>
        <w:t>Ces derniers sont formés à travailler avec les détenus pour gérer les risques et les besoins, ce qui peut inclure des interventions telles que les programmes relatifs au comportement des détenus</w:t>
      </w:r>
      <w:r w:rsidR="000B562B" w:rsidRPr="00A176EA">
        <w:rPr>
          <w:lang w:val="fr-FR"/>
        </w:rPr>
        <w:t>.</w:t>
      </w:r>
    </w:p>
    <w:p w:rsidR="000B562B" w:rsidRPr="00A176EA" w:rsidRDefault="002549A9" w:rsidP="00BD1EC8">
      <w:pPr>
        <w:pStyle w:val="SingleTxtG"/>
        <w:rPr>
          <w:lang w:val="fr-FR"/>
        </w:rPr>
      </w:pPr>
      <w:r w:rsidRPr="00A176EA">
        <w:rPr>
          <w:lang w:val="fr-FR"/>
        </w:rPr>
        <w:t>249.</w:t>
      </w:r>
      <w:r w:rsidRPr="00A176EA">
        <w:rPr>
          <w:lang w:val="fr-FR"/>
        </w:rPr>
        <w:tab/>
      </w:r>
      <w:r w:rsidR="0048582D">
        <w:rPr>
          <w:lang w:val="fr-FR"/>
        </w:rPr>
        <w:t>Les nouveaux surveillants reçoivent une formation de 32 heures sur la sécurité personnelle et l</w:t>
      </w:r>
      <w:r w:rsidR="000E4BAA">
        <w:rPr>
          <w:lang w:val="fr-FR"/>
        </w:rPr>
        <w:t>es techniques de</w:t>
      </w:r>
      <w:r w:rsidR="0048582D">
        <w:rPr>
          <w:lang w:val="fr-FR"/>
        </w:rPr>
        <w:t xml:space="preserve"> </w:t>
      </w:r>
      <w:r w:rsidR="00384C11">
        <w:rPr>
          <w:lang w:val="fr-FR"/>
        </w:rPr>
        <w:t>neutralisation</w:t>
      </w:r>
      <w:r w:rsidR="0048582D">
        <w:rPr>
          <w:lang w:val="fr-FR"/>
        </w:rPr>
        <w:t xml:space="preserve"> et </w:t>
      </w:r>
      <w:r w:rsidR="000E4BAA">
        <w:rPr>
          <w:lang w:val="fr-FR"/>
        </w:rPr>
        <w:t>de</w:t>
      </w:r>
      <w:r w:rsidR="0096546D">
        <w:rPr>
          <w:lang w:val="fr-FR"/>
        </w:rPr>
        <w:t xml:space="preserve"> </w:t>
      </w:r>
      <w:r w:rsidR="00384C11">
        <w:rPr>
          <w:lang w:val="fr-FR"/>
        </w:rPr>
        <w:t>contrainte</w:t>
      </w:r>
      <w:r w:rsidR="009E0DD0">
        <w:rPr>
          <w:lang w:val="fr-FR"/>
        </w:rPr>
        <w:t xml:space="preserve"> physique</w:t>
      </w:r>
      <w:r w:rsidR="0048582D">
        <w:rPr>
          <w:lang w:val="fr-FR"/>
        </w:rPr>
        <w:t xml:space="preserve">. Cette formation est évaluée dans le cadre de la Qualification professionnelle, les stagiaires devant acquérir des compétences dans les deux domaines. L’ensemble de la formation suit les dispositions du Manuel </w:t>
      </w:r>
      <w:r w:rsidR="00384C11">
        <w:rPr>
          <w:lang w:val="fr-FR"/>
        </w:rPr>
        <w:t>sur la</w:t>
      </w:r>
      <w:r w:rsidR="0048582D">
        <w:rPr>
          <w:lang w:val="fr-FR"/>
        </w:rPr>
        <w:t xml:space="preserve"> </w:t>
      </w:r>
      <w:r w:rsidR="00384C11">
        <w:rPr>
          <w:lang w:val="fr-FR"/>
        </w:rPr>
        <w:t>neutralisation et la contrainte</w:t>
      </w:r>
      <w:r w:rsidR="0048582D">
        <w:rPr>
          <w:lang w:val="fr-FR"/>
        </w:rPr>
        <w:t xml:space="preserve"> et couvre de nombreuses situations </w:t>
      </w:r>
      <w:r w:rsidR="001A3D6D">
        <w:rPr>
          <w:lang w:val="fr-FR"/>
        </w:rPr>
        <w:t>auxquelles</w:t>
      </w:r>
      <w:r w:rsidR="0048582D">
        <w:rPr>
          <w:lang w:val="fr-FR"/>
        </w:rPr>
        <w:t xml:space="preserve"> le personnel doit faire face, </w:t>
      </w:r>
      <w:r w:rsidR="00C95D7B">
        <w:rPr>
          <w:lang w:val="fr-FR"/>
        </w:rPr>
        <w:t>de la</w:t>
      </w:r>
      <w:r w:rsidR="0048582D">
        <w:rPr>
          <w:lang w:val="fr-FR"/>
        </w:rPr>
        <w:t xml:space="preserve"> confrontation individuelle (Sécurité personnelle) aux interventions de </w:t>
      </w:r>
      <w:r w:rsidR="000E4BAA">
        <w:rPr>
          <w:lang w:val="fr-FR"/>
        </w:rPr>
        <w:t>maîtrise</w:t>
      </w:r>
      <w:r w:rsidR="00384C11">
        <w:rPr>
          <w:lang w:val="fr-FR"/>
        </w:rPr>
        <w:t xml:space="preserve"> </w:t>
      </w:r>
      <w:r w:rsidR="0048582D">
        <w:rPr>
          <w:lang w:val="fr-FR"/>
        </w:rPr>
        <w:t xml:space="preserve">d’un détenu par un groupe de trois fonctionnaires. </w:t>
      </w:r>
      <w:r w:rsidR="00BD1EC8">
        <w:rPr>
          <w:lang w:val="fr-FR"/>
        </w:rPr>
        <w:t>L</w:t>
      </w:r>
      <w:r w:rsidR="0048582D">
        <w:rPr>
          <w:lang w:val="fr-FR"/>
        </w:rPr>
        <w:t xml:space="preserve">es nouveaux surveillants </w:t>
      </w:r>
      <w:r w:rsidR="00BD1EC8">
        <w:rPr>
          <w:lang w:val="fr-FR"/>
        </w:rPr>
        <w:t xml:space="preserve">sont formés aux dispositions légales régissant l’usage de la force, à la gestion des confrontations personnelles et aux stratégies de règlement des conflits qui leur permettent d’envisager toutes les options possibles pour apaiser les tensions sans recourir à la force. Ils se familiarisent avec la </w:t>
      </w:r>
      <w:r w:rsidR="001A3D6D">
        <w:rPr>
          <w:lang w:val="fr-FR"/>
        </w:rPr>
        <w:t>législation</w:t>
      </w:r>
      <w:r w:rsidR="00BD1EC8">
        <w:rPr>
          <w:lang w:val="fr-FR"/>
        </w:rPr>
        <w:t xml:space="preserve"> pertinente, dont la loi de 1998 sur les droits de l’homme et les articles 2, 3 et 8 de la </w:t>
      </w:r>
      <w:r w:rsidR="00204260" w:rsidRPr="00C66D56">
        <w:rPr>
          <w:lang w:val="fr-FR"/>
        </w:rPr>
        <w:t>Convention européenne des droits de l’homme</w:t>
      </w:r>
      <w:r w:rsidR="000B562B" w:rsidRPr="00C66D56">
        <w:rPr>
          <w:lang w:val="fr-FR"/>
        </w:rPr>
        <w:t>.</w:t>
      </w:r>
      <w:r w:rsidR="000B562B" w:rsidRPr="00A176EA">
        <w:rPr>
          <w:lang w:val="fr-FR"/>
        </w:rPr>
        <w:t xml:space="preserve"> </w:t>
      </w:r>
      <w:r w:rsidR="00BD1EC8">
        <w:rPr>
          <w:lang w:val="fr-FR"/>
        </w:rPr>
        <w:t xml:space="preserve">À l’issue de cette formation initiale, tous les stagiaires sont tenus de suivre une formation continue, une fois par an, sur l’usage de la </w:t>
      </w:r>
      <w:r w:rsidR="000B562B" w:rsidRPr="00A176EA">
        <w:rPr>
          <w:lang w:val="fr-FR"/>
        </w:rPr>
        <w:t>force.</w:t>
      </w:r>
    </w:p>
    <w:p w:rsidR="000B562B" w:rsidRPr="00A176EA" w:rsidRDefault="002549A9" w:rsidP="00BD1EC8">
      <w:pPr>
        <w:pStyle w:val="SingleTxtG"/>
        <w:rPr>
          <w:lang w:val="fr-FR"/>
        </w:rPr>
      </w:pPr>
      <w:r w:rsidRPr="00A176EA">
        <w:rPr>
          <w:lang w:val="fr-FR"/>
        </w:rPr>
        <w:t>250.</w:t>
      </w:r>
      <w:r w:rsidRPr="00A176EA">
        <w:rPr>
          <w:lang w:val="fr-FR"/>
        </w:rPr>
        <w:tab/>
      </w:r>
      <w:r w:rsidR="00BD1EC8">
        <w:rPr>
          <w:lang w:val="fr-FR"/>
        </w:rPr>
        <w:t>Tous les agents cynophiles pénitentiaires et leurs chiens sont entraînés à recourir le moins possible à la force pour empêcher les évasions ou répondre aux actes de violence contre eux-mêmes ou des tiers. Des procédures d’évaluation et d’agrément garantissent que toutes les équipes cynophiles soient compétentes en la matière, que ce soit à l’issue de la formation initiale ou lors des mises à niveau annuelles</w:t>
      </w:r>
      <w:r w:rsidR="000B562B" w:rsidRPr="00A176EA">
        <w:rPr>
          <w:lang w:val="fr-FR"/>
        </w:rPr>
        <w:t>.</w:t>
      </w:r>
    </w:p>
    <w:p w:rsidR="000B562B" w:rsidRPr="00A176EA" w:rsidRDefault="00FD2CE1" w:rsidP="00C655A5">
      <w:pPr>
        <w:pStyle w:val="H23G"/>
        <w:rPr>
          <w:lang w:val="fr-FR"/>
        </w:rPr>
      </w:pPr>
      <w:r w:rsidRPr="00BD1EC8">
        <w:rPr>
          <w:lang w:val="fr-FR"/>
        </w:rPr>
        <w:t>Écosse</w:t>
      </w:r>
    </w:p>
    <w:p w:rsidR="000B562B" w:rsidRPr="00C10F58" w:rsidRDefault="002549A9" w:rsidP="00E63B77">
      <w:pPr>
        <w:pStyle w:val="SingleTxtG"/>
        <w:rPr>
          <w:lang w:val="fr-FR"/>
        </w:rPr>
      </w:pPr>
      <w:r w:rsidRPr="00A176EA">
        <w:rPr>
          <w:lang w:val="fr-FR"/>
        </w:rPr>
        <w:t>251.</w:t>
      </w:r>
      <w:r w:rsidRPr="00A176EA">
        <w:rPr>
          <w:lang w:val="fr-FR"/>
        </w:rPr>
        <w:tab/>
      </w:r>
      <w:r w:rsidR="00BD1EC8">
        <w:rPr>
          <w:lang w:val="fr-FR"/>
        </w:rPr>
        <w:t>Ainsi qu’il a été indiqué dans le quatrième rapport (par</w:t>
      </w:r>
      <w:r w:rsidR="00E63B77">
        <w:rPr>
          <w:lang w:val="fr-FR"/>
        </w:rPr>
        <w:t>.</w:t>
      </w:r>
      <w:r w:rsidR="00BD1EC8">
        <w:rPr>
          <w:lang w:val="fr-FR"/>
        </w:rPr>
        <w:t xml:space="preserve"> 83), tous les personnels pénitentiaires </w:t>
      </w:r>
      <w:r w:rsidR="00C66D56">
        <w:rPr>
          <w:lang w:val="fr-FR"/>
        </w:rPr>
        <w:t>d’</w:t>
      </w:r>
      <w:r w:rsidR="00C66D56" w:rsidRPr="00BD1EC8">
        <w:rPr>
          <w:lang w:val="fr-FR"/>
        </w:rPr>
        <w:t>Écosse</w:t>
      </w:r>
      <w:r w:rsidR="00C66D56">
        <w:rPr>
          <w:lang w:val="fr-FR"/>
        </w:rPr>
        <w:t xml:space="preserve"> </w:t>
      </w:r>
      <w:r w:rsidR="00BD1EC8">
        <w:rPr>
          <w:lang w:val="fr-FR"/>
        </w:rPr>
        <w:t xml:space="preserve">suivent une formation de sensibilisation aux droits de l’homme élaborée par l’École </w:t>
      </w:r>
      <w:r w:rsidR="00BD1EC8" w:rsidRPr="00BD1EC8">
        <w:rPr>
          <w:lang w:val="fr-FR"/>
        </w:rPr>
        <w:t>d’a</w:t>
      </w:r>
      <w:r w:rsidR="008E4932" w:rsidRPr="00BD1EC8">
        <w:rPr>
          <w:lang w:val="fr-FR"/>
        </w:rPr>
        <w:t>dministration pénitentiaire</w:t>
      </w:r>
      <w:r w:rsidR="000B562B" w:rsidRPr="00BD1EC8">
        <w:rPr>
          <w:lang w:val="fr-FR"/>
        </w:rPr>
        <w:t xml:space="preserve"> </w:t>
      </w:r>
      <w:r w:rsidR="006E15DC" w:rsidRPr="00BD1EC8">
        <w:rPr>
          <w:lang w:val="fr-FR"/>
        </w:rPr>
        <w:t>écossaise</w:t>
      </w:r>
      <w:r w:rsidR="00C10F58">
        <w:rPr>
          <w:lang w:val="fr-FR"/>
        </w:rPr>
        <w:t xml:space="preserve"> et</w:t>
      </w:r>
      <w:r w:rsidR="00BD1EC8">
        <w:rPr>
          <w:lang w:val="fr-FR"/>
        </w:rPr>
        <w:t xml:space="preserve"> dispensée par des fonctionnaires dûment formés. </w:t>
      </w:r>
      <w:r w:rsidR="009E0DD0">
        <w:rPr>
          <w:lang w:val="fr-FR"/>
        </w:rPr>
        <w:t>Cette formation s’adresse aussi bien aux</w:t>
      </w:r>
      <w:r w:rsidR="00C10F58">
        <w:rPr>
          <w:lang w:val="fr-FR"/>
        </w:rPr>
        <w:t xml:space="preserve"> agents déjà en place </w:t>
      </w:r>
      <w:r w:rsidR="009E0DD0">
        <w:rPr>
          <w:lang w:val="fr-FR"/>
        </w:rPr>
        <w:t>qu’aux</w:t>
      </w:r>
      <w:r w:rsidR="00C10F58">
        <w:rPr>
          <w:lang w:val="fr-FR"/>
        </w:rPr>
        <w:t xml:space="preserve"> nouvelles recrues</w:t>
      </w:r>
      <w:r w:rsidR="000B562B" w:rsidRPr="00C10F58">
        <w:rPr>
          <w:lang w:val="fr-FR"/>
        </w:rPr>
        <w:t>.</w:t>
      </w:r>
    </w:p>
    <w:p w:rsidR="000B562B" w:rsidRPr="00C10F58" w:rsidRDefault="008F3DA4" w:rsidP="00C655A5">
      <w:pPr>
        <w:pStyle w:val="H23G"/>
        <w:rPr>
          <w:lang w:val="fr-FR"/>
        </w:rPr>
      </w:pPr>
      <w:r w:rsidRPr="00C10F58">
        <w:rPr>
          <w:lang w:val="fr-FR"/>
        </w:rPr>
        <w:t>Irlande du Nord</w:t>
      </w:r>
    </w:p>
    <w:p w:rsidR="000B562B" w:rsidRPr="00A176EA" w:rsidRDefault="002549A9" w:rsidP="00580D15">
      <w:pPr>
        <w:pStyle w:val="SingleTxtG"/>
        <w:rPr>
          <w:lang w:val="fr-FR"/>
        </w:rPr>
      </w:pPr>
      <w:r w:rsidRPr="00C10F58">
        <w:rPr>
          <w:lang w:val="fr-FR"/>
        </w:rPr>
        <w:t>252.</w:t>
      </w:r>
      <w:r w:rsidRPr="00C10F58">
        <w:rPr>
          <w:lang w:val="fr-FR"/>
        </w:rPr>
        <w:tab/>
      </w:r>
      <w:r w:rsidR="008E4932" w:rsidRPr="00C10F58">
        <w:rPr>
          <w:lang w:val="fr-FR"/>
        </w:rPr>
        <w:t>L’Administration pénitentiaire d’</w:t>
      </w:r>
      <w:r w:rsidR="008F3DA4" w:rsidRPr="00C10F58">
        <w:rPr>
          <w:lang w:val="fr-FR"/>
        </w:rPr>
        <w:t>Irlande du Nord</w:t>
      </w:r>
      <w:r w:rsidR="000B562B" w:rsidRPr="00C10F58">
        <w:rPr>
          <w:lang w:val="fr-FR"/>
        </w:rPr>
        <w:t xml:space="preserve"> </w:t>
      </w:r>
      <w:r w:rsidR="00005A4A">
        <w:rPr>
          <w:lang w:val="fr-FR"/>
        </w:rPr>
        <w:t>s’est dotée d’un programme de formation complet conçu pour que les nouveaux fonctionnaires connaissent leurs responsabilités en matière de droits de l’homme. Cela inclut des jeux de rôle et des simulations, dont certains se déroulent dans un vrai quartier cellulaire et dans les conditions carcérales</w:t>
      </w:r>
      <w:r w:rsidR="000B562B" w:rsidRPr="00A176EA">
        <w:rPr>
          <w:lang w:val="fr-FR"/>
        </w:rPr>
        <w:t>.</w:t>
      </w:r>
    </w:p>
    <w:p w:rsidR="000B562B" w:rsidRPr="00A176EA" w:rsidRDefault="002549A9" w:rsidP="00580D15">
      <w:pPr>
        <w:pStyle w:val="SingleTxtG"/>
        <w:rPr>
          <w:lang w:val="fr-FR"/>
        </w:rPr>
      </w:pPr>
      <w:r w:rsidRPr="00A176EA">
        <w:rPr>
          <w:lang w:val="fr-FR"/>
        </w:rPr>
        <w:t>253.</w:t>
      </w:r>
      <w:r w:rsidRPr="00A176EA">
        <w:rPr>
          <w:lang w:val="fr-FR"/>
        </w:rPr>
        <w:tab/>
      </w:r>
      <w:r w:rsidR="008E4932" w:rsidRPr="00005A4A">
        <w:rPr>
          <w:lang w:val="fr-FR"/>
        </w:rPr>
        <w:t>L</w:t>
      </w:r>
      <w:r w:rsidR="00005A4A" w:rsidRPr="00005A4A">
        <w:rPr>
          <w:lang w:val="fr-FR"/>
        </w:rPr>
        <w:t xml:space="preserve">e </w:t>
      </w:r>
      <w:r w:rsidR="00005A4A">
        <w:rPr>
          <w:lang w:val="fr-FR"/>
        </w:rPr>
        <w:t xml:space="preserve">lancement du </w:t>
      </w:r>
      <w:r w:rsidR="00005A4A" w:rsidRPr="00005A4A">
        <w:rPr>
          <w:lang w:val="fr-FR"/>
        </w:rPr>
        <w:t>Programme d’efficience et d’efficacité stratégiques</w:t>
      </w:r>
      <w:r w:rsidR="004A6484">
        <w:rPr>
          <w:lang w:val="fr-FR"/>
        </w:rPr>
        <w:t xml:space="preserve"> </w:t>
      </w:r>
      <w:r w:rsidR="00005A4A" w:rsidRPr="00005A4A">
        <w:rPr>
          <w:lang w:val="fr-FR"/>
        </w:rPr>
        <w:t>de l</w:t>
      </w:r>
      <w:r w:rsidR="008E4932" w:rsidRPr="00005A4A">
        <w:rPr>
          <w:lang w:val="fr-FR"/>
        </w:rPr>
        <w:t>’</w:t>
      </w:r>
      <w:r w:rsidR="008F3DA4" w:rsidRPr="00005A4A">
        <w:rPr>
          <w:lang w:val="fr-FR"/>
        </w:rPr>
        <w:t>Administration pénitentiaire d’Irlande du Nord</w:t>
      </w:r>
      <w:r w:rsidR="00005A4A">
        <w:rPr>
          <w:lang w:val="fr-FR"/>
        </w:rPr>
        <w:t xml:space="preserve"> e</w:t>
      </w:r>
      <w:r w:rsidR="004A6484">
        <w:rPr>
          <w:lang w:val="fr-FR"/>
        </w:rPr>
        <w:t xml:space="preserve">st prévu pour la fin juin 2011. Il </w:t>
      </w:r>
      <w:r w:rsidR="00005A4A">
        <w:rPr>
          <w:lang w:val="fr-FR"/>
        </w:rPr>
        <w:t>permettra à l’Administration d’opérer une réforme de fond, à savoir créer une structure d’effectifs moins lourde et former un personnel professionnel, flexible et qualifié, axé sur le service, la gestion des prestations et la responsabilité. Les principaux domaines de travail seront la redéfinition du rôle du surveillant</w:t>
      </w:r>
      <w:r w:rsidR="004A6484">
        <w:rPr>
          <w:lang w:val="fr-FR"/>
        </w:rPr>
        <w:t xml:space="preserve">, </w:t>
      </w:r>
      <w:r w:rsidR="00005A4A">
        <w:rPr>
          <w:lang w:val="fr-FR"/>
        </w:rPr>
        <w:t>le développement de celui d’</w:t>
      </w:r>
      <w:r w:rsidR="004D6B0D">
        <w:rPr>
          <w:lang w:val="fr-FR"/>
        </w:rPr>
        <w:t>a</w:t>
      </w:r>
      <w:r w:rsidR="00005A4A">
        <w:rPr>
          <w:lang w:val="fr-FR"/>
        </w:rPr>
        <w:t xml:space="preserve">gent d’intendance, </w:t>
      </w:r>
      <w:r w:rsidR="004D6B0D">
        <w:rPr>
          <w:lang w:val="fr-FR"/>
        </w:rPr>
        <w:t>le recrutement d’un plus grand nombre d’agents d’intendance pour plus de souplesse, l’élaboration d’un Cadre de compétences relatif à la formation, au comportement et aux normes applicables à la profession, ainsi qu’un réexamen complet des mécanismes de formation et de service</w:t>
      </w:r>
      <w:r w:rsidR="000B562B" w:rsidRPr="00A176EA">
        <w:rPr>
          <w:lang w:val="fr-FR"/>
        </w:rPr>
        <w:t>.</w:t>
      </w:r>
    </w:p>
    <w:p w:rsidR="000B562B" w:rsidRPr="00A176EA" w:rsidRDefault="002549A9" w:rsidP="004D6B0D">
      <w:pPr>
        <w:pStyle w:val="SingleTxtG"/>
        <w:tabs>
          <w:tab w:val="left" w:pos="567"/>
          <w:tab w:val="left" w:pos="1134"/>
          <w:tab w:val="left" w:pos="1701"/>
          <w:tab w:val="left" w:pos="2244"/>
        </w:tabs>
        <w:rPr>
          <w:lang w:val="fr-FR"/>
        </w:rPr>
      </w:pPr>
      <w:r w:rsidRPr="00A176EA">
        <w:rPr>
          <w:lang w:val="fr-FR"/>
        </w:rPr>
        <w:t>254.</w:t>
      </w:r>
      <w:r w:rsidRPr="00A176EA">
        <w:rPr>
          <w:lang w:val="fr-FR"/>
        </w:rPr>
        <w:tab/>
      </w:r>
      <w:r w:rsidR="004D6B0D">
        <w:rPr>
          <w:lang w:val="fr-FR"/>
        </w:rPr>
        <w:t xml:space="preserve">Le processus </w:t>
      </w:r>
      <w:r w:rsidR="00750553">
        <w:rPr>
          <w:lang w:val="fr-FR"/>
        </w:rPr>
        <w:t>d’initiation</w:t>
      </w:r>
      <w:r w:rsidR="004D6B0D">
        <w:rPr>
          <w:lang w:val="fr-FR"/>
        </w:rPr>
        <w:t xml:space="preserve"> des nouvelles recrues prévoit un module spécifiquement dédié aux droits de l’homme dispensé par un conseiller interne spécialiste </w:t>
      </w:r>
      <w:r w:rsidR="004A6484">
        <w:rPr>
          <w:lang w:val="fr-FR"/>
        </w:rPr>
        <w:t>de la question</w:t>
      </w:r>
      <w:r w:rsidR="004D6B0D">
        <w:rPr>
          <w:lang w:val="fr-FR"/>
        </w:rPr>
        <w:t>. Les fonctionnaires en place ont déjà été sensibilisés dans ce domaine et l’Administration élabore actuellement une plate-forme d’apprentissage interactive en ligne qui sera obligatoire pour tous</w:t>
      </w:r>
      <w:r w:rsidR="000B562B" w:rsidRPr="00A176EA">
        <w:rPr>
          <w:lang w:val="fr-FR"/>
        </w:rPr>
        <w:t>.</w:t>
      </w:r>
    </w:p>
    <w:p w:rsidR="000B562B" w:rsidRPr="00A176EA" w:rsidRDefault="0019760C" w:rsidP="00580D15">
      <w:pPr>
        <w:pStyle w:val="H23G"/>
        <w:rPr>
          <w:lang w:val="fr-FR"/>
        </w:rPr>
      </w:pPr>
      <w:r w:rsidRPr="004D6B0D">
        <w:rPr>
          <w:lang w:val="fr-FR"/>
        </w:rPr>
        <w:t>Personnel médical</w:t>
      </w:r>
    </w:p>
    <w:p w:rsidR="000B562B" w:rsidRPr="00A176EA" w:rsidRDefault="002549A9" w:rsidP="00445071">
      <w:pPr>
        <w:pStyle w:val="SingleTxtG"/>
        <w:rPr>
          <w:lang w:val="fr-FR"/>
        </w:rPr>
      </w:pPr>
      <w:r w:rsidRPr="00A176EA">
        <w:rPr>
          <w:lang w:val="fr-FR"/>
        </w:rPr>
        <w:t>255.</w:t>
      </w:r>
      <w:r w:rsidRPr="00A176EA">
        <w:rPr>
          <w:lang w:val="fr-FR"/>
        </w:rPr>
        <w:tab/>
      </w:r>
      <w:r w:rsidR="004D6B0D">
        <w:rPr>
          <w:lang w:val="fr-FR"/>
        </w:rPr>
        <w:t xml:space="preserve">Tous les personnels de santé autorisés travaillant dans un établissement pénitentiaire </w:t>
      </w:r>
      <w:r w:rsidR="00596C3D">
        <w:rPr>
          <w:lang w:val="fr-FR"/>
        </w:rPr>
        <w:t>répondent aux</w:t>
      </w:r>
      <w:r w:rsidR="004D6B0D">
        <w:rPr>
          <w:lang w:val="fr-FR"/>
        </w:rPr>
        <w:t xml:space="preserve"> mêmes normes de compétence que ceux du </w:t>
      </w:r>
      <w:r w:rsidR="00445071" w:rsidRPr="00EB10E0">
        <w:rPr>
          <w:lang w:val="fr-FR"/>
        </w:rPr>
        <w:t>Service national de santé</w:t>
      </w:r>
      <w:r w:rsidR="00445071">
        <w:rPr>
          <w:lang w:val="fr-FR"/>
        </w:rPr>
        <w:t>. En outre, ils ont accès aux mêmes programmes de formation professionnelle continue</w:t>
      </w:r>
      <w:r w:rsidR="000B562B" w:rsidRPr="00A176EA">
        <w:rPr>
          <w:lang w:val="fr-FR"/>
        </w:rPr>
        <w:t>.</w:t>
      </w:r>
    </w:p>
    <w:p w:rsidR="000B562B" w:rsidRPr="00A176EA" w:rsidRDefault="002549A9" w:rsidP="00580D15">
      <w:pPr>
        <w:pStyle w:val="SingleTxtG"/>
        <w:rPr>
          <w:lang w:val="fr-FR"/>
        </w:rPr>
      </w:pPr>
      <w:r w:rsidRPr="00A176EA">
        <w:rPr>
          <w:lang w:val="fr-FR"/>
        </w:rPr>
        <w:t>256.</w:t>
      </w:r>
      <w:r w:rsidRPr="00A176EA">
        <w:rPr>
          <w:lang w:val="fr-FR"/>
        </w:rPr>
        <w:tab/>
      </w:r>
      <w:r w:rsidR="00445071">
        <w:rPr>
          <w:lang w:val="fr-FR"/>
        </w:rPr>
        <w:t>Depuis avril</w:t>
      </w:r>
      <w:r w:rsidR="000B562B" w:rsidRPr="00A176EA">
        <w:rPr>
          <w:lang w:val="fr-FR"/>
        </w:rPr>
        <w:t xml:space="preserve"> 2006</w:t>
      </w:r>
      <w:r w:rsidR="00445071">
        <w:rPr>
          <w:lang w:val="fr-FR"/>
        </w:rPr>
        <w:t xml:space="preserve">, l’offre de soins de santé aux détenus relève du Service national de santé. Ce transfert de responsabilité a été étalé sur trois exercices budgétaires et les </w:t>
      </w:r>
      <w:r w:rsidR="00547DF1">
        <w:rPr>
          <w:lang w:val="fr-FR"/>
        </w:rPr>
        <w:t>Structures</w:t>
      </w:r>
      <w:r w:rsidR="00445071">
        <w:rPr>
          <w:lang w:val="fr-FR"/>
        </w:rPr>
        <w:t xml:space="preserve"> de soins primaires sont désormais chargées des soins de santé dans tous les établissements pénitentiaires</w:t>
      </w:r>
      <w:r w:rsidR="002A1F21">
        <w:rPr>
          <w:lang w:val="fr-FR"/>
        </w:rPr>
        <w:t xml:space="preserve"> de leur secteur géographique</w:t>
      </w:r>
      <w:r w:rsidR="000B562B" w:rsidRPr="00A176EA">
        <w:rPr>
          <w:lang w:val="fr-FR"/>
        </w:rPr>
        <w:t>.</w:t>
      </w:r>
    </w:p>
    <w:p w:rsidR="000B562B" w:rsidRPr="00A176EA" w:rsidRDefault="002549A9" w:rsidP="00CD6502">
      <w:pPr>
        <w:pStyle w:val="SingleTxtG"/>
        <w:rPr>
          <w:lang w:val="fr-FR"/>
        </w:rPr>
      </w:pPr>
      <w:r w:rsidRPr="00A176EA">
        <w:rPr>
          <w:lang w:val="fr-FR"/>
        </w:rPr>
        <w:t>257.</w:t>
      </w:r>
      <w:r w:rsidRPr="00A176EA">
        <w:rPr>
          <w:lang w:val="fr-FR"/>
        </w:rPr>
        <w:tab/>
      </w:r>
      <w:r w:rsidR="002A1F21">
        <w:rPr>
          <w:lang w:val="fr-FR"/>
        </w:rPr>
        <w:t xml:space="preserve">S’agissant du travail des professionnels de santé dans les prisons, les </w:t>
      </w:r>
      <w:r w:rsidR="00547DF1">
        <w:rPr>
          <w:lang w:val="fr-FR"/>
        </w:rPr>
        <w:t>Structures</w:t>
      </w:r>
      <w:r w:rsidR="002A1F21">
        <w:rPr>
          <w:lang w:val="fr-FR"/>
        </w:rPr>
        <w:t xml:space="preserve"> de soins primaires évaluent les besoins médicaux pour élaborer leur politique d’affectation. </w:t>
      </w:r>
      <w:r w:rsidR="00CD6502">
        <w:rPr>
          <w:lang w:val="fr-FR"/>
        </w:rPr>
        <w:t xml:space="preserve">Les services requis et les volumes estimés ainsi définis, les </w:t>
      </w:r>
      <w:r w:rsidR="00547DF1">
        <w:rPr>
          <w:lang w:val="fr-FR"/>
        </w:rPr>
        <w:t>Structures</w:t>
      </w:r>
      <w:r w:rsidR="00CD6502">
        <w:rPr>
          <w:lang w:val="fr-FR"/>
        </w:rPr>
        <w:t xml:space="preserve"> déterminent les compétences et les ressources à affecter. Le principe directeur est que les </w:t>
      </w:r>
      <w:r w:rsidR="00547DF1">
        <w:rPr>
          <w:lang w:val="fr-FR"/>
        </w:rPr>
        <w:t>Structures</w:t>
      </w:r>
      <w:r w:rsidR="00CD6502">
        <w:rPr>
          <w:lang w:val="fr-FR"/>
        </w:rPr>
        <w:t xml:space="preserve"> locales doivent </w:t>
      </w:r>
      <w:r w:rsidR="00455A97">
        <w:rPr>
          <w:lang w:val="fr-FR"/>
        </w:rPr>
        <w:t xml:space="preserve">fournir </w:t>
      </w:r>
      <w:r w:rsidR="00CD6502">
        <w:rPr>
          <w:lang w:val="fr-FR"/>
        </w:rPr>
        <w:t>des prestations de service répondant aux mêmes normes que pour le reste de la population</w:t>
      </w:r>
      <w:r w:rsidR="000B562B" w:rsidRPr="00A176EA">
        <w:rPr>
          <w:lang w:val="fr-FR"/>
        </w:rPr>
        <w:t>.</w:t>
      </w:r>
    </w:p>
    <w:p w:rsidR="000B562B" w:rsidRPr="00A176EA" w:rsidRDefault="002549A9" w:rsidP="00047DAF">
      <w:pPr>
        <w:pStyle w:val="SingleTxtG"/>
        <w:rPr>
          <w:lang w:val="fr-FR"/>
        </w:rPr>
      </w:pPr>
      <w:r w:rsidRPr="00A176EA">
        <w:rPr>
          <w:lang w:val="fr-FR"/>
        </w:rPr>
        <w:t>258.</w:t>
      </w:r>
      <w:r w:rsidRPr="00A176EA">
        <w:rPr>
          <w:lang w:val="fr-FR"/>
        </w:rPr>
        <w:tab/>
      </w:r>
      <w:r w:rsidR="00CD6502">
        <w:rPr>
          <w:lang w:val="fr-FR"/>
        </w:rPr>
        <w:t xml:space="preserve">Les professionnels de santé sont conscients du fait que les détenus, hommes et femmes, ont bien plus de besoins médicaux qu’auparavant, en particulier en termes de santé mentale et d’usage abusif de substances. </w:t>
      </w:r>
      <w:r w:rsidR="00047DAF">
        <w:rPr>
          <w:lang w:val="fr-FR"/>
        </w:rPr>
        <w:t>L</w:t>
      </w:r>
      <w:r w:rsidR="00CD6502">
        <w:rPr>
          <w:lang w:val="fr-FR"/>
        </w:rPr>
        <w:t>es</w:t>
      </w:r>
      <w:r w:rsidR="00047DAF">
        <w:rPr>
          <w:lang w:val="fr-FR"/>
        </w:rPr>
        <w:t xml:space="preserve"> </w:t>
      </w:r>
      <w:r w:rsidR="00547DF1">
        <w:rPr>
          <w:lang w:val="fr-FR"/>
        </w:rPr>
        <w:t>Structures</w:t>
      </w:r>
      <w:r w:rsidR="00047DAF">
        <w:rPr>
          <w:lang w:val="fr-FR"/>
        </w:rPr>
        <w:t xml:space="preserve"> locales sont sensibles à ces besoins particuliers</w:t>
      </w:r>
      <w:r w:rsidR="000B562B" w:rsidRPr="00A176EA">
        <w:rPr>
          <w:lang w:val="fr-FR"/>
        </w:rPr>
        <w:t>.</w:t>
      </w:r>
    </w:p>
    <w:p w:rsidR="000B562B" w:rsidRPr="00047DAF" w:rsidRDefault="008F3DA4" w:rsidP="00E80D5B">
      <w:pPr>
        <w:pStyle w:val="H23G"/>
        <w:rPr>
          <w:lang w:val="fr-FR"/>
        </w:rPr>
      </w:pPr>
      <w:r w:rsidRPr="00047DAF">
        <w:rPr>
          <w:lang w:val="fr-FR"/>
        </w:rPr>
        <w:t>Irlande du Nord</w:t>
      </w:r>
    </w:p>
    <w:p w:rsidR="000B562B" w:rsidRPr="00A176EA" w:rsidRDefault="002549A9" w:rsidP="00580D15">
      <w:pPr>
        <w:pStyle w:val="SingleTxtG"/>
        <w:rPr>
          <w:lang w:val="fr-FR"/>
        </w:rPr>
      </w:pPr>
      <w:r w:rsidRPr="00047DAF">
        <w:rPr>
          <w:lang w:val="fr-FR"/>
        </w:rPr>
        <w:t>259.</w:t>
      </w:r>
      <w:r w:rsidRPr="00047DAF">
        <w:rPr>
          <w:lang w:val="fr-FR"/>
        </w:rPr>
        <w:tab/>
      </w:r>
      <w:r w:rsidR="00047DAF">
        <w:rPr>
          <w:lang w:val="fr-FR"/>
        </w:rPr>
        <w:t>E</w:t>
      </w:r>
      <w:r w:rsidR="000B562B" w:rsidRPr="00047DAF">
        <w:rPr>
          <w:lang w:val="fr-FR"/>
        </w:rPr>
        <w:t xml:space="preserve">n </w:t>
      </w:r>
      <w:r w:rsidR="008F3DA4" w:rsidRPr="00047DAF">
        <w:rPr>
          <w:lang w:val="fr-FR"/>
        </w:rPr>
        <w:t>Irlande du Nord</w:t>
      </w:r>
      <w:r w:rsidR="000B562B" w:rsidRPr="00047DAF">
        <w:rPr>
          <w:lang w:val="fr-FR"/>
        </w:rPr>
        <w:t>,</w:t>
      </w:r>
      <w:r w:rsidR="000B562B" w:rsidRPr="00A176EA">
        <w:rPr>
          <w:lang w:val="fr-FR"/>
        </w:rPr>
        <w:t xml:space="preserve"> </w:t>
      </w:r>
      <w:r w:rsidR="00047DAF">
        <w:rPr>
          <w:lang w:val="fr-FR"/>
        </w:rPr>
        <w:t xml:space="preserve">tous les </w:t>
      </w:r>
      <w:r w:rsidR="00123620">
        <w:rPr>
          <w:lang w:val="fr-FR"/>
        </w:rPr>
        <w:t>médecins</w:t>
      </w:r>
      <w:r w:rsidR="00047DAF">
        <w:rPr>
          <w:lang w:val="fr-FR"/>
        </w:rPr>
        <w:t xml:space="preserve"> passent des examens professionnels supérieurs pour l’évolution de leur carrière, examens </w:t>
      </w:r>
      <w:r w:rsidR="001A3D6D">
        <w:rPr>
          <w:lang w:val="fr-FR"/>
        </w:rPr>
        <w:t>supervisés</w:t>
      </w:r>
      <w:r w:rsidR="00047DAF">
        <w:rPr>
          <w:lang w:val="fr-FR"/>
        </w:rPr>
        <w:t xml:space="preserve"> et encadrés par les Écoles </w:t>
      </w:r>
      <w:r w:rsidR="00567E43">
        <w:rPr>
          <w:lang w:val="fr-FR"/>
        </w:rPr>
        <w:t>supérieures royales</w:t>
      </w:r>
      <w:r w:rsidR="00047DAF">
        <w:rPr>
          <w:lang w:val="fr-FR"/>
        </w:rPr>
        <w:t xml:space="preserve"> </w:t>
      </w:r>
      <w:r w:rsidR="00567E43">
        <w:rPr>
          <w:lang w:val="fr-FR"/>
        </w:rPr>
        <w:t xml:space="preserve">(Royal Colleges) </w:t>
      </w:r>
      <w:r w:rsidR="00047DAF">
        <w:rPr>
          <w:lang w:val="fr-FR"/>
        </w:rPr>
        <w:t>concerné</w:t>
      </w:r>
      <w:r w:rsidR="00567E43">
        <w:rPr>
          <w:lang w:val="fr-FR"/>
        </w:rPr>
        <w:t>e</w:t>
      </w:r>
      <w:r w:rsidR="00047DAF">
        <w:rPr>
          <w:lang w:val="fr-FR"/>
        </w:rPr>
        <w:t xml:space="preserve">s. </w:t>
      </w:r>
      <w:r w:rsidR="00567E43">
        <w:rPr>
          <w:lang w:val="fr-FR"/>
        </w:rPr>
        <w:t xml:space="preserve">La probité et l’éthique sont des éléments majeurs </w:t>
      </w:r>
      <w:r w:rsidR="00CB23D8">
        <w:rPr>
          <w:lang w:val="fr-FR"/>
        </w:rPr>
        <w:t>du renouvellement</w:t>
      </w:r>
      <w:r w:rsidR="00567E43">
        <w:rPr>
          <w:lang w:val="fr-FR"/>
        </w:rPr>
        <w:t xml:space="preserve"> de l’autorisation d’exercice des médecins généralistes, qui doivent </w:t>
      </w:r>
      <w:r w:rsidR="00455A97">
        <w:rPr>
          <w:lang w:val="fr-FR"/>
        </w:rPr>
        <w:t>remplir</w:t>
      </w:r>
      <w:r w:rsidR="00CB23D8">
        <w:rPr>
          <w:lang w:val="fr-FR"/>
        </w:rPr>
        <w:t xml:space="preserve"> les conditions spécifiques exigées par l’École supérieure royale des médecins généralistes pour que leur autorisation soit renouvelée</w:t>
      </w:r>
      <w:r w:rsidR="000B562B" w:rsidRPr="00A176EA">
        <w:rPr>
          <w:lang w:val="fr-FR"/>
        </w:rPr>
        <w:t>.</w:t>
      </w:r>
    </w:p>
    <w:p w:rsidR="000B562B" w:rsidRPr="00A176EA" w:rsidRDefault="002549A9" w:rsidP="002C2EF2">
      <w:pPr>
        <w:pStyle w:val="SingleTxtG"/>
        <w:rPr>
          <w:lang w:val="fr-FR"/>
        </w:rPr>
      </w:pPr>
      <w:r w:rsidRPr="00A176EA">
        <w:rPr>
          <w:lang w:val="fr-FR"/>
        </w:rPr>
        <w:t>260.</w:t>
      </w:r>
      <w:r w:rsidRPr="00A176EA">
        <w:rPr>
          <w:lang w:val="fr-FR"/>
        </w:rPr>
        <w:tab/>
      </w:r>
      <w:r w:rsidR="00CB23D8">
        <w:rPr>
          <w:lang w:val="fr-FR"/>
        </w:rPr>
        <w:t xml:space="preserve">Les professionnels de santé </w:t>
      </w:r>
      <w:r w:rsidR="00B26794">
        <w:rPr>
          <w:lang w:val="fr-FR"/>
        </w:rPr>
        <w:t>recrutés</w:t>
      </w:r>
      <w:r w:rsidR="00CB23D8">
        <w:rPr>
          <w:lang w:val="fr-FR"/>
        </w:rPr>
        <w:t xml:space="preserve"> par les </w:t>
      </w:r>
      <w:r w:rsidR="00547DF1">
        <w:rPr>
          <w:lang w:val="fr-FR"/>
        </w:rPr>
        <w:t>Structures</w:t>
      </w:r>
      <w:r w:rsidR="00CB23D8">
        <w:rPr>
          <w:lang w:val="fr-FR"/>
        </w:rPr>
        <w:t xml:space="preserve"> de protection sanitaire et sociale doivent </w:t>
      </w:r>
      <w:r w:rsidR="00123620">
        <w:rPr>
          <w:lang w:val="fr-FR"/>
        </w:rPr>
        <w:t xml:space="preserve">apporter la preuve aux autorités qui les emploient </w:t>
      </w:r>
      <w:r w:rsidR="00B26794">
        <w:rPr>
          <w:lang w:val="fr-FR"/>
        </w:rPr>
        <w:t>qu’ils s’efforcent d’identifier leurs besoins en formation au moyen des processus d’évaluation et de planification du travail. Les besoins individuels sont réexaminés chaque année</w:t>
      </w:r>
      <w:r w:rsidR="000B562B" w:rsidRPr="00A176EA">
        <w:rPr>
          <w:lang w:val="fr-FR"/>
        </w:rPr>
        <w:t>.</w:t>
      </w:r>
    </w:p>
    <w:p w:rsidR="000B562B" w:rsidRPr="00A176EA" w:rsidRDefault="002549A9" w:rsidP="002961D4">
      <w:pPr>
        <w:pStyle w:val="SingleTxtG"/>
        <w:rPr>
          <w:lang w:val="fr-FR"/>
        </w:rPr>
      </w:pPr>
      <w:r w:rsidRPr="00A176EA">
        <w:rPr>
          <w:lang w:val="fr-FR"/>
        </w:rPr>
        <w:t>261.</w:t>
      </w:r>
      <w:r w:rsidRPr="00A176EA">
        <w:rPr>
          <w:lang w:val="fr-FR"/>
        </w:rPr>
        <w:tab/>
      </w:r>
      <w:r w:rsidR="002C2EF2">
        <w:rPr>
          <w:lang w:val="fr-FR"/>
        </w:rPr>
        <w:t>Tous les professionnels de santé reçoivent une formation d’entrée en fonctions portant, notamment, sur les droits de l’homme, l’égalité et la diversité, le handicap</w:t>
      </w:r>
      <w:r w:rsidR="00455A97">
        <w:rPr>
          <w:lang w:val="fr-FR"/>
        </w:rPr>
        <w:t>,</w:t>
      </w:r>
      <w:r w:rsidR="002C2EF2">
        <w:rPr>
          <w:lang w:val="fr-FR"/>
        </w:rPr>
        <w:t xml:space="preserve"> les </w:t>
      </w:r>
      <w:r w:rsidR="00693898">
        <w:rPr>
          <w:lang w:val="fr-FR"/>
        </w:rPr>
        <w:t>brutalités</w:t>
      </w:r>
      <w:r w:rsidR="002C2EF2">
        <w:rPr>
          <w:lang w:val="fr-FR"/>
        </w:rPr>
        <w:t xml:space="preserve"> et le harcèlement. Chacun établit un plan de développement personnel qui est révisé tous les six mois. Les besoins en formation sont identifiés, des ressources y sont affectées et la formation est dispensée par l’organisme approprié tel que la </w:t>
      </w:r>
      <w:r w:rsidR="00C903A9">
        <w:rPr>
          <w:lang w:val="fr-FR"/>
        </w:rPr>
        <w:t>Structure</w:t>
      </w:r>
      <w:r w:rsidR="002C2EF2">
        <w:rPr>
          <w:lang w:val="fr-FR"/>
        </w:rPr>
        <w:t xml:space="preserve"> de protec</w:t>
      </w:r>
      <w:r w:rsidR="007B5579">
        <w:rPr>
          <w:lang w:val="fr-FR"/>
        </w:rPr>
        <w:t>ti</w:t>
      </w:r>
      <w:r w:rsidR="002C2EF2">
        <w:rPr>
          <w:lang w:val="fr-FR"/>
        </w:rPr>
        <w:t xml:space="preserve">on sanitaire et sociale ou le </w:t>
      </w:r>
      <w:r w:rsidR="002961D4">
        <w:rPr>
          <w:lang w:val="fr-FR"/>
        </w:rPr>
        <w:t xml:space="preserve">Beeches Management </w:t>
      </w:r>
      <w:r w:rsidR="002C2EF2">
        <w:rPr>
          <w:lang w:val="fr-FR"/>
        </w:rPr>
        <w:t xml:space="preserve">Centre </w:t>
      </w:r>
      <w:r w:rsidR="002961D4">
        <w:rPr>
          <w:lang w:val="fr-FR"/>
        </w:rPr>
        <w:t>(Centre de gestion Beeches)</w:t>
      </w:r>
      <w:r w:rsidR="000B562B" w:rsidRPr="00A176EA">
        <w:rPr>
          <w:lang w:val="fr-FR"/>
        </w:rPr>
        <w:t>.</w:t>
      </w:r>
    </w:p>
    <w:p w:rsidR="000B562B" w:rsidRPr="002961D4" w:rsidRDefault="00FD2CE1" w:rsidP="00E80D5B">
      <w:pPr>
        <w:pStyle w:val="H23G"/>
        <w:rPr>
          <w:lang w:val="fr-FR"/>
        </w:rPr>
      </w:pPr>
      <w:r w:rsidRPr="002961D4">
        <w:rPr>
          <w:lang w:val="fr-FR"/>
        </w:rPr>
        <w:t>Écosse</w:t>
      </w:r>
    </w:p>
    <w:p w:rsidR="000B562B" w:rsidRPr="00A176EA" w:rsidRDefault="002549A9" w:rsidP="00580D15">
      <w:pPr>
        <w:pStyle w:val="SingleTxtG"/>
        <w:rPr>
          <w:lang w:val="fr-FR"/>
        </w:rPr>
      </w:pPr>
      <w:r w:rsidRPr="002961D4">
        <w:rPr>
          <w:lang w:val="fr-FR"/>
        </w:rPr>
        <w:t>262.</w:t>
      </w:r>
      <w:r w:rsidRPr="002961D4">
        <w:rPr>
          <w:lang w:val="fr-FR"/>
        </w:rPr>
        <w:tab/>
      </w:r>
      <w:r w:rsidR="00CB23D8" w:rsidRPr="002961D4">
        <w:rPr>
          <w:lang w:val="fr-FR"/>
        </w:rPr>
        <w:t>E</w:t>
      </w:r>
      <w:r w:rsidR="000B562B" w:rsidRPr="002961D4">
        <w:rPr>
          <w:lang w:val="fr-FR"/>
        </w:rPr>
        <w:t xml:space="preserve">n </w:t>
      </w:r>
      <w:r w:rsidR="00FD2CE1" w:rsidRPr="002961D4">
        <w:rPr>
          <w:lang w:val="fr-FR"/>
        </w:rPr>
        <w:t>Écosse</w:t>
      </w:r>
      <w:r w:rsidR="000B562B" w:rsidRPr="002961D4">
        <w:rPr>
          <w:lang w:val="fr-FR"/>
        </w:rPr>
        <w:t xml:space="preserve">, </w:t>
      </w:r>
      <w:r w:rsidR="007B5579">
        <w:rPr>
          <w:lang w:val="fr-FR"/>
        </w:rPr>
        <w:t xml:space="preserve">les services médicaux des établissements gérés directement par l’Administration pénitentiaire font l’objet d’un contrat national. L’une des clauses de ce contrat est que tous les médecins </w:t>
      </w:r>
      <w:r w:rsidR="00C66D56">
        <w:rPr>
          <w:lang w:val="fr-FR"/>
        </w:rPr>
        <w:t>doivent posséder les qualifications requises pour tra</w:t>
      </w:r>
      <w:r w:rsidR="00DB45DF">
        <w:rPr>
          <w:lang w:val="fr-FR"/>
        </w:rPr>
        <w:t xml:space="preserve">vailler en milieu pénitentiaire, être inscrits au Tableau de l’ordre des médecins et détenir une autorisation d’exercice. Tous les médecins doivent suivre une formation d’entrée en fonctions, une formation continue et une formation propre au milieu carcéral, dont la gestion des risques de suicide. </w:t>
      </w:r>
      <w:r w:rsidR="00D56419">
        <w:rPr>
          <w:lang w:val="fr-FR"/>
        </w:rPr>
        <w:t xml:space="preserve">Ces formations traitent les questions d’éthique et de morale, qui figurent également dans la stratégie de formation et d’enseignement </w:t>
      </w:r>
      <w:r w:rsidR="00CF57D0">
        <w:rPr>
          <w:lang w:val="fr-FR"/>
        </w:rPr>
        <w:t>destinée au</w:t>
      </w:r>
      <w:r w:rsidR="00D56419">
        <w:rPr>
          <w:lang w:val="fr-FR"/>
        </w:rPr>
        <w:t xml:space="preserve"> personnel infirmier travaillant en milieu pénitentiaire</w:t>
      </w:r>
      <w:r w:rsidR="000B562B" w:rsidRPr="00A176EA">
        <w:rPr>
          <w:lang w:val="fr-FR"/>
        </w:rPr>
        <w:t>.</w:t>
      </w:r>
    </w:p>
    <w:p w:rsidR="000B562B" w:rsidRPr="00A176EA" w:rsidRDefault="00CB23D8" w:rsidP="00580D15">
      <w:pPr>
        <w:pStyle w:val="H23G"/>
        <w:rPr>
          <w:lang w:val="fr-FR"/>
        </w:rPr>
      </w:pPr>
      <w:r w:rsidRPr="00D56419">
        <w:rPr>
          <w:lang w:val="fr-FR"/>
        </w:rPr>
        <w:t>Fonctionnaires des services d’immigration</w:t>
      </w:r>
    </w:p>
    <w:p w:rsidR="000B562B" w:rsidRPr="00A176EA" w:rsidRDefault="002549A9" w:rsidP="00A24D9C">
      <w:pPr>
        <w:pStyle w:val="SingleTxtG"/>
        <w:rPr>
          <w:lang w:val="fr-FR"/>
        </w:rPr>
      </w:pPr>
      <w:r w:rsidRPr="00A176EA">
        <w:rPr>
          <w:lang w:val="fr-FR"/>
        </w:rPr>
        <w:t>263.</w:t>
      </w:r>
      <w:r w:rsidRPr="00A176EA">
        <w:rPr>
          <w:lang w:val="fr-FR"/>
        </w:rPr>
        <w:tab/>
      </w:r>
      <w:r w:rsidR="00B42475">
        <w:rPr>
          <w:lang w:val="fr-FR"/>
        </w:rPr>
        <w:t xml:space="preserve">La formation nationale des nouveaux fonctionnaires de l’immigration comprend des modules sur le suicide, l’égalité et la diversité, et les pratiques </w:t>
      </w:r>
      <w:r w:rsidR="002C795C">
        <w:rPr>
          <w:lang w:val="fr-FR"/>
        </w:rPr>
        <w:t xml:space="preserve">de travail sûres et professionnelles. La loi sur les droits de l’homme fait partie intégrante de la formation dispensée aux </w:t>
      </w:r>
      <w:r w:rsidR="00656B69">
        <w:rPr>
          <w:lang w:val="fr-FR"/>
        </w:rPr>
        <w:t xml:space="preserve">travailleurs sociaux et au personnel opérationnel des services d’immigration. </w:t>
      </w:r>
      <w:r w:rsidR="00C903A9">
        <w:rPr>
          <w:lang w:val="fr-FR"/>
        </w:rPr>
        <w:t>L</w:t>
      </w:r>
      <w:r w:rsidR="00656B69">
        <w:rPr>
          <w:lang w:val="fr-FR"/>
        </w:rPr>
        <w:t xml:space="preserve">adite loi et la Convention européenne des droits de l’homme y </w:t>
      </w:r>
      <w:r w:rsidR="00C903A9">
        <w:rPr>
          <w:lang w:val="fr-FR"/>
        </w:rPr>
        <w:t>sont</w:t>
      </w:r>
      <w:r w:rsidR="00656B69">
        <w:rPr>
          <w:lang w:val="fr-FR"/>
        </w:rPr>
        <w:t xml:space="preserve"> expliqué</w:t>
      </w:r>
      <w:r w:rsidR="00C903A9">
        <w:rPr>
          <w:lang w:val="fr-FR"/>
        </w:rPr>
        <w:t>es</w:t>
      </w:r>
      <w:r w:rsidR="00656B69">
        <w:rPr>
          <w:lang w:val="fr-FR"/>
        </w:rPr>
        <w:t xml:space="preserve">, en particulier les articles 2, 3, 5, 8, 12 et 14 de cette dernière. </w:t>
      </w:r>
      <w:r w:rsidR="009B6912">
        <w:rPr>
          <w:lang w:val="fr-FR"/>
        </w:rPr>
        <w:t xml:space="preserve">Des séances spéciales sur </w:t>
      </w:r>
      <w:r w:rsidR="00A24D9C">
        <w:rPr>
          <w:lang w:val="fr-FR"/>
        </w:rPr>
        <w:t>ces deux textes</w:t>
      </w:r>
      <w:r w:rsidR="009B6912">
        <w:rPr>
          <w:lang w:val="fr-FR"/>
        </w:rPr>
        <w:t xml:space="preserve"> sont également organisées selon le besoin. </w:t>
      </w:r>
      <w:r w:rsidR="00A24D9C">
        <w:rPr>
          <w:lang w:val="fr-FR"/>
        </w:rPr>
        <w:t>Un outil interactif d’apprentissage en ligne est par ailleurs à la disposition de l’ensemble du personnel</w:t>
      </w:r>
      <w:r w:rsidR="000B562B" w:rsidRPr="00A176EA">
        <w:rPr>
          <w:lang w:val="fr-FR"/>
        </w:rPr>
        <w:t>.</w:t>
      </w:r>
    </w:p>
    <w:p w:rsidR="000B562B" w:rsidRPr="00A176EA" w:rsidRDefault="002549A9" w:rsidP="00A24D9C">
      <w:pPr>
        <w:pStyle w:val="SingleTxtG"/>
        <w:rPr>
          <w:lang w:val="fr-FR"/>
        </w:rPr>
      </w:pPr>
      <w:r w:rsidRPr="00A176EA">
        <w:rPr>
          <w:lang w:val="fr-FR"/>
        </w:rPr>
        <w:t>264.</w:t>
      </w:r>
      <w:r w:rsidRPr="00A176EA">
        <w:rPr>
          <w:lang w:val="fr-FR"/>
        </w:rPr>
        <w:tab/>
      </w:r>
      <w:r w:rsidR="00A24D9C">
        <w:rPr>
          <w:lang w:val="fr-FR"/>
        </w:rPr>
        <w:t xml:space="preserve">La prise en charge médicale et sanitaire dans les centres de rétention est régie par le Règlement des centres de </w:t>
      </w:r>
      <w:r w:rsidR="00C903A9">
        <w:rPr>
          <w:lang w:val="fr-FR"/>
        </w:rPr>
        <w:t>r</w:t>
      </w:r>
      <w:r w:rsidR="00A24D9C">
        <w:rPr>
          <w:lang w:val="fr-FR"/>
        </w:rPr>
        <w:t>étention, qui est entré en vigueur en avril 2001 (comme indiqué aux paragraphes 95 et 96 du quatrième rapport périodique du Royaume-Uni</w:t>
      </w:r>
      <w:r w:rsidR="000B562B" w:rsidRPr="00A176EA">
        <w:rPr>
          <w:lang w:val="fr-FR"/>
        </w:rPr>
        <w:t>).</w:t>
      </w:r>
    </w:p>
    <w:p w:rsidR="000B562B" w:rsidRPr="00A176EA" w:rsidRDefault="00CB23D8" w:rsidP="00E80D5B">
      <w:pPr>
        <w:pStyle w:val="H23G"/>
        <w:rPr>
          <w:snapToGrid w:val="0"/>
          <w:lang w:val="fr-FR"/>
        </w:rPr>
      </w:pPr>
      <w:r w:rsidRPr="00A24D9C">
        <w:rPr>
          <w:snapToGrid w:val="0"/>
          <w:lang w:val="fr-FR"/>
        </w:rPr>
        <w:t>Formation des militaires</w:t>
      </w:r>
    </w:p>
    <w:p w:rsidR="000B562B" w:rsidRPr="00A176EA" w:rsidRDefault="00446857" w:rsidP="00580D15">
      <w:pPr>
        <w:pStyle w:val="H23G"/>
        <w:rPr>
          <w:snapToGrid w:val="0"/>
          <w:lang w:val="fr-FR"/>
        </w:rPr>
      </w:pPr>
      <w:r>
        <w:rPr>
          <w:snapToGrid w:val="0"/>
          <w:lang w:val="fr-FR"/>
        </w:rPr>
        <w:t>Formation des forces armées en matière de détention</w:t>
      </w:r>
    </w:p>
    <w:p w:rsidR="000B562B" w:rsidRPr="00A176EA" w:rsidRDefault="002549A9" w:rsidP="004E1F49">
      <w:pPr>
        <w:pStyle w:val="SingleTxtG"/>
        <w:rPr>
          <w:snapToGrid w:val="0"/>
          <w:lang w:val="fr-FR"/>
        </w:rPr>
      </w:pPr>
      <w:r w:rsidRPr="00A176EA">
        <w:rPr>
          <w:snapToGrid w:val="0"/>
          <w:lang w:val="fr-FR"/>
        </w:rPr>
        <w:t>265.</w:t>
      </w:r>
      <w:r w:rsidRPr="00A176EA">
        <w:rPr>
          <w:snapToGrid w:val="0"/>
          <w:lang w:val="fr-FR"/>
        </w:rPr>
        <w:tab/>
      </w:r>
      <w:r w:rsidR="00446857">
        <w:rPr>
          <w:snapToGrid w:val="0"/>
          <w:lang w:val="fr-FR"/>
        </w:rPr>
        <w:t xml:space="preserve">Afin de garantir les droits des détenus, tous les personnels susceptibles d’intervenir dans les affaires de détention </w:t>
      </w:r>
      <w:r w:rsidR="004E1F49">
        <w:rPr>
          <w:snapToGrid w:val="0"/>
          <w:lang w:val="fr-FR"/>
        </w:rPr>
        <w:t xml:space="preserve">sur un théâtre d’opérations reçoivent préalablement une formation complète. Les personnels responsables de la surveillance de personnes détenues avant ou après condamnation suivent une formation obligatoire au Centre de redressement militaire de </w:t>
      </w:r>
      <w:r w:rsidR="000B562B" w:rsidRPr="00A176EA">
        <w:rPr>
          <w:snapToGrid w:val="0"/>
          <w:lang w:val="fr-FR"/>
        </w:rPr>
        <w:t>Colchester.</w:t>
      </w:r>
    </w:p>
    <w:p w:rsidR="000B562B" w:rsidRPr="00A176EA" w:rsidRDefault="002549A9" w:rsidP="00672CA7">
      <w:pPr>
        <w:pStyle w:val="SingleTxtG"/>
        <w:rPr>
          <w:snapToGrid w:val="0"/>
          <w:lang w:val="fr-FR"/>
        </w:rPr>
      </w:pPr>
      <w:r w:rsidRPr="00A176EA">
        <w:rPr>
          <w:snapToGrid w:val="0"/>
          <w:lang w:val="fr-FR"/>
        </w:rPr>
        <w:t>266.</w:t>
      </w:r>
      <w:r w:rsidRPr="00A176EA">
        <w:rPr>
          <w:snapToGrid w:val="0"/>
          <w:lang w:val="fr-FR"/>
        </w:rPr>
        <w:tab/>
      </w:r>
      <w:r w:rsidR="00AB5EBE">
        <w:rPr>
          <w:snapToGrid w:val="0"/>
          <w:lang w:val="fr-FR"/>
        </w:rPr>
        <w:t>Tous les personnels se déployant sur un théâtre d’opération</w:t>
      </w:r>
      <w:r w:rsidR="00C903A9">
        <w:rPr>
          <w:snapToGrid w:val="0"/>
          <w:lang w:val="fr-FR"/>
        </w:rPr>
        <w:t>s</w:t>
      </w:r>
      <w:r w:rsidR="00AB5EBE">
        <w:rPr>
          <w:snapToGrid w:val="0"/>
          <w:lang w:val="fr-FR"/>
        </w:rPr>
        <w:t xml:space="preserve"> sont formés </w:t>
      </w:r>
      <w:r w:rsidR="008114E7">
        <w:rPr>
          <w:snapToGrid w:val="0"/>
          <w:lang w:val="fr-FR"/>
        </w:rPr>
        <w:t>au droit d</w:t>
      </w:r>
      <w:r w:rsidR="00AB5EBE">
        <w:rPr>
          <w:snapToGrid w:val="0"/>
          <w:lang w:val="fr-FR"/>
        </w:rPr>
        <w:t xml:space="preserve">es conflits armés et aux normes de traitement des détenus qu’ils doivent appliquer. Une formation supplémentaire </w:t>
      </w:r>
      <w:r w:rsidR="005918DA">
        <w:rPr>
          <w:snapToGrid w:val="0"/>
          <w:lang w:val="fr-FR"/>
        </w:rPr>
        <w:t xml:space="preserve">est dispensée à ceux qui seront affectés à la garde et à la gestion de détenus. Un cours de huit jours </w:t>
      </w:r>
      <w:r w:rsidR="00C903A9">
        <w:rPr>
          <w:snapToGrid w:val="0"/>
          <w:lang w:val="fr-FR"/>
        </w:rPr>
        <w:t>apprend</w:t>
      </w:r>
      <w:r w:rsidR="005918DA">
        <w:rPr>
          <w:snapToGrid w:val="0"/>
          <w:lang w:val="fr-FR"/>
        </w:rPr>
        <w:t xml:space="preserve"> aux sous-officiers </w:t>
      </w:r>
      <w:r w:rsidR="00C903A9">
        <w:rPr>
          <w:snapToGrid w:val="0"/>
          <w:lang w:val="fr-FR"/>
        </w:rPr>
        <w:t>à</w:t>
      </w:r>
      <w:r w:rsidR="005918DA">
        <w:rPr>
          <w:snapToGrid w:val="0"/>
          <w:lang w:val="fr-FR"/>
        </w:rPr>
        <w:t xml:space="preserve"> diriger et </w:t>
      </w:r>
      <w:r w:rsidR="00C903A9">
        <w:rPr>
          <w:snapToGrid w:val="0"/>
          <w:lang w:val="fr-FR"/>
        </w:rPr>
        <w:t>à</w:t>
      </w:r>
      <w:r w:rsidR="005918DA">
        <w:rPr>
          <w:snapToGrid w:val="0"/>
          <w:lang w:val="fr-FR"/>
        </w:rPr>
        <w:t xml:space="preserve"> gérer un lieu de détention</w:t>
      </w:r>
      <w:r w:rsidR="00C903A9">
        <w:rPr>
          <w:snapToGrid w:val="0"/>
          <w:lang w:val="fr-FR"/>
        </w:rPr>
        <w:t>,</w:t>
      </w:r>
      <w:r w:rsidR="005918DA">
        <w:rPr>
          <w:snapToGrid w:val="0"/>
          <w:lang w:val="fr-FR"/>
        </w:rPr>
        <w:t xml:space="preserve"> et </w:t>
      </w:r>
      <w:r w:rsidR="00C903A9">
        <w:rPr>
          <w:snapToGrid w:val="0"/>
          <w:lang w:val="fr-FR"/>
        </w:rPr>
        <w:t xml:space="preserve">à </w:t>
      </w:r>
      <w:r w:rsidR="00672CA7">
        <w:rPr>
          <w:snapToGrid w:val="0"/>
          <w:lang w:val="fr-FR"/>
        </w:rPr>
        <w:t>agir en qualité de conseiller du commandant en matière de détention à l’échelon de leur unité</w:t>
      </w:r>
      <w:r w:rsidR="000B562B" w:rsidRPr="00A176EA">
        <w:rPr>
          <w:snapToGrid w:val="0"/>
          <w:lang w:val="fr-FR"/>
        </w:rPr>
        <w:t>.</w:t>
      </w:r>
    </w:p>
    <w:p w:rsidR="000B562B" w:rsidRPr="00672CA7" w:rsidRDefault="002549A9" w:rsidP="00672CA7">
      <w:pPr>
        <w:pStyle w:val="SingleTxtG"/>
        <w:rPr>
          <w:snapToGrid w:val="0"/>
          <w:lang w:val="fr-FR"/>
        </w:rPr>
      </w:pPr>
      <w:r w:rsidRPr="00A176EA">
        <w:rPr>
          <w:snapToGrid w:val="0"/>
          <w:lang w:val="fr-FR"/>
        </w:rPr>
        <w:t>267.</w:t>
      </w:r>
      <w:r w:rsidRPr="00A176EA">
        <w:rPr>
          <w:snapToGrid w:val="0"/>
          <w:lang w:val="fr-FR"/>
        </w:rPr>
        <w:tab/>
      </w:r>
      <w:r w:rsidR="00672CA7">
        <w:rPr>
          <w:snapToGrid w:val="0"/>
          <w:lang w:val="fr-FR"/>
        </w:rPr>
        <w:t xml:space="preserve">Tous les locaux de détention situés à l’étranger et dans un théâtre d’opérations sont gérés, entretenus et inspectés sous l’autorité </w:t>
      </w:r>
      <w:r w:rsidR="00123620" w:rsidRPr="00672CA7">
        <w:rPr>
          <w:snapToGrid w:val="0"/>
          <w:lang w:val="fr-FR"/>
        </w:rPr>
        <w:t xml:space="preserve">du </w:t>
      </w:r>
      <w:r w:rsidR="00354882">
        <w:rPr>
          <w:snapToGrid w:val="0"/>
          <w:lang w:val="fr-FR"/>
        </w:rPr>
        <w:t>Prévôt</w:t>
      </w:r>
      <w:r w:rsidR="00123620" w:rsidRPr="00672CA7">
        <w:rPr>
          <w:snapToGrid w:val="0"/>
          <w:lang w:val="fr-FR"/>
        </w:rPr>
        <w:t xml:space="preserve"> militaire</w:t>
      </w:r>
      <w:r w:rsidR="000B562B" w:rsidRPr="00672CA7">
        <w:rPr>
          <w:snapToGrid w:val="0"/>
          <w:lang w:val="fr-FR"/>
        </w:rPr>
        <w:t>.</w:t>
      </w:r>
    </w:p>
    <w:p w:rsidR="000B562B" w:rsidRPr="00A176EA" w:rsidRDefault="00CB23D8" w:rsidP="00580D15">
      <w:pPr>
        <w:pStyle w:val="H23G"/>
        <w:rPr>
          <w:snapToGrid w:val="0"/>
          <w:lang w:val="fr-FR"/>
        </w:rPr>
      </w:pPr>
      <w:bookmarkStart w:id="29" w:name="_Toc299724709"/>
      <w:r w:rsidRPr="00672CA7">
        <w:rPr>
          <w:snapToGrid w:val="0"/>
          <w:lang w:val="fr-FR"/>
        </w:rPr>
        <w:t>Centre de redressement militaire</w:t>
      </w:r>
      <w:r w:rsidR="000B562B" w:rsidRPr="00A176EA">
        <w:rPr>
          <w:snapToGrid w:val="0"/>
          <w:lang w:val="fr-FR"/>
        </w:rPr>
        <w:t xml:space="preserve"> </w:t>
      </w:r>
      <w:bookmarkEnd w:id="29"/>
    </w:p>
    <w:p w:rsidR="000B562B" w:rsidRPr="00A176EA" w:rsidRDefault="002549A9" w:rsidP="00580D15">
      <w:pPr>
        <w:pStyle w:val="SingleTxtG"/>
        <w:rPr>
          <w:snapToGrid w:val="0"/>
          <w:lang w:val="fr-FR"/>
        </w:rPr>
      </w:pPr>
      <w:r w:rsidRPr="00A176EA">
        <w:rPr>
          <w:snapToGrid w:val="0"/>
          <w:lang w:val="fr-FR"/>
        </w:rPr>
        <w:t>268.</w:t>
      </w:r>
      <w:r w:rsidRPr="00A176EA">
        <w:rPr>
          <w:snapToGrid w:val="0"/>
          <w:lang w:val="fr-FR"/>
        </w:rPr>
        <w:tab/>
      </w:r>
      <w:r w:rsidR="00672CA7">
        <w:rPr>
          <w:snapToGrid w:val="0"/>
          <w:lang w:val="fr-FR"/>
        </w:rPr>
        <w:t xml:space="preserve">Le Centre de redressement militaire est le centre de </w:t>
      </w:r>
      <w:r w:rsidR="00C377F4">
        <w:rPr>
          <w:snapToGrid w:val="0"/>
          <w:lang w:val="fr-FR"/>
        </w:rPr>
        <w:t xml:space="preserve">réadaptation militaire du Royaume-Uni. Plutôt qu’une prison, il s’agit d’un centre de détention militaire dont l’objectif est de réadapter les </w:t>
      </w:r>
      <w:r w:rsidR="002710DE">
        <w:rPr>
          <w:snapToGrid w:val="0"/>
          <w:lang w:val="fr-FR"/>
        </w:rPr>
        <w:t>soldats</w:t>
      </w:r>
      <w:r w:rsidR="00C377F4">
        <w:rPr>
          <w:snapToGrid w:val="0"/>
          <w:lang w:val="fr-FR"/>
        </w:rPr>
        <w:t xml:space="preserve"> pour qu’ils puissent </w:t>
      </w:r>
      <w:r w:rsidR="002710DE">
        <w:rPr>
          <w:snapToGrid w:val="0"/>
          <w:lang w:val="fr-FR"/>
        </w:rPr>
        <w:t>réintégrer</w:t>
      </w:r>
      <w:r w:rsidR="00C377F4">
        <w:rPr>
          <w:snapToGrid w:val="0"/>
          <w:lang w:val="fr-FR"/>
        </w:rPr>
        <w:t xml:space="preserve"> les forces armées ou la société civile après avoir purgé leur peine. La </w:t>
      </w:r>
      <w:r w:rsidR="002710DE">
        <w:rPr>
          <w:snapToGrid w:val="0"/>
          <w:lang w:val="fr-FR"/>
        </w:rPr>
        <w:t>peine</w:t>
      </w:r>
      <w:r w:rsidR="00615D60">
        <w:rPr>
          <w:snapToGrid w:val="0"/>
          <w:lang w:val="fr-FR"/>
        </w:rPr>
        <w:t xml:space="preserve"> de </w:t>
      </w:r>
      <w:r w:rsidR="00C377F4">
        <w:rPr>
          <w:snapToGrid w:val="0"/>
          <w:lang w:val="fr-FR"/>
        </w:rPr>
        <w:t xml:space="preserve">détention maximale est de deux ans. </w:t>
      </w:r>
      <w:r w:rsidR="002710DE">
        <w:rPr>
          <w:snapToGrid w:val="0"/>
          <w:lang w:val="fr-FR"/>
        </w:rPr>
        <w:t>Aux termes du</w:t>
      </w:r>
      <w:r w:rsidR="00C377F4">
        <w:rPr>
          <w:snapToGrid w:val="0"/>
          <w:lang w:val="fr-FR"/>
        </w:rPr>
        <w:t xml:space="preserve"> règlement sur </w:t>
      </w:r>
      <w:r w:rsidR="00615D60">
        <w:rPr>
          <w:snapToGrid w:val="0"/>
          <w:lang w:val="fr-FR"/>
        </w:rPr>
        <w:t>la fixation de la peine</w:t>
      </w:r>
      <w:r w:rsidR="002710DE">
        <w:rPr>
          <w:snapToGrid w:val="0"/>
          <w:lang w:val="fr-FR"/>
        </w:rPr>
        <w:t>,</w:t>
      </w:r>
      <w:r w:rsidR="00615D60">
        <w:rPr>
          <w:snapToGrid w:val="0"/>
          <w:lang w:val="fr-FR"/>
        </w:rPr>
        <w:t xml:space="preserve"> les personnes condamnées pour des infractions graves </w:t>
      </w:r>
      <w:r w:rsidR="002710DE">
        <w:rPr>
          <w:snapToGrid w:val="0"/>
          <w:lang w:val="fr-FR"/>
        </w:rPr>
        <w:t xml:space="preserve">peuvent </w:t>
      </w:r>
      <w:r w:rsidR="00615D60">
        <w:rPr>
          <w:snapToGrid w:val="0"/>
          <w:lang w:val="fr-FR"/>
        </w:rPr>
        <w:t>purge</w:t>
      </w:r>
      <w:r w:rsidR="002710DE">
        <w:rPr>
          <w:snapToGrid w:val="0"/>
          <w:lang w:val="fr-FR"/>
        </w:rPr>
        <w:t>r</w:t>
      </w:r>
      <w:r w:rsidR="00615D60">
        <w:rPr>
          <w:snapToGrid w:val="0"/>
          <w:lang w:val="fr-FR"/>
        </w:rPr>
        <w:t xml:space="preserve"> leur peine dans un établissement </w:t>
      </w:r>
      <w:r w:rsidR="001A3D6D">
        <w:rPr>
          <w:snapToGrid w:val="0"/>
          <w:lang w:val="fr-FR"/>
        </w:rPr>
        <w:t>pénitentiaire</w:t>
      </w:r>
      <w:r w:rsidR="00615D60">
        <w:rPr>
          <w:snapToGrid w:val="0"/>
          <w:lang w:val="fr-FR"/>
        </w:rPr>
        <w:t xml:space="preserve"> de Sa Majesté. Le Centre </w:t>
      </w:r>
      <w:r w:rsidR="003F561A">
        <w:rPr>
          <w:snapToGrid w:val="0"/>
          <w:lang w:val="fr-FR"/>
        </w:rPr>
        <w:t>est dirigé par l</w:t>
      </w:r>
      <w:r w:rsidR="00C903A9">
        <w:rPr>
          <w:snapToGrid w:val="0"/>
          <w:lang w:val="fr-FR"/>
        </w:rPr>
        <w:t>a</w:t>
      </w:r>
      <w:r w:rsidR="003F561A">
        <w:rPr>
          <w:snapToGrid w:val="0"/>
          <w:lang w:val="fr-FR"/>
        </w:rPr>
        <w:t xml:space="preserve"> </w:t>
      </w:r>
      <w:r w:rsidR="00354882">
        <w:rPr>
          <w:snapToGrid w:val="0"/>
          <w:lang w:val="fr-FR"/>
        </w:rPr>
        <w:t>Prévôté</w:t>
      </w:r>
      <w:r w:rsidR="003F561A" w:rsidRPr="00C903A9">
        <w:rPr>
          <w:snapToGrid w:val="0"/>
          <w:lang w:val="fr-FR"/>
        </w:rPr>
        <w:t xml:space="preserve"> militaire</w:t>
      </w:r>
      <w:r w:rsidR="00A5478E">
        <w:rPr>
          <w:snapToGrid w:val="0"/>
          <w:lang w:val="fr-FR"/>
        </w:rPr>
        <w:t xml:space="preserve">, dont les membres sont </w:t>
      </w:r>
      <w:r w:rsidR="00721A28">
        <w:rPr>
          <w:snapToGrid w:val="0"/>
          <w:lang w:val="fr-FR"/>
        </w:rPr>
        <w:t>d</w:t>
      </w:r>
      <w:r w:rsidR="00A5478E">
        <w:rPr>
          <w:snapToGrid w:val="0"/>
          <w:lang w:val="fr-FR"/>
        </w:rPr>
        <w:t xml:space="preserve">es experts </w:t>
      </w:r>
      <w:r w:rsidR="00C903A9">
        <w:rPr>
          <w:snapToGrid w:val="0"/>
          <w:lang w:val="fr-FR"/>
        </w:rPr>
        <w:t xml:space="preserve">de la défense nationale </w:t>
      </w:r>
      <w:r w:rsidR="00A5478E">
        <w:rPr>
          <w:snapToGrid w:val="0"/>
          <w:lang w:val="fr-FR"/>
        </w:rPr>
        <w:t xml:space="preserve">en </w:t>
      </w:r>
      <w:r w:rsidR="00C903A9">
        <w:rPr>
          <w:snapToGrid w:val="0"/>
          <w:lang w:val="fr-FR"/>
        </w:rPr>
        <w:t xml:space="preserve">matière de </w:t>
      </w:r>
      <w:r w:rsidR="00A5478E">
        <w:rPr>
          <w:snapToGrid w:val="0"/>
          <w:lang w:val="fr-FR"/>
        </w:rPr>
        <w:t xml:space="preserve">garde à vue et </w:t>
      </w:r>
      <w:r w:rsidR="00C903A9">
        <w:rPr>
          <w:snapToGrid w:val="0"/>
          <w:lang w:val="fr-FR"/>
        </w:rPr>
        <w:t>de</w:t>
      </w:r>
      <w:r w:rsidR="00A5478E">
        <w:rPr>
          <w:snapToGrid w:val="0"/>
          <w:lang w:val="fr-FR"/>
        </w:rPr>
        <w:t xml:space="preserve"> détention</w:t>
      </w:r>
      <w:r w:rsidR="000B562B" w:rsidRPr="00A176EA">
        <w:rPr>
          <w:snapToGrid w:val="0"/>
          <w:lang w:val="fr-FR"/>
        </w:rPr>
        <w:t>.</w:t>
      </w:r>
    </w:p>
    <w:p w:rsidR="000B562B" w:rsidRPr="00A176EA" w:rsidRDefault="002549A9" w:rsidP="00FB5D7D">
      <w:pPr>
        <w:pStyle w:val="SingleTxtG"/>
        <w:rPr>
          <w:snapToGrid w:val="0"/>
          <w:lang w:val="fr-FR"/>
        </w:rPr>
      </w:pPr>
      <w:r w:rsidRPr="00A176EA">
        <w:rPr>
          <w:snapToGrid w:val="0"/>
          <w:lang w:val="fr-FR"/>
        </w:rPr>
        <w:t>269.</w:t>
      </w:r>
      <w:r w:rsidRPr="00A176EA">
        <w:rPr>
          <w:snapToGrid w:val="0"/>
          <w:lang w:val="fr-FR"/>
        </w:rPr>
        <w:tab/>
      </w:r>
      <w:r w:rsidR="00A5478E">
        <w:rPr>
          <w:snapToGrid w:val="0"/>
          <w:lang w:val="fr-FR"/>
        </w:rPr>
        <w:t xml:space="preserve">Les militaires qui souhaitent intégrer le Centre doivent suivre une formation de base de trois mois sur les questions de détention, puis suivre des cours de perfectionnement progressifs approuvés et mis au point par le Ministère de l’intérieur. </w:t>
      </w:r>
      <w:r w:rsidR="00051C7D">
        <w:rPr>
          <w:snapToGrid w:val="0"/>
          <w:lang w:val="fr-FR"/>
        </w:rPr>
        <w:t xml:space="preserve">Des membres de la Royal Navy et de la Royal Air Force peuvent être affectés au Centre de façon temporaire et doivent suivre </w:t>
      </w:r>
      <w:r w:rsidR="00FB5D7D">
        <w:rPr>
          <w:snapToGrid w:val="0"/>
          <w:lang w:val="fr-FR"/>
        </w:rPr>
        <w:t>une formation sur mesure sur les spécificités de la détention</w:t>
      </w:r>
      <w:r w:rsidR="000B562B" w:rsidRPr="00A176EA">
        <w:rPr>
          <w:snapToGrid w:val="0"/>
          <w:lang w:val="fr-FR"/>
        </w:rPr>
        <w:t>.</w:t>
      </w:r>
    </w:p>
    <w:p w:rsidR="000B562B" w:rsidRPr="00A176EA" w:rsidRDefault="002549A9" w:rsidP="00FB5D7D">
      <w:pPr>
        <w:pStyle w:val="SingleTxtG"/>
        <w:rPr>
          <w:snapToGrid w:val="0"/>
          <w:lang w:val="fr-FR"/>
        </w:rPr>
      </w:pPr>
      <w:r w:rsidRPr="00A176EA">
        <w:rPr>
          <w:snapToGrid w:val="0"/>
          <w:lang w:val="fr-FR"/>
        </w:rPr>
        <w:t>270.</w:t>
      </w:r>
      <w:r w:rsidRPr="00A176EA">
        <w:rPr>
          <w:snapToGrid w:val="0"/>
          <w:lang w:val="fr-FR"/>
        </w:rPr>
        <w:tab/>
      </w:r>
      <w:r w:rsidR="00FB5D7D">
        <w:rPr>
          <w:snapToGrid w:val="0"/>
          <w:lang w:val="fr-FR"/>
        </w:rPr>
        <w:t>En particulier, tous les personnels militaires du Centre occupant des fonctions de surveillance sont formés à évaluer les risques que présentent les détenus vulnérables et son</w:t>
      </w:r>
      <w:r w:rsidR="00D61CC1">
        <w:rPr>
          <w:snapToGrid w:val="0"/>
          <w:lang w:val="fr-FR"/>
        </w:rPr>
        <w:t>t</w:t>
      </w:r>
      <w:r w:rsidR="00FB5D7D">
        <w:rPr>
          <w:snapToGrid w:val="0"/>
          <w:lang w:val="fr-FR"/>
        </w:rPr>
        <w:t xml:space="preserve"> sensibilisés au problème du suicide</w:t>
      </w:r>
      <w:r w:rsidR="000B562B" w:rsidRPr="00A176EA">
        <w:rPr>
          <w:snapToGrid w:val="0"/>
          <w:lang w:val="fr-FR"/>
        </w:rPr>
        <w:t>.</w:t>
      </w:r>
    </w:p>
    <w:p w:rsidR="000B562B" w:rsidRPr="00A176EA" w:rsidRDefault="00FB5D7D" w:rsidP="00BC4D3B">
      <w:pPr>
        <w:pStyle w:val="H23G"/>
        <w:rPr>
          <w:snapToGrid w:val="0"/>
          <w:lang w:val="fr-FR"/>
        </w:rPr>
      </w:pPr>
      <w:bookmarkStart w:id="30" w:name="_Toc299724710"/>
      <w:r>
        <w:rPr>
          <w:snapToGrid w:val="0"/>
          <w:lang w:val="fr-FR"/>
        </w:rPr>
        <w:t xml:space="preserve">Personnel médical du </w:t>
      </w:r>
      <w:r w:rsidR="000B562B" w:rsidRPr="00A176EA">
        <w:rPr>
          <w:snapToGrid w:val="0"/>
          <w:lang w:val="fr-FR"/>
        </w:rPr>
        <w:t>Minis</w:t>
      </w:r>
      <w:r>
        <w:rPr>
          <w:snapToGrid w:val="0"/>
          <w:lang w:val="fr-FR"/>
        </w:rPr>
        <w:t>tère de la défense</w:t>
      </w:r>
      <w:bookmarkEnd w:id="30"/>
    </w:p>
    <w:p w:rsidR="000B562B" w:rsidRPr="00A176EA" w:rsidRDefault="002549A9" w:rsidP="002710DE">
      <w:pPr>
        <w:pStyle w:val="SingleTxtG"/>
        <w:rPr>
          <w:snapToGrid w:val="0"/>
          <w:lang w:val="fr-FR"/>
        </w:rPr>
      </w:pPr>
      <w:r w:rsidRPr="00A176EA">
        <w:rPr>
          <w:snapToGrid w:val="0"/>
          <w:lang w:val="fr-FR"/>
        </w:rPr>
        <w:t>271.</w:t>
      </w:r>
      <w:r w:rsidRPr="00A176EA">
        <w:rPr>
          <w:snapToGrid w:val="0"/>
          <w:lang w:val="fr-FR"/>
        </w:rPr>
        <w:tab/>
      </w:r>
      <w:r w:rsidR="00FB5D7D">
        <w:rPr>
          <w:snapToGrid w:val="0"/>
          <w:lang w:val="fr-FR"/>
        </w:rPr>
        <w:t xml:space="preserve">Tous les médecins militaires reçoivent une formation </w:t>
      </w:r>
      <w:r w:rsidR="008114E7">
        <w:rPr>
          <w:snapToGrid w:val="0"/>
          <w:lang w:val="fr-FR"/>
        </w:rPr>
        <w:t>au droit d</w:t>
      </w:r>
      <w:r w:rsidR="00FB5D7D">
        <w:rPr>
          <w:snapToGrid w:val="0"/>
          <w:lang w:val="fr-FR"/>
        </w:rPr>
        <w:t xml:space="preserve">es conflits armés et à la Convention de Genève. </w:t>
      </w:r>
      <w:r w:rsidR="003833D8">
        <w:rPr>
          <w:snapToGrid w:val="0"/>
          <w:lang w:val="fr-FR"/>
        </w:rPr>
        <w:t>Cette</w:t>
      </w:r>
      <w:r w:rsidR="002710DE">
        <w:rPr>
          <w:snapToGrid w:val="0"/>
          <w:lang w:val="fr-FR"/>
        </w:rPr>
        <w:t xml:space="preserve"> formation est soumise à une évaluation, dont la procédure diff</w:t>
      </w:r>
      <w:r w:rsidR="003833D8">
        <w:rPr>
          <w:snapToGrid w:val="0"/>
          <w:lang w:val="fr-FR"/>
        </w:rPr>
        <w:t>è</w:t>
      </w:r>
      <w:r w:rsidR="002710DE">
        <w:rPr>
          <w:snapToGrid w:val="0"/>
          <w:lang w:val="fr-FR"/>
        </w:rPr>
        <w:t xml:space="preserve">re </w:t>
      </w:r>
      <w:r w:rsidR="003833D8">
        <w:rPr>
          <w:snapToGrid w:val="0"/>
          <w:lang w:val="fr-FR"/>
        </w:rPr>
        <w:t>pour</w:t>
      </w:r>
      <w:r w:rsidR="002710DE">
        <w:rPr>
          <w:snapToGrid w:val="0"/>
          <w:lang w:val="fr-FR"/>
        </w:rPr>
        <w:t xml:space="preserve"> chacune des trois armées</w:t>
      </w:r>
      <w:r w:rsidR="000B562B" w:rsidRPr="00A176EA">
        <w:rPr>
          <w:snapToGrid w:val="0"/>
          <w:lang w:val="fr-FR"/>
        </w:rPr>
        <w:t>.</w:t>
      </w:r>
    </w:p>
    <w:p w:rsidR="000B562B" w:rsidRPr="00A176EA" w:rsidRDefault="002549A9" w:rsidP="009B4DA5">
      <w:pPr>
        <w:pStyle w:val="SingleTxtG"/>
        <w:rPr>
          <w:snapToGrid w:val="0"/>
          <w:lang w:val="fr-FR"/>
        </w:rPr>
      </w:pPr>
      <w:r w:rsidRPr="00A176EA">
        <w:rPr>
          <w:snapToGrid w:val="0"/>
          <w:lang w:val="fr-FR"/>
        </w:rPr>
        <w:t>272.</w:t>
      </w:r>
      <w:r w:rsidRPr="00A176EA">
        <w:rPr>
          <w:snapToGrid w:val="0"/>
          <w:lang w:val="fr-FR"/>
        </w:rPr>
        <w:tab/>
      </w:r>
      <w:r w:rsidR="003833D8">
        <w:rPr>
          <w:snapToGrid w:val="0"/>
          <w:lang w:val="fr-FR"/>
        </w:rPr>
        <w:t>Le personnel médical doit suivre une formation avant tout déploiement vers</w:t>
      </w:r>
      <w:r w:rsidR="001D24F5">
        <w:rPr>
          <w:snapToGrid w:val="0"/>
          <w:lang w:val="fr-FR"/>
        </w:rPr>
        <w:t xml:space="preserve"> un théâtre d’opérations. Cette formation </w:t>
      </w:r>
      <w:r w:rsidR="00102BAB">
        <w:rPr>
          <w:snapToGrid w:val="0"/>
          <w:lang w:val="fr-FR"/>
        </w:rPr>
        <w:t>est adaptée aux conditions du terrain où il va être déployé et couvre, entre autres, les droits des détenus et les responsabilités du personnel médical qui les soigne</w:t>
      </w:r>
      <w:r w:rsidR="00AC4D71">
        <w:rPr>
          <w:snapToGrid w:val="0"/>
          <w:lang w:val="fr-FR"/>
        </w:rPr>
        <w:t xml:space="preserve">, dont les examens médicaux avant placement en détention. </w:t>
      </w:r>
      <w:r w:rsidR="009B4DA5">
        <w:rPr>
          <w:snapToGrid w:val="0"/>
          <w:lang w:val="fr-FR"/>
        </w:rPr>
        <w:t xml:space="preserve">Le rôle du </w:t>
      </w:r>
      <w:r w:rsidR="00696DBF" w:rsidRPr="009B4DA5">
        <w:rPr>
          <w:lang w:val="fr-FR"/>
        </w:rPr>
        <w:t>Comité international de la Croix-Rouge (CICR)</w:t>
      </w:r>
      <w:r w:rsidR="00AC4D71" w:rsidRPr="009B4DA5">
        <w:rPr>
          <w:lang w:val="fr-FR"/>
        </w:rPr>
        <w:t xml:space="preserve"> </w:t>
      </w:r>
      <w:r w:rsidR="009B4DA5" w:rsidRPr="009B4DA5">
        <w:rPr>
          <w:snapToGrid w:val="0"/>
          <w:lang w:val="fr-FR"/>
        </w:rPr>
        <w:t>est également</w:t>
      </w:r>
      <w:r w:rsidR="009B4DA5">
        <w:rPr>
          <w:snapToGrid w:val="0"/>
          <w:lang w:val="fr-FR"/>
        </w:rPr>
        <w:t xml:space="preserve"> abordé</w:t>
      </w:r>
      <w:r w:rsidR="000B562B" w:rsidRPr="00A176EA">
        <w:rPr>
          <w:snapToGrid w:val="0"/>
          <w:lang w:val="fr-FR"/>
        </w:rPr>
        <w:t>.</w:t>
      </w:r>
    </w:p>
    <w:p w:rsidR="000B562B" w:rsidRPr="00A176EA" w:rsidRDefault="002549A9" w:rsidP="008601B2">
      <w:pPr>
        <w:pStyle w:val="SingleTxtG"/>
        <w:rPr>
          <w:snapToGrid w:val="0"/>
          <w:lang w:val="fr-FR"/>
        </w:rPr>
      </w:pPr>
      <w:r w:rsidRPr="00A176EA">
        <w:rPr>
          <w:snapToGrid w:val="0"/>
          <w:lang w:val="fr-FR"/>
        </w:rPr>
        <w:t>273.</w:t>
      </w:r>
      <w:r w:rsidRPr="00A176EA">
        <w:rPr>
          <w:snapToGrid w:val="0"/>
          <w:lang w:val="fr-FR"/>
        </w:rPr>
        <w:tab/>
      </w:r>
      <w:r w:rsidR="00037E46">
        <w:rPr>
          <w:snapToGrid w:val="0"/>
          <w:lang w:val="fr-FR"/>
        </w:rPr>
        <w:t xml:space="preserve">Les normes que le personnel médical des forces armées doit appliquer sont détaillées </w:t>
      </w:r>
      <w:r w:rsidR="002C3FDD">
        <w:rPr>
          <w:snapToGrid w:val="0"/>
          <w:lang w:val="fr-FR"/>
        </w:rPr>
        <w:t xml:space="preserve">dans la lettre d’orientation du </w:t>
      </w:r>
      <w:r w:rsidR="005F5A6E">
        <w:rPr>
          <w:snapToGrid w:val="0"/>
          <w:lang w:val="fr-FR"/>
        </w:rPr>
        <w:t>Médecin-chef des armées, qui reprend la résolution 37/194 (1982)</w:t>
      </w:r>
      <w:r w:rsidR="008601B2">
        <w:rPr>
          <w:rStyle w:val="FootnoteReference"/>
          <w:snapToGrid w:val="0"/>
        </w:rPr>
        <w:footnoteReference w:id="39"/>
      </w:r>
      <w:r w:rsidR="005F5A6E">
        <w:rPr>
          <w:snapToGrid w:val="0"/>
          <w:lang w:val="fr-FR"/>
        </w:rPr>
        <w:t xml:space="preserve"> de l’Assemblée générale des Nations Unies</w:t>
      </w:r>
      <w:r w:rsidR="004820A0">
        <w:rPr>
          <w:snapToGrid w:val="0"/>
          <w:lang w:val="fr-FR"/>
        </w:rPr>
        <w:t xml:space="preserve"> sur la protection des détenus et des réfugiés contre la torture </w:t>
      </w:r>
      <w:r w:rsidR="00C60430">
        <w:rPr>
          <w:snapToGrid w:val="0"/>
          <w:lang w:val="fr-FR"/>
        </w:rPr>
        <w:t>et autres peines ou traitements cruels, inhumains ou dégradants. Ces normes interdisent expressément au personnel médical de se rendre complice de torture et autres traitement</w:t>
      </w:r>
      <w:r w:rsidR="00354882">
        <w:rPr>
          <w:snapToGrid w:val="0"/>
          <w:lang w:val="fr-FR"/>
        </w:rPr>
        <w:t>s</w:t>
      </w:r>
      <w:r w:rsidR="00C60430">
        <w:rPr>
          <w:snapToGrid w:val="0"/>
          <w:lang w:val="fr-FR"/>
        </w:rPr>
        <w:t xml:space="preserve"> inhumain</w:t>
      </w:r>
      <w:r w:rsidR="00354882">
        <w:rPr>
          <w:snapToGrid w:val="0"/>
          <w:lang w:val="fr-FR"/>
        </w:rPr>
        <w:t>s</w:t>
      </w:r>
      <w:r w:rsidR="00C60430">
        <w:rPr>
          <w:snapToGrid w:val="0"/>
          <w:lang w:val="fr-FR"/>
        </w:rPr>
        <w:t>/dégradant</w:t>
      </w:r>
      <w:r w:rsidR="00354882">
        <w:rPr>
          <w:snapToGrid w:val="0"/>
          <w:lang w:val="fr-FR"/>
        </w:rPr>
        <w:t>s</w:t>
      </w:r>
      <w:r w:rsidR="00C60430">
        <w:rPr>
          <w:snapToGrid w:val="0"/>
          <w:lang w:val="fr-FR"/>
        </w:rPr>
        <w:t xml:space="preserve"> et lui imposent d’évaluer si un détenu malade est apte à être interrogé. Elles indiquent par ailleurs qu’un médecin militaire ayant des connaissances en psychiatrie doit être présent dans tous les lieux de détention pour évaluer l’état mental des détenus</w:t>
      </w:r>
      <w:r w:rsidR="000B562B" w:rsidRPr="00A176EA">
        <w:rPr>
          <w:snapToGrid w:val="0"/>
          <w:lang w:val="fr-FR"/>
        </w:rPr>
        <w:t>.</w:t>
      </w:r>
    </w:p>
    <w:p w:rsidR="000B562B" w:rsidRPr="00C60430" w:rsidRDefault="00327073" w:rsidP="007977DD">
      <w:pPr>
        <w:pStyle w:val="H23G"/>
        <w:rPr>
          <w:lang w:val="fr-FR"/>
        </w:rPr>
      </w:pPr>
      <w:r w:rsidRPr="00C60430">
        <w:rPr>
          <w:lang w:val="fr-FR"/>
        </w:rPr>
        <w:t>Ministère public de la Couronne</w:t>
      </w:r>
    </w:p>
    <w:p w:rsidR="000B562B" w:rsidRPr="00A176EA" w:rsidRDefault="002549A9" w:rsidP="007977DD">
      <w:pPr>
        <w:pStyle w:val="SingleTxtG"/>
        <w:rPr>
          <w:lang w:val="fr-FR"/>
        </w:rPr>
      </w:pPr>
      <w:r w:rsidRPr="00C60430">
        <w:rPr>
          <w:lang w:val="fr-FR"/>
        </w:rPr>
        <w:t>274.</w:t>
      </w:r>
      <w:r w:rsidRPr="00C60430">
        <w:rPr>
          <w:lang w:val="fr-FR"/>
        </w:rPr>
        <w:tab/>
      </w:r>
      <w:r w:rsidR="00C60430">
        <w:rPr>
          <w:lang w:val="fr-FR"/>
        </w:rPr>
        <w:t>L</w:t>
      </w:r>
      <w:r w:rsidR="000B562B" w:rsidRPr="00C60430">
        <w:rPr>
          <w:lang w:val="fr-FR"/>
        </w:rPr>
        <w:t>e</w:t>
      </w:r>
      <w:r w:rsidR="00C60430">
        <w:rPr>
          <w:lang w:val="fr-FR"/>
        </w:rPr>
        <w:t>s avis juridiques du</w:t>
      </w:r>
      <w:r w:rsidR="000B562B" w:rsidRPr="00C60430">
        <w:rPr>
          <w:lang w:val="fr-FR"/>
        </w:rPr>
        <w:t xml:space="preserve"> </w:t>
      </w:r>
      <w:r w:rsidR="007A1549">
        <w:rPr>
          <w:lang w:val="fr-FR"/>
        </w:rPr>
        <w:t>m</w:t>
      </w:r>
      <w:r w:rsidR="00327073" w:rsidRPr="00C60430">
        <w:rPr>
          <w:lang w:val="fr-FR"/>
        </w:rPr>
        <w:t>inistère public de la Couronne</w:t>
      </w:r>
      <w:r w:rsidR="00C60430">
        <w:rPr>
          <w:lang w:val="fr-FR"/>
        </w:rPr>
        <w:t xml:space="preserve"> en matière de droits de l’homme, mis à la disposition de tous les procureurs et </w:t>
      </w:r>
      <w:r w:rsidR="00255C07">
        <w:rPr>
          <w:lang w:val="fr-FR"/>
        </w:rPr>
        <w:t>substituts du procureur</w:t>
      </w:r>
      <w:r w:rsidR="00AE69AB">
        <w:rPr>
          <w:lang w:val="fr-FR"/>
        </w:rPr>
        <w:t xml:space="preserve">, renvoient à l’article 3 de la </w:t>
      </w:r>
      <w:r w:rsidR="006F4B46" w:rsidRPr="00C60430">
        <w:rPr>
          <w:lang w:val="fr-FR"/>
        </w:rPr>
        <w:t xml:space="preserve">Convention européenne des droits de l’homme </w:t>
      </w:r>
      <w:r w:rsidR="00AE69AB">
        <w:rPr>
          <w:lang w:val="fr-FR"/>
        </w:rPr>
        <w:t>(Interdiction de la</w:t>
      </w:r>
      <w:r w:rsidR="000B562B" w:rsidRPr="00C60430">
        <w:rPr>
          <w:lang w:val="fr-FR"/>
        </w:rPr>
        <w:t xml:space="preserve"> torture</w:t>
      </w:r>
      <w:r w:rsidR="000B562B" w:rsidRPr="00A176EA">
        <w:rPr>
          <w:lang w:val="fr-FR"/>
        </w:rPr>
        <w:t xml:space="preserve"> </w:t>
      </w:r>
      <w:r w:rsidR="00AE69AB">
        <w:rPr>
          <w:lang w:val="fr-FR"/>
        </w:rPr>
        <w:t>et</w:t>
      </w:r>
      <w:r w:rsidR="00255C07">
        <w:rPr>
          <w:lang w:val="fr-FR"/>
        </w:rPr>
        <w:t xml:space="preserve"> des traitements dégradants</w:t>
      </w:r>
      <w:r w:rsidR="000B562B" w:rsidRPr="00A176EA">
        <w:rPr>
          <w:lang w:val="fr-FR"/>
        </w:rPr>
        <w:t>).</w:t>
      </w:r>
    </w:p>
    <w:p w:rsidR="000B562B" w:rsidRPr="00A176EA" w:rsidRDefault="002549A9" w:rsidP="0040706B">
      <w:pPr>
        <w:pStyle w:val="SingleTxtG"/>
        <w:rPr>
          <w:lang w:val="fr-FR"/>
        </w:rPr>
      </w:pPr>
      <w:r w:rsidRPr="00A176EA">
        <w:rPr>
          <w:lang w:val="fr-FR"/>
        </w:rPr>
        <w:t>275.</w:t>
      </w:r>
      <w:r w:rsidRPr="00A176EA">
        <w:rPr>
          <w:lang w:val="fr-FR"/>
        </w:rPr>
        <w:tab/>
      </w:r>
      <w:r w:rsidR="00255C07" w:rsidRPr="00255C07">
        <w:rPr>
          <w:lang w:val="fr-FR"/>
        </w:rPr>
        <w:t>La Stratégie en matière de violence à l’égard des femmes du</w:t>
      </w:r>
      <w:r w:rsidR="000B562B" w:rsidRPr="00255C07">
        <w:rPr>
          <w:lang w:val="fr-FR"/>
        </w:rPr>
        <w:t xml:space="preserve"> </w:t>
      </w:r>
      <w:r w:rsidR="007A1549">
        <w:rPr>
          <w:lang w:val="fr-FR"/>
        </w:rPr>
        <w:t>m</w:t>
      </w:r>
      <w:r w:rsidR="00327073" w:rsidRPr="00255C07">
        <w:rPr>
          <w:lang w:val="fr-FR"/>
        </w:rPr>
        <w:t>inistère public de la Couronne</w:t>
      </w:r>
      <w:r w:rsidR="00255C07" w:rsidRPr="00255C07">
        <w:rPr>
          <w:lang w:val="fr-FR"/>
        </w:rPr>
        <w:t>, publiée en avril</w:t>
      </w:r>
      <w:r w:rsidR="000B562B" w:rsidRPr="00255C07">
        <w:rPr>
          <w:lang w:val="fr-FR"/>
        </w:rPr>
        <w:t xml:space="preserve"> 2008,</w:t>
      </w:r>
      <w:r w:rsidR="000B562B" w:rsidRPr="00A176EA">
        <w:rPr>
          <w:lang w:val="fr-FR"/>
        </w:rPr>
        <w:t xml:space="preserve"> </w:t>
      </w:r>
      <w:r w:rsidR="00255C07">
        <w:rPr>
          <w:lang w:val="fr-FR"/>
        </w:rPr>
        <w:t xml:space="preserve">comprend des plans pour la formation future des procureurs et des substituts sur la violence à l’égard des femmes. </w:t>
      </w:r>
      <w:r w:rsidR="00255C07" w:rsidRPr="0040706B">
        <w:rPr>
          <w:lang w:val="fr-FR"/>
        </w:rPr>
        <w:t xml:space="preserve">Cette formation rejoindra des volets existants de programmes de formation </w:t>
      </w:r>
      <w:r w:rsidR="008C664C">
        <w:rPr>
          <w:lang w:val="fr-FR"/>
        </w:rPr>
        <w:t>dispensés</w:t>
      </w:r>
      <w:r w:rsidR="0040706B" w:rsidRPr="0040706B">
        <w:rPr>
          <w:lang w:val="fr-FR"/>
        </w:rPr>
        <w:t xml:space="preserve"> au sein du </w:t>
      </w:r>
      <w:r w:rsidR="007A1549">
        <w:rPr>
          <w:lang w:val="fr-FR"/>
        </w:rPr>
        <w:t>m</w:t>
      </w:r>
      <w:r w:rsidR="00327073" w:rsidRPr="0040706B">
        <w:rPr>
          <w:lang w:val="fr-FR"/>
        </w:rPr>
        <w:t>inistère public</w:t>
      </w:r>
      <w:r w:rsidR="000B562B" w:rsidRPr="0040706B">
        <w:rPr>
          <w:lang w:val="fr-FR"/>
        </w:rPr>
        <w:t>.</w:t>
      </w:r>
    </w:p>
    <w:p w:rsidR="000B562B" w:rsidRPr="00A176EA" w:rsidRDefault="002549A9" w:rsidP="0040706B">
      <w:pPr>
        <w:pStyle w:val="SingleTxtG"/>
        <w:rPr>
          <w:lang w:val="fr-FR"/>
        </w:rPr>
      </w:pPr>
      <w:r w:rsidRPr="00A176EA">
        <w:rPr>
          <w:lang w:val="fr-FR"/>
        </w:rPr>
        <w:t>276.</w:t>
      </w:r>
      <w:r w:rsidRPr="00A176EA">
        <w:rPr>
          <w:lang w:val="fr-FR"/>
        </w:rPr>
        <w:tab/>
      </w:r>
      <w:r w:rsidR="0040706B" w:rsidRPr="0040706B">
        <w:rPr>
          <w:lang w:val="fr-FR"/>
        </w:rPr>
        <w:t xml:space="preserve">Les crimes contre l’humanité, les crimes de guerre et les allégations de torture sont traités par </w:t>
      </w:r>
      <w:r w:rsidR="007F77A4" w:rsidRPr="0040706B">
        <w:rPr>
          <w:lang w:val="fr-FR"/>
        </w:rPr>
        <w:t>la</w:t>
      </w:r>
      <w:r w:rsidR="000B562B" w:rsidRPr="0040706B">
        <w:rPr>
          <w:lang w:val="fr-FR"/>
        </w:rPr>
        <w:t xml:space="preserve"> </w:t>
      </w:r>
      <w:r w:rsidR="00714477" w:rsidRPr="0040706B">
        <w:rPr>
          <w:lang w:val="fr-FR"/>
        </w:rPr>
        <w:t xml:space="preserve">Division </w:t>
      </w:r>
      <w:r w:rsidR="007F77A4" w:rsidRPr="0040706B">
        <w:rPr>
          <w:lang w:val="fr-FR"/>
        </w:rPr>
        <w:t>de la lutte antiterroriste du</w:t>
      </w:r>
      <w:r w:rsidR="000B562B" w:rsidRPr="0040706B">
        <w:rPr>
          <w:lang w:val="fr-FR"/>
        </w:rPr>
        <w:t xml:space="preserve"> </w:t>
      </w:r>
      <w:r w:rsidR="007A1549">
        <w:rPr>
          <w:lang w:val="fr-FR"/>
        </w:rPr>
        <w:t>m</w:t>
      </w:r>
      <w:r w:rsidR="00327073" w:rsidRPr="0040706B">
        <w:rPr>
          <w:lang w:val="fr-FR"/>
        </w:rPr>
        <w:t>inistère public de la Couronne</w:t>
      </w:r>
      <w:r w:rsidR="000B562B" w:rsidRPr="0040706B">
        <w:rPr>
          <w:lang w:val="fr-FR"/>
        </w:rPr>
        <w:t>.</w:t>
      </w:r>
      <w:r w:rsidR="000B562B" w:rsidRPr="00A176EA">
        <w:rPr>
          <w:lang w:val="fr-FR"/>
        </w:rPr>
        <w:t xml:space="preserve"> </w:t>
      </w:r>
      <w:r w:rsidR="0040706B">
        <w:rPr>
          <w:lang w:val="fr-FR"/>
        </w:rPr>
        <w:t>Les procureurs s’occupant de ces affaires reçoivent une formation spécialisée et peuvent bénéficier de conseils en interne</w:t>
      </w:r>
      <w:r w:rsidR="000B562B" w:rsidRPr="00A176EA">
        <w:rPr>
          <w:lang w:val="fr-FR"/>
        </w:rPr>
        <w:t>.</w:t>
      </w:r>
    </w:p>
    <w:p w:rsidR="000B562B" w:rsidRPr="00A176EA" w:rsidRDefault="0040706B" w:rsidP="007977DD">
      <w:pPr>
        <w:pStyle w:val="H23G"/>
        <w:rPr>
          <w:lang w:val="fr-FR"/>
        </w:rPr>
      </w:pPr>
      <w:bookmarkStart w:id="31" w:name="_Toc299724712"/>
      <w:r>
        <w:rPr>
          <w:lang w:val="fr-FR"/>
        </w:rPr>
        <w:t xml:space="preserve">Autres personnels </w:t>
      </w:r>
      <w:r w:rsidR="000B562B" w:rsidRPr="00A176EA">
        <w:rPr>
          <w:lang w:val="fr-FR"/>
        </w:rPr>
        <w:t xml:space="preserve">– </w:t>
      </w:r>
      <w:bookmarkEnd w:id="31"/>
      <w:r w:rsidR="000E52AE">
        <w:rPr>
          <w:lang w:val="fr-FR"/>
        </w:rPr>
        <w:t>employés</w:t>
      </w:r>
      <w:r w:rsidR="00ED5134">
        <w:rPr>
          <w:lang w:val="fr-FR"/>
        </w:rPr>
        <w:t xml:space="preserve"> consulaires</w:t>
      </w:r>
    </w:p>
    <w:p w:rsidR="000B562B" w:rsidRPr="00A176EA" w:rsidRDefault="002549A9" w:rsidP="00885D88">
      <w:pPr>
        <w:pStyle w:val="SingleTxtG"/>
        <w:rPr>
          <w:lang w:val="fr-FR"/>
        </w:rPr>
      </w:pPr>
      <w:r w:rsidRPr="00A176EA">
        <w:rPr>
          <w:lang w:val="fr-FR"/>
        </w:rPr>
        <w:t>277.</w:t>
      </w:r>
      <w:r w:rsidRPr="00A176EA">
        <w:rPr>
          <w:lang w:val="fr-FR"/>
        </w:rPr>
        <w:tab/>
      </w:r>
      <w:r w:rsidR="001D3058">
        <w:rPr>
          <w:lang w:val="fr-FR"/>
        </w:rPr>
        <w:t xml:space="preserve">Garantir le bien-être des ressortissants britanniques détenus à l’étranger est l’une des </w:t>
      </w:r>
      <w:r w:rsidR="00885D88">
        <w:rPr>
          <w:lang w:val="fr-FR"/>
        </w:rPr>
        <w:t>principales priorités consulaires du Ministère des affaires étrangères et du Commonwealth. Toute allégation de mauvais traitement est prise très au sérieux. S’il y a lieu de croire qu’un ressortissant britannique est maltraité en détention, la politique du Royaume-Uni est de tenter d’y mettre fin</w:t>
      </w:r>
      <w:r w:rsidR="000B562B" w:rsidRPr="00A176EA">
        <w:rPr>
          <w:lang w:val="fr-FR"/>
        </w:rPr>
        <w:t>.</w:t>
      </w:r>
    </w:p>
    <w:p w:rsidR="000B562B" w:rsidRPr="00A176EA" w:rsidRDefault="002549A9" w:rsidP="002E1D0A">
      <w:pPr>
        <w:pStyle w:val="SingleTxtG"/>
        <w:rPr>
          <w:lang w:val="fr-FR"/>
        </w:rPr>
      </w:pPr>
      <w:r w:rsidRPr="00A176EA">
        <w:rPr>
          <w:lang w:val="fr-FR"/>
        </w:rPr>
        <w:t>278.</w:t>
      </w:r>
      <w:r w:rsidRPr="00A176EA">
        <w:rPr>
          <w:lang w:val="fr-FR"/>
        </w:rPr>
        <w:tab/>
      </w:r>
      <w:r w:rsidR="00885D88">
        <w:rPr>
          <w:lang w:val="fr-FR"/>
        </w:rPr>
        <w:t xml:space="preserve">Tous les employés consulaires sont spécifiquement formés aux actions à entreprendre en réponse à toute allégation de mauvais traitement. </w:t>
      </w:r>
      <w:r w:rsidR="002E1D0A">
        <w:rPr>
          <w:lang w:val="fr-FR"/>
        </w:rPr>
        <w:t>Tous disposent de directives internes claires pour détecter les signes de torture et de mauvais traitement et adopter les procédures requises dans de telles circonstances</w:t>
      </w:r>
      <w:r w:rsidR="000B562B" w:rsidRPr="00A176EA">
        <w:rPr>
          <w:lang w:val="fr-FR"/>
        </w:rPr>
        <w:t>.</w:t>
      </w:r>
    </w:p>
    <w:p w:rsidR="000B562B" w:rsidRPr="00A176EA" w:rsidRDefault="002549A9" w:rsidP="00E438FE">
      <w:pPr>
        <w:pStyle w:val="SingleTxtG"/>
        <w:rPr>
          <w:lang w:val="fr-FR"/>
        </w:rPr>
      </w:pPr>
      <w:r w:rsidRPr="00A176EA">
        <w:rPr>
          <w:lang w:val="fr-FR"/>
        </w:rPr>
        <w:t>279.</w:t>
      </w:r>
      <w:r w:rsidRPr="00A176EA">
        <w:rPr>
          <w:lang w:val="fr-FR"/>
        </w:rPr>
        <w:tab/>
      </w:r>
      <w:r w:rsidR="008360CE">
        <w:rPr>
          <w:lang w:val="fr-FR"/>
        </w:rPr>
        <w:t xml:space="preserve">Le personnel a pour instruction de demander aux détenus s’ils ont souffert de brutalités ou de mauvais traitement et d’en rechercher les signes même lorsque l’intéressé ne s’en plaint pas. Le Royaume-Uni donnera suite aux </w:t>
      </w:r>
      <w:r w:rsidR="00E13A3A">
        <w:rPr>
          <w:lang w:val="fr-FR"/>
        </w:rPr>
        <w:t xml:space="preserve">rapports de mauvais traitements, qu’ils émanent de l’intéressé lui-même, de ses amis, de sa famille, de ses représentants ou d’autres sources. La forme de ce suivi dépend des circonstances propres à chaque cas et peut comprendre la formulation d’observations au pays </w:t>
      </w:r>
      <w:r w:rsidR="00035EC4">
        <w:rPr>
          <w:lang w:val="fr-FR"/>
        </w:rPr>
        <w:t>concerné</w:t>
      </w:r>
      <w:r w:rsidR="00E13A3A">
        <w:rPr>
          <w:lang w:val="fr-FR"/>
        </w:rPr>
        <w:t xml:space="preserve"> ou </w:t>
      </w:r>
      <w:r w:rsidR="00E438FE">
        <w:rPr>
          <w:lang w:val="fr-FR"/>
        </w:rPr>
        <w:t>à son</w:t>
      </w:r>
      <w:r w:rsidR="00E13A3A">
        <w:rPr>
          <w:lang w:val="fr-FR"/>
        </w:rPr>
        <w:t xml:space="preserve"> ambassade à Londres, </w:t>
      </w:r>
      <w:r w:rsidR="00E438FE">
        <w:rPr>
          <w:lang w:val="fr-FR"/>
        </w:rPr>
        <w:t>l’intervention de ministères ou la coordination d’une action internationale. Quelle que soit l’action entreprise, l’objectif demeure le même</w:t>
      </w:r>
      <w:r w:rsidR="00FC2B97">
        <w:rPr>
          <w:lang w:val="fr-FR"/>
        </w:rPr>
        <w:t>:</w:t>
      </w:r>
      <w:r w:rsidR="00E438FE">
        <w:rPr>
          <w:lang w:val="fr-FR"/>
        </w:rPr>
        <w:t xml:space="preserve"> mettre fin aux mauvais traitements et obtenir une enquête sur l’incident</w:t>
      </w:r>
      <w:r w:rsidR="000B562B" w:rsidRPr="00A176EA">
        <w:rPr>
          <w:lang w:val="fr-FR"/>
        </w:rPr>
        <w:t>.</w:t>
      </w:r>
    </w:p>
    <w:p w:rsidR="000B562B" w:rsidRPr="00A176EA" w:rsidRDefault="00E438FE" w:rsidP="007977DD">
      <w:pPr>
        <w:pStyle w:val="H23G"/>
        <w:rPr>
          <w:snapToGrid w:val="0"/>
          <w:lang w:val="fr-FR"/>
        </w:rPr>
      </w:pPr>
      <w:bookmarkStart w:id="32" w:name="_Toc299724713"/>
      <w:r>
        <w:rPr>
          <w:lang w:val="fr-FR"/>
        </w:rPr>
        <w:t>Autres personnels</w:t>
      </w:r>
      <w:r w:rsidR="000B562B" w:rsidRPr="00A176EA">
        <w:rPr>
          <w:lang w:val="fr-FR"/>
        </w:rPr>
        <w:t xml:space="preserve"> – </w:t>
      </w:r>
      <w:r>
        <w:rPr>
          <w:lang w:val="fr-FR"/>
        </w:rPr>
        <w:t>agents du renseignement et personnel militaire</w:t>
      </w:r>
      <w:bookmarkEnd w:id="32"/>
    </w:p>
    <w:p w:rsidR="000B562B" w:rsidRPr="00A176EA" w:rsidRDefault="002549A9" w:rsidP="00BD5B6E">
      <w:pPr>
        <w:pStyle w:val="SingleTxtG"/>
        <w:rPr>
          <w:lang w:val="fr-FR"/>
        </w:rPr>
      </w:pPr>
      <w:r w:rsidRPr="00A176EA">
        <w:rPr>
          <w:lang w:val="fr-FR"/>
        </w:rPr>
        <w:t>280.</w:t>
      </w:r>
      <w:r w:rsidRPr="00A176EA">
        <w:rPr>
          <w:lang w:val="fr-FR"/>
        </w:rPr>
        <w:tab/>
      </w:r>
      <w:r w:rsidR="002255B5" w:rsidRPr="002255B5">
        <w:rPr>
          <w:lang w:val="fr-FR"/>
        </w:rPr>
        <w:t xml:space="preserve">Tous les agents du renseignement et les militaires britanniques reçoivent des consignes sur les normes applicables pendant la détention et les </w:t>
      </w:r>
      <w:r w:rsidR="00CF0987">
        <w:rPr>
          <w:lang w:val="fr-FR"/>
        </w:rPr>
        <w:t>auditions</w:t>
      </w:r>
      <w:r w:rsidR="002255B5" w:rsidRPr="002255B5">
        <w:rPr>
          <w:lang w:val="fr-FR"/>
        </w:rPr>
        <w:t xml:space="preserve"> de détenus à l’étranger, dont la façon dont ils doivent travailler avec nos partenaires agents de liaison du renseignement. Le 6 juillet 2010, le Premier Ministre a annoncé la publication des </w:t>
      </w:r>
      <w:r w:rsidR="002255B5" w:rsidRPr="009F2DD9">
        <w:rPr>
          <w:i/>
          <w:iCs/>
          <w:lang w:val="fr-FR"/>
        </w:rPr>
        <w:t xml:space="preserve">Directives aux agents de renseignement et aux militaires sur la détention et les </w:t>
      </w:r>
      <w:r w:rsidR="00CF0987" w:rsidRPr="009F2DD9">
        <w:rPr>
          <w:i/>
          <w:iCs/>
          <w:lang w:val="fr-FR"/>
        </w:rPr>
        <w:t>auditions</w:t>
      </w:r>
      <w:r w:rsidR="002255B5" w:rsidRPr="009F2DD9">
        <w:rPr>
          <w:i/>
          <w:iCs/>
          <w:lang w:val="fr-FR"/>
        </w:rPr>
        <w:t xml:space="preserve"> de détenus à l’étranger, et sur la transmission et la réception d’informations relatives à ces détenus</w:t>
      </w:r>
      <w:r w:rsidR="00BD5B6E">
        <w:rPr>
          <w:rStyle w:val="FootnoteReference"/>
        </w:rPr>
        <w:footnoteReference w:id="40"/>
      </w:r>
      <w:r w:rsidR="002255B5">
        <w:rPr>
          <w:lang w:val="fr-FR"/>
        </w:rPr>
        <w:t>.</w:t>
      </w:r>
    </w:p>
    <w:p w:rsidR="000B562B" w:rsidRPr="002255B5" w:rsidRDefault="002549A9" w:rsidP="007977DD">
      <w:pPr>
        <w:pStyle w:val="SingleTxtG"/>
        <w:rPr>
          <w:lang w:val="fr-FR"/>
        </w:rPr>
      </w:pPr>
      <w:r w:rsidRPr="00A176EA">
        <w:rPr>
          <w:lang w:val="fr-FR"/>
        </w:rPr>
        <w:t>281.</w:t>
      </w:r>
      <w:r w:rsidRPr="00A176EA">
        <w:rPr>
          <w:lang w:val="fr-FR"/>
        </w:rPr>
        <w:tab/>
      </w:r>
      <w:r w:rsidR="00363345" w:rsidRPr="002255B5">
        <w:rPr>
          <w:lang w:val="fr-FR"/>
        </w:rPr>
        <w:t xml:space="preserve">Les Directives définissent les normes régissant le fonctionnement des agences de renseignement et des forces armées, et précisent clairement que les </w:t>
      </w:r>
      <w:r w:rsidR="00A26592">
        <w:rPr>
          <w:lang w:val="fr-FR"/>
        </w:rPr>
        <w:t>agents</w:t>
      </w:r>
      <w:r w:rsidR="00363345" w:rsidRPr="002255B5">
        <w:rPr>
          <w:lang w:val="fr-FR"/>
        </w:rPr>
        <w:t xml:space="preserve"> de renseignement britanniques doivent opérer conformément au droit international et national, dont la Convention contre la torture et la loi de 1998 sur les droits de l’homme. Elles stipulent que, premièrement, les services britanniques ne doivent entreprendre aucune action en sachant ou en ayant toute raison de croire que des actes de torture seront commis</w:t>
      </w:r>
      <w:r w:rsidR="00FC2B97">
        <w:rPr>
          <w:lang w:val="fr-FR"/>
        </w:rPr>
        <w:t>;</w:t>
      </w:r>
      <w:r w:rsidR="00363345" w:rsidRPr="002255B5">
        <w:rPr>
          <w:lang w:val="fr-FR"/>
        </w:rPr>
        <w:t xml:space="preserve"> deuxièmement, que s’ils ont connaissance de sévices commis par d’autres pays, ils doivent en faire rapport au Gouvernement afin que celui-ci puisse prendre les mesures nécessaires pour y mettre fin</w:t>
      </w:r>
      <w:r w:rsidR="00FC2B97">
        <w:rPr>
          <w:lang w:val="fr-FR"/>
        </w:rPr>
        <w:t>;</w:t>
      </w:r>
      <w:r w:rsidR="00363345" w:rsidRPr="002255B5">
        <w:rPr>
          <w:lang w:val="fr-FR"/>
        </w:rPr>
        <w:t xml:space="preserve"> et, troisièmement, que lorsqu’ils se procurent des renseignements dans des cas où ils pensent que certaines informations pourraient sauver des vies mais aussi qu’il existe un risque grave de mauvais traitement, il incombe aux ministres britanniques de déterminer comment réduire ce risque. En tout état de cause, les Directives ne sont pas et ne prétendent pas être des recommandations aux ministres, et ne visent pas à régler les détails de la façon dont les ministres donneront suite à chaque cas individuel</w:t>
      </w:r>
      <w:r w:rsidR="000B562B" w:rsidRPr="002255B5">
        <w:rPr>
          <w:lang w:val="fr-FR"/>
        </w:rPr>
        <w:t>.</w:t>
      </w:r>
    </w:p>
    <w:p w:rsidR="000B562B" w:rsidRPr="00A176EA" w:rsidRDefault="002549A9" w:rsidP="00C154F2">
      <w:pPr>
        <w:pStyle w:val="SingleTxtG"/>
        <w:rPr>
          <w:lang w:val="fr-FR"/>
        </w:rPr>
      </w:pPr>
      <w:r w:rsidRPr="002255B5">
        <w:rPr>
          <w:lang w:val="fr-FR"/>
        </w:rPr>
        <w:t>282.</w:t>
      </w:r>
      <w:r w:rsidRPr="002255B5">
        <w:rPr>
          <w:lang w:val="fr-FR"/>
        </w:rPr>
        <w:tab/>
      </w:r>
      <w:r w:rsidR="002255B5">
        <w:rPr>
          <w:lang w:val="fr-FR"/>
        </w:rPr>
        <w:t>Au travers de la</w:t>
      </w:r>
      <w:r w:rsidR="00363345" w:rsidRPr="002255B5">
        <w:rPr>
          <w:lang w:val="fr-FR"/>
        </w:rPr>
        <w:t xml:space="preserve"> Commission du renseignement et de la sécurité, créée par la loi de 1994 sur les services de renseignement,</w:t>
      </w:r>
      <w:r w:rsidR="00363345">
        <w:rPr>
          <w:lang w:val="fr-FR"/>
        </w:rPr>
        <w:t xml:space="preserve"> </w:t>
      </w:r>
      <w:r w:rsidR="002255B5">
        <w:rPr>
          <w:lang w:val="fr-FR"/>
        </w:rPr>
        <w:t xml:space="preserve">le Parlement contrôle les dépenses, l’administration et la politique des </w:t>
      </w:r>
      <w:r w:rsidR="00CE012B">
        <w:rPr>
          <w:lang w:val="fr-FR"/>
        </w:rPr>
        <w:t xml:space="preserve">Services de renseignement et de sécurité. D’autres mécanismes de contrôle, tous créés par voie législative, </w:t>
      </w:r>
      <w:r w:rsidR="00C154F2">
        <w:rPr>
          <w:lang w:val="fr-FR"/>
        </w:rPr>
        <w:t>permettent d’exercer un contrôle sur la politique et les opérations des Services, dont le Commissaire des services de renseignement, le Commissaire à l’interception des communications et le Tribunal des pouvoirs d’enquête</w:t>
      </w:r>
      <w:r w:rsidR="000B562B" w:rsidRPr="00A176EA">
        <w:rPr>
          <w:lang w:val="fr-FR"/>
        </w:rPr>
        <w:t>.</w:t>
      </w:r>
    </w:p>
    <w:p w:rsidR="000B562B" w:rsidRPr="00A176EA" w:rsidRDefault="00B45A95" w:rsidP="001C135E">
      <w:pPr>
        <w:pStyle w:val="H1G"/>
      </w:pPr>
      <w:bookmarkStart w:id="33" w:name="_Toc299724714"/>
      <w:r>
        <w:tab/>
      </w:r>
      <w:r>
        <w:tab/>
      </w:r>
      <w:r w:rsidR="000B562B" w:rsidRPr="00A176EA">
        <w:t>Article 11</w:t>
      </w:r>
      <w:r w:rsidR="00BD5B6E">
        <w:br/>
      </w:r>
      <w:r w:rsidR="000B562B" w:rsidRPr="00A176EA">
        <w:t>S</w:t>
      </w:r>
      <w:r w:rsidR="002255B5">
        <w:t>urveillance s</w:t>
      </w:r>
      <w:r w:rsidR="000B562B" w:rsidRPr="00A176EA">
        <w:t>yst</w:t>
      </w:r>
      <w:r w:rsidR="002255B5">
        <w:t>é</w:t>
      </w:r>
      <w:r w:rsidR="000B562B" w:rsidRPr="00A176EA">
        <w:t>mati</w:t>
      </w:r>
      <w:r w:rsidR="002255B5">
        <w:t xml:space="preserve">que exercée sur les règles, instructions, méthodes et pratiques en vue </w:t>
      </w:r>
      <w:r w:rsidR="004D16F0">
        <w:t>de prévenir</w:t>
      </w:r>
      <w:r w:rsidR="002255B5">
        <w:t xml:space="preserve"> tout cas de torture et autres formes de mauvais</w:t>
      </w:r>
      <w:r w:rsidR="000B562B" w:rsidRPr="00A176EA">
        <w:t xml:space="preserve"> </w:t>
      </w:r>
      <w:bookmarkEnd w:id="33"/>
      <w:r w:rsidR="002255B5">
        <w:t>traitement</w:t>
      </w:r>
      <w:r w:rsidR="00A91FC7">
        <w:t>s</w:t>
      </w:r>
    </w:p>
    <w:p w:rsidR="000B562B" w:rsidRPr="00A176EA" w:rsidRDefault="002549A9" w:rsidP="00E66934">
      <w:pPr>
        <w:pStyle w:val="SingleTxtG"/>
        <w:rPr>
          <w:lang w:val="fr-FR"/>
        </w:rPr>
      </w:pPr>
      <w:r w:rsidRPr="00A176EA">
        <w:rPr>
          <w:lang w:val="fr-FR"/>
        </w:rPr>
        <w:t>283.</w:t>
      </w:r>
      <w:r w:rsidRPr="00A176EA">
        <w:rPr>
          <w:lang w:val="fr-FR"/>
        </w:rPr>
        <w:tab/>
      </w:r>
      <w:r w:rsidR="002D0F43" w:rsidRPr="002D0F43">
        <w:rPr>
          <w:lang w:val="fr-FR"/>
        </w:rPr>
        <w:t>L</w:t>
      </w:r>
      <w:r w:rsidR="002D0F43">
        <w:rPr>
          <w:lang w:val="fr-FR"/>
        </w:rPr>
        <w:t>a l</w:t>
      </w:r>
      <w:r w:rsidR="002D0F43" w:rsidRPr="002D0F43">
        <w:rPr>
          <w:lang w:val="fr-FR"/>
        </w:rPr>
        <w:t xml:space="preserve">oi de 2007 sur les meurtres et homicides </w:t>
      </w:r>
      <w:r w:rsidR="00F826AE">
        <w:rPr>
          <w:lang w:val="fr-FR"/>
        </w:rPr>
        <w:t xml:space="preserve">involontaires </w:t>
      </w:r>
      <w:r w:rsidR="002D0F43" w:rsidRPr="002D0F43">
        <w:rPr>
          <w:lang w:val="fr-FR"/>
        </w:rPr>
        <w:t>par des personnes morales</w:t>
      </w:r>
      <w:r w:rsidR="002D0F43">
        <w:rPr>
          <w:lang w:val="fr-FR"/>
        </w:rPr>
        <w:t xml:space="preserve"> porte création d’une nouvelle infraction permettant de condamner une personne morale pour homicide </w:t>
      </w:r>
      <w:r w:rsidR="00F826AE">
        <w:rPr>
          <w:lang w:val="fr-FR"/>
        </w:rPr>
        <w:t xml:space="preserve">involontaire </w:t>
      </w:r>
      <w:r w:rsidR="002D0F43">
        <w:rPr>
          <w:lang w:val="fr-FR"/>
        </w:rPr>
        <w:t xml:space="preserve">si la façon dont elle a géré ou organisé ses activités a provoqué un décès, ce qui constitue une grave violation </w:t>
      </w:r>
      <w:r w:rsidR="00FE00FB">
        <w:rPr>
          <w:lang w:val="fr-FR"/>
        </w:rPr>
        <w:t xml:space="preserve">du devoir de protection à l’égard de la victime. </w:t>
      </w:r>
      <w:r w:rsidR="006901B8">
        <w:rPr>
          <w:lang w:val="fr-FR"/>
        </w:rPr>
        <w:t>C</w:t>
      </w:r>
      <w:r w:rsidR="00FE00FB">
        <w:rPr>
          <w:lang w:val="fr-FR"/>
        </w:rPr>
        <w:t xml:space="preserve">ette disposition relative au décès d’une personne </w:t>
      </w:r>
      <w:r w:rsidR="006901B8">
        <w:rPr>
          <w:lang w:val="fr-FR"/>
        </w:rPr>
        <w:t>en détention</w:t>
      </w:r>
      <w:r w:rsidR="00FE00FB">
        <w:rPr>
          <w:lang w:val="fr-FR"/>
        </w:rPr>
        <w:t xml:space="preserve"> </w:t>
      </w:r>
      <w:r w:rsidR="006901B8">
        <w:rPr>
          <w:lang w:val="fr-FR"/>
        </w:rPr>
        <w:t xml:space="preserve">sera applicable </w:t>
      </w:r>
      <w:r w:rsidR="00FE00FB">
        <w:rPr>
          <w:lang w:val="fr-FR"/>
        </w:rPr>
        <w:t>dès que l’article correspondant de la loi (</w:t>
      </w:r>
      <w:r w:rsidR="00C0693F">
        <w:rPr>
          <w:lang w:val="fr-FR"/>
        </w:rPr>
        <w:t>par</w:t>
      </w:r>
      <w:r w:rsidR="00E66934">
        <w:rPr>
          <w:lang w:val="fr-FR"/>
        </w:rPr>
        <w:t>.</w:t>
      </w:r>
      <w:r w:rsidR="00C0693F">
        <w:rPr>
          <w:lang w:val="fr-FR"/>
        </w:rPr>
        <w:t xml:space="preserve"> 1, al</w:t>
      </w:r>
      <w:r w:rsidR="00E66934">
        <w:rPr>
          <w:lang w:val="fr-FR"/>
        </w:rPr>
        <w:t>.</w:t>
      </w:r>
      <w:r w:rsidR="00C0693F">
        <w:rPr>
          <w:lang w:val="fr-FR"/>
        </w:rPr>
        <w:t xml:space="preserve"> d de l’</w:t>
      </w:r>
      <w:r w:rsidR="00FE00FB">
        <w:rPr>
          <w:lang w:val="fr-FR"/>
        </w:rPr>
        <w:t>article 2) entrera en vigueur</w:t>
      </w:r>
      <w:r w:rsidR="006901B8">
        <w:rPr>
          <w:lang w:val="fr-FR"/>
        </w:rPr>
        <w:t xml:space="preserve">, plus tard dans l’année. Un grand nombre de lieux de détention seront visés, dont les prisons publiques et privées, les locaux de garde à vue des postes de police et des tribunaux, les locaux de retenue douanière, </w:t>
      </w:r>
      <w:r w:rsidR="002A22ED">
        <w:rPr>
          <w:lang w:val="fr-FR"/>
        </w:rPr>
        <w:t xml:space="preserve">les locaux de détention militaire et les centres de rétention des services d’immigration </w:t>
      </w:r>
      <w:r w:rsidR="000B562B" w:rsidRPr="00A176EA">
        <w:rPr>
          <w:lang w:val="fr-FR"/>
        </w:rPr>
        <w:t>(</w:t>
      </w:r>
      <w:r w:rsidR="00C0693F">
        <w:rPr>
          <w:lang w:val="fr-FR"/>
        </w:rPr>
        <w:t>voir par</w:t>
      </w:r>
      <w:r w:rsidR="00E66934">
        <w:rPr>
          <w:lang w:val="fr-FR"/>
        </w:rPr>
        <w:t>.</w:t>
      </w:r>
      <w:r w:rsidR="00C0693F">
        <w:rPr>
          <w:lang w:val="fr-FR"/>
        </w:rPr>
        <w:t xml:space="preserve"> 2 de l</w:t>
      </w:r>
      <w:r w:rsidR="002A22ED">
        <w:rPr>
          <w:lang w:val="fr-FR"/>
        </w:rPr>
        <w:t>’article</w:t>
      </w:r>
      <w:r w:rsidR="000B562B" w:rsidRPr="00A176EA">
        <w:rPr>
          <w:lang w:val="fr-FR"/>
        </w:rPr>
        <w:t xml:space="preserve"> 2).</w:t>
      </w:r>
    </w:p>
    <w:p w:rsidR="000B562B" w:rsidRPr="002A22ED" w:rsidRDefault="002D0F43" w:rsidP="007977DD">
      <w:pPr>
        <w:pStyle w:val="H23G"/>
        <w:rPr>
          <w:lang w:val="fr-FR"/>
        </w:rPr>
      </w:pPr>
      <w:bookmarkStart w:id="34" w:name="_Toc299724715"/>
      <w:r w:rsidRPr="002A22ED">
        <w:rPr>
          <w:lang w:val="fr-FR"/>
        </w:rPr>
        <w:t xml:space="preserve">Protocole facultatif </w:t>
      </w:r>
      <w:r w:rsidR="00405953">
        <w:rPr>
          <w:lang w:val="fr-FR"/>
        </w:rPr>
        <w:t>à</w:t>
      </w:r>
      <w:r w:rsidRPr="002A22ED">
        <w:rPr>
          <w:lang w:val="fr-FR"/>
        </w:rPr>
        <w:t xml:space="preserve"> la</w:t>
      </w:r>
      <w:r w:rsidR="000B562B" w:rsidRPr="002A22ED">
        <w:rPr>
          <w:lang w:val="fr-FR"/>
        </w:rPr>
        <w:t xml:space="preserve"> Convention </w:t>
      </w:r>
      <w:r w:rsidRPr="002A22ED">
        <w:rPr>
          <w:lang w:val="fr-FR"/>
        </w:rPr>
        <w:t>contre la t</w:t>
      </w:r>
      <w:r w:rsidR="000B562B" w:rsidRPr="002A22ED">
        <w:rPr>
          <w:lang w:val="fr-FR"/>
        </w:rPr>
        <w:t>orture –</w:t>
      </w:r>
      <w:r w:rsidR="00704265" w:rsidRPr="002A22ED">
        <w:rPr>
          <w:lang w:val="fr-FR"/>
        </w:rPr>
        <w:t xml:space="preserve"> </w:t>
      </w:r>
      <w:r w:rsidR="002E1D0A" w:rsidRPr="002A22ED">
        <w:rPr>
          <w:lang w:val="fr-FR"/>
        </w:rPr>
        <w:t>Mécanisme n</w:t>
      </w:r>
      <w:r w:rsidR="000B562B" w:rsidRPr="002A22ED">
        <w:rPr>
          <w:lang w:val="fr-FR"/>
        </w:rPr>
        <w:t xml:space="preserve">ational </w:t>
      </w:r>
      <w:r w:rsidR="002E1D0A" w:rsidRPr="002A22ED">
        <w:rPr>
          <w:lang w:val="fr-FR"/>
        </w:rPr>
        <w:t>de prévention du Royaume-Uni</w:t>
      </w:r>
      <w:bookmarkEnd w:id="34"/>
    </w:p>
    <w:p w:rsidR="000B562B" w:rsidRPr="00A176EA" w:rsidRDefault="002549A9" w:rsidP="007977DD">
      <w:pPr>
        <w:pStyle w:val="SingleTxtG"/>
        <w:rPr>
          <w:lang w:val="fr-FR"/>
        </w:rPr>
      </w:pPr>
      <w:r w:rsidRPr="002A22ED">
        <w:rPr>
          <w:lang w:val="fr-FR"/>
        </w:rPr>
        <w:t>284.</w:t>
      </w:r>
      <w:r w:rsidRPr="002A22ED">
        <w:rPr>
          <w:lang w:val="fr-FR"/>
        </w:rPr>
        <w:tab/>
      </w:r>
      <w:r w:rsidR="00704265" w:rsidRPr="002A22ED">
        <w:rPr>
          <w:lang w:val="fr-FR"/>
        </w:rPr>
        <w:t xml:space="preserve">Le Royaume-Uni a ratifié </w:t>
      </w:r>
      <w:r w:rsidR="000C06FB" w:rsidRPr="002A22ED">
        <w:rPr>
          <w:lang w:val="fr-FR"/>
        </w:rPr>
        <w:t>en décembre 2003</w:t>
      </w:r>
      <w:r w:rsidR="000C06FB">
        <w:rPr>
          <w:lang w:val="fr-FR"/>
        </w:rPr>
        <w:t xml:space="preserve"> </w:t>
      </w:r>
      <w:r w:rsidR="00704265" w:rsidRPr="002A22ED">
        <w:rPr>
          <w:lang w:val="fr-FR"/>
        </w:rPr>
        <w:t xml:space="preserve">le Protocole facultatif </w:t>
      </w:r>
      <w:r w:rsidR="00405953">
        <w:rPr>
          <w:lang w:val="fr-FR"/>
        </w:rPr>
        <w:t>à</w:t>
      </w:r>
      <w:r w:rsidR="00704265" w:rsidRPr="002A22ED">
        <w:rPr>
          <w:lang w:val="fr-FR"/>
        </w:rPr>
        <w:t xml:space="preserve"> la Convention des Nations Unies contre la torture</w:t>
      </w:r>
      <w:r w:rsidR="000B562B" w:rsidRPr="002A22ED">
        <w:rPr>
          <w:lang w:val="fr-FR"/>
        </w:rPr>
        <w:t>.</w:t>
      </w:r>
    </w:p>
    <w:p w:rsidR="000B562B" w:rsidRPr="00A176EA" w:rsidRDefault="002549A9" w:rsidP="00405953">
      <w:pPr>
        <w:pStyle w:val="SingleTxtG"/>
        <w:rPr>
          <w:lang w:val="fr-FR"/>
        </w:rPr>
      </w:pPr>
      <w:r w:rsidRPr="00A176EA">
        <w:rPr>
          <w:lang w:val="fr-FR"/>
        </w:rPr>
        <w:t>285.</w:t>
      </w:r>
      <w:r w:rsidRPr="00A176EA">
        <w:rPr>
          <w:lang w:val="fr-FR"/>
        </w:rPr>
        <w:tab/>
      </w:r>
      <w:r w:rsidR="002A22ED">
        <w:rPr>
          <w:lang w:val="fr-FR"/>
        </w:rPr>
        <w:t xml:space="preserve">Le mécanisme national de prévention du Royaume-Uni a été créé le 31 mars 2009. Au Royaume-Uni, les </w:t>
      </w:r>
      <w:r w:rsidR="00C661ED">
        <w:rPr>
          <w:lang w:val="fr-FR"/>
        </w:rPr>
        <w:t xml:space="preserve">dispositions nationales relatives au Protocole facultatif sont mises en œuvre par l’action collective des organismes publics existants, qui ont un accès illimité aux lieux de détention </w:t>
      </w:r>
      <w:r w:rsidR="00405953">
        <w:rPr>
          <w:lang w:val="fr-FR"/>
        </w:rPr>
        <w:t>et peuvent les visiter à l’improviste</w:t>
      </w:r>
      <w:r w:rsidR="000B562B" w:rsidRPr="00A176EA">
        <w:rPr>
          <w:lang w:val="fr-FR"/>
        </w:rPr>
        <w:t>.</w:t>
      </w:r>
    </w:p>
    <w:p w:rsidR="000B562B" w:rsidRPr="00A176EA" w:rsidRDefault="002549A9" w:rsidP="00E66934">
      <w:pPr>
        <w:pStyle w:val="SingleTxtG"/>
        <w:tabs>
          <w:tab w:val="left" w:pos="567"/>
          <w:tab w:val="left" w:pos="1134"/>
          <w:tab w:val="left" w:pos="1701"/>
          <w:tab w:val="left" w:pos="2268"/>
          <w:tab w:val="left" w:pos="2835"/>
          <w:tab w:val="left" w:pos="4035"/>
        </w:tabs>
        <w:rPr>
          <w:szCs w:val="24"/>
          <w:lang w:val="fr-FR"/>
        </w:rPr>
      </w:pPr>
      <w:r w:rsidRPr="00A176EA">
        <w:rPr>
          <w:szCs w:val="24"/>
          <w:lang w:val="fr-FR"/>
        </w:rPr>
        <w:t>286.</w:t>
      </w:r>
      <w:r w:rsidRPr="00A176EA">
        <w:rPr>
          <w:szCs w:val="24"/>
          <w:lang w:val="fr-FR"/>
        </w:rPr>
        <w:tab/>
      </w:r>
      <w:r w:rsidR="00405953">
        <w:rPr>
          <w:szCs w:val="24"/>
          <w:lang w:val="fr-FR"/>
        </w:rPr>
        <w:t>Le Gouvernement est convaincu que les organismes</w:t>
      </w:r>
      <w:r w:rsidR="00E66934">
        <w:rPr>
          <w:rStyle w:val="FootnoteReference"/>
          <w:szCs w:val="24"/>
        </w:rPr>
        <w:footnoteReference w:id="41"/>
      </w:r>
      <w:r w:rsidR="000C06FB">
        <w:rPr>
          <w:lang w:val="fr-FR"/>
        </w:rPr>
        <w:t xml:space="preserve"> </w:t>
      </w:r>
      <w:r w:rsidR="00405953">
        <w:rPr>
          <w:lang w:val="fr-FR"/>
        </w:rPr>
        <w:t>officiellement désignés pour composer le mécanisme national de prévention britannique satisfont individuellement et collectivement aux dispositions des articles 18 à 23 du Protocole facultatif à la Convention contre la torture</w:t>
      </w:r>
      <w:r w:rsidR="000B562B" w:rsidRPr="00A176EA">
        <w:rPr>
          <w:lang w:val="fr-FR"/>
        </w:rPr>
        <w:t>.</w:t>
      </w:r>
    </w:p>
    <w:p w:rsidR="000B562B" w:rsidRPr="00A176EA" w:rsidRDefault="002549A9" w:rsidP="00263384">
      <w:pPr>
        <w:pStyle w:val="SingleTxtG"/>
        <w:rPr>
          <w:lang w:val="fr-FR"/>
        </w:rPr>
      </w:pPr>
      <w:r w:rsidRPr="00A176EA">
        <w:rPr>
          <w:lang w:val="fr-FR"/>
        </w:rPr>
        <w:t>287.</w:t>
      </w:r>
      <w:r w:rsidRPr="00A176EA">
        <w:rPr>
          <w:lang w:val="fr-FR"/>
        </w:rPr>
        <w:tab/>
      </w:r>
      <w:r w:rsidR="00707012">
        <w:rPr>
          <w:lang w:val="fr-FR"/>
        </w:rPr>
        <w:t>Bien établies et complètes, l</w:t>
      </w:r>
      <w:r w:rsidR="00405953">
        <w:rPr>
          <w:lang w:val="fr-FR"/>
        </w:rPr>
        <w:t xml:space="preserve">es infrastructures de </w:t>
      </w:r>
      <w:r w:rsidR="00707012">
        <w:rPr>
          <w:lang w:val="fr-FR"/>
        </w:rPr>
        <w:t>contrôle</w:t>
      </w:r>
      <w:r w:rsidR="00405953">
        <w:rPr>
          <w:lang w:val="fr-FR"/>
        </w:rPr>
        <w:t xml:space="preserve"> </w:t>
      </w:r>
      <w:r w:rsidR="00707012">
        <w:rPr>
          <w:lang w:val="fr-FR"/>
        </w:rPr>
        <w:t>britanniques</w:t>
      </w:r>
      <w:r w:rsidR="00405953">
        <w:rPr>
          <w:lang w:val="fr-FR"/>
        </w:rPr>
        <w:t xml:space="preserve"> permettent des inspections approfondies. </w:t>
      </w:r>
      <w:r w:rsidR="00707012">
        <w:rPr>
          <w:lang w:val="fr-FR"/>
        </w:rPr>
        <w:t xml:space="preserve">Plus de 20 types différents d’organismes légaux exercent des activités d’inspection au Royaume-Uni. </w:t>
      </w:r>
      <w:r w:rsidR="00526A58" w:rsidRPr="00707012">
        <w:rPr>
          <w:lang w:val="fr-FR"/>
        </w:rPr>
        <w:t>E</w:t>
      </w:r>
      <w:r w:rsidR="000B562B" w:rsidRPr="00707012">
        <w:rPr>
          <w:lang w:val="fr-FR"/>
        </w:rPr>
        <w:t xml:space="preserve">n </w:t>
      </w:r>
      <w:r w:rsidR="00526A58" w:rsidRPr="00707012">
        <w:rPr>
          <w:lang w:val="fr-FR"/>
        </w:rPr>
        <w:t xml:space="preserve">Angleterre et au </w:t>
      </w:r>
      <w:r w:rsidR="00186A02">
        <w:rPr>
          <w:lang w:val="fr-FR"/>
        </w:rPr>
        <w:t>p</w:t>
      </w:r>
      <w:r w:rsidR="005601A1">
        <w:rPr>
          <w:lang w:val="fr-FR"/>
        </w:rPr>
        <w:t>ays de Galles</w:t>
      </w:r>
      <w:r w:rsidR="000B562B" w:rsidRPr="00707012">
        <w:rPr>
          <w:lang w:val="fr-FR"/>
        </w:rPr>
        <w:t xml:space="preserve">, </w:t>
      </w:r>
      <w:r w:rsidR="00526A58" w:rsidRPr="00707012">
        <w:rPr>
          <w:lang w:val="fr-FR"/>
        </w:rPr>
        <w:t>par exemple</w:t>
      </w:r>
      <w:r w:rsidR="000B562B" w:rsidRPr="00707012">
        <w:rPr>
          <w:lang w:val="fr-FR"/>
        </w:rPr>
        <w:t xml:space="preserve">, </w:t>
      </w:r>
      <w:r w:rsidR="00707012">
        <w:rPr>
          <w:lang w:val="fr-FR"/>
        </w:rPr>
        <w:t xml:space="preserve">il existe des inspections indépendantes pour les prisons, les centres de détention pour mineurs, les postes de police, </w:t>
      </w:r>
      <w:r w:rsidR="00263384">
        <w:rPr>
          <w:lang w:val="fr-FR"/>
        </w:rPr>
        <w:t>les dépôts des tribunaux et les hôpitaux psychiatriques. L’</w:t>
      </w:r>
      <w:r w:rsidR="00263384" w:rsidRPr="00263384">
        <w:rPr>
          <w:lang w:val="fr-FR"/>
        </w:rPr>
        <w:t xml:space="preserve">Écosse </w:t>
      </w:r>
      <w:r w:rsidR="00263384">
        <w:rPr>
          <w:lang w:val="fr-FR"/>
        </w:rPr>
        <w:t>et l’Irlande du Nord disposent d’organismes similaires. Toutes les régions du Royaume-Uni sont dotées de mécanismes d’inspection pour les centres de rétention des services d’immigration</w:t>
      </w:r>
      <w:r w:rsidR="000B562B" w:rsidRPr="00A176EA">
        <w:rPr>
          <w:lang w:val="fr-FR"/>
        </w:rPr>
        <w:t>.</w:t>
      </w:r>
      <w:r w:rsidR="008A33E5">
        <w:rPr>
          <w:lang w:val="fr-FR"/>
        </w:rPr>
        <w:t xml:space="preserve"> </w:t>
      </w:r>
    </w:p>
    <w:p w:rsidR="000B562B" w:rsidRPr="00A176EA" w:rsidRDefault="002549A9" w:rsidP="008A33E5">
      <w:pPr>
        <w:pStyle w:val="SingleTxtG"/>
        <w:tabs>
          <w:tab w:val="left" w:pos="567"/>
          <w:tab w:val="left" w:pos="1134"/>
          <w:tab w:val="left" w:pos="1701"/>
          <w:tab w:val="left" w:pos="2127"/>
        </w:tabs>
        <w:rPr>
          <w:lang w:val="fr-FR"/>
        </w:rPr>
      </w:pPr>
      <w:r w:rsidRPr="00A176EA">
        <w:rPr>
          <w:lang w:val="fr-FR"/>
        </w:rPr>
        <w:t>288.</w:t>
      </w:r>
      <w:r w:rsidRPr="00A176EA">
        <w:rPr>
          <w:lang w:val="fr-FR"/>
        </w:rPr>
        <w:tab/>
      </w:r>
      <w:r w:rsidR="008A33E5">
        <w:rPr>
          <w:lang w:val="fr-FR"/>
        </w:rPr>
        <w:t>À cette diversité de zones géographiques et de types de détention s’ajoute une diversité fonctionnelle. Par exemple, il existe quatre niveaux d’inspection indépendante pour les établissements pénitentiaires, tous indépendants les uns des autres</w:t>
      </w:r>
      <w:r w:rsidR="00FC2B97">
        <w:rPr>
          <w:lang w:val="fr-FR"/>
        </w:rPr>
        <w:t>:</w:t>
      </w:r>
    </w:p>
    <w:p w:rsidR="000B562B" w:rsidRPr="00A176EA" w:rsidRDefault="008A33E5" w:rsidP="00BC0033">
      <w:pPr>
        <w:pStyle w:val="Bullet1G"/>
      </w:pPr>
      <w:r w:rsidRPr="008A33E5">
        <w:t xml:space="preserve">À </w:t>
      </w:r>
      <w:r>
        <w:t xml:space="preserve">l’échelon </w:t>
      </w:r>
      <w:r w:rsidR="000B562B" w:rsidRPr="00A176EA">
        <w:t xml:space="preserve">local, </w:t>
      </w:r>
      <w:r>
        <w:t xml:space="preserve">chaque établissement est doté de son propre </w:t>
      </w:r>
      <w:r w:rsidR="003B4808">
        <w:t>Comité de surveillance composé de bénévoles de la population locale, qui effectue au moins deux ou trois visites par semaine</w:t>
      </w:r>
      <w:r w:rsidR="000B562B" w:rsidRPr="00A176EA">
        <w:t>.</w:t>
      </w:r>
    </w:p>
    <w:p w:rsidR="000B562B" w:rsidRPr="00A176EA" w:rsidRDefault="003B4808" w:rsidP="00BC0033">
      <w:pPr>
        <w:pStyle w:val="Bullet1G"/>
      </w:pPr>
      <w:r w:rsidRPr="008A6CEC">
        <w:t xml:space="preserve">À l’échelon </w:t>
      </w:r>
      <w:r w:rsidR="000B562B" w:rsidRPr="008A6CEC">
        <w:t xml:space="preserve">national, </w:t>
      </w:r>
      <w:r w:rsidRPr="008A6CEC">
        <w:t xml:space="preserve">on compte trois Inspections des services pénitentiaires </w:t>
      </w:r>
      <w:r w:rsidR="000B562B" w:rsidRPr="008A6CEC">
        <w:t xml:space="preserve">– </w:t>
      </w:r>
      <w:r w:rsidRPr="008A6CEC">
        <w:t>une</w:t>
      </w:r>
      <w:r w:rsidR="00207C2F" w:rsidRPr="008A6CEC">
        <w:t xml:space="preserve"> pour l’Angleterre et le </w:t>
      </w:r>
      <w:r w:rsidR="00186A02">
        <w:t>p</w:t>
      </w:r>
      <w:r w:rsidR="005601A1">
        <w:t>ays de Galles</w:t>
      </w:r>
      <w:r w:rsidR="00207C2F" w:rsidRPr="008A6CEC">
        <w:t xml:space="preserve">, </w:t>
      </w:r>
      <w:r w:rsidRPr="008A6CEC">
        <w:t>une</w:t>
      </w:r>
      <w:r w:rsidR="00207C2F" w:rsidRPr="008A6CEC">
        <w:t xml:space="preserve"> pour l’</w:t>
      </w:r>
      <w:r w:rsidR="00FD2CE1" w:rsidRPr="008A6CEC">
        <w:t>Écosse</w:t>
      </w:r>
      <w:r w:rsidR="000B562B" w:rsidRPr="008A6CEC">
        <w:t xml:space="preserve"> </w:t>
      </w:r>
      <w:r w:rsidR="00207C2F" w:rsidRPr="008A6CEC">
        <w:t>et l’Inspecteur général de la justice pénale pour l’</w:t>
      </w:r>
      <w:r w:rsidR="008F3DA4" w:rsidRPr="008A6CEC">
        <w:t>Irlande du Nord</w:t>
      </w:r>
      <w:r w:rsidR="000B562B" w:rsidRPr="008A6CEC">
        <w:t>.</w:t>
      </w:r>
      <w:r w:rsidR="000B562B" w:rsidRPr="00A176EA">
        <w:t xml:space="preserve"> </w:t>
      </w:r>
      <w:r>
        <w:t xml:space="preserve">Ces </w:t>
      </w:r>
      <w:r w:rsidR="008A6CEC">
        <w:t>organismes</w:t>
      </w:r>
      <w:r w:rsidR="000B562B" w:rsidRPr="00A176EA">
        <w:t xml:space="preserve"> </w:t>
      </w:r>
      <w:r w:rsidR="008A6CEC">
        <w:t>suivent un programme d’inspections tant annoncées qu’inopinées</w:t>
      </w:r>
      <w:r w:rsidR="000B562B" w:rsidRPr="00A176EA">
        <w:t>.</w:t>
      </w:r>
    </w:p>
    <w:p w:rsidR="000B562B" w:rsidRPr="00A176EA" w:rsidRDefault="008A6CEC" w:rsidP="00BC0033">
      <w:pPr>
        <w:pStyle w:val="Bullet1G"/>
      </w:pPr>
      <w:r w:rsidRPr="00261B10">
        <w:t xml:space="preserve">Toujours à l’échelon national, les </w:t>
      </w:r>
      <w:r w:rsidR="007862D0" w:rsidRPr="00261B10">
        <w:t>M</w:t>
      </w:r>
      <w:r w:rsidRPr="00261B10">
        <w:t xml:space="preserve">édiateurs </w:t>
      </w:r>
      <w:r w:rsidR="001A7726" w:rsidRPr="00261B10">
        <w:t xml:space="preserve">pénitentiaires </w:t>
      </w:r>
      <w:r w:rsidRPr="00261B10">
        <w:t>nationaux</w:t>
      </w:r>
      <w:r w:rsidR="001A7726">
        <w:t xml:space="preserve"> </w:t>
      </w:r>
      <w:r w:rsidR="000B562B" w:rsidRPr="00261B10">
        <w:t xml:space="preserve">– </w:t>
      </w:r>
      <w:r w:rsidR="007862D0" w:rsidRPr="00261B10">
        <w:t>un</w:t>
      </w:r>
      <w:r w:rsidR="000B562B" w:rsidRPr="00261B10">
        <w:t xml:space="preserve"> </w:t>
      </w:r>
      <w:r w:rsidR="007862D0" w:rsidRPr="00261B10">
        <w:t xml:space="preserve">pour l’Angleterre et le </w:t>
      </w:r>
      <w:r w:rsidR="00186A02">
        <w:t>p</w:t>
      </w:r>
      <w:r w:rsidR="005601A1">
        <w:t>ays de Galles</w:t>
      </w:r>
      <w:r w:rsidR="007862D0" w:rsidRPr="00261B10">
        <w:t xml:space="preserve">, un pour </w:t>
      </w:r>
      <w:r w:rsidR="00AC2109" w:rsidRPr="00261B10">
        <w:t>l’</w:t>
      </w:r>
      <w:r w:rsidR="008F3DA4" w:rsidRPr="00261B10">
        <w:t>Irlande du Nord</w:t>
      </w:r>
      <w:r w:rsidR="000B562B" w:rsidRPr="00261B10">
        <w:t xml:space="preserve"> </w:t>
      </w:r>
      <w:r w:rsidR="007862D0" w:rsidRPr="00261B10">
        <w:t>et</w:t>
      </w:r>
      <w:r w:rsidR="000B562B" w:rsidRPr="00261B10">
        <w:t xml:space="preserve">, </w:t>
      </w:r>
      <w:r w:rsidR="007862D0" w:rsidRPr="00261B10">
        <w:t>e</w:t>
      </w:r>
      <w:r w:rsidR="000B562B" w:rsidRPr="00261B10">
        <w:t xml:space="preserve">n </w:t>
      </w:r>
      <w:r w:rsidR="00FD2CE1" w:rsidRPr="00261B10">
        <w:t>Écosse</w:t>
      </w:r>
      <w:r w:rsidR="000B562B" w:rsidRPr="00261B10">
        <w:t xml:space="preserve">, </w:t>
      </w:r>
      <w:r w:rsidR="002478B2" w:rsidRPr="00261B10">
        <w:t>le Commissaire indépendant</w:t>
      </w:r>
      <w:r w:rsidR="000B562B" w:rsidRPr="00261B10">
        <w:t xml:space="preserve"> </w:t>
      </w:r>
      <w:r w:rsidR="002478B2" w:rsidRPr="00261B10">
        <w:t xml:space="preserve">chargé des plaintes contre l’Administration pénitentiaire </w:t>
      </w:r>
      <w:r w:rsidR="000B562B" w:rsidRPr="00261B10">
        <w:t xml:space="preserve">– </w:t>
      </w:r>
      <w:r w:rsidR="00AC2109" w:rsidRPr="00261B10">
        <w:t>enquêtent sur les plaintes individuelles de détenus</w:t>
      </w:r>
      <w:r w:rsidR="000B562B" w:rsidRPr="00261B10">
        <w:t>.</w:t>
      </w:r>
    </w:p>
    <w:p w:rsidR="000B562B" w:rsidRPr="00A176EA" w:rsidRDefault="00AC2109" w:rsidP="00BC0033">
      <w:pPr>
        <w:pStyle w:val="Bullet1G"/>
      </w:pPr>
      <w:r>
        <w:t>Enfin, le Comité</w:t>
      </w:r>
      <w:r w:rsidR="000B562B" w:rsidRPr="00A176EA">
        <w:t xml:space="preserve"> </w:t>
      </w:r>
      <w:r w:rsidR="00261B10">
        <w:t>européen pour la prévention de la</w:t>
      </w:r>
      <w:r w:rsidR="000B562B" w:rsidRPr="00A176EA">
        <w:t xml:space="preserve"> </w:t>
      </w:r>
      <w:r w:rsidR="00261B10">
        <w:t>t</w:t>
      </w:r>
      <w:r w:rsidR="000B562B" w:rsidRPr="00A176EA">
        <w:t xml:space="preserve">orture </w:t>
      </w:r>
      <w:r w:rsidR="00261B10">
        <w:t xml:space="preserve">effectue des inspections périodiques sur le fonctionnement des établissements </w:t>
      </w:r>
      <w:r w:rsidR="001A3D6D">
        <w:t>pénitentiaires</w:t>
      </w:r>
      <w:r w:rsidR="00261B10">
        <w:t xml:space="preserve"> ou des inspections </w:t>
      </w:r>
      <w:r w:rsidR="000B562B" w:rsidRPr="00A176EA">
        <w:rPr>
          <w:i/>
        </w:rPr>
        <w:t>ad hoc</w:t>
      </w:r>
      <w:r w:rsidR="000B562B" w:rsidRPr="00A176EA">
        <w:t xml:space="preserve"> </w:t>
      </w:r>
      <w:r w:rsidR="00261B10">
        <w:t>dans des</w:t>
      </w:r>
      <w:r w:rsidR="000B562B" w:rsidRPr="00A176EA">
        <w:t xml:space="preserve"> situations</w:t>
      </w:r>
      <w:r w:rsidR="00261B10">
        <w:t xml:space="preserve"> particulières</w:t>
      </w:r>
      <w:r w:rsidR="000B562B" w:rsidRPr="00A176EA">
        <w:t>.</w:t>
      </w:r>
    </w:p>
    <w:p w:rsidR="000B562B" w:rsidRPr="00A176EA" w:rsidRDefault="002549A9" w:rsidP="00DB6232">
      <w:pPr>
        <w:pStyle w:val="SingleTxtG"/>
        <w:rPr>
          <w:lang w:val="fr-FR"/>
        </w:rPr>
      </w:pPr>
      <w:r w:rsidRPr="00A176EA">
        <w:rPr>
          <w:lang w:val="fr-FR"/>
        </w:rPr>
        <w:t>289.</w:t>
      </w:r>
      <w:r w:rsidRPr="00A176EA">
        <w:rPr>
          <w:lang w:val="fr-FR"/>
        </w:rPr>
        <w:tab/>
      </w:r>
      <w:r w:rsidR="00D46D1A">
        <w:rPr>
          <w:lang w:val="fr-FR"/>
        </w:rPr>
        <w:t xml:space="preserve">Au moment d’établir le mécanisme national de prévention, il est apparu que, bien que les forces de police fassent l’objet d’inspections régulières par </w:t>
      </w:r>
      <w:r w:rsidR="00D46D1A" w:rsidRPr="00D46D1A">
        <w:rPr>
          <w:lang w:val="fr-FR"/>
        </w:rPr>
        <w:t>l’Inspection des services de police de Sa Majesté</w:t>
      </w:r>
      <w:r w:rsidR="00DB6232">
        <w:rPr>
          <w:lang w:val="fr-FR"/>
        </w:rPr>
        <w:t xml:space="preserve"> pour vérifier leur bon fonctionnement</w:t>
      </w:r>
      <w:r w:rsidR="00D46D1A">
        <w:rPr>
          <w:lang w:val="fr-FR"/>
        </w:rPr>
        <w:t xml:space="preserve">, </w:t>
      </w:r>
      <w:r w:rsidR="00DB6232">
        <w:rPr>
          <w:lang w:val="fr-FR"/>
        </w:rPr>
        <w:t xml:space="preserve">il n’y avait </w:t>
      </w:r>
      <w:r w:rsidR="00D46D1A">
        <w:rPr>
          <w:lang w:val="fr-FR"/>
        </w:rPr>
        <w:t xml:space="preserve">aucun système indépendant </w:t>
      </w:r>
      <w:r w:rsidR="00DB6232">
        <w:rPr>
          <w:lang w:val="fr-FR"/>
        </w:rPr>
        <w:t xml:space="preserve">doté des ressources nécessaires </w:t>
      </w:r>
      <w:r w:rsidR="00474575">
        <w:rPr>
          <w:lang w:val="fr-FR"/>
        </w:rPr>
        <w:t xml:space="preserve">et </w:t>
      </w:r>
      <w:r w:rsidR="00DB6232">
        <w:rPr>
          <w:lang w:val="fr-FR"/>
        </w:rPr>
        <w:t>axé sur la prévention de la torture tel que prévu par le Protocole facultatif</w:t>
      </w:r>
      <w:r w:rsidR="000B562B" w:rsidRPr="00A176EA">
        <w:rPr>
          <w:lang w:val="fr-FR"/>
        </w:rPr>
        <w:t>.</w:t>
      </w:r>
    </w:p>
    <w:p w:rsidR="000B562B" w:rsidRPr="00A176EA" w:rsidRDefault="002549A9" w:rsidP="00474575">
      <w:pPr>
        <w:pStyle w:val="SingleTxtG"/>
        <w:rPr>
          <w:snapToGrid w:val="0"/>
          <w:lang w:val="fr-FR"/>
        </w:rPr>
      </w:pPr>
      <w:r w:rsidRPr="00A176EA">
        <w:rPr>
          <w:snapToGrid w:val="0"/>
          <w:lang w:val="fr-FR"/>
        </w:rPr>
        <w:t>290.</w:t>
      </w:r>
      <w:r w:rsidRPr="00A176EA">
        <w:rPr>
          <w:snapToGrid w:val="0"/>
          <w:lang w:val="fr-FR"/>
        </w:rPr>
        <w:tab/>
      </w:r>
      <w:r w:rsidR="00DB6232">
        <w:rPr>
          <w:snapToGrid w:val="0"/>
          <w:lang w:val="fr-FR"/>
        </w:rPr>
        <w:t xml:space="preserve">C’est pourquoi </w:t>
      </w:r>
      <w:r w:rsidR="00DB6232" w:rsidRPr="00DB6232">
        <w:rPr>
          <w:snapToGrid w:val="0"/>
          <w:lang w:val="fr-FR"/>
        </w:rPr>
        <w:t>l’Inspection des services pénitentiaires de Sa Majesté</w:t>
      </w:r>
      <w:r w:rsidR="00DB6232">
        <w:rPr>
          <w:snapToGrid w:val="0"/>
          <w:lang w:val="fr-FR"/>
        </w:rPr>
        <w:t xml:space="preserve"> et </w:t>
      </w:r>
      <w:r w:rsidR="00D46D1A" w:rsidRPr="00DB6232">
        <w:rPr>
          <w:lang w:val="fr-FR"/>
        </w:rPr>
        <w:t>l’Inspection des services de police de Sa Majesté</w:t>
      </w:r>
      <w:r w:rsidR="00D46D1A" w:rsidRPr="00A176EA">
        <w:rPr>
          <w:lang w:val="fr-FR"/>
        </w:rPr>
        <w:t xml:space="preserve"> </w:t>
      </w:r>
      <w:r w:rsidR="00DB6232">
        <w:rPr>
          <w:lang w:val="fr-FR"/>
        </w:rPr>
        <w:t xml:space="preserve">sont convenus </w:t>
      </w:r>
      <w:r w:rsidR="000F5288">
        <w:rPr>
          <w:lang w:val="fr-FR"/>
        </w:rPr>
        <w:t>d’un programm</w:t>
      </w:r>
      <w:r w:rsidR="00B623EC">
        <w:rPr>
          <w:lang w:val="fr-FR"/>
        </w:rPr>
        <w:t>e</w:t>
      </w:r>
      <w:r w:rsidR="000F5288">
        <w:rPr>
          <w:lang w:val="fr-FR"/>
        </w:rPr>
        <w:t xml:space="preserve"> d’inspections communes des </w:t>
      </w:r>
      <w:r w:rsidR="00B623EC">
        <w:rPr>
          <w:lang w:val="fr-FR"/>
        </w:rPr>
        <w:t xml:space="preserve">locaux de garde à vue de la police. </w:t>
      </w:r>
      <w:r w:rsidR="00474575" w:rsidRPr="00F7223D">
        <w:rPr>
          <w:lang w:val="fr-FR"/>
        </w:rPr>
        <w:t xml:space="preserve">Chaque </w:t>
      </w:r>
      <w:r w:rsidR="00F7223D">
        <w:rPr>
          <w:lang w:val="fr-FR"/>
        </w:rPr>
        <w:t>I</w:t>
      </w:r>
      <w:r w:rsidR="00474575" w:rsidRPr="00F7223D">
        <w:rPr>
          <w:lang w:val="fr-FR"/>
        </w:rPr>
        <w:t>nspection examine</w:t>
      </w:r>
      <w:r w:rsidR="00474575">
        <w:rPr>
          <w:lang w:val="fr-FR"/>
        </w:rPr>
        <w:t xml:space="preserve"> les stratégies policières, le traitement des détenus, les conditions de détention et l</w:t>
      </w:r>
      <w:r w:rsidR="00F7223D">
        <w:rPr>
          <w:lang w:val="fr-FR"/>
        </w:rPr>
        <w:t>’offre d</w:t>
      </w:r>
      <w:r w:rsidR="00474575">
        <w:rPr>
          <w:lang w:val="fr-FR"/>
        </w:rPr>
        <w:t>e soins de santé</w:t>
      </w:r>
      <w:r w:rsidR="000B562B" w:rsidRPr="00A176EA">
        <w:rPr>
          <w:lang w:val="fr-FR"/>
        </w:rPr>
        <w:t>.</w:t>
      </w:r>
    </w:p>
    <w:p w:rsidR="000B562B" w:rsidRPr="00A176EA" w:rsidRDefault="002549A9" w:rsidP="007977DD">
      <w:pPr>
        <w:pStyle w:val="SingleTxtG"/>
        <w:rPr>
          <w:snapToGrid w:val="0"/>
          <w:lang w:val="fr-FR"/>
        </w:rPr>
      </w:pPr>
      <w:r w:rsidRPr="00A176EA">
        <w:rPr>
          <w:snapToGrid w:val="0"/>
          <w:lang w:val="fr-FR"/>
        </w:rPr>
        <w:t>291.</w:t>
      </w:r>
      <w:r w:rsidRPr="00A176EA">
        <w:rPr>
          <w:snapToGrid w:val="0"/>
          <w:lang w:val="fr-FR"/>
        </w:rPr>
        <w:tab/>
      </w:r>
      <w:r w:rsidR="00474575">
        <w:rPr>
          <w:snapToGrid w:val="0"/>
          <w:lang w:val="fr-FR"/>
        </w:rPr>
        <w:t>Si la résolution de cette question a retardé la création du mécanisme national de prévention britannique, cela illustre comment une ratification rapide peut révéler un problème qui, à défaut, aurait été bien plus long à résoudre</w:t>
      </w:r>
      <w:r w:rsidR="000B562B" w:rsidRPr="00A176EA">
        <w:rPr>
          <w:lang w:val="fr-FR"/>
        </w:rPr>
        <w:t>.</w:t>
      </w:r>
    </w:p>
    <w:p w:rsidR="000B562B" w:rsidRPr="00A176EA" w:rsidRDefault="002549A9" w:rsidP="00A4404D">
      <w:pPr>
        <w:pStyle w:val="SingleTxtG"/>
        <w:rPr>
          <w:lang w:val="fr-FR"/>
        </w:rPr>
      </w:pPr>
      <w:r w:rsidRPr="00A176EA">
        <w:rPr>
          <w:lang w:val="fr-FR"/>
        </w:rPr>
        <w:t>292.</w:t>
      </w:r>
      <w:r w:rsidRPr="00A176EA">
        <w:rPr>
          <w:lang w:val="fr-FR"/>
        </w:rPr>
        <w:tab/>
      </w:r>
      <w:r w:rsidR="00474575">
        <w:rPr>
          <w:lang w:val="fr-FR"/>
        </w:rPr>
        <w:t xml:space="preserve">L’article 23 du Protocole facultatif </w:t>
      </w:r>
      <w:r w:rsidR="00E20FDE">
        <w:rPr>
          <w:lang w:val="fr-FR"/>
        </w:rPr>
        <w:t xml:space="preserve">dispose que le mécanisme national de prévention doit </w:t>
      </w:r>
      <w:r w:rsidR="007D72F9">
        <w:rPr>
          <w:lang w:val="fr-FR"/>
        </w:rPr>
        <w:t xml:space="preserve">publier un rapport d’activités une fois par an. </w:t>
      </w:r>
      <w:r w:rsidR="00A4404D">
        <w:rPr>
          <w:lang w:val="fr-FR"/>
        </w:rPr>
        <w:t>La plupart des organismes d’inspection, si ce n’est tous, produisent déjà un rapport annuel. Du fait de la diversité des procédures de contrôle au Royaume-Uni, la compilation de ces rapports en un rapport national, même condensé, requiert une forme ou une autre de mécanisme de collecte. Les organismes du mécanisme national de prévention ont eux aussi besoin de communiquer efficacement entre eux et avec le Sous-comité pour la prévention, et de se réunir</w:t>
      </w:r>
      <w:r w:rsidR="000B562B" w:rsidRPr="00A176EA">
        <w:rPr>
          <w:lang w:val="fr-FR"/>
        </w:rPr>
        <w:t>.</w:t>
      </w:r>
    </w:p>
    <w:p w:rsidR="000B562B" w:rsidRPr="00A176EA" w:rsidRDefault="002549A9" w:rsidP="00410954">
      <w:pPr>
        <w:pStyle w:val="SingleTxtG"/>
        <w:rPr>
          <w:snapToGrid w:val="0"/>
          <w:lang w:val="fr-FR"/>
        </w:rPr>
      </w:pPr>
      <w:r w:rsidRPr="00A176EA">
        <w:rPr>
          <w:snapToGrid w:val="0"/>
          <w:lang w:val="fr-FR"/>
        </w:rPr>
        <w:t>293.</w:t>
      </w:r>
      <w:r w:rsidRPr="00A176EA">
        <w:rPr>
          <w:snapToGrid w:val="0"/>
          <w:lang w:val="fr-FR"/>
        </w:rPr>
        <w:tab/>
      </w:r>
      <w:r w:rsidR="00A4404D" w:rsidRPr="00A4404D">
        <w:rPr>
          <w:snapToGrid w:val="0"/>
          <w:lang w:val="fr-FR"/>
        </w:rPr>
        <w:t xml:space="preserve">Les membres du mécanisme national de prévention se sont mis d’accord pour </w:t>
      </w:r>
      <w:r w:rsidR="004E56E1">
        <w:rPr>
          <w:snapToGrid w:val="0"/>
          <w:lang w:val="fr-FR"/>
        </w:rPr>
        <w:t xml:space="preserve">que </w:t>
      </w:r>
      <w:r w:rsidR="00A4404D" w:rsidRPr="00A4404D">
        <w:rPr>
          <w:snapToGrid w:val="0"/>
          <w:lang w:val="fr-FR"/>
        </w:rPr>
        <w:t xml:space="preserve">cette fonction soit attribuée à </w:t>
      </w:r>
      <w:r w:rsidR="00D46D1A" w:rsidRPr="00A4404D">
        <w:rPr>
          <w:lang w:val="fr-FR"/>
        </w:rPr>
        <w:t xml:space="preserve">l’Inspection des services de police de Sa Majesté </w:t>
      </w:r>
      <w:r w:rsidR="00DB6232" w:rsidRPr="00A4404D">
        <w:rPr>
          <w:lang w:val="fr-FR"/>
        </w:rPr>
        <w:t xml:space="preserve">pour l’Angleterre et le </w:t>
      </w:r>
      <w:r w:rsidR="00186A02">
        <w:rPr>
          <w:lang w:val="fr-FR"/>
        </w:rPr>
        <w:t>p</w:t>
      </w:r>
      <w:r w:rsidR="005601A1">
        <w:rPr>
          <w:lang w:val="fr-FR"/>
        </w:rPr>
        <w:t>ays de Galles</w:t>
      </w:r>
      <w:r w:rsidR="000B562B" w:rsidRPr="00A4404D">
        <w:rPr>
          <w:lang w:val="fr-FR"/>
        </w:rPr>
        <w:t xml:space="preserve">, </w:t>
      </w:r>
      <w:r w:rsidR="00A4404D" w:rsidRPr="00A4404D">
        <w:rPr>
          <w:lang w:val="fr-FR"/>
        </w:rPr>
        <w:t>que le Gouvernement finance à cet effet</w:t>
      </w:r>
      <w:r w:rsidR="000B562B" w:rsidRPr="00A4404D">
        <w:rPr>
          <w:lang w:val="fr-FR"/>
        </w:rPr>
        <w:t>.</w:t>
      </w:r>
      <w:r w:rsidR="000B562B" w:rsidRPr="00A176EA">
        <w:rPr>
          <w:lang w:val="fr-FR"/>
        </w:rPr>
        <w:t xml:space="preserve"> </w:t>
      </w:r>
      <w:r w:rsidR="00A4404D">
        <w:rPr>
          <w:lang w:val="fr-FR"/>
        </w:rPr>
        <w:t>Le premier rapport annuel du mécanisme national de prévention a été publié le 8 février 2011</w:t>
      </w:r>
      <w:r w:rsidR="00410954">
        <w:rPr>
          <w:rStyle w:val="FootnoteReference"/>
        </w:rPr>
        <w:footnoteReference w:id="42"/>
      </w:r>
      <w:r w:rsidR="00A4404D">
        <w:rPr>
          <w:lang w:val="fr-FR"/>
        </w:rPr>
        <w:t>.</w:t>
      </w:r>
    </w:p>
    <w:p w:rsidR="000B562B" w:rsidRPr="00A176EA" w:rsidRDefault="002549A9" w:rsidP="00425A5D">
      <w:pPr>
        <w:pStyle w:val="SingleTxtG"/>
        <w:rPr>
          <w:rFonts w:cs="Arial"/>
          <w:lang w:val="fr-FR"/>
        </w:rPr>
      </w:pPr>
      <w:r w:rsidRPr="00A176EA">
        <w:rPr>
          <w:rFonts w:cs="Arial"/>
          <w:lang w:val="fr-FR"/>
        </w:rPr>
        <w:t>294.</w:t>
      </w:r>
      <w:r w:rsidRPr="00A176EA">
        <w:rPr>
          <w:rFonts w:cs="Arial"/>
          <w:lang w:val="fr-FR"/>
        </w:rPr>
        <w:tab/>
      </w:r>
      <w:r w:rsidR="00A4404D">
        <w:rPr>
          <w:rFonts w:cs="Arial"/>
          <w:lang w:val="fr-FR"/>
        </w:rPr>
        <w:t>Lors de la création du méca</w:t>
      </w:r>
      <w:r w:rsidR="007B3918">
        <w:rPr>
          <w:rFonts w:cs="Arial"/>
          <w:lang w:val="fr-FR"/>
        </w:rPr>
        <w:t xml:space="preserve">nisme national de prévention, peu de modes de détention échappaient aux contrôles au Royaume-Uni. Mais il a été décidé, plutôt que de </w:t>
      </w:r>
      <w:r w:rsidR="002E7606">
        <w:rPr>
          <w:rFonts w:cs="Arial"/>
          <w:lang w:val="fr-FR"/>
        </w:rPr>
        <w:t>parfaire le système en remettant</w:t>
      </w:r>
      <w:r w:rsidR="007B3918">
        <w:rPr>
          <w:rFonts w:cs="Arial"/>
          <w:lang w:val="fr-FR"/>
        </w:rPr>
        <w:t xml:space="preserve"> la création du mécanisme</w:t>
      </w:r>
      <w:r w:rsidR="002E7606" w:rsidRPr="002E7606">
        <w:rPr>
          <w:rFonts w:cs="Arial"/>
          <w:lang w:val="fr-FR"/>
        </w:rPr>
        <w:t xml:space="preserve"> </w:t>
      </w:r>
      <w:r w:rsidR="002E7606">
        <w:rPr>
          <w:rFonts w:cs="Arial"/>
          <w:lang w:val="fr-FR"/>
        </w:rPr>
        <w:t>à plus tard</w:t>
      </w:r>
      <w:r w:rsidR="007B3918">
        <w:rPr>
          <w:rFonts w:cs="Arial"/>
          <w:lang w:val="fr-FR"/>
        </w:rPr>
        <w:t>, de remédi</w:t>
      </w:r>
      <w:r w:rsidR="002E7606">
        <w:rPr>
          <w:rFonts w:cs="Arial"/>
          <w:lang w:val="fr-FR"/>
        </w:rPr>
        <w:t>er</w:t>
      </w:r>
      <w:r w:rsidR="007B3918">
        <w:rPr>
          <w:rFonts w:cs="Arial"/>
          <w:lang w:val="fr-FR"/>
        </w:rPr>
        <w:t xml:space="preserve"> immédiatement </w:t>
      </w:r>
      <w:r w:rsidR="002E7606">
        <w:rPr>
          <w:rFonts w:cs="Arial"/>
          <w:lang w:val="fr-FR"/>
        </w:rPr>
        <w:t>à ces</w:t>
      </w:r>
      <w:r w:rsidR="00222A6D">
        <w:rPr>
          <w:rFonts w:cs="Arial"/>
          <w:lang w:val="fr-FR"/>
        </w:rPr>
        <w:t xml:space="preserve"> lacunes</w:t>
      </w:r>
      <w:r w:rsidR="00FC2B97">
        <w:rPr>
          <w:rFonts w:cs="Arial"/>
          <w:lang w:val="fr-FR"/>
        </w:rPr>
        <w:t>:</w:t>
      </w:r>
      <w:r w:rsidR="00222A6D">
        <w:rPr>
          <w:rFonts w:cs="Arial"/>
          <w:lang w:val="fr-FR"/>
        </w:rPr>
        <w:t xml:space="preserve"> inspection des installations militaires, des </w:t>
      </w:r>
      <w:r w:rsidR="006C1A70">
        <w:rPr>
          <w:rFonts w:cs="Arial"/>
          <w:lang w:val="fr-FR"/>
        </w:rPr>
        <w:t>cellules</w:t>
      </w:r>
      <w:r w:rsidR="00222A6D">
        <w:rPr>
          <w:rFonts w:cs="Arial"/>
          <w:lang w:val="fr-FR"/>
        </w:rPr>
        <w:t xml:space="preserve"> des tribunaux, </w:t>
      </w:r>
      <w:r w:rsidR="00425A5D">
        <w:rPr>
          <w:rFonts w:cs="Arial"/>
          <w:lang w:val="fr-FR"/>
        </w:rPr>
        <w:t>des services d’escorte vers les tribunaux et des zones de rétention. Des négociations sont actuellement en cours pour intégrer ces inspections dans le mécanisme national de prévention</w:t>
      </w:r>
      <w:r w:rsidR="000B562B" w:rsidRPr="00A176EA">
        <w:rPr>
          <w:rFonts w:cs="Arial"/>
          <w:lang w:val="fr-FR"/>
        </w:rPr>
        <w:t>.</w:t>
      </w:r>
    </w:p>
    <w:p w:rsidR="000B562B" w:rsidRPr="00425A5D" w:rsidRDefault="003A55FF" w:rsidP="007977DD">
      <w:pPr>
        <w:pStyle w:val="H23G"/>
        <w:rPr>
          <w:lang w:val="fr-FR"/>
        </w:rPr>
      </w:pPr>
      <w:bookmarkStart w:id="35" w:name="_Toc299724716"/>
      <w:r w:rsidRPr="00425A5D">
        <w:rPr>
          <w:lang w:val="fr-FR"/>
        </w:rPr>
        <w:t>Services de p</w:t>
      </w:r>
      <w:r w:rsidR="000B562B" w:rsidRPr="00425A5D">
        <w:rPr>
          <w:lang w:val="fr-FR"/>
        </w:rPr>
        <w:t xml:space="preserve">olice </w:t>
      </w:r>
      <w:bookmarkEnd w:id="35"/>
    </w:p>
    <w:p w:rsidR="000B562B" w:rsidRPr="00A176EA" w:rsidRDefault="003A55FF" w:rsidP="00C01D5E">
      <w:pPr>
        <w:pStyle w:val="H23G"/>
        <w:rPr>
          <w:lang w:val="fr-FR"/>
        </w:rPr>
      </w:pPr>
      <w:r w:rsidRPr="00425A5D">
        <w:rPr>
          <w:lang w:val="fr-FR"/>
        </w:rPr>
        <w:t>Grande-Bretagne</w:t>
      </w:r>
    </w:p>
    <w:p w:rsidR="000B562B" w:rsidRPr="00A176EA" w:rsidRDefault="002549A9" w:rsidP="00A90B84">
      <w:pPr>
        <w:pStyle w:val="SingleTxtG"/>
        <w:rPr>
          <w:lang w:val="fr-FR"/>
        </w:rPr>
      </w:pPr>
      <w:r w:rsidRPr="00A176EA">
        <w:rPr>
          <w:lang w:val="fr-FR"/>
        </w:rPr>
        <w:t>295.</w:t>
      </w:r>
      <w:r w:rsidRPr="00A176EA">
        <w:rPr>
          <w:lang w:val="fr-FR"/>
        </w:rPr>
        <w:tab/>
      </w:r>
      <w:r w:rsidR="00A90B84">
        <w:rPr>
          <w:lang w:val="fr-FR"/>
        </w:rPr>
        <w:t>Le cadre actuel des garanties, juridiques et autres, qui régissent le recours aux forces de police au Royaume-Uni figure au paragraphe</w:t>
      </w:r>
      <w:r w:rsidR="00A90B84" w:rsidRPr="00410954">
        <w:rPr>
          <w:lang w:val="fr-FR"/>
        </w:rPr>
        <w:t xml:space="preserve"> 97</w:t>
      </w:r>
      <w:r w:rsidR="00A90B84">
        <w:rPr>
          <w:lang w:val="fr-FR"/>
        </w:rPr>
        <w:t xml:space="preserve"> du quatrième rapport du Royaume-Uni</w:t>
      </w:r>
      <w:r w:rsidR="000B562B" w:rsidRPr="00A176EA">
        <w:rPr>
          <w:lang w:val="fr-FR"/>
        </w:rPr>
        <w:t>.</w:t>
      </w:r>
    </w:p>
    <w:p w:rsidR="000B562B" w:rsidRPr="00A176EA" w:rsidRDefault="002549A9" w:rsidP="00A90B84">
      <w:pPr>
        <w:pStyle w:val="SingleTxtG"/>
        <w:rPr>
          <w:lang w:val="fr-FR"/>
        </w:rPr>
      </w:pPr>
      <w:r w:rsidRPr="00A176EA">
        <w:rPr>
          <w:lang w:val="fr-FR"/>
        </w:rPr>
        <w:t>296.</w:t>
      </w:r>
      <w:r w:rsidRPr="00A176EA">
        <w:rPr>
          <w:lang w:val="fr-FR"/>
        </w:rPr>
        <w:tab/>
      </w:r>
      <w:r w:rsidR="00A90B84">
        <w:rPr>
          <w:lang w:val="fr-FR"/>
        </w:rPr>
        <w:t xml:space="preserve">Les normes applicables à la </w:t>
      </w:r>
      <w:r w:rsidR="004E56E1">
        <w:rPr>
          <w:lang w:val="fr-FR"/>
        </w:rPr>
        <w:t>garde à vue</w:t>
      </w:r>
      <w:r w:rsidR="00A90B84">
        <w:rPr>
          <w:lang w:val="fr-FR"/>
        </w:rPr>
        <w:t xml:space="preserve"> par les forces de police prennent pleinement en compte les règles et principes énoncés dans les normes et les rapports internationaux</w:t>
      </w:r>
      <w:r w:rsidR="000B562B" w:rsidRPr="00A176EA">
        <w:rPr>
          <w:lang w:val="fr-FR"/>
        </w:rPr>
        <w:t>.</w:t>
      </w:r>
    </w:p>
    <w:p w:rsidR="000B562B" w:rsidRPr="00A90B84" w:rsidRDefault="008F3DA4" w:rsidP="00C01D5E">
      <w:pPr>
        <w:pStyle w:val="H23G"/>
        <w:rPr>
          <w:lang w:val="fr-FR"/>
        </w:rPr>
      </w:pPr>
      <w:r w:rsidRPr="00A90B84">
        <w:rPr>
          <w:lang w:val="fr-FR"/>
        </w:rPr>
        <w:t>Irlande du Nord</w:t>
      </w:r>
    </w:p>
    <w:p w:rsidR="000B562B" w:rsidRPr="00A176EA" w:rsidRDefault="002549A9" w:rsidP="007F7F20">
      <w:pPr>
        <w:pStyle w:val="SingleTxtG"/>
        <w:rPr>
          <w:szCs w:val="22"/>
          <w:lang w:val="fr-FR"/>
        </w:rPr>
      </w:pPr>
      <w:r w:rsidRPr="00A90B84">
        <w:rPr>
          <w:szCs w:val="22"/>
          <w:lang w:val="fr-FR"/>
        </w:rPr>
        <w:t>297.</w:t>
      </w:r>
      <w:r w:rsidRPr="00A90B84">
        <w:rPr>
          <w:szCs w:val="22"/>
          <w:lang w:val="fr-FR"/>
        </w:rPr>
        <w:tab/>
      </w:r>
      <w:r w:rsidR="00894F3B" w:rsidRPr="00A90B84">
        <w:rPr>
          <w:lang w:val="fr-FR"/>
        </w:rPr>
        <w:t>L’examen de fon</w:t>
      </w:r>
      <w:r w:rsidR="00A90B84" w:rsidRPr="00A90B84">
        <w:rPr>
          <w:lang w:val="fr-FR"/>
        </w:rPr>
        <w:t>d</w:t>
      </w:r>
      <w:r w:rsidR="000B562B" w:rsidRPr="00A90B84">
        <w:rPr>
          <w:lang w:val="fr-FR"/>
        </w:rPr>
        <w:t xml:space="preserve"> </w:t>
      </w:r>
      <w:r w:rsidR="004E56E1">
        <w:rPr>
          <w:lang w:val="fr-FR"/>
        </w:rPr>
        <w:t>de l’ordonnance</w:t>
      </w:r>
      <w:r w:rsidR="00894F3B" w:rsidRPr="00A90B84">
        <w:rPr>
          <w:lang w:val="fr-FR"/>
        </w:rPr>
        <w:t xml:space="preserve"> de 1989 </w:t>
      </w:r>
      <w:r w:rsidR="004E56E1">
        <w:rPr>
          <w:lang w:val="fr-FR"/>
        </w:rPr>
        <w:t>relative à</w:t>
      </w:r>
      <w:r w:rsidR="00894F3B" w:rsidRPr="00A90B84">
        <w:rPr>
          <w:lang w:val="fr-FR"/>
        </w:rPr>
        <w:t xml:space="preserve"> la p</w:t>
      </w:r>
      <w:r w:rsidR="000B562B" w:rsidRPr="00A90B84">
        <w:rPr>
          <w:lang w:val="fr-FR"/>
        </w:rPr>
        <w:t xml:space="preserve">olice </w:t>
      </w:r>
      <w:r w:rsidR="00894F3B" w:rsidRPr="00A90B84">
        <w:rPr>
          <w:lang w:val="fr-FR"/>
        </w:rPr>
        <w:t xml:space="preserve">et </w:t>
      </w:r>
      <w:r w:rsidR="004E56E1">
        <w:rPr>
          <w:lang w:val="fr-FR"/>
        </w:rPr>
        <w:t>aux</w:t>
      </w:r>
      <w:r w:rsidR="00894F3B" w:rsidRPr="00A90B84">
        <w:rPr>
          <w:lang w:val="fr-FR"/>
        </w:rPr>
        <w:t xml:space="preserve"> preuves </w:t>
      </w:r>
      <w:r w:rsidR="00D10599" w:rsidRPr="00A90B84">
        <w:rPr>
          <w:lang w:val="fr-FR"/>
        </w:rPr>
        <w:t>pénales</w:t>
      </w:r>
      <w:r w:rsidR="000B562B" w:rsidRPr="00A90B84">
        <w:rPr>
          <w:lang w:val="fr-FR"/>
        </w:rPr>
        <w:t xml:space="preserve"> (</w:t>
      </w:r>
      <w:r w:rsidR="008F3DA4" w:rsidRPr="00A90B84">
        <w:rPr>
          <w:lang w:val="fr-FR"/>
        </w:rPr>
        <w:t>Irlande du Nord</w:t>
      </w:r>
      <w:r w:rsidR="000B562B" w:rsidRPr="00A90B84">
        <w:rPr>
          <w:lang w:val="fr-FR"/>
        </w:rPr>
        <w:t xml:space="preserve">) </w:t>
      </w:r>
      <w:r w:rsidR="00894F3B" w:rsidRPr="00A90B84">
        <w:rPr>
          <w:lang w:val="fr-FR"/>
        </w:rPr>
        <w:t>s’est achevé en mars</w:t>
      </w:r>
      <w:r w:rsidR="000B562B" w:rsidRPr="00A90B84">
        <w:rPr>
          <w:lang w:val="fr-FR"/>
        </w:rPr>
        <w:t xml:space="preserve"> 2007 </w:t>
      </w:r>
      <w:r w:rsidR="00894F3B" w:rsidRPr="00A90B84">
        <w:rPr>
          <w:lang w:val="fr-FR"/>
        </w:rPr>
        <w:t xml:space="preserve">par </w:t>
      </w:r>
      <w:r w:rsidR="007F7F20">
        <w:rPr>
          <w:lang w:val="fr-FR"/>
        </w:rPr>
        <w:t>l’adoption</w:t>
      </w:r>
      <w:r w:rsidR="000B562B" w:rsidRPr="00A176EA">
        <w:rPr>
          <w:lang w:val="fr-FR"/>
        </w:rPr>
        <w:t xml:space="preserve"> </w:t>
      </w:r>
      <w:r w:rsidR="007F7F20">
        <w:rPr>
          <w:lang w:val="fr-FR"/>
        </w:rPr>
        <w:t>de modifications législatives dotant les services de police d’un certain nombre de nouveaux pouvoirs et en modifiant d’autres</w:t>
      </w:r>
      <w:r w:rsidR="000B562B" w:rsidRPr="00A176EA">
        <w:rPr>
          <w:lang w:val="fr-FR"/>
        </w:rPr>
        <w:t xml:space="preserve">. </w:t>
      </w:r>
      <w:r w:rsidR="007F7F20" w:rsidRPr="007F7F20">
        <w:rPr>
          <w:lang w:val="fr-FR"/>
        </w:rPr>
        <w:t xml:space="preserve">L’objectif premier de cet examen était d’harmoniser davantage la </w:t>
      </w:r>
      <w:r w:rsidR="00440FAD" w:rsidRPr="007F7F20">
        <w:rPr>
          <w:lang w:val="fr-FR"/>
        </w:rPr>
        <w:t xml:space="preserve">loi sur la police et les preuves </w:t>
      </w:r>
      <w:r w:rsidR="00D10599" w:rsidRPr="007F7F20">
        <w:rPr>
          <w:lang w:val="fr-FR"/>
        </w:rPr>
        <w:t>pénales</w:t>
      </w:r>
      <w:r w:rsidR="00440FAD" w:rsidRPr="007F7F20">
        <w:rPr>
          <w:lang w:val="fr-FR"/>
        </w:rPr>
        <w:t xml:space="preserve"> </w:t>
      </w:r>
      <w:r w:rsidR="007F7F20" w:rsidRPr="007F7F20">
        <w:rPr>
          <w:lang w:val="fr-FR"/>
        </w:rPr>
        <w:t>d’Irlande du Nord</w:t>
      </w:r>
      <w:r w:rsidR="004E56E1">
        <w:rPr>
          <w:lang w:val="fr-FR"/>
        </w:rPr>
        <w:t>,</w:t>
      </w:r>
      <w:r w:rsidR="007F7F20" w:rsidRPr="007F7F20">
        <w:rPr>
          <w:lang w:val="fr-FR"/>
        </w:rPr>
        <w:t xml:space="preserve"> et les codes de bonnes pratiques s’y rattachant</w:t>
      </w:r>
      <w:r w:rsidR="004E56E1">
        <w:rPr>
          <w:lang w:val="fr-FR"/>
        </w:rPr>
        <w:t>,</w:t>
      </w:r>
      <w:r w:rsidR="007F7F20" w:rsidRPr="007F7F20">
        <w:rPr>
          <w:lang w:val="fr-FR"/>
        </w:rPr>
        <w:t xml:space="preserve"> avec celle</w:t>
      </w:r>
      <w:r w:rsidR="00440FAD" w:rsidRPr="007F7F20">
        <w:rPr>
          <w:lang w:val="fr-FR"/>
        </w:rPr>
        <w:t xml:space="preserve"> </w:t>
      </w:r>
      <w:r w:rsidR="007F7F20" w:rsidRPr="007F7F20">
        <w:rPr>
          <w:lang w:val="fr-FR"/>
        </w:rPr>
        <w:t>de l’</w:t>
      </w:r>
      <w:r w:rsidR="003A55FF" w:rsidRPr="007F7F20">
        <w:rPr>
          <w:lang w:val="fr-FR"/>
        </w:rPr>
        <w:t xml:space="preserve">Angleterre et </w:t>
      </w:r>
      <w:r w:rsidR="007F7F20" w:rsidRPr="007F7F20">
        <w:rPr>
          <w:lang w:val="fr-FR"/>
        </w:rPr>
        <w:t>d</w:t>
      </w:r>
      <w:r w:rsidR="003A55FF" w:rsidRPr="007F7F20">
        <w:rPr>
          <w:lang w:val="fr-FR"/>
        </w:rPr>
        <w:t xml:space="preserve">u </w:t>
      </w:r>
      <w:r w:rsidR="00186A02">
        <w:rPr>
          <w:lang w:val="fr-FR"/>
        </w:rPr>
        <w:t>p</w:t>
      </w:r>
      <w:r w:rsidR="005601A1">
        <w:rPr>
          <w:lang w:val="fr-FR"/>
        </w:rPr>
        <w:t>ays de Galles</w:t>
      </w:r>
      <w:r w:rsidR="000B562B" w:rsidRPr="007F7F20">
        <w:rPr>
          <w:lang w:val="fr-FR"/>
        </w:rPr>
        <w:t>.</w:t>
      </w:r>
    </w:p>
    <w:p w:rsidR="000B562B" w:rsidRPr="002218DB" w:rsidRDefault="002549A9" w:rsidP="002218DB">
      <w:pPr>
        <w:pStyle w:val="SingleTxtG"/>
        <w:rPr>
          <w:lang w:val="fr-FR"/>
        </w:rPr>
      </w:pPr>
      <w:r w:rsidRPr="00A176EA">
        <w:rPr>
          <w:lang w:val="fr-FR"/>
        </w:rPr>
        <w:t>298.</w:t>
      </w:r>
      <w:r w:rsidRPr="00A176EA">
        <w:rPr>
          <w:lang w:val="fr-FR"/>
        </w:rPr>
        <w:tab/>
      </w:r>
      <w:r w:rsidR="007F7F20">
        <w:rPr>
          <w:lang w:val="fr-FR"/>
        </w:rPr>
        <w:t xml:space="preserve">Un nouvel examen de la </w:t>
      </w:r>
      <w:r w:rsidR="00440FAD" w:rsidRPr="007F7F20">
        <w:rPr>
          <w:lang w:val="fr-FR"/>
        </w:rPr>
        <w:t xml:space="preserve">loi sur la police et les preuves </w:t>
      </w:r>
      <w:r w:rsidR="00D10599" w:rsidRPr="007F7F20">
        <w:rPr>
          <w:lang w:val="fr-FR"/>
        </w:rPr>
        <w:t>pénales</w:t>
      </w:r>
      <w:r w:rsidR="000B562B" w:rsidRPr="007F7F20">
        <w:rPr>
          <w:lang w:val="fr-FR"/>
        </w:rPr>
        <w:t xml:space="preserve"> (</w:t>
      </w:r>
      <w:r w:rsidR="00D10599" w:rsidRPr="007F7F20">
        <w:rPr>
          <w:lang w:val="fr-FR"/>
        </w:rPr>
        <w:t>Irlande du Nord</w:t>
      </w:r>
      <w:r w:rsidR="000B562B" w:rsidRPr="007F7F20">
        <w:rPr>
          <w:lang w:val="fr-FR"/>
        </w:rPr>
        <w:t>)</w:t>
      </w:r>
      <w:r w:rsidR="007F7F20">
        <w:rPr>
          <w:lang w:val="fr-FR"/>
        </w:rPr>
        <w:t xml:space="preserve"> a débuté en juillet</w:t>
      </w:r>
      <w:r w:rsidR="000B562B" w:rsidRPr="00A176EA">
        <w:rPr>
          <w:lang w:val="fr-FR"/>
        </w:rPr>
        <w:t xml:space="preserve"> 2007. </w:t>
      </w:r>
      <w:r w:rsidR="007F7F20" w:rsidRPr="007F7F20">
        <w:rPr>
          <w:lang w:val="fr-FR"/>
        </w:rPr>
        <w:t xml:space="preserve">Il a donné lieu à la publication, en janvier 2009, d’un document de consultation intitulé </w:t>
      </w:r>
      <w:r w:rsidR="00CD0110">
        <w:rPr>
          <w:lang w:val="fr-FR"/>
        </w:rPr>
        <w:t>«</w:t>
      </w:r>
      <w:r w:rsidR="007F7F20" w:rsidRPr="007F7F20">
        <w:rPr>
          <w:lang w:val="fr-FR"/>
        </w:rPr>
        <w:t xml:space="preserve">Propositions du Gouvernement à l’issue de l’examen de la </w:t>
      </w:r>
      <w:r w:rsidR="00440FAD" w:rsidRPr="007F7F20">
        <w:rPr>
          <w:lang w:val="fr-FR"/>
        </w:rPr>
        <w:t xml:space="preserve">loi sur la police et les preuves </w:t>
      </w:r>
      <w:r w:rsidR="00D10599" w:rsidRPr="007F7F20">
        <w:rPr>
          <w:lang w:val="fr-FR"/>
        </w:rPr>
        <w:t>pénales e</w:t>
      </w:r>
      <w:r w:rsidR="000B562B" w:rsidRPr="007F7F20">
        <w:rPr>
          <w:lang w:val="fr-FR"/>
        </w:rPr>
        <w:t xml:space="preserve">n </w:t>
      </w:r>
      <w:r w:rsidR="008F3DA4" w:rsidRPr="007F7F20">
        <w:rPr>
          <w:lang w:val="fr-FR"/>
        </w:rPr>
        <w:t>Irlande du Nord</w:t>
      </w:r>
      <w:r w:rsidR="00CD0110">
        <w:rPr>
          <w:lang w:val="fr-FR"/>
        </w:rPr>
        <w:t>»</w:t>
      </w:r>
      <w:r w:rsidR="000B562B" w:rsidRPr="007F7F20">
        <w:rPr>
          <w:lang w:val="fr-FR"/>
        </w:rPr>
        <w:t>.</w:t>
      </w:r>
      <w:r w:rsidR="007F7F20">
        <w:rPr>
          <w:lang w:val="fr-FR"/>
        </w:rPr>
        <w:t xml:space="preserve"> </w:t>
      </w:r>
      <w:r w:rsidR="00796BDD">
        <w:rPr>
          <w:lang w:val="fr-FR"/>
        </w:rPr>
        <w:t xml:space="preserve">Le processus d’examen a été considérablement retardé du fait que le Gouvernement a dû </w:t>
      </w:r>
      <w:r w:rsidR="00714EC5">
        <w:rPr>
          <w:lang w:val="fr-FR"/>
        </w:rPr>
        <w:t>donner suite</w:t>
      </w:r>
      <w:r w:rsidR="00796BDD">
        <w:rPr>
          <w:lang w:val="fr-FR"/>
        </w:rPr>
        <w:t xml:space="preserve"> à la décision de la Cour européenne des droits de l’homme dans l’affaire </w:t>
      </w:r>
      <w:r w:rsidR="00796BDD" w:rsidRPr="00DC5441">
        <w:rPr>
          <w:i/>
          <w:iCs/>
          <w:lang w:val="fr-FR"/>
        </w:rPr>
        <w:t>S &amp; Marper</w:t>
      </w:r>
      <w:r w:rsidR="00796BDD">
        <w:rPr>
          <w:lang w:val="fr-FR"/>
        </w:rPr>
        <w:t xml:space="preserve"> c. </w:t>
      </w:r>
      <w:r w:rsidR="00796BDD" w:rsidRPr="00DC5441">
        <w:rPr>
          <w:i/>
          <w:iCs/>
          <w:lang w:val="fr-FR"/>
        </w:rPr>
        <w:t>Royaume-Uni</w:t>
      </w:r>
      <w:r w:rsidR="00796BDD">
        <w:rPr>
          <w:lang w:val="fr-FR"/>
        </w:rPr>
        <w:t xml:space="preserve">. </w:t>
      </w:r>
      <w:r w:rsidR="00714EC5" w:rsidRPr="002218DB">
        <w:rPr>
          <w:lang w:val="fr-FR"/>
        </w:rPr>
        <w:t xml:space="preserve">Depuis </w:t>
      </w:r>
      <w:r w:rsidR="002218DB" w:rsidRPr="002218DB">
        <w:rPr>
          <w:lang w:val="fr-FR"/>
        </w:rPr>
        <w:t>le</w:t>
      </w:r>
      <w:r w:rsidR="00714EC5" w:rsidRPr="002218DB">
        <w:rPr>
          <w:lang w:val="fr-FR"/>
        </w:rPr>
        <w:t xml:space="preserve"> 12 avril 2010, </w:t>
      </w:r>
      <w:r w:rsidR="002218DB" w:rsidRPr="002218DB">
        <w:rPr>
          <w:lang w:val="fr-FR"/>
        </w:rPr>
        <w:t xml:space="preserve">date à partir de laquelle les pouvoirs de police et de justice </w:t>
      </w:r>
      <w:r w:rsidR="002218DB" w:rsidRPr="000C06FB">
        <w:rPr>
          <w:lang w:val="fr-FR"/>
        </w:rPr>
        <w:t>n’appartiennent plus à Westminst</w:t>
      </w:r>
      <w:r w:rsidR="002218DB" w:rsidRPr="002218DB">
        <w:rPr>
          <w:lang w:val="fr-FR"/>
        </w:rPr>
        <w:t xml:space="preserve">er, il incombe au Ministère de la justice de faire évoluer la </w:t>
      </w:r>
      <w:r w:rsidR="00440FAD" w:rsidRPr="002218DB">
        <w:rPr>
          <w:lang w:val="fr-FR"/>
        </w:rPr>
        <w:t xml:space="preserve">loi sur la police et les preuves </w:t>
      </w:r>
      <w:r w:rsidR="00D10599" w:rsidRPr="002218DB">
        <w:rPr>
          <w:lang w:val="fr-FR"/>
        </w:rPr>
        <w:t>pénales</w:t>
      </w:r>
      <w:r w:rsidR="000B562B" w:rsidRPr="002218DB">
        <w:rPr>
          <w:lang w:val="fr-FR"/>
        </w:rPr>
        <w:t xml:space="preserve"> </w:t>
      </w:r>
      <w:r w:rsidR="00D10599" w:rsidRPr="002218DB">
        <w:rPr>
          <w:lang w:val="fr-FR"/>
        </w:rPr>
        <w:t>e</w:t>
      </w:r>
      <w:r w:rsidR="000B562B" w:rsidRPr="002218DB">
        <w:rPr>
          <w:lang w:val="fr-FR"/>
        </w:rPr>
        <w:t xml:space="preserve">n </w:t>
      </w:r>
      <w:r w:rsidR="008F3DA4" w:rsidRPr="002218DB">
        <w:rPr>
          <w:lang w:val="fr-FR"/>
        </w:rPr>
        <w:t>Irlande du Nord</w:t>
      </w:r>
      <w:r w:rsidR="000B562B" w:rsidRPr="002218DB">
        <w:rPr>
          <w:lang w:val="fr-FR"/>
        </w:rPr>
        <w:t>.</w:t>
      </w:r>
    </w:p>
    <w:p w:rsidR="000B562B" w:rsidRPr="002218DB" w:rsidRDefault="000B562B" w:rsidP="007977DD">
      <w:pPr>
        <w:pStyle w:val="H23G"/>
        <w:rPr>
          <w:lang w:val="fr-FR"/>
        </w:rPr>
      </w:pPr>
      <w:bookmarkStart w:id="36" w:name="_Toc299724717"/>
      <w:r w:rsidRPr="002218DB">
        <w:rPr>
          <w:lang w:val="fr-FR"/>
        </w:rPr>
        <w:t>Inspection</w:t>
      </w:r>
      <w:bookmarkEnd w:id="36"/>
    </w:p>
    <w:p w:rsidR="000B562B" w:rsidRPr="00A176EA" w:rsidRDefault="002549A9" w:rsidP="00AF1202">
      <w:pPr>
        <w:pStyle w:val="SingleTxtG"/>
        <w:rPr>
          <w:lang w:val="fr-FR"/>
        </w:rPr>
      </w:pPr>
      <w:r w:rsidRPr="002218DB">
        <w:rPr>
          <w:lang w:val="fr-FR"/>
        </w:rPr>
        <w:t>299.</w:t>
      </w:r>
      <w:r w:rsidRPr="002218DB">
        <w:rPr>
          <w:lang w:val="fr-FR"/>
        </w:rPr>
        <w:tab/>
      </w:r>
      <w:r w:rsidR="00D46D1A" w:rsidRPr="002218DB">
        <w:rPr>
          <w:lang w:val="fr-FR"/>
        </w:rPr>
        <w:t xml:space="preserve">L’Inspection des services de police de Sa Majesté </w:t>
      </w:r>
      <w:r w:rsidR="00DB6232" w:rsidRPr="002218DB">
        <w:rPr>
          <w:lang w:val="fr-FR"/>
        </w:rPr>
        <w:t>et</w:t>
      </w:r>
      <w:r w:rsidR="000B562B" w:rsidRPr="002218DB">
        <w:rPr>
          <w:lang w:val="fr-FR"/>
        </w:rPr>
        <w:t xml:space="preserve"> </w:t>
      </w:r>
      <w:r w:rsidR="00DB6232" w:rsidRPr="002218DB">
        <w:rPr>
          <w:snapToGrid w:val="0"/>
          <w:lang w:val="fr-FR"/>
        </w:rPr>
        <w:t xml:space="preserve">l’Inspection des services pénitentiaires </w:t>
      </w:r>
      <w:r w:rsidR="002218DB">
        <w:rPr>
          <w:snapToGrid w:val="0"/>
          <w:lang w:val="fr-FR"/>
        </w:rPr>
        <w:t xml:space="preserve">de Sa Majesté ont élaboré ensemble un programme commun d’inspection des conditions de garde à vue dans les locaux de la police, programme fondé sur un cadre convenu d’un commun accord. Les gardes à vue ne sont qu’un volet du programme commun élaboré par les inspections de la justice pénale. Il s’agit d’effectuer des inspections régulières, conformément aux obligations du Royaume-Uni découlant du Protocole facultatif à la Convention des Nations Unies contre la torture. Ce cadre est fondé sur </w:t>
      </w:r>
      <w:r w:rsidR="00835962">
        <w:rPr>
          <w:snapToGrid w:val="0"/>
          <w:lang w:val="fr-FR"/>
        </w:rPr>
        <w:t xml:space="preserve">le principe </w:t>
      </w:r>
      <w:r w:rsidR="00835962" w:rsidRPr="004E56E1">
        <w:rPr>
          <w:snapToGrid w:val="0"/>
          <w:lang w:val="fr-FR"/>
        </w:rPr>
        <w:t>que</w:t>
      </w:r>
      <w:r w:rsidR="00835962">
        <w:rPr>
          <w:snapToGrid w:val="0"/>
          <w:lang w:val="fr-FR"/>
        </w:rPr>
        <w:t xml:space="preserve"> tous les détenus doivent être traités avec respect </w:t>
      </w:r>
      <w:r w:rsidR="00AF1202">
        <w:rPr>
          <w:snapToGrid w:val="0"/>
          <w:lang w:val="fr-FR"/>
        </w:rPr>
        <w:t xml:space="preserve">et protégés en toutes circonstances contre tout danger. Il s’est inspiré des connaissances et des expériences des usagers pour comprendre </w:t>
      </w:r>
      <w:r w:rsidR="004E56E1">
        <w:rPr>
          <w:snapToGrid w:val="0"/>
          <w:lang w:val="fr-FR"/>
        </w:rPr>
        <w:t>s</w:t>
      </w:r>
      <w:r w:rsidR="00AF1202">
        <w:rPr>
          <w:snapToGrid w:val="0"/>
          <w:lang w:val="fr-FR"/>
        </w:rPr>
        <w:t>a signification dans la pratique, ainsi que de l’expérience des inspecteurs des secteurs de la santé, de la police et du système pénitentiaire</w:t>
      </w:r>
      <w:r w:rsidR="000B562B" w:rsidRPr="00A176EA">
        <w:rPr>
          <w:lang w:val="fr-FR"/>
        </w:rPr>
        <w:t>.</w:t>
      </w:r>
    </w:p>
    <w:p w:rsidR="000B562B" w:rsidRPr="00A176EA" w:rsidRDefault="002549A9" w:rsidP="00FA247D">
      <w:pPr>
        <w:pStyle w:val="SingleTxtG"/>
        <w:rPr>
          <w:lang w:val="fr-FR"/>
        </w:rPr>
      </w:pPr>
      <w:r w:rsidRPr="00A176EA">
        <w:rPr>
          <w:lang w:val="fr-FR"/>
        </w:rPr>
        <w:t>300.</w:t>
      </w:r>
      <w:r w:rsidRPr="00A176EA">
        <w:rPr>
          <w:lang w:val="fr-FR"/>
        </w:rPr>
        <w:tab/>
      </w:r>
      <w:r w:rsidR="00AF1202">
        <w:rPr>
          <w:lang w:val="fr-FR"/>
        </w:rPr>
        <w:t xml:space="preserve">Le processus d’inspection vise à établir un régime d’inspections planifiées portant sur l’efficience et l’efficacité des forces de police et des conditions régnant dans leurs locaux de garde à vue. Prévoyant une moyenne de 12 inspections par an, le programme </w:t>
      </w:r>
      <w:r w:rsidR="001A3D6D">
        <w:rPr>
          <w:lang w:val="fr-FR"/>
        </w:rPr>
        <w:t>sera</w:t>
      </w:r>
      <w:r w:rsidR="00AF1202">
        <w:rPr>
          <w:lang w:val="fr-FR"/>
        </w:rPr>
        <w:t xml:space="preserve"> exécuté dans un délai de cinq à six ans. Il y aura chaque année des inspections avec et sans préavis</w:t>
      </w:r>
      <w:r w:rsidR="00FA247D">
        <w:rPr>
          <w:lang w:val="fr-FR"/>
        </w:rPr>
        <w:t xml:space="preserve"> qui donneront lieu à la publication de rapports individuels et de </w:t>
      </w:r>
      <w:r w:rsidR="00CD0110">
        <w:rPr>
          <w:lang w:val="fr-FR"/>
        </w:rPr>
        <w:t>«</w:t>
      </w:r>
      <w:r w:rsidR="00FA247D">
        <w:rPr>
          <w:lang w:val="fr-FR"/>
        </w:rPr>
        <w:t>rapports thématiques</w:t>
      </w:r>
      <w:r w:rsidR="00CD0110">
        <w:rPr>
          <w:lang w:val="fr-FR"/>
        </w:rPr>
        <w:t>»</w:t>
      </w:r>
      <w:r w:rsidR="00FA247D">
        <w:rPr>
          <w:lang w:val="fr-FR"/>
        </w:rPr>
        <w:t xml:space="preserve"> périodiques sur l’évolution de la situation ou les conclusions particulièrement importantes</w:t>
      </w:r>
      <w:r w:rsidR="000B562B" w:rsidRPr="00A176EA">
        <w:rPr>
          <w:lang w:val="fr-FR"/>
        </w:rPr>
        <w:t>.</w:t>
      </w:r>
    </w:p>
    <w:p w:rsidR="000B562B" w:rsidRPr="00A176EA" w:rsidRDefault="002549A9" w:rsidP="00C8658E">
      <w:pPr>
        <w:pStyle w:val="SingleTxtG"/>
        <w:rPr>
          <w:lang w:val="fr-FR"/>
        </w:rPr>
      </w:pPr>
      <w:r w:rsidRPr="00A176EA">
        <w:rPr>
          <w:lang w:val="fr-FR"/>
        </w:rPr>
        <w:t>301.</w:t>
      </w:r>
      <w:r w:rsidRPr="00A176EA">
        <w:rPr>
          <w:lang w:val="fr-FR"/>
        </w:rPr>
        <w:tab/>
      </w:r>
      <w:r w:rsidR="00FA247D" w:rsidRPr="00C8658E">
        <w:rPr>
          <w:lang w:val="fr-FR"/>
        </w:rPr>
        <w:t xml:space="preserve">La loi de 1996 sur la police confère à </w:t>
      </w:r>
      <w:r w:rsidR="00D46D1A" w:rsidRPr="00C8658E">
        <w:rPr>
          <w:lang w:val="fr-FR"/>
        </w:rPr>
        <w:t>l’Inspection des services de police de Sa Majesté</w:t>
      </w:r>
      <w:r w:rsidR="000B562B" w:rsidRPr="00C8658E">
        <w:rPr>
          <w:lang w:val="fr-FR"/>
        </w:rPr>
        <w:t xml:space="preserve"> </w:t>
      </w:r>
      <w:r w:rsidR="00FA247D" w:rsidRPr="00C8658E">
        <w:rPr>
          <w:lang w:val="fr-FR"/>
        </w:rPr>
        <w:t>l’obligation de faire rapport au Ministre de l’intérieur sur l’efficience et l’efficacité des 43 forces de police d’</w:t>
      </w:r>
      <w:r w:rsidR="003A55FF" w:rsidRPr="00C8658E">
        <w:rPr>
          <w:lang w:val="fr-FR"/>
        </w:rPr>
        <w:t xml:space="preserve">Angleterre et </w:t>
      </w:r>
      <w:r w:rsidR="00FA247D" w:rsidRPr="00C8658E">
        <w:rPr>
          <w:lang w:val="fr-FR"/>
        </w:rPr>
        <w:t>d</w:t>
      </w:r>
      <w:r w:rsidR="003A55FF" w:rsidRPr="00C8658E">
        <w:rPr>
          <w:lang w:val="fr-FR"/>
        </w:rPr>
        <w:t xml:space="preserve">u </w:t>
      </w:r>
      <w:r w:rsidR="00186A02">
        <w:rPr>
          <w:lang w:val="fr-FR"/>
        </w:rPr>
        <w:t>p</w:t>
      </w:r>
      <w:r w:rsidR="005601A1">
        <w:rPr>
          <w:lang w:val="fr-FR"/>
        </w:rPr>
        <w:t>ays de Galles</w:t>
      </w:r>
      <w:r w:rsidR="000B562B" w:rsidRPr="00C8658E">
        <w:rPr>
          <w:lang w:val="fr-FR"/>
        </w:rPr>
        <w:t xml:space="preserve">. </w:t>
      </w:r>
      <w:r w:rsidR="003A55FF" w:rsidRPr="00C8658E">
        <w:rPr>
          <w:lang w:val="fr-FR"/>
        </w:rPr>
        <w:t>E</w:t>
      </w:r>
      <w:r w:rsidR="000B562B" w:rsidRPr="00C8658E">
        <w:rPr>
          <w:lang w:val="fr-FR"/>
        </w:rPr>
        <w:t xml:space="preserve">n </w:t>
      </w:r>
      <w:r w:rsidR="00FD2CE1" w:rsidRPr="00C8658E">
        <w:rPr>
          <w:lang w:val="fr-FR"/>
        </w:rPr>
        <w:t>Écosse</w:t>
      </w:r>
      <w:r w:rsidR="000B562B" w:rsidRPr="00C8658E">
        <w:rPr>
          <w:lang w:val="fr-FR"/>
        </w:rPr>
        <w:t xml:space="preserve">, </w:t>
      </w:r>
      <w:r w:rsidR="00FA247D" w:rsidRPr="00C8658E">
        <w:rPr>
          <w:lang w:val="fr-FR"/>
        </w:rPr>
        <w:t>une</w:t>
      </w:r>
      <w:r w:rsidR="000B562B" w:rsidRPr="00C8658E">
        <w:rPr>
          <w:lang w:val="fr-FR"/>
        </w:rPr>
        <w:t xml:space="preserve"> </w:t>
      </w:r>
      <w:r w:rsidR="00D46D1A" w:rsidRPr="00C8658E">
        <w:rPr>
          <w:lang w:val="fr-FR"/>
        </w:rPr>
        <w:t>Inspection des services de police de Sa Majesté</w:t>
      </w:r>
      <w:r w:rsidR="00FA247D" w:rsidRPr="00C8658E">
        <w:rPr>
          <w:lang w:val="fr-FR"/>
        </w:rPr>
        <w:t xml:space="preserve"> distincte,</w:t>
      </w:r>
      <w:r w:rsidR="000B562B" w:rsidRPr="00C8658E">
        <w:rPr>
          <w:lang w:val="fr-FR"/>
        </w:rPr>
        <w:t xml:space="preserve"> </w:t>
      </w:r>
      <w:r w:rsidR="00FA247D" w:rsidRPr="00C8658E">
        <w:rPr>
          <w:lang w:val="fr-FR"/>
        </w:rPr>
        <w:t xml:space="preserve">qui fait rapport aux ministres écossais, exerce </w:t>
      </w:r>
      <w:r w:rsidR="00C8658E" w:rsidRPr="00C8658E">
        <w:rPr>
          <w:lang w:val="fr-FR"/>
        </w:rPr>
        <w:t>une</w:t>
      </w:r>
      <w:r w:rsidR="00FA247D" w:rsidRPr="00C8658E">
        <w:rPr>
          <w:lang w:val="fr-FR"/>
        </w:rPr>
        <w:t xml:space="preserve"> fonction </w:t>
      </w:r>
      <w:r w:rsidR="00C8658E" w:rsidRPr="00C8658E">
        <w:rPr>
          <w:lang w:val="fr-FR"/>
        </w:rPr>
        <w:t xml:space="preserve">similaire </w:t>
      </w:r>
      <w:r w:rsidR="00FA247D" w:rsidRPr="00C8658E">
        <w:rPr>
          <w:lang w:val="fr-FR"/>
        </w:rPr>
        <w:t xml:space="preserve">en vertu de la loi de 1967 sur les services de police </w:t>
      </w:r>
      <w:r w:rsidR="00C8658E" w:rsidRPr="00C8658E">
        <w:rPr>
          <w:lang w:val="fr-FR"/>
        </w:rPr>
        <w:t>(Écosse).</w:t>
      </w:r>
      <w:r w:rsidR="00C8658E">
        <w:rPr>
          <w:lang w:val="fr-FR"/>
        </w:rPr>
        <w:t xml:space="preserve"> La loi de 2000 sur les services de police (Irlande du Nord) confère au Conseil supérieur de la police </w:t>
      </w:r>
      <w:r w:rsidR="00C8658E" w:rsidRPr="004C6520">
        <w:rPr>
          <w:lang w:val="fr-FR"/>
        </w:rPr>
        <w:t>d’Irlande du Nord</w:t>
      </w:r>
      <w:r w:rsidR="00C8658E">
        <w:rPr>
          <w:lang w:val="fr-FR"/>
        </w:rPr>
        <w:t xml:space="preserve"> la responsabilité de contrôler les résultats de l’Administration pénitentiaire d’Irlande du Nord au regard de la loi de 1998 sur les droits de l’homme</w:t>
      </w:r>
      <w:r w:rsidR="000B562B" w:rsidRPr="00A176EA">
        <w:rPr>
          <w:lang w:val="fr-FR"/>
        </w:rPr>
        <w:t>.</w:t>
      </w:r>
    </w:p>
    <w:p w:rsidR="000B562B" w:rsidRPr="00A176EA" w:rsidRDefault="002549A9" w:rsidP="00CB5069">
      <w:pPr>
        <w:pStyle w:val="SingleTxtG"/>
        <w:rPr>
          <w:lang w:val="fr-FR"/>
        </w:rPr>
      </w:pPr>
      <w:r w:rsidRPr="00A176EA">
        <w:rPr>
          <w:lang w:val="fr-FR"/>
        </w:rPr>
        <w:t>302.</w:t>
      </w:r>
      <w:r w:rsidRPr="00A176EA">
        <w:rPr>
          <w:lang w:val="fr-FR"/>
        </w:rPr>
        <w:tab/>
      </w:r>
      <w:r w:rsidR="009C68F5">
        <w:rPr>
          <w:lang w:val="fr-FR"/>
        </w:rPr>
        <w:t xml:space="preserve">L’article 51 de la loi de 2002 sur la réforme des services de police </w:t>
      </w:r>
      <w:r w:rsidR="00C87499">
        <w:rPr>
          <w:lang w:val="fr-FR"/>
        </w:rPr>
        <w:t>instaure un système</w:t>
      </w:r>
      <w:r w:rsidR="009C68F5">
        <w:rPr>
          <w:lang w:val="fr-FR"/>
        </w:rPr>
        <w:t xml:space="preserve"> de </w:t>
      </w:r>
      <w:r w:rsidR="00C87499">
        <w:rPr>
          <w:lang w:val="fr-FR"/>
        </w:rPr>
        <w:t>visites</w:t>
      </w:r>
      <w:r w:rsidR="009C68F5">
        <w:rPr>
          <w:lang w:val="fr-FR"/>
        </w:rPr>
        <w:t xml:space="preserve"> indépendantes des lieux de </w:t>
      </w:r>
      <w:r w:rsidR="004E56E1">
        <w:rPr>
          <w:lang w:val="fr-FR"/>
        </w:rPr>
        <w:t>garde à vue</w:t>
      </w:r>
      <w:r w:rsidR="009C68F5">
        <w:rPr>
          <w:lang w:val="fr-FR"/>
        </w:rPr>
        <w:t xml:space="preserve">. </w:t>
      </w:r>
      <w:r w:rsidR="00C87499">
        <w:rPr>
          <w:lang w:val="fr-FR"/>
        </w:rPr>
        <w:t xml:space="preserve">Chaque service de police est tenu de prendre des dispositions pour que les </w:t>
      </w:r>
      <w:r w:rsidR="004E56E1">
        <w:rPr>
          <w:lang w:val="fr-FR"/>
        </w:rPr>
        <w:t>gardés à vue</w:t>
      </w:r>
      <w:r w:rsidR="00C87499">
        <w:rPr>
          <w:lang w:val="fr-FR"/>
        </w:rPr>
        <w:t xml:space="preserve"> puissent recevoir la visite de personnes indépendantes</w:t>
      </w:r>
      <w:r w:rsidR="00DA7D0D">
        <w:rPr>
          <w:lang w:val="fr-FR"/>
        </w:rPr>
        <w:t xml:space="preserve"> de</w:t>
      </w:r>
      <w:r w:rsidR="00501103">
        <w:rPr>
          <w:lang w:val="fr-FR"/>
        </w:rPr>
        <w:t xml:space="preserve"> leur</w:t>
      </w:r>
      <w:r w:rsidR="00DA7D0D">
        <w:rPr>
          <w:lang w:val="fr-FR"/>
        </w:rPr>
        <w:t xml:space="preserve">s services. Le Ministre de l’intérieur et l’Association des services de police travaillent en étroite collaboration avec l’Association des visiteurs indépendants des lieux de détention pour </w:t>
      </w:r>
      <w:r w:rsidR="00501103">
        <w:rPr>
          <w:lang w:val="fr-FR"/>
        </w:rPr>
        <w:t>fournir</w:t>
      </w:r>
      <w:r w:rsidR="00DA7D0D">
        <w:rPr>
          <w:lang w:val="fr-FR"/>
        </w:rPr>
        <w:t xml:space="preserve"> un document d’orientation national </w:t>
      </w:r>
      <w:r w:rsidR="00294057">
        <w:rPr>
          <w:lang w:val="fr-FR"/>
        </w:rPr>
        <w:t xml:space="preserve">et </w:t>
      </w:r>
      <w:r w:rsidR="00501103">
        <w:rPr>
          <w:lang w:val="fr-FR"/>
        </w:rPr>
        <w:t xml:space="preserve">des documents de formation et de soutien destinés aux visiteurs indépendants et aux services de police qui </w:t>
      </w:r>
      <w:r w:rsidR="00294057">
        <w:rPr>
          <w:lang w:val="fr-FR"/>
        </w:rPr>
        <w:t xml:space="preserve"> </w:t>
      </w:r>
      <w:r w:rsidR="00CB5069">
        <w:rPr>
          <w:lang w:val="fr-FR"/>
        </w:rPr>
        <w:t>gèrent le dispositif dans leur circonscription</w:t>
      </w:r>
      <w:r w:rsidR="000B562B" w:rsidRPr="00A176EA">
        <w:rPr>
          <w:lang w:val="fr-FR"/>
        </w:rPr>
        <w:t>.</w:t>
      </w:r>
    </w:p>
    <w:p w:rsidR="000B562B" w:rsidRPr="00A176EA" w:rsidRDefault="008A5C2E" w:rsidP="007977DD">
      <w:pPr>
        <w:pStyle w:val="H23G"/>
        <w:rPr>
          <w:lang w:val="fr-FR"/>
        </w:rPr>
      </w:pPr>
      <w:bookmarkStart w:id="37" w:name="_Toc299724718"/>
      <w:r>
        <w:rPr>
          <w:lang w:val="fr-FR"/>
        </w:rPr>
        <w:t>Examen de l’exercice du droit de garder le silence</w:t>
      </w:r>
      <w:bookmarkEnd w:id="37"/>
    </w:p>
    <w:p w:rsidR="003A55FF" w:rsidRPr="00A176EA" w:rsidRDefault="003A55FF" w:rsidP="003A55FF">
      <w:pPr>
        <w:pStyle w:val="H23G"/>
        <w:rPr>
          <w:lang w:val="fr-FR"/>
        </w:rPr>
      </w:pPr>
      <w:r w:rsidRPr="008A5C2E">
        <w:rPr>
          <w:lang w:val="fr-FR"/>
        </w:rPr>
        <w:t xml:space="preserve">Angleterre et </w:t>
      </w:r>
      <w:r w:rsidR="00186A02">
        <w:rPr>
          <w:lang w:val="fr-FR"/>
        </w:rPr>
        <w:t>p</w:t>
      </w:r>
      <w:r w:rsidR="005601A1">
        <w:rPr>
          <w:lang w:val="fr-FR"/>
        </w:rPr>
        <w:t>ays de Galles</w:t>
      </w:r>
    </w:p>
    <w:p w:rsidR="000B562B" w:rsidRPr="00A176EA" w:rsidRDefault="002549A9" w:rsidP="008A5C2E">
      <w:pPr>
        <w:pStyle w:val="SingleTxtG"/>
        <w:rPr>
          <w:lang w:val="fr-FR"/>
        </w:rPr>
      </w:pPr>
      <w:r w:rsidRPr="00A176EA">
        <w:rPr>
          <w:lang w:val="fr-FR"/>
        </w:rPr>
        <w:t>303.</w:t>
      </w:r>
      <w:r w:rsidRPr="00A176EA">
        <w:rPr>
          <w:lang w:val="fr-FR"/>
        </w:rPr>
        <w:tab/>
      </w:r>
      <w:r w:rsidR="008A5C2E">
        <w:rPr>
          <w:lang w:val="fr-FR"/>
        </w:rPr>
        <w:t xml:space="preserve">L’exercice du droit de garder le silence </w:t>
      </w:r>
      <w:r w:rsidR="003A55FF" w:rsidRPr="00C07FB3">
        <w:rPr>
          <w:lang w:val="fr-FR"/>
        </w:rPr>
        <w:t>e</w:t>
      </w:r>
      <w:r w:rsidR="000B562B" w:rsidRPr="00C07FB3">
        <w:rPr>
          <w:lang w:val="fr-FR"/>
        </w:rPr>
        <w:t xml:space="preserve">n </w:t>
      </w:r>
      <w:r w:rsidR="003A55FF" w:rsidRPr="00C07FB3">
        <w:rPr>
          <w:lang w:val="fr-FR"/>
        </w:rPr>
        <w:t xml:space="preserve">Angleterre et au </w:t>
      </w:r>
      <w:r w:rsidR="00186A02">
        <w:rPr>
          <w:lang w:val="fr-FR"/>
        </w:rPr>
        <w:t>p</w:t>
      </w:r>
      <w:r w:rsidR="005601A1">
        <w:rPr>
          <w:lang w:val="fr-FR"/>
        </w:rPr>
        <w:t>ays de Galles</w:t>
      </w:r>
      <w:r w:rsidR="003A55FF">
        <w:rPr>
          <w:lang w:val="fr-FR"/>
        </w:rPr>
        <w:t xml:space="preserve"> </w:t>
      </w:r>
      <w:r w:rsidR="008A5C2E">
        <w:rPr>
          <w:lang w:val="fr-FR"/>
        </w:rPr>
        <w:t xml:space="preserve">est exposé au paragraphe </w:t>
      </w:r>
      <w:r w:rsidR="008A5C2E" w:rsidRPr="00D734CD">
        <w:rPr>
          <w:lang w:val="fr-FR"/>
        </w:rPr>
        <w:t>10</w:t>
      </w:r>
      <w:r w:rsidR="000B562B" w:rsidRPr="00D734CD">
        <w:rPr>
          <w:lang w:val="fr-FR"/>
        </w:rPr>
        <w:t>9</w:t>
      </w:r>
      <w:r w:rsidR="000B562B" w:rsidRPr="00A176EA">
        <w:rPr>
          <w:lang w:val="fr-FR"/>
        </w:rPr>
        <w:t xml:space="preserve"> </w:t>
      </w:r>
      <w:r w:rsidR="008A5C2E">
        <w:rPr>
          <w:lang w:val="fr-FR"/>
        </w:rPr>
        <w:t>du quatrième rapport</w:t>
      </w:r>
      <w:r w:rsidR="000B562B" w:rsidRPr="00A176EA">
        <w:rPr>
          <w:lang w:val="fr-FR"/>
        </w:rPr>
        <w:t>.</w:t>
      </w:r>
    </w:p>
    <w:p w:rsidR="000B562B" w:rsidRPr="00A176EA" w:rsidRDefault="00FD2CE1" w:rsidP="00C01D5E">
      <w:pPr>
        <w:pStyle w:val="H23G"/>
        <w:rPr>
          <w:lang w:val="fr-FR"/>
        </w:rPr>
      </w:pPr>
      <w:r w:rsidRPr="00916F1D">
        <w:rPr>
          <w:lang w:val="fr-FR"/>
        </w:rPr>
        <w:t>Écosse</w:t>
      </w:r>
    </w:p>
    <w:p w:rsidR="000B562B" w:rsidRPr="00A176EA" w:rsidRDefault="002549A9" w:rsidP="00916F1D">
      <w:pPr>
        <w:pStyle w:val="SingleTxtG"/>
        <w:tabs>
          <w:tab w:val="left" w:pos="567"/>
          <w:tab w:val="left" w:pos="1134"/>
          <w:tab w:val="left" w:pos="1701"/>
          <w:tab w:val="left" w:pos="2268"/>
          <w:tab w:val="left" w:pos="2835"/>
          <w:tab w:val="left" w:pos="3402"/>
          <w:tab w:val="left" w:pos="3969"/>
          <w:tab w:val="left" w:pos="4536"/>
          <w:tab w:val="left" w:pos="5073"/>
        </w:tabs>
        <w:rPr>
          <w:lang w:val="fr-FR"/>
        </w:rPr>
      </w:pPr>
      <w:r w:rsidRPr="00A176EA">
        <w:rPr>
          <w:lang w:val="fr-FR"/>
        </w:rPr>
        <w:t>304.</w:t>
      </w:r>
      <w:r w:rsidRPr="00A176EA">
        <w:rPr>
          <w:lang w:val="fr-FR"/>
        </w:rPr>
        <w:tab/>
      </w:r>
      <w:r w:rsidR="008A5C2E">
        <w:rPr>
          <w:lang w:val="fr-FR"/>
        </w:rPr>
        <w:t xml:space="preserve">Un suspect peut refuser de répondre </w:t>
      </w:r>
      <w:r w:rsidR="00916F1D">
        <w:rPr>
          <w:lang w:val="fr-FR"/>
        </w:rPr>
        <w:t xml:space="preserve">aux questions qui lui sont posées et aucune conclusion </w:t>
      </w:r>
      <w:r w:rsidR="004E56E1">
        <w:rPr>
          <w:lang w:val="fr-FR"/>
        </w:rPr>
        <w:t>en sa défaveur</w:t>
      </w:r>
      <w:r w:rsidR="00916F1D">
        <w:rPr>
          <w:lang w:val="fr-FR"/>
        </w:rPr>
        <w:t xml:space="preserve"> ne sera tirée d’un tel</w:t>
      </w:r>
      <w:r w:rsidR="00E0301A">
        <w:rPr>
          <w:lang w:val="fr-FR"/>
        </w:rPr>
        <w:t xml:space="preserve"> silence</w:t>
      </w:r>
      <w:r w:rsidR="000B562B" w:rsidRPr="00A176EA">
        <w:rPr>
          <w:lang w:val="fr-FR"/>
        </w:rPr>
        <w:t>.</w:t>
      </w:r>
    </w:p>
    <w:p w:rsidR="000B562B" w:rsidRPr="00A176EA" w:rsidRDefault="008F3DA4" w:rsidP="00C01D5E">
      <w:pPr>
        <w:pStyle w:val="H23G"/>
        <w:rPr>
          <w:lang w:val="fr-FR"/>
        </w:rPr>
      </w:pPr>
      <w:r w:rsidRPr="00E0301A">
        <w:rPr>
          <w:lang w:val="fr-FR"/>
        </w:rPr>
        <w:t>Irlande du Nord</w:t>
      </w:r>
    </w:p>
    <w:p w:rsidR="000B562B" w:rsidRPr="00A176EA" w:rsidRDefault="002549A9" w:rsidP="00C07FB3">
      <w:pPr>
        <w:pStyle w:val="SingleTxtG"/>
        <w:rPr>
          <w:lang w:val="fr-FR"/>
        </w:rPr>
      </w:pPr>
      <w:r w:rsidRPr="00A176EA">
        <w:rPr>
          <w:lang w:val="fr-FR"/>
        </w:rPr>
        <w:t>305.</w:t>
      </w:r>
      <w:r w:rsidRPr="00A176EA">
        <w:rPr>
          <w:lang w:val="fr-FR"/>
        </w:rPr>
        <w:tab/>
      </w:r>
      <w:r w:rsidR="00C07FB3">
        <w:rPr>
          <w:lang w:val="fr-FR"/>
        </w:rPr>
        <w:t xml:space="preserve">L’exercice du droit de garder le silence </w:t>
      </w:r>
      <w:r w:rsidR="00C07FB3" w:rsidRPr="00C07FB3">
        <w:rPr>
          <w:lang w:val="fr-FR"/>
        </w:rPr>
        <w:t xml:space="preserve">en </w:t>
      </w:r>
      <w:r w:rsidR="008F3DA4" w:rsidRPr="00C07FB3">
        <w:rPr>
          <w:lang w:val="fr-FR"/>
        </w:rPr>
        <w:t>Irlande du Nord</w:t>
      </w:r>
      <w:r w:rsidR="000B562B" w:rsidRPr="00C07FB3">
        <w:rPr>
          <w:lang w:val="fr-FR"/>
        </w:rPr>
        <w:t xml:space="preserve"> </w:t>
      </w:r>
      <w:r w:rsidR="00C07FB3" w:rsidRPr="00C07FB3">
        <w:rPr>
          <w:lang w:val="fr-FR"/>
        </w:rPr>
        <w:t xml:space="preserve">est exposé au paragraphe </w:t>
      </w:r>
      <w:r w:rsidR="00C07FB3" w:rsidRPr="00D734CD">
        <w:rPr>
          <w:lang w:val="fr-FR"/>
        </w:rPr>
        <w:t>109</w:t>
      </w:r>
      <w:r w:rsidR="00C07FB3" w:rsidRPr="00C07FB3">
        <w:rPr>
          <w:lang w:val="fr-FR"/>
        </w:rPr>
        <w:t xml:space="preserve"> du quatrième rapport</w:t>
      </w:r>
      <w:r w:rsidR="000B562B" w:rsidRPr="00C07FB3">
        <w:rPr>
          <w:lang w:val="fr-FR"/>
        </w:rPr>
        <w:t xml:space="preserve">. </w:t>
      </w:r>
      <w:r w:rsidR="00C07FB3" w:rsidRPr="00C07FB3">
        <w:rPr>
          <w:lang w:val="fr-FR"/>
        </w:rPr>
        <w:t xml:space="preserve">Les modifications apportées au </w:t>
      </w:r>
      <w:r w:rsidR="00AB6279" w:rsidRPr="00C07FB3">
        <w:rPr>
          <w:lang w:val="fr-FR"/>
        </w:rPr>
        <w:t xml:space="preserve">Code C de la </w:t>
      </w:r>
      <w:r w:rsidR="00440FAD" w:rsidRPr="00C07FB3">
        <w:rPr>
          <w:lang w:val="fr-FR"/>
        </w:rPr>
        <w:t xml:space="preserve">loi sur la police et les preuves </w:t>
      </w:r>
      <w:r w:rsidR="00D10599" w:rsidRPr="00C07FB3">
        <w:rPr>
          <w:lang w:val="fr-FR"/>
        </w:rPr>
        <w:t>pénales</w:t>
      </w:r>
      <w:r w:rsidR="000B562B" w:rsidRPr="00C07FB3">
        <w:rPr>
          <w:lang w:val="fr-FR"/>
        </w:rPr>
        <w:t xml:space="preserve"> (</w:t>
      </w:r>
      <w:r w:rsidR="00AB6279" w:rsidRPr="00C07FB3">
        <w:rPr>
          <w:lang w:val="fr-FR"/>
        </w:rPr>
        <w:t>voir</w:t>
      </w:r>
      <w:r w:rsidR="000B562B" w:rsidRPr="00C07FB3">
        <w:rPr>
          <w:lang w:val="fr-FR"/>
        </w:rPr>
        <w:t xml:space="preserve"> </w:t>
      </w:r>
      <w:r w:rsidR="00AB6279" w:rsidRPr="00C07FB3">
        <w:rPr>
          <w:lang w:val="fr-FR"/>
        </w:rPr>
        <w:t>a</w:t>
      </w:r>
      <w:r w:rsidR="000B562B" w:rsidRPr="00C07FB3">
        <w:rPr>
          <w:lang w:val="fr-FR"/>
        </w:rPr>
        <w:t>nnex</w:t>
      </w:r>
      <w:r w:rsidR="00AB6279" w:rsidRPr="00C07FB3">
        <w:rPr>
          <w:lang w:val="fr-FR"/>
        </w:rPr>
        <w:t>e</w:t>
      </w:r>
      <w:r w:rsidR="000B562B" w:rsidRPr="00C07FB3">
        <w:rPr>
          <w:lang w:val="fr-FR"/>
        </w:rPr>
        <w:t xml:space="preserve"> C) </w:t>
      </w:r>
      <w:r w:rsidR="00C07FB3" w:rsidRPr="00C07FB3">
        <w:rPr>
          <w:lang w:val="fr-FR"/>
        </w:rPr>
        <w:t>en mars</w:t>
      </w:r>
      <w:r w:rsidR="000B562B" w:rsidRPr="00C07FB3">
        <w:rPr>
          <w:lang w:val="fr-FR"/>
        </w:rPr>
        <w:t xml:space="preserve"> 2007 </w:t>
      </w:r>
      <w:r w:rsidR="00C07FB3" w:rsidRPr="00C07FB3">
        <w:rPr>
          <w:lang w:val="fr-FR"/>
        </w:rPr>
        <w:t xml:space="preserve">ont remplacé les dispositions </w:t>
      </w:r>
      <w:r w:rsidR="000B562B" w:rsidRPr="00C07FB3">
        <w:rPr>
          <w:lang w:val="fr-FR"/>
        </w:rPr>
        <w:t>administrative</w:t>
      </w:r>
      <w:r w:rsidR="00C07FB3" w:rsidRPr="00C07FB3">
        <w:rPr>
          <w:lang w:val="fr-FR"/>
        </w:rPr>
        <w:t>s</w:t>
      </w:r>
      <w:r w:rsidR="000B562B" w:rsidRPr="00C07FB3">
        <w:rPr>
          <w:lang w:val="fr-FR"/>
        </w:rPr>
        <w:t xml:space="preserve"> </w:t>
      </w:r>
      <w:r w:rsidR="00C07FB3" w:rsidRPr="00C07FB3">
        <w:rPr>
          <w:lang w:val="fr-FR"/>
        </w:rPr>
        <w:t xml:space="preserve">qui avaient été mises en place à la suite du jugement de la </w:t>
      </w:r>
      <w:r w:rsidR="007A4C1B" w:rsidRPr="00C07FB3">
        <w:rPr>
          <w:lang w:val="fr-FR"/>
        </w:rPr>
        <w:t>Cour européenne des droits de l’homme</w:t>
      </w:r>
      <w:r w:rsidR="000B562B" w:rsidRPr="00C07FB3">
        <w:rPr>
          <w:lang w:val="fr-FR"/>
        </w:rPr>
        <w:t>.</w:t>
      </w:r>
    </w:p>
    <w:p w:rsidR="000B562B" w:rsidRPr="00A176EA" w:rsidRDefault="00B36CE8" w:rsidP="007977DD">
      <w:pPr>
        <w:pStyle w:val="H23G"/>
        <w:rPr>
          <w:lang w:val="fr-FR"/>
        </w:rPr>
      </w:pPr>
      <w:bookmarkStart w:id="38" w:name="_Toc299724719"/>
      <w:r>
        <w:rPr>
          <w:lang w:val="fr-FR"/>
        </w:rPr>
        <w:t>Examen des mesures prises pour prévenir la discrimination ethnique</w:t>
      </w:r>
      <w:bookmarkEnd w:id="38"/>
    </w:p>
    <w:p w:rsidR="000B562B" w:rsidRPr="00A176EA" w:rsidRDefault="002549A9" w:rsidP="00DD10FD">
      <w:pPr>
        <w:pStyle w:val="SingleTxtG"/>
        <w:rPr>
          <w:lang w:val="fr-FR"/>
        </w:rPr>
      </w:pPr>
      <w:r w:rsidRPr="00A176EA">
        <w:rPr>
          <w:lang w:val="fr-FR"/>
        </w:rPr>
        <w:t>306.</w:t>
      </w:r>
      <w:r w:rsidRPr="00A176EA">
        <w:rPr>
          <w:lang w:val="fr-FR"/>
        </w:rPr>
        <w:tab/>
      </w:r>
      <w:r w:rsidR="00B36CE8">
        <w:rPr>
          <w:lang w:val="fr-FR"/>
        </w:rPr>
        <w:t xml:space="preserve">Les informations concernant les mesures prises pour prévenir la discrimination ethnique figurent aux paragraphes </w:t>
      </w:r>
      <w:r w:rsidR="00DD10FD" w:rsidRPr="00D734CD">
        <w:rPr>
          <w:lang w:val="fr-FR"/>
        </w:rPr>
        <w:t>112 à 114</w:t>
      </w:r>
      <w:r w:rsidR="00DD10FD">
        <w:rPr>
          <w:lang w:val="fr-FR"/>
        </w:rPr>
        <w:t xml:space="preserve"> du quatrième rapport du Royaume-Uni</w:t>
      </w:r>
      <w:r w:rsidR="000B562B" w:rsidRPr="00A176EA">
        <w:rPr>
          <w:lang w:val="fr-FR"/>
        </w:rPr>
        <w:t>.</w:t>
      </w:r>
    </w:p>
    <w:p w:rsidR="000B562B" w:rsidRPr="00A176EA" w:rsidRDefault="002549A9" w:rsidP="007977DD">
      <w:pPr>
        <w:pStyle w:val="SingleTxtG"/>
        <w:rPr>
          <w:lang w:val="fr-FR"/>
        </w:rPr>
      </w:pPr>
      <w:r w:rsidRPr="00A176EA">
        <w:rPr>
          <w:lang w:val="fr-FR"/>
        </w:rPr>
        <w:t>307.</w:t>
      </w:r>
      <w:r w:rsidRPr="00A176EA">
        <w:rPr>
          <w:lang w:val="fr-FR"/>
        </w:rPr>
        <w:tab/>
      </w:r>
      <w:r w:rsidR="00D2675F" w:rsidRPr="00EA4E4C">
        <w:rPr>
          <w:lang w:val="fr-FR"/>
        </w:rPr>
        <w:t>L</w:t>
      </w:r>
      <w:r w:rsidR="002334C8" w:rsidRPr="00EA4E4C">
        <w:rPr>
          <w:lang w:val="fr-FR"/>
        </w:rPr>
        <w:t xml:space="preserve">’Association des </w:t>
      </w:r>
      <w:r w:rsidR="009B0111">
        <w:rPr>
          <w:lang w:val="fr-FR"/>
        </w:rPr>
        <w:t>officiers supérieurs</w:t>
      </w:r>
      <w:r w:rsidR="00B95CD2" w:rsidRPr="00EA4E4C">
        <w:rPr>
          <w:lang w:val="fr-FR"/>
        </w:rPr>
        <w:t xml:space="preserve"> de</w:t>
      </w:r>
      <w:r w:rsidR="002334C8" w:rsidRPr="00EA4E4C">
        <w:rPr>
          <w:lang w:val="fr-FR"/>
        </w:rPr>
        <w:t xml:space="preserve"> </w:t>
      </w:r>
      <w:r w:rsidR="009707B1" w:rsidRPr="00EA4E4C">
        <w:rPr>
          <w:lang w:val="fr-FR"/>
        </w:rPr>
        <w:t xml:space="preserve">la </w:t>
      </w:r>
      <w:r w:rsidR="002334C8" w:rsidRPr="00EA4E4C">
        <w:rPr>
          <w:lang w:val="fr-FR"/>
        </w:rPr>
        <w:t xml:space="preserve">police </w:t>
      </w:r>
      <w:r w:rsidR="004E56E1">
        <w:rPr>
          <w:lang w:val="fr-FR"/>
        </w:rPr>
        <w:t>ré</w:t>
      </w:r>
      <w:r w:rsidR="00D2675F" w:rsidRPr="00EA4E4C">
        <w:rPr>
          <w:lang w:val="fr-FR"/>
        </w:rPr>
        <w:t>examinera plus tard dans l’année son guide</w:t>
      </w:r>
      <w:r w:rsidR="00D2675F">
        <w:rPr>
          <w:lang w:val="fr-FR"/>
        </w:rPr>
        <w:t xml:space="preserve"> </w:t>
      </w:r>
      <w:r w:rsidR="00EA4E4C">
        <w:rPr>
          <w:lang w:val="fr-FR"/>
        </w:rPr>
        <w:t xml:space="preserve">intitulé </w:t>
      </w:r>
      <w:r w:rsidR="00CD0110">
        <w:rPr>
          <w:lang w:val="fr-FR"/>
        </w:rPr>
        <w:t>«</w:t>
      </w:r>
      <w:r w:rsidR="00EA4E4C">
        <w:rPr>
          <w:lang w:val="fr-FR"/>
        </w:rPr>
        <w:t>Briser le pouvoir de la peur et de la haine</w:t>
      </w:r>
      <w:r w:rsidR="00CD0110">
        <w:rPr>
          <w:lang w:val="fr-FR"/>
        </w:rPr>
        <w:t>»</w:t>
      </w:r>
      <w:r w:rsidR="00EA4E4C">
        <w:rPr>
          <w:lang w:val="fr-FR"/>
        </w:rPr>
        <w:t xml:space="preserve"> (</w:t>
      </w:r>
      <w:r w:rsidR="00CD0110">
        <w:rPr>
          <w:lang w:val="fr-FR"/>
        </w:rPr>
        <w:t>«</w:t>
      </w:r>
      <w:r w:rsidR="00EA4E4C">
        <w:rPr>
          <w:lang w:val="fr-FR"/>
        </w:rPr>
        <w:t>Breaking the Power of Fear and Hate) sur la détection des crimes de haine et les moyens de les combattre</w:t>
      </w:r>
      <w:r w:rsidR="000B562B" w:rsidRPr="00A176EA">
        <w:rPr>
          <w:lang w:val="fr-FR"/>
        </w:rPr>
        <w:t>.</w:t>
      </w:r>
    </w:p>
    <w:p w:rsidR="000B562B" w:rsidRPr="00A176EA" w:rsidRDefault="00EA4E4C" w:rsidP="007977DD">
      <w:pPr>
        <w:pStyle w:val="H23G"/>
        <w:rPr>
          <w:lang w:val="fr-FR"/>
        </w:rPr>
      </w:pPr>
      <w:bookmarkStart w:id="39" w:name="_Toc299724720"/>
      <w:r>
        <w:rPr>
          <w:lang w:val="fr-FR"/>
        </w:rPr>
        <w:t>Décès en garde à vue ou après une garde à vue</w:t>
      </w:r>
      <w:bookmarkEnd w:id="39"/>
    </w:p>
    <w:p w:rsidR="000B562B" w:rsidRPr="00A176EA" w:rsidRDefault="002549A9" w:rsidP="008F12E8">
      <w:pPr>
        <w:pStyle w:val="SingleTxtG"/>
        <w:rPr>
          <w:lang w:val="fr-FR"/>
        </w:rPr>
      </w:pPr>
      <w:r w:rsidRPr="00A176EA">
        <w:rPr>
          <w:lang w:val="fr-FR"/>
        </w:rPr>
        <w:t>308.</w:t>
      </w:r>
      <w:r w:rsidRPr="00A176EA">
        <w:rPr>
          <w:lang w:val="fr-FR"/>
        </w:rPr>
        <w:tab/>
      </w:r>
      <w:r w:rsidR="00114B24" w:rsidRPr="00EA4E4C">
        <w:rPr>
          <w:lang w:val="fr-FR"/>
        </w:rPr>
        <w:t>Depuis avril</w:t>
      </w:r>
      <w:r w:rsidR="000B562B" w:rsidRPr="00EA4E4C">
        <w:rPr>
          <w:lang w:val="fr-FR"/>
        </w:rPr>
        <w:t xml:space="preserve"> 2004, </w:t>
      </w:r>
      <w:r w:rsidR="00114B24" w:rsidRPr="00EA4E4C">
        <w:rPr>
          <w:lang w:val="fr-FR"/>
        </w:rPr>
        <w:t>la</w:t>
      </w:r>
      <w:r w:rsidR="000B562B" w:rsidRPr="00EA4E4C">
        <w:rPr>
          <w:lang w:val="fr-FR"/>
        </w:rPr>
        <w:t xml:space="preserve"> </w:t>
      </w:r>
      <w:r w:rsidR="0090139B" w:rsidRPr="00EA4E4C">
        <w:rPr>
          <w:lang w:val="fr-FR"/>
        </w:rPr>
        <w:t>Commission indépendante des plaintes contre la police</w:t>
      </w:r>
      <w:r w:rsidR="000B562B" w:rsidRPr="00A176EA">
        <w:rPr>
          <w:lang w:val="fr-FR"/>
        </w:rPr>
        <w:t xml:space="preserve"> </w:t>
      </w:r>
      <w:r w:rsidR="00EA4E4C">
        <w:rPr>
          <w:lang w:val="fr-FR"/>
        </w:rPr>
        <w:t xml:space="preserve">publie des statistiques sur les décès en garde à vue ou </w:t>
      </w:r>
      <w:r w:rsidR="008F12E8">
        <w:rPr>
          <w:lang w:val="fr-FR"/>
        </w:rPr>
        <w:t>après</w:t>
      </w:r>
      <w:r w:rsidR="00EA4E4C">
        <w:rPr>
          <w:lang w:val="fr-FR"/>
        </w:rPr>
        <w:t xml:space="preserve"> une garde à vue. Cette fonction incombait au Ministère de l’intérieur avant d’être dévolue à la Commission </w:t>
      </w:r>
      <w:r w:rsidR="00932991">
        <w:rPr>
          <w:lang w:val="fr-FR"/>
        </w:rPr>
        <w:t>en raison de la disposition de la loi de 2002 sur la réforme de</w:t>
      </w:r>
      <w:r w:rsidR="008F12E8">
        <w:rPr>
          <w:lang w:val="fr-FR"/>
        </w:rPr>
        <w:t>s services de police</w:t>
      </w:r>
      <w:r w:rsidR="004E56E1">
        <w:rPr>
          <w:lang w:val="fr-FR"/>
        </w:rPr>
        <w:t>, qui</w:t>
      </w:r>
      <w:r w:rsidR="00932991">
        <w:rPr>
          <w:lang w:val="fr-FR"/>
        </w:rPr>
        <w:t xml:space="preserve"> </w:t>
      </w:r>
      <w:r w:rsidR="008F12E8">
        <w:rPr>
          <w:lang w:val="fr-FR"/>
        </w:rPr>
        <w:t>impos</w:t>
      </w:r>
      <w:r w:rsidR="004E56E1">
        <w:rPr>
          <w:lang w:val="fr-FR"/>
        </w:rPr>
        <w:t>e</w:t>
      </w:r>
      <w:r w:rsidR="008F12E8">
        <w:rPr>
          <w:lang w:val="fr-FR"/>
        </w:rPr>
        <w:t xml:space="preserve"> aux forces de police de faire rapport à ladite Commission sur les décès et les incidents graves</w:t>
      </w:r>
      <w:r w:rsidR="000B562B" w:rsidRPr="00A176EA">
        <w:rPr>
          <w:lang w:val="fr-FR"/>
        </w:rPr>
        <w:t>.</w:t>
      </w:r>
    </w:p>
    <w:p w:rsidR="000B562B" w:rsidRPr="00A176EA" w:rsidRDefault="002549A9" w:rsidP="006D6980">
      <w:pPr>
        <w:pStyle w:val="SingleTxtG"/>
        <w:rPr>
          <w:lang w:val="fr-FR"/>
        </w:rPr>
      </w:pPr>
      <w:r w:rsidRPr="00A176EA">
        <w:rPr>
          <w:lang w:val="fr-FR"/>
        </w:rPr>
        <w:t>309.</w:t>
      </w:r>
      <w:r w:rsidRPr="00A176EA">
        <w:rPr>
          <w:lang w:val="fr-FR"/>
        </w:rPr>
        <w:tab/>
      </w:r>
      <w:r w:rsidR="00E1248D">
        <w:rPr>
          <w:lang w:val="fr-FR"/>
        </w:rPr>
        <w:t>On trouvera dans les tableaux ci-après l</w:t>
      </w:r>
      <w:r w:rsidR="008F12E8">
        <w:rPr>
          <w:lang w:val="fr-FR"/>
        </w:rPr>
        <w:t xml:space="preserve">es chiffres concernant les décès et les suicides en garde à vue ou à la suite d’une garde à vue </w:t>
      </w:r>
      <w:r w:rsidR="00E1248D">
        <w:rPr>
          <w:lang w:val="fr-FR"/>
        </w:rPr>
        <w:t xml:space="preserve">enregistrés </w:t>
      </w:r>
      <w:r w:rsidR="008F12E8">
        <w:rPr>
          <w:lang w:val="fr-FR"/>
        </w:rPr>
        <w:t xml:space="preserve">au Royaume-Uni </w:t>
      </w:r>
      <w:r w:rsidR="00E1248D">
        <w:rPr>
          <w:lang w:val="fr-FR"/>
        </w:rPr>
        <w:t>depuis 2004</w:t>
      </w:r>
      <w:r w:rsidR="008F12E8">
        <w:rPr>
          <w:lang w:val="fr-FR"/>
        </w:rPr>
        <w:t xml:space="preserve">. </w:t>
      </w:r>
      <w:r w:rsidR="00E1248D">
        <w:rPr>
          <w:lang w:val="fr-FR"/>
        </w:rPr>
        <w:t xml:space="preserve">Ils comprennent les décès de personnes arrêtées ou placées en détention par la police. Ils comprennent également les décès intervenus au cours d’une arrestation ou d’un placement en détention. Le décès </w:t>
      </w:r>
      <w:r w:rsidR="006D6980">
        <w:rPr>
          <w:lang w:val="fr-FR"/>
        </w:rPr>
        <w:t xml:space="preserve">peut avoir eu lieu dans des locaux de la police, privés ou médicaux, dans un lieu public, dans un véhicule de police ou dans tout autre véhicule. Les chiffres incluent donc les personnes tombées malades en garde à vue et </w:t>
      </w:r>
      <w:r w:rsidR="004E56E1">
        <w:rPr>
          <w:lang w:val="fr-FR"/>
        </w:rPr>
        <w:t xml:space="preserve">qui </w:t>
      </w:r>
      <w:r w:rsidR="006D6980">
        <w:rPr>
          <w:lang w:val="fr-FR"/>
        </w:rPr>
        <w:t>ont été transférées dans un hôpital où elles sont décédées</w:t>
      </w:r>
      <w:r w:rsidR="000B562B" w:rsidRPr="00A176EA">
        <w:rPr>
          <w:lang w:val="fr-FR"/>
        </w:rPr>
        <w:t>.</w:t>
      </w:r>
    </w:p>
    <w:p w:rsidR="000B562B" w:rsidRPr="006D6980" w:rsidRDefault="00D2675F" w:rsidP="00D734CD">
      <w:pPr>
        <w:pStyle w:val="H23G"/>
        <w:rPr>
          <w:lang w:val="fr-FR"/>
        </w:rPr>
      </w:pPr>
      <w:r w:rsidRPr="006D6980">
        <w:rPr>
          <w:lang w:val="fr-FR"/>
        </w:rPr>
        <w:t xml:space="preserve">Angleterre et </w:t>
      </w:r>
      <w:r w:rsidR="00186A02">
        <w:rPr>
          <w:lang w:val="fr-FR"/>
        </w:rPr>
        <w:t>p</w:t>
      </w:r>
      <w:r w:rsidR="005601A1">
        <w:rPr>
          <w:lang w:val="fr-FR"/>
        </w:rPr>
        <w:t>ays de Galles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979"/>
        <w:gridCol w:w="2850"/>
        <w:gridCol w:w="2541"/>
      </w:tblGrid>
      <w:tr w:rsidR="000B562B" w:rsidRPr="006D6980">
        <w:trPr>
          <w:cantSplit/>
          <w:trHeight w:val="240"/>
          <w:tblHeader/>
        </w:trPr>
        <w:tc>
          <w:tcPr>
            <w:tcW w:w="1979" w:type="dxa"/>
            <w:tcBorders>
              <w:top w:val="single" w:sz="4" w:space="0" w:color="auto"/>
              <w:bottom w:val="single" w:sz="12" w:space="0" w:color="auto"/>
            </w:tcBorders>
            <w:shd w:val="clear" w:color="auto" w:fill="auto"/>
            <w:vAlign w:val="bottom"/>
          </w:tcPr>
          <w:p w:rsidR="000B562B" w:rsidRPr="006D6980" w:rsidRDefault="00D2675F" w:rsidP="00D734CD">
            <w:pPr>
              <w:pStyle w:val="Text"/>
              <w:keepNext/>
              <w:keepLines/>
              <w:spacing w:before="80" w:after="80" w:line="200" w:lineRule="exact"/>
              <w:rPr>
                <w:rFonts w:ascii="Times New Roman" w:hAnsi="Times New Roman"/>
                <w:i/>
                <w:sz w:val="16"/>
                <w:lang w:val="fr-FR"/>
              </w:rPr>
            </w:pPr>
            <w:r w:rsidRPr="006D6980">
              <w:rPr>
                <w:rFonts w:ascii="Times New Roman" w:hAnsi="Times New Roman"/>
                <w:i/>
                <w:sz w:val="16"/>
                <w:lang w:val="fr-FR"/>
              </w:rPr>
              <w:t>Année</w:t>
            </w:r>
          </w:p>
        </w:tc>
        <w:tc>
          <w:tcPr>
            <w:tcW w:w="2850" w:type="dxa"/>
            <w:tcBorders>
              <w:top w:val="single" w:sz="4" w:space="0" w:color="auto"/>
              <w:bottom w:val="single" w:sz="12" w:space="0" w:color="auto"/>
            </w:tcBorders>
            <w:shd w:val="clear" w:color="auto" w:fill="auto"/>
            <w:vAlign w:val="bottom"/>
          </w:tcPr>
          <w:p w:rsidR="000B562B" w:rsidRPr="006D6980" w:rsidRDefault="00D2675F" w:rsidP="00B45A95">
            <w:pPr>
              <w:pStyle w:val="Text"/>
              <w:keepNext/>
              <w:keepLines/>
              <w:spacing w:before="80" w:after="80" w:line="200" w:lineRule="exact"/>
              <w:ind w:left="113" w:right="57"/>
              <w:jc w:val="right"/>
              <w:rPr>
                <w:rFonts w:ascii="Times New Roman" w:hAnsi="Times New Roman"/>
                <w:i/>
                <w:sz w:val="16"/>
                <w:lang w:val="fr-FR"/>
              </w:rPr>
            </w:pPr>
            <w:r w:rsidRPr="006D6980">
              <w:rPr>
                <w:rFonts w:ascii="Times New Roman" w:hAnsi="Times New Roman"/>
                <w:i/>
                <w:sz w:val="16"/>
                <w:lang w:val="fr-FR"/>
              </w:rPr>
              <w:t>Nombre total de décès</w:t>
            </w:r>
          </w:p>
        </w:tc>
        <w:tc>
          <w:tcPr>
            <w:tcW w:w="2541" w:type="dxa"/>
            <w:tcBorders>
              <w:top w:val="single" w:sz="4" w:space="0" w:color="auto"/>
              <w:bottom w:val="single" w:sz="12" w:space="0" w:color="auto"/>
            </w:tcBorders>
            <w:shd w:val="clear" w:color="auto" w:fill="auto"/>
            <w:vAlign w:val="bottom"/>
          </w:tcPr>
          <w:p w:rsidR="000B562B" w:rsidRPr="006D6980" w:rsidRDefault="00D2675F" w:rsidP="00B45A95">
            <w:pPr>
              <w:pStyle w:val="Text"/>
              <w:keepNext/>
              <w:keepLines/>
              <w:spacing w:before="80" w:after="80" w:line="200" w:lineRule="exact"/>
              <w:ind w:left="113" w:right="57"/>
              <w:jc w:val="right"/>
              <w:rPr>
                <w:rFonts w:ascii="Times New Roman" w:hAnsi="Times New Roman"/>
                <w:i/>
                <w:sz w:val="16"/>
                <w:lang w:val="fr-FR"/>
              </w:rPr>
            </w:pPr>
            <w:r w:rsidRPr="006D6980">
              <w:rPr>
                <w:rFonts w:ascii="Times New Roman" w:hAnsi="Times New Roman"/>
                <w:i/>
                <w:sz w:val="16"/>
                <w:lang w:val="fr-FR"/>
              </w:rPr>
              <w:t>Décès par</w:t>
            </w:r>
            <w:r w:rsidR="000B562B" w:rsidRPr="006D6980">
              <w:rPr>
                <w:rFonts w:ascii="Times New Roman" w:hAnsi="Times New Roman"/>
                <w:i/>
                <w:sz w:val="16"/>
                <w:lang w:val="fr-FR"/>
              </w:rPr>
              <w:t xml:space="preserve"> suicide</w:t>
            </w:r>
          </w:p>
        </w:tc>
      </w:tr>
      <w:tr w:rsidR="000B562B" w:rsidRPr="006D6980">
        <w:trPr>
          <w:cantSplit/>
          <w:trHeight w:val="240"/>
        </w:trPr>
        <w:tc>
          <w:tcPr>
            <w:tcW w:w="1979" w:type="dxa"/>
            <w:tcBorders>
              <w:top w:val="single" w:sz="12" w:space="0" w:color="auto"/>
            </w:tcBorders>
            <w:shd w:val="clear" w:color="auto" w:fill="auto"/>
          </w:tcPr>
          <w:p w:rsidR="000B562B" w:rsidRPr="006D6980" w:rsidRDefault="000B562B" w:rsidP="00D734CD">
            <w:pPr>
              <w:pStyle w:val="Text"/>
              <w:keepNext/>
              <w:keepLines/>
              <w:spacing w:before="40" w:after="40" w:line="220" w:lineRule="exact"/>
              <w:rPr>
                <w:rFonts w:ascii="Times New Roman" w:hAnsi="Times New Roman"/>
                <w:sz w:val="18"/>
                <w:lang w:val="fr-FR"/>
              </w:rPr>
            </w:pPr>
            <w:r w:rsidRPr="006D6980">
              <w:rPr>
                <w:rFonts w:ascii="Times New Roman" w:hAnsi="Times New Roman"/>
                <w:sz w:val="18"/>
                <w:lang w:val="fr-FR"/>
              </w:rPr>
              <w:t>2004</w:t>
            </w:r>
            <w:r w:rsidR="0095235A">
              <w:rPr>
                <w:rFonts w:ascii="Times New Roman" w:hAnsi="Times New Roman"/>
                <w:sz w:val="18"/>
                <w:lang w:val="fr-FR"/>
              </w:rPr>
              <w:t>-</w:t>
            </w:r>
            <w:r w:rsidRPr="006D6980">
              <w:rPr>
                <w:rFonts w:ascii="Times New Roman" w:hAnsi="Times New Roman"/>
                <w:sz w:val="18"/>
                <w:lang w:val="fr-FR"/>
              </w:rPr>
              <w:t>2005</w:t>
            </w:r>
          </w:p>
        </w:tc>
        <w:tc>
          <w:tcPr>
            <w:tcW w:w="2850" w:type="dxa"/>
            <w:tcBorders>
              <w:top w:val="single" w:sz="12" w:space="0" w:color="auto"/>
            </w:tcBorders>
            <w:shd w:val="clear" w:color="auto" w:fill="auto"/>
            <w:vAlign w:val="bottom"/>
          </w:tcPr>
          <w:p w:rsidR="000B562B" w:rsidRPr="006D6980" w:rsidRDefault="000B562B" w:rsidP="00B45A95">
            <w:pPr>
              <w:pStyle w:val="Text"/>
              <w:keepNext/>
              <w:keepLines/>
              <w:spacing w:before="40" w:after="40" w:line="220" w:lineRule="exact"/>
              <w:ind w:left="113" w:right="57"/>
              <w:jc w:val="right"/>
              <w:rPr>
                <w:rFonts w:ascii="Times New Roman" w:hAnsi="Times New Roman"/>
                <w:sz w:val="18"/>
                <w:lang w:val="fr-FR"/>
              </w:rPr>
            </w:pPr>
            <w:r w:rsidRPr="006D6980">
              <w:rPr>
                <w:rFonts w:ascii="Times New Roman" w:hAnsi="Times New Roman"/>
                <w:sz w:val="18"/>
                <w:lang w:val="fr-FR"/>
              </w:rPr>
              <w:t>36</w:t>
            </w:r>
          </w:p>
        </w:tc>
        <w:tc>
          <w:tcPr>
            <w:tcW w:w="2541" w:type="dxa"/>
            <w:tcBorders>
              <w:top w:val="single" w:sz="12" w:space="0" w:color="auto"/>
            </w:tcBorders>
            <w:shd w:val="clear" w:color="auto" w:fill="auto"/>
            <w:vAlign w:val="bottom"/>
          </w:tcPr>
          <w:p w:rsidR="000B562B" w:rsidRPr="006D6980" w:rsidRDefault="000B562B" w:rsidP="00B45A95">
            <w:pPr>
              <w:pStyle w:val="Text"/>
              <w:keepNext/>
              <w:keepLines/>
              <w:spacing w:before="40" w:after="40" w:line="220" w:lineRule="exact"/>
              <w:ind w:left="113" w:right="57"/>
              <w:jc w:val="right"/>
              <w:rPr>
                <w:rFonts w:ascii="Times New Roman" w:hAnsi="Times New Roman"/>
                <w:sz w:val="18"/>
                <w:lang w:val="fr-FR"/>
              </w:rPr>
            </w:pPr>
            <w:r w:rsidRPr="006D6980">
              <w:rPr>
                <w:rFonts w:ascii="Times New Roman" w:hAnsi="Times New Roman"/>
                <w:sz w:val="18"/>
                <w:lang w:val="fr-FR"/>
              </w:rPr>
              <w:t>3</w:t>
            </w:r>
            <w:r w:rsidRPr="0095235A">
              <w:rPr>
                <w:rFonts w:ascii="Times New Roman" w:hAnsi="Times New Roman"/>
                <w:sz w:val="20"/>
                <w:lang w:val="fr-FR"/>
              </w:rPr>
              <w:t>*</w:t>
            </w:r>
          </w:p>
        </w:tc>
      </w:tr>
      <w:tr w:rsidR="000B562B" w:rsidRPr="006D6980">
        <w:trPr>
          <w:cantSplit/>
          <w:trHeight w:val="240"/>
        </w:trPr>
        <w:tc>
          <w:tcPr>
            <w:tcW w:w="1979" w:type="dxa"/>
            <w:shd w:val="clear" w:color="auto" w:fill="auto"/>
          </w:tcPr>
          <w:p w:rsidR="000B562B" w:rsidRPr="006D6980" w:rsidRDefault="000B562B" w:rsidP="00D734CD">
            <w:pPr>
              <w:pStyle w:val="Text"/>
              <w:keepNext/>
              <w:keepLines/>
              <w:spacing w:before="40" w:after="40" w:line="220" w:lineRule="exact"/>
              <w:rPr>
                <w:rFonts w:ascii="Times New Roman" w:hAnsi="Times New Roman"/>
                <w:sz w:val="18"/>
                <w:lang w:val="fr-FR"/>
              </w:rPr>
            </w:pPr>
            <w:r w:rsidRPr="006D6980">
              <w:rPr>
                <w:rFonts w:ascii="Times New Roman" w:hAnsi="Times New Roman"/>
                <w:sz w:val="18"/>
                <w:lang w:val="fr-FR"/>
              </w:rPr>
              <w:t>2005</w:t>
            </w:r>
            <w:r w:rsidR="0095235A">
              <w:rPr>
                <w:rFonts w:ascii="Times New Roman" w:hAnsi="Times New Roman"/>
                <w:sz w:val="18"/>
                <w:lang w:val="fr-FR"/>
              </w:rPr>
              <w:t>-</w:t>
            </w:r>
            <w:r w:rsidRPr="006D6980">
              <w:rPr>
                <w:rFonts w:ascii="Times New Roman" w:hAnsi="Times New Roman"/>
                <w:sz w:val="18"/>
                <w:lang w:val="fr-FR"/>
              </w:rPr>
              <w:t>2006</w:t>
            </w:r>
          </w:p>
        </w:tc>
        <w:tc>
          <w:tcPr>
            <w:tcW w:w="2850" w:type="dxa"/>
            <w:shd w:val="clear" w:color="auto" w:fill="auto"/>
            <w:vAlign w:val="bottom"/>
          </w:tcPr>
          <w:p w:rsidR="000B562B" w:rsidRPr="006D6980" w:rsidRDefault="000B562B" w:rsidP="00B45A95">
            <w:pPr>
              <w:pStyle w:val="Text"/>
              <w:keepNext/>
              <w:keepLines/>
              <w:spacing w:before="40" w:after="40" w:line="220" w:lineRule="exact"/>
              <w:ind w:left="113" w:right="57"/>
              <w:jc w:val="right"/>
              <w:rPr>
                <w:rFonts w:ascii="Times New Roman" w:hAnsi="Times New Roman"/>
                <w:sz w:val="18"/>
                <w:lang w:val="fr-FR"/>
              </w:rPr>
            </w:pPr>
            <w:r w:rsidRPr="006D6980">
              <w:rPr>
                <w:rFonts w:ascii="Times New Roman" w:hAnsi="Times New Roman"/>
                <w:sz w:val="18"/>
                <w:lang w:val="fr-FR"/>
              </w:rPr>
              <w:t>28</w:t>
            </w:r>
          </w:p>
        </w:tc>
        <w:tc>
          <w:tcPr>
            <w:tcW w:w="2541" w:type="dxa"/>
            <w:shd w:val="clear" w:color="auto" w:fill="auto"/>
            <w:vAlign w:val="bottom"/>
          </w:tcPr>
          <w:p w:rsidR="000B562B" w:rsidRPr="006D6980" w:rsidRDefault="000B562B" w:rsidP="00B45A95">
            <w:pPr>
              <w:pStyle w:val="Text"/>
              <w:keepNext/>
              <w:keepLines/>
              <w:spacing w:before="40" w:after="40" w:line="220" w:lineRule="exact"/>
              <w:ind w:left="113" w:right="57"/>
              <w:jc w:val="right"/>
              <w:rPr>
                <w:rFonts w:ascii="Times New Roman" w:hAnsi="Times New Roman"/>
                <w:sz w:val="18"/>
                <w:lang w:val="fr-FR"/>
              </w:rPr>
            </w:pPr>
            <w:r w:rsidRPr="006D6980">
              <w:rPr>
                <w:rFonts w:ascii="Times New Roman" w:hAnsi="Times New Roman"/>
                <w:sz w:val="18"/>
                <w:lang w:val="fr-FR"/>
              </w:rPr>
              <w:t>1</w:t>
            </w:r>
            <w:r w:rsidRPr="0095235A">
              <w:rPr>
                <w:rFonts w:ascii="Times New Roman" w:hAnsi="Times New Roman"/>
                <w:sz w:val="20"/>
                <w:lang w:val="fr-FR"/>
              </w:rPr>
              <w:t>*</w:t>
            </w:r>
          </w:p>
        </w:tc>
      </w:tr>
      <w:tr w:rsidR="000B562B" w:rsidRPr="006D6980">
        <w:trPr>
          <w:cantSplit/>
          <w:trHeight w:val="240"/>
        </w:trPr>
        <w:tc>
          <w:tcPr>
            <w:tcW w:w="1979" w:type="dxa"/>
            <w:shd w:val="clear" w:color="auto" w:fill="auto"/>
          </w:tcPr>
          <w:p w:rsidR="000B562B" w:rsidRPr="006D6980" w:rsidRDefault="000B562B" w:rsidP="00D734CD">
            <w:pPr>
              <w:pStyle w:val="Text"/>
              <w:keepNext/>
              <w:keepLines/>
              <w:spacing w:before="40" w:after="40" w:line="220" w:lineRule="exact"/>
              <w:rPr>
                <w:rFonts w:ascii="Times New Roman" w:hAnsi="Times New Roman"/>
                <w:sz w:val="18"/>
                <w:lang w:val="fr-FR"/>
              </w:rPr>
            </w:pPr>
            <w:r w:rsidRPr="006D6980">
              <w:rPr>
                <w:rFonts w:ascii="Times New Roman" w:hAnsi="Times New Roman"/>
                <w:sz w:val="18"/>
                <w:lang w:val="fr-FR"/>
              </w:rPr>
              <w:t>2006</w:t>
            </w:r>
            <w:r w:rsidR="0095235A">
              <w:rPr>
                <w:rFonts w:ascii="Times New Roman" w:hAnsi="Times New Roman"/>
                <w:sz w:val="18"/>
                <w:lang w:val="fr-FR"/>
              </w:rPr>
              <w:t>-</w:t>
            </w:r>
            <w:r w:rsidRPr="006D6980">
              <w:rPr>
                <w:rFonts w:ascii="Times New Roman" w:hAnsi="Times New Roman"/>
                <w:sz w:val="18"/>
                <w:lang w:val="fr-FR"/>
              </w:rPr>
              <w:t>2007</w:t>
            </w:r>
          </w:p>
        </w:tc>
        <w:tc>
          <w:tcPr>
            <w:tcW w:w="2850" w:type="dxa"/>
            <w:shd w:val="clear" w:color="auto" w:fill="auto"/>
            <w:vAlign w:val="bottom"/>
          </w:tcPr>
          <w:p w:rsidR="000B562B" w:rsidRPr="006D6980" w:rsidRDefault="000B562B" w:rsidP="00B45A95">
            <w:pPr>
              <w:pStyle w:val="Text"/>
              <w:keepNext/>
              <w:keepLines/>
              <w:spacing w:before="40" w:after="40" w:line="220" w:lineRule="exact"/>
              <w:ind w:left="113" w:right="57"/>
              <w:jc w:val="right"/>
              <w:rPr>
                <w:rFonts w:ascii="Times New Roman" w:hAnsi="Times New Roman"/>
                <w:sz w:val="18"/>
                <w:lang w:val="fr-FR"/>
              </w:rPr>
            </w:pPr>
            <w:r w:rsidRPr="006D6980">
              <w:rPr>
                <w:rFonts w:ascii="Times New Roman" w:hAnsi="Times New Roman"/>
                <w:sz w:val="18"/>
                <w:lang w:val="fr-FR"/>
              </w:rPr>
              <w:t>27</w:t>
            </w:r>
          </w:p>
        </w:tc>
        <w:tc>
          <w:tcPr>
            <w:tcW w:w="2541" w:type="dxa"/>
            <w:shd w:val="clear" w:color="auto" w:fill="auto"/>
            <w:vAlign w:val="bottom"/>
          </w:tcPr>
          <w:p w:rsidR="000B562B" w:rsidRPr="006D6980" w:rsidRDefault="000B562B" w:rsidP="00B45A95">
            <w:pPr>
              <w:pStyle w:val="Text"/>
              <w:keepNext/>
              <w:keepLines/>
              <w:spacing w:before="40" w:after="40" w:line="220" w:lineRule="exact"/>
              <w:ind w:left="113" w:right="57"/>
              <w:jc w:val="right"/>
              <w:rPr>
                <w:rFonts w:ascii="Times New Roman" w:hAnsi="Times New Roman"/>
                <w:sz w:val="18"/>
                <w:lang w:val="fr-FR"/>
              </w:rPr>
            </w:pPr>
            <w:r w:rsidRPr="006D6980">
              <w:rPr>
                <w:rFonts w:ascii="Times New Roman" w:hAnsi="Times New Roman"/>
                <w:sz w:val="18"/>
                <w:lang w:val="fr-FR"/>
              </w:rPr>
              <w:t>2</w:t>
            </w:r>
            <w:r w:rsidRPr="0095235A">
              <w:rPr>
                <w:rFonts w:ascii="Times New Roman" w:hAnsi="Times New Roman"/>
                <w:sz w:val="20"/>
                <w:lang w:val="fr-FR"/>
              </w:rPr>
              <w:t>*</w:t>
            </w:r>
          </w:p>
        </w:tc>
      </w:tr>
      <w:tr w:rsidR="000B562B" w:rsidRPr="006D6980">
        <w:trPr>
          <w:cantSplit/>
          <w:trHeight w:val="240"/>
        </w:trPr>
        <w:tc>
          <w:tcPr>
            <w:tcW w:w="1979" w:type="dxa"/>
            <w:shd w:val="clear" w:color="auto" w:fill="auto"/>
          </w:tcPr>
          <w:p w:rsidR="000B562B" w:rsidRPr="006D6980" w:rsidRDefault="000B562B" w:rsidP="00D734CD">
            <w:pPr>
              <w:pStyle w:val="Text"/>
              <w:keepNext/>
              <w:keepLines/>
              <w:spacing w:before="40" w:after="40" w:line="220" w:lineRule="exact"/>
              <w:rPr>
                <w:rFonts w:ascii="Times New Roman" w:hAnsi="Times New Roman"/>
                <w:sz w:val="18"/>
                <w:lang w:val="fr-FR"/>
              </w:rPr>
            </w:pPr>
            <w:r w:rsidRPr="006D6980">
              <w:rPr>
                <w:rFonts w:ascii="Times New Roman" w:hAnsi="Times New Roman"/>
                <w:sz w:val="18"/>
                <w:lang w:val="fr-FR"/>
              </w:rPr>
              <w:t>2007</w:t>
            </w:r>
            <w:r w:rsidR="0095235A">
              <w:rPr>
                <w:rFonts w:ascii="Times New Roman" w:hAnsi="Times New Roman"/>
                <w:sz w:val="18"/>
                <w:lang w:val="fr-FR"/>
              </w:rPr>
              <w:t>-</w:t>
            </w:r>
            <w:r w:rsidRPr="006D6980">
              <w:rPr>
                <w:rFonts w:ascii="Times New Roman" w:hAnsi="Times New Roman"/>
                <w:sz w:val="18"/>
                <w:lang w:val="fr-FR"/>
              </w:rPr>
              <w:t>2008</w:t>
            </w:r>
          </w:p>
        </w:tc>
        <w:tc>
          <w:tcPr>
            <w:tcW w:w="2850" w:type="dxa"/>
            <w:shd w:val="clear" w:color="auto" w:fill="auto"/>
            <w:vAlign w:val="bottom"/>
          </w:tcPr>
          <w:p w:rsidR="000B562B" w:rsidRPr="006D6980" w:rsidRDefault="000B562B" w:rsidP="00B45A95">
            <w:pPr>
              <w:pStyle w:val="Text"/>
              <w:keepNext/>
              <w:keepLines/>
              <w:spacing w:before="40" w:after="40" w:line="220" w:lineRule="exact"/>
              <w:ind w:left="113" w:right="57"/>
              <w:jc w:val="right"/>
              <w:rPr>
                <w:rFonts w:ascii="Times New Roman" w:hAnsi="Times New Roman"/>
                <w:sz w:val="18"/>
                <w:lang w:val="fr-FR"/>
              </w:rPr>
            </w:pPr>
            <w:r w:rsidRPr="006D6980">
              <w:rPr>
                <w:rFonts w:ascii="Times New Roman" w:hAnsi="Times New Roman"/>
                <w:sz w:val="18"/>
                <w:lang w:val="fr-FR"/>
              </w:rPr>
              <w:t>22</w:t>
            </w:r>
          </w:p>
        </w:tc>
        <w:tc>
          <w:tcPr>
            <w:tcW w:w="2541" w:type="dxa"/>
            <w:shd w:val="clear" w:color="auto" w:fill="auto"/>
            <w:vAlign w:val="bottom"/>
          </w:tcPr>
          <w:p w:rsidR="000B562B" w:rsidRPr="006D6980" w:rsidRDefault="000B562B" w:rsidP="00B45A95">
            <w:pPr>
              <w:pStyle w:val="Text"/>
              <w:keepNext/>
              <w:keepLines/>
              <w:spacing w:before="40" w:after="40" w:line="220" w:lineRule="exact"/>
              <w:ind w:left="113" w:right="57"/>
              <w:jc w:val="right"/>
              <w:rPr>
                <w:rFonts w:ascii="Times New Roman" w:hAnsi="Times New Roman"/>
                <w:sz w:val="18"/>
                <w:lang w:val="fr-FR"/>
              </w:rPr>
            </w:pPr>
            <w:r w:rsidRPr="006D6980">
              <w:rPr>
                <w:rFonts w:ascii="Times New Roman" w:hAnsi="Times New Roman"/>
                <w:sz w:val="18"/>
                <w:lang w:val="fr-FR"/>
              </w:rPr>
              <w:t>0</w:t>
            </w:r>
          </w:p>
        </w:tc>
      </w:tr>
      <w:tr w:rsidR="000B562B" w:rsidRPr="00A176EA">
        <w:trPr>
          <w:cantSplit/>
          <w:trHeight w:val="240"/>
        </w:trPr>
        <w:tc>
          <w:tcPr>
            <w:tcW w:w="1979" w:type="dxa"/>
            <w:tcBorders>
              <w:bottom w:val="single" w:sz="12" w:space="0" w:color="auto"/>
            </w:tcBorders>
            <w:shd w:val="clear" w:color="auto" w:fill="auto"/>
          </w:tcPr>
          <w:p w:rsidR="000B562B" w:rsidRPr="006D6980" w:rsidRDefault="000B562B" w:rsidP="007977DD">
            <w:pPr>
              <w:pStyle w:val="Text"/>
              <w:spacing w:before="40" w:after="40" w:line="220" w:lineRule="exact"/>
              <w:rPr>
                <w:rFonts w:ascii="Times New Roman" w:hAnsi="Times New Roman"/>
                <w:sz w:val="18"/>
                <w:lang w:val="fr-FR"/>
              </w:rPr>
            </w:pPr>
            <w:r w:rsidRPr="006D6980">
              <w:rPr>
                <w:rFonts w:ascii="Times New Roman" w:hAnsi="Times New Roman"/>
                <w:sz w:val="18"/>
                <w:lang w:val="fr-FR"/>
              </w:rPr>
              <w:t>2008</w:t>
            </w:r>
            <w:r w:rsidR="0095235A">
              <w:rPr>
                <w:rFonts w:ascii="Times New Roman" w:hAnsi="Times New Roman"/>
                <w:sz w:val="18"/>
                <w:lang w:val="fr-FR"/>
              </w:rPr>
              <w:t>-</w:t>
            </w:r>
            <w:r w:rsidRPr="006D6980">
              <w:rPr>
                <w:rFonts w:ascii="Times New Roman" w:hAnsi="Times New Roman"/>
                <w:sz w:val="18"/>
                <w:lang w:val="fr-FR"/>
              </w:rPr>
              <w:t>2009</w:t>
            </w:r>
          </w:p>
        </w:tc>
        <w:tc>
          <w:tcPr>
            <w:tcW w:w="2850" w:type="dxa"/>
            <w:tcBorders>
              <w:bottom w:val="single" w:sz="12" w:space="0" w:color="auto"/>
            </w:tcBorders>
            <w:shd w:val="clear" w:color="auto" w:fill="auto"/>
            <w:vAlign w:val="bottom"/>
          </w:tcPr>
          <w:p w:rsidR="000B562B" w:rsidRPr="006D6980" w:rsidRDefault="000B562B" w:rsidP="00B45A95">
            <w:pPr>
              <w:pStyle w:val="Text"/>
              <w:spacing w:before="40" w:after="40" w:line="220" w:lineRule="exact"/>
              <w:ind w:left="113" w:right="57"/>
              <w:jc w:val="right"/>
              <w:rPr>
                <w:rFonts w:ascii="Times New Roman" w:hAnsi="Times New Roman"/>
                <w:sz w:val="18"/>
                <w:lang w:val="fr-FR"/>
              </w:rPr>
            </w:pPr>
            <w:r w:rsidRPr="006D6980">
              <w:rPr>
                <w:rFonts w:ascii="Times New Roman" w:hAnsi="Times New Roman"/>
                <w:sz w:val="18"/>
                <w:lang w:val="fr-FR"/>
              </w:rPr>
              <w:t>15</w:t>
            </w:r>
          </w:p>
        </w:tc>
        <w:tc>
          <w:tcPr>
            <w:tcW w:w="2541" w:type="dxa"/>
            <w:tcBorders>
              <w:bottom w:val="single" w:sz="12" w:space="0" w:color="auto"/>
            </w:tcBorders>
            <w:shd w:val="clear" w:color="auto" w:fill="auto"/>
            <w:vAlign w:val="bottom"/>
          </w:tcPr>
          <w:p w:rsidR="000B562B" w:rsidRPr="00A176EA" w:rsidRDefault="000B562B" w:rsidP="00B45A95">
            <w:pPr>
              <w:pStyle w:val="Text"/>
              <w:spacing w:before="40" w:after="40" w:line="220" w:lineRule="exact"/>
              <w:ind w:left="113" w:right="57"/>
              <w:jc w:val="right"/>
              <w:rPr>
                <w:rFonts w:ascii="Times New Roman" w:hAnsi="Times New Roman"/>
                <w:sz w:val="18"/>
                <w:lang w:val="fr-FR"/>
              </w:rPr>
            </w:pPr>
            <w:r w:rsidRPr="006D6980">
              <w:rPr>
                <w:rFonts w:ascii="Times New Roman" w:hAnsi="Times New Roman"/>
                <w:sz w:val="18"/>
                <w:lang w:val="fr-FR"/>
              </w:rPr>
              <w:t>2</w:t>
            </w:r>
          </w:p>
        </w:tc>
      </w:tr>
    </w:tbl>
    <w:p w:rsidR="000B562B" w:rsidRPr="0095235A" w:rsidRDefault="007977DD" w:rsidP="0095235A">
      <w:pPr>
        <w:pStyle w:val="SingleTxtG"/>
        <w:spacing w:before="120" w:after="240" w:line="220" w:lineRule="atLeast"/>
        <w:ind w:firstLine="170"/>
        <w:jc w:val="left"/>
        <w:rPr>
          <w:sz w:val="18"/>
          <w:szCs w:val="18"/>
          <w:lang w:val="fr-FR"/>
        </w:rPr>
      </w:pPr>
      <w:r w:rsidRPr="0095235A">
        <w:rPr>
          <w:lang w:val="fr-FR"/>
        </w:rPr>
        <w:t>*</w:t>
      </w:r>
      <w:r w:rsidR="0095235A">
        <w:rPr>
          <w:sz w:val="18"/>
          <w:szCs w:val="18"/>
          <w:lang w:val="fr-FR"/>
        </w:rPr>
        <w:t xml:space="preserve">  </w:t>
      </w:r>
      <w:r w:rsidR="006D6980" w:rsidRPr="0095235A">
        <w:rPr>
          <w:sz w:val="18"/>
          <w:szCs w:val="18"/>
          <w:lang w:val="fr-FR"/>
        </w:rPr>
        <w:t xml:space="preserve">L’emploi du terme </w:t>
      </w:r>
      <w:r w:rsidR="00CD0110" w:rsidRPr="0095235A">
        <w:rPr>
          <w:sz w:val="18"/>
          <w:szCs w:val="18"/>
          <w:lang w:val="fr-FR"/>
        </w:rPr>
        <w:t>«</w:t>
      </w:r>
      <w:r w:rsidR="006D6980" w:rsidRPr="0095235A">
        <w:rPr>
          <w:sz w:val="18"/>
          <w:szCs w:val="18"/>
          <w:lang w:val="fr-FR"/>
        </w:rPr>
        <w:t>suicide</w:t>
      </w:r>
      <w:r w:rsidR="00CD0110" w:rsidRPr="0095235A">
        <w:rPr>
          <w:sz w:val="18"/>
          <w:szCs w:val="18"/>
          <w:lang w:val="fr-FR"/>
        </w:rPr>
        <w:t>»</w:t>
      </w:r>
      <w:r w:rsidR="006D6980" w:rsidRPr="0095235A">
        <w:rPr>
          <w:sz w:val="18"/>
          <w:szCs w:val="18"/>
          <w:lang w:val="fr-FR"/>
        </w:rPr>
        <w:t xml:space="preserve"> ne se rapporte pas nécessairement à la conclusion d’un coroner car certaines conclusions n’ont pas encore été rendues. Dans ce cas, </w:t>
      </w:r>
      <w:r w:rsidR="000A2201" w:rsidRPr="0095235A">
        <w:rPr>
          <w:sz w:val="18"/>
          <w:szCs w:val="18"/>
          <w:lang w:val="fr-FR"/>
        </w:rPr>
        <w:t xml:space="preserve">le décès est comptabilisé si, après examen de la nature du décès, les circonstances suggèrent que le décès est le résultat </w:t>
      </w:r>
      <w:r w:rsidR="00233C8D" w:rsidRPr="0095235A">
        <w:rPr>
          <w:sz w:val="18"/>
          <w:szCs w:val="18"/>
          <w:lang w:val="fr-FR"/>
        </w:rPr>
        <w:t>voulu d’un acte auto-infligé. Par exemple, la pendaison</w:t>
      </w:r>
      <w:r w:rsidR="000B562B" w:rsidRPr="0095235A">
        <w:rPr>
          <w:sz w:val="18"/>
          <w:szCs w:val="18"/>
          <w:lang w:val="fr-FR"/>
        </w:rPr>
        <w:t>.</w:t>
      </w:r>
    </w:p>
    <w:p w:rsidR="000B562B" w:rsidRPr="00233C8D" w:rsidRDefault="00D2675F" w:rsidP="00C01D5E">
      <w:pPr>
        <w:pStyle w:val="H23G"/>
        <w:rPr>
          <w:lang w:val="fr-FR"/>
        </w:rPr>
      </w:pPr>
      <w:r w:rsidRPr="00233C8D">
        <w:rPr>
          <w:lang w:val="fr-FR"/>
        </w:rPr>
        <w:t>Écosse</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938"/>
        <w:gridCol w:w="2880"/>
        <w:gridCol w:w="2552"/>
      </w:tblGrid>
      <w:tr w:rsidR="007977DD" w:rsidRPr="00233C8D">
        <w:trPr>
          <w:cantSplit/>
          <w:trHeight w:val="240"/>
          <w:tblHeader/>
        </w:trPr>
        <w:tc>
          <w:tcPr>
            <w:tcW w:w="3279" w:type="dxa"/>
            <w:tcBorders>
              <w:top w:val="single" w:sz="4" w:space="0" w:color="auto"/>
              <w:bottom w:val="single" w:sz="12" w:space="0" w:color="auto"/>
            </w:tcBorders>
            <w:shd w:val="clear" w:color="auto" w:fill="auto"/>
            <w:vAlign w:val="bottom"/>
          </w:tcPr>
          <w:p w:rsidR="000B562B" w:rsidRPr="00233C8D" w:rsidRDefault="00D2675F" w:rsidP="007977DD">
            <w:pPr>
              <w:pStyle w:val="Text"/>
              <w:spacing w:before="80" w:after="80" w:line="200" w:lineRule="exact"/>
              <w:rPr>
                <w:rFonts w:ascii="Times New Roman" w:hAnsi="Times New Roman"/>
                <w:i/>
                <w:sz w:val="16"/>
                <w:lang w:val="fr-FR"/>
              </w:rPr>
            </w:pPr>
            <w:r w:rsidRPr="00233C8D">
              <w:rPr>
                <w:rFonts w:ascii="Times New Roman" w:hAnsi="Times New Roman"/>
                <w:i/>
                <w:sz w:val="16"/>
                <w:lang w:val="fr-FR"/>
              </w:rPr>
              <w:t>Année</w:t>
            </w:r>
          </w:p>
        </w:tc>
        <w:tc>
          <w:tcPr>
            <w:tcW w:w="4792" w:type="dxa"/>
            <w:tcBorders>
              <w:top w:val="single" w:sz="4" w:space="0" w:color="auto"/>
              <w:bottom w:val="single" w:sz="12" w:space="0" w:color="auto"/>
            </w:tcBorders>
            <w:shd w:val="clear" w:color="auto" w:fill="auto"/>
            <w:vAlign w:val="bottom"/>
          </w:tcPr>
          <w:p w:rsidR="000B562B" w:rsidRPr="00233C8D" w:rsidRDefault="00D2675F" w:rsidP="00B45A95">
            <w:pPr>
              <w:pStyle w:val="Text"/>
              <w:spacing w:before="80" w:after="80" w:line="200" w:lineRule="exact"/>
              <w:ind w:left="113" w:right="57"/>
              <w:jc w:val="right"/>
              <w:rPr>
                <w:rFonts w:ascii="Times New Roman" w:hAnsi="Times New Roman"/>
                <w:i/>
                <w:sz w:val="16"/>
                <w:lang w:val="fr-FR"/>
              </w:rPr>
            </w:pPr>
            <w:r w:rsidRPr="00233C8D">
              <w:rPr>
                <w:rFonts w:ascii="Times New Roman" w:hAnsi="Times New Roman"/>
                <w:i/>
                <w:sz w:val="16"/>
                <w:lang w:val="fr-FR"/>
              </w:rPr>
              <w:t>Nombre total de décès</w:t>
            </w:r>
          </w:p>
        </w:tc>
        <w:tc>
          <w:tcPr>
            <w:tcW w:w="4288" w:type="dxa"/>
            <w:tcBorders>
              <w:top w:val="single" w:sz="4" w:space="0" w:color="auto"/>
              <w:bottom w:val="single" w:sz="12" w:space="0" w:color="auto"/>
            </w:tcBorders>
            <w:shd w:val="clear" w:color="auto" w:fill="auto"/>
            <w:vAlign w:val="bottom"/>
          </w:tcPr>
          <w:p w:rsidR="000B562B" w:rsidRPr="00233C8D" w:rsidRDefault="00D2675F" w:rsidP="00B45A95">
            <w:pPr>
              <w:pStyle w:val="Text"/>
              <w:spacing w:before="80" w:after="80" w:line="200" w:lineRule="exact"/>
              <w:ind w:left="113" w:right="57"/>
              <w:jc w:val="right"/>
              <w:rPr>
                <w:rFonts w:ascii="Times New Roman" w:hAnsi="Times New Roman"/>
                <w:i/>
                <w:sz w:val="16"/>
                <w:lang w:val="fr-FR"/>
              </w:rPr>
            </w:pPr>
            <w:r w:rsidRPr="00233C8D">
              <w:rPr>
                <w:rFonts w:ascii="Times New Roman" w:hAnsi="Times New Roman"/>
                <w:i/>
                <w:sz w:val="16"/>
                <w:lang w:val="fr-FR"/>
              </w:rPr>
              <w:t>Décès par suicide</w:t>
            </w:r>
          </w:p>
        </w:tc>
      </w:tr>
      <w:tr w:rsidR="007977DD" w:rsidRPr="00233C8D">
        <w:trPr>
          <w:cantSplit/>
          <w:trHeight w:val="240"/>
        </w:trPr>
        <w:tc>
          <w:tcPr>
            <w:tcW w:w="3279" w:type="dxa"/>
            <w:tcBorders>
              <w:top w:val="single" w:sz="12" w:space="0" w:color="auto"/>
            </w:tcBorders>
            <w:shd w:val="clear" w:color="auto" w:fill="auto"/>
          </w:tcPr>
          <w:p w:rsidR="000B562B" w:rsidRPr="00233C8D" w:rsidRDefault="000B562B" w:rsidP="007977DD">
            <w:pPr>
              <w:pStyle w:val="Text"/>
              <w:spacing w:before="40" w:after="40" w:line="220" w:lineRule="exact"/>
              <w:rPr>
                <w:rFonts w:ascii="Times New Roman" w:hAnsi="Times New Roman"/>
                <w:sz w:val="18"/>
                <w:lang w:val="fr-FR"/>
              </w:rPr>
            </w:pPr>
            <w:r w:rsidRPr="00233C8D">
              <w:rPr>
                <w:rFonts w:ascii="Times New Roman" w:hAnsi="Times New Roman"/>
                <w:sz w:val="18"/>
                <w:lang w:val="fr-FR"/>
              </w:rPr>
              <w:t>2004</w:t>
            </w:r>
          </w:p>
        </w:tc>
        <w:tc>
          <w:tcPr>
            <w:tcW w:w="4792" w:type="dxa"/>
            <w:tcBorders>
              <w:top w:val="single" w:sz="12" w:space="0" w:color="auto"/>
            </w:tcBorders>
            <w:shd w:val="clear" w:color="auto" w:fill="auto"/>
            <w:vAlign w:val="bottom"/>
          </w:tcPr>
          <w:p w:rsidR="000B562B" w:rsidRPr="00233C8D" w:rsidRDefault="000B562B" w:rsidP="00B45A95">
            <w:pPr>
              <w:pStyle w:val="Text"/>
              <w:spacing w:before="40" w:after="40" w:line="220" w:lineRule="exact"/>
              <w:ind w:left="113" w:right="57"/>
              <w:jc w:val="right"/>
              <w:rPr>
                <w:rFonts w:ascii="Times New Roman" w:hAnsi="Times New Roman"/>
                <w:sz w:val="18"/>
                <w:lang w:val="fr-FR"/>
              </w:rPr>
            </w:pPr>
            <w:r w:rsidRPr="00233C8D">
              <w:rPr>
                <w:rFonts w:ascii="Times New Roman" w:hAnsi="Times New Roman"/>
                <w:sz w:val="18"/>
                <w:lang w:val="fr-FR"/>
              </w:rPr>
              <w:t>4</w:t>
            </w:r>
          </w:p>
        </w:tc>
        <w:tc>
          <w:tcPr>
            <w:tcW w:w="4288" w:type="dxa"/>
            <w:tcBorders>
              <w:top w:val="single" w:sz="12" w:space="0" w:color="auto"/>
            </w:tcBorders>
            <w:shd w:val="clear" w:color="auto" w:fill="auto"/>
            <w:vAlign w:val="bottom"/>
          </w:tcPr>
          <w:p w:rsidR="000B562B" w:rsidRPr="00233C8D" w:rsidRDefault="000B562B" w:rsidP="00B45A95">
            <w:pPr>
              <w:pStyle w:val="Text"/>
              <w:spacing w:before="40" w:after="40" w:line="220" w:lineRule="exact"/>
              <w:ind w:left="113" w:right="57"/>
              <w:jc w:val="right"/>
              <w:rPr>
                <w:rFonts w:ascii="Times New Roman" w:hAnsi="Times New Roman"/>
                <w:sz w:val="18"/>
                <w:lang w:val="fr-FR"/>
              </w:rPr>
            </w:pPr>
            <w:r w:rsidRPr="00233C8D">
              <w:rPr>
                <w:rFonts w:ascii="Times New Roman" w:hAnsi="Times New Roman"/>
                <w:sz w:val="18"/>
                <w:lang w:val="fr-FR"/>
              </w:rPr>
              <w:t>0</w:t>
            </w:r>
          </w:p>
        </w:tc>
      </w:tr>
      <w:tr w:rsidR="007977DD" w:rsidRPr="00233C8D">
        <w:trPr>
          <w:cantSplit/>
          <w:trHeight w:val="240"/>
        </w:trPr>
        <w:tc>
          <w:tcPr>
            <w:tcW w:w="3279" w:type="dxa"/>
            <w:shd w:val="clear" w:color="auto" w:fill="auto"/>
          </w:tcPr>
          <w:p w:rsidR="000B562B" w:rsidRPr="00233C8D" w:rsidRDefault="000B562B" w:rsidP="007977DD">
            <w:pPr>
              <w:pStyle w:val="Text"/>
              <w:spacing w:before="40" w:after="40" w:line="220" w:lineRule="exact"/>
              <w:rPr>
                <w:rFonts w:ascii="Times New Roman" w:hAnsi="Times New Roman"/>
                <w:sz w:val="18"/>
                <w:lang w:val="fr-FR"/>
              </w:rPr>
            </w:pPr>
            <w:r w:rsidRPr="00233C8D">
              <w:rPr>
                <w:rFonts w:ascii="Times New Roman" w:hAnsi="Times New Roman"/>
                <w:sz w:val="18"/>
                <w:lang w:val="fr-FR"/>
              </w:rPr>
              <w:t>2005</w:t>
            </w:r>
          </w:p>
        </w:tc>
        <w:tc>
          <w:tcPr>
            <w:tcW w:w="4792" w:type="dxa"/>
            <w:shd w:val="clear" w:color="auto" w:fill="auto"/>
            <w:vAlign w:val="bottom"/>
          </w:tcPr>
          <w:p w:rsidR="000B562B" w:rsidRPr="00233C8D" w:rsidRDefault="000B562B" w:rsidP="00B45A95">
            <w:pPr>
              <w:pStyle w:val="Text"/>
              <w:spacing w:before="40" w:after="40" w:line="220" w:lineRule="exact"/>
              <w:ind w:left="113" w:right="57"/>
              <w:jc w:val="right"/>
              <w:rPr>
                <w:rFonts w:ascii="Times New Roman" w:hAnsi="Times New Roman"/>
                <w:sz w:val="18"/>
                <w:lang w:val="fr-FR"/>
              </w:rPr>
            </w:pPr>
            <w:r w:rsidRPr="00233C8D">
              <w:rPr>
                <w:rFonts w:ascii="Times New Roman" w:hAnsi="Times New Roman"/>
                <w:sz w:val="18"/>
                <w:lang w:val="fr-FR"/>
              </w:rPr>
              <w:t>7</w:t>
            </w:r>
          </w:p>
        </w:tc>
        <w:tc>
          <w:tcPr>
            <w:tcW w:w="4288" w:type="dxa"/>
            <w:shd w:val="clear" w:color="auto" w:fill="auto"/>
            <w:vAlign w:val="bottom"/>
          </w:tcPr>
          <w:p w:rsidR="000B562B" w:rsidRPr="00233C8D" w:rsidRDefault="000B562B" w:rsidP="00B45A95">
            <w:pPr>
              <w:pStyle w:val="Text"/>
              <w:spacing w:before="40" w:after="40" w:line="220" w:lineRule="exact"/>
              <w:ind w:left="113" w:right="57"/>
              <w:jc w:val="right"/>
              <w:rPr>
                <w:rFonts w:ascii="Times New Roman" w:hAnsi="Times New Roman"/>
                <w:sz w:val="18"/>
                <w:lang w:val="fr-FR"/>
              </w:rPr>
            </w:pPr>
            <w:r w:rsidRPr="00233C8D">
              <w:rPr>
                <w:rFonts w:ascii="Times New Roman" w:hAnsi="Times New Roman"/>
                <w:sz w:val="18"/>
                <w:lang w:val="fr-FR"/>
              </w:rPr>
              <w:t>1</w:t>
            </w:r>
          </w:p>
        </w:tc>
      </w:tr>
      <w:tr w:rsidR="007977DD" w:rsidRPr="00233C8D">
        <w:trPr>
          <w:cantSplit/>
          <w:trHeight w:val="240"/>
        </w:trPr>
        <w:tc>
          <w:tcPr>
            <w:tcW w:w="3279" w:type="dxa"/>
            <w:shd w:val="clear" w:color="auto" w:fill="auto"/>
          </w:tcPr>
          <w:p w:rsidR="000B562B" w:rsidRPr="00233C8D" w:rsidRDefault="000B562B" w:rsidP="007977DD">
            <w:pPr>
              <w:pStyle w:val="Text"/>
              <w:spacing w:before="40" w:after="40" w:line="220" w:lineRule="exact"/>
              <w:rPr>
                <w:rFonts w:ascii="Times New Roman" w:hAnsi="Times New Roman"/>
                <w:sz w:val="18"/>
                <w:lang w:val="fr-FR"/>
              </w:rPr>
            </w:pPr>
            <w:r w:rsidRPr="00233C8D">
              <w:rPr>
                <w:rFonts w:ascii="Times New Roman" w:hAnsi="Times New Roman"/>
                <w:sz w:val="18"/>
                <w:lang w:val="fr-FR"/>
              </w:rPr>
              <w:t>2006</w:t>
            </w:r>
          </w:p>
        </w:tc>
        <w:tc>
          <w:tcPr>
            <w:tcW w:w="4792" w:type="dxa"/>
            <w:shd w:val="clear" w:color="auto" w:fill="auto"/>
            <w:vAlign w:val="bottom"/>
          </w:tcPr>
          <w:p w:rsidR="000B562B" w:rsidRPr="00233C8D" w:rsidRDefault="000B562B" w:rsidP="00B45A95">
            <w:pPr>
              <w:pStyle w:val="Text"/>
              <w:spacing w:before="40" w:after="40" w:line="220" w:lineRule="exact"/>
              <w:ind w:left="113" w:right="57"/>
              <w:jc w:val="right"/>
              <w:rPr>
                <w:rFonts w:ascii="Times New Roman" w:hAnsi="Times New Roman"/>
                <w:sz w:val="18"/>
                <w:lang w:val="fr-FR"/>
              </w:rPr>
            </w:pPr>
            <w:r w:rsidRPr="00233C8D">
              <w:rPr>
                <w:rFonts w:ascii="Times New Roman" w:hAnsi="Times New Roman"/>
                <w:sz w:val="18"/>
                <w:lang w:val="fr-FR"/>
              </w:rPr>
              <w:t>9</w:t>
            </w:r>
          </w:p>
        </w:tc>
        <w:tc>
          <w:tcPr>
            <w:tcW w:w="4288" w:type="dxa"/>
            <w:shd w:val="clear" w:color="auto" w:fill="auto"/>
            <w:vAlign w:val="bottom"/>
          </w:tcPr>
          <w:p w:rsidR="000B562B" w:rsidRPr="00233C8D" w:rsidRDefault="000B562B" w:rsidP="00B45A95">
            <w:pPr>
              <w:pStyle w:val="Text"/>
              <w:spacing w:before="40" w:after="40" w:line="220" w:lineRule="exact"/>
              <w:ind w:left="113" w:right="57"/>
              <w:jc w:val="right"/>
              <w:rPr>
                <w:rFonts w:ascii="Times New Roman" w:hAnsi="Times New Roman"/>
                <w:sz w:val="18"/>
                <w:lang w:val="fr-FR"/>
              </w:rPr>
            </w:pPr>
            <w:r w:rsidRPr="00233C8D">
              <w:rPr>
                <w:rFonts w:ascii="Times New Roman" w:hAnsi="Times New Roman"/>
                <w:sz w:val="18"/>
                <w:lang w:val="fr-FR"/>
              </w:rPr>
              <w:t>0</w:t>
            </w:r>
          </w:p>
        </w:tc>
      </w:tr>
      <w:tr w:rsidR="007977DD" w:rsidRPr="00233C8D">
        <w:trPr>
          <w:cantSplit/>
          <w:trHeight w:val="240"/>
        </w:trPr>
        <w:tc>
          <w:tcPr>
            <w:tcW w:w="3279" w:type="dxa"/>
            <w:shd w:val="clear" w:color="auto" w:fill="auto"/>
          </w:tcPr>
          <w:p w:rsidR="000B562B" w:rsidRPr="00233C8D" w:rsidRDefault="000B562B" w:rsidP="007977DD">
            <w:pPr>
              <w:pStyle w:val="Text"/>
              <w:spacing w:before="40" w:after="40" w:line="220" w:lineRule="exact"/>
              <w:rPr>
                <w:rFonts w:ascii="Times New Roman" w:hAnsi="Times New Roman"/>
                <w:sz w:val="18"/>
                <w:lang w:val="fr-FR"/>
              </w:rPr>
            </w:pPr>
            <w:r w:rsidRPr="00233C8D">
              <w:rPr>
                <w:rFonts w:ascii="Times New Roman" w:hAnsi="Times New Roman"/>
                <w:sz w:val="18"/>
                <w:lang w:val="fr-FR"/>
              </w:rPr>
              <w:t>2007</w:t>
            </w:r>
          </w:p>
        </w:tc>
        <w:tc>
          <w:tcPr>
            <w:tcW w:w="4792" w:type="dxa"/>
            <w:shd w:val="clear" w:color="auto" w:fill="auto"/>
            <w:vAlign w:val="bottom"/>
          </w:tcPr>
          <w:p w:rsidR="000B562B" w:rsidRPr="00233C8D" w:rsidRDefault="000B562B" w:rsidP="00B45A95">
            <w:pPr>
              <w:pStyle w:val="Text"/>
              <w:spacing w:before="40" w:after="40" w:line="220" w:lineRule="exact"/>
              <w:ind w:left="113" w:right="57"/>
              <w:jc w:val="right"/>
              <w:rPr>
                <w:rFonts w:ascii="Times New Roman" w:hAnsi="Times New Roman"/>
                <w:sz w:val="18"/>
                <w:lang w:val="fr-FR"/>
              </w:rPr>
            </w:pPr>
            <w:r w:rsidRPr="00233C8D">
              <w:rPr>
                <w:rFonts w:ascii="Times New Roman" w:hAnsi="Times New Roman"/>
                <w:sz w:val="18"/>
                <w:lang w:val="fr-FR"/>
              </w:rPr>
              <w:t xml:space="preserve"> 3</w:t>
            </w:r>
          </w:p>
        </w:tc>
        <w:tc>
          <w:tcPr>
            <w:tcW w:w="4288" w:type="dxa"/>
            <w:shd w:val="clear" w:color="auto" w:fill="auto"/>
            <w:vAlign w:val="bottom"/>
          </w:tcPr>
          <w:p w:rsidR="000B562B" w:rsidRPr="00233C8D" w:rsidRDefault="000B562B" w:rsidP="00B45A95">
            <w:pPr>
              <w:pStyle w:val="Text"/>
              <w:spacing w:before="40" w:after="40" w:line="220" w:lineRule="exact"/>
              <w:ind w:left="113" w:right="57"/>
              <w:jc w:val="right"/>
              <w:rPr>
                <w:rFonts w:ascii="Times New Roman" w:hAnsi="Times New Roman"/>
                <w:sz w:val="18"/>
                <w:lang w:val="fr-FR"/>
              </w:rPr>
            </w:pPr>
            <w:r w:rsidRPr="00233C8D">
              <w:rPr>
                <w:rFonts w:ascii="Times New Roman" w:hAnsi="Times New Roman"/>
                <w:sz w:val="18"/>
                <w:lang w:val="fr-FR"/>
              </w:rPr>
              <w:t>0</w:t>
            </w:r>
          </w:p>
        </w:tc>
      </w:tr>
      <w:tr w:rsidR="007977DD" w:rsidRPr="00233C8D">
        <w:trPr>
          <w:cantSplit/>
          <w:trHeight w:val="240"/>
        </w:trPr>
        <w:tc>
          <w:tcPr>
            <w:tcW w:w="3279" w:type="dxa"/>
            <w:shd w:val="clear" w:color="auto" w:fill="auto"/>
          </w:tcPr>
          <w:p w:rsidR="000B562B" w:rsidRPr="00233C8D" w:rsidRDefault="000B562B" w:rsidP="007977DD">
            <w:pPr>
              <w:pStyle w:val="Text"/>
              <w:spacing w:before="40" w:after="40" w:line="220" w:lineRule="exact"/>
              <w:rPr>
                <w:rFonts w:ascii="Times New Roman" w:hAnsi="Times New Roman"/>
                <w:sz w:val="18"/>
                <w:lang w:val="fr-FR"/>
              </w:rPr>
            </w:pPr>
            <w:r w:rsidRPr="00233C8D">
              <w:rPr>
                <w:rFonts w:ascii="Times New Roman" w:hAnsi="Times New Roman"/>
                <w:sz w:val="18"/>
                <w:lang w:val="fr-FR"/>
              </w:rPr>
              <w:t>2008</w:t>
            </w:r>
          </w:p>
        </w:tc>
        <w:tc>
          <w:tcPr>
            <w:tcW w:w="4792" w:type="dxa"/>
            <w:shd w:val="clear" w:color="auto" w:fill="auto"/>
            <w:vAlign w:val="bottom"/>
          </w:tcPr>
          <w:p w:rsidR="000B562B" w:rsidRPr="00233C8D" w:rsidRDefault="000B562B" w:rsidP="00B45A95">
            <w:pPr>
              <w:pStyle w:val="Text"/>
              <w:spacing w:before="40" w:after="40" w:line="220" w:lineRule="exact"/>
              <w:ind w:left="113" w:right="57"/>
              <w:jc w:val="right"/>
              <w:rPr>
                <w:rFonts w:ascii="Times New Roman" w:hAnsi="Times New Roman"/>
                <w:sz w:val="18"/>
                <w:lang w:val="fr-FR"/>
              </w:rPr>
            </w:pPr>
            <w:r w:rsidRPr="00233C8D">
              <w:rPr>
                <w:rFonts w:ascii="Times New Roman" w:hAnsi="Times New Roman"/>
                <w:sz w:val="18"/>
                <w:lang w:val="fr-FR"/>
              </w:rPr>
              <w:t>8</w:t>
            </w:r>
          </w:p>
        </w:tc>
        <w:tc>
          <w:tcPr>
            <w:tcW w:w="4288" w:type="dxa"/>
            <w:shd w:val="clear" w:color="auto" w:fill="auto"/>
            <w:vAlign w:val="bottom"/>
          </w:tcPr>
          <w:p w:rsidR="000B562B" w:rsidRPr="00233C8D" w:rsidRDefault="000B562B" w:rsidP="00B45A95">
            <w:pPr>
              <w:pStyle w:val="Text"/>
              <w:spacing w:before="40" w:after="40" w:line="220" w:lineRule="exact"/>
              <w:ind w:left="113" w:right="57"/>
              <w:jc w:val="right"/>
              <w:rPr>
                <w:rFonts w:ascii="Times New Roman" w:hAnsi="Times New Roman"/>
                <w:sz w:val="18"/>
                <w:lang w:val="fr-FR"/>
              </w:rPr>
            </w:pPr>
            <w:r w:rsidRPr="00233C8D">
              <w:rPr>
                <w:rFonts w:ascii="Times New Roman" w:hAnsi="Times New Roman"/>
                <w:sz w:val="18"/>
                <w:lang w:val="fr-FR"/>
              </w:rPr>
              <w:t>1</w:t>
            </w:r>
          </w:p>
        </w:tc>
      </w:tr>
      <w:tr w:rsidR="007977DD" w:rsidRPr="00233C8D">
        <w:trPr>
          <w:cantSplit/>
          <w:trHeight w:val="240"/>
        </w:trPr>
        <w:tc>
          <w:tcPr>
            <w:tcW w:w="3279" w:type="dxa"/>
            <w:tcBorders>
              <w:bottom w:val="single" w:sz="12" w:space="0" w:color="auto"/>
            </w:tcBorders>
            <w:shd w:val="clear" w:color="auto" w:fill="auto"/>
          </w:tcPr>
          <w:p w:rsidR="000B562B" w:rsidRPr="00233C8D" w:rsidRDefault="000B562B" w:rsidP="007977DD">
            <w:pPr>
              <w:pStyle w:val="Text"/>
              <w:spacing w:before="40" w:after="40" w:line="220" w:lineRule="exact"/>
              <w:rPr>
                <w:rFonts w:ascii="Times New Roman" w:hAnsi="Times New Roman"/>
                <w:sz w:val="18"/>
                <w:lang w:val="fr-FR"/>
              </w:rPr>
            </w:pPr>
            <w:r w:rsidRPr="00233C8D">
              <w:rPr>
                <w:rFonts w:ascii="Times New Roman" w:hAnsi="Times New Roman"/>
                <w:sz w:val="18"/>
                <w:lang w:val="fr-FR"/>
              </w:rPr>
              <w:t>2009</w:t>
            </w:r>
          </w:p>
        </w:tc>
        <w:tc>
          <w:tcPr>
            <w:tcW w:w="4792" w:type="dxa"/>
            <w:tcBorders>
              <w:bottom w:val="single" w:sz="12" w:space="0" w:color="auto"/>
            </w:tcBorders>
            <w:shd w:val="clear" w:color="auto" w:fill="auto"/>
            <w:vAlign w:val="bottom"/>
          </w:tcPr>
          <w:p w:rsidR="000B562B" w:rsidRPr="00233C8D" w:rsidRDefault="000B562B" w:rsidP="00B45A95">
            <w:pPr>
              <w:pStyle w:val="Text"/>
              <w:spacing w:before="40" w:after="40" w:line="220" w:lineRule="exact"/>
              <w:ind w:left="113" w:right="57"/>
              <w:jc w:val="right"/>
              <w:rPr>
                <w:rFonts w:ascii="Times New Roman" w:hAnsi="Times New Roman"/>
                <w:sz w:val="18"/>
                <w:lang w:val="fr-FR"/>
              </w:rPr>
            </w:pPr>
            <w:r w:rsidRPr="00233C8D">
              <w:rPr>
                <w:rFonts w:ascii="Times New Roman" w:hAnsi="Times New Roman"/>
                <w:sz w:val="18"/>
                <w:lang w:val="fr-FR"/>
              </w:rPr>
              <w:t>3</w:t>
            </w:r>
          </w:p>
        </w:tc>
        <w:tc>
          <w:tcPr>
            <w:tcW w:w="4288" w:type="dxa"/>
            <w:tcBorders>
              <w:bottom w:val="single" w:sz="12" w:space="0" w:color="auto"/>
            </w:tcBorders>
            <w:shd w:val="clear" w:color="auto" w:fill="auto"/>
            <w:vAlign w:val="bottom"/>
          </w:tcPr>
          <w:p w:rsidR="000B562B" w:rsidRPr="00233C8D" w:rsidRDefault="000B562B" w:rsidP="00B45A95">
            <w:pPr>
              <w:pStyle w:val="Text"/>
              <w:spacing w:before="40" w:after="40" w:line="220" w:lineRule="exact"/>
              <w:ind w:left="113" w:right="57"/>
              <w:jc w:val="right"/>
              <w:rPr>
                <w:rFonts w:ascii="Times New Roman" w:hAnsi="Times New Roman"/>
                <w:sz w:val="18"/>
                <w:lang w:val="fr-FR"/>
              </w:rPr>
            </w:pPr>
            <w:r w:rsidRPr="00233C8D">
              <w:rPr>
                <w:rFonts w:ascii="Times New Roman" w:hAnsi="Times New Roman"/>
                <w:sz w:val="18"/>
                <w:lang w:val="fr-FR"/>
              </w:rPr>
              <w:t>0</w:t>
            </w:r>
          </w:p>
        </w:tc>
      </w:tr>
    </w:tbl>
    <w:p w:rsidR="000B562B" w:rsidRPr="00233C8D" w:rsidRDefault="00D2675F" w:rsidP="00C01D5E">
      <w:pPr>
        <w:pStyle w:val="H23G"/>
        <w:rPr>
          <w:lang w:val="fr-FR"/>
        </w:rPr>
      </w:pPr>
      <w:r w:rsidRPr="00233C8D">
        <w:rPr>
          <w:lang w:val="fr-FR"/>
        </w:rPr>
        <w:t>Irlande du Nord</w:t>
      </w:r>
    </w:p>
    <w:tbl>
      <w:tblPr>
        <w:tblW w:w="7370" w:type="dxa"/>
        <w:tblInd w:w="1082" w:type="dxa"/>
        <w:tblBorders>
          <w:top w:val="single" w:sz="4" w:space="0" w:color="auto"/>
        </w:tblBorders>
        <w:tblCellMar>
          <w:left w:w="0" w:type="dxa"/>
          <w:right w:w="0" w:type="dxa"/>
        </w:tblCellMar>
        <w:tblLook w:val="0000" w:firstRow="0" w:lastRow="0" w:firstColumn="0" w:lastColumn="0" w:noHBand="0" w:noVBand="0"/>
      </w:tblPr>
      <w:tblGrid>
        <w:gridCol w:w="1877"/>
        <w:gridCol w:w="2936"/>
        <w:gridCol w:w="2557"/>
      </w:tblGrid>
      <w:tr w:rsidR="000B562B" w:rsidRPr="00233C8D">
        <w:tblPrEx>
          <w:tblCellMar>
            <w:top w:w="0" w:type="dxa"/>
            <w:bottom w:w="0" w:type="dxa"/>
          </w:tblCellMar>
        </w:tblPrEx>
        <w:trPr>
          <w:cantSplit/>
          <w:trHeight w:val="240"/>
          <w:tblHeader/>
        </w:trPr>
        <w:tc>
          <w:tcPr>
            <w:tcW w:w="1769" w:type="dxa"/>
            <w:tcBorders>
              <w:top w:val="single" w:sz="4" w:space="0" w:color="auto"/>
              <w:bottom w:val="single" w:sz="12" w:space="0" w:color="auto"/>
            </w:tcBorders>
            <w:shd w:val="clear" w:color="auto" w:fill="auto"/>
            <w:vAlign w:val="bottom"/>
          </w:tcPr>
          <w:p w:rsidR="000B562B" w:rsidRPr="00233C8D" w:rsidRDefault="00D2675F" w:rsidP="007977DD">
            <w:pPr>
              <w:pStyle w:val="Text"/>
              <w:spacing w:before="80" w:after="80" w:line="200" w:lineRule="exact"/>
              <w:rPr>
                <w:rFonts w:ascii="Times New Roman" w:hAnsi="Times New Roman"/>
                <w:i/>
                <w:sz w:val="16"/>
                <w:lang w:val="fr-FR"/>
              </w:rPr>
            </w:pPr>
            <w:r w:rsidRPr="00233C8D">
              <w:rPr>
                <w:rFonts w:ascii="Times New Roman" w:hAnsi="Times New Roman"/>
                <w:i/>
                <w:sz w:val="16"/>
                <w:lang w:val="fr-FR"/>
              </w:rPr>
              <w:t>Année</w:t>
            </w:r>
          </w:p>
        </w:tc>
        <w:tc>
          <w:tcPr>
            <w:tcW w:w="2767" w:type="dxa"/>
            <w:tcBorders>
              <w:top w:val="single" w:sz="4" w:space="0" w:color="auto"/>
              <w:bottom w:val="single" w:sz="12" w:space="0" w:color="auto"/>
            </w:tcBorders>
            <w:shd w:val="clear" w:color="auto" w:fill="auto"/>
            <w:vAlign w:val="bottom"/>
          </w:tcPr>
          <w:p w:rsidR="000B562B" w:rsidRPr="00233C8D" w:rsidRDefault="00D2675F" w:rsidP="00B45A95">
            <w:pPr>
              <w:pStyle w:val="Text"/>
              <w:spacing w:before="80" w:after="80" w:line="200" w:lineRule="exact"/>
              <w:ind w:left="113" w:right="57"/>
              <w:jc w:val="right"/>
              <w:rPr>
                <w:rFonts w:ascii="Times New Roman" w:hAnsi="Times New Roman"/>
                <w:i/>
                <w:sz w:val="16"/>
                <w:lang w:val="fr-FR"/>
              </w:rPr>
            </w:pPr>
            <w:r w:rsidRPr="00233C8D">
              <w:rPr>
                <w:rFonts w:ascii="Times New Roman" w:hAnsi="Times New Roman"/>
                <w:i/>
                <w:sz w:val="16"/>
                <w:lang w:val="fr-FR"/>
              </w:rPr>
              <w:t>Nombre total de décès</w:t>
            </w:r>
          </w:p>
        </w:tc>
        <w:tc>
          <w:tcPr>
            <w:tcW w:w="2410" w:type="dxa"/>
            <w:tcBorders>
              <w:top w:val="single" w:sz="4" w:space="0" w:color="auto"/>
              <w:bottom w:val="single" w:sz="12" w:space="0" w:color="auto"/>
            </w:tcBorders>
            <w:shd w:val="clear" w:color="auto" w:fill="auto"/>
            <w:vAlign w:val="bottom"/>
          </w:tcPr>
          <w:p w:rsidR="000B562B" w:rsidRPr="00233C8D" w:rsidRDefault="00D2675F" w:rsidP="00B45A95">
            <w:pPr>
              <w:pStyle w:val="Text"/>
              <w:spacing w:before="80" w:after="80" w:line="200" w:lineRule="exact"/>
              <w:ind w:left="113" w:right="57"/>
              <w:jc w:val="right"/>
              <w:rPr>
                <w:rFonts w:ascii="Times New Roman" w:hAnsi="Times New Roman"/>
                <w:i/>
                <w:sz w:val="16"/>
                <w:lang w:val="fr-FR"/>
              </w:rPr>
            </w:pPr>
            <w:r w:rsidRPr="00233C8D">
              <w:rPr>
                <w:rFonts w:ascii="Times New Roman" w:hAnsi="Times New Roman"/>
                <w:i/>
                <w:sz w:val="16"/>
                <w:lang w:val="fr-FR"/>
              </w:rPr>
              <w:t>Décès par suicide</w:t>
            </w:r>
          </w:p>
        </w:tc>
      </w:tr>
      <w:tr w:rsidR="000B562B" w:rsidRPr="00233C8D">
        <w:tblPrEx>
          <w:tblCellMar>
            <w:top w:w="0" w:type="dxa"/>
            <w:bottom w:w="0" w:type="dxa"/>
          </w:tblCellMar>
        </w:tblPrEx>
        <w:trPr>
          <w:cantSplit/>
          <w:trHeight w:val="240"/>
        </w:trPr>
        <w:tc>
          <w:tcPr>
            <w:tcW w:w="1769" w:type="dxa"/>
            <w:tcBorders>
              <w:top w:val="single" w:sz="12" w:space="0" w:color="auto"/>
            </w:tcBorders>
            <w:shd w:val="clear" w:color="auto" w:fill="auto"/>
          </w:tcPr>
          <w:p w:rsidR="000B562B" w:rsidRPr="00233C8D" w:rsidRDefault="000B562B" w:rsidP="007977DD">
            <w:pPr>
              <w:pStyle w:val="Text"/>
              <w:spacing w:before="40" w:after="40" w:line="220" w:lineRule="exact"/>
              <w:rPr>
                <w:rFonts w:ascii="Times New Roman" w:hAnsi="Times New Roman"/>
                <w:sz w:val="18"/>
                <w:lang w:val="fr-FR"/>
              </w:rPr>
            </w:pPr>
            <w:r w:rsidRPr="00233C8D">
              <w:rPr>
                <w:rFonts w:ascii="Times New Roman" w:hAnsi="Times New Roman"/>
                <w:sz w:val="18"/>
                <w:lang w:val="fr-FR"/>
              </w:rPr>
              <w:t>2004</w:t>
            </w:r>
            <w:r w:rsidR="0095235A">
              <w:rPr>
                <w:rFonts w:ascii="Times New Roman" w:hAnsi="Times New Roman"/>
                <w:sz w:val="18"/>
                <w:lang w:val="fr-FR"/>
              </w:rPr>
              <w:t>-</w:t>
            </w:r>
            <w:r w:rsidRPr="00233C8D">
              <w:rPr>
                <w:rFonts w:ascii="Times New Roman" w:hAnsi="Times New Roman"/>
                <w:sz w:val="18"/>
                <w:lang w:val="fr-FR"/>
              </w:rPr>
              <w:t>2005</w:t>
            </w:r>
          </w:p>
        </w:tc>
        <w:tc>
          <w:tcPr>
            <w:tcW w:w="2767" w:type="dxa"/>
            <w:tcBorders>
              <w:top w:val="single" w:sz="12" w:space="0" w:color="auto"/>
            </w:tcBorders>
            <w:shd w:val="clear" w:color="auto" w:fill="auto"/>
            <w:vAlign w:val="bottom"/>
          </w:tcPr>
          <w:p w:rsidR="000B562B" w:rsidRPr="00233C8D" w:rsidRDefault="000B562B" w:rsidP="00B45A95">
            <w:pPr>
              <w:pStyle w:val="Text"/>
              <w:spacing w:before="40" w:after="40" w:line="220" w:lineRule="exact"/>
              <w:ind w:left="113" w:right="57"/>
              <w:jc w:val="right"/>
              <w:rPr>
                <w:rFonts w:ascii="Times New Roman" w:hAnsi="Times New Roman"/>
                <w:sz w:val="18"/>
                <w:lang w:val="fr-FR"/>
              </w:rPr>
            </w:pPr>
            <w:r w:rsidRPr="00233C8D">
              <w:rPr>
                <w:rFonts w:ascii="Times New Roman" w:hAnsi="Times New Roman"/>
                <w:sz w:val="18"/>
                <w:lang w:val="fr-FR"/>
              </w:rPr>
              <w:t>0</w:t>
            </w:r>
          </w:p>
        </w:tc>
        <w:tc>
          <w:tcPr>
            <w:tcW w:w="2410" w:type="dxa"/>
            <w:tcBorders>
              <w:top w:val="single" w:sz="12" w:space="0" w:color="auto"/>
            </w:tcBorders>
            <w:shd w:val="clear" w:color="auto" w:fill="auto"/>
            <w:vAlign w:val="bottom"/>
          </w:tcPr>
          <w:p w:rsidR="000B562B" w:rsidRPr="00233C8D" w:rsidRDefault="000B562B" w:rsidP="00B45A95">
            <w:pPr>
              <w:pStyle w:val="Text"/>
              <w:spacing w:before="40" w:after="40" w:line="220" w:lineRule="exact"/>
              <w:ind w:left="113" w:right="57"/>
              <w:jc w:val="right"/>
              <w:rPr>
                <w:rFonts w:ascii="Times New Roman" w:hAnsi="Times New Roman"/>
                <w:sz w:val="18"/>
                <w:lang w:val="fr-FR"/>
              </w:rPr>
            </w:pPr>
            <w:r w:rsidRPr="00233C8D">
              <w:rPr>
                <w:rFonts w:ascii="Times New Roman" w:hAnsi="Times New Roman"/>
                <w:sz w:val="18"/>
                <w:lang w:val="fr-FR"/>
              </w:rPr>
              <w:t>0</w:t>
            </w:r>
          </w:p>
        </w:tc>
      </w:tr>
      <w:tr w:rsidR="000B562B" w:rsidRPr="00233C8D">
        <w:tblPrEx>
          <w:tblCellMar>
            <w:top w:w="0" w:type="dxa"/>
            <w:bottom w:w="0" w:type="dxa"/>
          </w:tblCellMar>
        </w:tblPrEx>
        <w:trPr>
          <w:cantSplit/>
          <w:trHeight w:val="240"/>
        </w:trPr>
        <w:tc>
          <w:tcPr>
            <w:tcW w:w="1769" w:type="dxa"/>
            <w:shd w:val="clear" w:color="auto" w:fill="auto"/>
          </w:tcPr>
          <w:p w:rsidR="000B562B" w:rsidRPr="00233C8D" w:rsidRDefault="000B562B" w:rsidP="007977DD">
            <w:pPr>
              <w:pStyle w:val="Text"/>
              <w:spacing w:before="40" w:after="40" w:line="220" w:lineRule="exact"/>
              <w:rPr>
                <w:rFonts w:ascii="Times New Roman" w:hAnsi="Times New Roman"/>
                <w:sz w:val="18"/>
                <w:lang w:val="fr-FR"/>
              </w:rPr>
            </w:pPr>
            <w:r w:rsidRPr="00233C8D">
              <w:rPr>
                <w:rFonts w:ascii="Times New Roman" w:hAnsi="Times New Roman"/>
                <w:sz w:val="18"/>
                <w:lang w:val="fr-FR"/>
              </w:rPr>
              <w:t>2005</w:t>
            </w:r>
            <w:r w:rsidR="0095235A">
              <w:rPr>
                <w:rFonts w:ascii="Times New Roman" w:hAnsi="Times New Roman"/>
                <w:sz w:val="18"/>
                <w:lang w:val="fr-FR"/>
              </w:rPr>
              <w:t>-</w:t>
            </w:r>
            <w:r w:rsidRPr="00233C8D">
              <w:rPr>
                <w:rFonts w:ascii="Times New Roman" w:hAnsi="Times New Roman"/>
                <w:sz w:val="18"/>
                <w:lang w:val="fr-FR"/>
              </w:rPr>
              <w:t>2006</w:t>
            </w:r>
          </w:p>
        </w:tc>
        <w:tc>
          <w:tcPr>
            <w:tcW w:w="2767" w:type="dxa"/>
            <w:shd w:val="clear" w:color="auto" w:fill="auto"/>
            <w:vAlign w:val="bottom"/>
          </w:tcPr>
          <w:p w:rsidR="000B562B" w:rsidRPr="00233C8D" w:rsidRDefault="000B562B" w:rsidP="00B45A95">
            <w:pPr>
              <w:pStyle w:val="Text"/>
              <w:spacing w:before="40" w:after="40" w:line="220" w:lineRule="exact"/>
              <w:ind w:left="113" w:right="57"/>
              <w:jc w:val="right"/>
              <w:rPr>
                <w:rFonts w:ascii="Times New Roman" w:hAnsi="Times New Roman"/>
                <w:sz w:val="18"/>
                <w:lang w:val="fr-FR"/>
              </w:rPr>
            </w:pPr>
            <w:r w:rsidRPr="00233C8D">
              <w:rPr>
                <w:rFonts w:ascii="Times New Roman" w:hAnsi="Times New Roman"/>
                <w:sz w:val="18"/>
                <w:lang w:val="fr-FR"/>
              </w:rPr>
              <w:t>1</w:t>
            </w:r>
          </w:p>
        </w:tc>
        <w:tc>
          <w:tcPr>
            <w:tcW w:w="2410" w:type="dxa"/>
            <w:shd w:val="clear" w:color="auto" w:fill="auto"/>
            <w:vAlign w:val="bottom"/>
          </w:tcPr>
          <w:p w:rsidR="000B562B" w:rsidRPr="00233C8D" w:rsidRDefault="000B562B" w:rsidP="00B45A95">
            <w:pPr>
              <w:pStyle w:val="Text"/>
              <w:spacing w:before="40" w:after="40" w:line="220" w:lineRule="exact"/>
              <w:ind w:left="113" w:right="57"/>
              <w:jc w:val="right"/>
              <w:rPr>
                <w:rFonts w:ascii="Times New Roman" w:hAnsi="Times New Roman"/>
                <w:sz w:val="18"/>
                <w:lang w:val="fr-FR"/>
              </w:rPr>
            </w:pPr>
            <w:r w:rsidRPr="00233C8D">
              <w:rPr>
                <w:rFonts w:ascii="Times New Roman" w:hAnsi="Times New Roman"/>
                <w:sz w:val="18"/>
                <w:lang w:val="fr-FR"/>
              </w:rPr>
              <w:t>1</w:t>
            </w:r>
          </w:p>
        </w:tc>
      </w:tr>
      <w:tr w:rsidR="000B562B" w:rsidRPr="00233C8D">
        <w:tblPrEx>
          <w:tblCellMar>
            <w:top w:w="0" w:type="dxa"/>
            <w:bottom w:w="0" w:type="dxa"/>
          </w:tblCellMar>
        </w:tblPrEx>
        <w:trPr>
          <w:cantSplit/>
          <w:trHeight w:val="240"/>
        </w:trPr>
        <w:tc>
          <w:tcPr>
            <w:tcW w:w="1769" w:type="dxa"/>
            <w:shd w:val="clear" w:color="auto" w:fill="auto"/>
          </w:tcPr>
          <w:p w:rsidR="000B562B" w:rsidRPr="00233C8D" w:rsidRDefault="000B562B" w:rsidP="007977DD">
            <w:pPr>
              <w:pStyle w:val="Text"/>
              <w:spacing w:before="40" w:after="40" w:line="220" w:lineRule="exact"/>
              <w:rPr>
                <w:rFonts w:ascii="Times New Roman" w:hAnsi="Times New Roman"/>
                <w:sz w:val="18"/>
                <w:lang w:val="fr-FR"/>
              </w:rPr>
            </w:pPr>
            <w:r w:rsidRPr="00233C8D">
              <w:rPr>
                <w:rFonts w:ascii="Times New Roman" w:hAnsi="Times New Roman"/>
                <w:sz w:val="18"/>
                <w:lang w:val="fr-FR"/>
              </w:rPr>
              <w:t>2006</w:t>
            </w:r>
            <w:r w:rsidR="0095235A">
              <w:rPr>
                <w:rFonts w:ascii="Times New Roman" w:hAnsi="Times New Roman"/>
                <w:sz w:val="18"/>
                <w:lang w:val="fr-FR"/>
              </w:rPr>
              <w:t>-</w:t>
            </w:r>
            <w:r w:rsidRPr="00233C8D">
              <w:rPr>
                <w:rFonts w:ascii="Times New Roman" w:hAnsi="Times New Roman"/>
                <w:sz w:val="18"/>
                <w:lang w:val="fr-FR"/>
              </w:rPr>
              <w:t>2007</w:t>
            </w:r>
          </w:p>
        </w:tc>
        <w:tc>
          <w:tcPr>
            <w:tcW w:w="2767" w:type="dxa"/>
            <w:shd w:val="clear" w:color="auto" w:fill="auto"/>
            <w:vAlign w:val="bottom"/>
          </w:tcPr>
          <w:p w:rsidR="000B562B" w:rsidRPr="00233C8D" w:rsidRDefault="000B562B" w:rsidP="00B45A95">
            <w:pPr>
              <w:pStyle w:val="Text"/>
              <w:spacing w:before="40" w:after="40" w:line="220" w:lineRule="exact"/>
              <w:ind w:left="113" w:right="57"/>
              <w:jc w:val="right"/>
              <w:rPr>
                <w:rFonts w:ascii="Times New Roman" w:hAnsi="Times New Roman"/>
                <w:sz w:val="18"/>
                <w:lang w:val="fr-FR"/>
              </w:rPr>
            </w:pPr>
            <w:r w:rsidRPr="00233C8D">
              <w:rPr>
                <w:rFonts w:ascii="Times New Roman" w:hAnsi="Times New Roman"/>
                <w:sz w:val="18"/>
                <w:lang w:val="fr-FR"/>
              </w:rPr>
              <w:t>0</w:t>
            </w:r>
          </w:p>
        </w:tc>
        <w:tc>
          <w:tcPr>
            <w:tcW w:w="2410" w:type="dxa"/>
            <w:shd w:val="clear" w:color="auto" w:fill="auto"/>
            <w:vAlign w:val="bottom"/>
          </w:tcPr>
          <w:p w:rsidR="000B562B" w:rsidRPr="00233C8D" w:rsidRDefault="000B562B" w:rsidP="00B45A95">
            <w:pPr>
              <w:pStyle w:val="Text"/>
              <w:spacing w:before="40" w:after="40" w:line="220" w:lineRule="exact"/>
              <w:ind w:left="113" w:right="57"/>
              <w:jc w:val="right"/>
              <w:rPr>
                <w:rFonts w:ascii="Times New Roman" w:hAnsi="Times New Roman"/>
                <w:sz w:val="18"/>
                <w:lang w:val="fr-FR"/>
              </w:rPr>
            </w:pPr>
            <w:r w:rsidRPr="00233C8D">
              <w:rPr>
                <w:rFonts w:ascii="Times New Roman" w:hAnsi="Times New Roman"/>
                <w:sz w:val="18"/>
                <w:lang w:val="fr-FR"/>
              </w:rPr>
              <w:t>0</w:t>
            </w:r>
          </w:p>
        </w:tc>
      </w:tr>
      <w:tr w:rsidR="000B562B" w:rsidRPr="00233C8D">
        <w:tblPrEx>
          <w:tblCellMar>
            <w:top w:w="0" w:type="dxa"/>
            <w:bottom w:w="0" w:type="dxa"/>
          </w:tblCellMar>
        </w:tblPrEx>
        <w:trPr>
          <w:cantSplit/>
          <w:trHeight w:val="240"/>
        </w:trPr>
        <w:tc>
          <w:tcPr>
            <w:tcW w:w="1769" w:type="dxa"/>
            <w:shd w:val="clear" w:color="auto" w:fill="auto"/>
          </w:tcPr>
          <w:p w:rsidR="000B562B" w:rsidRPr="00233C8D" w:rsidRDefault="000B562B" w:rsidP="007977DD">
            <w:pPr>
              <w:pStyle w:val="Text"/>
              <w:spacing w:before="40" w:after="40" w:line="220" w:lineRule="exact"/>
              <w:rPr>
                <w:rFonts w:ascii="Times New Roman" w:hAnsi="Times New Roman"/>
                <w:sz w:val="18"/>
                <w:lang w:val="fr-FR"/>
              </w:rPr>
            </w:pPr>
            <w:r w:rsidRPr="00233C8D">
              <w:rPr>
                <w:rFonts w:ascii="Times New Roman" w:hAnsi="Times New Roman"/>
                <w:sz w:val="18"/>
                <w:lang w:val="fr-FR"/>
              </w:rPr>
              <w:t>2007</w:t>
            </w:r>
            <w:r w:rsidR="0095235A">
              <w:rPr>
                <w:rFonts w:ascii="Times New Roman" w:hAnsi="Times New Roman"/>
                <w:sz w:val="18"/>
                <w:lang w:val="fr-FR"/>
              </w:rPr>
              <w:t>-</w:t>
            </w:r>
            <w:r w:rsidRPr="00233C8D">
              <w:rPr>
                <w:rFonts w:ascii="Times New Roman" w:hAnsi="Times New Roman"/>
                <w:sz w:val="18"/>
                <w:lang w:val="fr-FR"/>
              </w:rPr>
              <w:t>2008</w:t>
            </w:r>
          </w:p>
        </w:tc>
        <w:tc>
          <w:tcPr>
            <w:tcW w:w="2767" w:type="dxa"/>
            <w:shd w:val="clear" w:color="auto" w:fill="auto"/>
            <w:vAlign w:val="bottom"/>
          </w:tcPr>
          <w:p w:rsidR="000B562B" w:rsidRPr="00233C8D" w:rsidRDefault="000B562B" w:rsidP="00B45A95">
            <w:pPr>
              <w:pStyle w:val="Text"/>
              <w:spacing w:before="40" w:after="40" w:line="220" w:lineRule="exact"/>
              <w:ind w:left="113" w:right="57"/>
              <w:jc w:val="right"/>
              <w:rPr>
                <w:rFonts w:ascii="Times New Roman" w:hAnsi="Times New Roman"/>
                <w:sz w:val="18"/>
                <w:lang w:val="fr-FR"/>
              </w:rPr>
            </w:pPr>
            <w:r w:rsidRPr="00233C8D">
              <w:rPr>
                <w:rFonts w:ascii="Times New Roman" w:hAnsi="Times New Roman"/>
                <w:sz w:val="18"/>
                <w:lang w:val="fr-FR"/>
              </w:rPr>
              <w:t>0</w:t>
            </w:r>
          </w:p>
        </w:tc>
        <w:tc>
          <w:tcPr>
            <w:tcW w:w="2410" w:type="dxa"/>
            <w:shd w:val="clear" w:color="auto" w:fill="auto"/>
            <w:vAlign w:val="bottom"/>
          </w:tcPr>
          <w:p w:rsidR="000B562B" w:rsidRPr="00233C8D" w:rsidRDefault="000B562B" w:rsidP="00B45A95">
            <w:pPr>
              <w:pStyle w:val="Text"/>
              <w:spacing w:before="40" w:after="40" w:line="220" w:lineRule="exact"/>
              <w:ind w:left="113" w:right="57"/>
              <w:jc w:val="right"/>
              <w:rPr>
                <w:rFonts w:ascii="Times New Roman" w:hAnsi="Times New Roman"/>
                <w:sz w:val="18"/>
                <w:lang w:val="fr-FR"/>
              </w:rPr>
            </w:pPr>
            <w:r w:rsidRPr="00233C8D">
              <w:rPr>
                <w:rFonts w:ascii="Times New Roman" w:hAnsi="Times New Roman"/>
                <w:sz w:val="18"/>
                <w:lang w:val="fr-FR"/>
              </w:rPr>
              <w:t>0</w:t>
            </w:r>
          </w:p>
        </w:tc>
      </w:tr>
      <w:tr w:rsidR="000B562B" w:rsidRPr="00233C8D">
        <w:tblPrEx>
          <w:tblCellMar>
            <w:top w:w="0" w:type="dxa"/>
            <w:bottom w:w="0" w:type="dxa"/>
          </w:tblCellMar>
        </w:tblPrEx>
        <w:trPr>
          <w:cantSplit/>
          <w:trHeight w:val="240"/>
        </w:trPr>
        <w:tc>
          <w:tcPr>
            <w:tcW w:w="1769" w:type="dxa"/>
            <w:shd w:val="clear" w:color="auto" w:fill="auto"/>
          </w:tcPr>
          <w:p w:rsidR="000B562B" w:rsidRPr="00233C8D" w:rsidDel="005E409C" w:rsidRDefault="000B562B" w:rsidP="007977DD">
            <w:pPr>
              <w:pStyle w:val="Text"/>
              <w:spacing w:before="40" w:after="40" w:line="220" w:lineRule="exact"/>
              <w:rPr>
                <w:rFonts w:ascii="Times New Roman" w:hAnsi="Times New Roman"/>
                <w:sz w:val="18"/>
                <w:lang w:val="fr-FR"/>
              </w:rPr>
            </w:pPr>
            <w:r w:rsidRPr="00233C8D">
              <w:rPr>
                <w:rFonts w:ascii="Times New Roman" w:hAnsi="Times New Roman"/>
                <w:sz w:val="18"/>
                <w:lang w:val="fr-FR"/>
              </w:rPr>
              <w:t>2008</w:t>
            </w:r>
            <w:r w:rsidR="0095235A">
              <w:rPr>
                <w:rFonts w:ascii="Times New Roman" w:hAnsi="Times New Roman"/>
                <w:sz w:val="18"/>
                <w:lang w:val="fr-FR"/>
              </w:rPr>
              <w:t>-</w:t>
            </w:r>
            <w:r w:rsidRPr="00233C8D">
              <w:rPr>
                <w:rFonts w:ascii="Times New Roman" w:hAnsi="Times New Roman"/>
                <w:sz w:val="18"/>
                <w:lang w:val="fr-FR"/>
              </w:rPr>
              <w:t>2009</w:t>
            </w:r>
          </w:p>
        </w:tc>
        <w:tc>
          <w:tcPr>
            <w:tcW w:w="2767" w:type="dxa"/>
            <w:shd w:val="clear" w:color="auto" w:fill="auto"/>
            <w:vAlign w:val="bottom"/>
          </w:tcPr>
          <w:p w:rsidR="000B562B" w:rsidRPr="00233C8D" w:rsidDel="005E409C" w:rsidRDefault="000B562B" w:rsidP="00B45A95">
            <w:pPr>
              <w:pStyle w:val="Text"/>
              <w:spacing w:before="40" w:after="40" w:line="220" w:lineRule="exact"/>
              <w:ind w:left="113" w:right="57"/>
              <w:jc w:val="right"/>
              <w:rPr>
                <w:rFonts w:ascii="Times New Roman" w:hAnsi="Times New Roman"/>
                <w:sz w:val="18"/>
                <w:lang w:val="fr-FR"/>
              </w:rPr>
            </w:pPr>
            <w:r w:rsidRPr="00233C8D">
              <w:rPr>
                <w:rFonts w:ascii="Times New Roman" w:hAnsi="Times New Roman"/>
                <w:sz w:val="18"/>
                <w:lang w:val="fr-FR"/>
              </w:rPr>
              <w:t>1</w:t>
            </w:r>
          </w:p>
        </w:tc>
        <w:tc>
          <w:tcPr>
            <w:tcW w:w="2410" w:type="dxa"/>
            <w:shd w:val="clear" w:color="auto" w:fill="auto"/>
            <w:vAlign w:val="bottom"/>
          </w:tcPr>
          <w:p w:rsidR="000B562B" w:rsidRPr="00233C8D" w:rsidDel="005E409C" w:rsidRDefault="000B562B" w:rsidP="00B45A95">
            <w:pPr>
              <w:pStyle w:val="Text"/>
              <w:spacing w:before="40" w:after="40" w:line="220" w:lineRule="exact"/>
              <w:ind w:left="113" w:right="57"/>
              <w:jc w:val="right"/>
              <w:rPr>
                <w:rFonts w:ascii="Times New Roman" w:hAnsi="Times New Roman"/>
                <w:sz w:val="18"/>
                <w:lang w:val="fr-FR"/>
              </w:rPr>
            </w:pPr>
            <w:r w:rsidRPr="00233C8D">
              <w:rPr>
                <w:rFonts w:ascii="Times New Roman" w:hAnsi="Times New Roman"/>
                <w:sz w:val="18"/>
                <w:lang w:val="fr-FR"/>
              </w:rPr>
              <w:t>0</w:t>
            </w:r>
          </w:p>
        </w:tc>
      </w:tr>
      <w:tr w:rsidR="000B562B" w:rsidRPr="00233C8D">
        <w:tblPrEx>
          <w:tblCellMar>
            <w:top w:w="0" w:type="dxa"/>
            <w:bottom w:w="0" w:type="dxa"/>
          </w:tblCellMar>
        </w:tblPrEx>
        <w:trPr>
          <w:cantSplit/>
          <w:trHeight w:val="240"/>
        </w:trPr>
        <w:tc>
          <w:tcPr>
            <w:tcW w:w="1769" w:type="dxa"/>
            <w:tcBorders>
              <w:bottom w:val="single" w:sz="12" w:space="0" w:color="auto"/>
            </w:tcBorders>
            <w:shd w:val="clear" w:color="auto" w:fill="auto"/>
          </w:tcPr>
          <w:p w:rsidR="000B562B" w:rsidRPr="00233C8D" w:rsidRDefault="000B562B" w:rsidP="007977DD">
            <w:pPr>
              <w:pStyle w:val="Text"/>
              <w:spacing w:before="40" w:after="40" w:line="220" w:lineRule="exact"/>
              <w:rPr>
                <w:rFonts w:ascii="Times New Roman" w:hAnsi="Times New Roman"/>
                <w:sz w:val="18"/>
                <w:lang w:val="fr-FR"/>
              </w:rPr>
            </w:pPr>
            <w:r w:rsidRPr="00233C8D">
              <w:rPr>
                <w:rFonts w:ascii="Times New Roman" w:hAnsi="Times New Roman"/>
                <w:sz w:val="18"/>
                <w:lang w:val="fr-FR"/>
              </w:rPr>
              <w:t>2009</w:t>
            </w:r>
            <w:r w:rsidR="0095235A">
              <w:rPr>
                <w:rFonts w:ascii="Times New Roman" w:hAnsi="Times New Roman"/>
                <w:sz w:val="18"/>
                <w:lang w:val="fr-FR"/>
              </w:rPr>
              <w:t>-</w:t>
            </w:r>
            <w:r w:rsidRPr="00233C8D">
              <w:rPr>
                <w:rFonts w:ascii="Times New Roman" w:hAnsi="Times New Roman"/>
                <w:sz w:val="18"/>
                <w:lang w:val="fr-FR"/>
              </w:rPr>
              <w:t>2010</w:t>
            </w:r>
          </w:p>
        </w:tc>
        <w:tc>
          <w:tcPr>
            <w:tcW w:w="2767" w:type="dxa"/>
            <w:tcBorders>
              <w:bottom w:val="single" w:sz="12" w:space="0" w:color="auto"/>
            </w:tcBorders>
            <w:shd w:val="clear" w:color="auto" w:fill="auto"/>
            <w:vAlign w:val="bottom"/>
          </w:tcPr>
          <w:p w:rsidR="000B562B" w:rsidRPr="00233C8D" w:rsidRDefault="000B562B" w:rsidP="00B45A95">
            <w:pPr>
              <w:pStyle w:val="Text"/>
              <w:spacing w:before="40" w:after="40" w:line="220" w:lineRule="exact"/>
              <w:ind w:left="113" w:right="57"/>
              <w:jc w:val="right"/>
              <w:rPr>
                <w:rFonts w:ascii="Times New Roman" w:hAnsi="Times New Roman"/>
                <w:sz w:val="18"/>
                <w:lang w:val="fr-FR"/>
              </w:rPr>
            </w:pPr>
            <w:r w:rsidRPr="00233C8D">
              <w:rPr>
                <w:rFonts w:ascii="Times New Roman" w:hAnsi="Times New Roman"/>
                <w:sz w:val="18"/>
                <w:lang w:val="fr-FR"/>
              </w:rPr>
              <w:t>1</w:t>
            </w:r>
          </w:p>
        </w:tc>
        <w:tc>
          <w:tcPr>
            <w:tcW w:w="2410" w:type="dxa"/>
            <w:tcBorders>
              <w:bottom w:val="single" w:sz="12" w:space="0" w:color="auto"/>
            </w:tcBorders>
            <w:shd w:val="clear" w:color="auto" w:fill="auto"/>
            <w:vAlign w:val="bottom"/>
          </w:tcPr>
          <w:p w:rsidR="000B562B" w:rsidRPr="00233C8D" w:rsidRDefault="000B562B" w:rsidP="00B45A95">
            <w:pPr>
              <w:pStyle w:val="Text"/>
              <w:spacing w:before="40" w:after="40" w:line="220" w:lineRule="exact"/>
              <w:ind w:left="113" w:right="57"/>
              <w:jc w:val="right"/>
              <w:rPr>
                <w:rFonts w:ascii="Times New Roman" w:hAnsi="Times New Roman"/>
                <w:sz w:val="18"/>
                <w:lang w:val="fr-FR"/>
              </w:rPr>
            </w:pPr>
            <w:r w:rsidRPr="00233C8D">
              <w:rPr>
                <w:rFonts w:ascii="Times New Roman" w:hAnsi="Times New Roman"/>
                <w:sz w:val="18"/>
                <w:lang w:val="fr-FR"/>
              </w:rPr>
              <w:t>1</w:t>
            </w:r>
          </w:p>
        </w:tc>
      </w:tr>
    </w:tbl>
    <w:p w:rsidR="000B562B" w:rsidRPr="00A176EA" w:rsidRDefault="00D2675F" w:rsidP="00233C8D">
      <w:pPr>
        <w:pStyle w:val="H23G"/>
        <w:tabs>
          <w:tab w:val="right" w:pos="8505"/>
        </w:tabs>
        <w:rPr>
          <w:lang w:val="fr-FR"/>
        </w:rPr>
      </w:pPr>
      <w:r w:rsidRPr="00233C8D">
        <w:rPr>
          <w:lang w:val="fr-FR"/>
        </w:rPr>
        <w:t>Décès par origine ethnique</w:t>
      </w:r>
      <w:r w:rsidR="00233C8D">
        <w:rPr>
          <w:lang w:val="fr-FR"/>
        </w:rPr>
        <w:tab/>
      </w:r>
    </w:p>
    <w:p w:rsidR="000B562B" w:rsidRPr="00233C8D" w:rsidRDefault="002549A9" w:rsidP="00233C8D">
      <w:pPr>
        <w:pStyle w:val="SingleTxtG"/>
        <w:rPr>
          <w:lang w:val="fr-FR"/>
        </w:rPr>
      </w:pPr>
      <w:r w:rsidRPr="00A176EA">
        <w:rPr>
          <w:lang w:val="fr-FR"/>
        </w:rPr>
        <w:t>310.</w:t>
      </w:r>
      <w:r w:rsidRPr="00A176EA">
        <w:rPr>
          <w:lang w:val="fr-FR"/>
        </w:rPr>
        <w:tab/>
      </w:r>
      <w:r w:rsidR="00233C8D">
        <w:rPr>
          <w:lang w:val="fr-FR"/>
        </w:rPr>
        <w:t>Depuis le 1</w:t>
      </w:r>
      <w:r w:rsidR="00233C8D" w:rsidRPr="00233C8D">
        <w:rPr>
          <w:vertAlign w:val="superscript"/>
          <w:lang w:val="fr-FR"/>
        </w:rPr>
        <w:t>er</w:t>
      </w:r>
      <w:r w:rsidR="00233C8D">
        <w:rPr>
          <w:lang w:val="fr-FR"/>
        </w:rPr>
        <w:t xml:space="preserve"> avril 1996, </w:t>
      </w:r>
      <w:r w:rsidR="00233C8D" w:rsidRPr="00233C8D">
        <w:rPr>
          <w:lang w:val="fr-FR"/>
        </w:rPr>
        <w:t>la police enregistre l'origine ethnique des personnes déc</w:t>
      </w:r>
      <w:r w:rsidR="00233C8D">
        <w:rPr>
          <w:lang w:val="fr-FR"/>
        </w:rPr>
        <w:t>é</w:t>
      </w:r>
      <w:r w:rsidR="00233C8D" w:rsidRPr="00233C8D">
        <w:rPr>
          <w:lang w:val="fr-FR"/>
        </w:rPr>
        <w:t>d</w:t>
      </w:r>
      <w:r w:rsidR="00233C8D">
        <w:rPr>
          <w:lang w:val="fr-FR"/>
        </w:rPr>
        <w:t>ées</w:t>
      </w:r>
      <w:r w:rsidR="00233C8D" w:rsidRPr="00233C8D">
        <w:rPr>
          <w:lang w:val="fr-FR"/>
        </w:rPr>
        <w:t xml:space="preserve"> pendant leur garde à vue. Les statistiques établies à l'aide des renseignements recueillis auprès de chaque service, c'est-à-dire les conditions entourant le décès, la cause du décès, l'origine ethnique de la personne décédée et les résultats de l'information judiciaire ouverte sur les causes de la mort, sont publiées tous les ans</w:t>
      </w:r>
      <w:r w:rsidR="00233C8D">
        <w:rPr>
          <w:lang w:val="fr-FR"/>
        </w:rPr>
        <w:t xml:space="preserve">. On trouvera dans le tableau ci-après les chiffres </w:t>
      </w:r>
      <w:r w:rsidR="00233C8D" w:rsidRPr="00233C8D">
        <w:rPr>
          <w:lang w:val="fr-FR"/>
        </w:rPr>
        <w:t xml:space="preserve">pour </w:t>
      </w:r>
      <w:r w:rsidR="003A55FF" w:rsidRPr="00233C8D">
        <w:rPr>
          <w:lang w:val="fr-FR"/>
        </w:rPr>
        <w:t xml:space="preserve">l’Angleterre et le </w:t>
      </w:r>
      <w:r w:rsidR="00186A02">
        <w:rPr>
          <w:lang w:val="fr-FR"/>
        </w:rPr>
        <w:t>p</w:t>
      </w:r>
      <w:r w:rsidR="005601A1">
        <w:rPr>
          <w:lang w:val="fr-FR"/>
        </w:rPr>
        <w:t>ays de Galles</w:t>
      </w:r>
      <w:r w:rsidR="003A55FF" w:rsidRPr="00233C8D">
        <w:rPr>
          <w:lang w:val="fr-FR"/>
        </w:rPr>
        <w:t xml:space="preserve"> </w:t>
      </w:r>
      <w:r w:rsidR="00233C8D" w:rsidRPr="00233C8D">
        <w:rPr>
          <w:lang w:val="fr-FR"/>
        </w:rPr>
        <w:t>à partir de</w:t>
      </w:r>
      <w:r w:rsidR="000B562B" w:rsidRPr="0095235A">
        <w:rPr>
          <w:lang w:val="fr-FR"/>
        </w:rPr>
        <w:t xml:space="preserve"> </w:t>
      </w:r>
      <w:r w:rsidR="003A55FF" w:rsidRPr="0095235A">
        <w:rPr>
          <w:lang w:val="fr-FR"/>
        </w:rPr>
        <w:t>2004</w:t>
      </w:r>
      <w:r w:rsidR="000B562B" w:rsidRPr="00233C8D">
        <w:rPr>
          <w:lang w:val="fr-FR"/>
        </w:rPr>
        <w:t>.</w:t>
      </w:r>
    </w:p>
    <w:tbl>
      <w:tblPr>
        <w:tblW w:w="7370" w:type="dxa"/>
        <w:tblInd w:w="1082" w:type="dxa"/>
        <w:tblBorders>
          <w:top w:val="single" w:sz="4" w:space="0" w:color="auto"/>
        </w:tblBorders>
        <w:tblCellMar>
          <w:left w:w="0" w:type="dxa"/>
          <w:right w:w="0" w:type="dxa"/>
        </w:tblCellMar>
        <w:tblLook w:val="00AF" w:firstRow="1" w:lastRow="0" w:firstColumn="1" w:lastColumn="0" w:noHBand="0" w:noVBand="0"/>
      </w:tblPr>
      <w:tblGrid>
        <w:gridCol w:w="1792"/>
        <w:gridCol w:w="1115"/>
        <w:gridCol w:w="1116"/>
        <w:gridCol w:w="1115"/>
        <w:gridCol w:w="1116"/>
        <w:gridCol w:w="1116"/>
      </w:tblGrid>
      <w:tr w:rsidR="000B562B" w:rsidRPr="00233C8D" w:rsidTr="009F7D93">
        <w:trPr>
          <w:cantSplit/>
          <w:trHeight w:val="240"/>
          <w:tblHeader/>
        </w:trPr>
        <w:tc>
          <w:tcPr>
            <w:tcW w:w="1792" w:type="dxa"/>
            <w:tcBorders>
              <w:top w:val="single" w:sz="4" w:space="0" w:color="auto"/>
              <w:bottom w:val="single" w:sz="12" w:space="0" w:color="auto"/>
            </w:tcBorders>
            <w:shd w:val="clear" w:color="auto" w:fill="auto"/>
            <w:vAlign w:val="bottom"/>
          </w:tcPr>
          <w:p w:rsidR="000B562B" w:rsidRPr="00233C8D" w:rsidRDefault="00D2675F" w:rsidP="007977DD">
            <w:pPr>
              <w:pStyle w:val="Text"/>
              <w:spacing w:before="80" w:after="80" w:line="200" w:lineRule="exact"/>
              <w:rPr>
                <w:rFonts w:ascii="Times New Roman" w:hAnsi="Times New Roman"/>
                <w:i/>
                <w:sz w:val="16"/>
                <w:lang w:val="fr-FR"/>
              </w:rPr>
            </w:pPr>
            <w:r w:rsidRPr="00233C8D">
              <w:rPr>
                <w:rFonts w:ascii="Times New Roman" w:hAnsi="Times New Roman"/>
                <w:i/>
                <w:sz w:val="16"/>
                <w:lang w:val="fr-FR"/>
              </w:rPr>
              <w:t>Année</w:t>
            </w:r>
          </w:p>
        </w:tc>
        <w:tc>
          <w:tcPr>
            <w:tcW w:w="1115" w:type="dxa"/>
            <w:tcBorders>
              <w:top w:val="single" w:sz="4" w:space="0" w:color="auto"/>
              <w:bottom w:val="single" w:sz="12" w:space="0" w:color="auto"/>
            </w:tcBorders>
            <w:shd w:val="clear" w:color="auto" w:fill="auto"/>
            <w:vAlign w:val="bottom"/>
          </w:tcPr>
          <w:p w:rsidR="000B562B" w:rsidRPr="00233C8D" w:rsidRDefault="000B562B" w:rsidP="00DD155D">
            <w:pPr>
              <w:pStyle w:val="Text"/>
              <w:spacing w:before="80" w:after="80" w:line="200" w:lineRule="exact"/>
              <w:ind w:left="113" w:right="57"/>
              <w:jc w:val="right"/>
              <w:rPr>
                <w:rFonts w:ascii="Times New Roman" w:hAnsi="Times New Roman"/>
                <w:i/>
                <w:sz w:val="16"/>
                <w:lang w:val="fr-FR"/>
              </w:rPr>
            </w:pPr>
            <w:r w:rsidRPr="00233C8D">
              <w:rPr>
                <w:rFonts w:ascii="Times New Roman" w:hAnsi="Times New Roman"/>
                <w:i/>
                <w:sz w:val="16"/>
                <w:lang w:val="fr-FR"/>
              </w:rPr>
              <w:t xml:space="preserve">Total </w:t>
            </w:r>
          </w:p>
        </w:tc>
        <w:tc>
          <w:tcPr>
            <w:tcW w:w="1116" w:type="dxa"/>
            <w:tcBorders>
              <w:top w:val="single" w:sz="4" w:space="0" w:color="auto"/>
              <w:bottom w:val="single" w:sz="12" w:space="0" w:color="auto"/>
            </w:tcBorders>
            <w:shd w:val="clear" w:color="auto" w:fill="auto"/>
            <w:vAlign w:val="bottom"/>
          </w:tcPr>
          <w:p w:rsidR="000B562B" w:rsidRPr="00233C8D" w:rsidRDefault="00D2675F" w:rsidP="00DD155D">
            <w:pPr>
              <w:pStyle w:val="Text"/>
              <w:spacing w:before="80" w:after="80" w:line="200" w:lineRule="exact"/>
              <w:ind w:left="113" w:right="57"/>
              <w:jc w:val="right"/>
              <w:rPr>
                <w:rFonts w:ascii="Times New Roman" w:hAnsi="Times New Roman"/>
                <w:i/>
                <w:sz w:val="16"/>
                <w:lang w:val="fr-FR"/>
              </w:rPr>
            </w:pPr>
            <w:r w:rsidRPr="00233C8D">
              <w:rPr>
                <w:rFonts w:ascii="Times New Roman" w:hAnsi="Times New Roman"/>
                <w:i/>
                <w:sz w:val="16"/>
                <w:lang w:val="fr-FR"/>
              </w:rPr>
              <w:t>Blancs</w:t>
            </w:r>
            <w:r w:rsidR="000B562B" w:rsidRPr="00233C8D">
              <w:rPr>
                <w:rFonts w:ascii="Times New Roman" w:hAnsi="Times New Roman"/>
                <w:i/>
                <w:sz w:val="16"/>
                <w:lang w:val="fr-FR"/>
              </w:rPr>
              <w:t xml:space="preserve"> </w:t>
            </w:r>
          </w:p>
        </w:tc>
        <w:tc>
          <w:tcPr>
            <w:tcW w:w="1115" w:type="dxa"/>
            <w:tcBorders>
              <w:top w:val="single" w:sz="4" w:space="0" w:color="auto"/>
              <w:bottom w:val="single" w:sz="12" w:space="0" w:color="auto"/>
            </w:tcBorders>
            <w:shd w:val="clear" w:color="auto" w:fill="auto"/>
            <w:vAlign w:val="bottom"/>
          </w:tcPr>
          <w:p w:rsidR="000B562B" w:rsidRPr="00233C8D" w:rsidRDefault="00D2675F" w:rsidP="00DD155D">
            <w:pPr>
              <w:pStyle w:val="Text"/>
              <w:spacing w:before="80" w:after="80" w:line="200" w:lineRule="exact"/>
              <w:ind w:left="113" w:right="57"/>
              <w:jc w:val="right"/>
              <w:rPr>
                <w:rFonts w:ascii="Times New Roman" w:hAnsi="Times New Roman"/>
                <w:i/>
                <w:sz w:val="16"/>
                <w:lang w:val="fr-FR"/>
              </w:rPr>
            </w:pPr>
            <w:r w:rsidRPr="00233C8D">
              <w:rPr>
                <w:rFonts w:ascii="Times New Roman" w:hAnsi="Times New Roman"/>
                <w:i/>
                <w:sz w:val="16"/>
                <w:lang w:val="fr-FR"/>
              </w:rPr>
              <w:t>Noirs</w:t>
            </w:r>
            <w:r w:rsidR="000B562B" w:rsidRPr="00233C8D">
              <w:rPr>
                <w:rFonts w:ascii="Times New Roman" w:hAnsi="Times New Roman"/>
                <w:i/>
                <w:sz w:val="16"/>
                <w:lang w:val="fr-FR"/>
              </w:rPr>
              <w:t xml:space="preserve"> </w:t>
            </w:r>
          </w:p>
        </w:tc>
        <w:tc>
          <w:tcPr>
            <w:tcW w:w="1116" w:type="dxa"/>
            <w:tcBorders>
              <w:top w:val="single" w:sz="4" w:space="0" w:color="auto"/>
              <w:bottom w:val="single" w:sz="12" w:space="0" w:color="auto"/>
            </w:tcBorders>
            <w:shd w:val="clear" w:color="auto" w:fill="auto"/>
            <w:vAlign w:val="bottom"/>
          </w:tcPr>
          <w:p w:rsidR="000B562B" w:rsidRPr="00233C8D" w:rsidRDefault="00D2675F" w:rsidP="00DD155D">
            <w:pPr>
              <w:pStyle w:val="Text"/>
              <w:spacing w:before="80" w:after="80" w:line="200" w:lineRule="exact"/>
              <w:ind w:left="113" w:right="57"/>
              <w:jc w:val="right"/>
              <w:rPr>
                <w:rFonts w:ascii="Times New Roman" w:hAnsi="Times New Roman"/>
                <w:i/>
                <w:sz w:val="16"/>
                <w:lang w:val="fr-FR"/>
              </w:rPr>
            </w:pPr>
            <w:r w:rsidRPr="00233C8D">
              <w:rPr>
                <w:rFonts w:ascii="Times New Roman" w:hAnsi="Times New Roman"/>
                <w:i/>
                <w:sz w:val="16"/>
                <w:lang w:val="fr-FR"/>
              </w:rPr>
              <w:t>Asiatiques</w:t>
            </w:r>
          </w:p>
        </w:tc>
        <w:tc>
          <w:tcPr>
            <w:tcW w:w="1116" w:type="dxa"/>
            <w:tcBorders>
              <w:top w:val="single" w:sz="4" w:space="0" w:color="auto"/>
              <w:bottom w:val="single" w:sz="12" w:space="0" w:color="auto"/>
            </w:tcBorders>
            <w:shd w:val="clear" w:color="auto" w:fill="auto"/>
            <w:vAlign w:val="bottom"/>
          </w:tcPr>
          <w:p w:rsidR="000B562B" w:rsidRPr="00233C8D" w:rsidRDefault="00D2675F" w:rsidP="00DD155D">
            <w:pPr>
              <w:pStyle w:val="Text"/>
              <w:spacing w:before="80" w:after="80" w:line="200" w:lineRule="exact"/>
              <w:ind w:left="113" w:right="57"/>
              <w:jc w:val="right"/>
              <w:rPr>
                <w:rFonts w:ascii="Times New Roman" w:hAnsi="Times New Roman"/>
                <w:i/>
                <w:sz w:val="16"/>
                <w:lang w:val="fr-FR"/>
              </w:rPr>
            </w:pPr>
            <w:r w:rsidRPr="00233C8D">
              <w:rPr>
                <w:rFonts w:ascii="Times New Roman" w:hAnsi="Times New Roman"/>
                <w:i/>
                <w:sz w:val="16"/>
                <w:lang w:val="fr-FR"/>
              </w:rPr>
              <w:t>Autres</w:t>
            </w:r>
          </w:p>
        </w:tc>
      </w:tr>
      <w:tr w:rsidR="000B562B" w:rsidRPr="00233C8D" w:rsidTr="009F7D93">
        <w:trPr>
          <w:cantSplit/>
          <w:trHeight w:val="240"/>
        </w:trPr>
        <w:tc>
          <w:tcPr>
            <w:tcW w:w="1792" w:type="dxa"/>
            <w:tcBorders>
              <w:top w:val="single" w:sz="12" w:space="0" w:color="auto"/>
            </w:tcBorders>
            <w:shd w:val="clear" w:color="auto" w:fill="auto"/>
          </w:tcPr>
          <w:p w:rsidR="000B562B" w:rsidRPr="00233C8D" w:rsidRDefault="000B562B" w:rsidP="007977DD">
            <w:pPr>
              <w:pStyle w:val="Text"/>
              <w:spacing w:before="40" w:after="40" w:line="220" w:lineRule="exact"/>
              <w:rPr>
                <w:rFonts w:ascii="Times New Roman" w:hAnsi="Times New Roman"/>
                <w:sz w:val="18"/>
                <w:lang w:val="fr-FR"/>
              </w:rPr>
            </w:pPr>
            <w:r w:rsidRPr="00233C8D">
              <w:rPr>
                <w:rFonts w:ascii="Times New Roman" w:hAnsi="Times New Roman"/>
                <w:sz w:val="18"/>
                <w:lang w:val="fr-FR"/>
              </w:rPr>
              <w:t>2004</w:t>
            </w:r>
            <w:r w:rsidR="0095235A">
              <w:rPr>
                <w:rFonts w:ascii="Times New Roman" w:hAnsi="Times New Roman"/>
                <w:sz w:val="18"/>
                <w:lang w:val="fr-FR"/>
              </w:rPr>
              <w:t>-</w:t>
            </w:r>
            <w:r w:rsidRPr="00233C8D">
              <w:rPr>
                <w:rFonts w:ascii="Times New Roman" w:hAnsi="Times New Roman"/>
                <w:sz w:val="18"/>
                <w:lang w:val="fr-FR"/>
              </w:rPr>
              <w:t>2005</w:t>
            </w:r>
          </w:p>
        </w:tc>
        <w:tc>
          <w:tcPr>
            <w:tcW w:w="1115" w:type="dxa"/>
            <w:tcBorders>
              <w:top w:val="single" w:sz="12" w:space="0" w:color="auto"/>
            </w:tcBorders>
            <w:shd w:val="clear" w:color="auto" w:fill="auto"/>
            <w:vAlign w:val="bottom"/>
          </w:tcPr>
          <w:p w:rsidR="000B562B" w:rsidRPr="00233C8D" w:rsidRDefault="000B562B" w:rsidP="00DD155D">
            <w:pPr>
              <w:pStyle w:val="Text"/>
              <w:spacing w:before="40" w:after="40" w:line="220" w:lineRule="exact"/>
              <w:ind w:left="113" w:right="57"/>
              <w:jc w:val="right"/>
              <w:rPr>
                <w:rFonts w:ascii="Times New Roman" w:hAnsi="Times New Roman"/>
                <w:sz w:val="18"/>
                <w:lang w:val="fr-FR"/>
              </w:rPr>
            </w:pPr>
            <w:r w:rsidRPr="00233C8D">
              <w:rPr>
                <w:rFonts w:ascii="Times New Roman" w:hAnsi="Times New Roman"/>
                <w:sz w:val="18"/>
                <w:lang w:val="fr-FR"/>
              </w:rPr>
              <w:t>36</w:t>
            </w:r>
          </w:p>
        </w:tc>
        <w:tc>
          <w:tcPr>
            <w:tcW w:w="1116" w:type="dxa"/>
            <w:tcBorders>
              <w:top w:val="single" w:sz="12" w:space="0" w:color="auto"/>
            </w:tcBorders>
            <w:shd w:val="clear" w:color="auto" w:fill="auto"/>
            <w:vAlign w:val="bottom"/>
          </w:tcPr>
          <w:p w:rsidR="000B562B" w:rsidRPr="00233C8D" w:rsidRDefault="000B562B" w:rsidP="00DD155D">
            <w:pPr>
              <w:pStyle w:val="Text"/>
              <w:spacing w:before="40" w:after="40" w:line="220" w:lineRule="exact"/>
              <w:ind w:left="113" w:right="57"/>
              <w:jc w:val="right"/>
              <w:rPr>
                <w:rFonts w:ascii="Times New Roman" w:hAnsi="Times New Roman"/>
                <w:sz w:val="18"/>
                <w:lang w:val="fr-FR"/>
              </w:rPr>
            </w:pPr>
            <w:r w:rsidRPr="00233C8D">
              <w:rPr>
                <w:rFonts w:ascii="Times New Roman" w:hAnsi="Times New Roman"/>
                <w:sz w:val="18"/>
                <w:lang w:val="fr-FR"/>
              </w:rPr>
              <w:t>34</w:t>
            </w:r>
          </w:p>
        </w:tc>
        <w:tc>
          <w:tcPr>
            <w:tcW w:w="1115" w:type="dxa"/>
            <w:tcBorders>
              <w:top w:val="single" w:sz="12" w:space="0" w:color="auto"/>
            </w:tcBorders>
            <w:shd w:val="clear" w:color="auto" w:fill="auto"/>
            <w:vAlign w:val="bottom"/>
          </w:tcPr>
          <w:p w:rsidR="000B562B" w:rsidRPr="00233C8D" w:rsidRDefault="000B562B" w:rsidP="00DD155D">
            <w:pPr>
              <w:pStyle w:val="Text"/>
              <w:spacing w:before="40" w:after="40" w:line="220" w:lineRule="exact"/>
              <w:ind w:left="113" w:right="57"/>
              <w:jc w:val="right"/>
              <w:rPr>
                <w:rFonts w:ascii="Times New Roman" w:hAnsi="Times New Roman"/>
                <w:sz w:val="18"/>
                <w:lang w:val="fr-FR"/>
              </w:rPr>
            </w:pPr>
            <w:r w:rsidRPr="00233C8D">
              <w:rPr>
                <w:rFonts w:ascii="Times New Roman" w:hAnsi="Times New Roman"/>
                <w:sz w:val="18"/>
                <w:lang w:val="fr-FR"/>
              </w:rPr>
              <w:t>2</w:t>
            </w:r>
          </w:p>
        </w:tc>
        <w:tc>
          <w:tcPr>
            <w:tcW w:w="1116" w:type="dxa"/>
            <w:tcBorders>
              <w:top w:val="single" w:sz="12" w:space="0" w:color="auto"/>
            </w:tcBorders>
            <w:shd w:val="clear" w:color="auto" w:fill="auto"/>
            <w:vAlign w:val="bottom"/>
          </w:tcPr>
          <w:p w:rsidR="000B562B" w:rsidRPr="00233C8D" w:rsidRDefault="000B562B" w:rsidP="00DD155D">
            <w:pPr>
              <w:pStyle w:val="Text"/>
              <w:spacing w:before="40" w:after="40" w:line="220" w:lineRule="exact"/>
              <w:ind w:left="113" w:right="57"/>
              <w:jc w:val="right"/>
              <w:rPr>
                <w:rFonts w:ascii="Times New Roman" w:hAnsi="Times New Roman"/>
                <w:sz w:val="18"/>
                <w:lang w:val="fr-FR"/>
              </w:rPr>
            </w:pPr>
            <w:r w:rsidRPr="00233C8D">
              <w:rPr>
                <w:rFonts w:ascii="Times New Roman" w:hAnsi="Times New Roman"/>
                <w:sz w:val="18"/>
                <w:lang w:val="fr-FR"/>
              </w:rPr>
              <w:t>0</w:t>
            </w:r>
          </w:p>
        </w:tc>
        <w:tc>
          <w:tcPr>
            <w:tcW w:w="1116" w:type="dxa"/>
            <w:tcBorders>
              <w:top w:val="single" w:sz="12" w:space="0" w:color="auto"/>
            </w:tcBorders>
            <w:shd w:val="clear" w:color="auto" w:fill="auto"/>
            <w:vAlign w:val="bottom"/>
          </w:tcPr>
          <w:p w:rsidR="000B562B" w:rsidRPr="00233C8D" w:rsidRDefault="000B562B" w:rsidP="00DD155D">
            <w:pPr>
              <w:pStyle w:val="Text"/>
              <w:spacing w:before="40" w:after="40" w:line="220" w:lineRule="exact"/>
              <w:ind w:left="113" w:right="57"/>
              <w:jc w:val="right"/>
              <w:rPr>
                <w:rFonts w:ascii="Times New Roman" w:hAnsi="Times New Roman"/>
                <w:sz w:val="18"/>
                <w:lang w:val="fr-FR"/>
              </w:rPr>
            </w:pPr>
            <w:r w:rsidRPr="00233C8D">
              <w:rPr>
                <w:rFonts w:ascii="Times New Roman" w:hAnsi="Times New Roman"/>
                <w:sz w:val="18"/>
                <w:lang w:val="fr-FR"/>
              </w:rPr>
              <w:t>0</w:t>
            </w:r>
          </w:p>
        </w:tc>
      </w:tr>
      <w:tr w:rsidR="000B562B" w:rsidRPr="00233C8D" w:rsidTr="009F7D93">
        <w:trPr>
          <w:cantSplit/>
          <w:trHeight w:val="240"/>
        </w:trPr>
        <w:tc>
          <w:tcPr>
            <w:tcW w:w="1792" w:type="dxa"/>
            <w:shd w:val="clear" w:color="auto" w:fill="auto"/>
          </w:tcPr>
          <w:p w:rsidR="000B562B" w:rsidRPr="00233C8D" w:rsidRDefault="000B562B" w:rsidP="007977DD">
            <w:pPr>
              <w:pStyle w:val="Text"/>
              <w:spacing w:before="40" w:after="40" w:line="220" w:lineRule="exact"/>
              <w:rPr>
                <w:rFonts w:ascii="Times New Roman" w:hAnsi="Times New Roman"/>
                <w:sz w:val="18"/>
                <w:lang w:val="fr-FR"/>
              </w:rPr>
            </w:pPr>
            <w:r w:rsidRPr="00233C8D">
              <w:rPr>
                <w:rFonts w:ascii="Times New Roman" w:hAnsi="Times New Roman"/>
                <w:sz w:val="18"/>
                <w:lang w:val="fr-FR"/>
              </w:rPr>
              <w:t>2005</w:t>
            </w:r>
            <w:r w:rsidR="0095235A">
              <w:rPr>
                <w:rFonts w:ascii="Times New Roman" w:hAnsi="Times New Roman"/>
                <w:sz w:val="18"/>
                <w:lang w:val="fr-FR"/>
              </w:rPr>
              <w:t>-</w:t>
            </w:r>
            <w:r w:rsidRPr="00233C8D">
              <w:rPr>
                <w:rFonts w:ascii="Times New Roman" w:hAnsi="Times New Roman"/>
                <w:sz w:val="18"/>
                <w:lang w:val="fr-FR"/>
              </w:rPr>
              <w:t>2006</w:t>
            </w:r>
          </w:p>
        </w:tc>
        <w:tc>
          <w:tcPr>
            <w:tcW w:w="1115" w:type="dxa"/>
            <w:shd w:val="clear" w:color="auto" w:fill="auto"/>
            <w:vAlign w:val="bottom"/>
          </w:tcPr>
          <w:p w:rsidR="000B562B" w:rsidRPr="00233C8D" w:rsidRDefault="000B562B" w:rsidP="00DD155D">
            <w:pPr>
              <w:pStyle w:val="Text"/>
              <w:spacing w:before="40" w:after="40" w:line="220" w:lineRule="exact"/>
              <w:ind w:left="113" w:right="57"/>
              <w:jc w:val="right"/>
              <w:rPr>
                <w:rFonts w:ascii="Times New Roman" w:hAnsi="Times New Roman"/>
                <w:sz w:val="18"/>
                <w:lang w:val="fr-FR"/>
              </w:rPr>
            </w:pPr>
            <w:r w:rsidRPr="00233C8D">
              <w:rPr>
                <w:rFonts w:ascii="Times New Roman" w:hAnsi="Times New Roman"/>
                <w:sz w:val="18"/>
                <w:lang w:val="fr-FR"/>
              </w:rPr>
              <w:t>28</w:t>
            </w:r>
          </w:p>
        </w:tc>
        <w:tc>
          <w:tcPr>
            <w:tcW w:w="1116" w:type="dxa"/>
            <w:shd w:val="clear" w:color="auto" w:fill="auto"/>
            <w:vAlign w:val="bottom"/>
          </w:tcPr>
          <w:p w:rsidR="000B562B" w:rsidRPr="00233C8D" w:rsidRDefault="000B562B" w:rsidP="00DD155D">
            <w:pPr>
              <w:pStyle w:val="Text"/>
              <w:spacing w:before="40" w:after="40" w:line="220" w:lineRule="exact"/>
              <w:ind w:left="113" w:right="57"/>
              <w:jc w:val="right"/>
              <w:rPr>
                <w:rFonts w:ascii="Times New Roman" w:hAnsi="Times New Roman"/>
                <w:sz w:val="18"/>
                <w:lang w:val="fr-FR"/>
              </w:rPr>
            </w:pPr>
            <w:r w:rsidRPr="00233C8D">
              <w:rPr>
                <w:rFonts w:ascii="Times New Roman" w:hAnsi="Times New Roman"/>
                <w:sz w:val="18"/>
                <w:lang w:val="fr-FR"/>
              </w:rPr>
              <w:t>23</w:t>
            </w:r>
          </w:p>
        </w:tc>
        <w:tc>
          <w:tcPr>
            <w:tcW w:w="1115" w:type="dxa"/>
            <w:shd w:val="clear" w:color="auto" w:fill="auto"/>
            <w:vAlign w:val="bottom"/>
          </w:tcPr>
          <w:p w:rsidR="000B562B" w:rsidRPr="00233C8D" w:rsidRDefault="000B562B" w:rsidP="00DD155D">
            <w:pPr>
              <w:pStyle w:val="Text"/>
              <w:spacing w:before="40" w:after="40" w:line="220" w:lineRule="exact"/>
              <w:ind w:left="113" w:right="57"/>
              <w:jc w:val="right"/>
              <w:rPr>
                <w:rFonts w:ascii="Times New Roman" w:hAnsi="Times New Roman"/>
                <w:sz w:val="18"/>
                <w:lang w:val="fr-FR"/>
              </w:rPr>
            </w:pPr>
            <w:r w:rsidRPr="00233C8D">
              <w:rPr>
                <w:rFonts w:ascii="Times New Roman" w:hAnsi="Times New Roman"/>
                <w:sz w:val="18"/>
                <w:lang w:val="fr-FR"/>
              </w:rPr>
              <w:t>1</w:t>
            </w:r>
          </w:p>
        </w:tc>
        <w:tc>
          <w:tcPr>
            <w:tcW w:w="1116" w:type="dxa"/>
            <w:shd w:val="clear" w:color="auto" w:fill="auto"/>
            <w:vAlign w:val="bottom"/>
          </w:tcPr>
          <w:p w:rsidR="000B562B" w:rsidRPr="00233C8D" w:rsidRDefault="000B562B" w:rsidP="00DD155D">
            <w:pPr>
              <w:pStyle w:val="Text"/>
              <w:spacing w:before="40" w:after="40" w:line="220" w:lineRule="exact"/>
              <w:ind w:left="113" w:right="57"/>
              <w:jc w:val="right"/>
              <w:rPr>
                <w:rFonts w:ascii="Times New Roman" w:hAnsi="Times New Roman"/>
                <w:sz w:val="18"/>
                <w:lang w:val="fr-FR"/>
              </w:rPr>
            </w:pPr>
            <w:r w:rsidRPr="00233C8D">
              <w:rPr>
                <w:rFonts w:ascii="Times New Roman" w:hAnsi="Times New Roman"/>
                <w:sz w:val="18"/>
                <w:lang w:val="fr-FR"/>
              </w:rPr>
              <w:t>2</w:t>
            </w:r>
          </w:p>
        </w:tc>
        <w:tc>
          <w:tcPr>
            <w:tcW w:w="1116" w:type="dxa"/>
            <w:shd w:val="clear" w:color="auto" w:fill="auto"/>
            <w:vAlign w:val="bottom"/>
          </w:tcPr>
          <w:p w:rsidR="000B562B" w:rsidRPr="00233C8D" w:rsidRDefault="000B562B" w:rsidP="00DD155D">
            <w:pPr>
              <w:pStyle w:val="Text"/>
              <w:spacing w:before="40" w:after="40" w:line="220" w:lineRule="exact"/>
              <w:ind w:left="113" w:right="57"/>
              <w:jc w:val="right"/>
              <w:rPr>
                <w:rFonts w:ascii="Times New Roman" w:hAnsi="Times New Roman"/>
                <w:sz w:val="18"/>
                <w:lang w:val="fr-FR"/>
              </w:rPr>
            </w:pPr>
            <w:r w:rsidRPr="00233C8D">
              <w:rPr>
                <w:rFonts w:ascii="Times New Roman" w:hAnsi="Times New Roman"/>
                <w:sz w:val="18"/>
                <w:lang w:val="fr-FR"/>
              </w:rPr>
              <w:t>2</w:t>
            </w:r>
          </w:p>
        </w:tc>
      </w:tr>
      <w:tr w:rsidR="000B562B" w:rsidRPr="00233C8D" w:rsidTr="009F7D93">
        <w:trPr>
          <w:cantSplit/>
          <w:trHeight w:val="240"/>
        </w:trPr>
        <w:tc>
          <w:tcPr>
            <w:tcW w:w="1792" w:type="dxa"/>
            <w:shd w:val="clear" w:color="auto" w:fill="auto"/>
          </w:tcPr>
          <w:p w:rsidR="000B562B" w:rsidRPr="00233C8D" w:rsidRDefault="000B562B" w:rsidP="007977DD">
            <w:pPr>
              <w:pStyle w:val="Text"/>
              <w:spacing w:before="40" w:after="40" w:line="220" w:lineRule="exact"/>
              <w:rPr>
                <w:rFonts w:ascii="Times New Roman" w:hAnsi="Times New Roman"/>
                <w:sz w:val="18"/>
                <w:lang w:val="fr-FR"/>
              </w:rPr>
            </w:pPr>
            <w:r w:rsidRPr="00233C8D">
              <w:rPr>
                <w:rFonts w:ascii="Times New Roman" w:hAnsi="Times New Roman"/>
                <w:sz w:val="18"/>
                <w:lang w:val="fr-FR"/>
              </w:rPr>
              <w:t>2006</w:t>
            </w:r>
            <w:r w:rsidR="0095235A">
              <w:rPr>
                <w:rFonts w:ascii="Times New Roman" w:hAnsi="Times New Roman"/>
                <w:sz w:val="18"/>
                <w:lang w:val="fr-FR"/>
              </w:rPr>
              <w:t>-</w:t>
            </w:r>
            <w:r w:rsidRPr="00233C8D">
              <w:rPr>
                <w:rFonts w:ascii="Times New Roman" w:hAnsi="Times New Roman"/>
                <w:sz w:val="18"/>
                <w:lang w:val="fr-FR"/>
              </w:rPr>
              <w:t>2007</w:t>
            </w:r>
          </w:p>
        </w:tc>
        <w:tc>
          <w:tcPr>
            <w:tcW w:w="1115" w:type="dxa"/>
            <w:shd w:val="clear" w:color="auto" w:fill="auto"/>
            <w:vAlign w:val="bottom"/>
          </w:tcPr>
          <w:p w:rsidR="000B562B" w:rsidRPr="00233C8D" w:rsidRDefault="000B562B" w:rsidP="00DD155D">
            <w:pPr>
              <w:pStyle w:val="Text"/>
              <w:spacing w:before="40" w:after="40" w:line="220" w:lineRule="exact"/>
              <w:ind w:left="113" w:right="57"/>
              <w:jc w:val="right"/>
              <w:rPr>
                <w:rFonts w:ascii="Times New Roman" w:hAnsi="Times New Roman"/>
                <w:sz w:val="18"/>
                <w:lang w:val="fr-FR"/>
              </w:rPr>
            </w:pPr>
            <w:r w:rsidRPr="00233C8D">
              <w:rPr>
                <w:rFonts w:ascii="Times New Roman" w:hAnsi="Times New Roman"/>
                <w:sz w:val="18"/>
                <w:lang w:val="fr-FR"/>
              </w:rPr>
              <w:t>27</w:t>
            </w:r>
          </w:p>
        </w:tc>
        <w:tc>
          <w:tcPr>
            <w:tcW w:w="1116" w:type="dxa"/>
            <w:shd w:val="clear" w:color="auto" w:fill="auto"/>
            <w:vAlign w:val="bottom"/>
          </w:tcPr>
          <w:p w:rsidR="000B562B" w:rsidRPr="00233C8D" w:rsidRDefault="000B562B" w:rsidP="00DD155D">
            <w:pPr>
              <w:pStyle w:val="Text"/>
              <w:spacing w:before="40" w:after="40" w:line="220" w:lineRule="exact"/>
              <w:ind w:left="113" w:right="57"/>
              <w:jc w:val="right"/>
              <w:rPr>
                <w:rFonts w:ascii="Times New Roman" w:hAnsi="Times New Roman"/>
                <w:sz w:val="18"/>
                <w:lang w:val="fr-FR"/>
              </w:rPr>
            </w:pPr>
            <w:r w:rsidRPr="00233C8D">
              <w:rPr>
                <w:rFonts w:ascii="Times New Roman" w:hAnsi="Times New Roman"/>
                <w:sz w:val="18"/>
                <w:lang w:val="fr-FR"/>
              </w:rPr>
              <w:t>21</w:t>
            </w:r>
          </w:p>
        </w:tc>
        <w:tc>
          <w:tcPr>
            <w:tcW w:w="1115" w:type="dxa"/>
            <w:shd w:val="clear" w:color="auto" w:fill="auto"/>
            <w:vAlign w:val="bottom"/>
          </w:tcPr>
          <w:p w:rsidR="000B562B" w:rsidRPr="00233C8D" w:rsidRDefault="000B562B" w:rsidP="00DD155D">
            <w:pPr>
              <w:pStyle w:val="Text"/>
              <w:spacing w:before="40" w:after="40" w:line="220" w:lineRule="exact"/>
              <w:ind w:left="113" w:right="57"/>
              <w:jc w:val="right"/>
              <w:rPr>
                <w:rFonts w:ascii="Times New Roman" w:hAnsi="Times New Roman"/>
                <w:sz w:val="18"/>
                <w:lang w:val="fr-FR"/>
              </w:rPr>
            </w:pPr>
            <w:r w:rsidRPr="00233C8D">
              <w:rPr>
                <w:rFonts w:ascii="Times New Roman" w:hAnsi="Times New Roman"/>
                <w:sz w:val="18"/>
                <w:lang w:val="fr-FR"/>
              </w:rPr>
              <w:t>3</w:t>
            </w:r>
          </w:p>
        </w:tc>
        <w:tc>
          <w:tcPr>
            <w:tcW w:w="1116" w:type="dxa"/>
            <w:shd w:val="clear" w:color="auto" w:fill="auto"/>
            <w:vAlign w:val="bottom"/>
          </w:tcPr>
          <w:p w:rsidR="000B562B" w:rsidRPr="00233C8D" w:rsidRDefault="000B562B" w:rsidP="00DD155D">
            <w:pPr>
              <w:pStyle w:val="Text"/>
              <w:spacing w:before="40" w:after="40" w:line="220" w:lineRule="exact"/>
              <w:ind w:left="113" w:right="57"/>
              <w:jc w:val="right"/>
              <w:rPr>
                <w:rFonts w:ascii="Times New Roman" w:hAnsi="Times New Roman"/>
                <w:sz w:val="18"/>
                <w:lang w:val="fr-FR"/>
              </w:rPr>
            </w:pPr>
            <w:r w:rsidRPr="00233C8D">
              <w:rPr>
                <w:rFonts w:ascii="Times New Roman" w:hAnsi="Times New Roman"/>
                <w:sz w:val="18"/>
                <w:lang w:val="fr-FR"/>
              </w:rPr>
              <w:t>2</w:t>
            </w:r>
          </w:p>
        </w:tc>
        <w:tc>
          <w:tcPr>
            <w:tcW w:w="1116" w:type="dxa"/>
            <w:shd w:val="clear" w:color="auto" w:fill="auto"/>
            <w:vAlign w:val="bottom"/>
          </w:tcPr>
          <w:p w:rsidR="000B562B" w:rsidRPr="00233C8D" w:rsidRDefault="000B562B" w:rsidP="00DD155D">
            <w:pPr>
              <w:pStyle w:val="Text"/>
              <w:spacing w:before="40" w:after="40" w:line="220" w:lineRule="exact"/>
              <w:ind w:left="113" w:right="57"/>
              <w:jc w:val="right"/>
              <w:rPr>
                <w:rFonts w:ascii="Times New Roman" w:hAnsi="Times New Roman"/>
                <w:sz w:val="18"/>
                <w:lang w:val="fr-FR"/>
              </w:rPr>
            </w:pPr>
            <w:r w:rsidRPr="00233C8D">
              <w:rPr>
                <w:rFonts w:ascii="Times New Roman" w:hAnsi="Times New Roman"/>
                <w:sz w:val="18"/>
                <w:lang w:val="fr-FR"/>
              </w:rPr>
              <w:t>1</w:t>
            </w:r>
          </w:p>
        </w:tc>
      </w:tr>
      <w:tr w:rsidR="000B562B" w:rsidRPr="00233C8D" w:rsidTr="009F7D93">
        <w:trPr>
          <w:cantSplit/>
          <w:trHeight w:val="240"/>
        </w:trPr>
        <w:tc>
          <w:tcPr>
            <w:tcW w:w="1792" w:type="dxa"/>
            <w:shd w:val="clear" w:color="auto" w:fill="auto"/>
          </w:tcPr>
          <w:p w:rsidR="000B562B" w:rsidRPr="00233C8D" w:rsidRDefault="000B562B" w:rsidP="007977DD">
            <w:pPr>
              <w:pStyle w:val="Text"/>
              <w:spacing w:before="40" w:after="40" w:line="220" w:lineRule="exact"/>
              <w:rPr>
                <w:rFonts w:ascii="Times New Roman" w:hAnsi="Times New Roman"/>
                <w:sz w:val="18"/>
                <w:lang w:val="fr-FR"/>
              </w:rPr>
            </w:pPr>
            <w:r w:rsidRPr="00233C8D">
              <w:rPr>
                <w:rFonts w:ascii="Times New Roman" w:hAnsi="Times New Roman"/>
                <w:sz w:val="18"/>
                <w:lang w:val="fr-FR"/>
              </w:rPr>
              <w:t>2007</w:t>
            </w:r>
            <w:r w:rsidR="0095235A">
              <w:rPr>
                <w:rFonts w:ascii="Times New Roman" w:hAnsi="Times New Roman"/>
                <w:sz w:val="18"/>
                <w:lang w:val="fr-FR"/>
              </w:rPr>
              <w:t>-</w:t>
            </w:r>
            <w:r w:rsidRPr="00233C8D">
              <w:rPr>
                <w:rFonts w:ascii="Times New Roman" w:hAnsi="Times New Roman"/>
                <w:sz w:val="18"/>
                <w:lang w:val="fr-FR"/>
              </w:rPr>
              <w:t>2008</w:t>
            </w:r>
          </w:p>
        </w:tc>
        <w:tc>
          <w:tcPr>
            <w:tcW w:w="1115" w:type="dxa"/>
            <w:shd w:val="clear" w:color="auto" w:fill="auto"/>
            <w:vAlign w:val="bottom"/>
          </w:tcPr>
          <w:p w:rsidR="000B562B" w:rsidRPr="00233C8D" w:rsidRDefault="000B562B" w:rsidP="00DD155D">
            <w:pPr>
              <w:pStyle w:val="Text"/>
              <w:spacing w:before="40" w:after="40" w:line="220" w:lineRule="exact"/>
              <w:ind w:left="113" w:right="57"/>
              <w:jc w:val="right"/>
              <w:rPr>
                <w:rFonts w:ascii="Times New Roman" w:hAnsi="Times New Roman"/>
                <w:sz w:val="18"/>
                <w:lang w:val="fr-FR"/>
              </w:rPr>
            </w:pPr>
            <w:r w:rsidRPr="00233C8D">
              <w:rPr>
                <w:rFonts w:ascii="Times New Roman" w:hAnsi="Times New Roman"/>
                <w:sz w:val="18"/>
                <w:lang w:val="fr-FR"/>
              </w:rPr>
              <w:t>21</w:t>
            </w:r>
          </w:p>
        </w:tc>
        <w:tc>
          <w:tcPr>
            <w:tcW w:w="1116" w:type="dxa"/>
            <w:shd w:val="clear" w:color="auto" w:fill="auto"/>
            <w:vAlign w:val="bottom"/>
          </w:tcPr>
          <w:p w:rsidR="000B562B" w:rsidRPr="00233C8D" w:rsidRDefault="000B562B" w:rsidP="00DD155D">
            <w:pPr>
              <w:pStyle w:val="Text"/>
              <w:spacing w:before="40" w:after="40" w:line="220" w:lineRule="exact"/>
              <w:ind w:left="113" w:right="57"/>
              <w:jc w:val="right"/>
              <w:rPr>
                <w:rFonts w:ascii="Times New Roman" w:hAnsi="Times New Roman"/>
                <w:sz w:val="18"/>
                <w:lang w:val="fr-FR"/>
              </w:rPr>
            </w:pPr>
            <w:r w:rsidRPr="00233C8D">
              <w:rPr>
                <w:rFonts w:ascii="Times New Roman" w:hAnsi="Times New Roman"/>
                <w:sz w:val="18"/>
                <w:lang w:val="fr-FR"/>
              </w:rPr>
              <w:t>18</w:t>
            </w:r>
          </w:p>
        </w:tc>
        <w:tc>
          <w:tcPr>
            <w:tcW w:w="1115" w:type="dxa"/>
            <w:shd w:val="clear" w:color="auto" w:fill="auto"/>
            <w:vAlign w:val="bottom"/>
          </w:tcPr>
          <w:p w:rsidR="000B562B" w:rsidRPr="00233C8D" w:rsidRDefault="000B562B" w:rsidP="00DD155D">
            <w:pPr>
              <w:pStyle w:val="Text"/>
              <w:spacing w:before="40" w:after="40" w:line="220" w:lineRule="exact"/>
              <w:ind w:left="113" w:right="57"/>
              <w:jc w:val="right"/>
              <w:rPr>
                <w:rFonts w:ascii="Times New Roman" w:hAnsi="Times New Roman"/>
                <w:sz w:val="18"/>
                <w:lang w:val="fr-FR"/>
              </w:rPr>
            </w:pPr>
            <w:r w:rsidRPr="00233C8D">
              <w:rPr>
                <w:rFonts w:ascii="Times New Roman" w:hAnsi="Times New Roman"/>
                <w:sz w:val="18"/>
                <w:lang w:val="fr-FR"/>
              </w:rPr>
              <w:t>1</w:t>
            </w:r>
          </w:p>
        </w:tc>
        <w:tc>
          <w:tcPr>
            <w:tcW w:w="1116" w:type="dxa"/>
            <w:shd w:val="clear" w:color="auto" w:fill="auto"/>
            <w:vAlign w:val="bottom"/>
          </w:tcPr>
          <w:p w:rsidR="000B562B" w:rsidRPr="00233C8D" w:rsidRDefault="000B562B" w:rsidP="00DD155D">
            <w:pPr>
              <w:pStyle w:val="Text"/>
              <w:spacing w:before="40" w:after="40" w:line="220" w:lineRule="exact"/>
              <w:ind w:left="113" w:right="57"/>
              <w:jc w:val="right"/>
              <w:rPr>
                <w:rFonts w:ascii="Times New Roman" w:hAnsi="Times New Roman"/>
                <w:sz w:val="18"/>
                <w:lang w:val="fr-FR"/>
              </w:rPr>
            </w:pPr>
            <w:r w:rsidRPr="00233C8D">
              <w:rPr>
                <w:rFonts w:ascii="Times New Roman" w:hAnsi="Times New Roman"/>
                <w:sz w:val="18"/>
                <w:lang w:val="fr-FR"/>
              </w:rPr>
              <w:t>0</w:t>
            </w:r>
          </w:p>
        </w:tc>
        <w:tc>
          <w:tcPr>
            <w:tcW w:w="1116" w:type="dxa"/>
            <w:shd w:val="clear" w:color="auto" w:fill="auto"/>
            <w:vAlign w:val="bottom"/>
          </w:tcPr>
          <w:p w:rsidR="000B562B" w:rsidRPr="00233C8D" w:rsidRDefault="000B562B" w:rsidP="00DD155D">
            <w:pPr>
              <w:pStyle w:val="Text"/>
              <w:spacing w:before="40" w:after="40" w:line="220" w:lineRule="exact"/>
              <w:ind w:left="113" w:right="57"/>
              <w:jc w:val="right"/>
              <w:rPr>
                <w:rFonts w:ascii="Times New Roman" w:hAnsi="Times New Roman"/>
                <w:sz w:val="18"/>
                <w:lang w:val="fr-FR"/>
              </w:rPr>
            </w:pPr>
            <w:r w:rsidRPr="00233C8D">
              <w:rPr>
                <w:rFonts w:ascii="Times New Roman" w:hAnsi="Times New Roman"/>
                <w:sz w:val="18"/>
                <w:lang w:val="fr-FR"/>
              </w:rPr>
              <w:t>2</w:t>
            </w:r>
          </w:p>
        </w:tc>
      </w:tr>
      <w:tr w:rsidR="000B562B" w:rsidRPr="00233C8D" w:rsidTr="009F7D93">
        <w:trPr>
          <w:cantSplit/>
          <w:trHeight w:val="240"/>
        </w:trPr>
        <w:tc>
          <w:tcPr>
            <w:tcW w:w="1792" w:type="dxa"/>
            <w:tcBorders>
              <w:bottom w:val="single" w:sz="12" w:space="0" w:color="auto"/>
            </w:tcBorders>
            <w:shd w:val="clear" w:color="auto" w:fill="auto"/>
          </w:tcPr>
          <w:p w:rsidR="000B562B" w:rsidRPr="00233C8D" w:rsidRDefault="000B562B" w:rsidP="007977DD">
            <w:pPr>
              <w:pStyle w:val="Text"/>
              <w:spacing w:before="40" w:after="40" w:line="220" w:lineRule="exact"/>
              <w:rPr>
                <w:rFonts w:ascii="Times New Roman" w:hAnsi="Times New Roman"/>
                <w:sz w:val="18"/>
                <w:lang w:val="fr-FR"/>
              </w:rPr>
            </w:pPr>
            <w:r w:rsidRPr="00233C8D">
              <w:rPr>
                <w:rFonts w:ascii="Times New Roman" w:hAnsi="Times New Roman"/>
                <w:sz w:val="18"/>
                <w:lang w:val="fr-FR"/>
              </w:rPr>
              <w:t>2008</w:t>
            </w:r>
            <w:r w:rsidR="0095235A">
              <w:rPr>
                <w:rFonts w:ascii="Times New Roman" w:hAnsi="Times New Roman"/>
                <w:sz w:val="18"/>
                <w:lang w:val="fr-FR"/>
              </w:rPr>
              <w:t>-</w:t>
            </w:r>
            <w:r w:rsidRPr="00233C8D">
              <w:rPr>
                <w:rFonts w:ascii="Times New Roman" w:hAnsi="Times New Roman"/>
                <w:sz w:val="18"/>
                <w:lang w:val="fr-FR"/>
              </w:rPr>
              <w:t>2009</w:t>
            </w:r>
          </w:p>
        </w:tc>
        <w:tc>
          <w:tcPr>
            <w:tcW w:w="1115" w:type="dxa"/>
            <w:tcBorders>
              <w:bottom w:val="single" w:sz="12" w:space="0" w:color="auto"/>
            </w:tcBorders>
            <w:shd w:val="clear" w:color="auto" w:fill="auto"/>
            <w:vAlign w:val="bottom"/>
          </w:tcPr>
          <w:p w:rsidR="000B562B" w:rsidRPr="00233C8D" w:rsidRDefault="000B562B" w:rsidP="00DD155D">
            <w:pPr>
              <w:pStyle w:val="Text"/>
              <w:spacing w:before="40" w:after="40" w:line="220" w:lineRule="exact"/>
              <w:ind w:left="113" w:right="57"/>
              <w:jc w:val="right"/>
              <w:rPr>
                <w:rFonts w:ascii="Times New Roman" w:hAnsi="Times New Roman"/>
                <w:sz w:val="18"/>
                <w:lang w:val="fr-FR"/>
              </w:rPr>
            </w:pPr>
            <w:r w:rsidRPr="00233C8D">
              <w:rPr>
                <w:rFonts w:ascii="Times New Roman" w:hAnsi="Times New Roman"/>
                <w:sz w:val="18"/>
                <w:lang w:val="fr-FR"/>
              </w:rPr>
              <w:t>15</w:t>
            </w:r>
          </w:p>
        </w:tc>
        <w:tc>
          <w:tcPr>
            <w:tcW w:w="1116" w:type="dxa"/>
            <w:tcBorders>
              <w:bottom w:val="single" w:sz="12" w:space="0" w:color="auto"/>
            </w:tcBorders>
            <w:shd w:val="clear" w:color="auto" w:fill="auto"/>
            <w:vAlign w:val="bottom"/>
          </w:tcPr>
          <w:p w:rsidR="000B562B" w:rsidRPr="00233C8D" w:rsidRDefault="000B562B" w:rsidP="00DD155D">
            <w:pPr>
              <w:pStyle w:val="Text"/>
              <w:spacing w:before="40" w:after="40" w:line="220" w:lineRule="exact"/>
              <w:ind w:left="113" w:right="57"/>
              <w:jc w:val="right"/>
              <w:rPr>
                <w:rFonts w:ascii="Times New Roman" w:hAnsi="Times New Roman"/>
                <w:sz w:val="18"/>
                <w:lang w:val="fr-FR"/>
              </w:rPr>
            </w:pPr>
            <w:r w:rsidRPr="00233C8D">
              <w:rPr>
                <w:rFonts w:ascii="Times New Roman" w:hAnsi="Times New Roman"/>
                <w:sz w:val="18"/>
                <w:lang w:val="fr-FR"/>
              </w:rPr>
              <w:t>10</w:t>
            </w:r>
          </w:p>
        </w:tc>
        <w:tc>
          <w:tcPr>
            <w:tcW w:w="1115" w:type="dxa"/>
            <w:tcBorders>
              <w:bottom w:val="single" w:sz="12" w:space="0" w:color="auto"/>
            </w:tcBorders>
            <w:shd w:val="clear" w:color="auto" w:fill="auto"/>
            <w:vAlign w:val="bottom"/>
          </w:tcPr>
          <w:p w:rsidR="000B562B" w:rsidRPr="00233C8D" w:rsidRDefault="000B562B" w:rsidP="00DD155D">
            <w:pPr>
              <w:pStyle w:val="Text"/>
              <w:spacing w:before="40" w:after="40" w:line="220" w:lineRule="exact"/>
              <w:ind w:left="113" w:right="57"/>
              <w:jc w:val="right"/>
              <w:rPr>
                <w:rFonts w:ascii="Times New Roman" w:hAnsi="Times New Roman"/>
                <w:sz w:val="18"/>
                <w:lang w:val="fr-FR"/>
              </w:rPr>
            </w:pPr>
            <w:r w:rsidRPr="00233C8D">
              <w:rPr>
                <w:rFonts w:ascii="Times New Roman" w:hAnsi="Times New Roman"/>
                <w:sz w:val="18"/>
                <w:lang w:val="fr-FR"/>
              </w:rPr>
              <w:t>3</w:t>
            </w:r>
          </w:p>
        </w:tc>
        <w:tc>
          <w:tcPr>
            <w:tcW w:w="1116" w:type="dxa"/>
            <w:tcBorders>
              <w:bottom w:val="single" w:sz="12" w:space="0" w:color="auto"/>
            </w:tcBorders>
            <w:shd w:val="clear" w:color="auto" w:fill="auto"/>
            <w:vAlign w:val="bottom"/>
          </w:tcPr>
          <w:p w:rsidR="000B562B" w:rsidRPr="00233C8D" w:rsidRDefault="000B562B" w:rsidP="00DD155D">
            <w:pPr>
              <w:pStyle w:val="Text"/>
              <w:spacing w:before="40" w:after="40" w:line="220" w:lineRule="exact"/>
              <w:ind w:left="113" w:right="57"/>
              <w:jc w:val="right"/>
              <w:rPr>
                <w:rFonts w:ascii="Times New Roman" w:hAnsi="Times New Roman"/>
                <w:sz w:val="18"/>
                <w:lang w:val="fr-FR"/>
              </w:rPr>
            </w:pPr>
            <w:r w:rsidRPr="00233C8D">
              <w:rPr>
                <w:rFonts w:ascii="Times New Roman" w:hAnsi="Times New Roman"/>
                <w:sz w:val="18"/>
                <w:lang w:val="fr-FR"/>
              </w:rPr>
              <w:t>2</w:t>
            </w:r>
          </w:p>
        </w:tc>
        <w:tc>
          <w:tcPr>
            <w:tcW w:w="1116" w:type="dxa"/>
            <w:tcBorders>
              <w:bottom w:val="single" w:sz="12" w:space="0" w:color="auto"/>
            </w:tcBorders>
            <w:shd w:val="clear" w:color="auto" w:fill="auto"/>
            <w:vAlign w:val="bottom"/>
          </w:tcPr>
          <w:p w:rsidR="000B562B" w:rsidRPr="00233C8D" w:rsidRDefault="000B562B" w:rsidP="00DD155D">
            <w:pPr>
              <w:pStyle w:val="Text"/>
              <w:spacing w:before="40" w:after="40" w:line="220" w:lineRule="exact"/>
              <w:ind w:left="113" w:right="57"/>
              <w:jc w:val="right"/>
              <w:rPr>
                <w:rFonts w:ascii="Times New Roman" w:hAnsi="Times New Roman"/>
                <w:sz w:val="18"/>
                <w:lang w:val="fr-FR"/>
              </w:rPr>
            </w:pPr>
            <w:r w:rsidRPr="00233C8D">
              <w:rPr>
                <w:rFonts w:ascii="Times New Roman" w:hAnsi="Times New Roman"/>
                <w:sz w:val="18"/>
                <w:lang w:val="fr-FR"/>
              </w:rPr>
              <w:t>0</w:t>
            </w:r>
          </w:p>
        </w:tc>
      </w:tr>
    </w:tbl>
    <w:p w:rsidR="000B562B" w:rsidRPr="00A176EA" w:rsidRDefault="004F35A7" w:rsidP="00293484">
      <w:pPr>
        <w:pStyle w:val="H23G"/>
        <w:tabs>
          <w:tab w:val="left" w:pos="5542"/>
        </w:tabs>
        <w:rPr>
          <w:lang w:val="fr-FR"/>
        </w:rPr>
      </w:pPr>
      <w:bookmarkStart w:id="40" w:name="_Toc299724722"/>
      <w:r>
        <w:rPr>
          <w:lang w:val="fr-FR"/>
        </w:rPr>
        <w:t>Emploi de</w:t>
      </w:r>
      <w:r w:rsidR="000B562B" w:rsidRPr="00A176EA">
        <w:rPr>
          <w:lang w:val="fr-FR"/>
        </w:rPr>
        <w:t xml:space="preserve"> </w:t>
      </w:r>
      <w:r>
        <w:rPr>
          <w:lang w:val="fr-FR"/>
        </w:rPr>
        <w:t>gaz et de moyens de contrainte</w:t>
      </w:r>
      <w:r w:rsidR="000B562B" w:rsidRPr="00A176EA">
        <w:rPr>
          <w:lang w:val="fr-FR"/>
        </w:rPr>
        <w:t xml:space="preserve"> </w:t>
      </w:r>
      <w:bookmarkEnd w:id="40"/>
      <w:r w:rsidR="00006BAB">
        <w:rPr>
          <w:lang w:val="fr-FR"/>
        </w:rPr>
        <w:t xml:space="preserve">physique </w:t>
      </w:r>
      <w:r>
        <w:rPr>
          <w:lang w:val="fr-FR"/>
        </w:rPr>
        <w:t>par les services de police</w:t>
      </w:r>
    </w:p>
    <w:p w:rsidR="000B562B" w:rsidRPr="00A176EA" w:rsidRDefault="002549A9" w:rsidP="007977DD">
      <w:pPr>
        <w:pStyle w:val="SingleTxtG"/>
        <w:rPr>
          <w:lang w:val="fr-FR"/>
        </w:rPr>
      </w:pPr>
      <w:r w:rsidRPr="00A176EA">
        <w:rPr>
          <w:lang w:val="fr-FR"/>
        </w:rPr>
        <w:t>311.</w:t>
      </w:r>
      <w:r w:rsidRPr="00A176EA">
        <w:rPr>
          <w:lang w:val="fr-FR"/>
        </w:rPr>
        <w:tab/>
      </w:r>
      <w:r w:rsidR="00C06508">
        <w:rPr>
          <w:lang w:val="fr-FR"/>
        </w:rPr>
        <w:t xml:space="preserve">Les informations sur l’emploi de gaz figurent </w:t>
      </w:r>
      <w:r w:rsidR="000B562B" w:rsidRPr="00A176EA">
        <w:rPr>
          <w:lang w:val="fr-FR"/>
        </w:rPr>
        <w:t>a</w:t>
      </w:r>
      <w:r w:rsidR="00C06508">
        <w:rPr>
          <w:lang w:val="fr-FR"/>
        </w:rPr>
        <w:t>ux</w:t>
      </w:r>
      <w:r w:rsidR="000B562B" w:rsidRPr="00A176EA">
        <w:rPr>
          <w:lang w:val="fr-FR"/>
        </w:rPr>
        <w:t xml:space="preserve"> paragraph</w:t>
      </w:r>
      <w:r w:rsidR="00C06508">
        <w:rPr>
          <w:lang w:val="fr-FR"/>
        </w:rPr>
        <w:t>e</w:t>
      </w:r>
      <w:r w:rsidR="000B562B" w:rsidRPr="00A176EA">
        <w:rPr>
          <w:lang w:val="fr-FR"/>
        </w:rPr>
        <w:t xml:space="preserve">s 127 </w:t>
      </w:r>
      <w:r w:rsidR="00C06508">
        <w:rPr>
          <w:lang w:val="fr-FR"/>
        </w:rPr>
        <w:t>et</w:t>
      </w:r>
      <w:r w:rsidR="000B562B" w:rsidRPr="00A176EA">
        <w:rPr>
          <w:lang w:val="fr-FR"/>
        </w:rPr>
        <w:t xml:space="preserve"> 128 </w:t>
      </w:r>
      <w:r w:rsidR="00233C8D">
        <w:rPr>
          <w:lang w:val="fr-FR"/>
        </w:rPr>
        <w:t>du quatrième rapport périodique du Royaume-Uni</w:t>
      </w:r>
      <w:r w:rsidR="000B562B" w:rsidRPr="00A176EA">
        <w:rPr>
          <w:lang w:val="fr-FR"/>
        </w:rPr>
        <w:t>.</w:t>
      </w:r>
    </w:p>
    <w:p w:rsidR="000B562B" w:rsidRPr="00A176EA" w:rsidRDefault="002549A9" w:rsidP="007977DD">
      <w:pPr>
        <w:pStyle w:val="SingleTxtG"/>
        <w:rPr>
          <w:lang w:val="fr-FR"/>
        </w:rPr>
      </w:pPr>
      <w:r w:rsidRPr="00A176EA">
        <w:rPr>
          <w:lang w:val="fr-FR"/>
        </w:rPr>
        <w:t>312.</w:t>
      </w:r>
      <w:r w:rsidRPr="00A176EA">
        <w:rPr>
          <w:lang w:val="fr-FR"/>
        </w:rPr>
        <w:tab/>
      </w:r>
      <w:r w:rsidR="00C06508">
        <w:rPr>
          <w:lang w:val="fr-FR"/>
        </w:rPr>
        <w:t>E</w:t>
      </w:r>
      <w:r w:rsidR="000B562B" w:rsidRPr="00A176EA">
        <w:rPr>
          <w:lang w:val="fr-FR"/>
        </w:rPr>
        <w:t xml:space="preserve">n </w:t>
      </w:r>
      <w:r w:rsidR="008F3DA4" w:rsidRPr="00C06508">
        <w:rPr>
          <w:lang w:val="fr-FR"/>
        </w:rPr>
        <w:t>Irlande du Nord</w:t>
      </w:r>
      <w:r w:rsidR="00C06508">
        <w:rPr>
          <w:lang w:val="fr-FR"/>
        </w:rPr>
        <w:t>, les moyens de contrainte</w:t>
      </w:r>
      <w:r w:rsidR="00006BAB">
        <w:rPr>
          <w:lang w:val="fr-FR"/>
        </w:rPr>
        <w:t xml:space="preserve"> physique</w:t>
      </w:r>
      <w:r w:rsidR="00C06508">
        <w:rPr>
          <w:lang w:val="fr-FR"/>
        </w:rPr>
        <w:t xml:space="preserve"> en garde à vue ne sont employés qu’en cas d’absolue nécessité et si le détenu est une menace pour sa propre sécurité ou celle d’autrui. </w:t>
      </w:r>
      <w:r w:rsidR="00B61F16">
        <w:rPr>
          <w:lang w:val="fr-FR"/>
        </w:rPr>
        <w:t>Les</w:t>
      </w:r>
      <w:r w:rsidR="00C06508">
        <w:rPr>
          <w:lang w:val="fr-FR"/>
        </w:rPr>
        <w:t xml:space="preserve"> moyens de contrainte </w:t>
      </w:r>
      <w:r w:rsidR="00B61F16">
        <w:rPr>
          <w:lang w:val="fr-FR"/>
        </w:rPr>
        <w:t xml:space="preserve">utilisés </w:t>
      </w:r>
      <w:r w:rsidR="00C06508">
        <w:rPr>
          <w:lang w:val="fr-FR"/>
        </w:rPr>
        <w:t>doi</w:t>
      </w:r>
      <w:r w:rsidR="00B61F16">
        <w:rPr>
          <w:lang w:val="fr-FR"/>
        </w:rPr>
        <w:t>ven</w:t>
      </w:r>
      <w:r w:rsidR="00C06508">
        <w:rPr>
          <w:lang w:val="fr-FR"/>
        </w:rPr>
        <w:t xml:space="preserve">t </w:t>
      </w:r>
      <w:r w:rsidR="00B61F16">
        <w:rPr>
          <w:lang w:val="fr-FR"/>
        </w:rPr>
        <w:t>figurer</w:t>
      </w:r>
      <w:r w:rsidR="00C06508">
        <w:rPr>
          <w:lang w:val="fr-FR"/>
        </w:rPr>
        <w:t xml:space="preserve"> dans le dossier de garde à vue du détenu</w:t>
      </w:r>
      <w:r w:rsidR="00ED05C3">
        <w:rPr>
          <w:lang w:val="fr-FR"/>
        </w:rPr>
        <w:t>, ainsi que l’évaluation d</w:t>
      </w:r>
      <w:r w:rsidR="00B753B9">
        <w:rPr>
          <w:lang w:val="fr-FR"/>
        </w:rPr>
        <w:t>es</w:t>
      </w:r>
      <w:r w:rsidR="00ED05C3">
        <w:rPr>
          <w:lang w:val="fr-FR"/>
        </w:rPr>
        <w:t xml:space="preserve"> risque</w:t>
      </w:r>
      <w:r w:rsidR="00B753B9">
        <w:rPr>
          <w:lang w:val="fr-FR"/>
        </w:rPr>
        <w:t>s</w:t>
      </w:r>
      <w:r w:rsidR="00ED05C3">
        <w:rPr>
          <w:lang w:val="fr-FR"/>
        </w:rPr>
        <w:t xml:space="preserve">. La décision de recourir à un moyen de contrainte est pesée avec soin lorsque le détenu est sourd, atteint de troubles mentaux </w:t>
      </w:r>
      <w:r w:rsidR="007B2E5B">
        <w:rPr>
          <w:lang w:val="fr-FR"/>
        </w:rPr>
        <w:t>ou vulnérable sur le plan mental</w:t>
      </w:r>
      <w:r w:rsidR="000B562B" w:rsidRPr="00A176EA">
        <w:rPr>
          <w:lang w:val="fr-FR"/>
        </w:rPr>
        <w:t>.</w:t>
      </w:r>
    </w:p>
    <w:p w:rsidR="000B562B" w:rsidRPr="007B2E5B" w:rsidRDefault="00C06508" w:rsidP="007977DD">
      <w:pPr>
        <w:pStyle w:val="H23G"/>
        <w:rPr>
          <w:lang w:val="fr-FR"/>
        </w:rPr>
      </w:pPr>
      <w:r w:rsidRPr="007B2E5B">
        <w:rPr>
          <w:lang w:val="fr-FR"/>
        </w:rPr>
        <w:t>Gaz incapacitant</w:t>
      </w:r>
    </w:p>
    <w:p w:rsidR="000B562B" w:rsidRPr="00A176EA" w:rsidRDefault="002549A9" w:rsidP="007B2E5B">
      <w:pPr>
        <w:pStyle w:val="SingleTxtG"/>
        <w:rPr>
          <w:lang w:val="fr-FR"/>
        </w:rPr>
      </w:pPr>
      <w:r w:rsidRPr="007B2E5B">
        <w:rPr>
          <w:lang w:val="fr-FR"/>
        </w:rPr>
        <w:t>313.</w:t>
      </w:r>
      <w:r w:rsidRPr="007B2E5B">
        <w:rPr>
          <w:lang w:val="fr-FR"/>
        </w:rPr>
        <w:tab/>
      </w:r>
      <w:r w:rsidR="007B2E5B">
        <w:rPr>
          <w:lang w:val="fr-FR"/>
        </w:rPr>
        <w:t xml:space="preserve">Les informations concernant les rapports et les directives sur l’emploi de gaz incapacitant figurent au </w:t>
      </w:r>
      <w:r w:rsidR="000B562B" w:rsidRPr="00A176EA">
        <w:rPr>
          <w:lang w:val="fr-FR"/>
        </w:rPr>
        <w:t>paragraph</w:t>
      </w:r>
      <w:r w:rsidR="007B2E5B">
        <w:rPr>
          <w:lang w:val="fr-FR"/>
        </w:rPr>
        <w:t>e</w:t>
      </w:r>
      <w:r w:rsidR="000B562B" w:rsidRPr="0095235A">
        <w:rPr>
          <w:lang w:val="fr-FR"/>
        </w:rPr>
        <w:t xml:space="preserve"> 1</w:t>
      </w:r>
      <w:r w:rsidR="007B2E5B" w:rsidRPr="0095235A">
        <w:rPr>
          <w:lang w:val="fr-FR"/>
        </w:rPr>
        <w:t>2</w:t>
      </w:r>
      <w:r w:rsidR="000B562B" w:rsidRPr="0095235A">
        <w:rPr>
          <w:lang w:val="fr-FR"/>
        </w:rPr>
        <w:t>8</w:t>
      </w:r>
      <w:r w:rsidR="000B562B" w:rsidRPr="00A176EA">
        <w:rPr>
          <w:lang w:val="fr-FR"/>
        </w:rPr>
        <w:t xml:space="preserve"> </w:t>
      </w:r>
      <w:r w:rsidR="007B2E5B">
        <w:rPr>
          <w:lang w:val="fr-FR"/>
        </w:rPr>
        <w:t>du quatrième rapport périodique du Royaume-Uni</w:t>
      </w:r>
      <w:r w:rsidR="000B562B" w:rsidRPr="00A176EA">
        <w:rPr>
          <w:lang w:val="fr-FR"/>
        </w:rPr>
        <w:t>.</w:t>
      </w:r>
    </w:p>
    <w:p w:rsidR="000B562B" w:rsidRPr="00A176EA" w:rsidRDefault="000B562B" w:rsidP="007977DD">
      <w:pPr>
        <w:pStyle w:val="H23G"/>
        <w:rPr>
          <w:lang w:val="fr-FR"/>
        </w:rPr>
      </w:pPr>
      <w:r w:rsidRPr="00A176EA">
        <w:rPr>
          <w:lang w:val="fr-FR"/>
        </w:rPr>
        <w:t>Taser</w:t>
      </w:r>
    </w:p>
    <w:p w:rsidR="000B562B" w:rsidRPr="00A176EA" w:rsidRDefault="002549A9" w:rsidP="00943E25">
      <w:pPr>
        <w:pStyle w:val="SingleTxtG"/>
        <w:rPr>
          <w:lang w:val="fr-FR"/>
        </w:rPr>
      </w:pPr>
      <w:r w:rsidRPr="00A176EA">
        <w:rPr>
          <w:lang w:val="fr-FR"/>
        </w:rPr>
        <w:t>314.</w:t>
      </w:r>
      <w:r w:rsidRPr="00A176EA">
        <w:rPr>
          <w:lang w:val="fr-FR"/>
        </w:rPr>
        <w:tab/>
      </w:r>
      <w:r w:rsidR="007B2E5B">
        <w:rPr>
          <w:lang w:val="fr-FR"/>
        </w:rPr>
        <w:t xml:space="preserve">Le Taser n’est utilisé qu’en cas de menace grave de violence et seulement par les fonctionnaires de police sélectionnés et formés à cet effet. Le Taser est destiné à résoudre des situations potentiellement violentes et constitue pour la police une option technique supplémentaire </w:t>
      </w:r>
      <w:r w:rsidR="00943E25">
        <w:rPr>
          <w:lang w:val="fr-FR"/>
        </w:rPr>
        <w:t xml:space="preserve">moins létale que les armes à feu conventionnelles. Le Gouvernement britannique a entrepris des essais rigoureux et sans précédent sur le Taser et </w:t>
      </w:r>
      <w:r w:rsidR="00AB7C5A">
        <w:rPr>
          <w:lang w:val="fr-FR"/>
        </w:rPr>
        <w:t xml:space="preserve">l’a </w:t>
      </w:r>
      <w:r w:rsidR="00943E25">
        <w:rPr>
          <w:lang w:val="fr-FR"/>
        </w:rPr>
        <w:t>soumis à une évaluation médicale indépendante</w:t>
      </w:r>
      <w:r w:rsidR="000B562B" w:rsidRPr="00A176EA">
        <w:rPr>
          <w:lang w:val="fr-FR"/>
        </w:rPr>
        <w:t>.</w:t>
      </w:r>
    </w:p>
    <w:p w:rsidR="000B562B" w:rsidRPr="00A176EA" w:rsidRDefault="002549A9" w:rsidP="001C34FC">
      <w:pPr>
        <w:pStyle w:val="SingleTxtG"/>
        <w:rPr>
          <w:lang w:val="fr-FR"/>
        </w:rPr>
      </w:pPr>
      <w:r w:rsidRPr="00A176EA">
        <w:rPr>
          <w:lang w:val="fr-FR"/>
        </w:rPr>
        <w:t>315.</w:t>
      </w:r>
      <w:r w:rsidRPr="00A176EA">
        <w:rPr>
          <w:lang w:val="fr-FR"/>
        </w:rPr>
        <w:tab/>
      </w:r>
      <w:r w:rsidR="00FA2CFE" w:rsidRPr="00FA2CFE">
        <w:rPr>
          <w:lang w:val="fr-FR"/>
        </w:rPr>
        <w:t>La</w:t>
      </w:r>
      <w:r w:rsidR="00246269" w:rsidRPr="00FA2CFE">
        <w:rPr>
          <w:lang w:val="fr-FR"/>
        </w:rPr>
        <w:t xml:space="preserve"> dernière déclaration </w:t>
      </w:r>
      <w:r w:rsidR="00FA2CFE" w:rsidRPr="00FA2CFE">
        <w:rPr>
          <w:lang w:val="fr-FR"/>
        </w:rPr>
        <w:t>du</w:t>
      </w:r>
      <w:r w:rsidR="00246269" w:rsidRPr="00FA2CFE">
        <w:rPr>
          <w:lang w:val="fr-FR"/>
        </w:rPr>
        <w:t xml:space="preserve"> Sous-comité du Conseil consultatif scientifique </w:t>
      </w:r>
      <w:r w:rsidR="00FA2CFE" w:rsidRPr="00FA2CFE">
        <w:rPr>
          <w:lang w:val="fr-FR"/>
        </w:rPr>
        <w:t xml:space="preserve">de la défense sur les </w:t>
      </w:r>
      <w:r w:rsidR="001C34FC">
        <w:rPr>
          <w:lang w:val="fr-FR"/>
        </w:rPr>
        <w:t>implications médicales</w:t>
      </w:r>
      <w:r w:rsidR="00FA2CFE" w:rsidRPr="00FA2CFE">
        <w:rPr>
          <w:lang w:val="fr-FR"/>
        </w:rPr>
        <w:t xml:space="preserve"> des armes moins létales indique</w:t>
      </w:r>
      <w:r w:rsidR="000A4282">
        <w:rPr>
          <w:lang w:val="fr-FR"/>
        </w:rPr>
        <w:t xml:space="preserve"> que</w:t>
      </w:r>
      <w:r w:rsidR="00FA2CFE" w:rsidRPr="00FA2CFE">
        <w:rPr>
          <w:lang w:val="fr-FR"/>
        </w:rPr>
        <w:t xml:space="preserve"> le risque de décès ou de blessure grave est très faible lorsque </w:t>
      </w:r>
      <w:r w:rsidR="003E3233">
        <w:rPr>
          <w:lang w:val="fr-FR"/>
        </w:rPr>
        <w:t>le</w:t>
      </w:r>
      <w:r w:rsidR="00FA2CFE" w:rsidRPr="00FA2CFE">
        <w:rPr>
          <w:lang w:val="fr-FR"/>
        </w:rPr>
        <w:t xml:space="preserve"> </w:t>
      </w:r>
      <w:r w:rsidR="003E3233" w:rsidRPr="00FA2CFE">
        <w:rPr>
          <w:lang w:val="fr-FR"/>
        </w:rPr>
        <w:t xml:space="preserve">Taser </w:t>
      </w:r>
      <w:r w:rsidR="003E3233">
        <w:rPr>
          <w:lang w:val="fr-FR"/>
        </w:rPr>
        <w:t xml:space="preserve">est </w:t>
      </w:r>
      <w:r w:rsidR="00FA2CFE" w:rsidRPr="00FA2CFE">
        <w:rPr>
          <w:lang w:val="fr-FR"/>
        </w:rPr>
        <w:t>utilis</w:t>
      </w:r>
      <w:r w:rsidR="003E3233">
        <w:rPr>
          <w:lang w:val="fr-FR"/>
        </w:rPr>
        <w:t>é</w:t>
      </w:r>
      <w:r w:rsidR="00FA2CFE" w:rsidRPr="00FA2CFE">
        <w:rPr>
          <w:lang w:val="fr-FR"/>
        </w:rPr>
        <w:t xml:space="preserve"> </w:t>
      </w:r>
      <w:r w:rsidR="003E3233">
        <w:rPr>
          <w:lang w:val="fr-FR"/>
        </w:rPr>
        <w:t>conformément aux</w:t>
      </w:r>
      <w:r w:rsidR="00FA2CFE" w:rsidRPr="00FA2CFE">
        <w:rPr>
          <w:lang w:val="fr-FR"/>
        </w:rPr>
        <w:t xml:space="preserve"> orientations et </w:t>
      </w:r>
      <w:r w:rsidR="003E3233">
        <w:rPr>
          <w:lang w:val="fr-FR"/>
        </w:rPr>
        <w:t xml:space="preserve">à </w:t>
      </w:r>
      <w:r w:rsidR="00FA2CFE" w:rsidRPr="00FA2CFE">
        <w:rPr>
          <w:lang w:val="fr-FR"/>
        </w:rPr>
        <w:t xml:space="preserve">la politique de l’Association des </w:t>
      </w:r>
      <w:r w:rsidR="009B0111">
        <w:rPr>
          <w:lang w:val="fr-FR"/>
        </w:rPr>
        <w:t>officiers supérieurs</w:t>
      </w:r>
      <w:r w:rsidR="00FA2CFE" w:rsidRPr="00FA2CFE">
        <w:rPr>
          <w:lang w:val="fr-FR"/>
        </w:rPr>
        <w:t xml:space="preserve"> de la police.</w:t>
      </w:r>
      <w:r w:rsidR="00FA2CFE">
        <w:rPr>
          <w:lang w:val="fr-FR"/>
        </w:rPr>
        <w:t xml:space="preserve"> </w:t>
      </w:r>
      <w:r w:rsidR="004246F3">
        <w:rPr>
          <w:lang w:val="fr-FR"/>
        </w:rPr>
        <w:t xml:space="preserve">En outre, le Sous-comité a examiné tous les rapports médicaux disponibles sur </w:t>
      </w:r>
      <w:r w:rsidR="006370AE">
        <w:rPr>
          <w:lang w:val="fr-FR"/>
        </w:rPr>
        <w:t>l</w:t>
      </w:r>
      <w:r w:rsidR="004246F3">
        <w:rPr>
          <w:lang w:val="fr-FR"/>
        </w:rPr>
        <w:t xml:space="preserve">es affaires où un Taser avait été utilisé. </w:t>
      </w:r>
      <w:r w:rsidR="001C34FC">
        <w:rPr>
          <w:lang w:val="fr-FR"/>
        </w:rPr>
        <w:t xml:space="preserve">Il est convaincu que des problèmes médicaux et </w:t>
      </w:r>
      <w:r w:rsidR="00B753B9">
        <w:rPr>
          <w:lang w:val="fr-FR"/>
        </w:rPr>
        <w:t>d</w:t>
      </w:r>
      <w:r w:rsidR="001C34FC">
        <w:rPr>
          <w:lang w:val="fr-FR"/>
        </w:rPr>
        <w:t>es blessures imputables directement ou indirec</w:t>
      </w:r>
      <w:r w:rsidR="00AB7C5A">
        <w:rPr>
          <w:lang w:val="fr-FR"/>
        </w:rPr>
        <w:t>t</w:t>
      </w:r>
      <w:r w:rsidR="001C34FC">
        <w:rPr>
          <w:lang w:val="fr-FR"/>
        </w:rPr>
        <w:t xml:space="preserve">ement au Taser </w:t>
      </w:r>
      <w:r w:rsidR="00AB7C5A">
        <w:rPr>
          <w:lang w:val="fr-FR"/>
        </w:rPr>
        <w:t>ne sont pas exclus</w:t>
      </w:r>
      <w:r w:rsidR="000B562B" w:rsidRPr="00A176EA">
        <w:rPr>
          <w:lang w:val="fr-FR"/>
        </w:rPr>
        <w:t>.</w:t>
      </w:r>
    </w:p>
    <w:p w:rsidR="000B562B" w:rsidRPr="00A176EA" w:rsidRDefault="002549A9" w:rsidP="007977DD">
      <w:pPr>
        <w:pStyle w:val="SingleTxtG"/>
        <w:rPr>
          <w:lang w:val="fr-FR"/>
        </w:rPr>
      </w:pPr>
      <w:r w:rsidRPr="00A176EA">
        <w:rPr>
          <w:lang w:val="fr-FR"/>
        </w:rPr>
        <w:t>316.</w:t>
      </w:r>
      <w:r w:rsidRPr="00A176EA">
        <w:rPr>
          <w:lang w:val="fr-FR"/>
        </w:rPr>
        <w:tab/>
      </w:r>
      <w:r w:rsidR="001C34FC">
        <w:rPr>
          <w:lang w:val="fr-FR"/>
        </w:rPr>
        <w:t xml:space="preserve">L’utilisation </w:t>
      </w:r>
      <w:r w:rsidR="00AB7C5A">
        <w:rPr>
          <w:lang w:val="fr-FR"/>
        </w:rPr>
        <w:t xml:space="preserve">concrète </w:t>
      </w:r>
      <w:r w:rsidR="001C34FC">
        <w:rPr>
          <w:lang w:val="fr-FR"/>
        </w:rPr>
        <w:t>du Taser a révélé les points suivants</w:t>
      </w:r>
      <w:r w:rsidR="00FC2B97">
        <w:rPr>
          <w:lang w:val="fr-FR"/>
        </w:rPr>
        <w:t>:</w:t>
      </w:r>
    </w:p>
    <w:p w:rsidR="000B562B" w:rsidRPr="00A176EA" w:rsidRDefault="001C34FC" w:rsidP="00BC0033">
      <w:pPr>
        <w:pStyle w:val="Bullet1G"/>
      </w:pPr>
      <w:r>
        <w:t xml:space="preserve">Il a contribué à régler des incidents </w:t>
      </w:r>
      <w:r w:rsidR="00864EC7">
        <w:t>sans infliger de blessures alors que, sinon, il y aurait eu une réelle possibilité que quelqu’un soit abattu et tué</w:t>
      </w:r>
      <w:r w:rsidR="000B562B" w:rsidRPr="00A176EA">
        <w:t>.</w:t>
      </w:r>
    </w:p>
    <w:p w:rsidR="000B562B" w:rsidRPr="00A176EA" w:rsidRDefault="00A60D8A" w:rsidP="00BC0033">
      <w:pPr>
        <w:pStyle w:val="Bullet1G"/>
      </w:pPr>
      <w:r>
        <w:t>Il</w:t>
      </w:r>
      <w:r w:rsidR="00864EC7">
        <w:t xml:space="preserve"> produit un fort effet dissuasif et, à plusieurs reprises, son seul déploiement a suffi à arrêter les délinquants potentiels. </w:t>
      </w:r>
      <w:r>
        <w:t>Cela fonctionne d’autant mieux</w:t>
      </w:r>
      <w:r w:rsidR="00C758E9">
        <w:t xml:space="preserve"> lorsque le point rouge du viseur est dirigé sur la personne</w:t>
      </w:r>
      <w:r w:rsidR="000B562B" w:rsidRPr="00A176EA">
        <w:t>.</w:t>
      </w:r>
    </w:p>
    <w:p w:rsidR="000B562B" w:rsidRPr="00A176EA" w:rsidRDefault="00C758E9" w:rsidP="00BC0033">
      <w:pPr>
        <w:pStyle w:val="Bullet1G"/>
      </w:pPr>
      <w:r>
        <w:t xml:space="preserve">Lorsque </w:t>
      </w:r>
      <w:r w:rsidR="00A60D8A">
        <w:t>l’on tire</w:t>
      </w:r>
      <w:r w:rsidR="00954A60">
        <w:t xml:space="preserve"> avec un Taser</w:t>
      </w:r>
      <w:r w:rsidR="00A60D8A">
        <w:t xml:space="preserve">, l’éventualité d’une blessure grave et durable peut être moindre qu’avec une arme à feu ou </w:t>
      </w:r>
      <w:r w:rsidR="00446905">
        <w:t>un projectile d’impact</w:t>
      </w:r>
      <w:r w:rsidR="000B562B" w:rsidRPr="00A176EA">
        <w:t>.</w:t>
      </w:r>
    </w:p>
    <w:p w:rsidR="000B562B" w:rsidRPr="00A176EA" w:rsidRDefault="002549A9" w:rsidP="00BC621D">
      <w:pPr>
        <w:pStyle w:val="SingleTxtG"/>
        <w:rPr>
          <w:lang w:val="fr-FR"/>
        </w:rPr>
      </w:pPr>
      <w:r w:rsidRPr="00A176EA">
        <w:rPr>
          <w:lang w:val="fr-FR"/>
        </w:rPr>
        <w:t>317.</w:t>
      </w:r>
      <w:r w:rsidRPr="00A176EA">
        <w:rPr>
          <w:lang w:val="fr-FR"/>
        </w:rPr>
        <w:tab/>
      </w:r>
      <w:r w:rsidR="00D71604" w:rsidRPr="00111319">
        <w:rPr>
          <w:lang w:val="fr-FR"/>
        </w:rPr>
        <w:t>Au 1</w:t>
      </w:r>
      <w:r w:rsidR="00D71604" w:rsidRPr="00111319">
        <w:rPr>
          <w:vertAlign w:val="superscript"/>
          <w:lang w:val="fr-FR"/>
        </w:rPr>
        <w:t>er</w:t>
      </w:r>
      <w:r w:rsidR="00D71604" w:rsidRPr="00111319">
        <w:rPr>
          <w:lang w:val="fr-FR"/>
        </w:rPr>
        <w:t xml:space="preserve"> novembre</w:t>
      </w:r>
      <w:r w:rsidR="000B562B" w:rsidRPr="00111319">
        <w:rPr>
          <w:lang w:val="fr-FR"/>
        </w:rPr>
        <w:t xml:space="preserve"> 2010</w:t>
      </w:r>
      <w:r w:rsidR="00D71604" w:rsidRPr="00111319">
        <w:rPr>
          <w:lang w:val="fr-FR"/>
        </w:rPr>
        <w:t>, le</w:t>
      </w:r>
      <w:r w:rsidR="000B562B" w:rsidRPr="00111319">
        <w:rPr>
          <w:lang w:val="fr-FR"/>
        </w:rPr>
        <w:t xml:space="preserve"> Taser </w:t>
      </w:r>
      <w:r w:rsidR="00D71604" w:rsidRPr="00111319">
        <w:rPr>
          <w:lang w:val="fr-FR"/>
        </w:rPr>
        <w:t>avait été utilisé plus de</w:t>
      </w:r>
      <w:r w:rsidR="000B562B" w:rsidRPr="00111319">
        <w:rPr>
          <w:lang w:val="fr-FR"/>
        </w:rPr>
        <w:t xml:space="preserve"> 6</w:t>
      </w:r>
      <w:r w:rsidR="0095235A">
        <w:rPr>
          <w:lang w:val="fr-FR"/>
        </w:rPr>
        <w:t> </w:t>
      </w:r>
      <w:r w:rsidR="000B562B" w:rsidRPr="00111319">
        <w:rPr>
          <w:lang w:val="fr-FR"/>
        </w:rPr>
        <w:t xml:space="preserve">000 </w:t>
      </w:r>
      <w:r w:rsidR="00D71604" w:rsidRPr="00111319">
        <w:rPr>
          <w:lang w:val="fr-FR"/>
        </w:rPr>
        <w:t>fois depuis son</w:t>
      </w:r>
      <w:r w:rsidR="000B562B" w:rsidRPr="00111319">
        <w:rPr>
          <w:lang w:val="fr-FR"/>
        </w:rPr>
        <w:t xml:space="preserve"> </w:t>
      </w:r>
      <w:r w:rsidR="006370AE" w:rsidRPr="00111319">
        <w:rPr>
          <w:lang w:val="fr-FR"/>
        </w:rPr>
        <w:t xml:space="preserve">introduction </w:t>
      </w:r>
      <w:r w:rsidR="00D71604" w:rsidRPr="00111319">
        <w:rPr>
          <w:lang w:val="fr-FR"/>
        </w:rPr>
        <w:t>e</w:t>
      </w:r>
      <w:r w:rsidR="006370AE" w:rsidRPr="00111319">
        <w:rPr>
          <w:lang w:val="fr-FR"/>
        </w:rPr>
        <w:t xml:space="preserve">n </w:t>
      </w:r>
      <w:r w:rsidR="00D71604" w:rsidRPr="00111319">
        <w:rPr>
          <w:lang w:val="fr-FR"/>
        </w:rPr>
        <w:t>av</w:t>
      </w:r>
      <w:r w:rsidR="006370AE" w:rsidRPr="00111319">
        <w:rPr>
          <w:lang w:val="fr-FR"/>
        </w:rPr>
        <w:t>ril 2004</w:t>
      </w:r>
      <w:r w:rsidR="00BC621D">
        <w:rPr>
          <w:rStyle w:val="FootnoteReference"/>
        </w:rPr>
        <w:footnoteReference w:id="43"/>
      </w:r>
      <w:r w:rsidR="006370AE" w:rsidRPr="00111319">
        <w:rPr>
          <w:lang w:val="fr-FR"/>
        </w:rPr>
        <w:t>.</w:t>
      </w:r>
      <w:r w:rsidR="000B562B" w:rsidRPr="00111319">
        <w:rPr>
          <w:lang w:val="fr-FR"/>
        </w:rPr>
        <w:t xml:space="preserve"> </w:t>
      </w:r>
      <w:r w:rsidR="006370AE" w:rsidRPr="00111319">
        <w:rPr>
          <w:lang w:val="fr-FR"/>
        </w:rPr>
        <w:t>Il n’y a eu ni blessure grave ni décès</w:t>
      </w:r>
      <w:r w:rsidR="000B562B" w:rsidRPr="00111319">
        <w:rPr>
          <w:lang w:val="fr-FR"/>
        </w:rPr>
        <w:t>.</w:t>
      </w:r>
      <w:r w:rsidR="000B562B" w:rsidRPr="00A176EA">
        <w:rPr>
          <w:lang w:val="fr-FR"/>
        </w:rPr>
        <w:t xml:space="preserve"> </w:t>
      </w:r>
      <w:r w:rsidR="00111319">
        <w:rPr>
          <w:lang w:val="fr-FR"/>
        </w:rPr>
        <w:t xml:space="preserve">Dans la vaste majorité des cas, le détenteur du Taser ne tire pas. Dans près de deux tiers des cas, dégainer, </w:t>
      </w:r>
      <w:r w:rsidR="00375AC5">
        <w:rPr>
          <w:lang w:val="fr-FR"/>
        </w:rPr>
        <w:t>mettre en joue</w:t>
      </w:r>
      <w:r w:rsidR="00111319">
        <w:rPr>
          <w:lang w:val="fr-FR"/>
        </w:rPr>
        <w:t xml:space="preserve"> ou </w:t>
      </w:r>
      <w:r w:rsidR="00375AC5">
        <w:rPr>
          <w:lang w:val="fr-FR"/>
        </w:rPr>
        <w:t xml:space="preserve">viser avec le point rouge suffit pour </w:t>
      </w:r>
      <w:r w:rsidR="00B753B9">
        <w:rPr>
          <w:lang w:val="fr-FR"/>
        </w:rPr>
        <w:t>désamorcer</w:t>
      </w:r>
      <w:r w:rsidR="00375AC5">
        <w:rPr>
          <w:lang w:val="fr-FR"/>
        </w:rPr>
        <w:t xml:space="preserve"> et </w:t>
      </w:r>
      <w:r w:rsidR="00B753B9">
        <w:rPr>
          <w:lang w:val="fr-FR"/>
        </w:rPr>
        <w:t>régler</w:t>
      </w:r>
      <w:r w:rsidR="00375AC5">
        <w:rPr>
          <w:lang w:val="fr-FR"/>
        </w:rPr>
        <w:t xml:space="preserve"> l’incident violent (le point rouge du viseur est dirigé sur le sujet mais le tir n’est pas déclenché</w:t>
      </w:r>
      <w:r w:rsidR="000B562B" w:rsidRPr="00A176EA">
        <w:rPr>
          <w:lang w:val="fr-FR"/>
        </w:rPr>
        <w:t>).</w:t>
      </w:r>
    </w:p>
    <w:p w:rsidR="000B562B" w:rsidRPr="00375AC5" w:rsidRDefault="000B562B" w:rsidP="007977DD">
      <w:pPr>
        <w:pStyle w:val="H23G"/>
        <w:rPr>
          <w:lang w:val="fr-FR"/>
        </w:rPr>
      </w:pPr>
      <w:r w:rsidRPr="00375AC5">
        <w:rPr>
          <w:lang w:val="fr-FR"/>
        </w:rPr>
        <w:t>U</w:t>
      </w:r>
      <w:r w:rsidR="00DE0E9E" w:rsidRPr="00375AC5">
        <w:rPr>
          <w:lang w:val="fr-FR"/>
        </w:rPr>
        <w:t xml:space="preserve">tilisation du projectile à létalité </w:t>
      </w:r>
      <w:r w:rsidR="0083054F" w:rsidRPr="00375AC5">
        <w:rPr>
          <w:lang w:val="fr-FR"/>
        </w:rPr>
        <w:t>réduite</w:t>
      </w:r>
    </w:p>
    <w:p w:rsidR="000B562B" w:rsidRPr="00375AC5" w:rsidRDefault="002549A9" w:rsidP="00775B68">
      <w:pPr>
        <w:pStyle w:val="SingleTxtG"/>
        <w:rPr>
          <w:lang w:val="fr-FR"/>
        </w:rPr>
      </w:pPr>
      <w:r w:rsidRPr="00375AC5">
        <w:rPr>
          <w:lang w:val="fr-FR"/>
        </w:rPr>
        <w:t>318.</w:t>
      </w:r>
      <w:r w:rsidRPr="00375AC5">
        <w:rPr>
          <w:lang w:val="fr-FR"/>
        </w:rPr>
        <w:tab/>
      </w:r>
      <w:r w:rsidR="00D2675F" w:rsidRPr="00375AC5">
        <w:rPr>
          <w:lang w:val="fr-FR"/>
        </w:rPr>
        <w:t>Le rapport de la Commission indépendante sur le</w:t>
      </w:r>
      <w:r w:rsidR="003F3740" w:rsidRPr="00375AC5">
        <w:rPr>
          <w:lang w:val="fr-FR"/>
        </w:rPr>
        <w:t>s</w:t>
      </w:r>
      <w:r w:rsidR="00D2675F" w:rsidRPr="00375AC5">
        <w:rPr>
          <w:lang w:val="fr-FR"/>
        </w:rPr>
        <w:t xml:space="preserve"> </w:t>
      </w:r>
      <w:r w:rsidR="003F3740" w:rsidRPr="00375AC5">
        <w:rPr>
          <w:lang w:val="fr-FR"/>
        </w:rPr>
        <w:t xml:space="preserve">pratiques policières </w:t>
      </w:r>
      <w:r w:rsidR="00D2675F" w:rsidRPr="00375AC5">
        <w:rPr>
          <w:lang w:val="fr-FR"/>
        </w:rPr>
        <w:t>en Irlande du Nord</w:t>
      </w:r>
      <w:r w:rsidR="000B562B" w:rsidRPr="00375AC5">
        <w:rPr>
          <w:lang w:val="fr-FR"/>
        </w:rPr>
        <w:t xml:space="preserve">, </w:t>
      </w:r>
      <w:r w:rsidR="00B753B9">
        <w:rPr>
          <w:lang w:val="fr-FR"/>
        </w:rPr>
        <w:t>ou</w:t>
      </w:r>
      <w:r w:rsidR="000B562B" w:rsidRPr="00375AC5">
        <w:rPr>
          <w:lang w:val="fr-FR"/>
        </w:rPr>
        <w:t xml:space="preserve"> </w:t>
      </w:r>
      <w:r w:rsidR="00885FDA" w:rsidRPr="00375AC5">
        <w:rPr>
          <w:lang w:val="fr-FR"/>
        </w:rPr>
        <w:t xml:space="preserve">rapport </w:t>
      </w:r>
      <w:r w:rsidR="000B562B" w:rsidRPr="00375AC5">
        <w:rPr>
          <w:lang w:val="fr-FR"/>
        </w:rPr>
        <w:t>Patten</w:t>
      </w:r>
      <w:r w:rsidR="00775B68">
        <w:rPr>
          <w:rStyle w:val="FootnoteReference"/>
        </w:rPr>
        <w:footnoteReference w:id="44"/>
      </w:r>
      <w:r w:rsidR="00885FDA" w:rsidRPr="00375AC5">
        <w:rPr>
          <w:lang w:val="fr-FR"/>
        </w:rPr>
        <w:t>,</w:t>
      </w:r>
      <w:r w:rsidR="000B562B" w:rsidRPr="00375AC5">
        <w:rPr>
          <w:lang w:val="fr-FR"/>
        </w:rPr>
        <w:t xml:space="preserve"> </w:t>
      </w:r>
      <w:r w:rsidR="00885FDA" w:rsidRPr="00375AC5">
        <w:rPr>
          <w:lang w:val="fr-FR"/>
        </w:rPr>
        <w:t>publié en septembre</w:t>
      </w:r>
      <w:r w:rsidR="000B562B" w:rsidRPr="00375AC5">
        <w:rPr>
          <w:lang w:val="fr-FR"/>
        </w:rPr>
        <w:t xml:space="preserve"> 1999, </w:t>
      </w:r>
      <w:r w:rsidR="00885FDA" w:rsidRPr="00375AC5">
        <w:rPr>
          <w:lang w:val="fr-FR"/>
        </w:rPr>
        <w:t xml:space="preserve">contient notamment deux </w:t>
      </w:r>
      <w:r w:rsidR="000B562B" w:rsidRPr="00375AC5">
        <w:rPr>
          <w:lang w:val="fr-FR"/>
        </w:rPr>
        <w:t>recomm</w:t>
      </w:r>
      <w:r w:rsidR="00885FDA" w:rsidRPr="00375AC5">
        <w:rPr>
          <w:lang w:val="fr-FR"/>
        </w:rPr>
        <w:t>a</w:t>
      </w:r>
      <w:r w:rsidR="000B562B" w:rsidRPr="00375AC5">
        <w:rPr>
          <w:lang w:val="fr-FR"/>
        </w:rPr>
        <w:t xml:space="preserve">ndations </w:t>
      </w:r>
      <w:r w:rsidR="00885FDA" w:rsidRPr="00375AC5">
        <w:rPr>
          <w:lang w:val="fr-FR"/>
        </w:rPr>
        <w:t>relatives à l’utilisation de</w:t>
      </w:r>
      <w:r w:rsidR="000B562B" w:rsidRPr="00375AC5">
        <w:rPr>
          <w:lang w:val="fr-FR"/>
        </w:rPr>
        <w:t xml:space="preserve"> </w:t>
      </w:r>
      <w:r w:rsidR="00BC4BF8" w:rsidRPr="00375AC5">
        <w:rPr>
          <w:lang w:val="fr-FR"/>
        </w:rPr>
        <w:t xml:space="preserve">balles en </w:t>
      </w:r>
      <w:r w:rsidR="003F3740" w:rsidRPr="00375AC5">
        <w:rPr>
          <w:lang w:val="fr-FR"/>
        </w:rPr>
        <w:t>plastique</w:t>
      </w:r>
      <w:r w:rsidR="000B562B" w:rsidRPr="00375AC5">
        <w:rPr>
          <w:lang w:val="fr-FR"/>
        </w:rPr>
        <w:t>.</w:t>
      </w:r>
    </w:p>
    <w:p w:rsidR="000B562B" w:rsidRPr="00A176EA" w:rsidRDefault="002549A9" w:rsidP="00C022DC">
      <w:pPr>
        <w:pStyle w:val="SingleTxtG"/>
        <w:rPr>
          <w:lang w:val="fr-FR"/>
        </w:rPr>
      </w:pPr>
      <w:r w:rsidRPr="00375AC5">
        <w:rPr>
          <w:lang w:val="fr-FR"/>
        </w:rPr>
        <w:t>319.</w:t>
      </w:r>
      <w:r w:rsidRPr="00375AC5">
        <w:rPr>
          <w:lang w:val="fr-FR"/>
        </w:rPr>
        <w:tab/>
      </w:r>
      <w:r w:rsidR="00D62763" w:rsidRPr="00375AC5">
        <w:rPr>
          <w:lang w:val="fr-FR"/>
        </w:rPr>
        <w:t>Les r</w:t>
      </w:r>
      <w:r w:rsidR="000B562B" w:rsidRPr="00375AC5">
        <w:rPr>
          <w:lang w:val="fr-FR"/>
        </w:rPr>
        <w:t>ecomm</w:t>
      </w:r>
      <w:r w:rsidR="00D62763" w:rsidRPr="00375AC5">
        <w:rPr>
          <w:lang w:val="fr-FR"/>
        </w:rPr>
        <w:t>an</w:t>
      </w:r>
      <w:r w:rsidR="000B562B" w:rsidRPr="00375AC5">
        <w:rPr>
          <w:lang w:val="fr-FR"/>
        </w:rPr>
        <w:t xml:space="preserve">dations 69 </w:t>
      </w:r>
      <w:r w:rsidR="00D62763" w:rsidRPr="00375AC5">
        <w:rPr>
          <w:lang w:val="fr-FR"/>
        </w:rPr>
        <w:t>et</w:t>
      </w:r>
      <w:r w:rsidR="000B562B" w:rsidRPr="00375AC5">
        <w:rPr>
          <w:lang w:val="fr-FR"/>
        </w:rPr>
        <w:t xml:space="preserve"> 70 </w:t>
      </w:r>
      <w:r w:rsidR="00C022DC">
        <w:rPr>
          <w:lang w:val="fr-FR"/>
        </w:rPr>
        <w:t>préconisent</w:t>
      </w:r>
      <w:r w:rsidR="00885FDA" w:rsidRPr="00375AC5">
        <w:rPr>
          <w:lang w:val="fr-FR"/>
        </w:rPr>
        <w:t xml:space="preserve"> </w:t>
      </w:r>
      <w:r w:rsidR="00CD0110">
        <w:rPr>
          <w:lang w:val="fr-FR"/>
        </w:rPr>
        <w:t>«</w:t>
      </w:r>
      <w:r w:rsidR="00C022DC" w:rsidRPr="00182C39">
        <w:rPr>
          <w:lang w:val="fr-FR"/>
        </w:rPr>
        <w:t>d’investir immédiatement, et de façon conséquente, dans un programme de recherches pour trouver un substitut</w:t>
      </w:r>
      <w:r w:rsidR="00C9201F" w:rsidRPr="00182C39">
        <w:rPr>
          <w:lang w:val="fr-FR"/>
        </w:rPr>
        <w:t xml:space="preserve"> </w:t>
      </w:r>
      <w:r w:rsidR="00C022DC" w:rsidRPr="00182C39">
        <w:rPr>
          <w:lang w:val="fr-FR"/>
        </w:rPr>
        <w:t xml:space="preserve">acceptable, efficace et moins potentiellement létal </w:t>
      </w:r>
      <w:r w:rsidR="00182C39" w:rsidRPr="00182C39">
        <w:rPr>
          <w:lang w:val="fr-FR"/>
        </w:rPr>
        <w:t>aux</w:t>
      </w:r>
      <w:r w:rsidR="00C022DC" w:rsidRPr="00182C39">
        <w:rPr>
          <w:lang w:val="fr-FR"/>
        </w:rPr>
        <w:t xml:space="preserve"> </w:t>
      </w:r>
      <w:r w:rsidR="00BC4BF8" w:rsidRPr="00182C39">
        <w:rPr>
          <w:lang w:val="fr-FR"/>
        </w:rPr>
        <w:t xml:space="preserve">balles en </w:t>
      </w:r>
      <w:r w:rsidR="003F3740" w:rsidRPr="00182C39">
        <w:rPr>
          <w:lang w:val="fr-FR"/>
        </w:rPr>
        <w:t>plastique</w:t>
      </w:r>
      <w:r w:rsidR="00CD0110">
        <w:rPr>
          <w:lang w:val="fr-FR"/>
        </w:rPr>
        <w:t>»</w:t>
      </w:r>
      <w:r w:rsidR="000B562B" w:rsidRPr="00182C39">
        <w:rPr>
          <w:lang w:val="fr-FR"/>
        </w:rPr>
        <w:t xml:space="preserve"> </w:t>
      </w:r>
      <w:r w:rsidR="00C022DC" w:rsidRPr="00182C39">
        <w:rPr>
          <w:lang w:val="fr-FR"/>
        </w:rPr>
        <w:t>et</w:t>
      </w:r>
      <w:r w:rsidR="000B562B" w:rsidRPr="00182C39">
        <w:rPr>
          <w:lang w:val="fr-FR"/>
        </w:rPr>
        <w:t xml:space="preserve"> </w:t>
      </w:r>
      <w:r w:rsidR="00CD0110">
        <w:rPr>
          <w:lang w:val="fr-FR"/>
        </w:rPr>
        <w:t>«</w:t>
      </w:r>
      <w:r w:rsidR="00C022DC" w:rsidRPr="00182C39">
        <w:rPr>
          <w:lang w:val="fr-FR"/>
        </w:rPr>
        <w:t>que la</w:t>
      </w:r>
      <w:r w:rsidR="000B562B" w:rsidRPr="00182C39">
        <w:rPr>
          <w:lang w:val="fr-FR"/>
        </w:rPr>
        <w:t xml:space="preserve"> police </w:t>
      </w:r>
      <w:r w:rsidR="00C022DC" w:rsidRPr="00182C39">
        <w:rPr>
          <w:lang w:val="fr-FR"/>
        </w:rPr>
        <w:t>soit équipée d’un plus grand nombre de dispositifs</w:t>
      </w:r>
      <w:r w:rsidR="000B562B" w:rsidRPr="00182C39">
        <w:rPr>
          <w:lang w:val="fr-FR"/>
        </w:rPr>
        <w:t xml:space="preserve"> </w:t>
      </w:r>
      <w:r w:rsidR="00604447" w:rsidRPr="00182C39">
        <w:rPr>
          <w:lang w:val="fr-FR"/>
        </w:rPr>
        <w:t xml:space="preserve">pour le maintien de l’ordre public que ceux que possèdent actuellement </w:t>
      </w:r>
      <w:r w:rsidR="003F3740" w:rsidRPr="00182C39">
        <w:rPr>
          <w:lang w:val="fr-FR"/>
        </w:rPr>
        <w:t>les</w:t>
      </w:r>
      <w:r w:rsidR="000B562B" w:rsidRPr="00182C39">
        <w:rPr>
          <w:lang w:val="fr-FR"/>
        </w:rPr>
        <w:t xml:space="preserve"> </w:t>
      </w:r>
      <w:r w:rsidR="003F3740" w:rsidRPr="00182C39">
        <w:rPr>
          <w:lang w:val="fr-FR"/>
        </w:rPr>
        <w:t>Services de police d’Irlande du Nord</w:t>
      </w:r>
      <w:r w:rsidR="000B562B" w:rsidRPr="00182C39">
        <w:rPr>
          <w:lang w:val="fr-FR"/>
        </w:rPr>
        <w:t xml:space="preserve">, </w:t>
      </w:r>
      <w:r w:rsidR="00604447" w:rsidRPr="00182C39">
        <w:rPr>
          <w:lang w:val="fr-FR"/>
        </w:rPr>
        <w:t xml:space="preserve">de façon à ce qu’un commandant dispose de plusieurs options </w:t>
      </w:r>
      <w:r w:rsidR="00182C39" w:rsidRPr="00182C39">
        <w:rPr>
          <w:lang w:val="fr-FR"/>
        </w:rPr>
        <w:t>pour réduire ou retarder le recours aux</w:t>
      </w:r>
      <w:r w:rsidR="000B562B" w:rsidRPr="00182C39">
        <w:rPr>
          <w:lang w:val="fr-FR"/>
        </w:rPr>
        <w:t xml:space="preserve"> </w:t>
      </w:r>
      <w:r w:rsidR="00BC4BF8" w:rsidRPr="00182C39">
        <w:rPr>
          <w:lang w:val="fr-FR"/>
        </w:rPr>
        <w:t xml:space="preserve">balles en </w:t>
      </w:r>
      <w:r w:rsidR="003F3740" w:rsidRPr="00182C39">
        <w:rPr>
          <w:lang w:val="fr-FR"/>
        </w:rPr>
        <w:t>plastique</w:t>
      </w:r>
      <w:r w:rsidR="00CD0110">
        <w:rPr>
          <w:lang w:val="fr-FR"/>
        </w:rPr>
        <w:t>»</w:t>
      </w:r>
      <w:r w:rsidR="000B562B" w:rsidRPr="00182C39">
        <w:rPr>
          <w:lang w:val="fr-FR"/>
        </w:rPr>
        <w:t>.</w:t>
      </w:r>
    </w:p>
    <w:p w:rsidR="000B562B" w:rsidRPr="00A176EA" w:rsidRDefault="002549A9" w:rsidP="00182C39">
      <w:pPr>
        <w:pStyle w:val="SingleTxtG"/>
        <w:rPr>
          <w:lang w:val="fr-FR"/>
        </w:rPr>
      </w:pPr>
      <w:r w:rsidRPr="00A176EA">
        <w:rPr>
          <w:lang w:val="fr-FR"/>
        </w:rPr>
        <w:t>320.</w:t>
      </w:r>
      <w:r w:rsidRPr="00A176EA">
        <w:rPr>
          <w:lang w:val="fr-FR"/>
        </w:rPr>
        <w:tab/>
      </w:r>
      <w:r w:rsidR="00182C39">
        <w:rPr>
          <w:lang w:val="fr-FR"/>
        </w:rPr>
        <w:t>Ces</w:t>
      </w:r>
      <w:r w:rsidR="000B562B" w:rsidRPr="00A176EA">
        <w:rPr>
          <w:lang w:val="fr-FR"/>
        </w:rPr>
        <w:t xml:space="preserve"> recomm</w:t>
      </w:r>
      <w:r w:rsidR="00182C39">
        <w:rPr>
          <w:lang w:val="fr-FR"/>
        </w:rPr>
        <w:t>a</w:t>
      </w:r>
      <w:r w:rsidR="000B562B" w:rsidRPr="00A176EA">
        <w:rPr>
          <w:lang w:val="fr-FR"/>
        </w:rPr>
        <w:t xml:space="preserve">ndations </w:t>
      </w:r>
      <w:r w:rsidR="00182C39">
        <w:rPr>
          <w:lang w:val="fr-FR"/>
        </w:rPr>
        <w:t xml:space="preserve">ont entraîné la création du </w:t>
      </w:r>
      <w:r w:rsidR="00414AC1">
        <w:rPr>
          <w:lang w:val="fr-FR"/>
        </w:rPr>
        <w:t>Comité</w:t>
      </w:r>
      <w:r w:rsidR="00182C39">
        <w:rPr>
          <w:lang w:val="fr-FR"/>
        </w:rPr>
        <w:t xml:space="preserve"> directeur britannique chargé d’examiner d’autres approches politiques en matière de gestion des conflits</w:t>
      </w:r>
      <w:r w:rsidR="000B562B" w:rsidRPr="00A176EA">
        <w:rPr>
          <w:lang w:val="fr-FR"/>
        </w:rPr>
        <w:t>.</w:t>
      </w:r>
    </w:p>
    <w:p w:rsidR="000B562B" w:rsidRPr="00A176EA" w:rsidRDefault="002549A9" w:rsidP="00D930C0">
      <w:pPr>
        <w:pStyle w:val="SingleTxtG"/>
        <w:rPr>
          <w:lang w:val="fr-FR"/>
        </w:rPr>
      </w:pPr>
      <w:r w:rsidRPr="00A176EA">
        <w:rPr>
          <w:lang w:val="fr-FR"/>
        </w:rPr>
        <w:t>321.</w:t>
      </w:r>
      <w:r w:rsidRPr="00A176EA">
        <w:rPr>
          <w:lang w:val="fr-FR"/>
        </w:rPr>
        <w:tab/>
      </w:r>
      <w:r w:rsidR="00182C39">
        <w:rPr>
          <w:lang w:val="fr-FR"/>
        </w:rPr>
        <w:t xml:space="preserve">Les objectifs généraux du travail du </w:t>
      </w:r>
      <w:r w:rsidR="00414AC1">
        <w:rPr>
          <w:lang w:val="fr-FR"/>
        </w:rPr>
        <w:t>Comité</w:t>
      </w:r>
      <w:r w:rsidR="00182C39">
        <w:rPr>
          <w:lang w:val="fr-FR"/>
        </w:rPr>
        <w:t xml:space="preserve"> directeur étaient de déterminer s’il existait des substituts acceptables, efficaces et moins potentiellement létaux aux munitions-bâtons et d’examiner </w:t>
      </w:r>
      <w:r w:rsidR="00AB7C5A">
        <w:rPr>
          <w:lang w:val="fr-FR"/>
        </w:rPr>
        <w:t>le matériel</w:t>
      </w:r>
      <w:r w:rsidR="00182C39">
        <w:rPr>
          <w:lang w:val="fr-FR"/>
        </w:rPr>
        <w:t xml:space="preserve"> actuellement disponible pour le maintien de l’ordre ou </w:t>
      </w:r>
      <w:r w:rsidR="00AB7C5A">
        <w:rPr>
          <w:lang w:val="fr-FR"/>
        </w:rPr>
        <w:t xml:space="preserve">celui </w:t>
      </w:r>
      <w:r w:rsidR="00182C39">
        <w:rPr>
          <w:lang w:val="fr-FR"/>
        </w:rPr>
        <w:t>qui pourrait être développ</w:t>
      </w:r>
      <w:r w:rsidR="00D930C0">
        <w:rPr>
          <w:lang w:val="fr-FR"/>
        </w:rPr>
        <w:t>é</w:t>
      </w:r>
      <w:r w:rsidR="00182C39">
        <w:rPr>
          <w:lang w:val="fr-FR"/>
        </w:rPr>
        <w:t xml:space="preserve"> afin d’élargir la gamme d’options tactiques</w:t>
      </w:r>
      <w:r w:rsidR="00D930C0">
        <w:rPr>
          <w:lang w:val="fr-FR"/>
        </w:rPr>
        <w:t xml:space="preserve"> à la disposition des commandants d’opération</w:t>
      </w:r>
      <w:r w:rsidR="000B562B" w:rsidRPr="00A176EA">
        <w:rPr>
          <w:lang w:val="fr-FR"/>
        </w:rPr>
        <w:t>.</w:t>
      </w:r>
    </w:p>
    <w:p w:rsidR="000B562B" w:rsidRPr="00A176EA" w:rsidRDefault="002549A9" w:rsidP="00B80620">
      <w:pPr>
        <w:pStyle w:val="SingleTxtG"/>
        <w:rPr>
          <w:lang w:val="fr-FR"/>
        </w:rPr>
      </w:pPr>
      <w:r w:rsidRPr="00A176EA">
        <w:rPr>
          <w:lang w:val="fr-FR"/>
        </w:rPr>
        <w:t>322.</w:t>
      </w:r>
      <w:r w:rsidRPr="00A176EA">
        <w:rPr>
          <w:lang w:val="fr-FR"/>
        </w:rPr>
        <w:tab/>
      </w:r>
      <w:r w:rsidR="00D930C0">
        <w:rPr>
          <w:lang w:val="fr-FR"/>
        </w:rPr>
        <w:t xml:space="preserve">Le </w:t>
      </w:r>
      <w:r w:rsidR="00414AC1">
        <w:rPr>
          <w:lang w:val="fr-FR"/>
        </w:rPr>
        <w:t>Comité dir</w:t>
      </w:r>
      <w:r w:rsidR="00D930C0">
        <w:rPr>
          <w:lang w:val="fr-FR"/>
        </w:rPr>
        <w:t xml:space="preserve">ecteur, actuellement présidé par le Ministre de l’intérieur et dont les membres viennent de tout le Royaume-Uni, comprend des représentants </w:t>
      </w:r>
      <w:r w:rsidR="007B25B5">
        <w:rPr>
          <w:lang w:val="fr-FR"/>
        </w:rPr>
        <w:t>d’organismes de contrôle, des hauts fonctionnaires de la police</w:t>
      </w:r>
      <w:r w:rsidR="00B753B9">
        <w:rPr>
          <w:lang w:val="fr-FR"/>
        </w:rPr>
        <w:t>,</w:t>
      </w:r>
      <w:r w:rsidR="007B25B5">
        <w:rPr>
          <w:lang w:val="fr-FR"/>
        </w:rPr>
        <w:t xml:space="preserve"> des praticiens et </w:t>
      </w:r>
      <w:r w:rsidR="00B753B9">
        <w:rPr>
          <w:lang w:val="fr-FR"/>
        </w:rPr>
        <w:t>des</w:t>
      </w:r>
      <w:r w:rsidR="007B25B5">
        <w:rPr>
          <w:lang w:val="fr-FR"/>
        </w:rPr>
        <w:t xml:space="preserve"> spécialistes scientifiques, techniques et opérationnels de la gestion des conflits et des questions </w:t>
      </w:r>
      <w:r w:rsidR="00B80620">
        <w:rPr>
          <w:lang w:val="fr-FR"/>
        </w:rPr>
        <w:t xml:space="preserve">liées </w:t>
      </w:r>
      <w:r w:rsidR="00B3389B">
        <w:rPr>
          <w:lang w:val="fr-FR"/>
        </w:rPr>
        <w:t>au règlement</w:t>
      </w:r>
      <w:r w:rsidR="00B80620">
        <w:rPr>
          <w:lang w:val="fr-FR"/>
        </w:rPr>
        <w:t xml:space="preserve"> d’incidents potentiellement violents</w:t>
      </w:r>
      <w:r w:rsidR="000B562B" w:rsidRPr="00A176EA">
        <w:rPr>
          <w:lang w:val="fr-FR"/>
        </w:rPr>
        <w:t>.</w:t>
      </w:r>
    </w:p>
    <w:p w:rsidR="000B562B" w:rsidRPr="00A176EA" w:rsidRDefault="002549A9" w:rsidP="00B80620">
      <w:pPr>
        <w:pStyle w:val="SingleTxtG"/>
        <w:rPr>
          <w:lang w:val="fr-FR"/>
        </w:rPr>
      </w:pPr>
      <w:r w:rsidRPr="00A176EA">
        <w:rPr>
          <w:lang w:val="fr-FR"/>
        </w:rPr>
        <w:t>323.</w:t>
      </w:r>
      <w:r w:rsidRPr="00A176EA">
        <w:rPr>
          <w:lang w:val="fr-FR"/>
        </w:rPr>
        <w:tab/>
      </w:r>
      <w:r w:rsidR="00B80620">
        <w:rPr>
          <w:lang w:val="fr-FR"/>
        </w:rPr>
        <w:t>L’un des volets du travail du Groupe est d’examiner et d’analyser l’emploi opérationnel des armes à létalité réduite et, par la suite, de tirer les enseignements d’une telle analyse</w:t>
      </w:r>
      <w:r w:rsidR="000B562B" w:rsidRPr="00A176EA">
        <w:rPr>
          <w:lang w:val="fr-FR"/>
        </w:rPr>
        <w:t>.</w:t>
      </w:r>
    </w:p>
    <w:p w:rsidR="000B562B" w:rsidRPr="00A176EA" w:rsidRDefault="002549A9" w:rsidP="00C86F61">
      <w:pPr>
        <w:pStyle w:val="SingleTxtG"/>
        <w:rPr>
          <w:lang w:val="fr-FR"/>
        </w:rPr>
      </w:pPr>
      <w:r w:rsidRPr="00A176EA">
        <w:rPr>
          <w:lang w:val="fr-FR"/>
        </w:rPr>
        <w:t>324.</w:t>
      </w:r>
      <w:r w:rsidRPr="00A176EA">
        <w:rPr>
          <w:lang w:val="fr-FR"/>
        </w:rPr>
        <w:tab/>
      </w:r>
      <w:r w:rsidR="00B80620">
        <w:rPr>
          <w:lang w:val="fr-FR"/>
        </w:rPr>
        <w:t>Depuis juin 2005, l</w:t>
      </w:r>
      <w:r w:rsidR="000B562B" w:rsidRPr="00B80620">
        <w:rPr>
          <w:lang w:val="fr-FR"/>
        </w:rPr>
        <w:t xml:space="preserve">e </w:t>
      </w:r>
      <w:r w:rsidR="002736ED" w:rsidRPr="00B80620">
        <w:rPr>
          <w:lang w:val="fr-FR"/>
        </w:rPr>
        <w:t xml:space="preserve">projectile à létalité </w:t>
      </w:r>
      <w:r w:rsidR="0083054F" w:rsidRPr="00B80620">
        <w:rPr>
          <w:lang w:val="fr-FR"/>
        </w:rPr>
        <w:t>réduit</w:t>
      </w:r>
      <w:r w:rsidR="002736ED" w:rsidRPr="00B80620">
        <w:rPr>
          <w:lang w:val="fr-FR"/>
        </w:rPr>
        <w:t>e</w:t>
      </w:r>
      <w:r w:rsidR="002736ED" w:rsidRPr="00A176EA">
        <w:rPr>
          <w:lang w:val="fr-FR"/>
        </w:rPr>
        <w:t xml:space="preserve"> </w:t>
      </w:r>
      <w:r w:rsidR="00B80620">
        <w:rPr>
          <w:lang w:val="fr-FR"/>
        </w:rPr>
        <w:t xml:space="preserve">équipe toutes les forces de police du Royaume-Uni, ainsi que l’armée, en remplacement des </w:t>
      </w:r>
      <w:r w:rsidR="00B4435C" w:rsidRPr="00B80620">
        <w:rPr>
          <w:lang w:val="fr-FR"/>
        </w:rPr>
        <w:t xml:space="preserve">munitions-bâtons </w:t>
      </w:r>
      <w:r w:rsidR="000B562B" w:rsidRPr="00B80620">
        <w:rPr>
          <w:lang w:val="fr-FR"/>
        </w:rPr>
        <w:t>L21A1.</w:t>
      </w:r>
      <w:r w:rsidR="000B562B" w:rsidRPr="00A176EA">
        <w:rPr>
          <w:lang w:val="fr-FR"/>
        </w:rPr>
        <w:t xml:space="preserve"> </w:t>
      </w:r>
      <w:r w:rsidR="00C51512">
        <w:rPr>
          <w:lang w:val="fr-FR"/>
        </w:rPr>
        <w:t xml:space="preserve">Avant </w:t>
      </w:r>
      <w:r w:rsidR="00C00A1D">
        <w:rPr>
          <w:lang w:val="fr-FR"/>
        </w:rPr>
        <w:t>sa mise en service</w:t>
      </w:r>
      <w:r w:rsidR="00C51512">
        <w:rPr>
          <w:lang w:val="fr-FR"/>
        </w:rPr>
        <w:t>, il a fait l’objet d’une évaluation complète</w:t>
      </w:r>
      <w:r w:rsidR="00C51512" w:rsidRPr="00FA2CFE">
        <w:rPr>
          <w:lang w:val="fr-FR"/>
        </w:rPr>
        <w:t xml:space="preserve"> </w:t>
      </w:r>
      <w:r w:rsidR="00C51512">
        <w:rPr>
          <w:lang w:val="fr-FR"/>
        </w:rPr>
        <w:t xml:space="preserve">par le </w:t>
      </w:r>
      <w:r w:rsidR="00C51512" w:rsidRPr="00FA2CFE">
        <w:rPr>
          <w:lang w:val="fr-FR"/>
        </w:rPr>
        <w:t xml:space="preserve">Sous-comité du Conseil consultatif scientifique de la défense sur les </w:t>
      </w:r>
      <w:r w:rsidR="00C51512">
        <w:rPr>
          <w:lang w:val="fr-FR"/>
        </w:rPr>
        <w:t>implications médicales</w:t>
      </w:r>
      <w:r w:rsidR="00C51512" w:rsidRPr="00FA2CFE">
        <w:rPr>
          <w:lang w:val="fr-FR"/>
        </w:rPr>
        <w:t xml:space="preserve"> des armes moins létales</w:t>
      </w:r>
      <w:r w:rsidR="00C51512">
        <w:rPr>
          <w:lang w:val="fr-FR"/>
        </w:rPr>
        <w:t xml:space="preserve">, un comité indépendant. La conclusion est que le projectile à létalité réduite présente moins de risques de </w:t>
      </w:r>
      <w:r w:rsidR="00AB7C5A">
        <w:rPr>
          <w:lang w:val="fr-FR"/>
        </w:rPr>
        <w:t>lésion</w:t>
      </w:r>
      <w:r w:rsidR="00C51512">
        <w:rPr>
          <w:lang w:val="fr-FR"/>
        </w:rPr>
        <w:t xml:space="preserve"> grave </w:t>
      </w:r>
      <w:r w:rsidR="00AB7C5A">
        <w:rPr>
          <w:lang w:val="fr-FR"/>
        </w:rPr>
        <w:t>ou</w:t>
      </w:r>
      <w:r w:rsidR="00C51512">
        <w:rPr>
          <w:lang w:val="fr-FR"/>
        </w:rPr>
        <w:t xml:space="preserve"> mortelle s’il touche une zone vulnérable (comme la tête et la poitrine) que </w:t>
      </w:r>
      <w:r w:rsidR="00B4435C" w:rsidRPr="00C51512">
        <w:rPr>
          <w:lang w:val="fr-FR"/>
        </w:rPr>
        <w:t>les munitions-bâtons L21A1</w:t>
      </w:r>
      <w:r w:rsidR="000B562B" w:rsidRPr="00C51512">
        <w:rPr>
          <w:lang w:val="fr-FR"/>
        </w:rPr>
        <w:t>,</w:t>
      </w:r>
      <w:r w:rsidR="000B562B" w:rsidRPr="00A176EA">
        <w:rPr>
          <w:lang w:val="fr-FR"/>
        </w:rPr>
        <w:t xml:space="preserve"> </w:t>
      </w:r>
      <w:r w:rsidR="00C86F61">
        <w:rPr>
          <w:lang w:val="fr-FR"/>
        </w:rPr>
        <w:t>qui présentaient déjà un faible risque</w:t>
      </w:r>
      <w:r w:rsidR="000B562B" w:rsidRPr="00A176EA">
        <w:rPr>
          <w:lang w:val="fr-FR"/>
        </w:rPr>
        <w:t>.</w:t>
      </w:r>
    </w:p>
    <w:p w:rsidR="000B562B" w:rsidRPr="00A176EA" w:rsidRDefault="002549A9" w:rsidP="00775B68">
      <w:pPr>
        <w:pStyle w:val="SingleTxtG"/>
        <w:rPr>
          <w:lang w:val="fr-FR"/>
        </w:rPr>
      </w:pPr>
      <w:r w:rsidRPr="00A176EA">
        <w:rPr>
          <w:lang w:val="fr-FR"/>
        </w:rPr>
        <w:t>325.</w:t>
      </w:r>
      <w:r w:rsidRPr="00A176EA">
        <w:rPr>
          <w:lang w:val="fr-FR"/>
        </w:rPr>
        <w:tab/>
      </w:r>
      <w:r w:rsidR="00F57351">
        <w:rPr>
          <w:lang w:val="fr-FR"/>
        </w:rPr>
        <w:t xml:space="preserve">Le compte rendu du Sous-comité figure à l’annexe 3 du Cinquième rapport du </w:t>
      </w:r>
      <w:r w:rsidR="00414AC1">
        <w:rPr>
          <w:lang w:val="fr-FR"/>
        </w:rPr>
        <w:t>Comité</w:t>
      </w:r>
      <w:r w:rsidR="00F57351">
        <w:rPr>
          <w:lang w:val="fr-FR"/>
        </w:rPr>
        <w:t xml:space="preserve"> directeur britannique chargé d’examiner d’autres approches politiques en matière de gestion des conflits</w:t>
      </w:r>
      <w:r w:rsidR="00775B68">
        <w:rPr>
          <w:rStyle w:val="FootnoteReference"/>
        </w:rPr>
        <w:footnoteReference w:id="45"/>
      </w:r>
      <w:r w:rsidR="00F57351">
        <w:rPr>
          <w:lang w:val="fr-FR"/>
        </w:rPr>
        <w:t>.</w:t>
      </w:r>
    </w:p>
    <w:p w:rsidR="000B562B" w:rsidRPr="00A176EA" w:rsidRDefault="002549A9" w:rsidP="00F67B53">
      <w:pPr>
        <w:pStyle w:val="SingleTxtG"/>
        <w:rPr>
          <w:lang w:val="fr-FR"/>
        </w:rPr>
      </w:pPr>
      <w:r w:rsidRPr="00A176EA">
        <w:rPr>
          <w:lang w:val="fr-FR"/>
        </w:rPr>
        <w:t>326.</w:t>
      </w:r>
      <w:r w:rsidRPr="00A176EA">
        <w:rPr>
          <w:lang w:val="fr-FR"/>
        </w:rPr>
        <w:tab/>
      </w:r>
      <w:r w:rsidR="00F57351" w:rsidRPr="00F57351">
        <w:rPr>
          <w:lang w:val="fr-FR"/>
        </w:rPr>
        <w:t>L</w:t>
      </w:r>
      <w:r w:rsidR="000B562B" w:rsidRPr="00F57351">
        <w:rPr>
          <w:lang w:val="fr-FR"/>
        </w:rPr>
        <w:t xml:space="preserve">e </w:t>
      </w:r>
      <w:r w:rsidR="002736ED" w:rsidRPr="00F57351">
        <w:rPr>
          <w:lang w:val="fr-FR"/>
        </w:rPr>
        <w:t xml:space="preserve">projectile à létalité </w:t>
      </w:r>
      <w:r w:rsidR="0083054F" w:rsidRPr="00F57351">
        <w:rPr>
          <w:lang w:val="fr-FR"/>
        </w:rPr>
        <w:t>réduit</w:t>
      </w:r>
      <w:r w:rsidR="002736ED" w:rsidRPr="00F57351">
        <w:rPr>
          <w:lang w:val="fr-FR"/>
        </w:rPr>
        <w:t>e</w:t>
      </w:r>
      <w:r w:rsidR="000B562B" w:rsidRPr="00A176EA">
        <w:rPr>
          <w:lang w:val="fr-FR"/>
        </w:rPr>
        <w:t xml:space="preserve"> </w:t>
      </w:r>
      <w:r w:rsidR="009C6841">
        <w:rPr>
          <w:lang w:val="fr-FR"/>
        </w:rPr>
        <w:t xml:space="preserve">n’a pas été conçu comme une technologie pour le maintien de l’ordre mais comme une option moins létale pour les confrontations </w:t>
      </w:r>
      <w:r w:rsidR="00414AC1">
        <w:rPr>
          <w:lang w:val="fr-FR"/>
        </w:rPr>
        <w:t xml:space="preserve">individuelles </w:t>
      </w:r>
      <w:r w:rsidR="009C6841">
        <w:rPr>
          <w:lang w:val="fr-FR"/>
        </w:rPr>
        <w:t>avec des agresseurs</w:t>
      </w:r>
      <w:r w:rsidR="00414AC1">
        <w:rPr>
          <w:lang w:val="fr-FR"/>
        </w:rPr>
        <w:t>, qu’ils soient seuls</w:t>
      </w:r>
      <w:r w:rsidR="009C6841">
        <w:rPr>
          <w:lang w:val="fr-FR"/>
        </w:rPr>
        <w:t xml:space="preserve"> ou en groupe. </w:t>
      </w:r>
      <w:r w:rsidR="00414AC1">
        <w:rPr>
          <w:lang w:val="fr-FR"/>
        </w:rPr>
        <w:t xml:space="preserve">Il s’agit d’un projectile précis et </w:t>
      </w:r>
      <w:r w:rsidR="008D5A06">
        <w:rPr>
          <w:lang w:val="fr-FR"/>
        </w:rPr>
        <w:t xml:space="preserve">discriminant </w:t>
      </w:r>
      <w:r w:rsidR="00C00A1D">
        <w:rPr>
          <w:lang w:val="fr-FR"/>
        </w:rPr>
        <w:t>qui se déploie en complément des armes conventionnelles, ce qui fournit à la police et à l’</w:t>
      </w:r>
      <w:r w:rsidR="00075CD4">
        <w:rPr>
          <w:lang w:val="fr-FR"/>
        </w:rPr>
        <w:t>a</w:t>
      </w:r>
      <w:r w:rsidR="00C00A1D">
        <w:rPr>
          <w:lang w:val="fr-FR"/>
        </w:rPr>
        <w:t xml:space="preserve">rmée une option tactique supplémentaire. L’introduction de ce projectile </w:t>
      </w:r>
      <w:r w:rsidR="00C00A1D" w:rsidRPr="00C00A1D">
        <w:rPr>
          <w:lang w:val="fr-FR"/>
        </w:rPr>
        <w:t>représente un autre pas en avant important s’agissant de mettre à la</w:t>
      </w:r>
      <w:r w:rsidR="00C00A1D">
        <w:rPr>
          <w:lang w:val="fr-FR"/>
        </w:rPr>
        <w:t xml:space="preserve"> </w:t>
      </w:r>
      <w:r w:rsidR="00C00A1D" w:rsidRPr="00C00A1D">
        <w:rPr>
          <w:lang w:val="fr-FR"/>
        </w:rPr>
        <w:t>disposition de la police des systèmes qui, tout en demeurant efficaces, soient nettement moins</w:t>
      </w:r>
      <w:r w:rsidR="00C00A1D">
        <w:rPr>
          <w:lang w:val="fr-FR"/>
        </w:rPr>
        <w:t xml:space="preserve"> </w:t>
      </w:r>
      <w:r w:rsidR="00C00A1D" w:rsidRPr="00C00A1D">
        <w:rPr>
          <w:lang w:val="fr-FR"/>
        </w:rPr>
        <w:t xml:space="preserve">susceptibles de causer de graves blessures en cas d’impact sur </w:t>
      </w:r>
      <w:r w:rsidR="00E02730">
        <w:rPr>
          <w:lang w:val="fr-FR"/>
        </w:rPr>
        <w:t>une</w:t>
      </w:r>
      <w:r w:rsidR="00C00A1D" w:rsidRPr="00C00A1D">
        <w:rPr>
          <w:lang w:val="fr-FR"/>
        </w:rPr>
        <w:t xml:space="preserve"> partie vulnérable du corps</w:t>
      </w:r>
      <w:r w:rsidR="000B562B" w:rsidRPr="00A176EA">
        <w:rPr>
          <w:lang w:val="fr-FR"/>
        </w:rPr>
        <w:t>.</w:t>
      </w:r>
    </w:p>
    <w:p w:rsidR="000B562B" w:rsidRPr="00A176EA" w:rsidRDefault="002549A9" w:rsidP="001428EB">
      <w:pPr>
        <w:pStyle w:val="SingleTxtG"/>
        <w:rPr>
          <w:lang w:val="fr-FR"/>
        </w:rPr>
      </w:pPr>
      <w:r w:rsidRPr="00A176EA">
        <w:rPr>
          <w:lang w:val="fr-FR"/>
        </w:rPr>
        <w:t>327.</w:t>
      </w:r>
      <w:r w:rsidRPr="00A176EA">
        <w:rPr>
          <w:lang w:val="fr-FR"/>
        </w:rPr>
        <w:tab/>
      </w:r>
      <w:r w:rsidR="00C00A1D">
        <w:rPr>
          <w:lang w:val="fr-FR"/>
        </w:rPr>
        <w:t xml:space="preserve">Contrairement </w:t>
      </w:r>
      <w:r w:rsidR="00E02730">
        <w:rPr>
          <w:lang w:val="fr-FR"/>
        </w:rPr>
        <w:t xml:space="preserve">aux </w:t>
      </w:r>
      <w:r w:rsidR="001428EB">
        <w:rPr>
          <w:lang w:val="fr-FR"/>
        </w:rPr>
        <w:t>balles en plastique</w:t>
      </w:r>
      <w:r w:rsidR="00E02730">
        <w:rPr>
          <w:lang w:val="fr-FR"/>
        </w:rPr>
        <w:t xml:space="preserve"> qui l’ont précédé</w:t>
      </w:r>
      <w:r w:rsidR="00C00A1D">
        <w:rPr>
          <w:lang w:val="fr-FR"/>
        </w:rPr>
        <w:t xml:space="preserve">, le </w:t>
      </w:r>
      <w:r w:rsidR="002736ED" w:rsidRPr="00C00A1D">
        <w:rPr>
          <w:lang w:val="fr-FR"/>
        </w:rPr>
        <w:t xml:space="preserve">projectile à létalité </w:t>
      </w:r>
      <w:r w:rsidR="0083054F" w:rsidRPr="00C00A1D">
        <w:rPr>
          <w:lang w:val="fr-FR"/>
        </w:rPr>
        <w:t>réduit</w:t>
      </w:r>
      <w:r w:rsidR="002736ED" w:rsidRPr="00C00A1D">
        <w:rPr>
          <w:lang w:val="fr-FR"/>
        </w:rPr>
        <w:t>e</w:t>
      </w:r>
      <w:r w:rsidR="000B562B" w:rsidRPr="00C00A1D">
        <w:rPr>
          <w:lang w:val="fr-FR"/>
        </w:rPr>
        <w:t xml:space="preserve"> </w:t>
      </w:r>
      <w:r w:rsidR="00C00A1D" w:rsidRPr="00C00A1D">
        <w:rPr>
          <w:lang w:val="fr-FR"/>
        </w:rPr>
        <w:t>n’est</w:t>
      </w:r>
      <w:r w:rsidR="00C00A1D">
        <w:rPr>
          <w:lang w:val="fr-FR"/>
        </w:rPr>
        <w:t xml:space="preserve"> pas une balle rigide et, par conséquent, </w:t>
      </w:r>
      <w:r w:rsidR="00207F4B">
        <w:rPr>
          <w:lang w:val="fr-FR"/>
        </w:rPr>
        <w:t xml:space="preserve">est nettement moins dangereux </w:t>
      </w:r>
      <w:r w:rsidR="002816D1">
        <w:rPr>
          <w:lang w:val="fr-FR"/>
        </w:rPr>
        <w:t>si</w:t>
      </w:r>
      <w:r w:rsidR="00207F4B">
        <w:rPr>
          <w:lang w:val="fr-FR"/>
        </w:rPr>
        <w:t xml:space="preserve">, par inadvertance, </w:t>
      </w:r>
      <w:r w:rsidR="002816D1">
        <w:rPr>
          <w:lang w:val="fr-FR"/>
        </w:rPr>
        <w:t xml:space="preserve">il touche </w:t>
      </w:r>
      <w:r w:rsidR="00207F4B">
        <w:rPr>
          <w:lang w:val="fr-FR"/>
        </w:rPr>
        <w:t xml:space="preserve">la partie la plus vulnérable du corps (la tête). D’un comportement différent par rapport aux balles précédentes, il est à la fois plus précis et sûr </w:t>
      </w:r>
      <w:r w:rsidR="00207F4B" w:rsidRPr="00207F4B">
        <w:rPr>
          <w:lang w:val="fr-FR"/>
        </w:rPr>
        <w:t xml:space="preserve">que le </w:t>
      </w:r>
      <w:r w:rsidR="000B562B" w:rsidRPr="00207F4B">
        <w:rPr>
          <w:lang w:val="fr-FR"/>
        </w:rPr>
        <w:t>L21A1</w:t>
      </w:r>
      <w:r w:rsidR="00207F4B" w:rsidRPr="00207F4B">
        <w:rPr>
          <w:lang w:val="fr-FR"/>
        </w:rPr>
        <w:t>. Par</w:t>
      </w:r>
      <w:r w:rsidR="00207F4B">
        <w:rPr>
          <w:lang w:val="fr-FR"/>
        </w:rPr>
        <w:t xml:space="preserve"> exemple, son énergie</w:t>
      </w:r>
      <w:r w:rsidR="001428EB">
        <w:rPr>
          <w:lang w:val="fr-FR"/>
        </w:rPr>
        <w:t xml:space="preserve"> est </w:t>
      </w:r>
      <w:r w:rsidR="001A3D6D">
        <w:rPr>
          <w:lang w:val="fr-FR"/>
        </w:rPr>
        <w:t>atténuée</w:t>
      </w:r>
      <w:r w:rsidR="001428EB">
        <w:rPr>
          <w:lang w:val="fr-FR"/>
        </w:rPr>
        <w:t xml:space="preserve"> par la réduction de la force maximale, la durée de l’impact est plus longue et la zone de contact </w:t>
      </w:r>
      <w:r w:rsidR="00B3389B">
        <w:rPr>
          <w:lang w:val="fr-FR"/>
        </w:rPr>
        <w:t xml:space="preserve">est </w:t>
      </w:r>
      <w:r w:rsidR="001428EB">
        <w:rPr>
          <w:lang w:val="fr-FR"/>
        </w:rPr>
        <w:t>plus large</w:t>
      </w:r>
      <w:r w:rsidR="000B562B" w:rsidRPr="00A176EA">
        <w:rPr>
          <w:lang w:val="fr-FR"/>
        </w:rPr>
        <w:t>.</w:t>
      </w:r>
    </w:p>
    <w:p w:rsidR="000B562B" w:rsidRPr="00A176EA" w:rsidRDefault="002549A9" w:rsidP="00C803A5">
      <w:pPr>
        <w:pStyle w:val="SingleTxtG"/>
        <w:rPr>
          <w:lang w:val="fr-FR"/>
        </w:rPr>
      </w:pPr>
      <w:r w:rsidRPr="00A176EA">
        <w:rPr>
          <w:lang w:val="fr-FR"/>
        </w:rPr>
        <w:t>328.</w:t>
      </w:r>
      <w:r w:rsidRPr="00A176EA">
        <w:rPr>
          <w:lang w:val="fr-FR"/>
        </w:rPr>
        <w:tab/>
      </w:r>
      <w:r w:rsidR="002816D1" w:rsidRPr="00AB7C5A">
        <w:rPr>
          <w:lang w:val="fr-FR"/>
        </w:rPr>
        <w:t xml:space="preserve">Les directives du Royaume-Uni sur le recours au </w:t>
      </w:r>
      <w:r w:rsidR="002736ED" w:rsidRPr="00AB7C5A">
        <w:rPr>
          <w:lang w:val="fr-FR"/>
        </w:rPr>
        <w:t xml:space="preserve">projectile à létalité </w:t>
      </w:r>
      <w:r w:rsidR="0083054F" w:rsidRPr="00AB7C5A">
        <w:rPr>
          <w:lang w:val="fr-FR"/>
        </w:rPr>
        <w:t>réduit</w:t>
      </w:r>
      <w:r w:rsidR="002736ED" w:rsidRPr="00AB7C5A">
        <w:rPr>
          <w:lang w:val="fr-FR"/>
        </w:rPr>
        <w:t>e</w:t>
      </w:r>
      <w:r w:rsidR="000B562B" w:rsidRPr="00AB7C5A">
        <w:rPr>
          <w:lang w:val="fr-FR"/>
        </w:rPr>
        <w:t xml:space="preserve"> </w:t>
      </w:r>
      <w:r w:rsidR="002816D1" w:rsidRPr="00AB7C5A">
        <w:rPr>
          <w:lang w:val="fr-FR"/>
        </w:rPr>
        <w:t>renvoient spécifiquement</w:t>
      </w:r>
      <w:r w:rsidR="000B562B" w:rsidRPr="00AB7C5A">
        <w:rPr>
          <w:lang w:val="fr-FR"/>
        </w:rPr>
        <w:t xml:space="preserve"> </w:t>
      </w:r>
      <w:r w:rsidR="002816D1" w:rsidRPr="00AB7C5A">
        <w:rPr>
          <w:lang w:val="fr-FR"/>
        </w:rPr>
        <w:t>à</w:t>
      </w:r>
      <w:r w:rsidR="000B562B" w:rsidRPr="00AB7C5A">
        <w:rPr>
          <w:lang w:val="fr-FR"/>
        </w:rPr>
        <w:t xml:space="preserve"> </w:t>
      </w:r>
      <w:r w:rsidR="002816D1" w:rsidRPr="00AB7C5A">
        <w:rPr>
          <w:lang w:val="fr-FR"/>
        </w:rPr>
        <w:t>l’a</w:t>
      </w:r>
      <w:r w:rsidR="000B562B" w:rsidRPr="00AB7C5A">
        <w:rPr>
          <w:lang w:val="fr-FR"/>
        </w:rPr>
        <w:t xml:space="preserve">rticle 3C </w:t>
      </w:r>
      <w:r w:rsidR="002816D1" w:rsidRPr="00AB7C5A">
        <w:rPr>
          <w:lang w:val="fr-FR"/>
        </w:rPr>
        <w:t>du</w:t>
      </w:r>
      <w:r w:rsidR="000B562B" w:rsidRPr="00AB7C5A">
        <w:rPr>
          <w:lang w:val="fr-FR"/>
        </w:rPr>
        <w:t xml:space="preserve"> </w:t>
      </w:r>
      <w:r w:rsidR="008432D4" w:rsidRPr="00AB7C5A">
        <w:rPr>
          <w:lang w:val="fr-FR"/>
        </w:rPr>
        <w:t>Code de conduite des Nations Unies pour les responsables de l’application des lois</w:t>
      </w:r>
      <w:r w:rsidR="002816D1" w:rsidRPr="00AB7C5A">
        <w:rPr>
          <w:lang w:val="fr-FR"/>
        </w:rPr>
        <w:t xml:space="preserve">, qui stipule que </w:t>
      </w:r>
      <w:r w:rsidR="00CD0110">
        <w:rPr>
          <w:lang w:val="fr-FR"/>
        </w:rPr>
        <w:t>«</w:t>
      </w:r>
      <w:r w:rsidR="002816D1" w:rsidRPr="00AB7C5A">
        <w:rPr>
          <w:lang w:val="fr-FR"/>
        </w:rPr>
        <w:t>tout devrait être entrepris pour exclure l’emploi d’armes à feu, spécialement contre les enfants</w:t>
      </w:r>
      <w:r w:rsidR="00CD0110">
        <w:rPr>
          <w:lang w:val="fr-FR"/>
        </w:rPr>
        <w:t>»</w:t>
      </w:r>
      <w:r w:rsidR="002816D1" w:rsidRPr="00AB7C5A">
        <w:rPr>
          <w:lang w:val="fr-FR"/>
        </w:rPr>
        <w:t xml:space="preserve">. Les directives britanniques précisent que tout devrait être entrepris pour que des enfants ou des membres d’autres groupes vulnérables ne soient pas mis en danger </w:t>
      </w:r>
      <w:r w:rsidR="00E02730" w:rsidRPr="00AB7C5A">
        <w:rPr>
          <w:lang w:val="fr-FR"/>
        </w:rPr>
        <w:t>par des tirs</w:t>
      </w:r>
      <w:r w:rsidR="002816D1" w:rsidRPr="00AB7C5A">
        <w:rPr>
          <w:lang w:val="fr-FR"/>
        </w:rPr>
        <w:t xml:space="preserve"> </w:t>
      </w:r>
      <w:r w:rsidR="00446905" w:rsidRPr="00AB7C5A">
        <w:rPr>
          <w:lang w:val="fr-FR"/>
        </w:rPr>
        <w:t>de projectiles d’impact</w:t>
      </w:r>
      <w:r w:rsidR="000B562B" w:rsidRPr="00AB7C5A">
        <w:rPr>
          <w:lang w:val="fr-FR"/>
        </w:rPr>
        <w:t>.</w:t>
      </w:r>
      <w:r w:rsidR="000B562B" w:rsidRPr="00A176EA">
        <w:rPr>
          <w:lang w:val="fr-FR"/>
        </w:rPr>
        <w:t xml:space="preserve"> </w:t>
      </w:r>
      <w:r w:rsidR="00601C2B">
        <w:rPr>
          <w:lang w:val="fr-FR"/>
        </w:rPr>
        <w:t xml:space="preserve">Avant d’autoriser l’utilisation de </w:t>
      </w:r>
      <w:r w:rsidR="00164491">
        <w:rPr>
          <w:lang w:val="fr-FR"/>
        </w:rPr>
        <w:t xml:space="preserve">tels </w:t>
      </w:r>
      <w:r w:rsidR="00601C2B">
        <w:rPr>
          <w:lang w:val="fr-FR"/>
        </w:rPr>
        <w:t>projectiles, le command</w:t>
      </w:r>
      <w:r w:rsidR="00164491">
        <w:rPr>
          <w:lang w:val="fr-FR"/>
        </w:rPr>
        <w:t>eme</w:t>
      </w:r>
      <w:r w:rsidR="00601C2B">
        <w:rPr>
          <w:lang w:val="fr-FR"/>
        </w:rPr>
        <w:t xml:space="preserve">nt </w:t>
      </w:r>
      <w:r w:rsidR="00164491">
        <w:rPr>
          <w:lang w:val="fr-FR"/>
        </w:rPr>
        <w:t>doi</w:t>
      </w:r>
      <w:r w:rsidR="00601C2B">
        <w:rPr>
          <w:lang w:val="fr-FR"/>
        </w:rPr>
        <w:t xml:space="preserve">t considérer la possible présence d’enfants ou de membres d’autres groupes vulnérables. </w:t>
      </w:r>
      <w:r w:rsidR="008B4A1C" w:rsidRPr="00C803A5">
        <w:rPr>
          <w:lang w:val="fr-FR"/>
        </w:rPr>
        <w:t>Le commandement doit également procéder à une évaluation des facteurs de risque dynamiques s’</w:t>
      </w:r>
      <w:r w:rsidR="001A3D6D" w:rsidRPr="00C803A5">
        <w:rPr>
          <w:lang w:val="fr-FR"/>
        </w:rPr>
        <w:t>agissant</w:t>
      </w:r>
      <w:r w:rsidR="008B4A1C" w:rsidRPr="00C803A5">
        <w:rPr>
          <w:lang w:val="fr-FR"/>
        </w:rPr>
        <w:t xml:space="preserve"> de la présence d’enfants ou de membres d’autres groupes vulnérables </w:t>
      </w:r>
      <w:r w:rsidR="00C803A5" w:rsidRPr="00C803A5">
        <w:rPr>
          <w:lang w:val="fr-FR"/>
        </w:rPr>
        <w:t xml:space="preserve">sur une scène de troubles publics avant d’autoriser le </w:t>
      </w:r>
      <w:r w:rsidR="00601C2B" w:rsidRPr="00C803A5">
        <w:rPr>
          <w:lang w:val="fr-FR"/>
        </w:rPr>
        <w:t>déploiement</w:t>
      </w:r>
      <w:r w:rsidR="000B562B" w:rsidRPr="00C803A5">
        <w:rPr>
          <w:lang w:val="fr-FR"/>
        </w:rPr>
        <w:t xml:space="preserve"> </w:t>
      </w:r>
      <w:r w:rsidR="00601C2B" w:rsidRPr="00C803A5">
        <w:rPr>
          <w:lang w:val="fr-FR"/>
        </w:rPr>
        <w:t>et le tir de</w:t>
      </w:r>
      <w:r w:rsidR="000B562B" w:rsidRPr="00C803A5">
        <w:rPr>
          <w:lang w:val="fr-FR"/>
        </w:rPr>
        <w:t xml:space="preserve"> </w:t>
      </w:r>
      <w:r w:rsidR="002736ED" w:rsidRPr="00C803A5">
        <w:rPr>
          <w:lang w:val="fr-FR"/>
        </w:rPr>
        <w:t xml:space="preserve">projectiles à létalité </w:t>
      </w:r>
      <w:r w:rsidR="0083054F" w:rsidRPr="00C803A5">
        <w:rPr>
          <w:lang w:val="fr-FR"/>
        </w:rPr>
        <w:t>réduit</w:t>
      </w:r>
      <w:r w:rsidR="002736ED" w:rsidRPr="00C803A5">
        <w:rPr>
          <w:lang w:val="fr-FR"/>
        </w:rPr>
        <w:t>e</w:t>
      </w:r>
      <w:r w:rsidR="000B562B" w:rsidRPr="00C803A5">
        <w:rPr>
          <w:lang w:val="fr-FR"/>
        </w:rPr>
        <w:t>.</w:t>
      </w:r>
    </w:p>
    <w:p w:rsidR="000B562B" w:rsidRPr="00A176EA" w:rsidRDefault="002549A9" w:rsidP="002D16E5">
      <w:pPr>
        <w:pStyle w:val="SingleTxtG"/>
        <w:rPr>
          <w:lang w:val="fr-FR"/>
        </w:rPr>
      </w:pPr>
      <w:r w:rsidRPr="00A176EA">
        <w:rPr>
          <w:lang w:val="fr-FR"/>
        </w:rPr>
        <w:t>329.</w:t>
      </w:r>
      <w:r w:rsidRPr="00A176EA">
        <w:rPr>
          <w:lang w:val="fr-FR"/>
        </w:rPr>
        <w:tab/>
      </w:r>
      <w:r w:rsidR="002D16E5" w:rsidRPr="002D16E5">
        <w:rPr>
          <w:lang w:val="fr-FR"/>
        </w:rPr>
        <w:t xml:space="preserve">Des mesures strictes de responsabilisation sont en place et chaque fonctionnaire spécialement formé qui est </w:t>
      </w:r>
      <w:r w:rsidR="0094573E" w:rsidRPr="002D16E5">
        <w:rPr>
          <w:lang w:val="fr-FR"/>
        </w:rPr>
        <w:t>habilité à tirer un</w:t>
      </w:r>
      <w:r w:rsidR="000B562B" w:rsidRPr="002D16E5">
        <w:rPr>
          <w:lang w:val="fr-FR"/>
        </w:rPr>
        <w:t xml:space="preserve"> </w:t>
      </w:r>
      <w:r w:rsidR="00446905" w:rsidRPr="002D16E5">
        <w:rPr>
          <w:lang w:val="fr-FR"/>
        </w:rPr>
        <w:t>projectile d’impact</w:t>
      </w:r>
      <w:r w:rsidR="000B562B" w:rsidRPr="00A176EA">
        <w:rPr>
          <w:lang w:val="fr-FR"/>
        </w:rPr>
        <w:t xml:space="preserve"> </w:t>
      </w:r>
      <w:r w:rsidR="002D16E5">
        <w:rPr>
          <w:lang w:val="fr-FR"/>
        </w:rPr>
        <w:t xml:space="preserve">est accompagné d’un autre fonctionnaire chargé de consigner les circonstances dans lesquelles le projectile d’impact est tiré. Il faut prouver que chaque tir </w:t>
      </w:r>
      <w:r w:rsidR="005A665E">
        <w:rPr>
          <w:lang w:val="fr-FR"/>
        </w:rPr>
        <w:t>était</w:t>
      </w:r>
      <w:r w:rsidR="002D16E5">
        <w:rPr>
          <w:lang w:val="fr-FR"/>
        </w:rPr>
        <w:t xml:space="preserve"> mesuré et proportionné. </w:t>
      </w:r>
      <w:r w:rsidR="00FA1FE6" w:rsidRPr="00FA1FE6">
        <w:rPr>
          <w:lang w:val="fr-FR"/>
        </w:rPr>
        <w:t>En Irlande du Nord,</w:t>
      </w:r>
      <w:r w:rsidR="00FA1FE6">
        <w:rPr>
          <w:lang w:val="fr-FR"/>
        </w:rPr>
        <w:t xml:space="preserve"> le </w:t>
      </w:r>
      <w:r w:rsidR="00FA1FE6" w:rsidRPr="00FA1FE6">
        <w:rPr>
          <w:lang w:val="fr-FR"/>
        </w:rPr>
        <w:t>Médiateur de la police</w:t>
      </w:r>
      <w:r w:rsidR="00FA1FE6">
        <w:rPr>
          <w:lang w:val="fr-FR"/>
        </w:rPr>
        <w:t xml:space="preserve"> </w:t>
      </w:r>
      <w:r w:rsidR="00674565">
        <w:rPr>
          <w:lang w:val="fr-FR"/>
        </w:rPr>
        <w:t xml:space="preserve">procède à une enquête après chaque tir par un fonctionnaire de police et fait rapport de ses conclusions au </w:t>
      </w:r>
      <w:r w:rsidR="00DF2622" w:rsidRPr="00B3389B">
        <w:rPr>
          <w:lang w:val="fr-FR"/>
        </w:rPr>
        <w:t>Conseil supérieur de la police</w:t>
      </w:r>
      <w:r w:rsidR="00DF2622">
        <w:rPr>
          <w:lang w:val="fr-FR"/>
        </w:rPr>
        <w:t xml:space="preserve"> intercommunautaire</w:t>
      </w:r>
      <w:r w:rsidR="000B562B" w:rsidRPr="00A176EA">
        <w:rPr>
          <w:lang w:val="fr-FR"/>
        </w:rPr>
        <w:t>.</w:t>
      </w:r>
    </w:p>
    <w:p w:rsidR="000B562B" w:rsidRPr="00634B7E" w:rsidRDefault="002549A9" w:rsidP="00634B7E">
      <w:pPr>
        <w:pStyle w:val="SingleTxtG"/>
        <w:rPr>
          <w:lang w:val="fr-FR"/>
        </w:rPr>
      </w:pPr>
      <w:r w:rsidRPr="00634B7E">
        <w:rPr>
          <w:lang w:val="fr-FR"/>
        </w:rPr>
        <w:t>330.</w:t>
      </w:r>
      <w:r w:rsidRPr="00634B7E">
        <w:rPr>
          <w:lang w:val="fr-FR"/>
        </w:rPr>
        <w:tab/>
      </w:r>
      <w:r w:rsidR="00634B7E" w:rsidRPr="00634B7E">
        <w:rPr>
          <w:lang w:val="fr-FR"/>
        </w:rPr>
        <w:t xml:space="preserve">L’approche du Gouvernement à l’égard de l’emploi de </w:t>
      </w:r>
      <w:r w:rsidR="002736ED" w:rsidRPr="00634B7E">
        <w:rPr>
          <w:lang w:val="fr-FR"/>
        </w:rPr>
        <w:t>projectile</w:t>
      </w:r>
      <w:r w:rsidR="00634B7E" w:rsidRPr="00634B7E">
        <w:rPr>
          <w:lang w:val="fr-FR"/>
        </w:rPr>
        <w:t>s</w:t>
      </w:r>
      <w:r w:rsidR="002736ED" w:rsidRPr="00634B7E">
        <w:rPr>
          <w:lang w:val="fr-FR"/>
        </w:rPr>
        <w:t xml:space="preserve"> à létalité </w:t>
      </w:r>
      <w:r w:rsidR="0083054F" w:rsidRPr="00634B7E">
        <w:rPr>
          <w:lang w:val="fr-FR"/>
        </w:rPr>
        <w:t>réduit</w:t>
      </w:r>
      <w:r w:rsidR="002736ED" w:rsidRPr="00634B7E">
        <w:rPr>
          <w:lang w:val="fr-FR"/>
        </w:rPr>
        <w:t>e</w:t>
      </w:r>
      <w:r w:rsidR="000B562B" w:rsidRPr="00634B7E">
        <w:rPr>
          <w:lang w:val="fr-FR"/>
        </w:rPr>
        <w:t xml:space="preserve"> </w:t>
      </w:r>
      <w:r w:rsidR="00C803A5" w:rsidRPr="00634B7E">
        <w:rPr>
          <w:lang w:val="fr-FR"/>
        </w:rPr>
        <w:t>est conforme aux</w:t>
      </w:r>
      <w:r w:rsidR="000B562B" w:rsidRPr="00634B7E">
        <w:rPr>
          <w:lang w:val="fr-FR"/>
        </w:rPr>
        <w:t xml:space="preserve"> </w:t>
      </w:r>
      <w:r w:rsidR="00C803A5" w:rsidRPr="00634B7E">
        <w:rPr>
          <w:lang w:val="fr-FR"/>
        </w:rPr>
        <w:t>a</w:t>
      </w:r>
      <w:r w:rsidR="000B562B" w:rsidRPr="00634B7E">
        <w:rPr>
          <w:lang w:val="fr-FR"/>
        </w:rPr>
        <w:t xml:space="preserve">rticles 2 </w:t>
      </w:r>
      <w:r w:rsidR="00C803A5" w:rsidRPr="00634B7E">
        <w:rPr>
          <w:lang w:val="fr-FR"/>
        </w:rPr>
        <w:t>et</w:t>
      </w:r>
      <w:r w:rsidR="000B562B" w:rsidRPr="00634B7E">
        <w:rPr>
          <w:lang w:val="fr-FR"/>
        </w:rPr>
        <w:t xml:space="preserve"> 3 </w:t>
      </w:r>
      <w:r w:rsidR="00C803A5" w:rsidRPr="00634B7E">
        <w:rPr>
          <w:lang w:val="fr-FR"/>
        </w:rPr>
        <w:t>des</w:t>
      </w:r>
      <w:r w:rsidR="000B562B" w:rsidRPr="00634B7E">
        <w:rPr>
          <w:lang w:val="fr-FR"/>
        </w:rPr>
        <w:t xml:space="preserve"> </w:t>
      </w:r>
      <w:r w:rsidR="00C803A5" w:rsidRPr="00634B7E">
        <w:rPr>
          <w:lang w:val="fr-FR"/>
        </w:rPr>
        <w:t>Principes de base des Nations Unies sur le recours à la force et l'utilisation des armes à feu par les responsables de l'application des lois, qui énoncent</w:t>
      </w:r>
      <w:r w:rsidR="00FC2B97">
        <w:rPr>
          <w:lang w:val="fr-FR"/>
        </w:rPr>
        <w:t>:</w:t>
      </w:r>
    </w:p>
    <w:p w:rsidR="000B562B" w:rsidRPr="00634B7E" w:rsidRDefault="000B562B" w:rsidP="00F67B53">
      <w:pPr>
        <w:pStyle w:val="SingleTxtG"/>
        <w:rPr>
          <w:lang w:val="fr-FR"/>
        </w:rPr>
      </w:pPr>
      <w:r w:rsidRPr="00634B7E">
        <w:rPr>
          <w:b/>
          <w:lang w:val="fr-FR"/>
        </w:rPr>
        <w:t>Article 2</w:t>
      </w:r>
      <w:r w:rsidR="00FC2B97">
        <w:rPr>
          <w:b/>
          <w:lang w:val="fr-FR"/>
        </w:rPr>
        <w:t>:</w:t>
      </w:r>
      <w:r w:rsidRPr="00634B7E">
        <w:rPr>
          <w:lang w:val="fr-FR"/>
        </w:rPr>
        <w:t xml:space="preserve"> </w:t>
      </w:r>
      <w:r w:rsidR="00BA30BD" w:rsidRPr="00634B7E">
        <w:rPr>
          <w:lang w:val="fr-FR"/>
        </w:rPr>
        <w:t>Les gouvernements et les autorités de police mettront en place un éventail de moyens aussi large que possible et muniront les responsables de l'application des lois de divers types d'armes et de munitions qui permettront un usage différencié de la force et des armes à feu</w:t>
      </w:r>
      <w:r w:rsidRPr="00634B7E">
        <w:rPr>
          <w:lang w:val="fr-FR"/>
        </w:rPr>
        <w:t>.</w:t>
      </w:r>
    </w:p>
    <w:p w:rsidR="000B562B" w:rsidRPr="00634B7E" w:rsidRDefault="000B562B" w:rsidP="00F67B53">
      <w:pPr>
        <w:pStyle w:val="SingleTxtG"/>
        <w:rPr>
          <w:lang w:val="fr-FR"/>
        </w:rPr>
      </w:pPr>
      <w:r w:rsidRPr="00634B7E">
        <w:rPr>
          <w:b/>
          <w:lang w:val="fr-FR"/>
        </w:rPr>
        <w:t>Article 3</w:t>
      </w:r>
      <w:r w:rsidR="00FC2B97">
        <w:rPr>
          <w:b/>
          <w:lang w:val="fr-FR"/>
        </w:rPr>
        <w:t>:</w:t>
      </w:r>
      <w:r w:rsidRPr="00634B7E">
        <w:rPr>
          <w:lang w:val="fr-FR"/>
        </w:rPr>
        <w:t xml:space="preserve"> </w:t>
      </w:r>
      <w:r w:rsidR="0094573E" w:rsidRPr="00634B7E">
        <w:rPr>
          <w:lang w:val="fr-FR"/>
        </w:rPr>
        <w:t>La mise au point et l'utilisation d'armes non meurtrières neutralisantes devraient faire l'objet d'une évaluation attentive afin de réduire au minimum les risques à l'égard des tiers et l'utilisation de telles armes devrait être soumise à un contrôle strict</w:t>
      </w:r>
      <w:r w:rsidRPr="00634B7E">
        <w:rPr>
          <w:lang w:val="fr-FR"/>
        </w:rPr>
        <w:t>.</w:t>
      </w:r>
    </w:p>
    <w:p w:rsidR="000B562B" w:rsidRPr="00A176EA" w:rsidRDefault="008E4932" w:rsidP="00F67B53">
      <w:pPr>
        <w:pStyle w:val="H23G"/>
        <w:rPr>
          <w:lang w:val="fr-FR"/>
        </w:rPr>
      </w:pPr>
      <w:bookmarkStart w:id="41" w:name="_Toc299724723"/>
      <w:r w:rsidRPr="00634B7E">
        <w:rPr>
          <w:lang w:val="fr-FR"/>
        </w:rPr>
        <w:t>Administration pénitentiaire</w:t>
      </w:r>
      <w:bookmarkEnd w:id="41"/>
    </w:p>
    <w:p w:rsidR="000B562B" w:rsidRPr="00A176EA" w:rsidRDefault="002549A9" w:rsidP="00F67B53">
      <w:pPr>
        <w:pStyle w:val="SingleTxtG"/>
        <w:rPr>
          <w:lang w:val="fr-FR"/>
        </w:rPr>
      </w:pPr>
      <w:r w:rsidRPr="00A176EA">
        <w:rPr>
          <w:lang w:val="fr-FR"/>
        </w:rPr>
        <w:t>331.</w:t>
      </w:r>
      <w:r w:rsidRPr="00A176EA">
        <w:rPr>
          <w:lang w:val="fr-FR"/>
        </w:rPr>
        <w:tab/>
      </w:r>
      <w:r w:rsidR="00EB483E">
        <w:rPr>
          <w:lang w:val="fr-FR"/>
        </w:rPr>
        <w:t xml:space="preserve">Le </w:t>
      </w:r>
      <w:r w:rsidR="003F14E2" w:rsidRPr="003F14E2">
        <w:rPr>
          <w:lang w:val="fr-FR"/>
        </w:rPr>
        <w:t xml:space="preserve">Service national de gestion des détenus </w:t>
      </w:r>
      <w:r w:rsidR="00EB483E">
        <w:rPr>
          <w:lang w:val="fr-FR"/>
        </w:rPr>
        <w:t xml:space="preserve">pour </w:t>
      </w:r>
      <w:r w:rsidR="003A55FF" w:rsidRPr="00FD0975">
        <w:rPr>
          <w:lang w:val="fr-FR"/>
        </w:rPr>
        <w:t xml:space="preserve">l’Angleterre et le </w:t>
      </w:r>
      <w:r w:rsidR="0025598E">
        <w:rPr>
          <w:lang w:val="fr-FR"/>
        </w:rPr>
        <w:t>p</w:t>
      </w:r>
      <w:r w:rsidR="005601A1">
        <w:rPr>
          <w:lang w:val="fr-FR"/>
        </w:rPr>
        <w:t>ays de Galles</w:t>
      </w:r>
      <w:r w:rsidR="00EB483E">
        <w:rPr>
          <w:lang w:val="fr-FR"/>
        </w:rPr>
        <w:t xml:space="preserve"> </w:t>
      </w:r>
      <w:r w:rsidR="00FD0975">
        <w:rPr>
          <w:lang w:val="fr-FR"/>
        </w:rPr>
        <w:t>est contrôlé par divers moyens. Ce sont, notamment, les contrôles parlementaires, les audits externes de l’Inspecteur général des prisons de Sa Majesté et les visites régulières de l’organisme de surveillance de la communauté locale, les Comités de surveillance indépendants (</w:t>
      </w:r>
      <w:r w:rsidR="003737F6">
        <w:rPr>
          <w:lang w:val="fr-FR"/>
        </w:rPr>
        <w:t>anciens Comités d’inspection). Le</w:t>
      </w:r>
      <w:r w:rsidR="00F15A27">
        <w:rPr>
          <w:lang w:val="fr-FR"/>
        </w:rPr>
        <w:t>s</w:t>
      </w:r>
      <w:r w:rsidR="003737F6">
        <w:rPr>
          <w:lang w:val="fr-FR"/>
        </w:rPr>
        <w:t xml:space="preserve"> </w:t>
      </w:r>
      <w:r w:rsidR="00F15A27" w:rsidRPr="00F15A27">
        <w:rPr>
          <w:lang w:val="fr-FR"/>
        </w:rPr>
        <w:t xml:space="preserve">Règles pénitentiaires </w:t>
      </w:r>
      <w:r w:rsidR="00F15A27">
        <w:rPr>
          <w:lang w:val="fr-FR"/>
        </w:rPr>
        <w:t>continuent de fournir le cadre légal des procédures et des garanties concernant les détenus</w:t>
      </w:r>
      <w:r w:rsidR="000B562B" w:rsidRPr="00A176EA">
        <w:rPr>
          <w:lang w:val="fr-FR"/>
        </w:rPr>
        <w:t>.</w:t>
      </w:r>
    </w:p>
    <w:p w:rsidR="000B562B" w:rsidRPr="00A176EA" w:rsidRDefault="002549A9" w:rsidP="00F15A27">
      <w:pPr>
        <w:pStyle w:val="SingleTxtG"/>
        <w:rPr>
          <w:lang w:val="fr-FR"/>
        </w:rPr>
      </w:pPr>
      <w:r w:rsidRPr="00A176EA">
        <w:rPr>
          <w:lang w:val="fr-FR"/>
        </w:rPr>
        <w:t>332.</w:t>
      </w:r>
      <w:r w:rsidRPr="00A176EA">
        <w:rPr>
          <w:lang w:val="fr-FR"/>
        </w:rPr>
        <w:tab/>
      </w:r>
      <w:r w:rsidR="006E15DC" w:rsidRPr="00F15A27">
        <w:rPr>
          <w:lang w:val="fr-FR"/>
        </w:rPr>
        <w:t>L’</w:t>
      </w:r>
      <w:r w:rsidR="008E4932" w:rsidRPr="00F15A27">
        <w:rPr>
          <w:lang w:val="fr-FR"/>
        </w:rPr>
        <w:t>Administration pénitentiaire</w:t>
      </w:r>
      <w:r w:rsidR="000B562B" w:rsidRPr="00F15A27">
        <w:rPr>
          <w:lang w:val="fr-FR"/>
        </w:rPr>
        <w:t xml:space="preserve"> </w:t>
      </w:r>
      <w:r w:rsidR="006E15DC" w:rsidRPr="00F15A27">
        <w:rPr>
          <w:lang w:val="fr-FR"/>
        </w:rPr>
        <w:t xml:space="preserve">écossaise </w:t>
      </w:r>
      <w:r w:rsidR="00F15A27" w:rsidRPr="00F15A27">
        <w:rPr>
          <w:lang w:val="fr-FR"/>
        </w:rPr>
        <w:t xml:space="preserve">est contrôlée par divers moyens. Ce sont, notamment, les inspections externes de l’Inspecteur général des prisons de Sa Majesté pour </w:t>
      </w:r>
      <w:r w:rsidR="00207C2F" w:rsidRPr="00F15A27">
        <w:rPr>
          <w:lang w:val="fr-FR"/>
        </w:rPr>
        <w:t>l’</w:t>
      </w:r>
      <w:r w:rsidR="00FD2CE1" w:rsidRPr="00F15A27">
        <w:rPr>
          <w:lang w:val="fr-FR"/>
        </w:rPr>
        <w:t>Écosse</w:t>
      </w:r>
      <w:r w:rsidR="000B562B" w:rsidRPr="00F15A27">
        <w:rPr>
          <w:lang w:val="fr-FR"/>
        </w:rPr>
        <w:t xml:space="preserve"> </w:t>
      </w:r>
      <w:r w:rsidR="00F15A27" w:rsidRPr="00F15A27">
        <w:rPr>
          <w:lang w:val="fr-FR"/>
        </w:rPr>
        <w:t>et le</w:t>
      </w:r>
      <w:r w:rsidR="002B05EF">
        <w:rPr>
          <w:lang w:val="fr-FR"/>
        </w:rPr>
        <w:t>s</w:t>
      </w:r>
      <w:r w:rsidR="00F15A27" w:rsidRPr="00F15A27">
        <w:rPr>
          <w:lang w:val="fr-FR"/>
        </w:rPr>
        <w:t xml:space="preserve"> contrôle</w:t>
      </w:r>
      <w:r w:rsidR="002B05EF">
        <w:rPr>
          <w:lang w:val="fr-FR"/>
        </w:rPr>
        <w:t>s</w:t>
      </w:r>
      <w:r w:rsidR="00F15A27" w:rsidRPr="00F15A27">
        <w:rPr>
          <w:lang w:val="fr-FR"/>
        </w:rPr>
        <w:t xml:space="preserve"> externe</w:t>
      </w:r>
      <w:r w:rsidR="002B05EF">
        <w:rPr>
          <w:lang w:val="fr-FR"/>
        </w:rPr>
        <w:t>s</w:t>
      </w:r>
      <w:r w:rsidR="00F15A27" w:rsidRPr="00F15A27">
        <w:rPr>
          <w:lang w:val="fr-FR"/>
        </w:rPr>
        <w:t xml:space="preserve"> des Comités d’inspection des établissements </w:t>
      </w:r>
      <w:r w:rsidR="001A3D6D" w:rsidRPr="00F15A27">
        <w:rPr>
          <w:lang w:val="fr-FR"/>
        </w:rPr>
        <w:t>pénitentiaires</w:t>
      </w:r>
      <w:r w:rsidR="00F15A27" w:rsidRPr="00F15A27">
        <w:rPr>
          <w:lang w:val="fr-FR"/>
        </w:rPr>
        <w:t xml:space="preserve"> écossais.</w:t>
      </w:r>
      <w:r w:rsidR="00F15A27">
        <w:rPr>
          <w:lang w:val="fr-FR"/>
        </w:rPr>
        <w:t xml:space="preserve"> En outre, le Médiateur </w:t>
      </w:r>
      <w:r w:rsidR="00541106">
        <w:rPr>
          <w:lang w:val="fr-FR"/>
        </w:rPr>
        <w:t>des services publics</w:t>
      </w:r>
      <w:r w:rsidR="00F15A27">
        <w:rPr>
          <w:lang w:val="fr-FR"/>
        </w:rPr>
        <w:t xml:space="preserve"> écossais instruit les plaintes déposées par les détenus. </w:t>
      </w:r>
      <w:r w:rsidR="00F15A27" w:rsidRPr="00260389">
        <w:rPr>
          <w:lang w:val="fr-FR"/>
        </w:rPr>
        <w:t xml:space="preserve">Les Règles pénitentiaires </w:t>
      </w:r>
      <w:r w:rsidR="00260389" w:rsidRPr="00260389">
        <w:rPr>
          <w:lang w:val="fr-FR"/>
        </w:rPr>
        <w:t>continuent de fournir le cadre légal des procédures et des garanties concernant les détenus</w:t>
      </w:r>
      <w:r w:rsidR="000B562B" w:rsidRPr="00260389">
        <w:rPr>
          <w:lang w:val="fr-FR"/>
        </w:rPr>
        <w:t>.</w:t>
      </w:r>
    </w:p>
    <w:p w:rsidR="000B562B" w:rsidRPr="00A176EA" w:rsidRDefault="002549A9" w:rsidP="001520A2">
      <w:pPr>
        <w:pStyle w:val="SingleTxtG"/>
        <w:rPr>
          <w:lang w:val="fr-FR"/>
        </w:rPr>
      </w:pPr>
      <w:r w:rsidRPr="00A176EA">
        <w:rPr>
          <w:lang w:val="fr-FR"/>
        </w:rPr>
        <w:t>333.</w:t>
      </w:r>
      <w:r w:rsidRPr="00A176EA">
        <w:rPr>
          <w:lang w:val="fr-FR"/>
        </w:rPr>
        <w:tab/>
      </w:r>
      <w:r w:rsidR="006E15DC" w:rsidRPr="00260389">
        <w:rPr>
          <w:lang w:val="fr-FR"/>
        </w:rPr>
        <w:t>L’</w:t>
      </w:r>
      <w:r w:rsidR="008E4932" w:rsidRPr="00260389">
        <w:rPr>
          <w:lang w:val="fr-FR"/>
        </w:rPr>
        <w:t>Administration pénitentiaire</w:t>
      </w:r>
      <w:r w:rsidR="000B562B" w:rsidRPr="00260389">
        <w:rPr>
          <w:lang w:val="fr-FR"/>
        </w:rPr>
        <w:t xml:space="preserve"> </w:t>
      </w:r>
      <w:r w:rsidR="006E15DC" w:rsidRPr="00260389">
        <w:rPr>
          <w:lang w:val="fr-FR"/>
        </w:rPr>
        <w:t xml:space="preserve">d’Irlande du Nord </w:t>
      </w:r>
      <w:r w:rsidR="00260389" w:rsidRPr="00260389">
        <w:rPr>
          <w:lang w:val="fr-FR"/>
        </w:rPr>
        <w:t>est régulièrement contrôlée par divers organismes.</w:t>
      </w:r>
      <w:r w:rsidR="00260389">
        <w:rPr>
          <w:lang w:val="fr-FR"/>
        </w:rPr>
        <w:t xml:space="preserve"> </w:t>
      </w:r>
      <w:r w:rsidR="00E75578" w:rsidRPr="00E75578">
        <w:rPr>
          <w:lang w:val="fr-FR"/>
        </w:rPr>
        <w:t xml:space="preserve">Ce sont, notamment, des organismes indépendants tels que les Comités de surveillance indépendants, </w:t>
      </w:r>
      <w:r w:rsidR="00DB4A27" w:rsidRPr="00E75578">
        <w:rPr>
          <w:lang w:val="fr-FR"/>
        </w:rPr>
        <w:t>l</w:t>
      </w:r>
      <w:r w:rsidR="000B562B" w:rsidRPr="00E75578">
        <w:rPr>
          <w:lang w:val="fr-FR"/>
        </w:rPr>
        <w:t xml:space="preserve">e </w:t>
      </w:r>
      <w:r w:rsidR="00DB4A27" w:rsidRPr="00E75578">
        <w:rPr>
          <w:lang w:val="fr-FR"/>
        </w:rPr>
        <w:t>Médiateur pénitentiaire pour l’Irlande du Nord</w:t>
      </w:r>
      <w:r w:rsidR="000B562B" w:rsidRPr="00E75578">
        <w:rPr>
          <w:lang w:val="fr-FR"/>
        </w:rPr>
        <w:t xml:space="preserve">, </w:t>
      </w:r>
      <w:r w:rsidR="00E75578" w:rsidRPr="00E75578">
        <w:rPr>
          <w:lang w:val="fr-FR"/>
        </w:rPr>
        <w:t>la Commission des droits de l’homme d’</w:t>
      </w:r>
      <w:r w:rsidR="008F3DA4" w:rsidRPr="00E75578">
        <w:rPr>
          <w:lang w:val="fr-FR"/>
        </w:rPr>
        <w:t>Irlande du Nord</w:t>
      </w:r>
      <w:r w:rsidR="000B562B" w:rsidRPr="00E75578">
        <w:rPr>
          <w:lang w:val="fr-FR"/>
        </w:rPr>
        <w:t xml:space="preserve">, </w:t>
      </w:r>
      <w:r w:rsidR="00E75578" w:rsidRPr="00E75578">
        <w:rPr>
          <w:lang w:val="fr-FR"/>
        </w:rPr>
        <w:t>l’Inspection de la justice pénale pour l’</w:t>
      </w:r>
      <w:r w:rsidR="008F3DA4" w:rsidRPr="00E75578">
        <w:rPr>
          <w:lang w:val="fr-FR"/>
        </w:rPr>
        <w:t>Irlande du Nord</w:t>
      </w:r>
      <w:r w:rsidR="000B562B" w:rsidRPr="00E75578">
        <w:rPr>
          <w:lang w:val="fr-FR"/>
        </w:rPr>
        <w:t xml:space="preserve"> </w:t>
      </w:r>
      <w:r w:rsidR="00E75578" w:rsidRPr="00E75578">
        <w:rPr>
          <w:lang w:val="fr-FR"/>
        </w:rPr>
        <w:t>et le Commissaire à l’enfance et à la jeunesse pour l’</w:t>
      </w:r>
      <w:r w:rsidR="008F3DA4" w:rsidRPr="00E75578">
        <w:rPr>
          <w:lang w:val="fr-FR"/>
        </w:rPr>
        <w:t>Irlande du Nord</w:t>
      </w:r>
      <w:r w:rsidR="00E75578" w:rsidRPr="00E75578">
        <w:rPr>
          <w:lang w:val="fr-FR"/>
        </w:rPr>
        <w:t>.</w:t>
      </w:r>
      <w:r w:rsidR="00E75578">
        <w:rPr>
          <w:lang w:val="fr-FR"/>
        </w:rPr>
        <w:t xml:space="preserve"> </w:t>
      </w:r>
      <w:r w:rsidR="00E75578" w:rsidRPr="0030535F">
        <w:rPr>
          <w:lang w:val="fr-FR"/>
        </w:rPr>
        <w:t>Depuis la dévolution de la justice en avril 2010</w:t>
      </w:r>
      <w:r w:rsidR="006E15DC" w:rsidRPr="0030535F">
        <w:rPr>
          <w:lang w:val="fr-FR"/>
        </w:rPr>
        <w:t>,</w:t>
      </w:r>
      <w:r w:rsidR="000B562B" w:rsidRPr="0030535F">
        <w:rPr>
          <w:lang w:val="fr-FR"/>
        </w:rPr>
        <w:t xml:space="preserve"> </w:t>
      </w:r>
      <w:r w:rsidR="006E15DC" w:rsidRPr="0030535F">
        <w:rPr>
          <w:lang w:val="fr-FR"/>
        </w:rPr>
        <w:t>l’</w:t>
      </w:r>
      <w:r w:rsidR="008E4932" w:rsidRPr="0030535F">
        <w:rPr>
          <w:lang w:val="fr-FR"/>
        </w:rPr>
        <w:t>Administration pénitentiaire</w:t>
      </w:r>
      <w:r w:rsidR="000B562B" w:rsidRPr="0030535F">
        <w:rPr>
          <w:lang w:val="fr-FR"/>
        </w:rPr>
        <w:t xml:space="preserve"> </w:t>
      </w:r>
      <w:r w:rsidR="006E15DC" w:rsidRPr="0030535F">
        <w:rPr>
          <w:lang w:val="fr-FR"/>
        </w:rPr>
        <w:t xml:space="preserve">d’Irlande du Nord </w:t>
      </w:r>
      <w:r w:rsidR="00E75578" w:rsidRPr="0030535F">
        <w:rPr>
          <w:lang w:val="fr-FR"/>
        </w:rPr>
        <w:t xml:space="preserve">rend compte </w:t>
      </w:r>
      <w:r w:rsidR="001520A2" w:rsidRPr="0030535F">
        <w:rPr>
          <w:lang w:val="fr-FR"/>
        </w:rPr>
        <w:t>au Comité de la justice de l’Assemblée d’</w:t>
      </w:r>
      <w:r w:rsidR="008F3DA4" w:rsidRPr="0030535F">
        <w:rPr>
          <w:lang w:val="fr-FR"/>
        </w:rPr>
        <w:t>Irlande du Nord</w:t>
      </w:r>
      <w:r w:rsidR="000B562B" w:rsidRPr="0030535F">
        <w:rPr>
          <w:lang w:val="fr-FR"/>
        </w:rPr>
        <w:t>.</w:t>
      </w:r>
      <w:r w:rsidR="0030535F">
        <w:rPr>
          <w:lang w:val="fr-FR"/>
        </w:rPr>
        <w:t xml:space="preserve"> Composé de 11 membres de l’Assemblée législative, le Comité est actuellement présid</w:t>
      </w:r>
      <w:r w:rsidR="00366E84">
        <w:rPr>
          <w:lang w:val="fr-FR"/>
        </w:rPr>
        <w:t>é</w:t>
      </w:r>
      <w:r w:rsidR="0030535F">
        <w:rPr>
          <w:lang w:val="fr-FR"/>
        </w:rPr>
        <w:t xml:space="preserve"> par </w:t>
      </w:r>
      <w:r w:rsidR="000B562B" w:rsidRPr="00A176EA">
        <w:rPr>
          <w:lang w:val="fr-FR"/>
        </w:rPr>
        <w:t>Lord Morrow.</w:t>
      </w:r>
    </w:p>
    <w:p w:rsidR="00DB6232" w:rsidRPr="003534A3" w:rsidRDefault="00DB6232" w:rsidP="00F67B53">
      <w:pPr>
        <w:pStyle w:val="SingleTxtG"/>
        <w:rPr>
          <w:b/>
          <w:snapToGrid w:val="0"/>
          <w:lang w:val="fr-FR"/>
        </w:rPr>
      </w:pPr>
      <w:r w:rsidRPr="003534A3">
        <w:rPr>
          <w:b/>
          <w:snapToGrid w:val="0"/>
          <w:lang w:val="fr-FR"/>
        </w:rPr>
        <w:t>Inspection des servic</w:t>
      </w:r>
      <w:r w:rsidR="004C6BDE">
        <w:rPr>
          <w:b/>
          <w:snapToGrid w:val="0"/>
          <w:lang w:val="fr-FR"/>
        </w:rPr>
        <w:t>es pénitentiaires de Sa Majesté</w:t>
      </w:r>
    </w:p>
    <w:p w:rsidR="000B562B" w:rsidRPr="00A176EA" w:rsidRDefault="002549A9" w:rsidP="0065498B">
      <w:pPr>
        <w:pStyle w:val="SingleTxtG"/>
        <w:rPr>
          <w:lang w:val="fr-FR"/>
        </w:rPr>
      </w:pPr>
      <w:r w:rsidRPr="003534A3">
        <w:rPr>
          <w:lang w:val="fr-FR"/>
        </w:rPr>
        <w:t>334.</w:t>
      </w:r>
      <w:r w:rsidRPr="003534A3">
        <w:rPr>
          <w:lang w:val="fr-FR"/>
        </w:rPr>
        <w:tab/>
      </w:r>
      <w:r w:rsidR="003534A3">
        <w:rPr>
          <w:snapToGrid w:val="0"/>
          <w:lang w:val="fr-FR"/>
        </w:rPr>
        <w:t>L</w:t>
      </w:r>
      <w:r w:rsidR="00DB6232" w:rsidRPr="003534A3">
        <w:rPr>
          <w:snapToGrid w:val="0"/>
          <w:lang w:val="fr-FR"/>
        </w:rPr>
        <w:t>’Inspect</w:t>
      </w:r>
      <w:r w:rsidR="003534A3">
        <w:rPr>
          <w:snapToGrid w:val="0"/>
          <w:lang w:val="fr-FR"/>
        </w:rPr>
        <w:t xml:space="preserve">ion des services pénitentiaires a été créée par la loi de 1982 sur la justice pénale après les critiques émises quant à l’absence de contrôle indépendant des établissements pénitentiaires, qui a atteint son paroxysme dans le Rapport </w:t>
      </w:r>
      <w:r w:rsidR="004C6BDE">
        <w:rPr>
          <w:snapToGrid w:val="0"/>
          <w:lang w:val="fr-FR"/>
        </w:rPr>
        <w:t>May</w:t>
      </w:r>
      <w:r w:rsidR="003534A3">
        <w:rPr>
          <w:snapToGrid w:val="0"/>
          <w:lang w:val="fr-FR"/>
        </w:rPr>
        <w:t xml:space="preserve"> </w:t>
      </w:r>
      <w:r w:rsidR="000B562B" w:rsidRPr="00A176EA">
        <w:rPr>
          <w:lang w:val="fr-FR"/>
        </w:rPr>
        <w:t>(1979).</w:t>
      </w:r>
    </w:p>
    <w:p w:rsidR="000B562B" w:rsidRPr="00A176EA" w:rsidRDefault="002549A9" w:rsidP="003744DC">
      <w:pPr>
        <w:pStyle w:val="SingleTxtG"/>
        <w:rPr>
          <w:lang w:val="fr-FR"/>
        </w:rPr>
      </w:pPr>
      <w:r w:rsidRPr="00A176EA">
        <w:rPr>
          <w:lang w:val="fr-FR"/>
        </w:rPr>
        <w:t>335.</w:t>
      </w:r>
      <w:r w:rsidRPr="00A176EA">
        <w:rPr>
          <w:lang w:val="fr-FR"/>
        </w:rPr>
        <w:tab/>
      </w:r>
      <w:r w:rsidR="003744DC" w:rsidRPr="003744DC">
        <w:rPr>
          <w:lang w:val="fr-FR"/>
        </w:rPr>
        <w:t>L</w:t>
      </w:r>
      <w:r w:rsidR="00DB6232" w:rsidRPr="003744DC">
        <w:rPr>
          <w:lang w:val="fr-FR"/>
        </w:rPr>
        <w:t>’</w:t>
      </w:r>
      <w:r w:rsidR="00207C2F" w:rsidRPr="003744DC">
        <w:rPr>
          <w:lang w:val="fr-FR"/>
        </w:rPr>
        <w:t xml:space="preserve">Inspecteur général des prisons </w:t>
      </w:r>
      <w:r w:rsidR="00DB6232" w:rsidRPr="003744DC">
        <w:rPr>
          <w:lang w:val="fr-FR"/>
        </w:rPr>
        <w:t>de Sa Majesté</w:t>
      </w:r>
      <w:r w:rsidR="003744DC" w:rsidRPr="003744DC">
        <w:rPr>
          <w:lang w:val="fr-FR"/>
        </w:rPr>
        <w:t xml:space="preserve"> est nommé par la Couronne plutôt que choisi parmi les fonctionnaires de façon à marquer son indépendance du Département des prisons et de son successeur, </w:t>
      </w:r>
      <w:r w:rsidR="00C30DEB" w:rsidRPr="003744DC">
        <w:rPr>
          <w:lang w:val="fr-FR"/>
        </w:rPr>
        <w:t>l’</w:t>
      </w:r>
      <w:r w:rsidR="008E4932" w:rsidRPr="003744DC">
        <w:rPr>
          <w:lang w:val="fr-FR"/>
        </w:rPr>
        <w:t>Administration pénitentiaire</w:t>
      </w:r>
      <w:r w:rsidR="00C30DEB" w:rsidRPr="003744DC">
        <w:rPr>
          <w:lang w:val="fr-FR"/>
        </w:rPr>
        <w:t xml:space="preserve"> de Sa Majesté</w:t>
      </w:r>
      <w:r w:rsidR="000B562B" w:rsidRPr="003744DC">
        <w:rPr>
          <w:lang w:val="fr-FR"/>
        </w:rPr>
        <w:t>.</w:t>
      </w:r>
      <w:r w:rsidR="000B562B" w:rsidRPr="00A176EA">
        <w:rPr>
          <w:lang w:val="fr-FR"/>
        </w:rPr>
        <w:t xml:space="preserve"> </w:t>
      </w:r>
      <w:r w:rsidR="003744DC">
        <w:rPr>
          <w:lang w:val="fr-FR"/>
        </w:rPr>
        <w:t xml:space="preserve">Le titulaire du poste ne peut avoir travaillé dans ce </w:t>
      </w:r>
      <w:r w:rsidR="000B562B" w:rsidRPr="00A176EA">
        <w:rPr>
          <w:lang w:val="fr-FR"/>
        </w:rPr>
        <w:t>service.</w:t>
      </w:r>
    </w:p>
    <w:p w:rsidR="000B562B" w:rsidRPr="00A176EA" w:rsidRDefault="002549A9" w:rsidP="00975911">
      <w:pPr>
        <w:pStyle w:val="SingleTxtG"/>
        <w:rPr>
          <w:lang w:val="fr-FR"/>
        </w:rPr>
      </w:pPr>
      <w:r w:rsidRPr="00A176EA">
        <w:rPr>
          <w:lang w:val="fr-FR"/>
        </w:rPr>
        <w:t>336.</w:t>
      </w:r>
      <w:r w:rsidRPr="00A176EA">
        <w:rPr>
          <w:lang w:val="fr-FR"/>
        </w:rPr>
        <w:tab/>
      </w:r>
      <w:r w:rsidR="003744DC" w:rsidRPr="003744DC">
        <w:rPr>
          <w:lang w:val="fr-FR"/>
        </w:rPr>
        <w:t xml:space="preserve">Ces dernières années, le rôle de l’Inspection </w:t>
      </w:r>
      <w:r w:rsidR="00CA2A39">
        <w:rPr>
          <w:lang w:val="fr-FR"/>
        </w:rPr>
        <w:t xml:space="preserve">générale </w:t>
      </w:r>
      <w:r w:rsidR="003744DC" w:rsidRPr="003744DC">
        <w:rPr>
          <w:lang w:val="fr-FR"/>
        </w:rPr>
        <w:t>s’est étendu bien au-delà des limites des établissements pénitentiaires publics et privés</w:t>
      </w:r>
      <w:r w:rsidR="00E708BD">
        <w:rPr>
          <w:lang w:val="fr-FR"/>
        </w:rPr>
        <w:t>,</w:t>
      </w:r>
      <w:r w:rsidR="003744DC" w:rsidRPr="003744DC">
        <w:rPr>
          <w:lang w:val="fr-FR"/>
        </w:rPr>
        <w:t xml:space="preserve"> et des institutions pour jeunes délinquants d’</w:t>
      </w:r>
      <w:r w:rsidR="003A55FF" w:rsidRPr="003744DC">
        <w:rPr>
          <w:lang w:val="fr-FR"/>
        </w:rPr>
        <w:t xml:space="preserve">Angleterre et </w:t>
      </w:r>
      <w:r w:rsidR="003744DC" w:rsidRPr="003744DC">
        <w:rPr>
          <w:lang w:val="fr-FR"/>
        </w:rPr>
        <w:t>d</w:t>
      </w:r>
      <w:r w:rsidR="003A55FF" w:rsidRPr="003744DC">
        <w:rPr>
          <w:lang w:val="fr-FR"/>
        </w:rPr>
        <w:t xml:space="preserve">u </w:t>
      </w:r>
      <w:r w:rsidR="00B356DC">
        <w:rPr>
          <w:lang w:val="fr-FR"/>
        </w:rPr>
        <w:t>p</w:t>
      </w:r>
      <w:r w:rsidR="005601A1">
        <w:rPr>
          <w:lang w:val="fr-FR"/>
        </w:rPr>
        <w:t>ays de Galles</w:t>
      </w:r>
      <w:r w:rsidR="000B562B" w:rsidRPr="003744DC">
        <w:rPr>
          <w:lang w:val="fr-FR"/>
        </w:rPr>
        <w:t>.</w:t>
      </w:r>
      <w:r w:rsidR="000B562B" w:rsidRPr="00A176EA">
        <w:rPr>
          <w:lang w:val="fr-FR"/>
        </w:rPr>
        <w:t xml:space="preserve"> </w:t>
      </w:r>
      <w:r w:rsidR="003744DC">
        <w:rPr>
          <w:lang w:val="fr-FR"/>
        </w:rPr>
        <w:t xml:space="preserve">Aux termes de la loi de 1999 sur l’immigration et l’asile, elle est chargée d’inspecter les </w:t>
      </w:r>
      <w:r w:rsidR="003744DC">
        <w:rPr>
          <w:color w:val="000000"/>
          <w:lang w:val="fr-FR"/>
        </w:rPr>
        <w:t>Centres de rétention d</w:t>
      </w:r>
      <w:r w:rsidR="00975911">
        <w:rPr>
          <w:color w:val="000000"/>
          <w:lang w:val="fr-FR"/>
        </w:rPr>
        <w:t xml:space="preserve">es </w:t>
      </w:r>
      <w:r w:rsidR="003744DC">
        <w:rPr>
          <w:color w:val="000000"/>
          <w:lang w:val="fr-FR"/>
        </w:rPr>
        <w:t>service</w:t>
      </w:r>
      <w:r w:rsidR="00975911">
        <w:rPr>
          <w:color w:val="000000"/>
          <w:lang w:val="fr-FR"/>
        </w:rPr>
        <w:t>s</w:t>
      </w:r>
      <w:r w:rsidR="003744DC">
        <w:rPr>
          <w:color w:val="000000"/>
          <w:lang w:val="fr-FR"/>
        </w:rPr>
        <w:t xml:space="preserve"> d’immigration </w:t>
      </w:r>
      <w:r w:rsidR="00975911">
        <w:rPr>
          <w:lang w:val="fr-FR"/>
        </w:rPr>
        <w:t xml:space="preserve">de l’ensemble du Royaume-Uni et, en vertu de la loi de 2006 sur l’immigration, l’asile et la nationalité, son mandat a été étendu aux centres de rétention provisoire des aéroports et des ports maritimes, et aux services d’escorte de l’immigration. En outre, l’Inspection a été invitée à inspecter des prisons d’Irlande du Nord, des îles Anglo-Normandes, de l’île de Man et de quelques territoires </w:t>
      </w:r>
      <w:r w:rsidR="00CA2A39">
        <w:rPr>
          <w:lang w:val="fr-FR"/>
        </w:rPr>
        <w:t>britanniques d’outre-mer</w:t>
      </w:r>
      <w:r w:rsidR="000B562B" w:rsidRPr="00A176EA">
        <w:rPr>
          <w:lang w:val="fr-FR"/>
        </w:rPr>
        <w:t>.</w:t>
      </w:r>
    </w:p>
    <w:p w:rsidR="000B562B" w:rsidRPr="00A176EA" w:rsidRDefault="002549A9" w:rsidP="00CA2A39">
      <w:pPr>
        <w:pStyle w:val="SingleTxtG"/>
        <w:rPr>
          <w:lang w:val="fr-FR"/>
        </w:rPr>
      </w:pPr>
      <w:r w:rsidRPr="00A176EA">
        <w:rPr>
          <w:lang w:val="fr-FR"/>
        </w:rPr>
        <w:t>337.</w:t>
      </w:r>
      <w:r w:rsidRPr="00A176EA">
        <w:rPr>
          <w:lang w:val="fr-FR"/>
        </w:rPr>
        <w:tab/>
      </w:r>
      <w:r w:rsidR="00CA2A39">
        <w:rPr>
          <w:lang w:val="fr-FR"/>
        </w:rPr>
        <w:t xml:space="preserve">La loi de </w:t>
      </w:r>
      <w:r w:rsidR="00CA2A39" w:rsidRPr="00F46AC9">
        <w:rPr>
          <w:lang w:val="fr-FR"/>
        </w:rPr>
        <w:t xml:space="preserve">2006 sur la police et la justice a confirmé le maintien d’une </w:t>
      </w:r>
      <w:r w:rsidR="00DB6232" w:rsidRPr="00F46AC9">
        <w:rPr>
          <w:snapToGrid w:val="0"/>
          <w:lang w:val="fr-FR"/>
        </w:rPr>
        <w:t>Inspection des services pénitentiaires de Sa Majesté</w:t>
      </w:r>
      <w:r w:rsidR="00CA2A39" w:rsidRPr="00F46AC9">
        <w:rPr>
          <w:lang w:val="fr-FR"/>
        </w:rPr>
        <w:t xml:space="preserve"> indépendante</w:t>
      </w:r>
      <w:r w:rsidR="000B562B" w:rsidRPr="00A176EA">
        <w:rPr>
          <w:lang w:val="fr-FR"/>
        </w:rPr>
        <w:t xml:space="preserve">. </w:t>
      </w:r>
      <w:r w:rsidR="00CA2A39">
        <w:rPr>
          <w:lang w:val="fr-FR"/>
        </w:rPr>
        <w:t>La même loi impose à l’Inspecteur général de travailler avec d’autres inspecteurs généraux de la justice pénale pour élaborer un cadre d’inspection commun et un programme annuel d’inspections de la justice pénale à partir de 2008-2009</w:t>
      </w:r>
      <w:r w:rsidR="000B562B" w:rsidRPr="00A176EA">
        <w:rPr>
          <w:lang w:val="fr-FR"/>
        </w:rPr>
        <w:t>.</w:t>
      </w:r>
    </w:p>
    <w:p w:rsidR="000B562B" w:rsidRPr="00D876CB" w:rsidRDefault="002549A9" w:rsidP="00D876CB">
      <w:pPr>
        <w:pStyle w:val="SingleTxtG"/>
        <w:rPr>
          <w:lang w:val="fr-FR"/>
        </w:rPr>
      </w:pPr>
      <w:r w:rsidRPr="00A176EA">
        <w:rPr>
          <w:lang w:val="fr-FR"/>
        </w:rPr>
        <w:t>338.</w:t>
      </w:r>
      <w:r w:rsidRPr="00A176EA">
        <w:rPr>
          <w:lang w:val="fr-FR"/>
        </w:rPr>
        <w:tab/>
      </w:r>
      <w:r w:rsidR="00F46AC9">
        <w:rPr>
          <w:lang w:val="fr-FR"/>
        </w:rPr>
        <w:t>Cette volonté d’inspection commune du système de justice pénale a conduit</w:t>
      </w:r>
      <w:r w:rsidR="002B6C35" w:rsidRPr="002B6C35">
        <w:rPr>
          <w:lang w:val="fr-FR"/>
        </w:rPr>
        <w:t xml:space="preserve"> </w:t>
      </w:r>
      <w:r w:rsidR="002B6C35">
        <w:rPr>
          <w:lang w:val="fr-FR"/>
        </w:rPr>
        <w:t>l’Inspection générale</w:t>
      </w:r>
      <w:r w:rsidR="00F46AC9">
        <w:rPr>
          <w:lang w:val="fr-FR"/>
        </w:rPr>
        <w:t xml:space="preserve">, par exemple, à mener avec </w:t>
      </w:r>
      <w:r w:rsidR="00D46D1A" w:rsidRPr="00D876CB">
        <w:rPr>
          <w:lang w:val="fr-FR"/>
        </w:rPr>
        <w:t xml:space="preserve">l’Inspection des services de police de Sa Majesté </w:t>
      </w:r>
      <w:r w:rsidR="00F46AC9" w:rsidRPr="00D876CB">
        <w:rPr>
          <w:lang w:val="fr-FR"/>
        </w:rPr>
        <w:t>un</w:t>
      </w:r>
      <w:r w:rsidR="000B562B" w:rsidRPr="00D876CB">
        <w:rPr>
          <w:lang w:val="fr-FR"/>
        </w:rPr>
        <w:t xml:space="preserve"> programme </w:t>
      </w:r>
      <w:r w:rsidR="00F46AC9" w:rsidRPr="00D876CB">
        <w:rPr>
          <w:lang w:val="fr-FR"/>
        </w:rPr>
        <w:t>d’inspections communes des locaux</w:t>
      </w:r>
      <w:r w:rsidR="00250A6E">
        <w:rPr>
          <w:lang w:val="fr-FR"/>
        </w:rPr>
        <w:t xml:space="preserve"> de garde à vue (voir par.</w:t>
      </w:r>
      <w:r w:rsidR="00F46AC9" w:rsidRPr="00D876CB">
        <w:rPr>
          <w:lang w:val="fr-FR"/>
        </w:rPr>
        <w:t xml:space="preserve"> 300 ci-dessus). Chaque inspection </w:t>
      </w:r>
      <w:r w:rsidR="00D876CB" w:rsidRPr="00D876CB">
        <w:rPr>
          <w:lang w:val="fr-FR"/>
        </w:rPr>
        <w:t>permet d’examiner</w:t>
      </w:r>
      <w:r w:rsidR="00F46AC9" w:rsidRPr="00D876CB">
        <w:rPr>
          <w:lang w:val="fr-FR"/>
        </w:rPr>
        <w:t xml:space="preserve"> </w:t>
      </w:r>
      <w:r w:rsidR="00D876CB" w:rsidRPr="00D876CB">
        <w:rPr>
          <w:lang w:val="fr-FR"/>
        </w:rPr>
        <w:t>l</w:t>
      </w:r>
      <w:r w:rsidR="00F46AC9" w:rsidRPr="00D876CB">
        <w:rPr>
          <w:lang w:val="fr-FR"/>
        </w:rPr>
        <w:t xml:space="preserve">es stratégies, </w:t>
      </w:r>
      <w:r w:rsidR="00D876CB" w:rsidRPr="00D876CB">
        <w:rPr>
          <w:lang w:val="fr-FR"/>
        </w:rPr>
        <w:t>le</w:t>
      </w:r>
      <w:r w:rsidR="00F46AC9" w:rsidRPr="00D876CB">
        <w:rPr>
          <w:lang w:val="fr-FR"/>
        </w:rPr>
        <w:t xml:space="preserve"> traitement des détenus</w:t>
      </w:r>
      <w:r w:rsidR="00D876CB" w:rsidRPr="00D876CB">
        <w:rPr>
          <w:lang w:val="fr-FR"/>
        </w:rPr>
        <w:t xml:space="preserve">, les conditions </w:t>
      </w:r>
      <w:r w:rsidR="002B6C35">
        <w:rPr>
          <w:lang w:val="fr-FR"/>
        </w:rPr>
        <w:t>carcérales</w:t>
      </w:r>
      <w:r w:rsidR="00D876CB" w:rsidRPr="00D876CB">
        <w:rPr>
          <w:lang w:val="fr-FR"/>
        </w:rPr>
        <w:t xml:space="preserve"> et les soins de santé pratiqués dans les locaux de garde à vue</w:t>
      </w:r>
      <w:r w:rsidR="000B562B" w:rsidRPr="00D876CB">
        <w:rPr>
          <w:lang w:val="fr-FR"/>
        </w:rPr>
        <w:t>.</w:t>
      </w:r>
    </w:p>
    <w:p w:rsidR="000B562B" w:rsidRPr="00D876CB" w:rsidRDefault="00DB6232" w:rsidP="00F67B53">
      <w:pPr>
        <w:pStyle w:val="H23G"/>
        <w:rPr>
          <w:lang w:val="fr-FR"/>
        </w:rPr>
      </w:pPr>
      <w:bookmarkStart w:id="42" w:name="_Toc299724725"/>
      <w:r w:rsidRPr="00D876CB">
        <w:rPr>
          <w:snapToGrid w:val="0"/>
          <w:lang w:val="fr-FR"/>
        </w:rPr>
        <w:t xml:space="preserve">Inspection des services pénitentiaires de Sa Majesté </w:t>
      </w:r>
      <w:r w:rsidR="000B562B" w:rsidRPr="00D876CB">
        <w:rPr>
          <w:lang w:val="fr-FR"/>
        </w:rPr>
        <w:t>(</w:t>
      </w:r>
      <w:r w:rsidR="00FD2CE1" w:rsidRPr="00D876CB">
        <w:rPr>
          <w:lang w:val="fr-FR"/>
        </w:rPr>
        <w:t>Écosse</w:t>
      </w:r>
      <w:r w:rsidR="000B562B" w:rsidRPr="00D876CB">
        <w:rPr>
          <w:lang w:val="fr-FR"/>
        </w:rPr>
        <w:t>)</w:t>
      </w:r>
      <w:bookmarkEnd w:id="42"/>
    </w:p>
    <w:p w:rsidR="000B562B" w:rsidRPr="00A176EA" w:rsidRDefault="002549A9" w:rsidP="00D876CB">
      <w:pPr>
        <w:pStyle w:val="SingleTxtG"/>
        <w:rPr>
          <w:lang w:val="fr-FR"/>
        </w:rPr>
      </w:pPr>
      <w:r w:rsidRPr="00D876CB">
        <w:rPr>
          <w:lang w:val="fr-FR"/>
        </w:rPr>
        <w:t>339.</w:t>
      </w:r>
      <w:r w:rsidRPr="00D876CB">
        <w:rPr>
          <w:lang w:val="fr-FR"/>
        </w:rPr>
        <w:tab/>
      </w:r>
      <w:r w:rsidR="00D876CB">
        <w:rPr>
          <w:lang w:val="fr-FR"/>
        </w:rPr>
        <w:t>L’article</w:t>
      </w:r>
      <w:r w:rsidR="000B562B" w:rsidRPr="00D876CB">
        <w:rPr>
          <w:lang w:val="fr-FR"/>
        </w:rPr>
        <w:t xml:space="preserve"> 7 </w:t>
      </w:r>
      <w:r w:rsidR="00D876CB">
        <w:rPr>
          <w:lang w:val="fr-FR"/>
        </w:rPr>
        <w:t xml:space="preserve">de la loi de 1989 sur les établissements pénitentiaires </w:t>
      </w:r>
      <w:r w:rsidR="000B562B" w:rsidRPr="00D876CB">
        <w:rPr>
          <w:lang w:val="fr-FR"/>
        </w:rPr>
        <w:t>(</w:t>
      </w:r>
      <w:r w:rsidR="00FD2CE1" w:rsidRPr="00D876CB">
        <w:rPr>
          <w:lang w:val="fr-FR"/>
        </w:rPr>
        <w:t>Écosse</w:t>
      </w:r>
      <w:r w:rsidR="000B562B" w:rsidRPr="00D876CB">
        <w:rPr>
          <w:lang w:val="fr-FR"/>
        </w:rPr>
        <w:t>) (</w:t>
      </w:r>
      <w:r w:rsidR="00D876CB">
        <w:rPr>
          <w:lang w:val="fr-FR"/>
        </w:rPr>
        <w:t>telle que modifiée</w:t>
      </w:r>
      <w:r w:rsidR="000B562B" w:rsidRPr="00A176EA">
        <w:rPr>
          <w:lang w:val="fr-FR"/>
        </w:rPr>
        <w:t xml:space="preserve">) </w:t>
      </w:r>
      <w:r w:rsidR="00D876CB">
        <w:rPr>
          <w:lang w:val="fr-FR"/>
        </w:rPr>
        <w:t xml:space="preserve">établit le fondement juridique de </w:t>
      </w:r>
      <w:r w:rsidR="00DB6232" w:rsidRPr="00D876CB">
        <w:rPr>
          <w:snapToGrid w:val="0"/>
          <w:lang w:val="fr-FR"/>
        </w:rPr>
        <w:t>l’Inspection des services pénitentiaires de Sa Majesté pou</w:t>
      </w:r>
      <w:r w:rsidR="000B562B" w:rsidRPr="00D876CB">
        <w:rPr>
          <w:lang w:val="fr-FR"/>
        </w:rPr>
        <w:t xml:space="preserve">r </w:t>
      </w:r>
      <w:r w:rsidR="00DB6232" w:rsidRPr="00D876CB">
        <w:rPr>
          <w:lang w:val="fr-FR"/>
        </w:rPr>
        <w:t>l’</w:t>
      </w:r>
      <w:r w:rsidR="00FD2CE1" w:rsidRPr="00D876CB">
        <w:rPr>
          <w:lang w:val="fr-FR"/>
        </w:rPr>
        <w:t>Écosse</w:t>
      </w:r>
      <w:r w:rsidR="000B562B" w:rsidRPr="00D876CB">
        <w:rPr>
          <w:lang w:val="fr-FR"/>
        </w:rPr>
        <w:t xml:space="preserve">. </w:t>
      </w:r>
      <w:r w:rsidR="00207C2F" w:rsidRPr="00D876CB">
        <w:rPr>
          <w:lang w:val="fr-FR"/>
        </w:rPr>
        <w:t xml:space="preserve">L’Inspecteur général </w:t>
      </w:r>
      <w:r w:rsidR="00D876CB">
        <w:rPr>
          <w:lang w:val="fr-FR"/>
        </w:rPr>
        <w:t xml:space="preserve">agit en toute indépendance et impartialité par rapport à l’Administration pénitentiaire écossaise. Il est chargé de veiller à ce qu’un programme systématique d’inspection soit mis en œuvre et que les conclusions soient transmises au Ministre de la </w:t>
      </w:r>
      <w:r w:rsidR="000B562B" w:rsidRPr="00A176EA">
        <w:rPr>
          <w:lang w:val="fr-FR"/>
        </w:rPr>
        <w:t xml:space="preserve">Justice. </w:t>
      </w:r>
      <w:r w:rsidR="00207C2F" w:rsidRPr="00D876CB">
        <w:rPr>
          <w:lang w:val="fr-FR"/>
        </w:rPr>
        <w:t xml:space="preserve">L’Inspecteur général </w:t>
      </w:r>
      <w:r w:rsidR="003D5DFC" w:rsidRPr="00D876CB">
        <w:rPr>
          <w:lang w:val="fr-FR"/>
        </w:rPr>
        <w:t>rend</w:t>
      </w:r>
      <w:r w:rsidR="003D5DFC">
        <w:rPr>
          <w:lang w:val="fr-FR"/>
        </w:rPr>
        <w:t xml:space="preserve"> compte directement aux </w:t>
      </w:r>
      <w:r w:rsidR="00D876CB">
        <w:rPr>
          <w:lang w:val="fr-FR"/>
        </w:rPr>
        <w:t>Ministres écossais, ce qui garantit l’indépendance des inspections, des examens et des rapports</w:t>
      </w:r>
      <w:r w:rsidR="000B562B" w:rsidRPr="00A176EA">
        <w:rPr>
          <w:lang w:val="fr-FR"/>
        </w:rPr>
        <w:t>.</w:t>
      </w:r>
    </w:p>
    <w:p w:rsidR="000B562B" w:rsidRPr="00A176EA" w:rsidRDefault="00D876CB" w:rsidP="00F67B53">
      <w:pPr>
        <w:pStyle w:val="H23G"/>
        <w:rPr>
          <w:lang w:val="fr-FR"/>
        </w:rPr>
      </w:pPr>
      <w:bookmarkStart w:id="43" w:name="_Toc299724726"/>
      <w:r w:rsidRPr="00A176EA">
        <w:rPr>
          <w:lang w:val="fr-FR"/>
        </w:rPr>
        <w:t xml:space="preserve">Inspection </w:t>
      </w:r>
      <w:r>
        <w:rPr>
          <w:lang w:val="fr-FR"/>
        </w:rPr>
        <w:t xml:space="preserve">de la justice </w:t>
      </w:r>
      <w:r w:rsidRPr="00D876CB">
        <w:rPr>
          <w:lang w:val="fr-FR"/>
        </w:rPr>
        <w:t>pénale</w:t>
      </w:r>
      <w:r w:rsidR="000B562B" w:rsidRPr="00D876CB">
        <w:rPr>
          <w:lang w:val="fr-FR"/>
        </w:rPr>
        <w:t xml:space="preserve"> (</w:t>
      </w:r>
      <w:r w:rsidR="008F3DA4" w:rsidRPr="00D876CB">
        <w:rPr>
          <w:lang w:val="fr-FR"/>
        </w:rPr>
        <w:t>Irlande du Nord</w:t>
      </w:r>
      <w:r w:rsidR="000B562B" w:rsidRPr="00D876CB">
        <w:rPr>
          <w:lang w:val="fr-FR"/>
        </w:rPr>
        <w:t>)</w:t>
      </w:r>
      <w:bookmarkEnd w:id="43"/>
    </w:p>
    <w:p w:rsidR="000B562B" w:rsidRPr="00A176EA" w:rsidRDefault="002549A9" w:rsidP="00873804">
      <w:pPr>
        <w:pStyle w:val="SingleTxtG"/>
        <w:rPr>
          <w:lang w:val="fr-FR"/>
        </w:rPr>
      </w:pPr>
      <w:r w:rsidRPr="00A176EA">
        <w:rPr>
          <w:lang w:val="fr-FR"/>
        </w:rPr>
        <w:t>340.</w:t>
      </w:r>
      <w:r w:rsidRPr="00A176EA">
        <w:rPr>
          <w:lang w:val="fr-FR"/>
        </w:rPr>
        <w:tab/>
      </w:r>
      <w:r w:rsidR="00D876CB">
        <w:rPr>
          <w:lang w:val="fr-FR"/>
        </w:rPr>
        <w:t>L’</w:t>
      </w:r>
      <w:r w:rsidR="00D876CB" w:rsidRPr="00A176EA">
        <w:rPr>
          <w:lang w:val="fr-FR"/>
        </w:rPr>
        <w:t xml:space="preserve">Inspection </w:t>
      </w:r>
      <w:r w:rsidR="00D876CB">
        <w:rPr>
          <w:lang w:val="fr-FR"/>
        </w:rPr>
        <w:t xml:space="preserve">de la justice pénale </w:t>
      </w:r>
      <w:r w:rsidR="00D876CB" w:rsidRPr="00D876CB">
        <w:rPr>
          <w:lang w:val="fr-FR"/>
        </w:rPr>
        <w:t>d’</w:t>
      </w:r>
      <w:r w:rsidR="008F3DA4" w:rsidRPr="00D876CB">
        <w:rPr>
          <w:lang w:val="fr-FR"/>
        </w:rPr>
        <w:t>Irlande du Nord</w:t>
      </w:r>
      <w:r w:rsidR="000B562B" w:rsidRPr="00A176EA">
        <w:rPr>
          <w:lang w:val="fr-FR"/>
        </w:rPr>
        <w:t xml:space="preserve"> </w:t>
      </w:r>
      <w:r w:rsidR="00D876CB">
        <w:rPr>
          <w:lang w:val="fr-FR"/>
        </w:rPr>
        <w:t xml:space="preserve">est une institution indépendante créée en 2003 en vertu de l’article 45 de la loi de 2002 sur la </w:t>
      </w:r>
      <w:r w:rsidR="00D876CB" w:rsidRPr="00D876CB">
        <w:rPr>
          <w:lang w:val="fr-FR"/>
        </w:rPr>
        <w:t xml:space="preserve">justice </w:t>
      </w:r>
      <w:r w:rsidR="000B562B" w:rsidRPr="00D876CB">
        <w:rPr>
          <w:lang w:val="fr-FR"/>
        </w:rPr>
        <w:t>(</w:t>
      </w:r>
      <w:r w:rsidR="008F3DA4" w:rsidRPr="00D876CB">
        <w:rPr>
          <w:lang w:val="fr-FR"/>
        </w:rPr>
        <w:t>Irlande du Nord</w:t>
      </w:r>
      <w:r w:rsidR="000B562B" w:rsidRPr="00D876CB">
        <w:rPr>
          <w:lang w:val="fr-FR"/>
        </w:rPr>
        <w:t>).</w:t>
      </w:r>
      <w:r w:rsidR="000B562B" w:rsidRPr="00A176EA">
        <w:rPr>
          <w:lang w:val="fr-FR"/>
        </w:rPr>
        <w:t xml:space="preserve"> </w:t>
      </w:r>
      <w:r w:rsidR="00873804">
        <w:rPr>
          <w:lang w:val="fr-FR"/>
        </w:rPr>
        <w:t>O</w:t>
      </w:r>
      <w:r w:rsidR="00D876CB">
        <w:rPr>
          <w:lang w:val="fr-FR"/>
        </w:rPr>
        <w:t xml:space="preserve">rganisme public non ministériel </w:t>
      </w:r>
      <w:r w:rsidR="00873804">
        <w:rPr>
          <w:lang w:val="fr-FR"/>
        </w:rPr>
        <w:t>dirigé par l’Inspecteur général, cette inspection de droit public est chargée d’inspecter tous les aspects du système de justice pénale en Irlande du Nord, dont les établissements pénitentiaires</w:t>
      </w:r>
      <w:r w:rsidR="000B562B" w:rsidRPr="00A176EA">
        <w:rPr>
          <w:lang w:val="fr-FR"/>
        </w:rPr>
        <w:t>.</w:t>
      </w:r>
    </w:p>
    <w:p w:rsidR="000B562B" w:rsidRPr="00A176EA" w:rsidRDefault="00873804" w:rsidP="0074254F">
      <w:pPr>
        <w:pStyle w:val="H23G"/>
        <w:rPr>
          <w:lang w:val="fr-FR"/>
        </w:rPr>
      </w:pPr>
      <w:r>
        <w:rPr>
          <w:lang w:val="fr-FR"/>
        </w:rPr>
        <w:t>Contrôle indépendant des établissements pénitentiaires</w:t>
      </w:r>
    </w:p>
    <w:p w:rsidR="000B562B" w:rsidRPr="00A176EA" w:rsidRDefault="006E15DC" w:rsidP="0074254F">
      <w:pPr>
        <w:pStyle w:val="H23G"/>
        <w:rPr>
          <w:lang w:val="fr-FR"/>
        </w:rPr>
      </w:pPr>
      <w:r w:rsidRPr="00873804">
        <w:rPr>
          <w:lang w:val="fr-FR"/>
        </w:rPr>
        <w:t xml:space="preserve">Angleterre et </w:t>
      </w:r>
      <w:r w:rsidR="00186A02">
        <w:rPr>
          <w:lang w:val="fr-FR"/>
        </w:rPr>
        <w:t>p</w:t>
      </w:r>
      <w:r w:rsidR="005601A1">
        <w:rPr>
          <w:lang w:val="fr-FR"/>
        </w:rPr>
        <w:t>ays de Galles</w:t>
      </w:r>
    </w:p>
    <w:p w:rsidR="000B562B" w:rsidRPr="00A176EA" w:rsidRDefault="002549A9" w:rsidP="00873804">
      <w:pPr>
        <w:pStyle w:val="SingleTxtG"/>
        <w:rPr>
          <w:lang w:val="fr-FR"/>
        </w:rPr>
      </w:pPr>
      <w:r w:rsidRPr="00A176EA">
        <w:rPr>
          <w:lang w:val="fr-FR"/>
        </w:rPr>
        <w:t>341.</w:t>
      </w:r>
      <w:r w:rsidRPr="00A176EA">
        <w:rPr>
          <w:lang w:val="fr-FR"/>
        </w:rPr>
        <w:tab/>
      </w:r>
      <w:r w:rsidR="00873804">
        <w:rPr>
          <w:lang w:val="fr-FR"/>
        </w:rPr>
        <w:t xml:space="preserve">La loi de 1952 sur les établissements </w:t>
      </w:r>
      <w:r w:rsidR="001A3D6D">
        <w:rPr>
          <w:lang w:val="fr-FR"/>
        </w:rPr>
        <w:t>pénitentiaires</w:t>
      </w:r>
      <w:r w:rsidR="00873804">
        <w:rPr>
          <w:lang w:val="fr-FR"/>
        </w:rPr>
        <w:t xml:space="preserve"> et la loi de 1999 sur l’immigration et l’asile encourage</w:t>
      </w:r>
      <w:r w:rsidR="001C66B2">
        <w:rPr>
          <w:lang w:val="fr-FR"/>
        </w:rPr>
        <w:t>nt</w:t>
      </w:r>
      <w:r w:rsidR="00873804">
        <w:rPr>
          <w:lang w:val="fr-FR"/>
        </w:rPr>
        <w:t xml:space="preserve"> chaque établissement pénitentiaire à se soumettre au contrôle d’un Comité indépendant nommé par le Ministre de la justice parmi les membres de la communauté dans laquelle l’établissement se trouve</w:t>
      </w:r>
      <w:r w:rsidR="000B562B" w:rsidRPr="00A176EA">
        <w:rPr>
          <w:lang w:val="fr-FR"/>
        </w:rPr>
        <w:t>.</w:t>
      </w:r>
    </w:p>
    <w:p w:rsidR="000B562B" w:rsidRPr="00A176EA" w:rsidRDefault="002549A9" w:rsidP="00F67B53">
      <w:pPr>
        <w:pStyle w:val="SingleTxtG"/>
        <w:rPr>
          <w:lang w:val="fr-FR"/>
        </w:rPr>
      </w:pPr>
      <w:r w:rsidRPr="00A176EA">
        <w:rPr>
          <w:lang w:val="fr-FR"/>
        </w:rPr>
        <w:t>342.</w:t>
      </w:r>
      <w:r w:rsidRPr="00A176EA">
        <w:rPr>
          <w:lang w:val="fr-FR"/>
        </w:rPr>
        <w:tab/>
      </w:r>
      <w:r w:rsidR="00873804">
        <w:rPr>
          <w:lang w:val="fr-FR"/>
        </w:rPr>
        <w:t>Le Comité est spécifiquement chargé de</w:t>
      </w:r>
      <w:r w:rsidR="00FC2B97">
        <w:rPr>
          <w:lang w:val="fr-FR"/>
        </w:rPr>
        <w:t>:</w:t>
      </w:r>
    </w:p>
    <w:p w:rsidR="000B562B" w:rsidRPr="00A176EA" w:rsidRDefault="00677843" w:rsidP="00BC0033">
      <w:pPr>
        <w:pStyle w:val="Bullet1G"/>
      </w:pPr>
      <w:r>
        <w:t xml:space="preserve">S’assurer que les détenus de son établissement pénitentiaire soient traités de façon humaine et juste, </w:t>
      </w:r>
      <w:r w:rsidR="0057107D">
        <w:t xml:space="preserve">et vérifier </w:t>
      </w:r>
      <w:r w:rsidR="001C66B2">
        <w:t>l’étendue</w:t>
      </w:r>
      <w:r w:rsidR="0057107D">
        <w:t xml:space="preserve"> et l’adéquation des programmes les préparant à leur libéra</w:t>
      </w:r>
      <w:r w:rsidR="001C66B2">
        <w:t>tion.</w:t>
      </w:r>
    </w:p>
    <w:p w:rsidR="000B562B" w:rsidRPr="00A176EA" w:rsidRDefault="000B562B" w:rsidP="00BC0033">
      <w:pPr>
        <w:pStyle w:val="Bullet1G"/>
      </w:pPr>
      <w:r w:rsidRPr="00A176EA">
        <w:t>Inform</w:t>
      </w:r>
      <w:r w:rsidR="001C66B2">
        <w:t>er sans délai</w:t>
      </w:r>
      <w:r w:rsidRPr="00A176EA">
        <w:t xml:space="preserve"> </w:t>
      </w:r>
      <w:r w:rsidR="001C18EF">
        <w:t>le Ministre ou</w:t>
      </w:r>
      <w:r w:rsidRPr="00A176EA">
        <w:t xml:space="preserve"> </w:t>
      </w:r>
      <w:r w:rsidR="001C18EF">
        <w:t xml:space="preserve">tout fonctionnaire </w:t>
      </w:r>
      <w:r w:rsidR="00BD5618">
        <w:t>que ce dernier</w:t>
      </w:r>
      <w:r w:rsidR="001C18EF">
        <w:t xml:space="preserve"> aura mandaté, selon ce</w:t>
      </w:r>
      <w:r w:rsidRPr="00A176EA">
        <w:t xml:space="preserve"> </w:t>
      </w:r>
      <w:r w:rsidR="001C18EF">
        <w:t>qu’il jugera convenir</w:t>
      </w:r>
      <w:r w:rsidRPr="00A176EA">
        <w:t xml:space="preserve">, </w:t>
      </w:r>
      <w:r w:rsidR="001C18EF">
        <w:t>de tout sujet de préoccupation</w:t>
      </w:r>
      <w:r w:rsidRPr="00A176EA">
        <w:t>.</w:t>
      </w:r>
    </w:p>
    <w:p w:rsidR="000B562B" w:rsidRPr="00A176EA" w:rsidRDefault="001C18EF" w:rsidP="00BC0033">
      <w:pPr>
        <w:pStyle w:val="Bullet1G"/>
      </w:pPr>
      <w:r>
        <w:t xml:space="preserve">Adresser au Ministre un rapport annuel sur </w:t>
      </w:r>
      <w:r w:rsidR="00BD5618">
        <w:t>la façon dont l’établissement applique les normes et conditions qui lui sont imposées et leur impact sur les détenus</w:t>
      </w:r>
      <w:r w:rsidR="000B562B" w:rsidRPr="00A176EA">
        <w:t>.</w:t>
      </w:r>
    </w:p>
    <w:p w:rsidR="000B562B" w:rsidRPr="00A176EA" w:rsidRDefault="00E52B0A" w:rsidP="00BC0033">
      <w:pPr>
        <w:pStyle w:val="Bullet1G"/>
      </w:pPr>
      <w:r>
        <w:t>S’a</w:t>
      </w:r>
      <w:r w:rsidR="00BD5618">
        <w:t xml:space="preserve">ssurer </w:t>
      </w:r>
      <w:r>
        <w:t>que</w:t>
      </w:r>
      <w:r w:rsidR="00BD5618">
        <w:t xml:space="preserve"> ses membres </w:t>
      </w:r>
      <w:r>
        <w:t>aient</w:t>
      </w:r>
      <w:r w:rsidR="00BD5618">
        <w:t xml:space="preserve"> accès à tous les détenus, à toute</w:t>
      </w:r>
      <w:r>
        <w:t>s les</w:t>
      </w:r>
      <w:r w:rsidR="00BD5618">
        <w:t xml:space="preserve"> zone</w:t>
      </w:r>
      <w:r>
        <w:t>s</w:t>
      </w:r>
      <w:r w:rsidR="00BD5618">
        <w:t xml:space="preserve"> de l’établissement et aux dossiers des détenus de façon à ce qu’ils puissent </w:t>
      </w:r>
      <w:r w:rsidR="002B6C35">
        <w:t>s’acquitter de</w:t>
      </w:r>
      <w:r w:rsidR="00BD5618">
        <w:t xml:space="preserve"> leurs fonctions</w:t>
      </w:r>
      <w:r w:rsidR="000B562B" w:rsidRPr="00A176EA">
        <w:t>.</w:t>
      </w:r>
    </w:p>
    <w:p w:rsidR="000B562B" w:rsidRPr="00A176EA" w:rsidRDefault="00FD2CE1" w:rsidP="0074254F">
      <w:pPr>
        <w:pStyle w:val="H23G"/>
        <w:rPr>
          <w:lang w:val="fr-FR"/>
        </w:rPr>
      </w:pPr>
      <w:r w:rsidRPr="00BD5618">
        <w:rPr>
          <w:lang w:val="fr-FR"/>
        </w:rPr>
        <w:t>Écosse</w:t>
      </w:r>
    </w:p>
    <w:p w:rsidR="000B562B" w:rsidRPr="00A176EA" w:rsidRDefault="002549A9" w:rsidP="00BD5618">
      <w:pPr>
        <w:pStyle w:val="SingleTxtG"/>
        <w:rPr>
          <w:lang w:val="fr-FR"/>
        </w:rPr>
      </w:pPr>
      <w:r w:rsidRPr="00A176EA">
        <w:rPr>
          <w:lang w:val="fr-FR"/>
        </w:rPr>
        <w:t>343.</w:t>
      </w:r>
      <w:r w:rsidRPr="00A176EA">
        <w:rPr>
          <w:lang w:val="fr-FR"/>
        </w:rPr>
        <w:tab/>
      </w:r>
      <w:r w:rsidR="00BD5618">
        <w:rPr>
          <w:lang w:val="fr-FR"/>
        </w:rPr>
        <w:t>L’article</w:t>
      </w:r>
      <w:r w:rsidR="000B562B" w:rsidRPr="00A176EA">
        <w:rPr>
          <w:lang w:val="fr-FR"/>
        </w:rPr>
        <w:t xml:space="preserve"> 8 </w:t>
      </w:r>
      <w:r w:rsidR="00BD5618">
        <w:rPr>
          <w:lang w:val="fr-FR"/>
        </w:rPr>
        <w:t xml:space="preserve">de la loi de 1989 sur les établissements </w:t>
      </w:r>
      <w:r w:rsidR="001A3D6D">
        <w:rPr>
          <w:lang w:val="fr-FR"/>
        </w:rPr>
        <w:t>pénitentiaires</w:t>
      </w:r>
      <w:r w:rsidR="00BD5618">
        <w:rPr>
          <w:lang w:val="fr-FR"/>
        </w:rPr>
        <w:t xml:space="preserve"> (Écosse)</w:t>
      </w:r>
      <w:r w:rsidR="00BD5618" w:rsidRPr="00A176EA">
        <w:rPr>
          <w:i/>
          <w:lang w:val="fr-FR"/>
        </w:rPr>
        <w:t xml:space="preserve"> </w:t>
      </w:r>
      <w:r w:rsidR="00BD5618">
        <w:rPr>
          <w:lang w:val="fr-FR"/>
        </w:rPr>
        <w:t xml:space="preserve">stipule que les Règles pénitentiaires doivent prévoir l’instauration de comités </w:t>
      </w:r>
      <w:r w:rsidR="004C30F0">
        <w:rPr>
          <w:lang w:val="fr-FR"/>
        </w:rPr>
        <w:t>d’inspection</w:t>
      </w:r>
      <w:r w:rsidR="00BD5618">
        <w:rPr>
          <w:lang w:val="fr-FR"/>
        </w:rPr>
        <w:t>. En outre, il prévoit que ces Règles doivent prescrire les fonctions desdits comités</w:t>
      </w:r>
      <w:r w:rsidR="000B562B" w:rsidRPr="00A176EA">
        <w:rPr>
          <w:lang w:val="fr-FR"/>
        </w:rPr>
        <w:t>.</w:t>
      </w:r>
    </w:p>
    <w:p w:rsidR="000B562B" w:rsidRPr="00A176EA" w:rsidRDefault="002549A9" w:rsidP="00EB3E5C">
      <w:pPr>
        <w:pStyle w:val="SingleTxtG"/>
        <w:rPr>
          <w:lang w:val="fr-FR"/>
        </w:rPr>
      </w:pPr>
      <w:r w:rsidRPr="00A176EA">
        <w:rPr>
          <w:lang w:val="fr-FR"/>
        </w:rPr>
        <w:t>344.</w:t>
      </w:r>
      <w:r w:rsidRPr="00A176EA">
        <w:rPr>
          <w:lang w:val="fr-FR"/>
        </w:rPr>
        <w:tab/>
      </w:r>
      <w:r w:rsidR="00E52B0A">
        <w:rPr>
          <w:lang w:val="fr-FR"/>
        </w:rPr>
        <w:t xml:space="preserve">Les dispositions concernant les comités </w:t>
      </w:r>
      <w:r w:rsidR="004C30F0">
        <w:rPr>
          <w:lang w:val="fr-FR"/>
        </w:rPr>
        <w:t>d’inspection</w:t>
      </w:r>
      <w:r w:rsidR="00E52B0A">
        <w:rPr>
          <w:lang w:val="fr-FR"/>
        </w:rPr>
        <w:t xml:space="preserve"> sont établies dans les Règles 154 à 164 des Règles de 2006 </w:t>
      </w:r>
      <w:r w:rsidR="00BF6322">
        <w:rPr>
          <w:lang w:val="fr-FR"/>
        </w:rPr>
        <w:t>relatives aux</w:t>
      </w:r>
      <w:r w:rsidR="00EB3E5C">
        <w:rPr>
          <w:lang w:val="fr-FR"/>
        </w:rPr>
        <w:t xml:space="preserve"> établissements pénitentiaires et </w:t>
      </w:r>
      <w:r w:rsidR="00BF6322">
        <w:rPr>
          <w:lang w:val="fr-FR"/>
        </w:rPr>
        <w:t>aux</w:t>
      </w:r>
      <w:r w:rsidR="00EB3E5C">
        <w:rPr>
          <w:lang w:val="fr-FR"/>
        </w:rPr>
        <w:t xml:space="preserve"> institutions pour jeunes délinquants (</w:t>
      </w:r>
      <w:r w:rsidR="00EB3E5C" w:rsidRPr="00EB3E5C">
        <w:rPr>
          <w:lang w:val="fr-FR"/>
        </w:rPr>
        <w:t>É</w:t>
      </w:r>
      <w:r w:rsidR="00EB3E5C">
        <w:rPr>
          <w:lang w:val="fr-FR"/>
        </w:rPr>
        <w:t>cosse). Les Règles prescrivent que chaque comité doit</w:t>
      </w:r>
      <w:r w:rsidR="00FC2B97">
        <w:rPr>
          <w:lang w:val="fr-FR"/>
        </w:rPr>
        <w:t>:</w:t>
      </w:r>
    </w:p>
    <w:p w:rsidR="000B562B" w:rsidRPr="00A176EA" w:rsidRDefault="000B562B" w:rsidP="00BC0033">
      <w:pPr>
        <w:pStyle w:val="Bullet1G"/>
      </w:pPr>
      <w:r w:rsidRPr="00A176EA">
        <w:t>Coop</w:t>
      </w:r>
      <w:r w:rsidR="00EB3E5C">
        <w:t>érer avec les ministres écossais et avec le Gouverneur de l’établissement de son ressort pour promouvoir l’efficacité dudit établissement</w:t>
      </w:r>
      <w:r w:rsidR="00FC2B97">
        <w:t>;</w:t>
      </w:r>
    </w:p>
    <w:p w:rsidR="000B562B" w:rsidRPr="00A176EA" w:rsidRDefault="00EB3E5C" w:rsidP="00BC0033">
      <w:pPr>
        <w:pStyle w:val="Bullet1G"/>
      </w:pPr>
      <w:r>
        <w:t>Inspecter périodiquement l’état de l’établissement</w:t>
      </w:r>
      <w:r w:rsidR="00FC2B97">
        <w:t>;</w:t>
      </w:r>
    </w:p>
    <w:p w:rsidR="000B562B" w:rsidRPr="00A176EA" w:rsidRDefault="00EB3E5C" w:rsidP="00BC0033">
      <w:pPr>
        <w:pStyle w:val="Bullet1G"/>
      </w:pPr>
      <w:r>
        <w:t>Connaître des plaintes des détenus et procéder aux enquêtes requises</w:t>
      </w:r>
      <w:r w:rsidR="00FC2B97">
        <w:t>;</w:t>
      </w:r>
      <w:r>
        <w:t xml:space="preserve"> et</w:t>
      </w:r>
    </w:p>
    <w:p w:rsidR="000B562B" w:rsidRPr="00A176EA" w:rsidRDefault="00EB3E5C" w:rsidP="00BC0033">
      <w:pPr>
        <w:pStyle w:val="Bullet1G"/>
      </w:pPr>
      <w:r>
        <w:t>Faire rapport aux ministres écossais sur tout problème qu’il considère devoir signaler et présenter des rapports annuels aux ministres</w:t>
      </w:r>
      <w:r w:rsidR="000B562B" w:rsidRPr="00A176EA">
        <w:t>.</w:t>
      </w:r>
    </w:p>
    <w:p w:rsidR="000B562B" w:rsidRPr="00A176EA" w:rsidRDefault="002549A9" w:rsidP="00B61F16">
      <w:pPr>
        <w:pStyle w:val="SingleTxtG"/>
        <w:rPr>
          <w:lang w:val="fr-FR"/>
        </w:rPr>
      </w:pPr>
      <w:r w:rsidRPr="00A176EA">
        <w:rPr>
          <w:lang w:val="fr-FR"/>
        </w:rPr>
        <w:t>345.</w:t>
      </w:r>
      <w:r w:rsidRPr="00A176EA">
        <w:rPr>
          <w:lang w:val="fr-FR"/>
        </w:rPr>
        <w:tab/>
      </w:r>
      <w:r w:rsidR="00EB3E5C">
        <w:rPr>
          <w:lang w:val="fr-FR"/>
        </w:rPr>
        <w:t xml:space="preserve">Les membres des comités ont le droit de pénétrer à tout moment dans l’établissement de leur ressort et ont libre accès à toutes les zones et à tous les prisonniers. Ils peuvent examiner les registres de l’établissement (sauf les dossiers du personnel et des détenus, et les documents </w:t>
      </w:r>
      <w:r w:rsidR="00CA725B">
        <w:rPr>
          <w:lang w:val="fr-FR"/>
        </w:rPr>
        <w:t>ayant une incidence sur</w:t>
      </w:r>
      <w:r w:rsidR="00EB3E5C">
        <w:rPr>
          <w:lang w:val="fr-FR"/>
        </w:rPr>
        <w:t xml:space="preserve"> la sécurité). </w:t>
      </w:r>
      <w:r w:rsidR="00CA725B">
        <w:rPr>
          <w:lang w:val="fr-FR"/>
        </w:rPr>
        <w:t xml:space="preserve">Dans le cadre de </w:t>
      </w:r>
      <w:r w:rsidR="00B61F16">
        <w:rPr>
          <w:lang w:val="fr-FR"/>
        </w:rPr>
        <w:t>ses</w:t>
      </w:r>
      <w:r w:rsidR="00CA725B">
        <w:rPr>
          <w:lang w:val="fr-FR"/>
        </w:rPr>
        <w:t xml:space="preserve"> fonctions,</w:t>
      </w:r>
      <w:r w:rsidR="00EB3E5C">
        <w:rPr>
          <w:lang w:val="fr-FR"/>
        </w:rPr>
        <w:t xml:space="preserve"> </w:t>
      </w:r>
      <w:r w:rsidR="00B61F16">
        <w:rPr>
          <w:lang w:val="fr-FR"/>
        </w:rPr>
        <w:t xml:space="preserve">chaque comité doit envoyer deux de ses membres, ou plus, </w:t>
      </w:r>
      <w:r w:rsidR="004C30F0">
        <w:rPr>
          <w:lang w:val="fr-FR"/>
        </w:rPr>
        <w:t>inspecter</w:t>
      </w:r>
      <w:r w:rsidR="00B61F16">
        <w:rPr>
          <w:lang w:val="fr-FR"/>
        </w:rPr>
        <w:t xml:space="preserve"> l’établissement de son ressort tous les 15 jours et se réunir au sein de l’établissement au moins tous les trois mois</w:t>
      </w:r>
      <w:r w:rsidR="000B562B" w:rsidRPr="00A176EA">
        <w:rPr>
          <w:lang w:val="fr-FR"/>
        </w:rPr>
        <w:t>.</w:t>
      </w:r>
    </w:p>
    <w:p w:rsidR="000B562B" w:rsidRPr="00A176EA" w:rsidRDefault="00B61F16" w:rsidP="00E5308B">
      <w:pPr>
        <w:pStyle w:val="H23G"/>
        <w:rPr>
          <w:lang w:val="fr-FR"/>
        </w:rPr>
      </w:pPr>
      <w:r>
        <w:rPr>
          <w:lang w:val="fr-FR"/>
        </w:rPr>
        <w:t xml:space="preserve">Contrôle de </w:t>
      </w:r>
      <w:r w:rsidR="00845DE6">
        <w:rPr>
          <w:lang w:val="fr-FR"/>
        </w:rPr>
        <w:t>l’emploi de</w:t>
      </w:r>
      <w:r w:rsidR="003A427B">
        <w:rPr>
          <w:lang w:val="fr-FR"/>
        </w:rPr>
        <w:t>s</w:t>
      </w:r>
      <w:r w:rsidR="00845DE6">
        <w:rPr>
          <w:lang w:val="fr-FR"/>
        </w:rPr>
        <w:t xml:space="preserve"> moyens de contrainte</w:t>
      </w:r>
      <w:r w:rsidR="00A227E8">
        <w:rPr>
          <w:lang w:val="fr-FR"/>
        </w:rPr>
        <w:t xml:space="preserve"> physique</w:t>
      </w:r>
    </w:p>
    <w:p w:rsidR="000B562B" w:rsidRPr="00A176EA" w:rsidRDefault="00A227E8" w:rsidP="00E5308B">
      <w:pPr>
        <w:pStyle w:val="H23G"/>
        <w:rPr>
          <w:lang w:val="fr-FR"/>
        </w:rPr>
      </w:pPr>
      <w:r>
        <w:rPr>
          <w:lang w:val="fr-FR"/>
        </w:rPr>
        <w:t>Ceintures de force</w:t>
      </w:r>
    </w:p>
    <w:p w:rsidR="000B562B" w:rsidRPr="00A176EA" w:rsidRDefault="002549A9" w:rsidP="00BD0311">
      <w:pPr>
        <w:pStyle w:val="SingleTxtG"/>
        <w:rPr>
          <w:lang w:val="fr-FR"/>
        </w:rPr>
      </w:pPr>
      <w:r w:rsidRPr="00A176EA">
        <w:rPr>
          <w:lang w:val="fr-FR"/>
        </w:rPr>
        <w:t>346.</w:t>
      </w:r>
      <w:r w:rsidRPr="00A176EA">
        <w:rPr>
          <w:lang w:val="fr-FR"/>
        </w:rPr>
        <w:tab/>
      </w:r>
      <w:r w:rsidR="00A227E8" w:rsidRPr="001F7EA7">
        <w:rPr>
          <w:lang w:val="fr-FR"/>
        </w:rPr>
        <w:t xml:space="preserve">Comme indiqué dans le troisième rapport, </w:t>
      </w:r>
      <w:r w:rsidR="001F7EA7" w:rsidRPr="001F7EA7">
        <w:rPr>
          <w:lang w:val="fr-FR"/>
        </w:rPr>
        <w:t>l’utilisation de ceintures de force par l’</w:t>
      </w:r>
      <w:r w:rsidR="008E4932" w:rsidRPr="001F7EA7">
        <w:rPr>
          <w:lang w:val="fr-FR"/>
        </w:rPr>
        <w:t>Administration pénitentiaire</w:t>
      </w:r>
      <w:r w:rsidR="000B562B" w:rsidRPr="001F7EA7">
        <w:rPr>
          <w:lang w:val="fr-FR"/>
        </w:rPr>
        <w:t xml:space="preserve"> </w:t>
      </w:r>
      <w:r w:rsidR="006E15DC" w:rsidRPr="001F7EA7">
        <w:rPr>
          <w:lang w:val="fr-FR"/>
        </w:rPr>
        <w:t xml:space="preserve">d’Angleterre et du </w:t>
      </w:r>
      <w:r w:rsidR="00186A02">
        <w:rPr>
          <w:lang w:val="fr-FR"/>
        </w:rPr>
        <w:t>p</w:t>
      </w:r>
      <w:r w:rsidR="005601A1">
        <w:rPr>
          <w:lang w:val="fr-FR"/>
        </w:rPr>
        <w:t>ays de Galles</w:t>
      </w:r>
      <w:r w:rsidR="001F7EA7" w:rsidRPr="001F7EA7">
        <w:rPr>
          <w:lang w:val="fr-FR"/>
        </w:rPr>
        <w:t xml:space="preserve"> est un sujet de préoccupation</w:t>
      </w:r>
      <w:r w:rsidR="000B562B" w:rsidRPr="001F7EA7">
        <w:rPr>
          <w:lang w:val="fr-FR"/>
        </w:rPr>
        <w:t>.</w:t>
      </w:r>
      <w:r w:rsidR="000B562B" w:rsidRPr="00A176EA">
        <w:rPr>
          <w:lang w:val="fr-FR"/>
        </w:rPr>
        <w:t xml:space="preserve"> </w:t>
      </w:r>
      <w:r w:rsidR="003A4914">
        <w:rPr>
          <w:lang w:val="fr-FR"/>
        </w:rPr>
        <w:t>Une telle ceinture ne peut être employée qu’en dernier ressort, lorsque toutes les autres possibilités ont échoué ou sont considérées comme risquées pour empêcher un détenu violent ou récalcitrant de porter atteinte à lui-même ou à autrui</w:t>
      </w:r>
      <w:r w:rsidR="003A427B">
        <w:rPr>
          <w:lang w:val="fr-FR"/>
        </w:rPr>
        <w:t>,</w:t>
      </w:r>
      <w:r w:rsidR="003A4914">
        <w:rPr>
          <w:lang w:val="fr-FR"/>
        </w:rPr>
        <w:t xml:space="preserve"> ou à causer des dégâts matériels. La ceinture de force ne peut être utilisée à titre de sanction ni sur une personne âgée de moins de 18 ans. Elle doit être </w:t>
      </w:r>
      <w:r w:rsidR="00BD0311">
        <w:rPr>
          <w:lang w:val="fr-FR"/>
        </w:rPr>
        <w:t xml:space="preserve">ôtée dès que les raisons motivant </w:t>
      </w:r>
      <w:r w:rsidR="003A427B">
        <w:rPr>
          <w:lang w:val="fr-FR"/>
        </w:rPr>
        <w:t>son</w:t>
      </w:r>
      <w:r w:rsidR="00BD0311">
        <w:rPr>
          <w:lang w:val="fr-FR"/>
        </w:rPr>
        <w:t xml:space="preserve"> utilisation n’existent plus. L’objectif est de la retirer dans les minutes et non dans les heures</w:t>
      </w:r>
      <w:r w:rsidR="00BD0311" w:rsidRPr="00BD0311">
        <w:rPr>
          <w:lang w:val="fr-FR"/>
        </w:rPr>
        <w:t xml:space="preserve"> </w:t>
      </w:r>
      <w:r w:rsidR="00BD0311">
        <w:rPr>
          <w:lang w:val="fr-FR"/>
        </w:rPr>
        <w:t>qui suivent</w:t>
      </w:r>
      <w:r w:rsidR="000B562B" w:rsidRPr="00A176EA">
        <w:rPr>
          <w:lang w:val="fr-FR"/>
        </w:rPr>
        <w:t>.</w:t>
      </w:r>
    </w:p>
    <w:p w:rsidR="000B562B" w:rsidRPr="00A176EA" w:rsidRDefault="002549A9" w:rsidP="007A42ED">
      <w:pPr>
        <w:pStyle w:val="SingleTxtG"/>
        <w:rPr>
          <w:lang w:val="fr-FR"/>
        </w:rPr>
      </w:pPr>
      <w:r w:rsidRPr="00A176EA">
        <w:rPr>
          <w:lang w:val="fr-FR"/>
        </w:rPr>
        <w:t>347.</w:t>
      </w:r>
      <w:r w:rsidRPr="00A176EA">
        <w:rPr>
          <w:lang w:val="fr-FR"/>
        </w:rPr>
        <w:tab/>
      </w:r>
      <w:r w:rsidR="008D5349">
        <w:rPr>
          <w:lang w:val="fr-FR"/>
        </w:rPr>
        <w:t xml:space="preserve">L’autorisation </w:t>
      </w:r>
      <w:r w:rsidR="007A42ED">
        <w:rPr>
          <w:lang w:val="fr-FR"/>
        </w:rPr>
        <w:t>de recourir</w:t>
      </w:r>
      <w:r w:rsidR="008D5349">
        <w:rPr>
          <w:lang w:val="fr-FR"/>
        </w:rPr>
        <w:t xml:space="preserve"> </w:t>
      </w:r>
      <w:r w:rsidR="003A427B">
        <w:rPr>
          <w:lang w:val="fr-FR"/>
        </w:rPr>
        <w:t xml:space="preserve">à </w:t>
      </w:r>
      <w:r w:rsidR="008D5349">
        <w:rPr>
          <w:lang w:val="fr-FR"/>
        </w:rPr>
        <w:t xml:space="preserve">une ceinture de </w:t>
      </w:r>
      <w:r w:rsidR="003A427B">
        <w:rPr>
          <w:lang w:val="fr-FR"/>
        </w:rPr>
        <w:t>force doit émaner du Gouverneur</w:t>
      </w:r>
      <w:r w:rsidR="007A42ED">
        <w:rPr>
          <w:lang w:val="fr-FR"/>
        </w:rPr>
        <w:t xml:space="preserve">/Contrôleur </w:t>
      </w:r>
      <w:r w:rsidR="008D5349">
        <w:rPr>
          <w:lang w:val="fr-FR"/>
        </w:rPr>
        <w:t>ou</w:t>
      </w:r>
      <w:r w:rsidR="007A42ED">
        <w:rPr>
          <w:lang w:val="fr-FR"/>
        </w:rPr>
        <w:t>, en cas d’urgence,</w:t>
      </w:r>
      <w:r w:rsidR="008D5349">
        <w:rPr>
          <w:lang w:val="fr-FR"/>
        </w:rPr>
        <w:t xml:space="preserve"> du </w:t>
      </w:r>
      <w:r w:rsidR="007A42ED">
        <w:rPr>
          <w:lang w:val="fr-FR"/>
        </w:rPr>
        <w:t>Gouverneur/Directeur de permanence, qui doit obtenir l’autorisation d</w:t>
      </w:r>
      <w:r w:rsidR="003A427B">
        <w:rPr>
          <w:lang w:val="fr-FR"/>
        </w:rPr>
        <w:t>u Gouverneur</w:t>
      </w:r>
      <w:r w:rsidR="007A42ED">
        <w:rPr>
          <w:lang w:val="fr-FR"/>
        </w:rPr>
        <w:t xml:space="preserve">/Contrôleur dans les plus brefs délais. Dans tous les cas, un médecin ou une infirmière doit examiner le détenu pour déterminer s’il y a contre-indication clinique au port de la ceinture de force et, </w:t>
      </w:r>
      <w:r w:rsidR="003A427B">
        <w:rPr>
          <w:lang w:val="fr-FR"/>
        </w:rPr>
        <w:t>si c’est le</w:t>
      </w:r>
      <w:r w:rsidR="007A42ED">
        <w:rPr>
          <w:lang w:val="fr-FR"/>
        </w:rPr>
        <w:t xml:space="preserve"> cas, ordonner qu’elle soit ôtée immédiatement</w:t>
      </w:r>
      <w:r w:rsidR="000B562B" w:rsidRPr="00A176EA">
        <w:rPr>
          <w:lang w:val="fr-FR"/>
        </w:rPr>
        <w:t>.</w:t>
      </w:r>
    </w:p>
    <w:p w:rsidR="000B562B" w:rsidRPr="00A176EA" w:rsidRDefault="002549A9" w:rsidP="00676887">
      <w:pPr>
        <w:pStyle w:val="SingleTxtG"/>
        <w:rPr>
          <w:lang w:val="fr-FR"/>
        </w:rPr>
      </w:pPr>
      <w:r w:rsidRPr="00A176EA">
        <w:rPr>
          <w:lang w:val="fr-FR"/>
        </w:rPr>
        <w:t>348.</w:t>
      </w:r>
      <w:r w:rsidRPr="00A176EA">
        <w:rPr>
          <w:lang w:val="fr-FR"/>
        </w:rPr>
        <w:tab/>
      </w:r>
      <w:r w:rsidR="007A42ED">
        <w:rPr>
          <w:lang w:val="fr-FR"/>
        </w:rPr>
        <w:t>Un détenu portant une ceinture de force ne doit à aucun moment être laissé seul et un responsable désigné doit vérifier toutes les heures au moins</w:t>
      </w:r>
      <w:r w:rsidR="00B30CDA">
        <w:rPr>
          <w:lang w:val="fr-FR"/>
        </w:rPr>
        <w:t xml:space="preserve"> si le </w:t>
      </w:r>
      <w:r w:rsidR="009A4A97">
        <w:rPr>
          <w:lang w:val="fr-FR"/>
        </w:rPr>
        <w:t xml:space="preserve">port de la ceinture peut être maintenu. Tout doit être fait pour préserver la dignité du détenu </w:t>
      </w:r>
      <w:r w:rsidR="0053190B">
        <w:rPr>
          <w:lang w:val="fr-FR"/>
        </w:rPr>
        <w:t xml:space="preserve">et il convient de lui proposer régulièrement un rafraîchissement, en particulier de l’eau. La décision de mettre une ceinture de force à un détenu dangereux pour lui-même </w:t>
      </w:r>
      <w:r w:rsidR="00676887">
        <w:rPr>
          <w:lang w:val="fr-FR"/>
        </w:rPr>
        <w:t xml:space="preserve">doit être prise conformément au plan de soins intitulé </w:t>
      </w:r>
      <w:r w:rsidR="00CD0110">
        <w:rPr>
          <w:lang w:val="fr-FR"/>
        </w:rPr>
        <w:t>«</w:t>
      </w:r>
      <w:r w:rsidR="00676887">
        <w:rPr>
          <w:lang w:val="fr-FR"/>
        </w:rPr>
        <w:t>Évaluation, prise en charge pénitentiaire et travail de groupe</w:t>
      </w:r>
      <w:r w:rsidR="00CD0110">
        <w:rPr>
          <w:lang w:val="fr-FR"/>
        </w:rPr>
        <w:t>»</w:t>
      </w:r>
      <w:r w:rsidR="00676887">
        <w:rPr>
          <w:lang w:val="fr-FR"/>
        </w:rPr>
        <w:t xml:space="preserve"> et faire l’objet d’un examen de la part du Gouverneur /Contrôleur dans les 60 minutes suivant la décision. Une évaluation de la santé mentale du détenu doit par ailleurs être effectuée</w:t>
      </w:r>
      <w:r w:rsidR="000B562B" w:rsidRPr="00A176EA">
        <w:rPr>
          <w:lang w:val="fr-FR"/>
        </w:rPr>
        <w:t>.</w:t>
      </w:r>
    </w:p>
    <w:p w:rsidR="000B562B" w:rsidRPr="00A176EA" w:rsidRDefault="002549A9" w:rsidP="00676887">
      <w:pPr>
        <w:pStyle w:val="SingleTxtG"/>
        <w:rPr>
          <w:lang w:val="fr-FR"/>
        </w:rPr>
      </w:pPr>
      <w:r w:rsidRPr="00A176EA">
        <w:rPr>
          <w:lang w:val="fr-FR"/>
        </w:rPr>
        <w:t>349.</w:t>
      </w:r>
      <w:r w:rsidRPr="00A176EA">
        <w:rPr>
          <w:lang w:val="fr-FR"/>
        </w:rPr>
        <w:tab/>
      </w:r>
      <w:r w:rsidR="006E15DC">
        <w:rPr>
          <w:lang w:val="fr-FR"/>
        </w:rPr>
        <w:t>E</w:t>
      </w:r>
      <w:r w:rsidR="000B562B" w:rsidRPr="00A176EA">
        <w:rPr>
          <w:lang w:val="fr-FR"/>
        </w:rPr>
        <w:t xml:space="preserve">n </w:t>
      </w:r>
      <w:r w:rsidR="00FD2CE1" w:rsidRPr="00676887">
        <w:rPr>
          <w:lang w:val="fr-FR"/>
        </w:rPr>
        <w:t>Écosse</w:t>
      </w:r>
      <w:r w:rsidR="00676887" w:rsidRPr="00676887">
        <w:rPr>
          <w:lang w:val="fr-FR"/>
        </w:rPr>
        <w:t xml:space="preserve">, l’utilisation des ceintures de force est régie par les Règles de 2006 </w:t>
      </w:r>
      <w:r w:rsidR="00BF6322">
        <w:rPr>
          <w:lang w:val="fr-FR"/>
        </w:rPr>
        <w:t>relatives aux</w:t>
      </w:r>
      <w:r w:rsidR="00676887" w:rsidRPr="00676887">
        <w:rPr>
          <w:lang w:val="fr-FR"/>
        </w:rPr>
        <w:t xml:space="preserve"> établissements pénitentiaires et </w:t>
      </w:r>
      <w:r w:rsidR="00BF6322">
        <w:rPr>
          <w:lang w:val="fr-FR"/>
        </w:rPr>
        <w:t>aux</w:t>
      </w:r>
      <w:r w:rsidR="00676887" w:rsidRPr="00676887">
        <w:rPr>
          <w:lang w:val="fr-FR"/>
        </w:rPr>
        <w:t xml:space="preserve"> institutions pour jeunes délinquants</w:t>
      </w:r>
      <w:r w:rsidR="000B562B" w:rsidRPr="00676887">
        <w:rPr>
          <w:lang w:val="fr-FR"/>
        </w:rPr>
        <w:t xml:space="preserve"> (</w:t>
      </w:r>
      <w:r w:rsidR="00FD2CE1" w:rsidRPr="00676887">
        <w:rPr>
          <w:lang w:val="fr-FR"/>
        </w:rPr>
        <w:t>Écosse</w:t>
      </w:r>
      <w:r w:rsidR="00676887" w:rsidRPr="00676887">
        <w:rPr>
          <w:lang w:val="fr-FR"/>
        </w:rPr>
        <w:t>).</w:t>
      </w:r>
      <w:r w:rsidR="000B562B" w:rsidRPr="00676887">
        <w:rPr>
          <w:lang w:val="fr-FR"/>
        </w:rPr>
        <w:t xml:space="preserve"> </w:t>
      </w:r>
      <w:r w:rsidR="00676887" w:rsidRPr="00BF6322">
        <w:rPr>
          <w:lang w:val="fr-FR"/>
        </w:rPr>
        <w:t xml:space="preserve">Ces Règles sont en cours d’examen et les dispositions relatives </w:t>
      </w:r>
      <w:r w:rsidR="003A427B">
        <w:rPr>
          <w:lang w:val="fr-FR"/>
        </w:rPr>
        <w:t>la</w:t>
      </w:r>
      <w:r w:rsidR="00676887" w:rsidRPr="00BF6322">
        <w:rPr>
          <w:lang w:val="fr-FR"/>
        </w:rPr>
        <w:t xml:space="preserve"> ceinture de force</w:t>
      </w:r>
      <w:r w:rsidR="00BF6322" w:rsidRPr="00BF6322">
        <w:rPr>
          <w:lang w:val="fr-FR"/>
        </w:rPr>
        <w:t xml:space="preserve">, qui </w:t>
      </w:r>
      <w:r w:rsidR="003A427B">
        <w:rPr>
          <w:lang w:val="fr-FR"/>
        </w:rPr>
        <w:t>est</w:t>
      </w:r>
      <w:r w:rsidR="00676887" w:rsidRPr="00BF6322">
        <w:rPr>
          <w:lang w:val="fr-FR"/>
        </w:rPr>
        <w:t xml:space="preserve"> </w:t>
      </w:r>
      <w:r w:rsidR="00BF6322" w:rsidRPr="00BF6322">
        <w:rPr>
          <w:lang w:val="fr-FR"/>
        </w:rPr>
        <w:t xml:space="preserve">rarement employée, </w:t>
      </w:r>
      <w:r w:rsidR="00676887" w:rsidRPr="00BF6322">
        <w:rPr>
          <w:lang w:val="fr-FR"/>
        </w:rPr>
        <w:t>seront renforcées</w:t>
      </w:r>
      <w:r w:rsidR="00BF6322" w:rsidRPr="00BF6322">
        <w:rPr>
          <w:lang w:val="fr-FR"/>
        </w:rPr>
        <w:t>.</w:t>
      </w:r>
    </w:p>
    <w:p w:rsidR="000B562B" w:rsidRPr="00676887" w:rsidRDefault="002549A9" w:rsidP="00E5308B">
      <w:pPr>
        <w:pStyle w:val="SingleTxtG"/>
        <w:rPr>
          <w:lang w:val="fr-FR"/>
        </w:rPr>
      </w:pPr>
      <w:r w:rsidRPr="00A176EA">
        <w:rPr>
          <w:lang w:val="fr-FR"/>
        </w:rPr>
        <w:t>350.</w:t>
      </w:r>
      <w:r w:rsidRPr="00A176EA">
        <w:rPr>
          <w:lang w:val="fr-FR"/>
        </w:rPr>
        <w:tab/>
      </w:r>
      <w:r w:rsidR="00676887" w:rsidRPr="00676887">
        <w:rPr>
          <w:lang w:val="fr-FR"/>
        </w:rPr>
        <w:t xml:space="preserve">Les ceintures de force ne sont pas utilisées en </w:t>
      </w:r>
      <w:r w:rsidR="008F3DA4" w:rsidRPr="00676887">
        <w:rPr>
          <w:lang w:val="fr-FR"/>
        </w:rPr>
        <w:t>Irlande du Nord</w:t>
      </w:r>
      <w:r w:rsidR="000B562B" w:rsidRPr="00676887">
        <w:rPr>
          <w:lang w:val="fr-FR"/>
        </w:rPr>
        <w:t>.</w:t>
      </w:r>
    </w:p>
    <w:p w:rsidR="000B562B" w:rsidRPr="00A176EA" w:rsidRDefault="000B562B" w:rsidP="00E5308B">
      <w:pPr>
        <w:pStyle w:val="H23G"/>
        <w:rPr>
          <w:lang w:val="fr-FR"/>
        </w:rPr>
      </w:pPr>
      <w:r w:rsidRPr="00676887">
        <w:rPr>
          <w:lang w:val="fr-FR"/>
        </w:rPr>
        <w:t>U</w:t>
      </w:r>
      <w:r w:rsidR="00B96D90" w:rsidRPr="00676887">
        <w:rPr>
          <w:lang w:val="fr-FR"/>
        </w:rPr>
        <w:t xml:space="preserve">tilisation de l’aérosol incapacitant au PAVA </w:t>
      </w:r>
      <w:r w:rsidR="00DE0E9E" w:rsidRPr="00676887">
        <w:rPr>
          <w:lang w:val="fr-FR"/>
        </w:rPr>
        <w:t>(vanill</w:t>
      </w:r>
      <w:r w:rsidR="00E67345">
        <w:rPr>
          <w:lang w:val="fr-FR"/>
        </w:rPr>
        <w:t>yl</w:t>
      </w:r>
      <w:r w:rsidR="00DE0E9E" w:rsidRPr="00676887">
        <w:rPr>
          <w:lang w:val="fr-FR"/>
        </w:rPr>
        <w:t>amide d</w:t>
      </w:r>
      <w:r w:rsidR="00E67345">
        <w:rPr>
          <w:lang w:val="fr-FR"/>
        </w:rPr>
        <w:t>e l</w:t>
      </w:r>
      <w:r w:rsidR="00DE0E9E" w:rsidRPr="00676887">
        <w:rPr>
          <w:lang w:val="fr-FR"/>
        </w:rPr>
        <w:t xml:space="preserve">'acide pélargonique) </w:t>
      </w:r>
      <w:r w:rsidR="00B96D90" w:rsidRPr="00676887">
        <w:rPr>
          <w:lang w:val="fr-FR"/>
        </w:rPr>
        <w:t>en Irlande du Nord</w:t>
      </w:r>
    </w:p>
    <w:p w:rsidR="000B562B" w:rsidRPr="00A176EA" w:rsidRDefault="002549A9" w:rsidP="00577256">
      <w:pPr>
        <w:pStyle w:val="SingleTxtG"/>
        <w:rPr>
          <w:lang w:val="fr-FR"/>
        </w:rPr>
      </w:pPr>
      <w:r w:rsidRPr="00A176EA">
        <w:rPr>
          <w:lang w:val="fr-FR"/>
        </w:rPr>
        <w:t>351.</w:t>
      </w:r>
      <w:r w:rsidRPr="00A176EA">
        <w:rPr>
          <w:lang w:val="fr-FR"/>
        </w:rPr>
        <w:tab/>
      </w:r>
      <w:r w:rsidR="006E15DC" w:rsidRPr="00676887">
        <w:rPr>
          <w:lang w:val="fr-FR"/>
        </w:rPr>
        <w:t>L’</w:t>
      </w:r>
      <w:r w:rsidR="008F3DA4" w:rsidRPr="00676887">
        <w:rPr>
          <w:lang w:val="fr-FR"/>
        </w:rPr>
        <w:t>Administration pénitentiaire d’Irlande du Nord</w:t>
      </w:r>
      <w:r w:rsidR="008F3DA4" w:rsidRPr="00A176EA">
        <w:rPr>
          <w:lang w:val="fr-FR"/>
        </w:rPr>
        <w:t xml:space="preserve"> </w:t>
      </w:r>
      <w:r w:rsidR="00676887">
        <w:rPr>
          <w:lang w:val="fr-FR"/>
        </w:rPr>
        <w:t xml:space="preserve">est responsable de la protection des droits </w:t>
      </w:r>
      <w:r w:rsidR="003A427B">
        <w:rPr>
          <w:lang w:val="fr-FR"/>
        </w:rPr>
        <w:t>fondamentaux</w:t>
      </w:r>
      <w:r w:rsidR="00676887">
        <w:rPr>
          <w:lang w:val="fr-FR"/>
        </w:rPr>
        <w:t xml:space="preserve">, de la santé et de la sécurité de tous les détenus sous sa garde. </w:t>
      </w:r>
      <w:r w:rsidR="00577256">
        <w:rPr>
          <w:lang w:val="fr-FR"/>
        </w:rPr>
        <w:t xml:space="preserve">Elle doit être prête à gérer des individus et/ou groupes violents ou potentiellement violents risquant de porter atteinte à eux-mêmes ou aux droits et libertés d’autrui, en recourant à des mesures flexibles et </w:t>
      </w:r>
      <w:r w:rsidR="00AC54A3">
        <w:rPr>
          <w:lang w:val="fr-FR"/>
        </w:rPr>
        <w:t>graduées</w:t>
      </w:r>
      <w:r w:rsidR="000B562B" w:rsidRPr="00A176EA">
        <w:rPr>
          <w:lang w:val="fr-FR"/>
        </w:rPr>
        <w:t>.</w:t>
      </w:r>
      <w:r w:rsidR="00577256">
        <w:rPr>
          <w:lang w:val="fr-FR"/>
        </w:rPr>
        <w:t xml:space="preserve"> </w:t>
      </w:r>
    </w:p>
    <w:p w:rsidR="000B562B" w:rsidRPr="00A176EA" w:rsidRDefault="002549A9" w:rsidP="00577256">
      <w:pPr>
        <w:pStyle w:val="SingleTxtG"/>
        <w:rPr>
          <w:lang w:val="fr-FR"/>
        </w:rPr>
      </w:pPr>
      <w:r w:rsidRPr="00A176EA">
        <w:rPr>
          <w:lang w:val="fr-FR"/>
        </w:rPr>
        <w:t>352.</w:t>
      </w:r>
      <w:r w:rsidRPr="00A176EA">
        <w:rPr>
          <w:lang w:val="fr-FR"/>
        </w:rPr>
        <w:tab/>
      </w:r>
      <w:r w:rsidR="00577256" w:rsidRPr="00577256">
        <w:rPr>
          <w:lang w:val="fr-FR"/>
        </w:rPr>
        <w:t>À cet effet</w:t>
      </w:r>
      <w:r w:rsidR="000B562B" w:rsidRPr="00577256">
        <w:rPr>
          <w:lang w:val="fr-FR"/>
        </w:rPr>
        <w:t xml:space="preserve">, </w:t>
      </w:r>
      <w:r w:rsidR="006E15DC" w:rsidRPr="00577256">
        <w:rPr>
          <w:lang w:val="fr-FR"/>
        </w:rPr>
        <w:t>l’</w:t>
      </w:r>
      <w:r w:rsidR="008F3DA4" w:rsidRPr="00577256">
        <w:rPr>
          <w:lang w:val="fr-FR"/>
        </w:rPr>
        <w:t xml:space="preserve">Administration pénitentiaire </w:t>
      </w:r>
      <w:r w:rsidR="00577256">
        <w:rPr>
          <w:lang w:val="fr-FR"/>
        </w:rPr>
        <w:t xml:space="preserve">doit disposer de procédures suffisantes et adéquates pour régler une vaste gamme d’incidents d’une façon proportionnée et raisonnable. </w:t>
      </w:r>
      <w:r w:rsidR="003A427B">
        <w:rPr>
          <w:lang w:val="fr-FR"/>
        </w:rPr>
        <w:t>L</w:t>
      </w:r>
      <w:r w:rsidR="00577256">
        <w:rPr>
          <w:lang w:val="fr-FR"/>
        </w:rPr>
        <w:t>a grande majorité des incidents peut se régler sans recours à la force mais, malheureusement, celle-ci est parfois nécessaire</w:t>
      </w:r>
      <w:r w:rsidR="000B562B" w:rsidRPr="00A176EA">
        <w:rPr>
          <w:lang w:val="fr-FR"/>
        </w:rPr>
        <w:t>.</w:t>
      </w:r>
    </w:p>
    <w:p w:rsidR="000B562B" w:rsidRPr="00A176EA" w:rsidRDefault="002549A9" w:rsidP="008E6104">
      <w:pPr>
        <w:pStyle w:val="SingleTxtG"/>
        <w:rPr>
          <w:lang w:val="fr-FR"/>
        </w:rPr>
      </w:pPr>
      <w:r w:rsidRPr="00A176EA">
        <w:rPr>
          <w:lang w:val="fr-FR"/>
        </w:rPr>
        <w:t>353.</w:t>
      </w:r>
      <w:r w:rsidRPr="00A176EA">
        <w:rPr>
          <w:lang w:val="fr-FR"/>
        </w:rPr>
        <w:tab/>
      </w:r>
      <w:r w:rsidR="009602D5">
        <w:rPr>
          <w:lang w:val="fr-FR"/>
        </w:rPr>
        <w:t>Dans u</w:t>
      </w:r>
      <w:r w:rsidR="00577256">
        <w:rPr>
          <w:lang w:val="fr-FR"/>
        </w:rPr>
        <w:t xml:space="preserve">n arrêt </w:t>
      </w:r>
      <w:r w:rsidR="009602D5">
        <w:rPr>
          <w:lang w:val="fr-FR"/>
        </w:rPr>
        <w:t>rendu le</w:t>
      </w:r>
      <w:r w:rsidR="009602D5" w:rsidRPr="00A176EA">
        <w:rPr>
          <w:lang w:val="fr-FR"/>
        </w:rPr>
        <w:t xml:space="preserve"> 27 </w:t>
      </w:r>
      <w:r w:rsidR="009602D5">
        <w:rPr>
          <w:lang w:val="fr-FR"/>
        </w:rPr>
        <w:t xml:space="preserve">juillet 1998 </w:t>
      </w:r>
      <w:r w:rsidR="000B562B" w:rsidRPr="00A176EA">
        <w:rPr>
          <w:lang w:val="fr-FR"/>
        </w:rPr>
        <w:t>(</w:t>
      </w:r>
      <w:r w:rsidR="000B562B" w:rsidRPr="00E3167C">
        <w:rPr>
          <w:i/>
          <w:iCs/>
          <w:lang w:val="fr-FR"/>
        </w:rPr>
        <w:t>Güleç</w:t>
      </w:r>
      <w:r w:rsidR="000B562B" w:rsidRPr="00A176EA">
        <w:rPr>
          <w:lang w:val="fr-FR"/>
        </w:rPr>
        <w:t xml:space="preserve"> </w:t>
      </w:r>
      <w:r w:rsidR="00577256">
        <w:rPr>
          <w:lang w:val="fr-FR"/>
        </w:rPr>
        <w:t>c.</w:t>
      </w:r>
      <w:r w:rsidR="000B562B" w:rsidRPr="00A176EA">
        <w:rPr>
          <w:lang w:val="fr-FR"/>
        </w:rPr>
        <w:t xml:space="preserve"> </w:t>
      </w:r>
      <w:r w:rsidR="000B562B" w:rsidRPr="00E3167C">
        <w:rPr>
          <w:i/>
          <w:iCs/>
          <w:lang w:val="fr-FR"/>
        </w:rPr>
        <w:t>Tur</w:t>
      </w:r>
      <w:r w:rsidR="00577256" w:rsidRPr="00E3167C">
        <w:rPr>
          <w:i/>
          <w:iCs/>
          <w:lang w:val="fr-FR"/>
        </w:rPr>
        <w:t>quie</w:t>
      </w:r>
      <w:r w:rsidR="000B562B" w:rsidRPr="00A176EA">
        <w:rPr>
          <w:lang w:val="fr-FR"/>
        </w:rPr>
        <w:t xml:space="preserve"> (54/1997/838/1044)</w:t>
      </w:r>
      <w:r w:rsidR="009602D5">
        <w:rPr>
          <w:lang w:val="fr-FR"/>
        </w:rPr>
        <w:t>,</w:t>
      </w:r>
      <w:r w:rsidR="000B562B" w:rsidRPr="00A176EA">
        <w:rPr>
          <w:lang w:val="fr-FR"/>
        </w:rPr>
        <w:t xml:space="preserve"> </w:t>
      </w:r>
      <w:r w:rsidR="009602D5">
        <w:rPr>
          <w:lang w:val="fr-FR"/>
        </w:rPr>
        <w:t xml:space="preserve">la </w:t>
      </w:r>
      <w:r w:rsidR="009602D5" w:rsidRPr="005B5BD0">
        <w:rPr>
          <w:lang w:val="fr-FR"/>
        </w:rPr>
        <w:t>Cour européenne des droits de l’homme</w:t>
      </w:r>
      <w:r w:rsidR="009602D5">
        <w:rPr>
          <w:lang w:val="fr-FR"/>
        </w:rPr>
        <w:t xml:space="preserve"> </w:t>
      </w:r>
      <w:r w:rsidR="00685980">
        <w:rPr>
          <w:lang w:val="fr-FR"/>
        </w:rPr>
        <w:t xml:space="preserve">a spécifiquement reproché à l’État turc </w:t>
      </w:r>
      <w:r w:rsidR="00AD2E21">
        <w:rPr>
          <w:lang w:val="fr-FR"/>
        </w:rPr>
        <w:t xml:space="preserve">que les forces de l’ordre n’aient pas eu accès à divers dispositifs dans un contexte </w:t>
      </w:r>
      <w:r w:rsidR="008E6104">
        <w:rPr>
          <w:lang w:val="fr-FR"/>
        </w:rPr>
        <w:t>où les risques de violence et de troubles civils étaient importants</w:t>
      </w:r>
      <w:r w:rsidR="000B562B" w:rsidRPr="00A176EA">
        <w:rPr>
          <w:lang w:val="fr-FR"/>
        </w:rPr>
        <w:t>.</w:t>
      </w:r>
    </w:p>
    <w:p w:rsidR="000B562B" w:rsidRPr="00A176EA" w:rsidRDefault="002549A9" w:rsidP="0057540E">
      <w:pPr>
        <w:pStyle w:val="SingleTxtG"/>
        <w:rPr>
          <w:lang w:val="fr-FR"/>
        </w:rPr>
      </w:pPr>
      <w:r w:rsidRPr="00A176EA">
        <w:rPr>
          <w:lang w:val="fr-FR"/>
        </w:rPr>
        <w:t>354.</w:t>
      </w:r>
      <w:r w:rsidRPr="00A176EA">
        <w:rPr>
          <w:lang w:val="fr-FR"/>
        </w:rPr>
        <w:tab/>
      </w:r>
      <w:r w:rsidR="0057540E">
        <w:rPr>
          <w:lang w:val="fr-FR"/>
        </w:rPr>
        <w:t xml:space="preserve">Le vaste programme de recherche mis en place a révélé que le dispositif le plus approprié pour gérer l’extrême violence en Irlande du Nord est l’aérosol incapacitant, dont il existe plusieurs variantes. Le dispositif recommandé à l’Administration pénitentiaire d’Irlande du Nord est </w:t>
      </w:r>
      <w:r w:rsidR="00DE0E9E" w:rsidRPr="0057540E">
        <w:rPr>
          <w:lang w:val="fr-FR"/>
        </w:rPr>
        <w:t xml:space="preserve">l’aérosol incapacitant au </w:t>
      </w:r>
      <w:r w:rsidR="000B562B" w:rsidRPr="0057540E">
        <w:rPr>
          <w:lang w:val="fr-FR"/>
        </w:rPr>
        <w:t>PAVA.</w:t>
      </w:r>
      <w:r w:rsidR="000B562B" w:rsidRPr="00A176EA">
        <w:rPr>
          <w:lang w:val="fr-FR"/>
        </w:rPr>
        <w:t xml:space="preserve"> </w:t>
      </w:r>
      <w:r w:rsidR="0057540E">
        <w:rPr>
          <w:lang w:val="fr-FR"/>
        </w:rPr>
        <w:t xml:space="preserve">Il ne s’agit pas </w:t>
      </w:r>
      <w:r w:rsidR="00585E9E">
        <w:rPr>
          <w:lang w:val="fr-FR"/>
        </w:rPr>
        <w:t xml:space="preserve">de poivre </w:t>
      </w:r>
      <w:r w:rsidR="0057540E">
        <w:rPr>
          <w:lang w:val="fr-FR"/>
        </w:rPr>
        <w:t xml:space="preserve"> </w:t>
      </w:r>
      <w:r w:rsidR="00A0043B">
        <w:rPr>
          <w:lang w:val="fr-FR"/>
        </w:rPr>
        <w:t xml:space="preserve">mais d’un produit de synthèse stable </w:t>
      </w:r>
      <w:r w:rsidR="00585E9E">
        <w:rPr>
          <w:lang w:val="fr-FR"/>
        </w:rPr>
        <w:t>appartenant à</w:t>
      </w:r>
      <w:r w:rsidR="00A0043B">
        <w:rPr>
          <w:lang w:val="fr-FR"/>
        </w:rPr>
        <w:t xml:space="preserve"> la catégorie des produits alimentaires et que l’on trouve dans un large éventail de </w:t>
      </w:r>
      <w:r w:rsidR="00E67345">
        <w:rPr>
          <w:lang w:val="fr-FR"/>
        </w:rPr>
        <w:t xml:space="preserve">traitements </w:t>
      </w:r>
      <w:r w:rsidR="001A3D6D">
        <w:rPr>
          <w:lang w:val="fr-FR"/>
        </w:rPr>
        <w:t>pharmacologiques</w:t>
      </w:r>
      <w:r w:rsidR="00E67345">
        <w:rPr>
          <w:lang w:val="fr-FR"/>
        </w:rPr>
        <w:t xml:space="preserve"> non réglementés</w:t>
      </w:r>
      <w:r w:rsidR="000B562B" w:rsidRPr="00A176EA">
        <w:rPr>
          <w:lang w:val="fr-FR"/>
        </w:rPr>
        <w:t>.</w:t>
      </w:r>
    </w:p>
    <w:p w:rsidR="000B562B" w:rsidRPr="00A176EA" w:rsidRDefault="002549A9" w:rsidP="00EB3104">
      <w:pPr>
        <w:pStyle w:val="SingleTxtG"/>
        <w:rPr>
          <w:lang w:val="fr-FR"/>
        </w:rPr>
      </w:pPr>
      <w:r w:rsidRPr="00A176EA">
        <w:rPr>
          <w:lang w:val="fr-FR"/>
        </w:rPr>
        <w:t>355.</w:t>
      </w:r>
      <w:r w:rsidRPr="00A176EA">
        <w:rPr>
          <w:lang w:val="fr-FR"/>
        </w:rPr>
        <w:tab/>
      </w:r>
      <w:r w:rsidR="003A427B">
        <w:rPr>
          <w:lang w:val="fr-FR"/>
        </w:rPr>
        <w:t>Selon u</w:t>
      </w:r>
      <w:r w:rsidR="00E170BC">
        <w:rPr>
          <w:lang w:val="fr-FR"/>
        </w:rPr>
        <w:t>ne déclaration du Comité sur la toxicité</w:t>
      </w:r>
      <w:r w:rsidR="00E15BF0">
        <w:rPr>
          <w:lang w:val="fr-FR"/>
        </w:rPr>
        <w:t>, qui relève</w:t>
      </w:r>
      <w:r w:rsidR="00E170BC">
        <w:rPr>
          <w:lang w:val="fr-FR"/>
        </w:rPr>
        <w:t xml:space="preserve"> du Ministère de la santé</w:t>
      </w:r>
      <w:r w:rsidR="00E15BF0">
        <w:rPr>
          <w:lang w:val="fr-FR"/>
        </w:rPr>
        <w:t>,</w:t>
      </w:r>
      <w:r w:rsidR="001E68E7">
        <w:rPr>
          <w:lang w:val="fr-FR"/>
        </w:rPr>
        <w:t xml:space="preserve"> le PAVA ne produit aucun effet grave ou à long terme et, il y a peu, les Ministres ont approuvé son utilisation par les forces de police et les fonctionnaires de l’Administration pénitentiaire de Sa Majesté en Angleterre, au </w:t>
      </w:r>
      <w:r w:rsidR="00186A02">
        <w:rPr>
          <w:lang w:val="fr-FR"/>
        </w:rPr>
        <w:t>p</w:t>
      </w:r>
      <w:r w:rsidR="005601A1">
        <w:rPr>
          <w:lang w:val="fr-FR"/>
        </w:rPr>
        <w:t>ays de Galles</w:t>
      </w:r>
      <w:r w:rsidR="001E68E7">
        <w:rPr>
          <w:lang w:val="fr-FR"/>
        </w:rPr>
        <w:t xml:space="preserve"> et en </w:t>
      </w:r>
      <w:r w:rsidR="00FD2CE1" w:rsidRPr="001E68E7">
        <w:rPr>
          <w:lang w:val="fr-FR"/>
        </w:rPr>
        <w:t>Écosse</w:t>
      </w:r>
      <w:r w:rsidR="000B562B" w:rsidRPr="00A176EA">
        <w:rPr>
          <w:lang w:val="fr-FR"/>
        </w:rPr>
        <w:t xml:space="preserve">. </w:t>
      </w:r>
      <w:r w:rsidR="00C96C6F" w:rsidRPr="00C96C6F">
        <w:rPr>
          <w:lang w:val="fr-FR"/>
        </w:rPr>
        <w:t xml:space="preserve">L’emploi du PAVA a donc été autorisé pour une période </w:t>
      </w:r>
      <w:r w:rsidR="00ED1297">
        <w:rPr>
          <w:lang w:val="fr-FR"/>
        </w:rPr>
        <w:t>d’essai</w:t>
      </w:r>
      <w:r w:rsidR="00C96C6F" w:rsidRPr="00C96C6F">
        <w:rPr>
          <w:lang w:val="fr-FR"/>
        </w:rPr>
        <w:t xml:space="preserve"> de 12 mois dans certaines circonstances à haut risque et dans les conditions spécifiques propres à l’</w:t>
      </w:r>
      <w:r w:rsidR="008F3DA4" w:rsidRPr="00C96C6F">
        <w:rPr>
          <w:lang w:val="fr-FR"/>
        </w:rPr>
        <w:t>Administration pénitentiaire d’Irlande du Nord</w:t>
      </w:r>
      <w:r w:rsidR="000B562B" w:rsidRPr="00C96C6F">
        <w:rPr>
          <w:lang w:val="fr-FR"/>
        </w:rPr>
        <w:t>.</w:t>
      </w:r>
      <w:r w:rsidR="00DA590C">
        <w:rPr>
          <w:lang w:val="fr-FR"/>
        </w:rPr>
        <w:t xml:space="preserve"> Cela a donné lieu à un processus de consultation publique ouverte et transparente en Irlande du Nord, dont toutes les réponses ont été traitées ou commentées. </w:t>
      </w:r>
      <w:r w:rsidR="00DA590C" w:rsidRPr="00DA590C">
        <w:rPr>
          <w:lang w:val="fr-FR"/>
        </w:rPr>
        <w:t xml:space="preserve">Le </w:t>
      </w:r>
      <w:r w:rsidR="00DB4A27" w:rsidRPr="00DA590C">
        <w:rPr>
          <w:lang w:val="fr-FR"/>
        </w:rPr>
        <w:t>Médiateur pénitentiaire pour l’Irlande du Nord</w:t>
      </w:r>
      <w:r w:rsidR="00DB4A27" w:rsidRPr="00A176EA">
        <w:rPr>
          <w:lang w:val="fr-FR"/>
        </w:rPr>
        <w:t xml:space="preserve"> </w:t>
      </w:r>
      <w:r w:rsidR="00EB3104">
        <w:rPr>
          <w:lang w:val="fr-FR"/>
        </w:rPr>
        <w:t>a été consulté dès le début du processus et toute autorisation de déploiement ou d’utilisation doit automatiquement lui être transmise pour examen des systèmes et des procédures suivis</w:t>
      </w:r>
      <w:r w:rsidR="000B562B" w:rsidRPr="00A176EA">
        <w:rPr>
          <w:lang w:val="fr-FR"/>
        </w:rPr>
        <w:t>.</w:t>
      </w:r>
    </w:p>
    <w:p w:rsidR="000B562B" w:rsidRPr="00A176EA" w:rsidRDefault="002549A9" w:rsidP="00EB3104">
      <w:pPr>
        <w:pStyle w:val="SingleTxtG"/>
        <w:rPr>
          <w:lang w:val="fr-FR"/>
        </w:rPr>
      </w:pPr>
      <w:r w:rsidRPr="00A176EA">
        <w:rPr>
          <w:lang w:val="fr-FR"/>
        </w:rPr>
        <w:t>356.</w:t>
      </w:r>
      <w:r w:rsidRPr="00A176EA">
        <w:rPr>
          <w:lang w:val="fr-FR"/>
        </w:rPr>
        <w:tab/>
      </w:r>
      <w:r w:rsidR="00EB3104" w:rsidRPr="00EB3104">
        <w:rPr>
          <w:lang w:val="fr-FR"/>
        </w:rPr>
        <w:t xml:space="preserve">Au cours de la période d’essai (qui a été étendue à mai 2012 en raison de la non-utilisation </w:t>
      </w:r>
      <w:r w:rsidR="001A103F" w:rsidRPr="00EB3104">
        <w:rPr>
          <w:lang w:val="fr-FR"/>
        </w:rPr>
        <w:t>du dispositif</w:t>
      </w:r>
      <w:r w:rsidR="001A103F">
        <w:rPr>
          <w:lang w:val="fr-FR"/>
        </w:rPr>
        <w:t xml:space="preserve"> sur le terrain</w:t>
      </w:r>
      <w:r w:rsidR="00EB3104" w:rsidRPr="00EB3104">
        <w:rPr>
          <w:lang w:val="fr-FR"/>
        </w:rPr>
        <w:t>), le PAVA ne sera employé que sous l’autorité directe du Directeur général ou du Directeur des opérations de l’</w:t>
      </w:r>
      <w:r w:rsidR="008F3DA4" w:rsidRPr="00EB3104">
        <w:rPr>
          <w:lang w:val="fr-FR"/>
        </w:rPr>
        <w:t>Administration pénitentiaire d’Irlande du Nord</w:t>
      </w:r>
      <w:r w:rsidR="00EB3104">
        <w:rPr>
          <w:lang w:val="fr-FR"/>
        </w:rPr>
        <w:t xml:space="preserve"> et après évaluation et avis </w:t>
      </w:r>
      <w:r w:rsidR="00384C11">
        <w:rPr>
          <w:lang w:val="fr-FR"/>
        </w:rPr>
        <w:t>du Responsable et Conseiller en matière de</w:t>
      </w:r>
      <w:r w:rsidR="0096546D">
        <w:rPr>
          <w:lang w:val="fr-FR"/>
        </w:rPr>
        <w:t xml:space="preserve"> </w:t>
      </w:r>
      <w:r w:rsidR="00384C11">
        <w:rPr>
          <w:lang w:val="fr-FR"/>
        </w:rPr>
        <w:t xml:space="preserve">neutralisation et de contrainte. Le dispositif ne sera utilisé que pour les incidents </w:t>
      </w:r>
      <w:r w:rsidR="00AC54A3">
        <w:rPr>
          <w:lang w:val="fr-FR"/>
        </w:rPr>
        <w:t xml:space="preserve">présentant un </w:t>
      </w:r>
      <w:r w:rsidR="00CD0110">
        <w:rPr>
          <w:lang w:val="fr-FR"/>
        </w:rPr>
        <w:t>«</w:t>
      </w:r>
      <w:r w:rsidR="00AC54A3">
        <w:rPr>
          <w:lang w:val="fr-FR"/>
        </w:rPr>
        <w:t>haut risque</w:t>
      </w:r>
      <w:r w:rsidR="00CD0110">
        <w:rPr>
          <w:lang w:val="fr-FR"/>
        </w:rPr>
        <w:t>»</w:t>
      </w:r>
      <w:r w:rsidR="00AC54A3">
        <w:rPr>
          <w:lang w:val="fr-FR"/>
        </w:rPr>
        <w:t xml:space="preserve"> de blessure grave, ou pire, pour le personnel, les détenus ou autres. Toute utilisation de PAVA fera l’objet d’un enregistrement vidéo, sauf si cela menace le règlement de l’incident en toute sécurité</w:t>
      </w:r>
      <w:r w:rsidR="000B562B" w:rsidRPr="00A176EA">
        <w:rPr>
          <w:lang w:val="fr-FR"/>
        </w:rPr>
        <w:t>.</w:t>
      </w:r>
    </w:p>
    <w:p w:rsidR="000B562B" w:rsidRPr="00A176EA" w:rsidRDefault="002549A9" w:rsidP="00032CE7">
      <w:pPr>
        <w:pStyle w:val="SingleTxtG"/>
        <w:rPr>
          <w:lang w:val="fr-FR"/>
        </w:rPr>
      </w:pPr>
      <w:r w:rsidRPr="00A176EA">
        <w:rPr>
          <w:lang w:val="fr-FR"/>
        </w:rPr>
        <w:t>357.</w:t>
      </w:r>
      <w:r w:rsidRPr="00A176EA">
        <w:rPr>
          <w:lang w:val="fr-FR"/>
        </w:rPr>
        <w:tab/>
      </w:r>
      <w:r w:rsidR="00AC54A3">
        <w:rPr>
          <w:lang w:val="fr-FR"/>
        </w:rPr>
        <w:t xml:space="preserve">Seuls les Instructeurs </w:t>
      </w:r>
      <w:r w:rsidR="000E4BAA">
        <w:rPr>
          <w:lang w:val="fr-FR"/>
        </w:rPr>
        <w:t>en</w:t>
      </w:r>
      <w:r w:rsidR="00AC54A3">
        <w:rPr>
          <w:lang w:val="fr-FR"/>
        </w:rPr>
        <w:t xml:space="preserve"> </w:t>
      </w:r>
      <w:r w:rsidR="000E4BAA">
        <w:rPr>
          <w:lang w:val="fr-FR"/>
        </w:rPr>
        <w:t xml:space="preserve">techniques de neutralisation et de contrainte </w:t>
      </w:r>
      <w:r w:rsidR="00AC54A3">
        <w:rPr>
          <w:lang w:val="fr-FR"/>
        </w:rPr>
        <w:t xml:space="preserve">qualifiés de </w:t>
      </w:r>
      <w:r w:rsidR="000E4BAA">
        <w:rPr>
          <w:lang w:val="fr-FR"/>
        </w:rPr>
        <w:t xml:space="preserve">d’Administration pénitentiaire qui ont suivi avec succès une formation spécifique au PAVA sont autorisés à en faire usage. </w:t>
      </w:r>
      <w:r w:rsidR="001A7726">
        <w:rPr>
          <w:lang w:val="fr-FR"/>
        </w:rPr>
        <w:t xml:space="preserve">L’an dernier, deux demandes d’utilisation ont été déposées et l’autorisation a été donnée dans les deux cas. Le dispositif n’a pas été employé, mais sa présence sur le terrain, dont les agresseurs ont été notifiés, semble avoir contribué à régler les deux incidents de façon pacifique, en plus du professionnalisme et des qualités de communication des personnels. Des rapports circonstanciés et </w:t>
      </w:r>
      <w:r w:rsidR="001A103F">
        <w:rPr>
          <w:lang w:val="fr-FR"/>
        </w:rPr>
        <w:t xml:space="preserve">des </w:t>
      </w:r>
      <w:r w:rsidR="001A7726">
        <w:rPr>
          <w:lang w:val="fr-FR"/>
        </w:rPr>
        <w:t>films vidéo ont été envoyés au Bureau du Médiateur pénitentiaire</w:t>
      </w:r>
      <w:r w:rsidR="00032CE7">
        <w:rPr>
          <w:lang w:val="fr-FR"/>
        </w:rPr>
        <w:t>, qui établit actuellement son propre rapport indépendant</w:t>
      </w:r>
      <w:r w:rsidR="000B562B" w:rsidRPr="00A176EA">
        <w:rPr>
          <w:lang w:val="fr-FR"/>
        </w:rPr>
        <w:t>.</w:t>
      </w:r>
    </w:p>
    <w:p w:rsidR="000B562B" w:rsidRPr="00A176EA" w:rsidRDefault="002549A9" w:rsidP="00DA0F7C">
      <w:pPr>
        <w:pStyle w:val="SingleTxtG"/>
        <w:rPr>
          <w:lang w:val="fr-FR"/>
        </w:rPr>
      </w:pPr>
      <w:r w:rsidRPr="00A176EA">
        <w:rPr>
          <w:lang w:val="fr-FR"/>
        </w:rPr>
        <w:t>358.</w:t>
      </w:r>
      <w:r w:rsidRPr="00A176EA">
        <w:rPr>
          <w:lang w:val="fr-FR"/>
        </w:rPr>
        <w:tab/>
      </w:r>
      <w:r w:rsidR="00DA0F7C" w:rsidRPr="00DA0F7C">
        <w:rPr>
          <w:lang w:val="fr-FR"/>
        </w:rPr>
        <w:t>Des conditions strictes de santé, de sécurité, de stockage et d’utilisation doivent être respectées pour que le dispositif soit utilisé conformément aux bonnes pratiques et à la Politique de l’</w:t>
      </w:r>
      <w:r w:rsidR="008F3DA4" w:rsidRPr="00DA0F7C">
        <w:rPr>
          <w:lang w:val="fr-FR"/>
        </w:rPr>
        <w:t>Administration pénitentiaire d’Irlande du Nord</w:t>
      </w:r>
      <w:r w:rsidR="000B562B" w:rsidRPr="00DA0F7C">
        <w:rPr>
          <w:lang w:val="fr-FR"/>
        </w:rPr>
        <w:t xml:space="preserve">. </w:t>
      </w:r>
      <w:r w:rsidR="00DA0F7C" w:rsidRPr="00DA0F7C">
        <w:rPr>
          <w:lang w:val="fr-FR"/>
        </w:rPr>
        <w:t>L’</w:t>
      </w:r>
      <w:r w:rsidR="008F3DA4" w:rsidRPr="00DA0F7C">
        <w:rPr>
          <w:lang w:val="fr-FR"/>
        </w:rPr>
        <w:t xml:space="preserve">Administration pénitentiaire </w:t>
      </w:r>
      <w:r w:rsidR="00DA0F7C" w:rsidRPr="00DA0F7C">
        <w:rPr>
          <w:lang w:val="fr-FR"/>
        </w:rPr>
        <w:t xml:space="preserve">considère que l’aérosol </w:t>
      </w:r>
      <w:r w:rsidR="001A103F">
        <w:rPr>
          <w:lang w:val="fr-FR"/>
        </w:rPr>
        <w:t>au</w:t>
      </w:r>
      <w:r w:rsidR="000B562B" w:rsidRPr="00DA0F7C">
        <w:rPr>
          <w:lang w:val="fr-FR"/>
        </w:rPr>
        <w:t xml:space="preserve"> PAVA</w:t>
      </w:r>
      <w:r w:rsidR="000B562B" w:rsidRPr="00A176EA">
        <w:rPr>
          <w:lang w:val="fr-FR"/>
        </w:rPr>
        <w:t xml:space="preserve"> </w:t>
      </w:r>
      <w:r w:rsidR="00DA0F7C">
        <w:rPr>
          <w:lang w:val="fr-FR"/>
        </w:rPr>
        <w:t>est un outil nécessaire pour gérer en toute sécurité et avec succès la violence réelle ou potentielle</w:t>
      </w:r>
      <w:r w:rsidR="00FC2B97">
        <w:rPr>
          <w:lang w:val="fr-FR"/>
        </w:rPr>
        <w:t>:</w:t>
      </w:r>
      <w:r w:rsidR="00DA0F7C">
        <w:rPr>
          <w:lang w:val="fr-FR"/>
        </w:rPr>
        <w:t xml:space="preserve"> </w:t>
      </w:r>
      <w:r w:rsidR="001A52F4">
        <w:rPr>
          <w:lang w:val="fr-FR"/>
        </w:rPr>
        <w:t xml:space="preserve">y renoncer exposerait les personnels, les détenus et </w:t>
      </w:r>
      <w:r w:rsidR="001A103F">
        <w:rPr>
          <w:lang w:val="fr-FR"/>
        </w:rPr>
        <w:t>des tiers</w:t>
      </w:r>
      <w:r w:rsidR="001A52F4">
        <w:rPr>
          <w:lang w:val="fr-FR"/>
        </w:rPr>
        <w:t xml:space="preserve"> à des risques inutiles en cas d’incident violent</w:t>
      </w:r>
      <w:r w:rsidR="000B562B" w:rsidRPr="00A176EA">
        <w:rPr>
          <w:lang w:val="fr-FR"/>
        </w:rPr>
        <w:t>.</w:t>
      </w:r>
    </w:p>
    <w:p w:rsidR="000B562B" w:rsidRPr="00A176EA" w:rsidRDefault="001A52F4" w:rsidP="0074254F">
      <w:pPr>
        <w:pStyle w:val="H23G"/>
        <w:rPr>
          <w:lang w:val="fr-FR"/>
        </w:rPr>
      </w:pPr>
      <w:bookmarkStart w:id="44" w:name="_Toc299724729"/>
      <w:r>
        <w:rPr>
          <w:lang w:val="fr-FR"/>
        </w:rPr>
        <w:t>Sous-traitance</w:t>
      </w:r>
      <w:r w:rsidR="000B562B" w:rsidRPr="00A176EA">
        <w:rPr>
          <w:lang w:val="fr-FR"/>
        </w:rPr>
        <w:t>/privatisation</w:t>
      </w:r>
      <w:r>
        <w:rPr>
          <w:lang w:val="fr-FR"/>
        </w:rPr>
        <w:t xml:space="preserve"> des établissements pénitentiaires et des services d’escorte</w:t>
      </w:r>
      <w:bookmarkEnd w:id="44"/>
    </w:p>
    <w:p w:rsidR="003A55FF" w:rsidRPr="00A176EA" w:rsidRDefault="003A55FF" w:rsidP="003A55FF">
      <w:pPr>
        <w:pStyle w:val="H23G"/>
        <w:rPr>
          <w:lang w:val="fr-FR"/>
        </w:rPr>
      </w:pPr>
      <w:r w:rsidRPr="001A52F4">
        <w:rPr>
          <w:lang w:val="fr-FR"/>
        </w:rPr>
        <w:t xml:space="preserve">Angleterre et </w:t>
      </w:r>
      <w:r w:rsidR="00186A02">
        <w:rPr>
          <w:lang w:val="fr-FR"/>
        </w:rPr>
        <w:t>p</w:t>
      </w:r>
      <w:r w:rsidR="005601A1">
        <w:rPr>
          <w:lang w:val="fr-FR"/>
        </w:rPr>
        <w:t>ays de Galles</w:t>
      </w:r>
    </w:p>
    <w:p w:rsidR="000B562B" w:rsidRPr="00A176EA" w:rsidRDefault="002549A9" w:rsidP="00E3167C">
      <w:pPr>
        <w:pStyle w:val="SingleTxtG"/>
        <w:rPr>
          <w:lang w:val="fr-FR"/>
        </w:rPr>
      </w:pPr>
      <w:r w:rsidRPr="00A176EA">
        <w:rPr>
          <w:lang w:val="fr-FR"/>
        </w:rPr>
        <w:t>359.</w:t>
      </w:r>
      <w:r w:rsidRPr="00A176EA">
        <w:rPr>
          <w:lang w:val="fr-FR"/>
        </w:rPr>
        <w:tab/>
      </w:r>
      <w:r w:rsidR="00C52320">
        <w:rPr>
          <w:lang w:val="fr-FR"/>
        </w:rPr>
        <w:t>L’ouverture de</w:t>
      </w:r>
      <w:r w:rsidR="001C2DE8">
        <w:rPr>
          <w:lang w:val="fr-FR"/>
        </w:rPr>
        <w:t xml:space="preserve"> la gestion des prisons au secteur privé est à l’étude depuis 1998. En février 2002, l’Administration pénitentiaire a </w:t>
      </w:r>
      <w:r w:rsidR="00C52320">
        <w:rPr>
          <w:lang w:val="fr-FR"/>
        </w:rPr>
        <w:t>fait établir</w:t>
      </w:r>
      <w:r w:rsidR="001C2DE8">
        <w:rPr>
          <w:lang w:val="fr-FR"/>
        </w:rPr>
        <w:t xml:space="preserve"> le Rapport Carter</w:t>
      </w:r>
      <w:r w:rsidR="00E3167C">
        <w:rPr>
          <w:rStyle w:val="FootnoteReference"/>
        </w:rPr>
        <w:footnoteReference w:id="46"/>
      </w:r>
      <w:r w:rsidR="008A3F01">
        <w:rPr>
          <w:lang w:val="fr-FR"/>
        </w:rPr>
        <w:t xml:space="preserve"> </w:t>
      </w:r>
      <w:r w:rsidR="00C52320">
        <w:rPr>
          <w:lang w:val="fr-FR"/>
        </w:rPr>
        <w:t>sur</w:t>
      </w:r>
      <w:r w:rsidR="001C2DE8">
        <w:rPr>
          <w:lang w:val="fr-FR"/>
        </w:rPr>
        <w:t xml:space="preserve"> la contribution possible du secteur privé </w:t>
      </w:r>
      <w:r w:rsidR="00C52320">
        <w:rPr>
          <w:lang w:val="fr-FR"/>
        </w:rPr>
        <w:t>à la réalisation des</w:t>
      </w:r>
      <w:r w:rsidR="008A3F01">
        <w:rPr>
          <w:lang w:val="fr-FR"/>
        </w:rPr>
        <w:t xml:space="preserve"> objectifs de l’Administration </w:t>
      </w:r>
      <w:r w:rsidR="00C52320">
        <w:rPr>
          <w:lang w:val="fr-FR"/>
        </w:rPr>
        <w:t xml:space="preserve">pénitentiaire </w:t>
      </w:r>
      <w:r w:rsidR="008A3F01">
        <w:rPr>
          <w:lang w:val="fr-FR"/>
        </w:rPr>
        <w:t>dans le cadre de l’Initiative de financement privé. Ses recommandations suggéraient un rôle permanent pour le secteur privé</w:t>
      </w:r>
      <w:r w:rsidR="000B562B" w:rsidRPr="00A176EA">
        <w:rPr>
          <w:lang w:val="fr-FR"/>
        </w:rPr>
        <w:t>.</w:t>
      </w:r>
    </w:p>
    <w:p w:rsidR="000B562B" w:rsidRPr="00A176EA" w:rsidRDefault="002549A9" w:rsidP="00E3167C">
      <w:pPr>
        <w:pStyle w:val="SingleTxtG"/>
        <w:rPr>
          <w:lang w:val="fr-FR"/>
        </w:rPr>
      </w:pPr>
      <w:r w:rsidRPr="00A176EA">
        <w:rPr>
          <w:lang w:val="fr-FR"/>
        </w:rPr>
        <w:t>360.</w:t>
      </w:r>
      <w:r w:rsidRPr="00A176EA">
        <w:rPr>
          <w:lang w:val="fr-FR"/>
        </w:rPr>
        <w:tab/>
      </w:r>
      <w:r w:rsidR="00EC7069" w:rsidRPr="008A3F01">
        <w:rPr>
          <w:lang w:val="fr-FR"/>
        </w:rPr>
        <w:t>L</w:t>
      </w:r>
      <w:r w:rsidR="000B562B" w:rsidRPr="008A3F01">
        <w:rPr>
          <w:lang w:val="fr-FR"/>
        </w:rPr>
        <w:t xml:space="preserve">e </w:t>
      </w:r>
      <w:r w:rsidR="00EC7069" w:rsidRPr="008A3F01">
        <w:rPr>
          <w:lang w:val="fr-FR"/>
        </w:rPr>
        <w:t xml:space="preserve">Service national de gestion des </w:t>
      </w:r>
      <w:r w:rsidR="000423A5" w:rsidRPr="008A3F01">
        <w:rPr>
          <w:lang w:val="fr-FR"/>
        </w:rPr>
        <w:t>détenus</w:t>
      </w:r>
      <w:r w:rsidR="00EC7069" w:rsidRPr="00A176EA">
        <w:rPr>
          <w:lang w:val="fr-FR"/>
        </w:rPr>
        <w:t xml:space="preserve"> </w:t>
      </w:r>
      <w:r w:rsidR="006C3155">
        <w:rPr>
          <w:lang w:val="fr-FR"/>
        </w:rPr>
        <w:t xml:space="preserve">met en œuvre un vaste programme </w:t>
      </w:r>
      <w:r w:rsidR="00D93758">
        <w:rPr>
          <w:lang w:val="fr-FR"/>
        </w:rPr>
        <w:t>de modifications donnant suite à la toute dernière Étude Lord Carter</w:t>
      </w:r>
      <w:r w:rsidR="00E3167C">
        <w:rPr>
          <w:rStyle w:val="FootnoteReference"/>
        </w:rPr>
        <w:footnoteReference w:id="47"/>
      </w:r>
      <w:r w:rsidR="000B562B" w:rsidRPr="00A176EA">
        <w:rPr>
          <w:lang w:val="fr-FR"/>
        </w:rPr>
        <w:t xml:space="preserve"> (publi</w:t>
      </w:r>
      <w:r w:rsidR="00D93758">
        <w:rPr>
          <w:lang w:val="fr-FR"/>
        </w:rPr>
        <w:t>ée en décembre</w:t>
      </w:r>
      <w:r w:rsidR="000B562B" w:rsidRPr="00A176EA">
        <w:rPr>
          <w:lang w:val="fr-FR"/>
        </w:rPr>
        <w:t xml:space="preserve"> 2007)</w:t>
      </w:r>
      <w:r w:rsidR="00D93758">
        <w:rPr>
          <w:lang w:val="fr-FR"/>
        </w:rPr>
        <w:t xml:space="preserve">, qui remplace les versions précédentes, dont le Rapport Carter de </w:t>
      </w:r>
      <w:r w:rsidR="000B562B" w:rsidRPr="00A176EA">
        <w:rPr>
          <w:lang w:val="fr-FR"/>
        </w:rPr>
        <w:t xml:space="preserve">2002. </w:t>
      </w:r>
      <w:r w:rsidR="00D93758">
        <w:rPr>
          <w:lang w:val="fr-FR"/>
        </w:rPr>
        <w:t xml:space="preserve">Par ailleurs, ce programme poursuit la mise en œuvre des recommandations du Rapport Carter de </w:t>
      </w:r>
      <w:r w:rsidR="000B562B" w:rsidRPr="00A176EA">
        <w:rPr>
          <w:lang w:val="fr-FR"/>
        </w:rPr>
        <w:t>2002.</w:t>
      </w:r>
    </w:p>
    <w:p w:rsidR="000B562B" w:rsidRPr="00A176EA" w:rsidRDefault="002549A9" w:rsidP="000C38FF">
      <w:pPr>
        <w:pStyle w:val="SingleTxtG"/>
        <w:rPr>
          <w:lang w:val="fr-FR"/>
        </w:rPr>
      </w:pPr>
      <w:r w:rsidRPr="00A176EA">
        <w:rPr>
          <w:lang w:val="fr-FR"/>
        </w:rPr>
        <w:t>361.</w:t>
      </w:r>
      <w:r w:rsidRPr="00A176EA">
        <w:rPr>
          <w:lang w:val="fr-FR"/>
        </w:rPr>
        <w:tab/>
      </w:r>
      <w:r w:rsidR="00EC7069" w:rsidRPr="00D93758">
        <w:rPr>
          <w:lang w:val="fr-FR"/>
        </w:rPr>
        <w:t xml:space="preserve">Le Service national de gestion des </w:t>
      </w:r>
      <w:r w:rsidR="000423A5" w:rsidRPr="00D93758">
        <w:rPr>
          <w:lang w:val="fr-FR"/>
        </w:rPr>
        <w:t>détenus</w:t>
      </w:r>
      <w:r w:rsidR="000B562B" w:rsidRPr="00A176EA">
        <w:rPr>
          <w:lang w:val="fr-FR"/>
        </w:rPr>
        <w:t xml:space="preserve"> </w:t>
      </w:r>
      <w:r w:rsidR="00D93758">
        <w:rPr>
          <w:lang w:val="fr-FR"/>
        </w:rPr>
        <w:t xml:space="preserve">élabore des spécifications précises pour chaque service important assuré </w:t>
      </w:r>
      <w:r w:rsidR="008063D7">
        <w:rPr>
          <w:lang w:val="fr-FR"/>
        </w:rPr>
        <w:t xml:space="preserve">en matière de détention et de probation. </w:t>
      </w:r>
      <w:r w:rsidR="000C38FF">
        <w:rPr>
          <w:lang w:val="fr-FR"/>
        </w:rPr>
        <w:t xml:space="preserve">Elles apporteront clarté et cohérence </w:t>
      </w:r>
      <w:r w:rsidR="000C38FF" w:rsidRPr="001A103F">
        <w:rPr>
          <w:lang w:val="fr-FR"/>
        </w:rPr>
        <w:t>sur</w:t>
      </w:r>
      <w:r w:rsidR="000C38FF">
        <w:rPr>
          <w:lang w:val="fr-FR"/>
        </w:rPr>
        <w:t xml:space="preserve"> l’offre de services et permettront de déterminer d’une façon juste et objective les normes d’excellence nécessaires pour remédier aux performances insuffisantes et améliorer les services</w:t>
      </w:r>
      <w:r w:rsidR="000B562B" w:rsidRPr="00A176EA">
        <w:rPr>
          <w:lang w:val="fr-FR"/>
        </w:rPr>
        <w:t>.</w:t>
      </w:r>
    </w:p>
    <w:p w:rsidR="000B562B" w:rsidRPr="00A176EA" w:rsidRDefault="002549A9" w:rsidP="000C38FF">
      <w:pPr>
        <w:pStyle w:val="SingleTxtG"/>
        <w:rPr>
          <w:lang w:val="fr-FR"/>
        </w:rPr>
      </w:pPr>
      <w:r w:rsidRPr="00A176EA">
        <w:rPr>
          <w:lang w:val="fr-FR"/>
        </w:rPr>
        <w:t>362.</w:t>
      </w:r>
      <w:r w:rsidRPr="00A176EA">
        <w:rPr>
          <w:lang w:val="fr-FR"/>
        </w:rPr>
        <w:tab/>
      </w:r>
      <w:r w:rsidR="00EC7069" w:rsidRPr="000C38FF">
        <w:rPr>
          <w:lang w:val="fr-FR"/>
        </w:rPr>
        <w:t xml:space="preserve">Le Service national de gestion des </w:t>
      </w:r>
      <w:r w:rsidR="000423A5" w:rsidRPr="000C38FF">
        <w:rPr>
          <w:lang w:val="fr-FR"/>
        </w:rPr>
        <w:t>détenus</w:t>
      </w:r>
      <w:r w:rsidR="000B562B" w:rsidRPr="000C38FF">
        <w:rPr>
          <w:lang w:val="fr-FR"/>
        </w:rPr>
        <w:t xml:space="preserve"> </w:t>
      </w:r>
      <w:r w:rsidR="00D93758" w:rsidRPr="000C38FF">
        <w:rPr>
          <w:lang w:val="fr-FR"/>
        </w:rPr>
        <w:t>met en</w:t>
      </w:r>
      <w:r w:rsidR="000B562B" w:rsidRPr="000C38FF">
        <w:rPr>
          <w:lang w:val="fr-FR"/>
        </w:rPr>
        <w:t xml:space="preserve"> place </w:t>
      </w:r>
      <w:r w:rsidR="00D93758" w:rsidRPr="000C38FF">
        <w:rPr>
          <w:lang w:val="fr-FR"/>
        </w:rPr>
        <w:t xml:space="preserve">des </w:t>
      </w:r>
      <w:r w:rsidR="000B562B" w:rsidRPr="000C38FF">
        <w:rPr>
          <w:lang w:val="fr-FR"/>
        </w:rPr>
        <w:t>m</w:t>
      </w:r>
      <w:r w:rsidR="00D93758" w:rsidRPr="000C38FF">
        <w:rPr>
          <w:lang w:val="fr-FR"/>
        </w:rPr>
        <w:t>é</w:t>
      </w:r>
      <w:r w:rsidR="000B562B" w:rsidRPr="000C38FF">
        <w:rPr>
          <w:lang w:val="fr-FR"/>
        </w:rPr>
        <w:t>canism</w:t>
      </w:r>
      <w:r w:rsidR="00D93758" w:rsidRPr="000C38FF">
        <w:rPr>
          <w:lang w:val="fr-FR"/>
        </w:rPr>
        <w:t>e</w:t>
      </w:r>
      <w:r w:rsidR="000B562B" w:rsidRPr="000C38FF">
        <w:rPr>
          <w:lang w:val="fr-FR"/>
        </w:rPr>
        <w:t>s</w:t>
      </w:r>
      <w:r w:rsidR="00D93758" w:rsidRPr="000C38FF">
        <w:rPr>
          <w:lang w:val="fr-FR"/>
        </w:rPr>
        <w:t xml:space="preserve"> pour s’assurer que les prestataires les plus efficaces et utiles</w:t>
      </w:r>
      <w:r w:rsidR="000B562B" w:rsidRPr="000C38FF">
        <w:rPr>
          <w:lang w:val="fr-FR"/>
        </w:rPr>
        <w:t xml:space="preserve"> </w:t>
      </w:r>
      <w:r w:rsidR="00D93758" w:rsidRPr="000C38FF">
        <w:rPr>
          <w:lang w:val="fr-FR"/>
        </w:rPr>
        <w:t>soient sélectionnés pour fournir</w:t>
      </w:r>
      <w:r w:rsidR="000C38FF">
        <w:rPr>
          <w:lang w:val="fr-FR"/>
        </w:rPr>
        <w:t xml:space="preserve"> aux détenus des services de surveillance et d’intérêt général. Par ailleurs, le Programme de spécifications, de normes et de coûts définit les normes minimum obligatoires concernant les services fournis par le Service national afin de garantir qu’ils soient sûrs, décents et légaux</w:t>
      </w:r>
      <w:r w:rsidR="000B562B" w:rsidRPr="00A176EA">
        <w:rPr>
          <w:lang w:val="fr-FR"/>
        </w:rPr>
        <w:t>.</w:t>
      </w:r>
    </w:p>
    <w:p w:rsidR="000B562B" w:rsidRPr="00A176EA" w:rsidRDefault="002549A9" w:rsidP="00E708BD">
      <w:pPr>
        <w:pStyle w:val="SingleTxtG"/>
        <w:rPr>
          <w:lang w:val="fr-FR"/>
        </w:rPr>
      </w:pPr>
      <w:r w:rsidRPr="00A176EA">
        <w:rPr>
          <w:lang w:val="fr-FR"/>
        </w:rPr>
        <w:t>363.</w:t>
      </w:r>
      <w:r w:rsidRPr="00A176EA">
        <w:rPr>
          <w:lang w:val="fr-FR"/>
        </w:rPr>
        <w:tab/>
      </w:r>
      <w:r w:rsidR="000C38FF">
        <w:rPr>
          <w:lang w:val="fr-FR"/>
        </w:rPr>
        <w:t xml:space="preserve">Les contrats </w:t>
      </w:r>
      <w:r w:rsidR="00C52320">
        <w:rPr>
          <w:lang w:val="fr-FR"/>
        </w:rPr>
        <w:t xml:space="preserve">passés </w:t>
      </w:r>
      <w:r w:rsidR="000C38FF">
        <w:rPr>
          <w:lang w:val="fr-FR"/>
        </w:rPr>
        <w:t xml:space="preserve">avec le secteur privé sont soumis à </w:t>
      </w:r>
      <w:r w:rsidR="00C52320">
        <w:rPr>
          <w:lang w:val="fr-FR"/>
        </w:rPr>
        <w:t>un ensemble</w:t>
      </w:r>
      <w:r w:rsidR="000C38FF">
        <w:rPr>
          <w:lang w:val="fr-FR"/>
        </w:rPr>
        <w:t xml:space="preserve"> de garanties, de contrôles et de responsabilités. Le contrat standard impose le respect de l’ensemble de la législation applicable, dont les Règles pénitentiaires et </w:t>
      </w:r>
      <w:r w:rsidR="00E708BD">
        <w:rPr>
          <w:lang w:val="fr-FR"/>
        </w:rPr>
        <w:t xml:space="preserve">les Règles </w:t>
      </w:r>
      <w:r w:rsidR="00F76AE0">
        <w:rPr>
          <w:lang w:val="fr-FR"/>
        </w:rPr>
        <w:t>relatives aux</w:t>
      </w:r>
      <w:r w:rsidR="00E708BD">
        <w:rPr>
          <w:lang w:val="fr-FR"/>
        </w:rPr>
        <w:t xml:space="preserve"> institutions pour jeunes délinquants</w:t>
      </w:r>
      <w:r w:rsidR="000B562B" w:rsidRPr="00A176EA">
        <w:rPr>
          <w:lang w:val="fr-FR"/>
        </w:rPr>
        <w:t>.</w:t>
      </w:r>
    </w:p>
    <w:p w:rsidR="000B562B" w:rsidRPr="00A176EA" w:rsidRDefault="002549A9" w:rsidP="00E708BD">
      <w:pPr>
        <w:pStyle w:val="SingleTxtG"/>
        <w:rPr>
          <w:lang w:val="fr-FR"/>
        </w:rPr>
      </w:pPr>
      <w:r w:rsidRPr="00A176EA">
        <w:rPr>
          <w:lang w:val="fr-FR"/>
        </w:rPr>
        <w:t>364.</w:t>
      </w:r>
      <w:r w:rsidRPr="00A176EA">
        <w:rPr>
          <w:lang w:val="fr-FR"/>
        </w:rPr>
        <w:tab/>
      </w:r>
      <w:r w:rsidR="00E708BD">
        <w:rPr>
          <w:lang w:val="fr-FR"/>
        </w:rPr>
        <w:t>Le nouveau cadre du</w:t>
      </w:r>
      <w:r w:rsidR="000B562B" w:rsidRPr="00A176EA">
        <w:rPr>
          <w:lang w:val="fr-FR"/>
        </w:rPr>
        <w:t xml:space="preserve"> </w:t>
      </w:r>
      <w:r w:rsidR="00EC7069" w:rsidRPr="00E708BD">
        <w:rPr>
          <w:lang w:val="fr-FR"/>
        </w:rPr>
        <w:t xml:space="preserve">Service national de gestion des </w:t>
      </w:r>
      <w:r w:rsidR="000423A5" w:rsidRPr="00E708BD">
        <w:rPr>
          <w:lang w:val="fr-FR"/>
        </w:rPr>
        <w:t>détenus</w:t>
      </w:r>
      <w:r w:rsidR="000B562B" w:rsidRPr="00E708BD">
        <w:rPr>
          <w:lang w:val="fr-FR"/>
        </w:rPr>
        <w:t xml:space="preserve"> </w:t>
      </w:r>
      <w:r w:rsidR="00E708BD" w:rsidRPr="00E708BD">
        <w:rPr>
          <w:lang w:val="fr-FR"/>
        </w:rPr>
        <w:t>stipule que</w:t>
      </w:r>
      <w:r w:rsidR="00E708BD">
        <w:rPr>
          <w:lang w:val="fr-FR"/>
        </w:rPr>
        <w:t xml:space="preserve"> ledit Service est neutre quant au secteur qui fournit les services de détention et de probation, et </w:t>
      </w:r>
      <w:r w:rsidR="00292932">
        <w:rPr>
          <w:lang w:val="fr-FR"/>
        </w:rPr>
        <w:t>instaure</w:t>
      </w:r>
      <w:r w:rsidR="00E708BD">
        <w:rPr>
          <w:lang w:val="fr-FR"/>
        </w:rPr>
        <w:t xml:space="preserve"> des mécanismes </w:t>
      </w:r>
      <w:r w:rsidR="00E708BD" w:rsidRPr="00E708BD">
        <w:rPr>
          <w:lang w:val="fr-FR"/>
        </w:rPr>
        <w:t xml:space="preserve">pour s’assurer que les prestataires </w:t>
      </w:r>
      <w:r w:rsidR="00292932">
        <w:rPr>
          <w:lang w:val="fr-FR"/>
        </w:rPr>
        <w:t xml:space="preserve">de </w:t>
      </w:r>
      <w:r w:rsidR="00292932" w:rsidRPr="00A176EA">
        <w:rPr>
          <w:lang w:val="fr-FR"/>
        </w:rPr>
        <w:t>services</w:t>
      </w:r>
      <w:r w:rsidR="00292932" w:rsidRPr="00E708BD">
        <w:rPr>
          <w:lang w:val="fr-FR"/>
        </w:rPr>
        <w:t xml:space="preserve"> </w:t>
      </w:r>
      <w:r w:rsidR="00E708BD" w:rsidRPr="00E708BD">
        <w:rPr>
          <w:lang w:val="fr-FR"/>
        </w:rPr>
        <w:t>les plus efficaces et utiles soient sélectionnés</w:t>
      </w:r>
      <w:r w:rsidR="000B562B" w:rsidRPr="00A176EA">
        <w:rPr>
          <w:lang w:val="fr-FR"/>
        </w:rPr>
        <w:t>.</w:t>
      </w:r>
    </w:p>
    <w:p w:rsidR="000B562B" w:rsidRPr="00A176EA" w:rsidRDefault="002549A9" w:rsidP="00C462FE">
      <w:pPr>
        <w:pStyle w:val="SingleTxtG"/>
        <w:rPr>
          <w:lang w:val="fr-FR"/>
        </w:rPr>
      </w:pPr>
      <w:r w:rsidRPr="00A176EA">
        <w:rPr>
          <w:lang w:val="fr-FR"/>
        </w:rPr>
        <w:t>365.</w:t>
      </w:r>
      <w:r w:rsidRPr="00A176EA">
        <w:rPr>
          <w:lang w:val="fr-FR"/>
        </w:rPr>
        <w:tab/>
      </w:r>
      <w:r w:rsidR="00292932">
        <w:rPr>
          <w:lang w:val="fr-FR"/>
        </w:rPr>
        <w:t>Le directeur de c</w:t>
      </w:r>
      <w:r w:rsidR="00E708BD">
        <w:rPr>
          <w:lang w:val="fr-FR"/>
        </w:rPr>
        <w:t xml:space="preserve">haque prison privée est un employé du sous-traitant </w:t>
      </w:r>
      <w:r w:rsidR="00BC65F4">
        <w:rPr>
          <w:lang w:val="fr-FR"/>
        </w:rPr>
        <w:t>agréé</w:t>
      </w:r>
      <w:r w:rsidR="00E708BD">
        <w:rPr>
          <w:lang w:val="fr-FR"/>
        </w:rPr>
        <w:t xml:space="preserve"> par le Ministre de la justice. Tous les personnels travaillant avec des détenus dans un établissement privé et </w:t>
      </w:r>
      <w:r w:rsidR="00185FFB">
        <w:rPr>
          <w:lang w:val="fr-FR"/>
        </w:rPr>
        <w:t>dans le cadre</w:t>
      </w:r>
      <w:r w:rsidR="00C52320">
        <w:rPr>
          <w:lang w:val="fr-FR"/>
        </w:rPr>
        <w:t xml:space="preserve"> de</w:t>
      </w:r>
      <w:r w:rsidR="00E708BD">
        <w:rPr>
          <w:lang w:val="fr-FR"/>
        </w:rPr>
        <w:t xml:space="preserve"> contrat</w:t>
      </w:r>
      <w:r w:rsidR="00C52320">
        <w:rPr>
          <w:lang w:val="fr-FR"/>
        </w:rPr>
        <w:t>s</w:t>
      </w:r>
      <w:r w:rsidR="00E708BD">
        <w:rPr>
          <w:lang w:val="fr-FR"/>
        </w:rPr>
        <w:t xml:space="preserve"> d’escorte doivent être </w:t>
      </w:r>
      <w:r w:rsidR="009A590B">
        <w:rPr>
          <w:lang w:val="fr-FR"/>
        </w:rPr>
        <w:t>agréés par le Ministre pour assurer la garde de détenus</w:t>
      </w:r>
      <w:r w:rsidR="00E708BD">
        <w:rPr>
          <w:lang w:val="fr-FR"/>
        </w:rPr>
        <w:t xml:space="preserve">. Ils sont soumis aux mêmes normes de contrôle de sécurité que le personnel pénitentiaire </w:t>
      </w:r>
      <w:r w:rsidR="009A590B">
        <w:rPr>
          <w:lang w:val="fr-FR"/>
        </w:rPr>
        <w:t xml:space="preserve">du secteur public </w:t>
      </w:r>
      <w:r w:rsidR="00E708BD">
        <w:rPr>
          <w:lang w:val="fr-FR"/>
        </w:rPr>
        <w:t xml:space="preserve">et doivent suivre une formation initiale d’environ huit semaines. </w:t>
      </w:r>
      <w:r w:rsidR="009A590B">
        <w:rPr>
          <w:lang w:val="fr-FR"/>
        </w:rPr>
        <w:t>L’agrément</w:t>
      </w:r>
      <w:r w:rsidR="00E708BD">
        <w:rPr>
          <w:lang w:val="fr-FR"/>
        </w:rPr>
        <w:t xml:space="preserve"> d’un employé peut être suspendu par le contrôleur/</w:t>
      </w:r>
      <w:r w:rsidR="00292932">
        <w:rPr>
          <w:lang w:val="fr-FR"/>
        </w:rPr>
        <w:t>responsable d</w:t>
      </w:r>
      <w:r w:rsidR="0099230F">
        <w:rPr>
          <w:lang w:val="fr-FR"/>
        </w:rPr>
        <w:t xml:space="preserve">es </w:t>
      </w:r>
      <w:r w:rsidR="00292932">
        <w:rPr>
          <w:lang w:val="fr-FR"/>
        </w:rPr>
        <w:t>escorte</w:t>
      </w:r>
      <w:r w:rsidR="0099230F">
        <w:rPr>
          <w:lang w:val="fr-FR"/>
        </w:rPr>
        <w:t>s</w:t>
      </w:r>
      <w:r w:rsidR="00292932">
        <w:rPr>
          <w:lang w:val="fr-FR"/>
        </w:rPr>
        <w:t xml:space="preserve"> </w:t>
      </w:r>
      <w:r w:rsidR="00C462FE">
        <w:rPr>
          <w:lang w:val="fr-FR"/>
        </w:rPr>
        <w:t xml:space="preserve">et révoqué par le Ministre </w:t>
      </w:r>
      <w:r w:rsidR="009A590B">
        <w:rPr>
          <w:lang w:val="fr-FR"/>
        </w:rPr>
        <w:t>si l’intéressé est considéré comme ne présentant plus les compétences et les qualités voulues pour s’acquitter</w:t>
      </w:r>
      <w:r w:rsidR="00C462FE">
        <w:rPr>
          <w:lang w:val="fr-FR"/>
        </w:rPr>
        <w:t xml:space="preserve"> de</w:t>
      </w:r>
      <w:r w:rsidR="009A590B">
        <w:rPr>
          <w:lang w:val="fr-FR"/>
        </w:rPr>
        <w:t xml:space="preserve"> se</w:t>
      </w:r>
      <w:r w:rsidR="00C462FE">
        <w:rPr>
          <w:lang w:val="fr-FR"/>
        </w:rPr>
        <w:t>s fonctions de surveillance</w:t>
      </w:r>
      <w:r w:rsidR="000B562B" w:rsidRPr="00A176EA">
        <w:rPr>
          <w:lang w:val="fr-FR"/>
        </w:rPr>
        <w:t>.</w:t>
      </w:r>
    </w:p>
    <w:p w:rsidR="000B562B" w:rsidRPr="00A176EA" w:rsidRDefault="002549A9" w:rsidP="0099230F">
      <w:pPr>
        <w:pStyle w:val="SingleTxtG"/>
        <w:rPr>
          <w:lang w:val="fr-FR"/>
        </w:rPr>
      </w:pPr>
      <w:r w:rsidRPr="00A176EA">
        <w:rPr>
          <w:lang w:val="fr-FR"/>
        </w:rPr>
        <w:t>366.</w:t>
      </w:r>
      <w:r w:rsidRPr="00A176EA">
        <w:rPr>
          <w:lang w:val="fr-FR"/>
        </w:rPr>
        <w:tab/>
      </w:r>
      <w:r w:rsidR="00C462FE" w:rsidRPr="00120B7A">
        <w:rPr>
          <w:lang w:val="fr-FR"/>
        </w:rPr>
        <w:t>Comme celles du secteur public, chaque prison privée est dotée d’un Comité de surveillance indépendant</w:t>
      </w:r>
      <w:r w:rsidR="00185FFB">
        <w:rPr>
          <w:lang w:val="fr-FR"/>
        </w:rPr>
        <w:t>.</w:t>
      </w:r>
      <w:r w:rsidR="00C462FE" w:rsidRPr="00120B7A">
        <w:rPr>
          <w:lang w:val="fr-FR"/>
        </w:rPr>
        <w:t xml:space="preserve"> </w:t>
      </w:r>
      <w:r w:rsidR="00185FFB">
        <w:rPr>
          <w:lang w:val="fr-FR"/>
        </w:rPr>
        <w:t>T</w:t>
      </w:r>
      <w:r w:rsidR="009A590B">
        <w:rPr>
          <w:lang w:val="fr-FR"/>
        </w:rPr>
        <w:t>ous les</w:t>
      </w:r>
      <w:r w:rsidR="00C462FE" w:rsidRPr="00120B7A">
        <w:rPr>
          <w:lang w:val="fr-FR"/>
        </w:rPr>
        <w:t xml:space="preserve"> détenu</w:t>
      </w:r>
      <w:r w:rsidR="009A590B">
        <w:rPr>
          <w:lang w:val="fr-FR"/>
        </w:rPr>
        <w:t>s</w:t>
      </w:r>
      <w:r w:rsidR="00C462FE" w:rsidRPr="00120B7A">
        <w:rPr>
          <w:lang w:val="fr-FR"/>
        </w:rPr>
        <w:t xml:space="preserve"> </w:t>
      </w:r>
      <w:r w:rsidR="009A590B">
        <w:rPr>
          <w:lang w:val="fr-FR"/>
        </w:rPr>
        <w:t>ont</w:t>
      </w:r>
      <w:r w:rsidR="00C462FE" w:rsidRPr="00120B7A">
        <w:rPr>
          <w:lang w:val="fr-FR"/>
        </w:rPr>
        <w:t xml:space="preserve"> accès au Médiateur pénitentiaire </w:t>
      </w:r>
      <w:r w:rsidR="00120B7A" w:rsidRPr="00120B7A">
        <w:rPr>
          <w:lang w:val="fr-FR"/>
        </w:rPr>
        <w:t xml:space="preserve">et l’établissement peut être inspecté par </w:t>
      </w:r>
      <w:r w:rsidR="00DB6232" w:rsidRPr="00120B7A">
        <w:rPr>
          <w:snapToGrid w:val="0"/>
          <w:lang w:val="fr-FR"/>
        </w:rPr>
        <w:t>l’Inspection des services pénitentiaires de Sa Majesté</w:t>
      </w:r>
      <w:r w:rsidR="000B562B" w:rsidRPr="00120B7A">
        <w:rPr>
          <w:lang w:val="fr-FR"/>
        </w:rPr>
        <w:t>.</w:t>
      </w:r>
      <w:r w:rsidR="000B562B" w:rsidRPr="00A176EA">
        <w:rPr>
          <w:lang w:val="fr-FR"/>
        </w:rPr>
        <w:t xml:space="preserve"> </w:t>
      </w:r>
      <w:r w:rsidR="00120B7A">
        <w:rPr>
          <w:lang w:val="fr-FR"/>
        </w:rPr>
        <w:t xml:space="preserve">Le sous-traitant est soumis au contrôle du Parlement et de ses Commissions. Dans chaque établissement privé, l’Administration pénitentiaire est représentée par le Contrôleur qui, </w:t>
      </w:r>
      <w:r w:rsidR="009A590B">
        <w:rPr>
          <w:lang w:val="fr-FR"/>
        </w:rPr>
        <w:t>avec le concours d’</w:t>
      </w:r>
      <w:r w:rsidR="00120B7A">
        <w:rPr>
          <w:lang w:val="fr-FR"/>
        </w:rPr>
        <w:t xml:space="preserve">un Contrôleur adjoint, </w:t>
      </w:r>
      <w:r w:rsidR="0099230F">
        <w:rPr>
          <w:lang w:val="fr-FR"/>
        </w:rPr>
        <w:t xml:space="preserve">se rend chaque jour sur place pour </w:t>
      </w:r>
      <w:r w:rsidR="009A590B">
        <w:rPr>
          <w:lang w:val="fr-FR"/>
        </w:rPr>
        <w:t>veiller au</w:t>
      </w:r>
      <w:r w:rsidR="0099230F">
        <w:rPr>
          <w:lang w:val="fr-FR"/>
        </w:rPr>
        <w:t xml:space="preserve"> respect du contrat et remplir les fonctions réservées aux fonctionnaires (</w:t>
      </w:r>
      <w:r w:rsidR="009A590B">
        <w:rPr>
          <w:lang w:val="fr-FR"/>
        </w:rPr>
        <w:t>décisions à caractère</w:t>
      </w:r>
      <w:r w:rsidR="0099230F">
        <w:rPr>
          <w:lang w:val="fr-FR"/>
        </w:rPr>
        <w:t xml:space="preserve"> disciplinaire, enquêtes sur les allégations à l’encontre de membres du personnel et autorisation d’user de moyens de contrainte</w:t>
      </w:r>
      <w:r w:rsidR="00185FFB">
        <w:rPr>
          <w:lang w:val="fr-FR"/>
        </w:rPr>
        <w:t xml:space="preserve"> physique</w:t>
      </w:r>
      <w:r w:rsidR="000B562B" w:rsidRPr="00A176EA">
        <w:rPr>
          <w:lang w:val="fr-FR"/>
        </w:rPr>
        <w:t>).</w:t>
      </w:r>
    </w:p>
    <w:p w:rsidR="000B562B" w:rsidRPr="00A176EA" w:rsidRDefault="002549A9" w:rsidP="00AB2A28">
      <w:pPr>
        <w:pStyle w:val="SingleTxtG"/>
        <w:rPr>
          <w:lang w:val="fr-FR"/>
        </w:rPr>
      </w:pPr>
      <w:r w:rsidRPr="00A176EA">
        <w:rPr>
          <w:lang w:val="fr-FR"/>
        </w:rPr>
        <w:t>367.</w:t>
      </w:r>
      <w:r w:rsidRPr="00A176EA">
        <w:rPr>
          <w:lang w:val="fr-FR"/>
        </w:rPr>
        <w:tab/>
      </w:r>
      <w:r w:rsidR="0099230F">
        <w:rPr>
          <w:lang w:val="fr-FR"/>
        </w:rPr>
        <w:t xml:space="preserve">L’escorte des détenus </w:t>
      </w:r>
      <w:r w:rsidR="009A590B">
        <w:rPr>
          <w:lang w:val="fr-FR"/>
        </w:rPr>
        <w:t>entre l’établissement pénitentiaire et le tribunal</w:t>
      </w:r>
      <w:r w:rsidR="0099230F">
        <w:rPr>
          <w:lang w:val="fr-FR"/>
        </w:rPr>
        <w:t xml:space="preserve">, et </w:t>
      </w:r>
      <w:r w:rsidR="009A590B">
        <w:rPr>
          <w:lang w:val="fr-FR"/>
        </w:rPr>
        <w:t>d’un</w:t>
      </w:r>
      <w:r w:rsidR="0099230F">
        <w:rPr>
          <w:lang w:val="fr-FR"/>
        </w:rPr>
        <w:t xml:space="preserve"> établissement </w:t>
      </w:r>
      <w:r w:rsidR="001A3D6D">
        <w:rPr>
          <w:lang w:val="fr-FR"/>
        </w:rPr>
        <w:t>pénitentiaire</w:t>
      </w:r>
      <w:r w:rsidR="009A590B">
        <w:rPr>
          <w:lang w:val="fr-FR"/>
        </w:rPr>
        <w:t xml:space="preserve"> à un autre</w:t>
      </w:r>
      <w:r w:rsidR="0099230F">
        <w:rPr>
          <w:lang w:val="fr-FR"/>
        </w:rPr>
        <w:t xml:space="preserve"> a été confiée à des entreprises privées. </w:t>
      </w:r>
      <w:r w:rsidR="00423E02" w:rsidRPr="0099230F">
        <w:rPr>
          <w:lang w:val="fr-FR"/>
        </w:rPr>
        <w:t>La loi de 1991 sur la justice pénale</w:t>
      </w:r>
      <w:r w:rsidR="000B562B" w:rsidRPr="0099230F">
        <w:rPr>
          <w:lang w:val="fr-FR"/>
        </w:rPr>
        <w:t xml:space="preserve">, </w:t>
      </w:r>
      <w:r w:rsidR="00423E02" w:rsidRPr="0099230F">
        <w:rPr>
          <w:lang w:val="fr-FR"/>
        </w:rPr>
        <w:t>telle que modifiée par la loi de 1994 sur la justice pénale et l’ordre public</w:t>
      </w:r>
      <w:r w:rsidR="000B562B" w:rsidRPr="0099230F">
        <w:rPr>
          <w:lang w:val="fr-FR"/>
        </w:rPr>
        <w:t>,</w:t>
      </w:r>
      <w:r w:rsidR="000B562B" w:rsidRPr="00A176EA">
        <w:rPr>
          <w:lang w:val="fr-FR"/>
        </w:rPr>
        <w:t xml:space="preserve"> </w:t>
      </w:r>
      <w:r w:rsidR="00026E8C">
        <w:rPr>
          <w:lang w:val="fr-FR"/>
        </w:rPr>
        <w:t>exige</w:t>
      </w:r>
      <w:r w:rsidR="0099230F">
        <w:rPr>
          <w:lang w:val="fr-FR"/>
        </w:rPr>
        <w:t xml:space="preserve"> que tous les contrats d’escorte so</w:t>
      </w:r>
      <w:r w:rsidR="00026E8C">
        <w:rPr>
          <w:lang w:val="fr-FR"/>
        </w:rPr>
        <w:t>ie</w:t>
      </w:r>
      <w:r w:rsidR="0099230F">
        <w:rPr>
          <w:lang w:val="fr-FR"/>
        </w:rPr>
        <w:t xml:space="preserve">nt supervisés par un fonctionnaire de la Couronne. Il s’agit </w:t>
      </w:r>
      <w:r w:rsidR="00026E8C">
        <w:rPr>
          <w:lang w:val="fr-FR"/>
        </w:rPr>
        <w:t xml:space="preserve">par là </w:t>
      </w:r>
      <w:r w:rsidR="0099230F">
        <w:rPr>
          <w:lang w:val="fr-FR"/>
        </w:rPr>
        <w:t xml:space="preserve">de protéger les détenus et de </w:t>
      </w:r>
      <w:r w:rsidR="00026E8C">
        <w:rPr>
          <w:lang w:val="fr-FR"/>
        </w:rPr>
        <w:t>garantir le respect</w:t>
      </w:r>
      <w:r w:rsidR="0099230F">
        <w:rPr>
          <w:lang w:val="fr-FR"/>
        </w:rPr>
        <w:t xml:space="preserve"> </w:t>
      </w:r>
      <w:r w:rsidR="00026E8C">
        <w:rPr>
          <w:lang w:val="fr-FR"/>
        </w:rPr>
        <w:t>d</w:t>
      </w:r>
      <w:r w:rsidR="0099230F">
        <w:rPr>
          <w:lang w:val="fr-FR"/>
        </w:rPr>
        <w:t xml:space="preserve">es normes de prise en charge, mais aussi de vérifier </w:t>
      </w:r>
      <w:r w:rsidR="00026E8C">
        <w:rPr>
          <w:lang w:val="fr-FR"/>
        </w:rPr>
        <w:t>la rentabilité du service</w:t>
      </w:r>
      <w:r w:rsidR="0099230F">
        <w:rPr>
          <w:lang w:val="fr-FR"/>
        </w:rPr>
        <w:t xml:space="preserve"> et le respect des termes du contrat. Le responsable des escortes  </w:t>
      </w:r>
      <w:r w:rsidR="00026E8C" w:rsidRPr="00026E8C">
        <w:rPr>
          <w:lang w:val="fr-FR"/>
        </w:rPr>
        <w:t>examinera toute allégation formulée par les détenus au sujet d'actes quelconques commis par l'entreprise privée ou par un membre de son personnel</w:t>
      </w:r>
      <w:r w:rsidR="00026E8C">
        <w:rPr>
          <w:lang w:val="fr-FR"/>
        </w:rPr>
        <w:t xml:space="preserve">. </w:t>
      </w:r>
      <w:r w:rsidR="00026E8C" w:rsidRPr="00026E8C">
        <w:rPr>
          <w:lang w:val="fr-FR"/>
        </w:rPr>
        <w:t>En outre, des bénévoles appartenant au grand public (observateurs non professionnels) sont nommés en vertu de la loi et chargés de procéder à des inspections et de faire rapport sur les conditions dans lesquelles les détenus sont transportés et gardés. Un groupe d'observateurs non professionnels de ce type est chargé du contrôle de chaque trajet et fait rapport tous les ans au ministre</w:t>
      </w:r>
      <w:r w:rsidR="000B562B" w:rsidRPr="00A176EA">
        <w:rPr>
          <w:lang w:val="fr-FR"/>
        </w:rPr>
        <w:t>.</w:t>
      </w:r>
    </w:p>
    <w:p w:rsidR="000B562B" w:rsidRPr="00A176EA" w:rsidRDefault="00FD2CE1" w:rsidP="0074254F">
      <w:pPr>
        <w:pStyle w:val="H23G"/>
        <w:rPr>
          <w:lang w:val="fr-FR"/>
        </w:rPr>
      </w:pPr>
      <w:r w:rsidRPr="00AB2A28">
        <w:rPr>
          <w:lang w:val="fr-FR"/>
        </w:rPr>
        <w:t>Écosse</w:t>
      </w:r>
    </w:p>
    <w:p w:rsidR="000B562B" w:rsidRPr="00A176EA" w:rsidRDefault="002549A9" w:rsidP="00E86D5B">
      <w:pPr>
        <w:pStyle w:val="SingleTxtG"/>
        <w:rPr>
          <w:lang w:val="fr-FR"/>
        </w:rPr>
      </w:pPr>
      <w:r w:rsidRPr="00A176EA">
        <w:rPr>
          <w:lang w:val="fr-FR"/>
        </w:rPr>
        <w:t>368.</w:t>
      </w:r>
      <w:r w:rsidRPr="00A176EA">
        <w:rPr>
          <w:lang w:val="fr-FR"/>
        </w:rPr>
        <w:tab/>
      </w:r>
      <w:r w:rsidR="00946B72" w:rsidRPr="00946B72">
        <w:rPr>
          <w:lang w:val="fr-FR"/>
        </w:rPr>
        <w:t>L’Écosse</w:t>
      </w:r>
      <w:r w:rsidR="00946B72">
        <w:rPr>
          <w:lang w:val="fr-FR"/>
        </w:rPr>
        <w:t xml:space="preserve"> compte deux établissements pénitentiaires privés. L</w:t>
      </w:r>
      <w:r w:rsidR="00185FFB">
        <w:rPr>
          <w:lang w:val="fr-FR"/>
        </w:rPr>
        <w:t>e</w:t>
      </w:r>
      <w:r w:rsidR="00946B72">
        <w:rPr>
          <w:lang w:val="fr-FR"/>
        </w:rPr>
        <w:t xml:space="preserve"> premi</w:t>
      </w:r>
      <w:r w:rsidR="00185FFB">
        <w:rPr>
          <w:lang w:val="fr-FR"/>
        </w:rPr>
        <w:t>er</w:t>
      </w:r>
      <w:r w:rsidR="00946B72">
        <w:rPr>
          <w:lang w:val="fr-FR"/>
        </w:rPr>
        <w:t>, Kilmarnock, a ouvert ses portes en 1999, suivi d’Addiewell en 2008. Chacun est dirigé par un Directeur employé du sous-traitant. L’Administration pénitentiaire écossaise est représentée par un Contrôleur et un Contr</w:t>
      </w:r>
      <w:r w:rsidR="0067398A">
        <w:rPr>
          <w:lang w:val="fr-FR"/>
        </w:rPr>
        <w:t xml:space="preserve">ôleur adjoint, qui s’y trouvent en permanence. Ils contrôlent le respect du contrat et </w:t>
      </w:r>
      <w:r w:rsidR="001A3D6D">
        <w:rPr>
          <w:lang w:val="fr-FR"/>
        </w:rPr>
        <w:t>remplissent</w:t>
      </w:r>
      <w:r w:rsidR="0067398A">
        <w:rPr>
          <w:lang w:val="fr-FR"/>
        </w:rPr>
        <w:t xml:space="preserve"> les fonctions </w:t>
      </w:r>
      <w:r w:rsidR="0067398A" w:rsidRPr="00035EC4">
        <w:rPr>
          <w:lang w:val="fr-FR"/>
        </w:rPr>
        <w:t>réservées aux Ministres écossais</w:t>
      </w:r>
      <w:r w:rsidR="000B562B" w:rsidRPr="00A176EA">
        <w:rPr>
          <w:lang w:val="fr-FR"/>
        </w:rPr>
        <w:t>.</w:t>
      </w:r>
    </w:p>
    <w:p w:rsidR="000B562B" w:rsidRPr="00A176EA" w:rsidRDefault="002549A9" w:rsidP="00E86D5B">
      <w:pPr>
        <w:pStyle w:val="SingleTxtG"/>
        <w:rPr>
          <w:lang w:val="fr-FR"/>
        </w:rPr>
      </w:pPr>
      <w:r w:rsidRPr="00A176EA">
        <w:rPr>
          <w:lang w:val="fr-FR"/>
        </w:rPr>
        <w:t>369.</w:t>
      </w:r>
      <w:r w:rsidRPr="00A176EA">
        <w:rPr>
          <w:lang w:val="fr-FR"/>
        </w:rPr>
        <w:tab/>
      </w:r>
      <w:r w:rsidR="00E86D5B">
        <w:rPr>
          <w:lang w:val="fr-FR"/>
        </w:rPr>
        <w:t>En avril</w:t>
      </w:r>
      <w:r w:rsidR="000B562B" w:rsidRPr="00A176EA">
        <w:rPr>
          <w:lang w:val="fr-FR"/>
        </w:rPr>
        <w:t xml:space="preserve"> 2004</w:t>
      </w:r>
      <w:r w:rsidR="00E86D5B">
        <w:rPr>
          <w:lang w:val="fr-FR"/>
        </w:rPr>
        <w:t xml:space="preserve">, l’escorte des détenus </w:t>
      </w:r>
      <w:r w:rsidR="0085015A">
        <w:rPr>
          <w:lang w:val="fr-FR"/>
        </w:rPr>
        <w:t>entre l</w:t>
      </w:r>
      <w:r w:rsidR="00E86D5B">
        <w:rPr>
          <w:lang w:val="fr-FR"/>
        </w:rPr>
        <w:t xml:space="preserve">es cellules de police et </w:t>
      </w:r>
      <w:r w:rsidR="0085015A">
        <w:rPr>
          <w:lang w:val="fr-FR"/>
        </w:rPr>
        <w:t>l</w:t>
      </w:r>
      <w:r w:rsidR="00E86D5B">
        <w:rPr>
          <w:lang w:val="fr-FR"/>
        </w:rPr>
        <w:t xml:space="preserve">es prisons </w:t>
      </w:r>
      <w:r w:rsidR="0085015A">
        <w:rPr>
          <w:lang w:val="fr-FR"/>
        </w:rPr>
        <w:t xml:space="preserve">et </w:t>
      </w:r>
      <w:r w:rsidR="00E86D5B">
        <w:rPr>
          <w:lang w:val="fr-FR"/>
        </w:rPr>
        <w:t>tribuna</w:t>
      </w:r>
      <w:r w:rsidR="0085015A">
        <w:rPr>
          <w:lang w:val="fr-FR"/>
        </w:rPr>
        <w:t>ux</w:t>
      </w:r>
      <w:r w:rsidR="00E86D5B">
        <w:rPr>
          <w:lang w:val="fr-FR"/>
        </w:rPr>
        <w:t xml:space="preserve"> a été confiée à la société  </w:t>
      </w:r>
      <w:r w:rsidR="000B562B" w:rsidRPr="00A176EA">
        <w:rPr>
          <w:lang w:val="fr-FR"/>
        </w:rPr>
        <w:t>Reliance Custodial Services.</w:t>
      </w:r>
    </w:p>
    <w:p w:rsidR="000B562B" w:rsidRPr="00A176EA" w:rsidRDefault="002549A9" w:rsidP="00A60C02">
      <w:pPr>
        <w:pStyle w:val="SingleTxtG"/>
        <w:rPr>
          <w:lang w:val="fr-FR"/>
        </w:rPr>
      </w:pPr>
      <w:r w:rsidRPr="00A176EA">
        <w:rPr>
          <w:lang w:val="fr-FR"/>
        </w:rPr>
        <w:t>370.</w:t>
      </w:r>
      <w:r w:rsidRPr="00A176EA">
        <w:rPr>
          <w:lang w:val="fr-FR"/>
        </w:rPr>
        <w:tab/>
      </w:r>
      <w:r w:rsidR="00FB4DA0">
        <w:rPr>
          <w:lang w:val="fr-FR"/>
        </w:rPr>
        <w:t xml:space="preserve">S’agissant des liaisons par circuit de télévision fermé, rien n’a changé. Il a été officiellement mis en place, en vertu de l’article 80 de la loi de 2003 sur la justice pénale (Écosse) entrée en vigueur en juin 2003, une formule consistant à organiser certaines comparutions au moyen d’un circuit de télévision fermé entre établissements pénitentiaires et tribunaux. </w:t>
      </w:r>
      <w:r w:rsidR="00A60C02">
        <w:rPr>
          <w:lang w:val="fr-FR"/>
        </w:rPr>
        <w:t>La</w:t>
      </w:r>
      <w:r w:rsidR="00FB4DA0">
        <w:rPr>
          <w:lang w:val="fr-FR"/>
        </w:rPr>
        <w:t xml:space="preserve"> liaison entre la prison Barlinnie et </w:t>
      </w:r>
      <w:r w:rsidR="000B0B40">
        <w:rPr>
          <w:lang w:val="fr-FR"/>
        </w:rPr>
        <w:t>le Tribunal</w:t>
      </w:r>
      <w:r w:rsidR="00FB4DA0">
        <w:rPr>
          <w:lang w:val="fr-FR"/>
        </w:rPr>
        <w:t xml:space="preserve"> de </w:t>
      </w:r>
      <w:r w:rsidR="000B43D6">
        <w:rPr>
          <w:lang w:val="fr-FR"/>
        </w:rPr>
        <w:t>s</w:t>
      </w:r>
      <w:r w:rsidR="00351678">
        <w:rPr>
          <w:lang w:val="fr-FR"/>
        </w:rPr>
        <w:t>hérif</w:t>
      </w:r>
      <w:r w:rsidR="00FB4DA0">
        <w:rPr>
          <w:lang w:val="fr-FR"/>
        </w:rPr>
        <w:t xml:space="preserve"> de Glasgow a été testée avec succès avec les </w:t>
      </w:r>
      <w:r w:rsidR="000B0B40">
        <w:rPr>
          <w:lang w:val="fr-FR"/>
        </w:rPr>
        <w:t>Tribunaux</w:t>
      </w:r>
      <w:r w:rsidR="00FB4DA0">
        <w:rPr>
          <w:lang w:val="fr-FR"/>
        </w:rPr>
        <w:t xml:space="preserve"> de </w:t>
      </w:r>
      <w:r w:rsidR="000B43D6">
        <w:rPr>
          <w:lang w:val="fr-FR"/>
        </w:rPr>
        <w:t>s</w:t>
      </w:r>
      <w:r w:rsidR="00351678">
        <w:rPr>
          <w:lang w:val="fr-FR"/>
        </w:rPr>
        <w:t>hérif</w:t>
      </w:r>
      <w:r w:rsidR="00FB4DA0">
        <w:rPr>
          <w:lang w:val="fr-FR"/>
        </w:rPr>
        <w:t xml:space="preserve"> d’Airdrie, d’Hamilton et de Paisley, </w:t>
      </w:r>
      <w:r w:rsidR="00A60C02">
        <w:rPr>
          <w:lang w:val="fr-FR"/>
        </w:rPr>
        <w:t>et fonctionne depuis l’automne</w:t>
      </w:r>
      <w:r w:rsidR="000B562B" w:rsidRPr="00A176EA">
        <w:rPr>
          <w:lang w:val="fr-FR"/>
        </w:rPr>
        <w:t xml:space="preserve"> 2004.</w:t>
      </w:r>
    </w:p>
    <w:p w:rsidR="000B562B" w:rsidRPr="00A176EA" w:rsidRDefault="008F3DA4" w:rsidP="0074254F">
      <w:pPr>
        <w:pStyle w:val="H23G"/>
        <w:rPr>
          <w:lang w:val="fr-FR"/>
        </w:rPr>
      </w:pPr>
      <w:r w:rsidRPr="00A60C02">
        <w:rPr>
          <w:lang w:val="fr-FR"/>
        </w:rPr>
        <w:t>Irlande du Nord</w:t>
      </w:r>
    </w:p>
    <w:p w:rsidR="000B562B" w:rsidRPr="00A176EA" w:rsidRDefault="002549A9" w:rsidP="00E3167C">
      <w:pPr>
        <w:pStyle w:val="SingleTxtG"/>
        <w:rPr>
          <w:lang w:val="fr-FR"/>
        </w:rPr>
      </w:pPr>
      <w:r w:rsidRPr="00A176EA">
        <w:rPr>
          <w:lang w:val="fr-FR"/>
        </w:rPr>
        <w:t>371.</w:t>
      </w:r>
      <w:r w:rsidRPr="00A176EA">
        <w:rPr>
          <w:lang w:val="fr-FR"/>
        </w:rPr>
        <w:tab/>
      </w:r>
      <w:r w:rsidR="008C50A9">
        <w:rPr>
          <w:lang w:val="fr-FR"/>
        </w:rPr>
        <w:t xml:space="preserve">De 2004 à février 2007, une entreprise privée s’occupait de la surveillance des détenus dans les </w:t>
      </w:r>
      <w:r w:rsidR="00000CC2">
        <w:rPr>
          <w:snapToGrid w:val="0"/>
          <w:lang w:val="fr-FR"/>
        </w:rPr>
        <w:t>Tribunaux d’instance</w:t>
      </w:r>
      <w:r w:rsidR="00000CC2" w:rsidRPr="00C77A8D">
        <w:rPr>
          <w:lang w:val="fr-FR"/>
        </w:rPr>
        <w:t xml:space="preserve"> </w:t>
      </w:r>
      <w:r w:rsidR="008C50A9">
        <w:rPr>
          <w:lang w:val="fr-FR"/>
        </w:rPr>
        <w:t xml:space="preserve">et du transport </w:t>
      </w:r>
      <w:r w:rsidR="00B76ECB">
        <w:rPr>
          <w:lang w:val="fr-FR"/>
        </w:rPr>
        <w:t xml:space="preserve">entre ces tribunaux et une prison </w:t>
      </w:r>
      <w:r w:rsidR="008C50A9">
        <w:rPr>
          <w:lang w:val="fr-FR"/>
        </w:rPr>
        <w:t>de</w:t>
      </w:r>
      <w:r w:rsidR="00B76ECB">
        <w:rPr>
          <w:lang w:val="fr-FR"/>
        </w:rPr>
        <w:t xml:space="preserve"> quelque</w:t>
      </w:r>
      <w:r w:rsidR="008C50A9">
        <w:rPr>
          <w:lang w:val="fr-FR"/>
        </w:rPr>
        <w:t xml:space="preserve">s </w:t>
      </w:r>
      <w:r w:rsidR="00B76ECB">
        <w:rPr>
          <w:lang w:val="fr-FR"/>
        </w:rPr>
        <w:t xml:space="preserve">personnes condamnées pour la première fois. La garde des détenus dans les </w:t>
      </w:r>
      <w:r w:rsidR="00351678">
        <w:rPr>
          <w:lang w:val="fr-FR"/>
        </w:rPr>
        <w:t>Cours</w:t>
      </w:r>
      <w:r w:rsidR="00B76ECB">
        <w:rPr>
          <w:lang w:val="fr-FR"/>
        </w:rPr>
        <w:t xml:space="preserve"> de la Couronne et le déplacement de tous les autres détenus </w:t>
      </w:r>
      <w:r w:rsidR="002F0B1A">
        <w:rPr>
          <w:lang w:val="fr-FR"/>
        </w:rPr>
        <w:t>étaient</w:t>
      </w:r>
      <w:r w:rsidR="00B76ECB">
        <w:rPr>
          <w:lang w:val="fr-FR"/>
        </w:rPr>
        <w:t xml:space="preserve"> sous la responsabilité du Groupe d’escorte des détenus composé de surveillants pénitentiaires. Le 5 février 2007, la création du Service d’escorte et de </w:t>
      </w:r>
      <w:r w:rsidR="002F0B1A">
        <w:rPr>
          <w:lang w:val="fr-FR"/>
        </w:rPr>
        <w:t>garde dans les tribunaux a fait fusionner les deux dispositifs en une seule organisation interne à l’Administration pénitentiaire. Pour la première fois, l’Irlande du Nord dispose donc d’un service pleinement intégré d’escorte et de garde dans les tribunaux qui relève d’une seule structure de gestion</w:t>
      </w:r>
      <w:r w:rsidR="000B562B" w:rsidRPr="00A176EA">
        <w:rPr>
          <w:lang w:val="fr-FR"/>
        </w:rPr>
        <w:t xml:space="preserve">. </w:t>
      </w:r>
      <w:r w:rsidR="00CF554F">
        <w:rPr>
          <w:lang w:val="fr-FR"/>
        </w:rPr>
        <w:t xml:space="preserve">Ce Service est en majorité composé de personnel pénitentiaire. Le Service a été inspecté récemment par l’Inspection de la justice pénale </w:t>
      </w:r>
      <w:r w:rsidR="00CF554F" w:rsidRPr="00CF554F">
        <w:rPr>
          <w:lang w:val="fr-FR"/>
        </w:rPr>
        <w:t>d’</w:t>
      </w:r>
      <w:r w:rsidR="008F3DA4" w:rsidRPr="00CF554F">
        <w:rPr>
          <w:lang w:val="fr-FR"/>
        </w:rPr>
        <w:t>Irlande du Nord</w:t>
      </w:r>
      <w:r w:rsidR="00CF554F">
        <w:rPr>
          <w:lang w:val="fr-FR"/>
        </w:rPr>
        <w:t>, qui a publié son rapport le 13 octobre 2010. L’Inspection a recommandé que les services d’escorte des détenus d’Irlande du Nord fasse</w:t>
      </w:r>
      <w:r w:rsidR="009801B6">
        <w:rPr>
          <w:lang w:val="fr-FR"/>
        </w:rPr>
        <w:t>nt</w:t>
      </w:r>
      <w:r w:rsidR="00CF554F">
        <w:rPr>
          <w:lang w:val="fr-FR"/>
        </w:rPr>
        <w:t xml:space="preserve"> l’objet d’un exercice de mise à l’épreuve sur le marché. </w:t>
      </w:r>
      <w:r w:rsidR="00CF554F" w:rsidRPr="00CF554F">
        <w:rPr>
          <w:lang w:val="fr-FR"/>
        </w:rPr>
        <w:t xml:space="preserve">Acceptée par le </w:t>
      </w:r>
      <w:r w:rsidR="001A3D6D" w:rsidRPr="00CF554F">
        <w:rPr>
          <w:lang w:val="fr-FR"/>
        </w:rPr>
        <w:t>Ministre</w:t>
      </w:r>
      <w:r w:rsidR="00CF554F" w:rsidRPr="00CF554F">
        <w:rPr>
          <w:lang w:val="fr-FR"/>
        </w:rPr>
        <w:t xml:space="preserve">, cette recommandation sera mise en œuvre dans le cadre du </w:t>
      </w:r>
      <w:r w:rsidR="00C8119C" w:rsidRPr="00CF554F">
        <w:rPr>
          <w:lang w:val="fr-FR"/>
        </w:rPr>
        <w:t>Programme de réforme du Ministère de la justice</w:t>
      </w:r>
      <w:r w:rsidR="00E3167C">
        <w:rPr>
          <w:rStyle w:val="FootnoteReference"/>
        </w:rPr>
        <w:footnoteReference w:id="48"/>
      </w:r>
      <w:r w:rsidR="00C8119C" w:rsidRPr="00CF554F">
        <w:rPr>
          <w:lang w:val="fr-FR"/>
        </w:rPr>
        <w:t>.</w:t>
      </w:r>
    </w:p>
    <w:p w:rsidR="000B562B" w:rsidRPr="00A176EA" w:rsidRDefault="006A0623" w:rsidP="00E5308B">
      <w:pPr>
        <w:pStyle w:val="H23G"/>
        <w:rPr>
          <w:lang w:val="fr-FR"/>
        </w:rPr>
      </w:pPr>
      <w:bookmarkStart w:id="45" w:name="_Toc299724730"/>
      <w:r w:rsidRPr="00CF554F">
        <w:rPr>
          <w:lang w:val="fr-FR"/>
        </w:rPr>
        <w:t xml:space="preserve">Service de contrôle des frontières du Royaume-Uni </w:t>
      </w:r>
      <w:bookmarkEnd w:id="45"/>
    </w:p>
    <w:p w:rsidR="000B562B" w:rsidRPr="00A176EA" w:rsidRDefault="002549A9" w:rsidP="000C33DC">
      <w:pPr>
        <w:pStyle w:val="SingleTxtG"/>
        <w:rPr>
          <w:lang w:val="fr-FR"/>
        </w:rPr>
      </w:pPr>
      <w:r w:rsidRPr="00A176EA">
        <w:rPr>
          <w:lang w:val="fr-FR"/>
        </w:rPr>
        <w:t>372.</w:t>
      </w:r>
      <w:r w:rsidRPr="00A176EA">
        <w:rPr>
          <w:lang w:val="fr-FR"/>
        </w:rPr>
        <w:tab/>
      </w:r>
      <w:r w:rsidR="00184451">
        <w:rPr>
          <w:lang w:val="fr-FR"/>
        </w:rPr>
        <w:t xml:space="preserve">Les fonctionnaires des services d’immigration auxquels est spécifiquement conféré le pouvoir de a) arrêter, auditionner et fouiller une personne ou en relever les empreintes digitales, b) </w:t>
      </w:r>
      <w:r w:rsidR="0075448C">
        <w:rPr>
          <w:lang w:val="fr-FR"/>
        </w:rPr>
        <w:t>pénétrer dans des locaux et les perquisitionner ou c) saisir des biens trouvés sur une personne ou dans des locaux</w:t>
      </w:r>
      <w:r w:rsidR="00993E76">
        <w:rPr>
          <w:lang w:val="fr-FR"/>
        </w:rPr>
        <w:t>,</w:t>
      </w:r>
      <w:r w:rsidR="0075448C">
        <w:rPr>
          <w:lang w:val="fr-FR"/>
        </w:rPr>
        <w:t xml:space="preserve"> doivent tenir dûment compte de la loi de 1984 sur la police et les preuves pénales. Cette condition figure au paragraphe 145 de la loi de 1999 sur l’immigration et l’asile</w:t>
      </w:r>
      <w:r w:rsidR="000B562B" w:rsidRPr="00A176EA">
        <w:rPr>
          <w:lang w:val="fr-FR"/>
        </w:rPr>
        <w:t>.</w:t>
      </w:r>
    </w:p>
    <w:p w:rsidR="000B562B" w:rsidRPr="00A176EA" w:rsidRDefault="002549A9" w:rsidP="00186686">
      <w:pPr>
        <w:pStyle w:val="SingleTxtG"/>
        <w:rPr>
          <w:lang w:val="fr-FR"/>
        </w:rPr>
      </w:pPr>
      <w:r w:rsidRPr="00A176EA">
        <w:rPr>
          <w:lang w:val="fr-FR"/>
        </w:rPr>
        <w:t>373.</w:t>
      </w:r>
      <w:r w:rsidRPr="00A176EA">
        <w:rPr>
          <w:lang w:val="fr-FR"/>
        </w:rPr>
        <w:tab/>
      </w:r>
      <w:r w:rsidR="000C33DC">
        <w:rPr>
          <w:lang w:val="fr-FR"/>
        </w:rPr>
        <w:t xml:space="preserve">Les orientations données aux fonctionnaires de l’immigration concernant la loi sur la police et les preuves pénales sont énoncées au chapitre 37 des Instructions et directives de mise en </w:t>
      </w:r>
      <w:r w:rsidR="001A3D6D">
        <w:rPr>
          <w:lang w:val="fr-FR"/>
        </w:rPr>
        <w:t>œuvre</w:t>
      </w:r>
      <w:r w:rsidR="00186686">
        <w:rPr>
          <w:rStyle w:val="FootnoteReference"/>
        </w:rPr>
        <w:footnoteReference w:id="49"/>
      </w:r>
      <w:r w:rsidR="00FA1FE6">
        <w:rPr>
          <w:lang w:val="fr-FR"/>
        </w:rPr>
        <w:t>.</w:t>
      </w:r>
    </w:p>
    <w:p w:rsidR="000B562B" w:rsidRPr="00A176EA" w:rsidRDefault="002549A9" w:rsidP="004D5C6A">
      <w:pPr>
        <w:pStyle w:val="SingleTxtG"/>
        <w:rPr>
          <w:lang w:val="fr-FR"/>
        </w:rPr>
      </w:pPr>
      <w:r w:rsidRPr="00A176EA">
        <w:rPr>
          <w:lang w:val="fr-FR"/>
        </w:rPr>
        <w:t>374.</w:t>
      </w:r>
      <w:r w:rsidRPr="00A176EA">
        <w:rPr>
          <w:lang w:val="fr-FR"/>
        </w:rPr>
        <w:tab/>
      </w:r>
      <w:r w:rsidR="00DF3182">
        <w:rPr>
          <w:lang w:val="fr-FR"/>
        </w:rPr>
        <w:t xml:space="preserve">La politique du Service de contrôle des frontières est de traiter tous les détenus avec dignité et respect. </w:t>
      </w:r>
      <w:r w:rsidR="00183FFD">
        <w:rPr>
          <w:lang w:val="fr-FR"/>
        </w:rPr>
        <w:t>La</w:t>
      </w:r>
      <w:r w:rsidR="00DF3182">
        <w:rPr>
          <w:lang w:val="fr-FR"/>
        </w:rPr>
        <w:t xml:space="preserve"> réglementation et </w:t>
      </w:r>
      <w:r w:rsidR="00183FFD">
        <w:rPr>
          <w:lang w:val="fr-FR"/>
        </w:rPr>
        <w:t>la</w:t>
      </w:r>
      <w:r w:rsidR="00DF3182">
        <w:rPr>
          <w:lang w:val="fr-FR"/>
        </w:rPr>
        <w:t xml:space="preserve"> gestion des Centres de rétention des services d’immigration sont établies dans les Règles </w:t>
      </w:r>
      <w:r w:rsidR="00F76AE0">
        <w:rPr>
          <w:lang w:val="fr-FR"/>
        </w:rPr>
        <w:t>relatives aux</w:t>
      </w:r>
      <w:r w:rsidR="00183FFD">
        <w:rPr>
          <w:lang w:val="fr-FR"/>
        </w:rPr>
        <w:t xml:space="preserve"> centres de </w:t>
      </w:r>
      <w:r w:rsidR="00941026">
        <w:rPr>
          <w:lang w:val="fr-FR"/>
        </w:rPr>
        <w:t>r</w:t>
      </w:r>
      <w:r w:rsidR="00183FFD">
        <w:rPr>
          <w:lang w:val="fr-FR"/>
        </w:rPr>
        <w:t xml:space="preserve">étention de 2001. Les Centres de rétention garantissent un hébergement </w:t>
      </w:r>
      <w:r w:rsidR="004D5C6A">
        <w:rPr>
          <w:lang w:val="fr-FR"/>
        </w:rPr>
        <w:t>sécurisé mais humain des personnes retenues</w:t>
      </w:r>
      <w:r w:rsidR="00183FFD">
        <w:rPr>
          <w:lang w:val="fr-FR"/>
        </w:rPr>
        <w:t xml:space="preserve"> </w:t>
      </w:r>
      <w:r w:rsidR="004D5C6A">
        <w:rPr>
          <w:lang w:val="fr-FR"/>
        </w:rPr>
        <w:t>et un régime souple où la liberté de circulation et d’association n’est limitée que par la nécessité de maintenir la sûreté et la sécurité</w:t>
      </w:r>
      <w:r w:rsidR="000B562B" w:rsidRPr="00A176EA">
        <w:rPr>
          <w:lang w:val="fr-FR"/>
        </w:rPr>
        <w:t>.</w:t>
      </w:r>
    </w:p>
    <w:p w:rsidR="000B562B" w:rsidRPr="00A176EA" w:rsidRDefault="002549A9" w:rsidP="004D5C6A">
      <w:pPr>
        <w:pStyle w:val="SingleTxtG"/>
        <w:rPr>
          <w:lang w:val="fr-FR"/>
        </w:rPr>
      </w:pPr>
      <w:r w:rsidRPr="00A176EA">
        <w:rPr>
          <w:lang w:val="fr-FR"/>
        </w:rPr>
        <w:t>375.</w:t>
      </w:r>
      <w:r w:rsidRPr="00A176EA">
        <w:rPr>
          <w:lang w:val="fr-FR"/>
        </w:rPr>
        <w:tab/>
      </w:r>
      <w:r w:rsidR="004D5C6A">
        <w:rPr>
          <w:lang w:val="fr-FR"/>
        </w:rPr>
        <w:t xml:space="preserve">Les critères minima vérifiables régissant tous les aspects de la vie en centre de rétention sont </w:t>
      </w:r>
      <w:r w:rsidR="00E110DE">
        <w:rPr>
          <w:lang w:val="fr-FR"/>
        </w:rPr>
        <w:t>définis</w:t>
      </w:r>
      <w:r w:rsidR="004D5C6A">
        <w:rPr>
          <w:lang w:val="fr-FR"/>
        </w:rPr>
        <w:t xml:space="preserve"> dans un ensemble complet de normes opérationnelles sur lesquelles s’appuient les Règles prévues par la loi</w:t>
      </w:r>
      <w:r w:rsidR="000B562B" w:rsidRPr="00A176EA">
        <w:rPr>
          <w:lang w:val="fr-FR"/>
        </w:rPr>
        <w:t>.</w:t>
      </w:r>
    </w:p>
    <w:p w:rsidR="000B562B" w:rsidRPr="00A176EA" w:rsidRDefault="002549A9" w:rsidP="00E5308B">
      <w:pPr>
        <w:pStyle w:val="SingleTxtG"/>
        <w:rPr>
          <w:lang w:val="fr-FR"/>
        </w:rPr>
      </w:pPr>
      <w:r w:rsidRPr="00A176EA">
        <w:rPr>
          <w:lang w:val="fr-FR"/>
        </w:rPr>
        <w:t>376.</w:t>
      </w:r>
      <w:r w:rsidRPr="00A176EA">
        <w:rPr>
          <w:lang w:val="fr-FR"/>
        </w:rPr>
        <w:tab/>
      </w:r>
      <w:r w:rsidR="00E110DE">
        <w:rPr>
          <w:lang w:val="fr-FR"/>
        </w:rPr>
        <w:t xml:space="preserve">Chaque personne placée en rétention subit une évaluation individuelle visant à établir les facteurs spéciaux et les risques les concernant. Des dispositifs sont en place pour garantir la sûreté et la sécurité de toutes les personnes retenues. Cela inclut des stratégies contre les </w:t>
      </w:r>
      <w:r w:rsidR="003D6BAB">
        <w:rPr>
          <w:lang w:val="fr-FR"/>
        </w:rPr>
        <w:t>violences</w:t>
      </w:r>
      <w:r w:rsidR="00E110DE">
        <w:rPr>
          <w:lang w:val="fr-FR"/>
        </w:rPr>
        <w:t xml:space="preserve"> et </w:t>
      </w:r>
      <w:r w:rsidR="00FF20A8">
        <w:rPr>
          <w:lang w:val="fr-FR"/>
        </w:rPr>
        <w:t>un système de planification des soins</w:t>
      </w:r>
      <w:r w:rsidR="00941026">
        <w:rPr>
          <w:lang w:val="fr-FR"/>
        </w:rPr>
        <w:t xml:space="preserve"> (</w:t>
      </w:r>
      <w:r w:rsidR="00FF20A8">
        <w:rPr>
          <w:lang w:val="fr-FR"/>
        </w:rPr>
        <w:t>Évaluation, soins en rétention et travail d’équipe</w:t>
      </w:r>
      <w:r w:rsidR="00941026">
        <w:rPr>
          <w:lang w:val="fr-FR"/>
        </w:rPr>
        <w:t>)</w:t>
      </w:r>
      <w:r w:rsidR="00FF20A8">
        <w:rPr>
          <w:lang w:val="fr-FR"/>
        </w:rPr>
        <w:t xml:space="preserve"> selon lequel des personnels de toutes les disciplines travaillent ensemble pour créer un environnement sûr et protecteur</w:t>
      </w:r>
      <w:r w:rsidR="00941026">
        <w:rPr>
          <w:lang w:val="fr-FR"/>
        </w:rPr>
        <w:t>,</w:t>
      </w:r>
      <w:r w:rsidR="00FF20A8">
        <w:rPr>
          <w:lang w:val="fr-FR"/>
        </w:rPr>
        <w:t xml:space="preserve"> et fournir des soins individualisés</w:t>
      </w:r>
      <w:r w:rsidR="000B562B" w:rsidRPr="00A176EA">
        <w:rPr>
          <w:lang w:val="fr-FR"/>
        </w:rPr>
        <w:t>.</w:t>
      </w:r>
    </w:p>
    <w:p w:rsidR="000B562B" w:rsidRPr="00A176EA" w:rsidRDefault="002549A9" w:rsidP="00FF20A8">
      <w:pPr>
        <w:pStyle w:val="SingleTxtG"/>
        <w:rPr>
          <w:lang w:val="fr-FR"/>
        </w:rPr>
      </w:pPr>
      <w:r w:rsidRPr="00A176EA">
        <w:rPr>
          <w:lang w:val="fr-FR"/>
        </w:rPr>
        <w:t>377.</w:t>
      </w:r>
      <w:r w:rsidRPr="00A176EA">
        <w:rPr>
          <w:lang w:val="fr-FR"/>
        </w:rPr>
        <w:tab/>
      </w:r>
      <w:r w:rsidR="00FF20A8">
        <w:rPr>
          <w:lang w:val="fr-FR"/>
        </w:rPr>
        <w:t xml:space="preserve">Des </w:t>
      </w:r>
      <w:r w:rsidR="00FF20A8" w:rsidRPr="00E75578">
        <w:rPr>
          <w:lang w:val="fr-FR"/>
        </w:rPr>
        <w:t>Comités de surveillance indépendants</w:t>
      </w:r>
      <w:r w:rsidR="00FF20A8">
        <w:rPr>
          <w:lang w:val="fr-FR"/>
        </w:rPr>
        <w:t xml:space="preserve"> sont désignés dans chaque centre, dont les membres font régulièrement rapport au Ministre de l’intérieur </w:t>
      </w:r>
      <w:r w:rsidR="00941026">
        <w:rPr>
          <w:lang w:val="fr-FR"/>
        </w:rPr>
        <w:t>sur</w:t>
      </w:r>
      <w:r w:rsidR="00FF20A8">
        <w:rPr>
          <w:lang w:val="fr-FR"/>
        </w:rPr>
        <w:t xml:space="preserve"> l’état des locaux, l’administration du centre et le traitement des personnes retenues</w:t>
      </w:r>
      <w:r w:rsidR="000B562B" w:rsidRPr="00A176EA">
        <w:rPr>
          <w:lang w:val="fr-FR"/>
        </w:rPr>
        <w:t>.</w:t>
      </w:r>
    </w:p>
    <w:p w:rsidR="000B562B" w:rsidRPr="00A176EA" w:rsidRDefault="002549A9" w:rsidP="001945B8">
      <w:pPr>
        <w:pStyle w:val="SingleTxtG"/>
        <w:rPr>
          <w:lang w:val="fr-FR"/>
        </w:rPr>
      </w:pPr>
      <w:r w:rsidRPr="00A176EA">
        <w:rPr>
          <w:lang w:val="fr-FR"/>
        </w:rPr>
        <w:t>378.</w:t>
      </w:r>
      <w:r w:rsidRPr="00A176EA">
        <w:rPr>
          <w:lang w:val="fr-FR"/>
        </w:rPr>
        <w:tab/>
      </w:r>
      <w:r w:rsidR="00DB6232" w:rsidRPr="00FF20A8">
        <w:rPr>
          <w:snapToGrid w:val="0"/>
          <w:lang w:val="fr-FR"/>
        </w:rPr>
        <w:t>L’Inspection des services pénitentiaires de Sa Majesté</w:t>
      </w:r>
      <w:r w:rsidR="000B562B" w:rsidRPr="00A176EA">
        <w:rPr>
          <w:lang w:val="fr-FR"/>
        </w:rPr>
        <w:t xml:space="preserve"> </w:t>
      </w:r>
      <w:r w:rsidR="001945B8">
        <w:rPr>
          <w:lang w:val="fr-FR"/>
        </w:rPr>
        <w:t>est habilitée par la loi à inspecter les locaux de rétention des services d’immigration et publie des rapports sur ces inspections. Le Service de contrôle des frontières et les responsables des centres examine</w:t>
      </w:r>
      <w:r w:rsidR="00941026">
        <w:rPr>
          <w:lang w:val="fr-FR"/>
        </w:rPr>
        <w:t>nt</w:t>
      </w:r>
      <w:r w:rsidR="001945B8">
        <w:rPr>
          <w:lang w:val="fr-FR"/>
        </w:rPr>
        <w:t xml:space="preserve"> avec soin toute recommandation et y répond</w:t>
      </w:r>
      <w:r w:rsidR="00941026">
        <w:rPr>
          <w:lang w:val="fr-FR"/>
        </w:rPr>
        <w:t>ent</w:t>
      </w:r>
      <w:r w:rsidR="001945B8">
        <w:rPr>
          <w:lang w:val="fr-FR"/>
        </w:rPr>
        <w:t xml:space="preserve"> officiellement au travers de plans d’action</w:t>
      </w:r>
      <w:r w:rsidR="000B562B" w:rsidRPr="00A176EA">
        <w:rPr>
          <w:lang w:val="fr-FR"/>
        </w:rPr>
        <w:t>.</w:t>
      </w:r>
    </w:p>
    <w:p w:rsidR="000B562B" w:rsidRPr="00A176EA" w:rsidRDefault="002549A9" w:rsidP="001945B8">
      <w:pPr>
        <w:pStyle w:val="SingleTxtG"/>
        <w:rPr>
          <w:lang w:val="fr-FR"/>
        </w:rPr>
      </w:pPr>
      <w:r w:rsidRPr="00A176EA">
        <w:rPr>
          <w:lang w:val="fr-FR"/>
        </w:rPr>
        <w:t>379.</w:t>
      </w:r>
      <w:r w:rsidRPr="00A176EA">
        <w:rPr>
          <w:lang w:val="fr-FR"/>
        </w:rPr>
        <w:tab/>
      </w:r>
      <w:r w:rsidR="001945B8" w:rsidRPr="001945B8">
        <w:rPr>
          <w:lang w:val="fr-FR"/>
        </w:rPr>
        <w:t xml:space="preserve">La décision de placer ou non un individu en </w:t>
      </w:r>
      <w:r w:rsidR="001945B8">
        <w:rPr>
          <w:lang w:val="fr-FR"/>
        </w:rPr>
        <w:t>r</w:t>
      </w:r>
      <w:r w:rsidR="001945B8" w:rsidRPr="001945B8">
        <w:rPr>
          <w:lang w:val="fr-FR"/>
        </w:rPr>
        <w:t xml:space="preserve">étention est prise par un fonctionnaire des services d'immigration en vertu des pouvoirs qui lui sont conférés par la loi de 1971 </w:t>
      </w:r>
      <w:r w:rsidR="001945B8">
        <w:rPr>
          <w:lang w:val="fr-FR"/>
        </w:rPr>
        <w:t>sur</w:t>
      </w:r>
      <w:r w:rsidR="001945B8" w:rsidRPr="001945B8">
        <w:rPr>
          <w:lang w:val="fr-FR"/>
        </w:rPr>
        <w:t xml:space="preserve"> l'immigration. Les individus peuvent être placés en détention pendant </w:t>
      </w:r>
      <w:r w:rsidR="001945B8">
        <w:rPr>
          <w:lang w:val="fr-FR"/>
        </w:rPr>
        <w:t>qu’une enquête</w:t>
      </w:r>
      <w:r w:rsidR="001945B8" w:rsidRPr="001945B8">
        <w:rPr>
          <w:lang w:val="fr-FR"/>
        </w:rPr>
        <w:t xml:space="preserve"> est mené</w:t>
      </w:r>
      <w:r w:rsidR="001945B8">
        <w:rPr>
          <w:lang w:val="fr-FR"/>
        </w:rPr>
        <w:t>e</w:t>
      </w:r>
      <w:r w:rsidR="001945B8" w:rsidRPr="001945B8">
        <w:rPr>
          <w:lang w:val="fr-FR"/>
        </w:rPr>
        <w:t xml:space="preserve"> sur leur identité ou sur le bien-fondé de leur demande</w:t>
      </w:r>
      <w:r w:rsidR="001945B8">
        <w:rPr>
          <w:lang w:val="fr-FR"/>
        </w:rPr>
        <w:t>,</w:t>
      </w:r>
      <w:r w:rsidR="001945B8" w:rsidRPr="001945B8">
        <w:rPr>
          <w:lang w:val="fr-FR"/>
        </w:rPr>
        <w:t xml:space="preserve"> pour empêcher qu'ils ne prennent la fuite ou pendant </w:t>
      </w:r>
      <w:r w:rsidR="001945B8">
        <w:rPr>
          <w:lang w:val="fr-FR"/>
        </w:rPr>
        <w:t>les</w:t>
      </w:r>
      <w:r w:rsidR="001945B8" w:rsidRPr="001945B8">
        <w:rPr>
          <w:lang w:val="fr-FR"/>
        </w:rPr>
        <w:t xml:space="preserve"> formalités d'expulsion</w:t>
      </w:r>
      <w:r w:rsidR="000B562B" w:rsidRPr="00A176EA">
        <w:rPr>
          <w:lang w:val="fr-FR"/>
        </w:rPr>
        <w:t>.</w:t>
      </w:r>
    </w:p>
    <w:p w:rsidR="000B562B" w:rsidRPr="00A176EA" w:rsidRDefault="002549A9" w:rsidP="00F175FB">
      <w:pPr>
        <w:pStyle w:val="SingleTxtG"/>
        <w:rPr>
          <w:lang w:val="fr-FR"/>
        </w:rPr>
      </w:pPr>
      <w:r w:rsidRPr="00A176EA">
        <w:rPr>
          <w:lang w:val="fr-FR"/>
        </w:rPr>
        <w:t>380.</w:t>
      </w:r>
      <w:r w:rsidRPr="00A176EA">
        <w:rPr>
          <w:lang w:val="fr-FR"/>
        </w:rPr>
        <w:tab/>
      </w:r>
      <w:r w:rsidR="001945B8">
        <w:rPr>
          <w:lang w:val="fr-FR"/>
        </w:rPr>
        <w:t>Le placement en rétention est réexaminé régulièrement, à savoir, dans la plupart des cas, dans les 28 jours</w:t>
      </w:r>
      <w:r w:rsidR="00FC24A3">
        <w:rPr>
          <w:lang w:val="fr-FR"/>
        </w:rPr>
        <w:t>,</w:t>
      </w:r>
      <w:r w:rsidR="001945B8">
        <w:rPr>
          <w:lang w:val="fr-FR"/>
        </w:rPr>
        <w:t xml:space="preserve"> puis tous les mois par un fonctionnaire du Service de contrôle des frontières occupant un rang </w:t>
      </w:r>
      <w:r w:rsidR="00FC24A3">
        <w:rPr>
          <w:lang w:val="fr-FR"/>
        </w:rPr>
        <w:t>chaque fois</w:t>
      </w:r>
      <w:r w:rsidR="001945B8">
        <w:rPr>
          <w:lang w:val="fr-FR"/>
        </w:rPr>
        <w:t xml:space="preserve"> plus élevé dans la hiérarchie. </w:t>
      </w:r>
      <w:r w:rsidR="00F175FB">
        <w:rPr>
          <w:lang w:val="fr-FR"/>
        </w:rPr>
        <w:t>L’individu</w:t>
      </w:r>
      <w:r w:rsidR="001945B8">
        <w:rPr>
          <w:lang w:val="fr-FR"/>
        </w:rPr>
        <w:t xml:space="preserve"> retenu est avisé tous les mois, par écrit, des motifs </w:t>
      </w:r>
      <w:r w:rsidR="00F175FB">
        <w:rPr>
          <w:lang w:val="fr-FR"/>
        </w:rPr>
        <w:t xml:space="preserve">de la prolongation de </w:t>
      </w:r>
      <w:r w:rsidR="006519E8">
        <w:rPr>
          <w:lang w:val="fr-FR"/>
        </w:rPr>
        <w:t>sa rétention</w:t>
      </w:r>
      <w:r w:rsidR="000B562B" w:rsidRPr="00A176EA">
        <w:rPr>
          <w:lang w:val="fr-FR"/>
        </w:rPr>
        <w:t>.</w:t>
      </w:r>
    </w:p>
    <w:p w:rsidR="000B562B" w:rsidRPr="00A176EA" w:rsidRDefault="002549A9" w:rsidP="006519E8">
      <w:pPr>
        <w:pStyle w:val="SingleTxtG"/>
        <w:rPr>
          <w:lang w:val="fr-FR"/>
        </w:rPr>
      </w:pPr>
      <w:r w:rsidRPr="00A176EA">
        <w:rPr>
          <w:lang w:val="fr-FR"/>
        </w:rPr>
        <w:t>381.</w:t>
      </w:r>
      <w:r w:rsidRPr="00A176EA">
        <w:rPr>
          <w:lang w:val="fr-FR"/>
        </w:rPr>
        <w:tab/>
      </w:r>
      <w:r w:rsidR="00F175FB">
        <w:rPr>
          <w:lang w:val="fr-FR"/>
        </w:rPr>
        <w:t>En janvier</w:t>
      </w:r>
      <w:r w:rsidR="000B562B" w:rsidRPr="00A176EA">
        <w:rPr>
          <w:lang w:val="fr-FR"/>
        </w:rPr>
        <w:t xml:space="preserve"> 2002</w:t>
      </w:r>
      <w:r w:rsidR="00F175FB">
        <w:rPr>
          <w:lang w:val="fr-FR"/>
        </w:rPr>
        <w:t xml:space="preserve">, le Gouvernement a honoré son engagement de ne plus placer d’immigrés en prison. Il a pu le faire en grande partie grâce à l’ouverture de trois nouveaux centres de rétention, à </w:t>
      </w:r>
      <w:r w:rsidR="000B562B" w:rsidRPr="00A176EA">
        <w:rPr>
          <w:lang w:val="fr-FR"/>
        </w:rPr>
        <w:t xml:space="preserve">Dungavel, Harmondsworth </w:t>
      </w:r>
      <w:r w:rsidR="00F175FB">
        <w:rPr>
          <w:lang w:val="fr-FR"/>
        </w:rPr>
        <w:t>et</w:t>
      </w:r>
      <w:r w:rsidR="000B562B" w:rsidRPr="00A176EA">
        <w:rPr>
          <w:lang w:val="fr-FR"/>
        </w:rPr>
        <w:t xml:space="preserve"> Yarl’s Wood</w:t>
      </w:r>
      <w:r w:rsidR="00F175FB">
        <w:rPr>
          <w:lang w:val="fr-FR"/>
        </w:rPr>
        <w:t>,</w:t>
      </w:r>
      <w:r w:rsidR="000B562B" w:rsidRPr="00A176EA">
        <w:rPr>
          <w:lang w:val="fr-FR"/>
        </w:rPr>
        <w:t xml:space="preserve"> </w:t>
      </w:r>
      <w:r w:rsidR="00F175FB">
        <w:rPr>
          <w:lang w:val="fr-FR"/>
        </w:rPr>
        <w:t>fin</w:t>
      </w:r>
      <w:r w:rsidR="000B562B" w:rsidRPr="00A176EA">
        <w:rPr>
          <w:lang w:val="fr-FR"/>
        </w:rPr>
        <w:t xml:space="preserve"> 2001. </w:t>
      </w:r>
      <w:r w:rsidR="00641E29">
        <w:rPr>
          <w:lang w:val="fr-FR"/>
        </w:rPr>
        <w:t>Les services d</w:t>
      </w:r>
      <w:r w:rsidR="006519E8" w:rsidRPr="006519E8">
        <w:rPr>
          <w:lang w:val="fr-FR"/>
        </w:rPr>
        <w:t xml:space="preserve">’immigration disposent actuellement de 11 </w:t>
      </w:r>
      <w:r w:rsidR="00FC24A3">
        <w:rPr>
          <w:lang w:val="fr-FR"/>
        </w:rPr>
        <w:t>c</w:t>
      </w:r>
      <w:r w:rsidR="006519E8" w:rsidRPr="006519E8">
        <w:rPr>
          <w:lang w:val="fr-FR"/>
        </w:rPr>
        <w:t xml:space="preserve">entres </w:t>
      </w:r>
      <w:r w:rsidR="000B562B" w:rsidRPr="006519E8">
        <w:rPr>
          <w:lang w:val="fr-FR"/>
        </w:rPr>
        <w:t xml:space="preserve">(10 </w:t>
      </w:r>
      <w:r w:rsidR="00BF42ED" w:rsidRPr="006519E8">
        <w:rPr>
          <w:lang w:val="fr-FR"/>
        </w:rPr>
        <w:t>e</w:t>
      </w:r>
      <w:r w:rsidR="000B562B" w:rsidRPr="006519E8">
        <w:rPr>
          <w:lang w:val="fr-FR"/>
        </w:rPr>
        <w:t xml:space="preserve">n </w:t>
      </w:r>
      <w:r w:rsidR="00BF42ED" w:rsidRPr="006519E8">
        <w:rPr>
          <w:lang w:val="fr-FR"/>
        </w:rPr>
        <w:t>Angleterre et</w:t>
      </w:r>
      <w:r w:rsidR="000B562B" w:rsidRPr="006519E8">
        <w:rPr>
          <w:lang w:val="fr-FR"/>
        </w:rPr>
        <w:t xml:space="preserve"> 1 </w:t>
      </w:r>
      <w:r w:rsidR="00BF42ED" w:rsidRPr="006519E8">
        <w:rPr>
          <w:lang w:val="fr-FR"/>
        </w:rPr>
        <w:t>e</w:t>
      </w:r>
      <w:r w:rsidR="000B562B" w:rsidRPr="006519E8">
        <w:rPr>
          <w:lang w:val="fr-FR"/>
        </w:rPr>
        <w:t xml:space="preserve">n </w:t>
      </w:r>
      <w:r w:rsidR="00FD2CE1" w:rsidRPr="006519E8">
        <w:rPr>
          <w:lang w:val="fr-FR"/>
        </w:rPr>
        <w:t>Écosse</w:t>
      </w:r>
      <w:r w:rsidR="000B562B" w:rsidRPr="006519E8">
        <w:rPr>
          <w:lang w:val="fr-FR"/>
        </w:rPr>
        <w:t>).</w:t>
      </w:r>
    </w:p>
    <w:p w:rsidR="000B562B" w:rsidRPr="00A176EA" w:rsidRDefault="002549A9" w:rsidP="00596C22">
      <w:pPr>
        <w:pStyle w:val="SingleTxtG"/>
        <w:rPr>
          <w:lang w:val="fr-FR"/>
        </w:rPr>
      </w:pPr>
      <w:r w:rsidRPr="00A176EA">
        <w:rPr>
          <w:lang w:val="fr-FR"/>
        </w:rPr>
        <w:t>382.</w:t>
      </w:r>
      <w:r w:rsidRPr="00A176EA">
        <w:rPr>
          <w:lang w:val="fr-FR"/>
        </w:rPr>
        <w:tab/>
      </w:r>
      <w:r w:rsidR="00596C22" w:rsidRPr="00596C22">
        <w:rPr>
          <w:lang w:val="fr-FR"/>
        </w:rPr>
        <w:t xml:space="preserve">Tous les Centres de rétention britanniques font l’objet d’inspections indépendantes par </w:t>
      </w:r>
      <w:r w:rsidR="007862D0" w:rsidRPr="00596C22">
        <w:rPr>
          <w:lang w:val="fr-FR"/>
        </w:rPr>
        <w:t>l’</w:t>
      </w:r>
      <w:r w:rsidR="003D5DFC" w:rsidRPr="00596C22">
        <w:rPr>
          <w:lang w:val="fr-FR"/>
        </w:rPr>
        <w:t xml:space="preserve">Inspecteur général des prisons </w:t>
      </w:r>
      <w:r w:rsidR="007862D0" w:rsidRPr="00596C22">
        <w:rPr>
          <w:lang w:val="fr-FR"/>
        </w:rPr>
        <w:t xml:space="preserve">de Sa Majesté </w:t>
      </w:r>
      <w:r w:rsidR="00596C22" w:rsidRPr="00596C22">
        <w:rPr>
          <w:lang w:val="fr-FR"/>
        </w:rPr>
        <w:t xml:space="preserve">et d’un contrôle indépendant par le </w:t>
      </w:r>
      <w:r w:rsidR="00BF42ED" w:rsidRPr="00596C22">
        <w:rPr>
          <w:snapToGrid w:val="0"/>
          <w:lang w:val="fr-FR"/>
        </w:rPr>
        <w:t xml:space="preserve">Médiateur </w:t>
      </w:r>
      <w:r w:rsidR="00BF42ED" w:rsidRPr="00596C22">
        <w:rPr>
          <w:lang w:val="fr-FR"/>
        </w:rPr>
        <w:t>des établissements pénitentiaires et de la probation</w:t>
      </w:r>
      <w:r w:rsidR="000B562B" w:rsidRPr="00596C22">
        <w:rPr>
          <w:lang w:val="fr-FR"/>
        </w:rPr>
        <w:t>,</w:t>
      </w:r>
      <w:r w:rsidR="000B562B" w:rsidRPr="00A176EA">
        <w:rPr>
          <w:lang w:val="fr-FR"/>
        </w:rPr>
        <w:t xml:space="preserve"> </w:t>
      </w:r>
      <w:r w:rsidR="00596C22">
        <w:rPr>
          <w:lang w:val="fr-FR"/>
        </w:rPr>
        <w:t>en cas d’enquête sur des décès en rétention et de</w:t>
      </w:r>
      <w:r w:rsidR="00FC24A3">
        <w:rPr>
          <w:lang w:val="fr-FR"/>
        </w:rPr>
        <w:t>s</w:t>
      </w:r>
      <w:r w:rsidR="00596C22">
        <w:rPr>
          <w:lang w:val="fr-FR"/>
        </w:rPr>
        <w:t xml:space="preserve"> plaintes. Le même dispositif s’appliquera au centre temporaire qui s’ouvrira à Larne, en Irlande du Nord, à l’été </w:t>
      </w:r>
      <w:r w:rsidR="000B562B" w:rsidRPr="00A176EA">
        <w:rPr>
          <w:lang w:val="fr-FR"/>
        </w:rPr>
        <w:t>2011.</w:t>
      </w:r>
    </w:p>
    <w:p w:rsidR="000B562B" w:rsidRPr="00A176EA" w:rsidRDefault="002549A9" w:rsidP="00A07093">
      <w:pPr>
        <w:pStyle w:val="SingleTxtG"/>
        <w:rPr>
          <w:lang w:val="fr-FR"/>
        </w:rPr>
      </w:pPr>
      <w:r w:rsidRPr="00A176EA">
        <w:rPr>
          <w:lang w:val="fr-FR"/>
        </w:rPr>
        <w:t>383.</w:t>
      </w:r>
      <w:r w:rsidRPr="00A176EA">
        <w:rPr>
          <w:lang w:val="fr-FR"/>
        </w:rPr>
        <w:tab/>
      </w:r>
      <w:r w:rsidR="00003A0D">
        <w:rPr>
          <w:lang w:val="fr-FR"/>
        </w:rPr>
        <w:t xml:space="preserve">Les mesures prises depuis avril 2006 par le </w:t>
      </w:r>
      <w:r w:rsidR="00003A0D" w:rsidRPr="00003A0D">
        <w:rPr>
          <w:lang w:val="fr-FR"/>
        </w:rPr>
        <w:t>Service de contrôle des frontières</w:t>
      </w:r>
      <w:r w:rsidR="00003A0D">
        <w:rPr>
          <w:lang w:val="fr-FR"/>
        </w:rPr>
        <w:t xml:space="preserve"> et le </w:t>
      </w:r>
      <w:r w:rsidR="00003A0D" w:rsidRPr="00003A0D">
        <w:rPr>
          <w:lang w:val="fr-FR"/>
        </w:rPr>
        <w:t>Service national de gestion des détenus</w:t>
      </w:r>
      <w:r w:rsidR="00003A0D">
        <w:rPr>
          <w:lang w:val="fr-FR"/>
        </w:rPr>
        <w:t xml:space="preserve"> pour veiller à ce qu’aucun détenu étranger ne soit libéré avant </w:t>
      </w:r>
      <w:r w:rsidR="00A07093">
        <w:rPr>
          <w:lang w:val="fr-FR"/>
        </w:rPr>
        <w:t>que sa possible</w:t>
      </w:r>
      <w:r w:rsidR="00003A0D">
        <w:rPr>
          <w:lang w:val="fr-FR"/>
        </w:rPr>
        <w:t xml:space="preserve"> expulsion ne soit examinée</w:t>
      </w:r>
      <w:r w:rsidR="00A07093">
        <w:rPr>
          <w:lang w:val="fr-FR"/>
        </w:rPr>
        <w:t xml:space="preserve"> ont abouti au fait qu’un certain nombre d’entre eux restent en détention après avoir purgé leur peine</w:t>
      </w:r>
      <w:r w:rsidR="00FC24A3">
        <w:rPr>
          <w:lang w:val="fr-FR"/>
        </w:rPr>
        <w:t>,</w:t>
      </w:r>
      <w:r w:rsidR="00A07093">
        <w:rPr>
          <w:lang w:val="fr-FR"/>
        </w:rPr>
        <w:t xml:space="preserve"> en attendant leur expulsion. C’est le cas d’environ 1 450 ressortissants étrangers</w:t>
      </w:r>
      <w:r w:rsidR="000B562B" w:rsidRPr="00A176EA">
        <w:rPr>
          <w:lang w:val="fr-FR"/>
        </w:rPr>
        <w:t>.</w:t>
      </w:r>
    </w:p>
    <w:p w:rsidR="000B562B" w:rsidRPr="00A176EA" w:rsidRDefault="002549A9" w:rsidP="00E5308B">
      <w:pPr>
        <w:pStyle w:val="SingleTxtG"/>
        <w:rPr>
          <w:lang w:val="fr-FR"/>
        </w:rPr>
      </w:pPr>
      <w:r w:rsidRPr="00A176EA">
        <w:rPr>
          <w:lang w:val="fr-FR"/>
        </w:rPr>
        <w:t>384.</w:t>
      </w:r>
      <w:r w:rsidRPr="00A176EA">
        <w:rPr>
          <w:lang w:val="fr-FR"/>
        </w:rPr>
        <w:tab/>
      </w:r>
      <w:r w:rsidR="00A07093" w:rsidRPr="00A07093">
        <w:rPr>
          <w:lang w:val="fr-FR"/>
        </w:rPr>
        <w:t xml:space="preserve">La majorité des ressortissants étrangers en détention avant expulsion, soit environ 900, sont transférés dans des </w:t>
      </w:r>
      <w:r w:rsidR="003744DC" w:rsidRPr="00A07093">
        <w:rPr>
          <w:color w:val="000000"/>
          <w:lang w:val="fr-FR"/>
        </w:rPr>
        <w:t>Centres de rétention d</w:t>
      </w:r>
      <w:r w:rsidR="00975911" w:rsidRPr="00A07093">
        <w:rPr>
          <w:color w:val="000000"/>
          <w:lang w:val="fr-FR"/>
        </w:rPr>
        <w:t>es</w:t>
      </w:r>
      <w:r w:rsidR="003744DC" w:rsidRPr="00A07093">
        <w:rPr>
          <w:color w:val="000000"/>
          <w:lang w:val="fr-FR"/>
        </w:rPr>
        <w:t xml:space="preserve"> service</w:t>
      </w:r>
      <w:r w:rsidR="00975911" w:rsidRPr="00A07093">
        <w:rPr>
          <w:color w:val="000000"/>
          <w:lang w:val="fr-FR"/>
        </w:rPr>
        <w:t>s d</w:t>
      </w:r>
      <w:r w:rsidR="003744DC" w:rsidRPr="00A07093">
        <w:rPr>
          <w:color w:val="000000"/>
          <w:lang w:val="fr-FR"/>
        </w:rPr>
        <w:t>’immigration</w:t>
      </w:r>
      <w:r w:rsidR="003744DC" w:rsidRPr="00A07093">
        <w:rPr>
          <w:lang w:val="fr-FR"/>
        </w:rPr>
        <w:t xml:space="preserve"> relevant d</w:t>
      </w:r>
      <w:r w:rsidR="00A07093" w:rsidRPr="00A07093">
        <w:rPr>
          <w:lang w:val="fr-FR"/>
        </w:rPr>
        <w:t>u</w:t>
      </w:r>
      <w:r w:rsidR="000B562B" w:rsidRPr="00A07093">
        <w:rPr>
          <w:lang w:val="fr-FR"/>
        </w:rPr>
        <w:t xml:space="preserve"> </w:t>
      </w:r>
      <w:r w:rsidR="00A07093" w:rsidRPr="00A07093">
        <w:rPr>
          <w:lang w:val="fr-FR"/>
        </w:rPr>
        <w:t>Service de contrôle des frontières</w:t>
      </w:r>
      <w:r w:rsidR="000B562B" w:rsidRPr="00A07093">
        <w:rPr>
          <w:lang w:val="fr-FR"/>
        </w:rPr>
        <w:t>.</w:t>
      </w:r>
    </w:p>
    <w:p w:rsidR="000B562B" w:rsidRPr="00A176EA" w:rsidRDefault="002549A9" w:rsidP="00E5308B">
      <w:pPr>
        <w:pStyle w:val="SingleTxtG"/>
        <w:rPr>
          <w:lang w:val="fr-FR"/>
        </w:rPr>
      </w:pPr>
      <w:r w:rsidRPr="00A176EA">
        <w:rPr>
          <w:lang w:val="fr-FR"/>
        </w:rPr>
        <w:t>385.</w:t>
      </w:r>
      <w:r w:rsidRPr="00A176EA">
        <w:rPr>
          <w:lang w:val="fr-FR"/>
        </w:rPr>
        <w:tab/>
      </w:r>
      <w:r w:rsidR="00A07093">
        <w:rPr>
          <w:lang w:val="fr-FR"/>
        </w:rPr>
        <w:t xml:space="preserve">Selon une estimation, 550 </w:t>
      </w:r>
      <w:r w:rsidR="00FC24A3">
        <w:rPr>
          <w:lang w:val="fr-FR"/>
        </w:rPr>
        <w:t>autres</w:t>
      </w:r>
      <w:r w:rsidR="00A07093">
        <w:rPr>
          <w:lang w:val="fr-FR"/>
        </w:rPr>
        <w:t xml:space="preserve"> sont détenus dans les établissements </w:t>
      </w:r>
      <w:r w:rsidR="001A3D6D">
        <w:rPr>
          <w:lang w:val="fr-FR"/>
        </w:rPr>
        <w:t>pénitentiaires</w:t>
      </w:r>
      <w:r w:rsidR="00A07093">
        <w:rPr>
          <w:lang w:val="fr-FR"/>
        </w:rPr>
        <w:t xml:space="preserve"> locaux d’Angleterre et du </w:t>
      </w:r>
      <w:r w:rsidR="00186A02">
        <w:rPr>
          <w:lang w:val="fr-FR"/>
        </w:rPr>
        <w:t>p</w:t>
      </w:r>
      <w:r w:rsidR="005601A1">
        <w:rPr>
          <w:lang w:val="fr-FR"/>
        </w:rPr>
        <w:t>ays de Galles</w:t>
      </w:r>
      <w:r w:rsidR="00A07093">
        <w:rPr>
          <w:lang w:val="fr-FR"/>
        </w:rPr>
        <w:t>. Certains y restent alors qu’ils ont purgé leur peine, dans la plupart des cas parce que la nature de l’infraction commise est trop grave pour que le Service de contrôle des frontières</w:t>
      </w:r>
      <w:r w:rsidR="00A07093" w:rsidRPr="00A07093">
        <w:rPr>
          <w:lang w:val="fr-FR"/>
        </w:rPr>
        <w:t xml:space="preserve"> </w:t>
      </w:r>
      <w:r w:rsidR="00EF3068">
        <w:rPr>
          <w:lang w:val="fr-FR"/>
        </w:rPr>
        <w:t xml:space="preserve">les </w:t>
      </w:r>
      <w:r w:rsidR="00A07093">
        <w:rPr>
          <w:lang w:val="fr-FR"/>
        </w:rPr>
        <w:t xml:space="preserve">accepte </w:t>
      </w:r>
      <w:r w:rsidR="00EF3068">
        <w:rPr>
          <w:lang w:val="fr-FR"/>
        </w:rPr>
        <w:t xml:space="preserve">dans les centres de rétention, ou en attendant leur transfert dans un centre de rétention, d’autres </w:t>
      </w:r>
      <w:r w:rsidR="009749F2">
        <w:rPr>
          <w:lang w:val="fr-FR"/>
        </w:rPr>
        <w:t>pour des questions de sécurité et de contrôle</w:t>
      </w:r>
      <w:r w:rsidR="000B562B" w:rsidRPr="00A176EA">
        <w:rPr>
          <w:lang w:val="fr-FR"/>
        </w:rPr>
        <w:t>.</w:t>
      </w:r>
    </w:p>
    <w:p w:rsidR="000B562B" w:rsidRPr="00A176EA" w:rsidRDefault="002B3A9C" w:rsidP="00D66559">
      <w:pPr>
        <w:pStyle w:val="H23G"/>
        <w:rPr>
          <w:snapToGrid w:val="0"/>
          <w:lang w:val="fr-FR"/>
        </w:rPr>
      </w:pPr>
      <w:r>
        <w:rPr>
          <w:snapToGrid w:val="0"/>
          <w:lang w:val="fr-FR"/>
        </w:rPr>
        <w:t>Armée</w:t>
      </w:r>
    </w:p>
    <w:p w:rsidR="000B562B" w:rsidRPr="00A176EA" w:rsidRDefault="000B562B" w:rsidP="00E5308B">
      <w:pPr>
        <w:pStyle w:val="H23G"/>
        <w:rPr>
          <w:snapToGrid w:val="0"/>
          <w:lang w:val="fr-FR"/>
        </w:rPr>
      </w:pPr>
      <w:r w:rsidRPr="00A176EA">
        <w:rPr>
          <w:snapToGrid w:val="0"/>
          <w:lang w:val="fr-FR"/>
        </w:rPr>
        <w:t xml:space="preserve">Inspection </w:t>
      </w:r>
      <w:r w:rsidR="002B3A9C">
        <w:rPr>
          <w:snapToGrid w:val="0"/>
          <w:lang w:val="fr-FR"/>
        </w:rPr>
        <w:t>des</w:t>
      </w:r>
      <w:r w:rsidRPr="00A176EA">
        <w:rPr>
          <w:snapToGrid w:val="0"/>
          <w:lang w:val="fr-FR"/>
        </w:rPr>
        <w:t xml:space="preserve"> </w:t>
      </w:r>
      <w:r w:rsidR="002B3A9C">
        <w:rPr>
          <w:snapToGrid w:val="0"/>
          <w:lang w:val="fr-FR"/>
        </w:rPr>
        <w:t>centres de détention de l’armée</w:t>
      </w:r>
    </w:p>
    <w:p w:rsidR="000B562B" w:rsidRPr="00A176EA" w:rsidRDefault="002549A9" w:rsidP="00721A28">
      <w:pPr>
        <w:pStyle w:val="SingleTxtG"/>
        <w:rPr>
          <w:snapToGrid w:val="0"/>
          <w:lang w:val="fr-FR"/>
        </w:rPr>
      </w:pPr>
      <w:r w:rsidRPr="00A176EA">
        <w:rPr>
          <w:snapToGrid w:val="0"/>
          <w:lang w:val="fr-FR"/>
        </w:rPr>
        <w:t>386.</w:t>
      </w:r>
      <w:r w:rsidRPr="00A176EA">
        <w:rPr>
          <w:snapToGrid w:val="0"/>
          <w:lang w:val="fr-FR"/>
        </w:rPr>
        <w:tab/>
      </w:r>
      <w:r w:rsidR="002B3A9C">
        <w:rPr>
          <w:snapToGrid w:val="0"/>
          <w:lang w:val="fr-FR"/>
        </w:rPr>
        <w:t xml:space="preserve">Tous les lieux de détention </w:t>
      </w:r>
      <w:r w:rsidR="00F65ABC">
        <w:rPr>
          <w:lang w:val="fr-FR"/>
        </w:rPr>
        <w:t>militaire</w:t>
      </w:r>
      <w:r w:rsidR="00721A28">
        <w:rPr>
          <w:lang w:val="fr-FR"/>
        </w:rPr>
        <w:t>s</w:t>
      </w:r>
      <w:r w:rsidR="00F65ABC">
        <w:rPr>
          <w:lang w:val="fr-FR"/>
        </w:rPr>
        <w:t xml:space="preserve"> </w:t>
      </w:r>
      <w:r w:rsidR="002B3A9C">
        <w:rPr>
          <w:snapToGrid w:val="0"/>
          <w:lang w:val="fr-FR"/>
        </w:rPr>
        <w:t>font l’objet d’inspections internes indépendantes</w:t>
      </w:r>
      <w:r w:rsidR="00F65ABC">
        <w:rPr>
          <w:snapToGrid w:val="0"/>
          <w:lang w:val="fr-FR"/>
        </w:rPr>
        <w:t xml:space="preserve"> conformément aux </w:t>
      </w:r>
      <w:r w:rsidR="00F65ABC">
        <w:rPr>
          <w:lang w:val="fr-FR"/>
        </w:rPr>
        <w:t xml:space="preserve">Règles relatives à la détention militaire et à l’exécution des peines de 2009. </w:t>
      </w:r>
      <w:r w:rsidR="00721A28">
        <w:rPr>
          <w:lang w:val="fr-FR"/>
        </w:rPr>
        <w:t xml:space="preserve">En vertu de ce texte, le Ministre a nommé trois </w:t>
      </w:r>
      <w:r w:rsidR="00D45E4A">
        <w:rPr>
          <w:lang w:val="fr-FR"/>
        </w:rPr>
        <w:t xml:space="preserve">Prévôts </w:t>
      </w:r>
      <w:r w:rsidR="00721A28">
        <w:rPr>
          <w:lang w:val="fr-FR"/>
        </w:rPr>
        <w:t>militaire</w:t>
      </w:r>
      <w:r w:rsidR="00D45E4A">
        <w:rPr>
          <w:lang w:val="fr-FR"/>
        </w:rPr>
        <w:t>s</w:t>
      </w:r>
      <w:r w:rsidR="00721A28">
        <w:rPr>
          <w:lang w:val="fr-FR"/>
        </w:rPr>
        <w:t xml:space="preserve"> Inspecteurs des lieux de détention militaires, </w:t>
      </w:r>
      <w:r w:rsidR="00FC24A3">
        <w:rPr>
          <w:lang w:val="fr-FR"/>
        </w:rPr>
        <w:t>avec</w:t>
      </w:r>
      <w:r w:rsidR="00721A28">
        <w:rPr>
          <w:lang w:val="fr-FR"/>
        </w:rPr>
        <w:t xml:space="preserve"> pour mandat de faire rapport</w:t>
      </w:r>
      <w:r w:rsidR="00721A28" w:rsidRPr="00721A28">
        <w:rPr>
          <w:lang w:val="fr-FR"/>
        </w:rPr>
        <w:t xml:space="preserve"> </w:t>
      </w:r>
      <w:r w:rsidR="00721A28">
        <w:rPr>
          <w:lang w:val="fr-FR"/>
        </w:rPr>
        <w:t>au Conseil de la défense, une fois par an au moins, sur tous ces lieux de détention</w:t>
      </w:r>
      <w:r w:rsidR="000B562B" w:rsidRPr="00A176EA">
        <w:rPr>
          <w:snapToGrid w:val="0"/>
          <w:lang w:val="fr-FR"/>
        </w:rPr>
        <w:t>.</w:t>
      </w:r>
    </w:p>
    <w:p w:rsidR="000B562B" w:rsidRPr="00A176EA" w:rsidRDefault="002549A9" w:rsidP="00D61CC1">
      <w:pPr>
        <w:pStyle w:val="SingleTxtG"/>
        <w:rPr>
          <w:snapToGrid w:val="0"/>
          <w:lang w:val="fr-FR"/>
        </w:rPr>
      </w:pPr>
      <w:r w:rsidRPr="00A176EA">
        <w:rPr>
          <w:snapToGrid w:val="0"/>
          <w:lang w:val="fr-FR"/>
        </w:rPr>
        <w:t>387.</w:t>
      </w:r>
      <w:r w:rsidRPr="00A176EA">
        <w:rPr>
          <w:snapToGrid w:val="0"/>
          <w:lang w:val="fr-FR"/>
        </w:rPr>
        <w:tab/>
      </w:r>
      <w:r w:rsidR="00D61CC1">
        <w:rPr>
          <w:snapToGrid w:val="0"/>
          <w:lang w:val="fr-FR"/>
        </w:rPr>
        <w:t>Le Centre de redressement militaire est inspecté par l’Inspecteur général des prisons de Sa Majesté, qui rend directement compte aux Ministres et rend ses rapports publics</w:t>
      </w:r>
      <w:r w:rsidR="000B562B" w:rsidRPr="00A176EA">
        <w:rPr>
          <w:snapToGrid w:val="0"/>
          <w:lang w:val="fr-FR"/>
        </w:rPr>
        <w:t>.</w:t>
      </w:r>
    </w:p>
    <w:p w:rsidR="000B562B" w:rsidRPr="00A176EA" w:rsidRDefault="002549A9" w:rsidP="009230C1">
      <w:pPr>
        <w:pStyle w:val="SingleTxtG"/>
        <w:rPr>
          <w:snapToGrid w:val="0"/>
          <w:lang w:val="fr-FR"/>
        </w:rPr>
      </w:pPr>
      <w:r w:rsidRPr="00A176EA">
        <w:rPr>
          <w:snapToGrid w:val="0"/>
          <w:lang w:val="fr-FR"/>
        </w:rPr>
        <w:t>388.</w:t>
      </w:r>
      <w:r w:rsidRPr="00A176EA">
        <w:rPr>
          <w:snapToGrid w:val="0"/>
          <w:lang w:val="fr-FR"/>
        </w:rPr>
        <w:tab/>
      </w:r>
      <w:r w:rsidR="00D61CC1">
        <w:rPr>
          <w:snapToGrid w:val="0"/>
          <w:lang w:val="fr-FR"/>
        </w:rPr>
        <w:t xml:space="preserve">Le </w:t>
      </w:r>
      <w:r w:rsidR="00D45E4A">
        <w:rPr>
          <w:lang w:val="fr-FR"/>
        </w:rPr>
        <w:t xml:space="preserve">Prévôt </w:t>
      </w:r>
      <w:r w:rsidR="00D61CC1">
        <w:rPr>
          <w:snapToGrid w:val="0"/>
          <w:lang w:val="fr-FR"/>
        </w:rPr>
        <w:t xml:space="preserve">militaire inspecte chaque lieu de détention militaire tous les six mois. Par principe, l’inspection de ces lieux se fonde sur les Conventions de Genève. </w:t>
      </w:r>
      <w:r w:rsidR="00167188">
        <w:rPr>
          <w:snapToGrid w:val="0"/>
          <w:lang w:val="fr-FR"/>
        </w:rPr>
        <w:t xml:space="preserve">La police militaire </w:t>
      </w:r>
      <w:r w:rsidR="009230C1">
        <w:rPr>
          <w:snapToGrid w:val="0"/>
          <w:lang w:val="fr-FR"/>
        </w:rPr>
        <w:t>organise des séances consultatives</w:t>
      </w:r>
      <w:r w:rsidR="00167188">
        <w:rPr>
          <w:snapToGrid w:val="0"/>
          <w:lang w:val="fr-FR"/>
        </w:rPr>
        <w:t xml:space="preserve"> tous les trois mois </w:t>
      </w:r>
      <w:r w:rsidR="009230C1">
        <w:rPr>
          <w:snapToGrid w:val="0"/>
          <w:lang w:val="fr-FR"/>
        </w:rPr>
        <w:t>et les commandants des lieux de détention ont un accès permanent à son quartier général s’ils ont besoin de conseils</w:t>
      </w:r>
      <w:r w:rsidR="000B562B" w:rsidRPr="00A176EA">
        <w:rPr>
          <w:snapToGrid w:val="0"/>
          <w:lang w:val="fr-FR"/>
        </w:rPr>
        <w:t>.</w:t>
      </w:r>
    </w:p>
    <w:p w:rsidR="000B562B" w:rsidRPr="00A176EA" w:rsidRDefault="002549A9" w:rsidP="003F4F89">
      <w:pPr>
        <w:pStyle w:val="SingleTxtG"/>
        <w:rPr>
          <w:snapToGrid w:val="0"/>
          <w:lang w:val="fr-FR"/>
        </w:rPr>
      </w:pPr>
      <w:r w:rsidRPr="00A176EA">
        <w:rPr>
          <w:snapToGrid w:val="0"/>
          <w:lang w:val="fr-FR"/>
        </w:rPr>
        <w:t>389.</w:t>
      </w:r>
      <w:r w:rsidRPr="00A176EA">
        <w:rPr>
          <w:snapToGrid w:val="0"/>
          <w:lang w:val="fr-FR"/>
        </w:rPr>
        <w:tab/>
      </w:r>
      <w:r w:rsidR="006257FC">
        <w:rPr>
          <w:snapToGrid w:val="0"/>
          <w:lang w:val="fr-FR"/>
        </w:rPr>
        <w:t xml:space="preserve">Le Royaume-Uni </w:t>
      </w:r>
      <w:r w:rsidR="006257FC">
        <w:rPr>
          <w:lang w:val="fr-FR"/>
        </w:rPr>
        <w:t>a cessé ses opérations de placement en détention en Iraq depuis le 1</w:t>
      </w:r>
      <w:r w:rsidR="006257FC" w:rsidRPr="00E76A1F">
        <w:rPr>
          <w:vertAlign w:val="superscript"/>
          <w:lang w:val="fr-FR"/>
        </w:rPr>
        <w:t>er</w:t>
      </w:r>
      <w:r w:rsidR="006257FC">
        <w:rPr>
          <w:lang w:val="fr-FR"/>
        </w:rPr>
        <w:t xml:space="preserve"> janvier 2009. </w:t>
      </w:r>
      <w:r w:rsidR="006257FC" w:rsidRPr="006257FC">
        <w:rPr>
          <w:lang w:val="fr-FR"/>
        </w:rPr>
        <w:t xml:space="preserve">Le </w:t>
      </w:r>
      <w:r w:rsidR="00696DBF" w:rsidRPr="006257FC">
        <w:rPr>
          <w:lang w:val="fr-FR"/>
        </w:rPr>
        <w:t>Comité international de la Croix-Rouge (CICR)</w:t>
      </w:r>
      <w:r w:rsidR="000B562B" w:rsidRPr="006257FC">
        <w:rPr>
          <w:snapToGrid w:val="0"/>
          <w:lang w:val="fr-FR"/>
        </w:rPr>
        <w:t xml:space="preserve"> </w:t>
      </w:r>
      <w:r w:rsidR="006257FC" w:rsidRPr="006257FC">
        <w:rPr>
          <w:snapToGrid w:val="0"/>
          <w:lang w:val="fr-FR"/>
        </w:rPr>
        <w:t>et</w:t>
      </w:r>
      <w:r w:rsidR="006257FC">
        <w:rPr>
          <w:snapToGrid w:val="0"/>
          <w:lang w:val="fr-FR"/>
        </w:rPr>
        <w:t xml:space="preserve"> </w:t>
      </w:r>
      <w:r w:rsidR="003F4F89">
        <w:rPr>
          <w:snapToGrid w:val="0"/>
          <w:lang w:val="fr-FR"/>
        </w:rPr>
        <w:t xml:space="preserve">le Ministère iraquien des droits de l’homme avaient libre accès aux lieux de détention opérationnels britanniques de Shaibah et, par la suite, de l’aérodrome de </w:t>
      </w:r>
      <w:r w:rsidR="000B562B" w:rsidRPr="00A176EA">
        <w:rPr>
          <w:snapToGrid w:val="0"/>
          <w:lang w:val="fr-FR"/>
        </w:rPr>
        <w:t>Bas</w:t>
      </w:r>
      <w:r w:rsidR="003F4F89">
        <w:rPr>
          <w:snapToGrid w:val="0"/>
          <w:lang w:val="fr-FR"/>
        </w:rPr>
        <w:t>so</w:t>
      </w:r>
      <w:r w:rsidR="000B562B" w:rsidRPr="00A176EA">
        <w:rPr>
          <w:snapToGrid w:val="0"/>
          <w:lang w:val="fr-FR"/>
        </w:rPr>
        <w:t>ra</w:t>
      </w:r>
      <w:r w:rsidR="003F4F89">
        <w:rPr>
          <w:snapToGrid w:val="0"/>
          <w:lang w:val="fr-FR"/>
        </w:rPr>
        <w:t>h</w:t>
      </w:r>
      <w:r w:rsidR="000B562B" w:rsidRPr="00A176EA">
        <w:rPr>
          <w:snapToGrid w:val="0"/>
          <w:lang w:val="fr-FR"/>
        </w:rPr>
        <w:t xml:space="preserve">. </w:t>
      </w:r>
      <w:r w:rsidR="003F4F89">
        <w:rPr>
          <w:snapToGrid w:val="0"/>
          <w:lang w:val="fr-FR"/>
        </w:rPr>
        <w:t xml:space="preserve">Ces deux organismes ont visité les installations britanniques. En Iraq, les détenus pouvaient déposer plainte auprès de l’un ou l’autre de ces organismes, ainsi qu’auprès de n’importe quel militaire ou membre de leur famille venu leur rendre visite. En Afghanistan, la </w:t>
      </w:r>
      <w:r w:rsidR="008446D2">
        <w:rPr>
          <w:lang w:val="fr-FR"/>
        </w:rPr>
        <w:t xml:space="preserve">Commission indépendante des droits de l’homme en Afghanistan et le </w:t>
      </w:r>
      <w:r w:rsidR="008446D2" w:rsidRPr="008446D2">
        <w:rPr>
          <w:lang w:val="fr-FR"/>
        </w:rPr>
        <w:t xml:space="preserve">Comité international de la Croix-Rouge (CICR) </w:t>
      </w:r>
      <w:r w:rsidR="008446D2">
        <w:rPr>
          <w:lang w:val="fr-FR"/>
        </w:rPr>
        <w:t xml:space="preserve">ont libre accès aux lieux de détention britanniques, mais seul le CICR a effectué des visites à ce jour. Les détenus peuvent se plaindre auprès du CICR </w:t>
      </w:r>
      <w:r w:rsidR="00253BDC">
        <w:rPr>
          <w:lang w:val="fr-FR"/>
        </w:rPr>
        <w:t xml:space="preserve">ou de tout Britannique opérant dans les installations. </w:t>
      </w:r>
      <w:r w:rsidR="004843E1">
        <w:rPr>
          <w:lang w:val="fr-FR"/>
        </w:rPr>
        <w:t>Le Royaume-Uni prend très au sérieux les allégations de mauvais traitement et procède systématiquement à une enquête</w:t>
      </w:r>
      <w:r w:rsidR="000B562B" w:rsidRPr="00A176EA">
        <w:rPr>
          <w:snapToGrid w:val="0"/>
          <w:lang w:val="fr-FR"/>
        </w:rPr>
        <w:t>.</w:t>
      </w:r>
    </w:p>
    <w:p w:rsidR="000B562B" w:rsidRPr="00A176EA" w:rsidRDefault="004843E1" w:rsidP="00E5308B">
      <w:pPr>
        <w:pStyle w:val="H23G"/>
        <w:rPr>
          <w:snapToGrid w:val="0"/>
          <w:lang w:val="fr-FR"/>
        </w:rPr>
      </w:pPr>
      <w:r w:rsidRPr="00A176EA">
        <w:rPr>
          <w:snapToGrid w:val="0"/>
          <w:lang w:val="fr-FR"/>
        </w:rPr>
        <w:t>Doctrine</w:t>
      </w:r>
      <w:r>
        <w:rPr>
          <w:snapToGrid w:val="0"/>
          <w:lang w:val="fr-FR"/>
        </w:rPr>
        <w:t xml:space="preserve"> o</w:t>
      </w:r>
      <w:r w:rsidR="000B562B" w:rsidRPr="00A176EA">
        <w:rPr>
          <w:snapToGrid w:val="0"/>
          <w:lang w:val="fr-FR"/>
        </w:rPr>
        <w:t>p</w:t>
      </w:r>
      <w:r>
        <w:rPr>
          <w:snapToGrid w:val="0"/>
          <w:lang w:val="fr-FR"/>
        </w:rPr>
        <w:t>é</w:t>
      </w:r>
      <w:r w:rsidR="000B562B" w:rsidRPr="00A176EA">
        <w:rPr>
          <w:snapToGrid w:val="0"/>
          <w:lang w:val="fr-FR"/>
        </w:rPr>
        <w:t>ration</w:t>
      </w:r>
      <w:r>
        <w:rPr>
          <w:snapToGrid w:val="0"/>
          <w:lang w:val="fr-FR"/>
        </w:rPr>
        <w:t>nel</w:t>
      </w:r>
      <w:r w:rsidR="000B562B" w:rsidRPr="00A176EA">
        <w:rPr>
          <w:snapToGrid w:val="0"/>
          <w:lang w:val="fr-FR"/>
        </w:rPr>
        <w:t>l</w:t>
      </w:r>
      <w:r>
        <w:rPr>
          <w:snapToGrid w:val="0"/>
          <w:lang w:val="fr-FR"/>
        </w:rPr>
        <w:t>e</w:t>
      </w:r>
      <w:r w:rsidR="000B562B" w:rsidRPr="00A176EA">
        <w:rPr>
          <w:snapToGrid w:val="0"/>
          <w:lang w:val="fr-FR"/>
        </w:rPr>
        <w:t xml:space="preserve"> </w:t>
      </w:r>
      <w:r>
        <w:rPr>
          <w:snapToGrid w:val="0"/>
          <w:lang w:val="fr-FR"/>
        </w:rPr>
        <w:t>et politique en matière d’</w:t>
      </w:r>
      <w:r w:rsidR="000B562B" w:rsidRPr="00A176EA">
        <w:rPr>
          <w:snapToGrid w:val="0"/>
          <w:lang w:val="fr-FR"/>
        </w:rPr>
        <w:t>inspections</w:t>
      </w:r>
    </w:p>
    <w:p w:rsidR="000B562B" w:rsidRPr="00A176EA" w:rsidRDefault="002549A9" w:rsidP="00E5308B">
      <w:pPr>
        <w:pStyle w:val="SingleTxtG"/>
        <w:rPr>
          <w:snapToGrid w:val="0"/>
          <w:szCs w:val="22"/>
          <w:lang w:val="fr-FR"/>
        </w:rPr>
      </w:pPr>
      <w:r w:rsidRPr="00A176EA">
        <w:rPr>
          <w:snapToGrid w:val="0"/>
          <w:szCs w:val="22"/>
          <w:lang w:val="fr-FR"/>
        </w:rPr>
        <w:t>390.</w:t>
      </w:r>
      <w:r w:rsidRPr="00A176EA">
        <w:rPr>
          <w:snapToGrid w:val="0"/>
          <w:szCs w:val="22"/>
          <w:lang w:val="fr-FR"/>
        </w:rPr>
        <w:tab/>
      </w:r>
      <w:r w:rsidR="000824A8">
        <w:rPr>
          <w:snapToGrid w:val="0"/>
          <w:szCs w:val="22"/>
          <w:lang w:val="fr-FR"/>
        </w:rPr>
        <w:t>U</w:t>
      </w:r>
      <w:r w:rsidR="00C1615E">
        <w:rPr>
          <w:snapToGrid w:val="0"/>
          <w:szCs w:val="22"/>
          <w:lang w:val="fr-FR"/>
        </w:rPr>
        <w:t xml:space="preserve">n grand nombre </w:t>
      </w:r>
      <w:r w:rsidR="00E85E7F">
        <w:rPr>
          <w:snapToGrid w:val="0"/>
          <w:szCs w:val="22"/>
          <w:lang w:val="fr-FR"/>
        </w:rPr>
        <w:t>d’instructions</w:t>
      </w:r>
      <w:r w:rsidR="00C1615E">
        <w:rPr>
          <w:snapToGrid w:val="0"/>
          <w:szCs w:val="22"/>
          <w:lang w:val="fr-FR"/>
        </w:rPr>
        <w:t xml:space="preserve"> opérationnelles et de politiques régiss</w:t>
      </w:r>
      <w:r w:rsidR="000824A8">
        <w:rPr>
          <w:snapToGrid w:val="0"/>
          <w:szCs w:val="22"/>
          <w:lang w:val="fr-FR"/>
        </w:rPr>
        <w:t>e</w:t>
      </w:r>
      <w:r w:rsidR="00C1615E">
        <w:rPr>
          <w:snapToGrid w:val="0"/>
          <w:szCs w:val="22"/>
          <w:lang w:val="fr-FR"/>
        </w:rPr>
        <w:t>nt les inspections de bases militaires</w:t>
      </w:r>
      <w:r w:rsidR="00FC2B97">
        <w:rPr>
          <w:snapToGrid w:val="0"/>
          <w:szCs w:val="22"/>
          <w:lang w:val="fr-FR"/>
        </w:rPr>
        <w:t>:</w:t>
      </w:r>
    </w:p>
    <w:p w:rsidR="000B562B" w:rsidRPr="00E85E7F" w:rsidRDefault="002D09B6" w:rsidP="00BC0033">
      <w:pPr>
        <w:pStyle w:val="Bullet1G"/>
        <w:rPr>
          <w:snapToGrid w:val="0"/>
        </w:rPr>
      </w:pPr>
      <w:r>
        <w:rPr>
          <w:snapToGrid w:val="0"/>
        </w:rPr>
        <w:t xml:space="preserve">JDP </w:t>
      </w:r>
      <w:r w:rsidRPr="00E85E7F">
        <w:rPr>
          <w:snapToGrid w:val="0"/>
        </w:rPr>
        <w:t xml:space="preserve">1-10 </w:t>
      </w:r>
      <w:r w:rsidRPr="002D09B6">
        <w:rPr>
          <w:snapToGrid w:val="0"/>
        </w:rPr>
        <w:t>–</w:t>
      </w:r>
      <w:r>
        <w:rPr>
          <w:snapToGrid w:val="0"/>
        </w:rPr>
        <w:t xml:space="preserve"> </w:t>
      </w:r>
      <w:r w:rsidRPr="00E85E7F">
        <w:rPr>
          <w:snapToGrid w:val="0"/>
        </w:rPr>
        <w:t xml:space="preserve">Instructions militaires communes </w:t>
      </w:r>
      <w:r w:rsidR="000B562B" w:rsidRPr="00E85E7F">
        <w:rPr>
          <w:snapToGrid w:val="0"/>
        </w:rPr>
        <w:t>(</w:t>
      </w:r>
      <w:r w:rsidR="00E85E7F" w:rsidRPr="00E85E7F">
        <w:rPr>
          <w:snapToGrid w:val="0"/>
        </w:rPr>
        <w:t>et ses subdivisions</w:t>
      </w:r>
      <w:r w:rsidR="000B562B" w:rsidRPr="00E85E7F">
        <w:rPr>
          <w:snapToGrid w:val="0"/>
        </w:rPr>
        <w:t xml:space="preserve"> 1-10.1 </w:t>
      </w:r>
      <w:r w:rsidR="0091183E" w:rsidRPr="00E85E7F">
        <w:rPr>
          <w:snapToGrid w:val="0"/>
        </w:rPr>
        <w:t>à</w:t>
      </w:r>
      <w:r w:rsidR="000B562B" w:rsidRPr="00E85E7F">
        <w:rPr>
          <w:snapToGrid w:val="0"/>
        </w:rPr>
        <w:t xml:space="preserve"> 1-10.3) – </w:t>
      </w:r>
      <w:r w:rsidR="0091183E" w:rsidRPr="00E85E7F">
        <w:rPr>
          <w:snapToGrid w:val="0"/>
        </w:rPr>
        <w:t>Prisonniers de guerre, internés et détenus</w:t>
      </w:r>
      <w:r w:rsidR="00186686">
        <w:rPr>
          <w:rStyle w:val="FootnoteReference"/>
          <w:snapToGrid w:val="0"/>
        </w:rPr>
        <w:footnoteReference w:id="50"/>
      </w:r>
      <w:r w:rsidR="004843E1" w:rsidRPr="00E85E7F">
        <w:rPr>
          <w:snapToGrid w:val="0"/>
        </w:rPr>
        <w:t>.</w:t>
      </w:r>
    </w:p>
    <w:p w:rsidR="000B562B" w:rsidRPr="00A176EA" w:rsidRDefault="000B562B" w:rsidP="00BC0033">
      <w:pPr>
        <w:pStyle w:val="Bullet1G"/>
        <w:rPr>
          <w:snapToGrid w:val="0"/>
        </w:rPr>
      </w:pPr>
      <w:r w:rsidRPr="00A176EA">
        <w:rPr>
          <w:snapToGrid w:val="0"/>
        </w:rPr>
        <w:t xml:space="preserve">JSP 383 – </w:t>
      </w:r>
      <w:r w:rsidR="002D09B6">
        <w:rPr>
          <w:snapToGrid w:val="0"/>
        </w:rPr>
        <w:t xml:space="preserve">Manuel militaire commun </w:t>
      </w:r>
      <w:r w:rsidR="008114E7">
        <w:rPr>
          <w:snapToGrid w:val="0"/>
        </w:rPr>
        <w:t>sur le droit d</w:t>
      </w:r>
      <w:r w:rsidR="002D09B6">
        <w:rPr>
          <w:snapToGrid w:val="0"/>
        </w:rPr>
        <w:t>es conflits armés</w:t>
      </w:r>
      <w:r w:rsidRPr="00A176EA">
        <w:rPr>
          <w:snapToGrid w:val="0"/>
        </w:rPr>
        <w:t>.</w:t>
      </w:r>
    </w:p>
    <w:p w:rsidR="000B562B" w:rsidRPr="00A176EA" w:rsidRDefault="000B562B" w:rsidP="00BC0033">
      <w:pPr>
        <w:pStyle w:val="Bullet1G"/>
        <w:rPr>
          <w:snapToGrid w:val="0"/>
        </w:rPr>
      </w:pPr>
      <w:r w:rsidRPr="00A176EA">
        <w:rPr>
          <w:snapToGrid w:val="0"/>
        </w:rPr>
        <w:t>JSP 381 – Aide</w:t>
      </w:r>
      <w:r w:rsidR="002D09B6">
        <w:rPr>
          <w:snapToGrid w:val="0"/>
        </w:rPr>
        <w:t>-mé</w:t>
      </w:r>
      <w:r w:rsidRPr="00A176EA">
        <w:rPr>
          <w:snapToGrid w:val="0"/>
        </w:rPr>
        <w:t>moir</w:t>
      </w:r>
      <w:r w:rsidR="002D09B6">
        <w:rPr>
          <w:snapToGrid w:val="0"/>
        </w:rPr>
        <w:t>e</w:t>
      </w:r>
      <w:r w:rsidRPr="00A176EA">
        <w:rPr>
          <w:snapToGrid w:val="0"/>
        </w:rPr>
        <w:t xml:space="preserve"> </w:t>
      </w:r>
      <w:r w:rsidR="002D09B6">
        <w:rPr>
          <w:snapToGrid w:val="0"/>
        </w:rPr>
        <w:t xml:space="preserve">sur le Manuel militaire commun </w:t>
      </w:r>
      <w:r w:rsidR="008114E7">
        <w:rPr>
          <w:snapToGrid w:val="0"/>
        </w:rPr>
        <w:t>sur le droit d</w:t>
      </w:r>
      <w:r w:rsidR="002D09B6">
        <w:rPr>
          <w:snapToGrid w:val="0"/>
        </w:rPr>
        <w:t>es conflits armés</w:t>
      </w:r>
      <w:r w:rsidR="00FD67E6">
        <w:rPr>
          <w:rStyle w:val="FootnoteReference"/>
          <w:snapToGrid w:val="0"/>
        </w:rPr>
        <w:footnoteReference w:id="51"/>
      </w:r>
      <w:r w:rsidR="004843E1">
        <w:rPr>
          <w:snapToGrid w:val="0"/>
        </w:rPr>
        <w:t>.</w:t>
      </w:r>
    </w:p>
    <w:p w:rsidR="000B562B" w:rsidRPr="00A176EA" w:rsidRDefault="002D09B6" w:rsidP="00BC0033">
      <w:pPr>
        <w:pStyle w:val="Bullet1G"/>
        <w:rPr>
          <w:snapToGrid w:val="0"/>
        </w:rPr>
      </w:pPr>
      <w:r>
        <w:rPr>
          <w:snapToGrid w:val="0"/>
        </w:rPr>
        <w:t>Code militaire</w:t>
      </w:r>
      <w:r w:rsidR="000B562B" w:rsidRPr="00A176EA">
        <w:rPr>
          <w:snapToGrid w:val="0"/>
        </w:rPr>
        <w:t xml:space="preserve"> 71130 – </w:t>
      </w:r>
      <w:r>
        <w:rPr>
          <w:snapToGrid w:val="0"/>
        </w:rPr>
        <w:t xml:space="preserve">Guide à l’intention des soldats sur </w:t>
      </w:r>
      <w:r w:rsidR="008114E7">
        <w:rPr>
          <w:snapToGrid w:val="0"/>
        </w:rPr>
        <w:t>le droit d</w:t>
      </w:r>
      <w:r>
        <w:rPr>
          <w:snapToGrid w:val="0"/>
        </w:rPr>
        <w:t>es conflits armés</w:t>
      </w:r>
      <w:r w:rsidR="000B562B" w:rsidRPr="00A176EA">
        <w:rPr>
          <w:snapToGrid w:val="0"/>
        </w:rPr>
        <w:t>.</w:t>
      </w:r>
    </w:p>
    <w:p w:rsidR="000B562B" w:rsidRPr="00A176EA" w:rsidRDefault="00A00622" w:rsidP="00BC0033">
      <w:pPr>
        <w:pStyle w:val="Bullet1G"/>
        <w:rPr>
          <w:snapToGrid w:val="0"/>
        </w:rPr>
      </w:pPr>
      <w:r w:rsidRPr="00A176EA">
        <w:rPr>
          <w:snapToGrid w:val="0"/>
        </w:rPr>
        <w:t xml:space="preserve">Doctrine </w:t>
      </w:r>
      <w:r>
        <w:rPr>
          <w:snapToGrid w:val="0"/>
        </w:rPr>
        <w:t>de l’OTA</w:t>
      </w:r>
      <w:r w:rsidR="000B562B" w:rsidRPr="00A176EA">
        <w:rPr>
          <w:snapToGrid w:val="0"/>
        </w:rPr>
        <w:t>N</w:t>
      </w:r>
      <w:r>
        <w:rPr>
          <w:snapToGrid w:val="0"/>
        </w:rPr>
        <w:t xml:space="preserve"> </w:t>
      </w:r>
      <w:r w:rsidR="000B562B" w:rsidRPr="00A176EA">
        <w:rPr>
          <w:snapToGrid w:val="0"/>
        </w:rPr>
        <w:t xml:space="preserve">– </w:t>
      </w:r>
      <w:r w:rsidRPr="00A176EA">
        <w:rPr>
          <w:snapToGrid w:val="0"/>
        </w:rPr>
        <w:t xml:space="preserve">Publication </w:t>
      </w:r>
      <w:r>
        <w:rPr>
          <w:snapToGrid w:val="0"/>
        </w:rPr>
        <w:t>interalliée interarmées</w:t>
      </w:r>
      <w:r w:rsidR="000B562B" w:rsidRPr="00A176EA">
        <w:rPr>
          <w:snapToGrid w:val="0"/>
        </w:rPr>
        <w:t xml:space="preserve"> AJP 2.5</w:t>
      </w:r>
      <w:r w:rsidR="00DD1188">
        <w:rPr>
          <w:snapToGrid w:val="0"/>
        </w:rPr>
        <w:t xml:space="preserve"> </w:t>
      </w:r>
      <w:r w:rsidR="000B562B" w:rsidRPr="00A176EA">
        <w:rPr>
          <w:snapToGrid w:val="0"/>
        </w:rPr>
        <w:t xml:space="preserve">(A) – </w:t>
      </w:r>
      <w:r w:rsidR="00063851" w:rsidRPr="00A176EA">
        <w:rPr>
          <w:snapToGrid w:val="0"/>
        </w:rPr>
        <w:t>Person</w:t>
      </w:r>
      <w:r w:rsidR="00063851">
        <w:rPr>
          <w:snapToGrid w:val="0"/>
        </w:rPr>
        <w:t>ne</w:t>
      </w:r>
      <w:r w:rsidR="00063851" w:rsidRPr="00A176EA">
        <w:rPr>
          <w:snapToGrid w:val="0"/>
        </w:rPr>
        <w:t xml:space="preserve">s </w:t>
      </w:r>
      <w:r w:rsidR="00063851">
        <w:rPr>
          <w:snapToGrid w:val="0"/>
        </w:rPr>
        <w:t>c</w:t>
      </w:r>
      <w:r w:rsidR="000B562B" w:rsidRPr="00A176EA">
        <w:rPr>
          <w:snapToGrid w:val="0"/>
        </w:rPr>
        <w:t>aptur</w:t>
      </w:r>
      <w:r w:rsidR="00063851">
        <w:rPr>
          <w:snapToGrid w:val="0"/>
        </w:rPr>
        <w:t>ées</w:t>
      </w:r>
      <w:r w:rsidR="000B562B" w:rsidRPr="00A176EA">
        <w:rPr>
          <w:snapToGrid w:val="0"/>
        </w:rPr>
        <w:t xml:space="preserve">, </w:t>
      </w:r>
      <w:r w:rsidR="00063851">
        <w:rPr>
          <w:snapToGrid w:val="0"/>
        </w:rPr>
        <w:t>équipements et d</w:t>
      </w:r>
      <w:r w:rsidR="000B562B" w:rsidRPr="00A176EA">
        <w:rPr>
          <w:snapToGrid w:val="0"/>
        </w:rPr>
        <w:t>ocuments</w:t>
      </w:r>
      <w:r w:rsidR="00063851">
        <w:rPr>
          <w:snapToGrid w:val="0"/>
        </w:rPr>
        <w:t xml:space="preserve"> saisis</w:t>
      </w:r>
      <w:r w:rsidR="000B562B" w:rsidRPr="00A176EA">
        <w:rPr>
          <w:snapToGrid w:val="0"/>
        </w:rPr>
        <w:t>.</w:t>
      </w:r>
    </w:p>
    <w:p w:rsidR="000B562B" w:rsidRPr="00A176EA" w:rsidRDefault="00EB46DD" w:rsidP="00BC0033">
      <w:pPr>
        <w:pStyle w:val="Bullet1G"/>
        <w:rPr>
          <w:snapToGrid w:val="0"/>
        </w:rPr>
      </w:pPr>
      <w:r>
        <w:rPr>
          <w:snapToGrid w:val="0"/>
        </w:rPr>
        <w:t>Politique stratégique en matière de détention</w:t>
      </w:r>
      <w:r w:rsidRPr="00EB46DD">
        <w:rPr>
          <w:snapToGrid w:val="0"/>
        </w:rPr>
        <w:t xml:space="preserve"> </w:t>
      </w:r>
      <w:r>
        <w:rPr>
          <w:snapToGrid w:val="0"/>
        </w:rPr>
        <w:t>du Ministère de la défense</w:t>
      </w:r>
      <w:r w:rsidR="004843E1">
        <w:rPr>
          <w:snapToGrid w:val="0"/>
        </w:rPr>
        <w:t>.</w:t>
      </w:r>
    </w:p>
    <w:p w:rsidR="000B562B" w:rsidRPr="00A176EA" w:rsidRDefault="00EB46DD" w:rsidP="00BC0033">
      <w:pPr>
        <w:pStyle w:val="Bullet1G"/>
        <w:rPr>
          <w:snapToGrid w:val="0"/>
        </w:rPr>
      </w:pPr>
      <w:r w:rsidRPr="002255B5">
        <w:t>Directives aux agents de renseignement et aux militaires sur la détention et les interrogatoires de détenus à l’étranger, et sur la transmission et la réception d’informations relatives à ces détenus</w:t>
      </w:r>
      <w:r>
        <w:t>, publication du Gouvernement</w:t>
      </w:r>
      <w:r w:rsidR="004843E1">
        <w:rPr>
          <w:snapToGrid w:val="0"/>
        </w:rPr>
        <w:t>.</w:t>
      </w:r>
    </w:p>
    <w:p w:rsidR="000B562B" w:rsidRPr="00A176EA" w:rsidRDefault="00E55F13" w:rsidP="00BC0033">
      <w:pPr>
        <w:pStyle w:val="Bullet1G"/>
        <w:rPr>
          <w:snapToGrid w:val="0"/>
        </w:rPr>
      </w:pPr>
      <w:r>
        <w:rPr>
          <w:snapToGrid w:val="0"/>
        </w:rPr>
        <w:t xml:space="preserve">Instruction permanente J3-9 </w:t>
      </w:r>
      <w:r w:rsidRPr="00E55F13">
        <w:rPr>
          <w:snapToGrid w:val="0"/>
        </w:rPr>
        <w:t>–</w:t>
      </w:r>
      <w:r>
        <w:rPr>
          <w:snapToGrid w:val="0"/>
        </w:rPr>
        <w:t xml:space="preserve"> Opérations d’interpellation, de fouille, </w:t>
      </w:r>
      <w:r w:rsidR="000824A8">
        <w:rPr>
          <w:snapToGrid w:val="0"/>
        </w:rPr>
        <w:t>d’audition</w:t>
      </w:r>
      <w:r>
        <w:rPr>
          <w:snapToGrid w:val="0"/>
        </w:rPr>
        <w:t xml:space="preserve"> et de détention dans </w:t>
      </w:r>
      <w:r w:rsidR="0066308C">
        <w:rPr>
          <w:snapToGrid w:val="0"/>
        </w:rPr>
        <w:t xml:space="preserve">la Zone d’opérations interarmées </w:t>
      </w:r>
      <w:r w:rsidR="0066308C" w:rsidRPr="00A176EA">
        <w:rPr>
          <w:snapToGrid w:val="0"/>
        </w:rPr>
        <w:t>HERRICK</w:t>
      </w:r>
      <w:r w:rsidR="004843E1">
        <w:rPr>
          <w:snapToGrid w:val="0"/>
        </w:rPr>
        <w:t>.</w:t>
      </w:r>
    </w:p>
    <w:p w:rsidR="000B562B" w:rsidRPr="00A176EA" w:rsidRDefault="002549A9" w:rsidP="00045614">
      <w:pPr>
        <w:pStyle w:val="SingleTxtG"/>
        <w:rPr>
          <w:snapToGrid w:val="0"/>
          <w:lang w:val="fr-FR"/>
        </w:rPr>
      </w:pPr>
      <w:r w:rsidRPr="00A176EA">
        <w:rPr>
          <w:snapToGrid w:val="0"/>
          <w:lang w:val="fr-FR"/>
        </w:rPr>
        <w:t>391.</w:t>
      </w:r>
      <w:r w:rsidRPr="00A176EA">
        <w:rPr>
          <w:snapToGrid w:val="0"/>
          <w:lang w:val="fr-FR"/>
        </w:rPr>
        <w:tab/>
      </w:r>
      <w:r w:rsidR="002232D2">
        <w:rPr>
          <w:snapToGrid w:val="0"/>
          <w:lang w:val="fr-FR"/>
        </w:rPr>
        <w:t>Au cours du volet 4 de l’Enquête pub</w:t>
      </w:r>
      <w:r w:rsidR="00BB1E56">
        <w:rPr>
          <w:snapToGrid w:val="0"/>
          <w:lang w:val="fr-FR"/>
        </w:rPr>
        <w:t>li</w:t>
      </w:r>
      <w:r w:rsidR="002232D2">
        <w:rPr>
          <w:snapToGrid w:val="0"/>
          <w:lang w:val="fr-FR"/>
        </w:rPr>
        <w:t xml:space="preserve">que Baha Mousa (voir </w:t>
      </w:r>
      <w:r w:rsidR="00250A6E">
        <w:rPr>
          <w:snapToGrid w:val="0"/>
          <w:lang w:val="fr-FR"/>
        </w:rPr>
        <w:t>par.</w:t>
      </w:r>
      <w:r w:rsidR="002232D2">
        <w:rPr>
          <w:snapToGrid w:val="0"/>
          <w:lang w:val="fr-FR"/>
        </w:rPr>
        <w:t xml:space="preserve"> </w:t>
      </w:r>
      <w:r w:rsidR="002232D2" w:rsidRPr="00FD67E6">
        <w:rPr>
          <w:snapToGrid w:val="0"/>
          <w:lang w:val="fr-FR"/>
        </w:rPr>
        <w:t>496</w:t>
      </w:r>
      <w:r w:rsidR="002232D2">
        <w:rPr>
          <w:snapToGrid w:val="0"/>
          <w:lang w:val="fr-FR"/>
        </w:rPr>
        <w:t xml:space="preserve">), le Président a examiné en détail l’organisation de la doctrine, de la politique et de la formation existant en 2010. </w:t>
      </w:r>
      <w:r w:rsidR="00045614">
        <w:rPr>
          <w:snapToGrid w:val="0"/>
          <w:lang w:val="fr-FR"/>
        </w:rPr>
        <w:t>L’objectif était de parvenir à une gouvernance et une supervision meilleures et plus précises s’agissant des individus capturés</w:t>
      </w:r>
      <w:r w:rsidR="000B562B" w:rsidRPr="00A176EA">
        <w:rPr>
          <w:lang w:val="fr-FR"/>
        </w:rPr>
        <w:t>.</w:t>
      </w:r>
    </w:p>
    <w:p w:rsidR="000B562B" w:rsidRPr="00A176EA" w:rsidRDefault="00BF5D70" w:rsidP="00E5308B">
      <w:pPr>
        <w:pStyle w:val="H23G"/>
        <w:rPr>
          <w:lang w:val="fr-FR"/>
        </w:rPr>
      </w:pPr>
      <w:bookmarkStart w:id="46" w:name="_Toc299724732"/>
      <w:r>
        <w:rPr>
          <w:lang w:val="fr-FR"/>
        </w:rPr>
        <w:t>P</w:t>
      </w:r>
      <w:r w:rsidRPr="00BF5D70">
        <w:rPr>
          <w:lang w:val="fr-FR"/>
        </w:rPr>
        <w:t>lacement en détention opéré par les services de santé mentale</w:t>
      </w:r>
      <w:bookmarkEnd w:id="46"/>
    </w:p>
    <w:p w:rsidR="000B562B" w:rsidRPr="00A176EA" w:rsidRDefault="002549A9" w:rsidP="00E5308B">
      <w:pPr>
        <w:pStyle w:val="SingleTxtG"/>
        <w:rPr>
          <w:lang w:val="fr-FR"/>
        </w:rPr>
      </w:pPr>
      <w:r w:rsidRPr="00A176EA">
        <w:rPr>
          <w:lang w:val="fr-FR"/>
        </w:rPr>
        <w:t>392.</w:t>
      </w:r>
      <w:r w:rsidRPr="00A176EA">
        <w:rPr>
          <w:lang w:val="fr-FR"/>
        </w:rPr>
        <w:tab/>
      </w:r>
      <w:r w:rsidR="00BF5D70">
        <w:rPr>
          <w:lang w:val="fr-FR"/>
        </w:rPr>
        <w:t>Le dispositif adopté pour assurer l’application de la</w:t>
      </w:r>
      <w:r w:rsidR="000B562B" w:rsidRPr="00A176EA">
        <w:rPr>
          <w:lang w:val="fr-FR"/>
        </w:rPr>
        <w:t xml:space="preserve"> </w:t>
      </w:r>
      <w:r w:rsidR="00527932" w:rsidRPr="00C56320">
        <w:rPr>
          <w:lang w:val="fr-FR"/>
        </w:rPr>
        <w:t xml:space="preserve">loi </w:t>
      </w:r>
      <w:r w:rsidR="000824A8" w:rsidRPr="00C56320">
        <w:rPr>
          <w:lang w:val="fr-FR"/>
        </w:rPr>
        <w:t>de 1983</w:t>
      </w:r>
      <w:r w:rsidR="000824A8" w:rsidRPr="00A176EA">
        <w:rPr>
          <w:lang w:val="fr-FR"/>
        </w:rPr>
        <w:t xml:space="preserve"> </w:t>
      </w:r>
      <w:r w:rsidR="00527932" w:rsidRPr="00C56320">
        <w:rPr>
          <w:lang w:val="fr-FR"/>
        </w:rPr>
        <w:t xml:space="preserve">sur la santé mentale </w:t>
      </w:r>
      <w:r w:rsidR="00FA130E" w:rsidRPr="00FA130E">
        <w:rPr>
          <w:lang w:val="fr-FR"/>
        </w:rPr>
        <w:t xml:space="preserve">en Angleterre et au </w:t>
      </w:r>
      <w:r w:rsidR="00186A02">
        <w:rPr>
          <w:lang w:val="fr-FR"/>
        </w:rPr>
        <w:t>p</w:t>
      </w:r>
      <w:r w:rsidR="005601A1">
        <w:rPr>
          <w:lang w:val="fr-FR"/>
        </w:rPr>
        <w:t>ays de Galles</w:t>
      </w:r>
      <w:r w:rsidR="00FA130E" w:rsidRPr="00FA130E">
        <w:rPr>
          <w:lang w:val="fr-FR"/>
        </w:rPr>
        <w:t xml:space="preserve"> et le dispositif comparable adopté en </w:t>
      </w:r>
      <w:r w:rsidR="000824A8">
        <w:rPr>
          <w:lang w:val="fr-FR"/>
        </w:rPr>
        <w:t>É</w:t>
      </w:r>
      <w:r w:rsidR="00FA130E" w:rsidRPr="00FA130E">
        <w:rPr>
          <w:lang w:val="fr-FR"/>
        </w:rPr>
        <w:t>cosse et en Irlande du Nord ont été exposés aux paragraphes 83 à 95, 103 et 137 à 139 du rapport initial, au paragraphe 70 du deuxième rapport périodique et au paragraphe 109 du troisième rapport périodique</w:t>
      </w:r>
      <w:r w:rsidR="000B562B" w:rsidRPr="00A176EA">
        <w:rPr>
          <w:lang w:val="fr-FR"/>
        </w:rPr>
        <w:t>.</w:t>
      </w:r>
    </w:p>
    <w:p w:rsidR="000B562B" w:rsidRPr="00A176EA" w:rsidRDefault="002549A9" w:rsidP="00FF2A0E">
      <w:pPr>
        <w:pStyle w:val="SingleTxtG"/>
        <w:rPr>
          <w:lang w:val="fr-FR"/>
        </w:rPr>
      </w:pPr>
      <w:r w:rsidRPr="00A176EA">
        <w:rPr>
          <w:lang w:val="fr-FR"/>
        </w:rPr>
        <w:t>393.</w:t>
      </w:r>
      <w:r w:rsidRPr="00A176EA">
        <w:rPr>
          <w:lang w:val="fr-FR"/>
        </w:rPr>
        <w:tab/>
      </w:r>
      <w:r w:rsidR="00FA130E">
        <w:rPr>
          <w:lang w:val="fr-FR"/>
        </w:rPr>
        <w:t xml:space="preserve">En avril 2010, les fonctions de la Commission de la loi sur la santé mentale ont été transférées à la Commission </w:t>
      </w:r>
      <w:r w:rsidR="0083595A">
        <w:rPr>
          <w:lang w:val="fr-FR"/>
        </w:rPr>
        <w:t xml:space="preserve">de la qualité des soins, un organisme de réglementation indépendant chargé des services de santé et des services sociaux pour adultes en Angleterre. Au </w:t>
      </w:r>
      <w:r w:rsidR="00186A02">
        <w:rPr>
          <w:lang w:val="fr-FR"/>
        </w:rPr>
        <w:t>p</w:t>
      </w:r>
      <w:r w:rsidR="005601A1">
        <w:rPr>
          <w:lang w:val="fr-FR"/>
        </w:rPr>
        <w:t>ays de Galles</w:t>
      </w:r>
      <w:r w:rsidR="0083595A">
        <w:rPr>
          <w:lang w:val="fr-FR"/>
        </w:rPr>
        <w:t xml:space="preserve">, ces fonctions ont été transférées à l’Inspection générale de la santé du </w:t>
      </w:r>
      <w:r w:rsidR="00186A02">
        <w:rPr>
          <w:lang w:val="fr-FR"/>
        </w:rPr>
        <w:t>p</w:t>
      </w:r>
      <w:r w:rsidR="005601A1">
        <w:rPr>
          <w:lang w:val="fr-FR"/>
        </w:rPr>
        <w:t>ays de Galles</w:t>
      </w:r>
      <w:r w:rsidR="0083595A">
        <w:rPr>
          <w:lang w:val="fr-FR"/>
        </w:rPr>
        <w:t xml:space="preserve">. </w:t>
      </w:r>
      <w:r w:rsidR="00FF2A0E" w:rsidRPr="00FF2A0E">
        <w:rPr>
          <w:lang w:val="fr-FR"/>
        </w:rPr>
        <w:t xml:space="preserve">Comme la Commission de la loi sur la santé mentale avant eux, ces organismes sont désormais </w:t>
      </w:r>
      <w:r w:rsidR="00C56320">
        <w:rPr>
          <w:lang w:val="fr-FR"/>
        </w:rPr>
        <w:t>chargés</w:t>
      </w:r>
      <w:r w:rsidR="00FF2A0E" w:rsidRPr="00FF2A0E">
        <w:rPr>
          <w:lang w:val="fr-FR"/>
        </w:rPr>
        <w:t xml:space="preserve"> d’examiner les placements en détention en vertu de la </w:t>
      </w:r>
      <w:r w:rsidR="00527932" w:rsidRPr="00FF2A0E">
        <w:rPr>
          <w:lang w:val="fr-FR"/>
        </w:rPr>
        <w:t xml:space="preserve">loi </w:t>
      </w:r>
      <w:r w:rsidR="000824A8" w:rsidRPr="00FF2A0E">
        <w:rPr>
          <w:lang w:val="fr-FR"/>
        </w:rPr>
        <w:t>de 1983</w:t>
      </w:r>
      <w:r w:rsidR="000824A8" w:rsidRPr="00FF2A0E">
        <w:rPr>
          <w:i/>
          <w:lang w:val="fr-FR"/>
        </w:rPr>
        <w:t xml:space="preserve"> </w:t>
      </w:r>
      <w:r w:rsidR="00527932" w:rsidRPr="00FF2A0E">
        <w:rPr>
          <w:lang w:val="fr-FR"/>
        </w:rPr>
        <w:t xml:space="preserve">sur la santé mentale </w:t>
      </w:r>
      <w:r w:rsidR="000B562B" w:rsidRPr="00FF2A0E">
        <w:rPr>
          <w:lang w:val="fr-FR"/>
        </w:rPr>
        <w:t>(</w:t>
      </w:r>
      <w:r w:rsidR="00FF2A0E" w:rsidRPr="00FF2A0E">
        <w:rPr>
          <w:lang w:val="fr-FR"/>
        </w:rPr>
        <w:t>entre autres</w:t>
      </w:r>
      <w:r w:rsidR="000B562B" w:rsidRPr="00FF2A0E">
        <w:rPr>
          <w:lang w:val="fr-FR"/>
        </w:rPr>
        <w:t xml:space="preserve">) </w:t>
      </w:r>
      <w:r w:rsidR="00FF2A0E" w:rsidRPr="00FF2A0E">
        <w:rPr>
          <w:lang w:val="fr-FR"/>
        </w:rPr>
        <w:t xml:space="preserve">en visitant les </w:t>
      </w:r>
      <w:r w:rsidR="000B562B" w:rsidRPr="00FF2A0E">
        <w:rPr>
          <w:lang w:val="fr-FR"/>
        </w:rPr>
        <w:t xml:space="preserve">patients </w:t>
      </w:r>
      <w:r w:rsidR="00FF2A0E" w:rsidRPr="00FF2A0E">
        <w:rPr>
          <w:lang w:val="fr-FR"/>
        </w:rPr>
        <w:t>détenus à l’</w:t>
      </w:r>
      <w:r w:rsidR="000B562B" w:rsidRPr="00FF2A0E">
        <w:rPr>
          <w:lang w:val="fr-FR"/>
        </w:rPr>
        <w:t>h</w:t>
      </w:r>
      <w:r w:rsidR="00FF2A0E" w:rsidRPr="00FF2A0E">
        <w:rPr>
          <w:lang w:val="fr-FR"/>
        </w:rPr>
        <w:t>ô</w:t>
      </w:r>
      <w:r w:rsidR="000B562B" w:rsidRPr="00FF2A0E">
        <w:rPr>
          <w:lang w:val="fr-FR"/>
        </w:rPr>
        <w:t>pital.</w:t>
      </w:r>
    </w:p>
    <w:p w:rsidR="000B562B" w:rsidRPr="00A176EA" w:rsidRDefault="002549A9" w:rsidP="00FD67E6">
      <w:pPr>
        <w:pStyle w:val="SingleTxtG"/>
        <w:rPr>
          <w:lang w:val="fr-FR"/>
        </w:rPr>
      </w:pPr>
      <w:r w:rsidRPr="00A176EA">
        <w:rPr>
          <w:lang w:val="fr-FR"/>
        </w:rPr>
        <w:t>394.</w:t>
      </w:r>
      <w:r w:rsidRPr="00A176EA">
        <w:rPr>
          <w:lang w:val="fr-FR"/>
        </w:rPr>
        <w:tab/>
      </w:r>
      <w:r w:rsidR="00FF2A0E" w:rsidRPr="00FF2A0E">
        <w:rPr>
          <w:lang w:val="fr-FR"/>
        </w:rPr>
        <w:t>Parallèlement</w:t>
      </w:r>
      <w:r w:rsidR="000B562B" w:rsidRPr="00FF2A0E">
        <w:rPr>
          <w:lang w:val="fr-FR"/>
        </w:rPr>
        <w:t xml:space="preserve">, </w:t>
      </w:r>
      <w:r w:rsidR="00FF2A0E" w:rsidRPr="00FF2A0E">
        <w:rPr>
          <w:lang w:val="fr-FR"/>
        </w:rPr>
        <w:t>la</w:t>
      </w:r>
      <w:r w:rsidR="000B562B" w:rsidRPr="00FF2A0E">
        <w:rPr>
          <w:lang w:val="fr-FR"/>
        </w:rPr>
        <w:t xml:space="preserve"> </w:t>
      </w:r>
      <w:r w:rsidR="00527932" w:rsidRPr="00FF2A0E">
        <w:rPr>
          <w:lang w:val="fr-FR"/>
        </w:rPr>
        <w:t xml:space="preserve">loi </w:t>
      </w:r>
      <w:r w:rsidR="009426B8" w:rsidRPr="00FF2A0E">
        <w:rPr>
          <w:lang w:val="fr-FR"/>
        </w:rPr>
        <w:t>de 1983</w:t>
      </w:r>
      <w:r w:rsidR="009426B8" w:rsidRPr="00FF2A0E">
        <w:rPr>
          <w:i/>
          <w:lang w:val="fr-FR"/>
        </w:rPr>
        <w:t xml:space="preserve"> </w:t>
      </w:r>
      <w:r w:rsidR="00527932" w:rsidRPr="00FF2A0E">
        <w:rPr>
          <w:lang w:val="fr-FR"/>
        </w:rPr>
        <w:t xml:space="preserve">sur la santé mentale </w:t>
      </w:r>
      <w:r w:rsidR="00FF2A0E" w:rsidRPr="00FF2A0E">
        <w:rPr>
          <w:lang w:val="fr-FR"/>
        </w:rPr>
        <w:t xml:space="preserve">a été modifiée et modernisée à différents égards par la </w:t>
      </w:r>
      <w:r w:rsidR="00527932" w:rsidRPr="00FF2A0E">
        <w:rPr>
          <w:lang w:val="fr-FR"/>
        </w:rPr>
        <w:t xml:space="preserve">loi </w:t>
      </w:r>
      <w:r w:rsidR="009426B8" w:rsidRPr="00FF2A0E">
        <w:rPr>
          <w:lang w:val="fr-FR"/>
        </w:rPr>
        <w:t>de 2007</w:t>
      </w:r>
      <w:r w:rsidR="00527932" w:rsidRPr="00FF2A0E">
        <w:rPr>
          <w:lang w:val="fr-FR"/>
        </w:rPr>
        <w:t>sur la santé mentale</w:t>
      </w:r>
      <w:r w:rsidR="000B562B" w:rsidRPr="00FF2A0E">
        <w:rPr>
          <w:lang w:val="fr-FR"/>
        </w:rPr>
        <w:t>.</w:t>
      </w:r>
      <w:r w:rsidR="000B562B" w:rsidRPr="00A176EA">
        <w:rPr>
          <w:lang w:val="fr-FR"/>
        </w:rPr>
        <w:t xml:space="preserve"> </w:t>
      </w:r>
      <w:r w:rsidR="00FF2A0E">
        <w:rPr>
          <w:lang w:val="fr-FR"/>
        </w:rPr>
        <w:t>À la lumière de ces modifications, les Codes de bonnes pratiques annexés à la loi</w:t>
      </w:r>
      <w:r w:rsidR="00FD67E6">
        <w:rPr>
          <w:rStyle w:val="FootnoteReference"/>
        </w:rPr>
        <w:footnoteReference w:id="52"/>
      </w:r>
      <w:r w:rsidR="00FF2A0E">
        <w:rPr>
          <w:lang w:val="fr-FR"/>
        </w:rPr>
        <w:t>, qui orientent les professionnels de santé et d’autres sur la façon dont la loi doit être appliquée, ont été révisés en profondeur</w:t>
      </w:r>
      <w:r w:rsidR="000B562B" w:rsidRPr="00A176EA">
        <w:rPr>
          <w:lang w:val="fr-FR"/>
        </w:rPr>
        <w:t>.</w:t>
      </w:r>
    </w:p>
    <w:p w:rsidR="000B562B" w:rsidRPr="00A176EA" w:rsidRDefault="002549A9" w:rsidP="00E71D2B">
      <w:pPr>
        <w:pStyle w:val="SingleTxtG"/>
        <w:rPr>
          <w:lang w:val="fr-FR"/>
        </w:rPr>
      </w:pPr>
      <w:r w:rsidRPr="00A176EA">
        <w:rPr>
          <w:lang w:val="fr-FR"/>
        </w:rPr>
        <w:t>395.</w:t>
      </w:r>
      <w:r w:rsidRPr="00A176EA">
        <w:rPr>
          <w:lang w:val="fr-FR"/>
        </w:rPr>
        <w:tab/>
      </w:r>
      <w:r w:rsidR="00AF063B" w:rsidRPr="00FF2A0E">
        <w:rPr>
          <w:lang w:val="fr-FR"/>
        </w:rPr>
        <w:t>E</w:t>
      </w:r>
      <w:r w:rsidR="000B562B" w:rsidRPr="00FF2A0E">
        <w:rPr>
          <w:lang w:val="fr-FR"/>
        </w:rPr>
        <w:t xml:space="preserve">n </w:t>
      </w:r>
      <w:r w:rsidR="00FD2CE1" w:rsidRPr="00FF2A0E">
        <w:rPr>
          <w:lang w:val="fr-FR"/>
        </w:rPr>
        <w:t>Écosse</w:t>
      </w:r>
      <w:r w:rsidR="00AF063B" w:rsidRPr="00FF2A0E">
        <w:rPr>
          <w:lang w:val="fr-FR"/>
        </w:rPr>
        <w:t>, la</w:t>
      </w:r>
      <w:r w:rsidR="000B562B" w:rsidRPr="00FF2A0E">
        <w:rPr>
          <w:lang w:val="fr-FR"/>
        </w:rPr>
        <w:t xml:space="preserve"> </w:t>
      </w:r>
      <w:r w:rsidR="000E629E" w:rsidRPr="00FF2A0E">
        <w:rPr>
          <w:lang w:val="fr-FR"/>
        </w:rPr>
        <w:t xml:space="preserve">loi </w:t>
      </w:r>
      <w:r w:rsidR="009426B8">
        <w:rPr>
          <w:lang w:val="fr-FR"/>
        </w:rPr>
        <w:t>d</w:t>
      </w:r>
      <w:r w:rsidR="009426B8" w:rsidRPr="00FF2A0E">
        <w:rPr>
          <w:lang w:val="fr-FR"/>
        </w:rPr>
        <w:t>e 2003</w:t>
      </w:r>
      <w:r w:rsidR="009426B8">
        <w:rPr>
          <w:lang w:val="fr-FR"/>
        </w:rPr>
        <w:t xml:space="preserve"> </w:t>
      </w:r>
      <w:r w:rsidR="000E629E" w:rsidRPr="00FF2A0E">
        <w:rPr>
          <w:lang w:val="fr-FR"/>
        </w:rPr>
        <w:t xml:space="preserve">sur la santé mentale </w:t>
      </w:r>
      <w:r w:rsidR="000B562B" w:rsidRPr="00FF2A0E">
        <w:rPr>
          <w:lang w:val="fr-FR"/>
        </w:rPr>
        <w:t>(</w:t>
      </w:r>
      <w:r w:rsidR="00AF063B" w:rsidRPr="00FF2A0E">
        <w:rPr>
          <w:lang w:val="fr-FR"/>
        </w:rPr>
        <w:t>Prise en charge et traitement)</w:t>
      </w:r>
      <w:r w:rsidR="000B562B" w:rsidRPr="00FF2A0E">
        <w:rPr>
          <w:lang w:val="fr-FR"/>
        </w:rPr>
        <w:t xml:space="preserve"> (</w:t>
      </w:r>
      <w:r w:rsidR="00AF063B" w:rsidRPr="00FF2A0E">
        <w:rPr>
          <w:lang w:val="fr-FR"/>
        </w:rPr>
        <w:t>Écosse</w:t>
      </w:r>
      <w:r w:rsidR="000B562B" w:rsidRPr="00FF2A0E">
        <w:rPr>
          <w:lang w:val="fr-FR"/>
        </w:rPr>
        <w:t>)</w:t>
      </w:r>
      <w:r w:rsidR="005739FB">
        <w:rPr>
          <w:rStyle w:val="FootnoteReference"/>
        </w:rPr>
        <w:footnoteReference w:id="53"/>
      </w:r>
      <w:r w:rsidR="00FF2A0E">
        <w:rPr>
          <w:lang w:val="fr-FR"/>
        </w:rPr>
        <w:t>,</w:t>
      </w:r>
      <w:r w:rsidR="000B562B" w:rsidRPr="00FF2A0E">
        <w:rPr>
          <w:lang w:val="fr-FR"/>
        </w:rPr>
        <w:t xml:space="preserve"> </w:t>
      </w:r>
      <w:r w:rsidR="00AF063B" w:rsidRPr="00FF2A0E">
        <w:rPr>
          <w:lang w:val="fr-FR"/>
        </w:rPr>
        <w:t>entrée en vigueur e</w:t>
      </w:r>
      <w:r w:rsidR="000B562B" w:rsidRPr="00FF2A0E">
        <w:rPr>
          <w:lang w:val="fr-FR"/>
        </w:rPr>
        <w:t xml:space="preserve">n </w:t>
      </w:r>
      <w:r w:rsidR="00AF063B" w:rsidRPr="00FF2A0E">
        <w:rPr>
          <w:lang w:val="fr-FR"/>
        </w:rPr>
        <w:t>octobre</w:t>
      </w:r>
      <w:r w:rsidR="000B562B" w:rsidRPr="00FF2A0E">
        <w:rPr>
          <w:lang w:val="fr-FR"/>
        </w:rPr>
        <w:t xml:space="preserve"> 2005</w:t>
      </w:r>
      <w:r w:rsidR="00FF2A0E">
        <w:rPr>
          <w:lang w:val="fr-FR"/>
        </w:rPr>
        <w:t>, a amélioré les droits des patients et introduit un nouveau Tribunal de</w:t>
      </w:r>
      <w:r w:rsidR="00C22338">
        <w:rPr>
          <w:lang w:val="fr-FR"/>
        </w:rPr>
        <w:t>s affaires de</w:t>
      </w:r>
      <w:r w:rsidR="00FF2A0E">
        <w:rPr>
          <w:lang w:val="fr-FR"/>
        </w:rPr>
        <w:t xml:space="preserve"> santé mentale, qui examine les demandes de </w:t>
      </w:r>
      <w:r w:rsidR="00814060">
        <w:rPr>
          <w:lang w:val="fr-FR"/>
        </w:rPr>
        <w:t>placement d’office</w:t>
      </w:r>
      <w:r w:rsidR="00FF2A0E">
        <w:rPr>
          <w:lang w:val="fr-FR"/>
        </w:rPr>
        <w:t xml:space="preserve"> </w:t>
      </w:r>
      <w:r w:rsidR="00AB2D54">
        <w:rPr>
          <w:lang w:val="fr-FR"/>
        </w:rPr>
        <w:t xml:space="preserve">en vertu de la loi, </w:t>
      </w:r>
      <w:r w:rsidR="00FF2A0E">
        <w:rPr>
          <w:lang w:val="fr-FR"/>
        </w:rPr>
        <w:t xml:space="preserve">et les recours contre </w:t>
      </w:r>
      <w:r w:rsidR="00814060">
        <w:rPr>
          <w:lang w:val="fr-FR"/>
        </w:rPr>
        <w:t>ce placement</w:t>
      </w:r>
      <w:r w:rsidR="00AB2D54">
        <w:rPr>
          <w:lang w:val="fr-FR"/>
        </w:rPr>
        <w:t xml:space="preserve">. </w:t>
      </w:r>
      <w:r w:rsidR="00AB2D54" w:rsidRPr="00AB2D54">
        <w:rPr>
          <w:lang w:val="fr-FR"/>
        </w:rPr>
        <w:t xml:space="preserve">La loi prévoit des dispositions permettant aux individus en détention provisoire ou condamnés d’être transférés dans un hôpital pour y recevoir un traitement pour troubles mentaux. Un nouveau </w:t>
      </w:r>
      <w:r w:rsidR="00016977" w:rsidRPr="00AB2D54">
        <w:rPr>
          <w:lang w:val="fr-FR"/>
        </w:rPr>
        <w:t>Code de bonnes pratiques</w:t>
      </w:r>
      <w:r w:rsidR="00E71D2B">
        <w:rPr>
          <w:rStyle w:val="FootnoteReference"/>
        </w:rPr>
        <w:footnoteReference w:id="54"/>
      </w:r>
      <w:r w:rsidR="000B562B" w:rsidRPr="00A176EA">
        <w:rPr>
          <w:lang w:val="fr-FR"/>
        </w:rPr>
        <w:t xml:space="preserve"> </w:t>
      </w:r>
      <w:r w:rsidR="00AB2D54">
        <w:rPr>
          <w:lang w:val="fr-FR"/>
        </w:rPr>
        <w:t xml:space="preserve">a été élaboré pour accompagner ladite loi. La Commission du bien-être mental pour </w:t>
      </w:r>
      <w:r w:rsidR="00AB2D54" w:rsidRPr="00AB2D54">
        <w:rPr>
          <w:lang w:val="fr-FR"/>
        </w:rPr>
        <w:t>l’</w:t>
      </w:r>
      <w:r w:rsidR="00FD2CE1" w:rsidRPr="00AB2D54">
        <w:rPr>
          <w:lang w:val="fr-FR"/>
        </w:rPr>
        <w:t>Écosse</w:t>
      </w:r>
      <w:r w:rsidR="000B562B" w:rsidRPr="00A176EA">
        <w:rPr>
          <w:lang w:val="fr-FR"/>
        </w:rPr>
        <w:t xml:space="preserve"> </w:t>
      </w:r>
      <w:r w:rsidR="00AB2D54">
        <w:rPr>
          <w:lang w:val="fr-FR"/>
        </w:rPr>
        <w:t xml:space="preserve">a reçu la fonction spécifique de </w:t>
      </w:r>
      <w:r w:rsidR="0048787E">
        <w:rPr>
          <w:lang w:val="fr-FR"/>
        </w:rPr>
        <w:t>contrôler</w:t>
      </w:r>
      <w:r w:rsidR="00AB2D54">
        <w:rPr>
          <w:lang w:val="fr-FR"/>
        </w:rPr>
        <w:t xml:space="preserve"> l’application de la loi</w:t>
      </w:r>
      <w:r w:rsidR="000B562B" w:rsidRPr="00A176EA">
        <w:rPr>
          <w:lang w:val="fr-FR"/>
        </w:rPr>
        <w:t>.</w:t>
      </w:r>
    </w:p>
    <w:p w:rsidR="000B562B" w:rsidRPr="00A176EA" w:rsidRDefault="002549A9" w:rsidP="00E43F21">
      <w:pPr>
        <w:pStyle w:val="SingleTxtG"/>
        <w:rPr>
          <w:lang w:val="fr-FR"/>
        </w:rPr>
      </w:pPr>
      <w:r w:rsidRPr="00A176EA">
        <w:rPr>
          <w:lang w:val="fr-FR"/>
        </w:rPr>
        <w:t>396.</w:t>
      </w:r>
      <w:r w:rsidRPr="00A176EA">
        <w:rPr>
          <w:lang w:val="fr-FR"/>
        </w:rPr>
        <w:tab/>
      </w:r>
      <w:r w:rsidR="00894F3B" w:rsidRPr="00AB2D54">
        <w:rPr>
          <w:lang w:val="fr-FR"/>
        </w:rPr>
        <w:t>E</w:t>
      </w:r>
      <w:r w:rsidR="000B562B" w:rsidRPr="00AB2D54">
        <w:rPr>
          <w:lang w:val="fr-FR"/>
        </w:rPr>
        <w:t xml:space="preserve">n </w:t>
      </w:r>
      <w:r w:rsidR="008F3DA4" w:rsidRPr="00AB2D54">
        <w:rPr>
          <w:lang w:val="fr-FR"/>
        </w:rPr>
        <w:t>Irlande du Nord</w:t>
      </w:r>
      <w:r w:rsidR="00894F3B" w:rsidRPr="00AB2D54">
        <w:rPr>
          <w:lang w:val="fr-FR"/>
        </w:rPr>
        <w:t>, le décret de 1986 relatif à la santé mentale</w:t>
      </w:r>
      <w:r w:rsidR="000B562B" w:rsidRPr="00AB2D54">
        <w:rPr>
          <w:lang w:val="fr-FR"/>
        </w:rPr>
        <w:t xml:space="preserve"> (</w:t>
      </w:r>
      <w:r w:rsidR="008F3DA4" w:rsidRPr="00AB2D54">
        <w:rPr>
          <w:lang w:val="fr-FR"/>
        </w:rPr>
        <w:t>Irlande du Nord</w:t>
      </w:r>
      <w:r w:rsidR="000B562B" w:rsidRPr="00AB2D54">
        <w:rPr>
          <w:lang w:val="fr-FR"/>
        </w:rPr>
        <w:t>)</w:t>
      </w:r>
      <w:r w:rsidR="000B562B" w:rsidRPr="00A176EA">
        <w:rPr>
          <w:lang w:val="fr-FR"/>
        </w:rPr>
        <w:t xml:space="preserve"> </w:t>
      </w:r>
      <w:r w:rsidR="005F696B">
        <w:rPr>
          <w:lang w:val="fr-FR"/>
        </w:rPr>
        <w:t xml:space="preserve">a institué la </w:t>
      </w:r>
      <w:r w:rsidR="00C56320" w:rsidRPr="00DB613D">
        <w:rPr>
          <w:lang w:val="fr-FR"/>
        </w:rPr>
        <w:t>Commission de la santé mentale pour l’</w:t>
      </w:r>
      <w:r w:rsidR="008F3DA4" w:rsidRPr="00DB613D">
        <w:rPr>
          <w:lang w:val="fr-FR"/>
        </w:rPr>
        <w:t>Irlande du Nord</w:t>
      </w:r>
      <w:r w:rsidR="000B562B" w:rsidRPr="00A176EA">
        <w:rPr>
          <w:lang w:val="fr-FR"/>
        </w:rPr>
        <w:t xml:space="preserve"> </w:t>
      </w:r>
      <w:r w:rsidR="0048787E">
        <w:rPr>
          <w:lang w:val="fr-FR"/>
        </w:rPr>
        <w:t>afin de</w:t>
      </w:r>
      <w:r w:rsidR="005F696B">
        <w:rPr>
          <w:lang w:val="fr-FR"/>
        </w:rPr>
        <w:t xml:space="preserve"> contrôler </w:t>
      </w:r>
      <w:r w:rsidR="00B31EA6" w:rsidRPr="00B31EA6">
        <w:rPr>
          <w:lang w:val="fr-FR"/>
        </w:rPr>
        <w:t>la prise en charge et le traitement de tous les patients</w:t>
      </w:r>
      <w:r w:rsidR="00B31EA6">
        <w:rPr>
          <w:lang w:val="fr-FR"/>
        </w:rPr>
        <w:t xml:space="preserve"> en détention à l’hôpital</w:t>
      </w:r>
      <w:r w:rsidR="0048787E">
        <w:rPr>
          <w:lang w:val="fr-FR"/>
        </w:rPr>
        <w:t xml:space="preserve">, </w:t>
      </w:r>
      <w:r w:rsidR="009426B8">
        <w:rPr>
          <w:lang w:val="fr-FR"/>
        </w:rPr>
        <w:t>ainsi que</w:t>
      </w:r>
      <w:r w:rsidR="00C560A4">
        <w:rPr>
          <w:lang w:val="fr-FR"/>
        </w:rPr>
        <w:t xml:space="preserve"> l’exercice des pouvoirs et des fonctions conférés ou imposés </w:t>
      </w:r>
      <w:r w:rsidR="00894F3B" w:rsidRPr="008114E7">
        <w:rPr>
          <w:lang w:val="fr-FR"/>
        </w:rPr>
        <w:t>par le</w:t>
      </w:r>
      <w:r w:rsidR="000B562B" w:rsidRPr="008114E7">
        <w:rPr>
          <w:lang w:val="fr-FR"/>
        </w:rPr>
        <w:t xml:space="preserve"> </w:t>
      </w:r>
      <w:r w:rsidR="00894F3B" w:rsidRPr="008114E7">
        <w:rPr>
          <w:lang w:val="fr-FR"/>
        </w:rPr>
        <w:t>décret</w:t>
      </w:r>
      <w:r w:rsidR="000B562B" w:rsidRPr="008114E7">
        <w:rPr>
          <w:lang w:val="fr-FR"/>
        </w:rPr>
        <w:t>.</w:t>
      </w:r>
      <w:r w:rsidR="000B562B" w:rsidRPr="00A176EA">
        <w:rPr>
          <w:lang w:val="fr-FR"/>
        </w:rPr>
        <w:t xml:space="preserve"> </w:t>
      </w:r>
      <w:r w:rsidR="00C560A4" w:rsidRPr="008114E7">
        <w:rPr>
          <w:lang w:val="fr-FR"/>
        </w:rPr>
        <w:t>Le 1</w:t>
      </w:r>
      <w:r w:rsidR="00C560A4" w:rsidRPr="008114E7">
        <w:rPr>
          <w:vertAlign w:val="superscript"/>
          <w:lang w:val="fr-FR"/>
        </w:rPr>
        <w:t>er</w:t>
      </w:r>
      <w:r w:rsidR="00C560A4" w:rsidRPr="008114E7">
        <w:rPr>
          <w:lang w:val="fr-FR"/>
        </w:rPr>
        <w:t xml:space="preserve"> </w:t>
      </w:r>
      <w:r w:rsidR="001A3D6D" w:rsidRPr="008114E7">
        <w:rPr>
          <w:lang w:val="fr-FR"/>
        </w:rPr>
        <w:t>avril</w:t>
      </w:r>
      <w:r w:rsidR="000B562B" w:rsidRPr="008114E7">
        <w:rPr>
          <w:lang w:val="fr-FR"/>
        </w:rPr>
        <w:t xml:space="preserve"> 2009, </w:t>
      </w:r>
      <w:r w:rsidR="00C560A4" w:rsidRPr="008114E7">
        <w:rPr>
          <w:lang w:val="fr-FR"/>
        </w:rPr>
        <w:t xml:space="preserve">la loi de 2009 sur la réforme des services médicaux et sociaux (Irlande du Nord) a transféré  </w:t>
      </w:r>
      <w:r w:rsidR="00B31EA6" w:rsidRPr="008114E7">
        <w:rPr>
          <w:rFonts w:cs="Arial"/>
          <w:lang w:val="fr-FR"/>
        </w:rPr>
        <w:t>les</w:t>
      </w:r>
      <w:r w:rsidR="000B562B" w:rsidRPr="008114E7">
        <w:rPr>
          <w:rFonts w:cs="Arial"/>
          <w:lang w:val="fr-FR"/>
        </w:rPr>
        <w:t xml:space="preserve"> f</w:t>
      </w:r>
      <w:r w:rsidR="00B31EA6" w:rsidRPr="008114E7">
        <w:rPr>
          <w:rFonts w:cs="Arial"/>
          <w:lang w:val="fr-FR"/>
        </w:rPr>
        <w:t>o</w:t>
      </w:r>
      <w:r w:rsidR="000B562B" w:rsidRPr="008114E7">
        <w:rPr>
          <w:rFonts w:cs="Arial"/>
          <w:lang w:val="fr-FR"/>
        </w:rPr>
        <w:t xml:space="preserve">nctions </w:t>
      </w:r>
      <w:r w:rsidR="00B31EA6" w:rsidRPr="008114E7">
        <w:rPr>
          <w:rFonts w:cs="Arial"/>
          <w:lang w:val="fr-FR"/>
        </w:rPr>
        <w:t>de la</w:t>
      </w:r>
      <w:r w:rsidR="000B562B" w:rsidRPr="008114E7">
        <w:rPr>
          <w:rFonts w:cs="Arial"/>
          <w:lang w:val="fr-FR"/>
        </w:rPr>
        <w:t xml:space="preserve"> </w:t>
      </w:r>
      <w:r w:rsidR="00B31EA6" w:rsidRPr="008114E7">
        <w:rPr>
          <w:rFonts w:cs="Arial"/>
          <w:lang w:val="fr-FR"/>
        </w:rPr>
        <w:t>Commission de la santé mentale</w:t>
      </w:r>
      <w:r w:rsidR="000B562B" w:rsidRPr="00A176EA">
        <w:rPr>
          <w:rFonts w:cs="Arial"/>
          <w:lang w:val="fr-FR"/>
        </w:rPr>
        <w:t xml:space="preserve"> </w:t>
      </w:r>
      <w:r w:rsidR="008114E7">
        <w:rPr>
          <w:rFonts w:cs="Arial"/>
          <w:lang w:val="fr-FR"/>
        </w:rPr>
        <w:t xml:space="preserve">à </w:t>
      </w:r>
      <w:r w:rsidR="006E57F0">
        <w:rPr>
          <w:rFonts w:cs="Arial"/>
          <w:lang w:val="fr-FR"/>
        </w:rPr>
        <w:t>l’Office</w:t>
      </w:r>
      <w:r w:rsidR="008114E7">
        <w:rPr>
          <w:rFonts w:cs="Arial"/>
          <w:lang w:val="fr-FR"/>
        </w:rPr>
        <w:t xml:space="preserve"> de réglementation et d’amélioration de la qualité, un organisme indépendant </w:t>
      </w:r>
      <w:r w:rsidR="00E43F21">
        <w:rPr>
          <w:rFonts w:cs="Arial"/>
          <w:lang w:val="fr-FR"/>
        </w:rPr>
        <w:t xml:space="preserve">chargé de la réglementation  des services médicaux et </w:t>
      </w:r>
      <w:r w:rsidR="00E43F21" w:rsidRPr="00E43F21">
        <w:rPr>
          <w:rFonts w:cs="Arial"/>
          <w:lang w:val="fr-FR"/>
        </w:rPr>
        <w:t xml:space="preserve">sociaux en </w:t>
      </w:r>
      <w:r w:rsidR="008F3DA4" w:rsidRPr="00E43F21">
        <w:rPr>
          <w:lang w:val="fr-FR"/>
        </w:rPr>
        <w:t>Irlande du Nord</w:t>
      </w:r>
      <w:r w:rsidR="000B562B" w:rsidRPr="00E43F21">
        <w:rPr>
          <w:rFonts w:cs="Arial"/>
          <w:lang w:val="fr-FR"/>
        </w:rPr>
        <w:t>.</w:t>
      </w:r>
    </w:p>
    <w:p w:rsidR="000B562B" w:rsidRPr="00A176EA" w:rsidRDefault="002549A9" w:rsidP="00E5308B">
      <w:pPr>
        <w:pStyle w:val="SingleTxtG"/>
        <w:rPr>
          <w:lang w:val="fr-FR"/>
        </w:rPr>
      </w:pPr>
      <w:r w:rsidRPr="00A176EA">
        <w:rPr>
          <w:lang w:val="fr-FR"/>
        </w:rPr>
        <w:t>397.</w:t>
      </w:r>
      <w:r w:rsidRPr="00A176EA">
        <w:rPr>
          <w:lang w:val="fr-FR"/>
        </w:rPr>
        <w:tab/>
      </w:r>
      <w:r w:rsidR="00C22338">
        <w:rPr>
          <w:lang w:val="fr-FR"/>
        </w:rPr>
        <w:t xml:space="preserve">Le </w:t>
      </w:r>
      <w:r w:rsidR="00814060">
        <w:rPr>
          <w:lang w:val="fr-FR"/>
        </w:rPr>
        <w:t>T</w:t>
      </w:r>
      <w:r w:rsidR="00C22338">
        <w:rPr>
          <w:lang w:val="fr-FR"/>
        </w:rPr>
        <w:t>ribunal de révision des affaires de santé mentale pour l’Irlande du Nord, in</w:t>
      </w:r>
      <w:r w:rsidR="00814060">
        <w:rPr>
          <w:lang w:val="fr-FR"/>
        </w:rPr>
        <w:t>stance judiciaire indépendante créé</w:t>
      </w:r>
      <w:r w:rsidR="00AF5306">
        <w:rPr>
          <w:lang w:val="fr-FR"/>
        </w:rPr>
        <w:t>e</w:t>
      </w:r>
      <w:r w:rsidR="00814060">
        <w:rPr>
          <w:lang w:val="fr-FR"/>
        </w:rPr>
        <w:t xml:space="preserve"> par le décret de 1986, réexamine les cas des patients placés d’office ou sous tutelle en vertu du décret. La fonction du Tribunal est de protéger les patients atteints de troubles mentaux contre toute détention injustifiée à l’hôpital ou mise sous tutelle par </w:t>
      </w:r>
      <w:r w:rsidR="00AF5306">
        <w:rPr>
          <w:lang w:val="fr-FR"/>
        </w:rPr>
        <w:t>l’examen</w:t>
      </w:r>
      <w:r w:rsidR="00814060">
        <w:rPr>
          <w:lang w:val="fr-FR"/>
        </w:rPr>
        <w:t xml:space="preserve"> de leur situation d’un point de vue à la fois médical et non médical</w:t>
      </w:r>
      <w:r w:rsidR="000B562B" w:rsidRPr="00A176EA">
        <w:rPr>
          <w:lang w:val="fr-FR"/>
        </w:rPr>
        <w:t>.</w:t>
      </w:r>
    </w:p>
    <w:p w:rsidR="000B562B" w:rsidRPr="00A176EA" w:rsidRDefault="00327073" w:rsidP="00E5308B">
      <w:pPr>
        <w:pStyle w:val="H23G"/>
        <w:rPr>
          <w:lang w:val="fr-FR"/>
        </w:rPr>
      </w:pPr>
      <w:bookmarkStart w:id="47" w:name="_Toc299724733"/>
      <w:r w:rsidRPr="00814060">
        <w:rPr>
          <w:lang w:val="fr-FR"/>
        </w:rPr>
        <w:t>Ministère public de la Couronne</w:t>
      </w:r>
      <w:bookmarkEnd w:id="47"/>
    </w:p>
    <w:p w:rsidR="000B562B" w:rsidRPr="00A176EA" w:rsidRDefault="002549A9" w:rsidP="00505A47">
      <w:pPr>
        <w:pStyle w:val="SingleTxtG"/>
        <w:rPr>
          <w:lang w:val="fr-FR"/>
        </w:rPr>
      </w:pPr>
      <w:r w:rsidRPr="00A176EA">
        <w:rPr>
          <w:lang w:val="fr-FR"/>
        </w:rPr>
        <w:t>398.</w:t>
      </w:r>
      <w:r w:rsidRPr="00A176EA">
        <w:rPr>
          <w:lang w:val="fr-FR"/>
        </w:rPr>
        <w:tab/>
      </w:r>
      <w:r w:rsidR="00505A47">
        <w:rPr>
          <w:lang w:val="fr-FR"/>
        </w:rPr>
        <w:t xml:space="preserve">Les détails de l’étude Butler sur les processus d’enquête du </w:t>
      </w:r>
      <w:r w:rsidR="007A1549">
        <w:rPr>
          <w:lang w:val="fr-FR"/>
        </w:rPr>
        <w:t>m</w:t>
      </w:r>
      <w:r w:rsidR="00505A47">
        <w:rPr>
          <w:lang w:val="fr-FR"/>
        </w:rPr>
        <w:t xml:space="preserve">inistère public de la Couronne figurent au </w:t>
      </w:r>
      <w:r w:rsidR="000B562B" w:rsidRPr="00A176EA">
        <w:rPr>
          <w:lang w:val="fr-FR"/>
        </w:rPr>
        <w:t>paragraph</w:t>
      </w:r>
      <w:r w:rsidR="00505A47">
        <w:rPr>
          <w:lang w:val="fr-FR"/>
        </w:rPr>
        <w:t>e</w:t>
      </w:r>
      <w:r w:rsidR="000B562B" w:rsidRPr="00A176EA">
        <w:rPr>
          <w:lang w:val="fr-FR"/>
        </w:rPr>
        <w:t xml:space="preserve"> </w:t>
      </w:r>
      <w:r w:rsidR="000B562B" w:rsidRPr="00E71D2B">
        <w:rPr>
          <w:lang w:val="fr-FR"/>
        </w:rPr>
        <w:t>1</w:t>
      </w:r>
      <w:r w:rsidR="00505A47" w:rsidRPr="00E71D2B">
        <w:rPr>
          <w:lang w:val="fr-FR"/>
        </w:rPr>
        <w:t>2</w:t>
      </w:r>
      <w:r w:rsidR="000B562B" w:rsidRPr="00E71D2B">
        <w:rPr>
          <w:lang w:val="fr-FR"/>
        </w:rPr>
        <w:t>5</w:t>
      </w:r>
      <w:r w:rsidR="000B562B" w:rsidRPr="00A176EA">
        <w:rPr>
          <w:lang w:val="fr-FR"/>
        </w:rPr>
        <w:t xml:space="preserve"> </w:t>
      </w:r>
      <w:r w:rsidR="00505A47">
        <w:rPr>
          <w:lang w:val="fr-FR"/>
        </w:rPr>
        <w:t>du quatrième rapport du Royaume-Uni</w:t>
      </w:r>
      <w:r w:rsidR="000B562B" w:rsidRPr="00A176EA">
        <w:rPr>
          <w:lang w:val="fr-FR"/>
        </w:rPr>
        <w:t xml:space="preserve">. </w:t>
      </w:r>
      <w:r w:rsidR="00C22068">
        <w:rPr>
          <w:lang w:val="fr-FR"/>
        </w:rPr>
        <w:t>Suite à une autre étude, le Pro</w:t>
      </w:r>
      <w:r w:rsidR="00CE4952">
        <w:rPr>
          <w:lang w:val="fr-FR"/>
        </w:rPr>
        <w:t>c</w:t>
      </w:r>
      <w:r w:rsidR="00C22068">
        <w:rPr>
          <w:lang w:val="fr-FR"/>
        </w:rPr>
        <w:t xml:space="preserve">ureur général a publié en juillet 2003 un rapport modifiant </w:t>
      </w:r>
      <w:r w:rsidR="00CE4952">
        <w:rPr>
          <w:lang w:val="fr-FR"/>
        </w:rPr>
        <w:t xml:space="preserve">le niveau auquel est prise la décision de poursuivre ou non. L’étude Butler recommandait qu’elle soit prise à l’échelon supérieur de la fonction publique, ce qui n’était pas possible compte tenu du faible nombre de hauts fonctionnaires en poste au siège du </w:t>
      </w:r>
      <w:r w:rsidR="007A1549">
        <w:rPr>
          <w:lang w:val="fr-FR"/>
        </w:rPr>
        <w:t>m</w:t>
      </w:r>
      <w:r w:rsidR="00CE4952">
        <w:rPr>
          <w:lang w:val="fr-FR"/>
        </w:rPr>
        <w:t xml:space="preserve">inistère public. L’étude du Procureur général, elle, recommandait que la décision soit prise par un juriste ayant suivi la formation appropriée, de niveau E ou plus, de façon à ce qu’elle ne soit pas </w:t>
      </w:r>
      <w:r w:rsidR="00AF5306">
        <w:rPr>
          <w:lang w:val="fr-FR"/>
        </w:rPr>
        <w:t>différ</w:t>
      </w:r>
      <w:r w:rsidR="00CE4952">
        <w:rPr>
          <w:lang w:val="fr-FR"/>
        </w:rPr>
        <w:t xml:space="preserve">ée inutilement. L’étude du Procureur général recommandait également </w:t>
      </w:r>
      <w:r w:rsidR="00B96F97">
        <w:rPr>
          <w:lang w:val="fr-FR"/>
        </w:rPr>
        <w:t>d’</w:t>
      </w:r>
      <w:r w:rsidR="00CE4952">
        <w:rPr>
          <w:lang w:val="fr-FR"/>
        </w:rPr>
        <w:t xml:space="preserve">augmenter le nombre d’entretiens entre les familles et le </w:t>
      </w:r>
      <w:r w:rsidR="007A1549">
        <w:rPr>
          <w:lang w:val="fr-FR"/>
        </w:rPr>
        <w:t>m</w:t>
      </w:r>
      <w:r w:rsidR="00CE4952">
        <w:rPr>
          <w:lang w:val="fr-FR"/>
        </w:rPr>
        <w:t xml:space="preserve">inistère public pour plus de transparence et d’ouverture, </w:t>
      </w:r>
      <w:r w:rsidR="00AF5306">
        <w:rPr>
          <w:lang w:val="fr-FR"/>
        </w:rPr>
        <w:t>d’augmenter</w:t>
      </w:r>
      <w:r w:rsidR="00B96F97">
        <w:rPr>
          <w:lang w:val="fr-FR"/>
        </w:rPr>
        <w:t xml:space="preserve"> le nombre des avocats</w:t>
      </w:r>
      <w:r w:rsidR="008D37E1">
        <w:rPr>
          <w:lang w:val="fr-FR"/>
        </w:rPr>
        <w:t xml:space="preserve"> du parquet</w:t>
      </w:r>
      <w:r w:rsidR="00B96F97">
        <w:rPr>
          <w:lang w:val="fr-FR"/>
        </w:rPr>
        <w:t xml:space="preserve">, d’introduire un vaste programme de formation, d’instaurer un système de gestion proactive des cas, de renforcer le rôle du Directeur du </w:t>
      </w:r>
      <w:r w:rsidR="007A1549">
        <w:rPr>
          <w:lang w:val="fr-FR"/>
        </w:rPr>
        <w:t>m</w:t>
      </w:r>
      <w:r w:rsidR="00B96F97">
        <w:rPr>
          <w:lang w:val="fr-FR"/>
        </w:rPr>
        <w:t xml:space="preserve">inistère public en matière de contrôle des décisions des </w:t>
      </w:r>
      <w:r w:rsidR="008D37E1">
        <w:rPr>
          <w:lang w:val="fr-FR"/>
        </w:rPr>
        <w:t>avocats du parquet</w:t>
      </w:r>
      <w:r w:rsidR="00B96F97">
        <w:rPr>
          <w:lang w:val="fr-FR"/>
        </w:rPr>
        <w:t>, d’impliquer davantage la communauté, d’établir des statistiques, d’autoriser la présence des juristes à certaines étapes de l’enquête et de publier une brochure pour expliquer la situation aux familles</w:t>
      </w:r>
      <w:r w:rsidR="000B562B" w:rsidRPr="00A176EA">
        <w:rPr>
          <w:lang w:val="fr-FR"/>
        </w:rPr>
        <w:t>.</w:t>
      </w:r>
    </w:p>
    <w:p w:rsidR="000B562B" w:rsidRPr="00A176EA" w:rsidRDefault="002549A9" w:rsidP="00E5308B">
      <w:pPr>
        <w:pStyle w:val="SingleTxtG"/>
        <w:rPr>
          <w:lang w:val="fr-FR"/>
        </w:rPr>
      </w:pPr>
      <w:r w:rsidRPr="00A176EA">
        <w:rPr>
          <w:lang w:val="fr-FR"/>
        </w:rPr>
        <w:t>399.</w:t>
      </w:r>
      <w:r w:rsidRPr="00A176EA">
        <w:rPr>
          <w:lang w:val="fr-FR"/>
        </w:rPr>
        <w:tab/>
      </w:r>
      <w:r w:rsidR="00B96F97">
        <w:rPr>
          <w:lang w:val="fr-FR"/>
        </w:rPr>
        <w:t>Toutes ces</w:t>
      </w:r>
      <w:r w:rsidR="000B562B" w:rsidRPr="00A176EA">
        <w:rPr>
          <w:lang w:val="fr-FR"/>
        </w:rPr>
        <w:t xml:space="preserve"> recomm</w:t>
      </w:r>
      <w:r w:rsidR="00B96F97">
        <w:rPr>
          <w:lang w:val="fr-FR"/>
        </w:rPr>
        <w:t>an</w:t>
      </w:r>
      <w:r w:rsidR="000B562B" w:rsidRPr="00A176EA">
        <w:rPr>
          <w:lang w:val="fr-FR"/>
        </w:rPr>
        <w:t xml:space="preserve">dations </w:t>
      </w:r>
      <w:r w:rsidR="00FE0F68">
        <w:rPr>
          <w:lang w:val="fr-FR"/>
        </w:rPr>
        <w:t>ont été mises en pratique</w:t>
      </w:r>
      <w:r w:rsidR="00271560">
        <w:rPr>
          <w:lang w:val="fr-FR"/>
        </w:rPr>
        <w:t xml:space="preserve"> depuis</w:t>
      </w:r>
      <w:r w:rsidR="000B562B" w:rsidRPr="00A176EA">
        <w:rPr>
          <w:lang w:val="fr-FR"/>
        </w:rPr>
        <w:t>.</w:t>
      </w:r>
    </w:p>
    <w:p w:rsidR="000B562B" w:rsidRPr="00A176EA" w:rsidRDefault="00FE0F68" w:rsidP="00E5308B">
      <w:pPr>
        <w:pStyle w:val="H23G"/>
        <w:rPr>
          <w:lang w:val="fr-FR"/>
        </w:rPr>
      </w:pPr>
      <w:bookmarkStart w:id="48" w:name="_Toc299724734"/>
      <w:r w:rsidRPr="00A176EA">
        <w:rPr>
          <w:lang w:val="fr-FR"/>
        </w:rPr>
        <w:t>Syst</w:t>
      </w:r>
      <w:r>
        <w:rPr>
          <w:lang w:val="fr-FR"/>
        </w:rPr>
        <w:t>ème de</w:t>
      </w:r>
      <w:r w:rsidRPr="00A176EA">
        <w:rPr>
          <w:lang w:val="fr-FR"/>
        </w:rPr>
        <w:t xml:space="preserve"> </w:t>
      </w:r>
      <w:r w:rsidRPr="00FE0F68">
        <w:rPr>
          <w:i/>
          <w:lang w:val="fr-FR"/>
        </w:rPr>
        <w:t>c</w:t>
      </w:r>
      <w:r w:rsidR="000B562B" w:rsidRPr="00FE0F68">
        <w:rPr>
          <w:i/>
          <w:lang w:val="fr-FR"/>
        </w:rPr>
        <w:t>oroner</w:t>
      </w:r>
      <w:r w:rsidR="000B562B" w:rsidRPr="00A176EA">
        <w:rPr>
          <w:lang w:val="fr-FR"/>
        </w:rPr>
        <w:t xml:space="preserve"> </w:t>
      </w:r>
      <w:bookmarkEnd w:id="48"/>
    </w:p>
    <w:p w:rsidR="000B562B" w:rsidRPr="00A176EA" w:rsidRDefault="002549A9" w:rsidP="00EC37D9">
      <w:pPr>
        <w:pStyle w:val="SingleTxtG"/>
        <w:rPr>
          <w:lang w:val="fr-FR"/>
        </w:rPr>
      </w:pPr>
      <w:r w:rsidRPr="00A176EA">
        <w:rPr>
          <w:lang w:val="fr-FR"/>
        </w:rPr>
        <w:t>400.</w:t>
      </w:r>
      <w:r w:rsidRPr="00A176EA">
        <w:rPr>
          <w:lang w:val="fr-FR"/>
        </w:rPr>
        <w:tab/>
      </w:r>
      <w:r w:rsidR="00DB7CB5">
        <w:rPr>
          <w:lang w:val="fr-FR"/>
        </w:rPr>
        <w:t xml:space="preserve">Un examen approfondi du système de coroner en Angleterre, au </w:t>
      </w:r>
      <w:r w:rsidR="00186A02">
        <w:rPr>
          <w:lang w:val="fr-FR"/>
        </w:rPr>
        <w:t>p</w:t>
      </w:r>
      <w:r w:rsidR="005601A1">
        <w:rPr>
          <w:lang w:val="fr-FR"/>
        </w:rPr>
        <w:t>ays de Galles</w:t>
      </w:r>
      <w:r w:rsidR="00DB7CB5">
        <w:rPr>
          <w:lang w:val="fr-FR"/>
        </w:rPr>
        <w:t xml:space="preserve"> et en Irlande du Nord a été effectué et deux rapports ont été publiés en 2003. Les Ministres </w:t>
      </w:r>
      <w:r w:rsidR="006A573A">
        <w:rPr>
          <w:lang w:val="fr-FR"/>
        </w:rPr>
        <w:t xml:space="preserve">les </w:t>
      </w:r>
      <w:r w:rsidR="00DB7CB5">
        <w:rPr>
          <w:lang w:val="fr-FR"/>
        </w:rPr>
        <w:t xml:space="preserve">ont examiné et, depuis, </w:t>
      </w:r>
      <w:r w:rsidR="00EC37D9">
        <w:rPr>
          <w:lang w:val="fr-FR"/>
        </w:rPr>
        <w:t>un important travail a été effectué</w:t>
      </w:r>
      <w:r w:rsidR="00DB7CB5">
        <w:rPr>
          <w:lang w:val="fr-FR"/>
        </w:rPr>
        <w:t xml:space="preserve"> pour </w:t>
      </w:r>
      <w:r w:rsidR="006A573A">
        <w:rPr>
          <w:lang w:val="fr-FR"/>
        </w:rPr>
        <w:t>remédier aux faiblesses d</w:t>
      </w:r>
      <w:r w:rsidR="00DB7CB5">
        <w:rPr>
          <w:lang w:val="fr-FR"/>
        </w:rPr>
        <w:t xml:space="preserve">es systèmes </w:t>
      </w:r>
      <w:r w:rsidR="00EC37D9">
        <w:rPr>
          <w:lang w:val="fr-FR"/>
        </w:rPr>
        <w:t xml:space="preserve">d’enquête des </w:t>
      </w:r>
      <w:r w:rsidR="00EC37D9" w:rsidRPr="00EC37D9">
        <w:rPr>
          <w:i/>
          <w:lang w:val="fr-FR"/>
        </w:rPr>
        <w:t>coroners</w:t>
      </w:r>
      <w:r w:rsidR="00EC37D9">
        <w:rPr>
          <w:lang w:val="fr-FR"/>
        </w:rPr>
        <w:t xml:space="preserve"> et d’établissement des certificats de décès en </w:t>
      </w:r>
      <w:r w:rsidR="006A573A">
        <w:rPr>
          <w:lang w:val="fr-FR"/>
        </w:rPr>
        <w:t xml:space="preserve">Angleterre et au </w:t>
      </w:r>
      <w:r w:rsidR="00186A02">
        <w:rPr>
          <w:lang w:val="fr-FR"/>
        </w:rPr>
        <w:t>p</w:t>
      </w:r>
      <w:r w:rsidR="005601A1">
        <w:rPr>
          <w:lang w:val="fr-FR"/>
        </w:rPr>
        <w:t>ays de Galles</w:t>
      </w:r>
      <w:r w:rsidR="00EC37D9">
        <w:rPr>
          <w:lang w:val="fr-FR"/>
        </w:rPr>
        <w:t>, comme le suggéraient ces rapports</w:t>
      </w:r>
      <w:r w:rsidR="000B562B" w:rsidRPr="00A176EA">
        <w:rPr>
          <w:lang w:val="fr-FR"/>
        </w:rPr>
        <w:t>.</w:t>
      </w:r>
    </w:p>
    <w:p w:rsidR="000B562B" w:rsidRPr="00A176EA" w:rsidRDefault="002549A9" w:rsidP="00892A8C">
      <w:pPr>
        <w:pStyle w:val="SingleTxtG"/>
        <w:rPr>
          <w:lang w:val="fr-FR"/>
        </w:rPr>
      </w:pPr>
      <w:r w:rsidRPr="00A176EA">
        <w:rPr>
          <w:lang w:val="fr-FR"/>
        </w:rPr>
        <w:t>401.</w:t>
      </w:r>
      <w:r w:rsidRPr="00A176EA">
        <w:rPr>
          <w:lang w:val="fr-FR"/>
        </w:rPr>
        <w:tab/>
      </w:r>
      <w:r w:rsidR="00EC37D9">
        <w:rPr>
          <w:lang w:val="fr-FR"/>
        </w:rPr>
        <w:t xml:space="preserve">Suite à ce travail, la loi de 2009 sur les </w:t>
      </w:r>
      <w:r w:rsidR="00EC37D9" w:rsidRPr="00EC37D9">
        <w:rPr>
          <w:i/>
          <w:lang w:val="fr-FR"/>
        </w:rPr>
        <w:t>coroners</w:t>
      </w:r>
      <w:r w:rsidR="00EC37D9">
        <w:rPr>
          <w:lang w:val="fr-FR"/>
        </w:rPr>
        <w:t xml:space="preserve"> et la justice a été adoptée et a reçu la sanction royale en novembre 2009. </w:t>
      </w:r>
      <w:r w:rsidR="00BB462A">
        <w:rPr>
          <w:lang w:val="fr-FR"/>
        </w:rPr>
        <w:t xml:space="preserve">La plupart des dispositions de cette loi réformant le système de </w:t>
      </w:r>
      <w:r w:rsidR="00BB462A" w:rsidRPr="00BB462A">
        <w:rPr>
          <w:i/>
          <w:lang w:val="fr-FR"/>
        </w:rPr>
        <w:t>coroner</w:t>
      </w:r>
      <w:r w:rsidR="00BB462A">
        <w:rPr>
          <w:lang w:val="fr-FR"/>
        </w:rPr>
        <w:t xml:space="preserve"> devraient avoir été mises en œuvre d’ici avril 2012. Ces réformes amélioreront les services du </w:t>
      </w:r>
      <w:r w:rsidR="00BB462A" w:rsidRPr="00BB462A">
        <w:rPr>
          <w:i/>
          <w:lang w:val="fr-FR"/>
        </w:rPr>
        <w:t>coroner</w:t>
      </w:r>
      <w:r w:rsidR="00BB462A">
        <w:rPr>
          <w:lang w:val="fr-FR"/>
        </w:rPr>
        <w:t xml:space="preserve"> en Angleterre et au </w:t>
      </w:r>
      <w:r w:rsidR="00186A02">
        <w:rPr>
          <w:lang w:val="fr-FR"/>
        </w:rPr>
        <w:t>p</w:t>
      </w:r>
      <w:r w:rsidR="005601A1">
        <w:rPr>
          <w:lang w:val="fr-FR"/>
        </w:rPr>
        <w:t>ays de Galles</w:t>
      </w:r>
      <w:r w:rsidR="00BB462A">
        <w:rPr>
          <w:lang w:val="fr-FR"/>
        </w:rPr>
        <w:t xml:space="preserve"> </w:t>
      </w:r>
      <w:r w:rsidR="00AF5B8C">
        <w:rPr>
          <w:lang w:val="fr-FR"/>
        </w:rPr>
        <w:t>en tirant parti des meilleurs résultats obtenus par les services locaux</w:t>
      </w:r>
      <w:r w:rsidR="00892A8C">
        <w:rPr>
          <w:lang w:val="fr-FR"/>
        </w:rPr>
        <w:t xml:space="preserve"> sur lesquels le système actuel est fondé et en améliorant la qualité des services, la formation</w:t>
      </w:r>
      <w:r w:rsidR="00AF5B8C">
        <w:rPr>
          <w:lang w:val="fr-FR"/>
        </w:rPr>
        <w:t xml:space="preserve"> </w:t>
      </w:r>
      <w:r w:rsidR="00892A8C">
        <w:rPr>
          <w:lang w:val="fr-FR"/>
        </w:rPr>
        <w:t xml:space="preserve">et les communications avec les autorités locales et la </w:t>
      </w:r>
      <w:r w:rsidR="000B562B" w:rsidRPr="00A176EA">
        <w:rPr>
          <w:lang w:val="fr-FR"/>
        </w:rPr>
        <w:t>police.</w:t>
      </w:r>
    </w:p>
    <w:p w:rsidR="000B562B" w:rsidRPr="00A176EA" w:rsidRDefault="002549A9" w:rsidP="00741160">
      <w:pPr>
        <w:pStyle w:val="SingleTxtG"/>
        <w:rPr>
          <w:lang w:val="fr-FR"/>
        </w:rPr>
      </w:pPr>
      <w:r w:rsidRPr="00A176EA">
        <w:rPr>
          <w:lang w:val="fr-FR"/>
        </w:rPr>
        <w:t>402.</w:t>
      </w:r>
      <w:r w:rsidRPr="00A176EA">
        <w:rPr>
          <w:lang w:val="fr-FR"/>
        </w:rPr>
        <w:tab/>
      </w:r>
      <w:r w:rsidR="00974474">
        <w:rPr>
          <w:lang w:val="fr-FR"/>
        </w:rPr>
        <w:t xml:space="preserve">La loi introduit de nouvelles procédures pour l’établissement des certificats de décès, ce qui améliorera leur qualité et leur exactitude. Chaque décès (environ 500 000 par an) sera soumis au contrôle d’un </w:t>
      </w:r>
      <w:r w:rsidR="00CD0110">
        <w:rPr>
          <w:lang w:val="fr-FR"/>
        </w:rPr>
        <w:t>«</w:t>
      </w:r>
      <w:r w:rsidR="00974474">
        <w:rPr>
          <w:lang w:val="fr-FR"/>
        </w:rPr>
        <w:t>médecin légiste</w:t>
      </w:r>
      <w:r w:rsidR="00CD0110">
        <w:rPr>
          <w:lang w:val="fr-FR"/>
        </w:rPr>
        <w:t>»</w:t>
      </w:r>
      <w:r w:rsidR="00974474">
        <w:rPr>
          <w:lang w:val="fr-FR"/>
        </w:rPr>
        <w:t xml:space="preserve"> indépendant attaché à l’équipe de gouvernance clinique d’un hôpital ou d’une structure de soins primaires</w:t>
      </w:r>
      <w:r w:rsidR="00741160">
        <w:rPr>
          <w:lang w:val="fr-FR"/>
        </w:rPr>
        <w:t>. Cela permettra de contrôler et de confirmer la cause médicale du décès d’une façon proportionnée, cohérente et transparente. Le Ministère de la santé supervisera la mise en œuvre de ces mesures</w:t>
      </w:r>
      <w:r w:rsidR="000B562B" w:rsidRPr="00A176EA">
        <w:rPr>
          <w:lang w:val="fr-FR"/>
        </w:rPr>
        <w:t>.</w:t>
      </w:r>
    </w:p>
    <w:p w:rsidR="000B562B" w:rsidRPr="00A176EA" w:rsidRDefault="002549A9" w:rsidP="0012628F">
      <w:pPr>
        <w:pStyle w:val="SingleTxtG"/>
        <w:rPr>
          <w:lang w:val="fr-FR"/>
        </w:rPr>
      </w:pPr>
      <w:r w:rsidRPr="00A176EA">
        <w:rPr>
          <w:lang w:val="fr-FR"/>
        </w:rPr>
        <w:t>403.</w:t>
      </w:r>
      <w:r w:rsidRPr="00A176EA">
        <w:rPr>
          <w:lang w:val="fr-FR"/>
        </w:rPr>
        <w:tab/>
      </w:r>
      <w:r w:rsidR="00767314">
        <w:rPr>
          <w:lang w:val="fr-FR"/>
        </w:rPr>
        <w:t xml:space="preserve">La loi impose par ailleurs aux </w:t>
      </w:r>
      <w:r w:rsidR="00767314" w:rsidRPr="00767314">
        <w:rPr>
          <w:i/>
          <w:lang w:val="fr-FR"/>
        </w:rPr>
        <w:t>coroners</w:t>
      </w:r>
      <w:r w:rsidR="00767314">
        <w:rPr>
          <w:lang w:val="fr-FR"/>
        </w:rPr>
        <w:t xml:space="preserve"> d’enquêter sur les décès en garde à vue et autre mode de détention, à savoir les prisons, les institutions pour jeunes délinquants et la détention en milieu hospitalier en vertu de la loi sur la santé mentale ou de la législation sur l’asile et l’immigration, ainsi que les décès </w:t>
      </w:r>
      <w:r w:rsidR="001A3D6D">
        <w:rPr>
          <w:lang w:val="fr-FR"/>
        </w:rPr>
        <w:t>dus</w:t>
      </w:r>
      <w:r w:rsidR="00767314">
        <w:rPr>
          <w:lang w:val="fr-FR"/>
        </w:rPr>
        <w:t xml:space="preserve"> à des actions militaires ou terroristes. Les </w:t>
      </w:r>
      <w:r w:rsidR="00767314" w:rsidRPr="006A38CB">
        <w:rPr>
          <w:i/>
          <w:lang w:val="fr-FR"/>
        </w:rPr>
        <w:t>coroners</w:t>
      </w:r>
      <w:r w:rsidR="00767314">
        <w:rPr>
          <w:lang w:val="fr-FR"/>
        </w:rPr>
        <w:t xml:space="preserve"> auront également obligation d’enquêter sur toute mort violente</w:t>
      </w:r>
      <w:r w:rsidR="006A38CB">
        <w:rPr>
          <w:lang w:val="fr-FR"/>
        </w:rPr>
        <w:t>,</w:t>
      </w:r>
      <w:r w:rsidR="00767314">
        <w:rPr>
          <w:lang w:val="fr-FR"/>
        </w:rPr>
        <w:t xml:space="preserve"> non naturelle ou </w:t>
      </w:r>
      <w:r w:rsidR="008D37E1">
        <w:rPr>
          <w:lang w:val="fr-FR"/>
        </w:rPr>
        <w:t>de</w:t>
      </w:r>
      <w:r w:rsidR="00767314">
        <w:rPr>
          <w:lang w:val="fr-FR"/>
        </w:rPr>
        <w:t xml:space="preserve"> cause inconnue. </w:t>
      </w:r>
      <w:r w:rsidR="006A38CB">
        <w:rPr>
          <w:lang w:val="fr-FR"/>
        </w:rPr>
        <w:t xml:space="preserve">La présence d’un jury est obligatoire pour toute enquête sur une mort violente, non naturelle ou de cause inconnue survenue au cours d’une opération de police. Les autopsies et les IRM </w:t>
      </w:r>
      <w:r w:rsidR="008D37E1">
        <w:rPr>
          <w:lang w:val="fr-FR"/>
        </w:rPr>
        <w:t xml:space="preserve">(imagerie par résonance magnétique) </w:t>
      </w:r>
      <w:r w:rsidR="006A38CB">
        <w:rPr>
          <w:lang w:val="fr-FR"/>
        </w:rPr>
        <w:t>seront autorisées s’il y a lieu. Des directives seront élaborées et des textes d’application adoptés pour garantir que tous les processus fonctionnent efficacement que les mécanismes adéquats sont en place pour réduire à l’avenir ce type de décès</w:t>
      </w:r>
      <w:r w:rsidR="000B562B" w:rsidRPr="00A176EA">
        <w:rPr>
          <w:lang w:val="fr-FR"/>
        </w:rPr>
        <w:t>.</w:t>
      </w:r>
    </w:p>
    <w:p w:rsidR="000B562B" w:rsidRPr="00A176EA" w:rsidRDefault="008F3DA4" w:rsidP="00D66559">
      <w:pPr>
        <w:pStyle w:val="H23G"/>
        <w:rPr>
          <w:bCs/>
          <w:lang w:val="fr-FR"/>
        </w:rPr>
      </w:pPr>
      <w:r w:rsidRPr="0012628F">
        <w:rPr>
          <w:lang w:val="fr-FR"/>
        </w:rPr>
        <w:t>Irlande du Nord</w:t>
      </w:r>
    </w:p>
    <w:p w:rsidR="000B562B" w:rsidRPr="00A176EA" w:rsidRDefault="002549A9" w:rsidP="00B810DC">
      <w:pPr>
        <w:pStyle w:val="SingleTxtG"/>
        <w:rPr>
          <w:lang w:val="fr-FR"/>
        </w:rPr>
      </w:pPr>
      <w:r w:rsidRPr="00A176EA">
        <w:rPr>
          <w:lang w:val="fr-FR"/>
        </w:rPr>
        <w:t>404.</w:t>
      </w:r>
      <w:r w:rsidRPr="00A176EA">
        <w:rPr>
          <w:lang w:val="fr-FR"/>
        </w:rPr>
        <w:tab/>
      </w:r>
      <w:r w:rsidR="0012628F">
        <w:rPr>
          <w:lang w:val="fr-FR"/>
        </w:rPr>
        <w:t xml:space="preserve">Le principal objectif de la loi de 2009 sur les </w:t>
      </w:r>
      <w:r w:rsidR="0012628F" w:rsidRPr="0012628F">
        <w:rPr>
          <w:i/>
          <w:lang w:val="fr-FR"/>
        </w:rPr>
        <w:t>coroners</w:t>
      </w:r>
      <w:r w:rsidR="0012628F">
        <w:rPr>
          <w:lang w:val="fr-FR"/>
        </w:rPr>
        <w:t xml:space="preserve"> et la justice était de réformer </w:t>
      </w:r>
      <w:r w:rsidR="00B810DC">
        <w:rPr>
          <w:lang w:val="fr-FR"/>
        </w:rPr>
        <w:t xml:space="preserve">la médecine légale en Angleterre et au </w:t>
      </w:r>
      <w:r w:rsidR="0012628F">
        <w:rPr>
          <w:lang w:val="fr-FR"/>
        </w:rPr>
        <w:t>p</w:t>
      </w:r>
      <w:r w:rsidR="005601A1">
        <w:rPr>
          <w:lang w:val="fr-FR"/>
        </w:rPr>
        <w:t>ays de Galles</w:t>
      </w:r>
      <w:r w:rsidR="00FC2B97">
        <w:rPr>
          <w:lang w:val="fr-FR"/>
        </w:rPr>
        <w:t>:</w:t>
      </w:r>
      <w:r w:rsidR="00B810DC">
        <w:rPr>
          <w:lang w:val="fr-FR"/>
        </w:rPr>
        <w:t xml:space="preserve"> elle s’applique essentiellement à ces deux nations. La loi relative aux </w:t>
      </w:r>
      <w:r w:rsidR="00B810DC" w:rsidRPr="00B810DC">
        <w:rPr>
          <w:i/>
          <w:lang w:val="fr-FR"/>
        </w:rPr>
        <w:t>coroners</w:t>
      </w:r>
      <w:r w:rsidR="00B810DC">
        <w:rPr>
          <w:lang w:val="fr-FR"/>
        </w:rPr>
        <w:t xml:space="preserve"> et </w:t>
      </w:r>
      <w:r w:rsidR="009D0565">
        <w:rPr>
          <w:lang w:val="fr-FR"/>
        </w:rPr>
        <w:t>aux</w:t>
      </w:r>
      <w:r w:rsidR="00B810DC">
        <w:rPr>
          <w:lang w:val="fr-FR"/>
        </w:rPr>
        <w:t xml:space="preserve"> enquêtes </w:t>
      </w:r>
      <w:r w:rsidR="009D0565">
        <w:rPr>
          <w:lang w:val="fr-FR"/>
        </w:rPr>
        <w:t xml:space="preserve">médico-légales </w:t>
      </w:r>
      <w:r w:rsidR="00B810DC">
        <w:rPr>
          <w:lang w:val="fr-FR"/>
        </w:rPr>
        <w:t xml:space="preserve">en Irlande du Nord est toujours la loi de 1959 sur les </w:t>
      </w:r>
      <w:r w:rsidR="00B810DC" w:rsidRPr="00B810DC">
        <w:rPr>
          <w:i/>
          <w:lang w:val="fr-FR"/>
        </w:rPr>
        <w:t>coroners</w:t>
      </w:r>
      <w:r w:rsidR="00B810DC">
        <w:rPr>
          <w:lang w:val="fr-FR"/>
        </w:rPr>
        <w:t xml:space="preserve"> (Irlande du Nord) (</w:t>
      </w:r>
      <w:r w:rsidR="00CD0110">
        <w:rPr>
          <w:lang w:val="fr-FR"/>
        </w:rPr>
        <w:t>«</w:t>
      </w:r>
      <w:r w:rsidR="00B810DC">
        <w:rPr>
          <w:lang w:val="fr-FR"/>
        </w:rPr>
        <w:t>loi de 1959</w:t>
      </w:r>
      <w:r w:rsidR="00CD0110">
        <w:rPr>
          <w:lang w:val="fr-FR"/>
        </w:rPr>
        <w:t>»</w:t>
      </w:r>
      <w:r w:rsidR="000B562B" w:rsidRPr="00A176EA">
        <w:rPr>
          <w:lang w:val="fr-FR"/>
        </w:rPr>
        <w:t>).</w:t>
      </w:r>
    </w:p>
    <w:p w:rsidR="000B562B" w:rsidRPr="00A176EA" w:rsidRDefault="002549A9" w:rsidP="00481021">
      <w:pPr>
        <w:pStyle w:val="SingleTxtG"/>
        <w:rPr>
          <w:lang w:val="fr-FR"/>
        </w:rPr>
      </w:pPr>
      <w:r w:rsidRPr="00A176EA">
        <w:rPr>
          <w:lang w:val="fr-FR"/>
        </w:rPr>
        <w:t>405.</w:t>
      </w:r>
      <w:r w:rsidRPr="00A176EA">
        <w:rPr>
          <w:lang w:val="fr-FR"/>
        </w:rPr>
        <w:tab/>
      </w:r>
      <w:r w:rsidR="009D0565">
        <w:rPr>
          <w:lang w:val="fr-FR"/>
        </w:rPr>
        <w:t xml:space="preserve">Toutefois, deux légères modifications ont été </w:t>
      </w:r>
      <w:r w:rsidR="001F3E50">
        <w:rPr>
          <w:lang w:val="fr-FR"/>
        </w:rPr>
        <w:t>apportées à</w:t>
      </w:r>
      <w:r w:rsidR="009D0565">
        <w:rPr>
          <w:lang w:val="fr-FR"/>
        </w:rPr>
        <w:t xml:space="preserve"> </w:t>
      </w:r>
      <w:r w:rsidR="008D37E1">
        <w:rPr>
          <w:lang w:val="fr-FR"/>
        </w:rPr>
        <w:t>la</w:t>
      </w:r>
      <w:r w:rsidR="009D0565">
        <w:rPr>
          <w:lang w:val="fr-FR"/>
        </w:rPr>
        <w:t xml:space="preserve"> loi </w:t>
      </w:r>
      <w:r w:rsidR="008D37E1">
        <w:rPr>
          <w:lang w:val="fr-FR"/>
        </w:rPr>
        <w:t xml:space="preserve">de 1959 </w:t>
      </w:r>
      <w:r w:rsidR="009D0565">
        <w:rPr>
          <w:lang w:val="fr-FR"/>
        </w:rPr>
        <w:t xml:space="preserve">par la loi de 2009. Tout d’abord, l’habilitation du </w:t>
      </w:r>
      <w:r w:rsidR="009D0565" w:rsidRPr="009D0565">
        <w:rPr>
          <w:i/>
          <w:lang w:val="fr-FR"/>
        </w:rPr>
        <w:t>coroner</w:t>
      </w:r>
      <w:r w:rsidR="009D0565">
        <w:rPr>
          <w:lang w:val="fr-FR"/>
        </w:rPr>
        <w:t xml:space="preserve"> à enquêter en Irlande du Nord a été étendue aux décès intervenus hors d’Irlande du Nord lorsque le corps a été rapatrié. En second lieu, certains pouvoirs conférés au </w:t>
      </w:r>
      <w:r w:rsidR="009D0565" w:rsidRPr="009D0565">
        <w:rPr>
          <w:i/>
          <w:lang w:val="fr-FR"/>
        </w:rPr>
        <w:t>coroner</w:t>
      </w:r>
      <w:r w:rsidR="009D0565">
        <w:rPr>
          <w:lang w:val="fr-FR"/>
        </w:rPr>
        <w:t xml:space="preserve"> par la loi de 1959 ont été renforcés s’agissant de contraindre des témoins à participer à une enquête. </w:t>
      </w:r>
      <w:r w:rsidR="001F3E50">
        <w:rPr>
          <w:lang w:val="fr-FR"/>
        </w:rPr>
        <w:t>On étudie actuellement les implications opérationnelles de ces dispositions avant que toute décision soit prise à leur sujet</w:t>
      </w:r>
      <w:r w:rsidR="000B562B" w:rsidRPr="00A176EA">
        <w:rPr>
          <w:lang w:val="fr-FR"/>
        </w:rPr>
        <w:t>.</w:t>
      </w:r>
    </w:p>
    <w:p w:rsidR="000B562B" w:rsidRPr="00A176EA" w:rsidRDefault="002549A9" w:rsidP="00E71D2B">
      <w:pPr>
        <w:pStyle w:val="SingleTxtG"/>
        <w:rPr>
          <w:lang w:val="fr-FR"/>
        </w:rPr>
      </w:pPr>
      <w:r w:rsidRPr="00A176EA">
        <w:rPr>
          <w:lang w:val="fr-FR"/>
        </w:rPr>
        <w:t>406.</w:t>
      </w:r>
      <w:r w:rsidRPr="00A176EA">
        <w:rPr>
          <w:lang w:val="fr-FR"/>
        </w:rPr>
        <w:tab/>
      </w:r>
      <w:r w:rsidR="00481021">
        <w:rPr>
          <w:lang w:val="fr-FR"/>
        </w:rPr>
        <w:t>De nombreuses réformes administratives portant sur les problèmes identifiés dans l’Étude Luce</w:t>
      </w:r>
      <w:r w:rsidR="00E71D2B">
        <w:rPr>
          <w:rStyle w:val="FootnoteReference"/>
        </w:rPr>
        <w:footnoteReference w:id="55"/>
      </w:r>
      <w:r w:rsidR="000B562B" w:rsidRPr="00A176EA">
        <w:rPr>
          <w:lang w:val="fr-FR"/>
        </w:rPr>
        <w:t xml:space="preserve"> </w:t>
      </w:r>
      <w:r w:rsidR="00481021">
        <w:rPr>
          <w:lang w:val="fr-FR"/>
        </w:rPr>
        <w:t xml:space="preserve">avaient déjà été faites en Irlande du Nord avant la loi de 2009. En particulier, le Service des </w:t>
      </w:r>
      <w:r w:rsidR="00481021" w:rsidRPr="00481021">
        <w:rPr>
          <w:i/>
          <w:lang w:val="fr-FR"/>
        </w:rPr>
        <w:t>coroners</w:t>
      </w:r>
      <w:r w:rsidR="00481021">
        <w:rPr>
          <w:lang w:val="fr-FR"/>
        </w:rPr>
        <w:t xml:space="preserve"> pour l’Irlande du Nord a été créé en 2006, un juge de la Haute Cour ayant été désigné </w:t>
      </w:r>
      <w:r w:rsidR="001707C6">
        <w:rPr>
          <w:lang w:val="fr-FR"/>
        </w:rPr>
        <w:t>pour le présider. Un district médico-légal unique englobant l’ensemble de l’Irlande du Nord a également été créé</w:t>
      </w:r>
      <w:r w:rsidR="000B562B" w:rsidRPr="00A176EA">
        <w:rPr>
          <w:lang w:val="fr-FR"/>
        </w:rPr>
        <w:t>.</w:t>
      </w:r>
    </w:p>
    <w:p w:rsidR="000B562B" w:rsidRPr="00A176EA" w:rsidRDefault="002549A9" w:rsidP="001707C6">
      <w:pPr>
        <w:pStyle w:val="SingleTxtG"/>
        <w:rPr>
          <w:lang w:val="fr-FR"/>
        </w:rPr>
      </w:pPr>
      <w:r w:rsidRPr="00A176EA">
        <w:rPr>
          <w:lang w:val="fr-FR"/>
        </w:rPr>
        <w:t>407.</w:t>
      </w:r>
      <w:r w:rsidRPr="00A176EA">
        <w:rPr>
          <w:lang w:val="fr-FR"/>
        </w:rPr>
        <w:tab/>
      </w:r>
      <w:r w:rsidR="001707C6">
        <w:rPr>
          <w:lang w:val="fr-FR"/>
        </w:rPr>
        <w:t>En outre, il a été décidé qu’il était préférable qu’une réforme législative plus complète, similaire à celle faite en Angleterre et au pays de Galles, soit confiée aux représentants locaux à l’Assemblée et d’une façon adaptée à l’Irlande du Nord, et non par le biais de la loi de 2009</w:t>
      </w:r>
      <w:r w:rsidR="000B562B" w:rsidRPr="00A176EA">
        <w:rPr>
          <w:lang w:val="fr-FR"/>
        </w:rPr>
        <w:t>.</w:t>
      </w:r>
    </w:p>
    <w:p w:rsidR="000B562B" w:rsidRPr="00A176EA" w:rsidRDefault="002549A9" w:rsidP="00557E15">
      <w:pPr>
        <w:pStyle w:val="SingleTxtG"/>
        <w:rPr>
          <w:lang w:val="fr-FR"/>
        </w:rPr>
      </w:pPr>
      <w:r w:rsidRPr="00A176EA">
        <w:rPr>
          <w:lang w:val="fr-FR"/>
        </w:rPr>
        <w:t>408.</w:t>
      </w:r>
      <w:r w:rsidRPr="00A176EA">
        <w:rPr>
          <w:lang w:val="fr-FR"/>
        </w:rPr>
        <w:tab/>
      </w:r>
      <w:r w:rsidR="00557E15">
        <w:rPr>
          <w:lang w:val="fr-FR"/>
        </w:rPr>
        <w:t xml:space="preserve">Le Ministère de la justice travaille donc en étroite concertation avec la Commission de réforme du droit d’Irlande du Nord afin que celle-ci </w:t>
      </w:r>
      <w:r w:rsidR="008D37E1">
        <w:rPr>
          <w:lang w:val="fr-FR"/>
        </w:rPr>
        <w:t>examine</w:t>
      </w:r>
      <w:r w:rsidR="00557E15">
        <w:rPr>
          <w:lang w:val="fr-FR"/>
        </w:rPr>
        <w:t xml:space="preserve"> la législation et </w:t>
      </w:r>
      <w:r w:rsidR="008D37E1">
        <w:rPr>
          <w:lang w:val="fr-FR"/>
        </w:rPr>
        <w:t>l</w:t>
      </w:r>
      <w:r w:rsidR="00557E15">
        <w:rPr>
          <w:lang w:val="fr-FR"/>
        </w:rPr>
        <w:t xml:space="preserve">es procédures en la matière dans </w:t>
      </w:r>
      <w:r w:rsidR="008D37E1">
        <w:rPr>
          <w:lang w:val="fr-FR"/>
        </w:rPr>
        <w:t xml:space="preserve">le cadre de </w:t>
      </w:r>
      <w:r w:rsidR="00557E15">
        <w:rPr>
          <w:lang w:val="fr-FR"/>
        </w:rPr>
        <w:t>son prochain programme de réforme législative. La Commission a indiqué que, sur le principe, elle serait heureuse de s’en charger</w:t>
      </w:r>
      <w:r w:rsidR="000B562B" w:rsidRPr="00A176EA">
        <w:rPr>
          <w:lang w:val="fr-FR"/>
        </w:rPr>
        <w:t>.</w:t>
      </w:r>
    </w:p>
    <w:p w:rsidR="000B562B" w:rsidRPr="00A176EA" w:rsidRDefault="002549A9" w:rsidP="00F20509">
      <w:pPr>
        <w:pStyle w:val="SingleTxtG"/>
        <w:rPr>
          <w:lang w:val="fr-FR"/>
        </w:rPr>
      </w:pPr>
      <w:r w:rsidRPr="00A176EA">
        <w:rPr>
          <w:lang w:val="fr-FR"/>
        </w:rPr>
        <w:t>409.</w:t>
      </w:r>
      <w:r w:rsidRPr="00A176EA">
        <w:rPr>
          <w:lang w:val="fr-FR"/>
        </w:rPr>
        <w:tab/>
      </w:r>
      <w:r w:rsidR="00557E15">
        <w:rPr>
          <w:lang w:val="fr-FR"/>
        </w:rPr>
        <w:t>Pour ce qui concerne l’établissement des certificats de décès, un groupe de travail interministériel a été créé en Irlande du Nord en 2008 pour examiner les processus locaux et formuler des recommandations d’amélioration. Une consultation publique commune a</w:t>
      </w:r>
      <w:r w:rsidR="00F20509">
        <w:rPr>
          <w:lang w:val="fr-FR"/>
        </w:rPr>
        <w:t xml:space="preserve"> ensuite été organisée </w:t>
      </w:r>
      <w:r w:rsidR="00171AF5">
        <w:rPr>
          <w:lang w:val="fr-FR"/>
        </w:rPr>
        <w:t xml:space="preserve">en décembre </w:t>
      </w:r>
      <w:r w:rsidR="00171AF5" w:rsidRPr="00A176EA">
        <w:rPr>
          <w:lang w:val="fr-FR"/>
        </w:rPr>
        <w:t>2010</w:t>
      </w:r>
      <w:r w:rsidR="00171AF5">
        <w:rPr>
          <w:lang w:val="fr-FR"/>
        </w:rPr>
        <w:t xml:space="preserve"> </w:t>
      </w:r>
      <w:r w:rsidR="00F20509">
        <w:rPr>
          <w:lang w:val="fr-FR"/>
        </w:rPr>
        <w:t>par le Ministère de la santé, des services sociaux et de la sécurité publique, le Ministère des finances et du personnel, et le Ministère de l’environnement</w:t>
      </w:r>
      <w:r w:rsidR="000B562B" w:rsidRPr="00A176EA">
        <w:rPr>
          <w:lang w:val="fr-FR"/>
        </w:rPr>
        <w:t xml:space="preserve">. </w:t>
      </w:r>
      <w:r w:rsidR="00F20509">
        <w:rPr>
          <w:lang w:val="fr-FR"/>
        </w:rPr>
        <w:t>La période de consultation s’est achevée en mars 2011 et les réponses sont en cours d’analyse</w:t>
      </w:r>
      <w:r w:rsidR="000B562B" w:rsidRPr="00A176EA">
        <w:rPr>
          <w:lang w:val="fr-FR"/>
        </w:rPr>
        <w:t>.</w:t>
      </w:r>
    </w:p>
    <w:p w:rsidR="000B562B" w:rsidRPr="00A176EA" w:rsidRDefault="00F20509" w:rsidP="00D66559">
      <w:pPr>
        <w:pStyle w:val="H23G"/>
        <w:rPr>
          <w:lang w:val="fr-FR"/>
        </w:rPr>
      </w:pPr>
      <w:bookmarkStart w:id="49" w:name="_Toc299724735"/>
      <w:r>
        <w:rPr>
          <w:lang w:val="fr-FR"/>
        </w:rPr>
        <w:t>Réglementation applicable aux sociétés de sécurité</w:t>
      </w:r>
      <w:r w:rsidR="000B562B" w:rsidRPr="00A176EA">
        <w:rPr>
          <w:lang w:val="fr-FR"/>
        </w:rPr>
        <w:t xml:space="preserve"> </w:t>
      </w:r>
      <w:r>
        <w:rPr>
          <w:lang w:val="fr-FR"/>
        </w:rPr>
        <w:t>privée</w:t>
      </w:r>
      <w:bookmarkEnd w:id="49"/>
    </w:p>
    <w:p w:rsidR="000B562B" w:rsidRPr="00A176EA" w:rsidRDefault="00894F3B" w:rsidP="003C456A">
      <w:pPr>
        <w:pStyle w:val="H23G"/>
        <w:rPr>
          <w:lang w:val="fr-FR"/>
        </w:rPr>
      </w:pPr>
      <w:r w:rsidRPr="00F20509">
        <w:rPr>
          <w:lang w:val="fr-FR"/>
        </w:rPr>
        <w:t>Grande-Bretagne</w:t>
      </w:r>
    </w:p>
    <w:p w:rsidR="000B562B" w:rsidRPr="00A176EA" w:rsidRDefault="002549A9" w:rsidP="00376BB2">
      <w:pPr>
        <w:pStyle w:val="SingleTxtG"/>
        <w:rPr>
          <w:lang w:val="fr-FR"/>
        </w:rPr>
      </w:pPr>
      <w:r w:rsidRPr="00A176EA">
        <w:rPr>
          <w:lang w:val="fr-FR"/>
        </w:rPr>
        <w:t>410.</w:t>
      </w:r>
      <w:r w:rsidRPr="00A176EA">
        <w:rPr>
          <w:lang w:val="fr-FR"/>
        </w:rPr>
        <w:tab/>
      </w:r>
      <w:r w:rsidR="00F20509">
        <w:rPr>
          <w:lang w:val="fr-FR"/>
        </w:rPr>
        <w:t xml:space="preserve">Le </w:t>
      </w:r>
      <w:r w:rsidR="00B25695">
        <w:rPr>
          <w:lang w:val="fr-FR"/>
        </w:rPr>
        <w:t xml:space="preserve">mandat du </w:t>
      </w:r>
      <w:r w:rsidR="00F20509">
        <w:rPr>
          <w:lang w:val="fr-FR"/>
        </w:rPr>
        <w:t xml:space="preserve">Bureau </w:t>
      </w:r>
      <w:r w:rsidR="00B172B3">
        <w:rPr>
          <w:lang w:val="fr-FR"/>
        </w:rPr>
        <w:t>d’agrément</w:t>
      </w:r>
      <w:r w:rsidR="00F20509">
        <w:rPr>
          <w:lang w:val="fr-FR"/>
        </w:rPr>
        <w:t xml:space="preserve"> des sociétés de sécurité</w:t>
      </w:r>
      <w:r w:rsidR="000B562B" w:rsidRPr="00A176EA">
        <w:rPr>
          <w:rStyle w:val="FootnoteReference"/>
          <w:szCs w:val="24"/>
        </w:rPr>
        <w:footnoteReference w:id="56"/>
      </w:r>
      <w:r w:rsidR="00F20509">
        <w:rPr>
          <w:lang w:val="fr-FR"/>
        </w:rPr>
        <w:t>,</w:t>
      </w:r>
      <w:r w:rsidR="000B562B" w:rsidRPr="00A176EA">
        <w:rPr>
          <w:lang w:val="fr-FR"/>
        </w:rPr>
        <w:t xml:space="preserve"> </w:t>
      </w:r>
      <w:r w:rsidR="00B25695">
        <w:rPr>
          <w:lang w:val="fr-FR"/>
        </w:rPr>
        <w:t xml:space="preserve">organisme </w:t>
      </w:r>
      <w:r w:rsidR="00F20509">
        <w:rPr>
          <w:lang w:val="fr-FR"/>
        </w:rPr>
        <w:t>créé en avril</w:t>
      </w:r>
      <w:r w:rsidR="000B562B" w:rsidRPr="00A176EA">
        <w:rPr>
          <w:lang w:val="fr-FR"/>
        </w:rPr>
        <w:t xml:space="preserve"> 2003 </w:t>
      </w:r>
      <w:r w:rsidR="00F20509">
        <w:rPr>
          <w:lang w:val="fr-FR"/>
        </w:rPr>
        <w:t>par décret ministériel,</w:t>
      </w:r>
      <w:r w:rsidR="00F20509" w:rsidRPr="00F20509">
        <w:rPr>
          <w:lang w:val="fr-FR"/>
        </w:rPr>
        <w:t xml:space="preserve"> </w:t>
      </w:r>
      <w:r w:rsidR="00F20509" w:rsidRPr="00B25695">
        <w:rPr>
          <w:lang w:val="fr-FR"/>
        </w:rPr>
        <w:t>a été étendu</w:t>
      </w:r>
      <w:r w:rsidR="00F20509" w:rsidRPr="00B172B3">
        <w:rPr>
          <w:lang w:val="fr-FR"/>
        </w:rPr>
        <w:t xml:space="preserve"> à l’Écosse en novembre</w:t>
      </w:r>
      <w:r w:rsidR="00F20509">
        <w:rPr>
          <w:lang w:val="fr-FR"/>
        </w:rPr>
        <w:t xml:space="preserve"> 2007. </w:t>
      </w:r>
      <w:r w:rsidR="00B172B3">
        <w:rPr>
          <w:lang w:val="fr-FR"/>
        </w:rPr>
        <w:t>Son objectif est de relever les normes appliquées dans c</w:t>
      </w:r>
      <w:r w:rsidR="00B25695">
        <w:rPr>
          <w:lang w:val="fr-FR"/>
        </w:rPr>
        <w:t xml:space="preserve">e secteur en introduisant une réglementation appropriée sous forme d’agrément des </w:t>
      </w:r>
      <w:r w:rsidR="008B20EB">
        <w:rPr>
          <w:lang w:val="fr-FR"/>
        </w:rPr>
        <w:t>employés du secteur</w:t>
      </w:r>
      <w:r w:rsidR="00B25695">
        <w:rPr>
          <w:lang w:val="fr-FR"/>
        </w:rPr>
        <w:t>. Cet agrément pour les différentes activités de sécurité a été introduit progressivement entre 2004 et 2008. Les activités soumises à un agrément sont le gardiennage</w:t>
      </w:r>
      <w:r w:rsidR="008B20EB">
        <w:rPr>
          <w:lang w:val="fr-FR"/>
        </w:rPr>
        <w:t xml:space="preserve"> contractuel</w:t>
      </w:r>
      <w:r w:rsidR="00B25695">
        <w:rPr>
          <w:lang w:val="fr-FR"/>
        </w:rPr>
        <w:t xml:space="preserve">, </w:t>
      </w:r>
      <w:r w:rsidR="00487728">
        <w:rPr>
          <w:lang w:val="fr-FR"/>
        </w:rPr>
        <w:t xml:space="preserve">le contrôle </w:t>
      </w:r>
      <w:r w:rsidR="00613999">
        <w:rPr>
          <w:lang w:val="fr-FR"/>
        </w:rPr>
        <w:t xml:space="preserve">des accès, en </w:t>
      </w:r>
      <w:r w:rsidR="001853AA">
        <w:rPr>
          <w:lang w:val="fr-FR"/>
        </w:rPr>
        <w:t xml:space="preserve">interne </w:t>
      </w:r>
      <w:r w:rsidR="00613999">
        <w:rPr>
          <w:lang w:val="fr-FR"/>
        </w:rPr>
        <w:t>ou</w:t>
      </w:r>
      <w:r w:rsidR="001853AA">
        <w:rPr>
          <w:lang w:val="fr-FR"/>
        </w:rPr>
        <w:t xml:space="preserve"> contractuel </w:t>
      </w:r>
      <w:r w:rsidR="00487728">
        <w:rPr>
          <w:lang w:val="fr-FR"/>
        </w:rPr>
        <w:t xml:space="preserve">(dans des établissements sous licence), </w:t>
      </w:r>
      <w:r w:rsidR="001853AA">
        <w:rPr>
          <w:lang w:val="fr-FR"/>
        </w:rPr>
        <w:t>l’enlèvement de véhicules</w:t>
      </w:r>
      <w:r w:rsidR="00613999">
        <w:rPr>
          <w:lang w:val="fr-FR"/>
        </w:rPr>
        <w:t>, en</w:t>
      </w:r>
      <w:r w:rsidR="001853AA">
        <w:rPr>
          <w:lang w:val="fr-FR"/>
        </w:rPr>
        <w:t xml:space="preserve"> interne </w:t>
      </w:r>
      <w:r w:rsidR="00613999">
        <w:rPr>
          <w:lang w:val="fr-FR"/>
        </w:rPr>
        <w:t>ou</w:t>
      </w:r>
      <w:r w:rsidR="001853AA">
        <w:rPr>
          <w:lang w:val="fr-FR"/>
        </w:rPr>
        <w:t xml:space="preserve"> contractuel</w:t>
      </w:r>
      <w:r w:rsidR="00613999">
        <w:rPr>
          <w:lang w:val="fr-FR"/>
        </w:rPr>
        <w:t>,</w:t>
      </w:r>
      <w:r w:rsidR="001853AA">
        <w:rPr>
          <w:lang w:val="fr-FR"/>
        </w:rPr>
        <w:t xml:space="preserve"> sur une propriété privée et </w:t>
      </w:r>
      <w:r w:rsidR="00171AF5">
        <w:rPr>
          <w:lang w:val="fr-FR"/>
        </w:rPr>
        <w:t>la conciergerie d’entreprise</w:t>
      </w:r>
      <w:r w:rsidR="000B562B" w:rsidRPr="00A176EA">
        <w:rPr>
          <w:lang w:val="fr-FR"/>
        </w:rPr>
        <w:t>.</w:t>
      </w:r>
    </w:p>
    <w:p w:rsidR="000B562B" w:rsidRPr="00A176EA" w:rsidRDefault="002549A9" w:rsidP="005E185B">
      <w:pPr>
        <w:pStyle w:val="SingleTxtG"/>
        <w:rPr>
          <w:lang w:val="fr-FR"/>
        </w:rPr>
      </w:pPr>
      <w:r w:rsidRPr="00A176EA">
        <w:rPr>
          <w:lang w:val="fr-FR"/>
        </w:rPr>
        <w:t>411.</w:t>
      </w:r>
      <w:r w:rsidRPr="00A176EA">
        <w:rPr>
          <w:lang w:val="fr-FR"/>
        </w:rPr>
        <w:tab/>
      </w:r>
      <w:r w:rsidR="000B562B" w:rsidRPr="00A176EA">
        <w:rPr>
          <w:lang w:val="fr-FR"/>
        </w:rPr>
        <w:t>L</w:t>
      </w:r>
      <w:r w:rsidR="00F20509">
        <w:rPr>
          <w:lang w:val="fr-FR"/>
        </w:rPr>
        <w:t xml:space="preserve">es demandes </w:t>
      </w:r>
      <w:r w:rsidR="00376BB2">
        <w:rPr>
          <w:lang w:val="fr-FR"/>
        </w:rPr>
        <w:t>d’agrément sont examinées au</w:t>
      </w:r>
      <w:r w:rsidR="008D15D8">
        <w:rPr>
          <w:lang w:val="fr-FR"/>
        </w:rPr>
        <w:t xml:space="preserve"> </w:t>
      </w:r>
      <w:r w:rsidR="00376BB2">
        <w:rPr>
          <w:lang w:val="fr-FR"/>
        </w:rPr>
        <w:t>regard du c</w:t>
      </w:r>
      <w:r w:rsidR="008D15D8">
        <w:rPr>
          <w:lang w:val="fr-FR"/>
        </w:rPr>
        <w:t>asier ju</w:t>
      </w:r>
      <w:r w:rsidR="00376BB2">
        <w:rPr>
          <w:lang w:val="fr-FR"/>
        </w:rPr>
        <w:t>diciaire du demande</w:t>
      </w:r>
      <w:r w:rsidR="008D15D8">
        <w:rPr>
          <w:lang w:val="fr-FR"/>
        </w:rPr>
        <w:t>ur</w:t>
      </w:r>
      <w:r w:rsidR="00376BB2">
        <w:rPr>
          <w:lang w:val="fr-FR"/>
        </w:rPr>
        <w:t xml:space="preserve">, le cas échéant, </w:t>
      </w:r>
      <w:r w:rsidR="00BC65F4">
        <w:rPr>
          <w:lang w:val="fr-FR"/>
        </w:rPr>
        <w:t xml:space="preserve">dont l’identité et le droit au travail sont vérifiés, et qui doivent avoir suivi la formation appropriée. L’agrément n’est délivré qu’aux individus justifiant d’un niveau de compétence minimum et considérés comme ayant les qualités requises pour travailler dans ce secteur (leur identité et leur casier judiciaire sont vérifiés). Après évaluation de son aptitude à travailler dans la sécurité privée, le demandeur obtient ou n’obtient pas l’agrément, en fonction de critères prédéfinis. </w:t>
      </w:r>
      <w:r w:rsidR="00341B60">
        <w:rPr>
          <w:lang w:val="fr-FR"/>
        </w:rPr>
        <w:t>L</w:t>
      </w:r>
      <w:r w:rsidR="005E185B">
        <w:rPr>
          <w:lang w:val="fr-FR"/>
        </w:rPr>
        <w:t xml:space="preserve">e Bureau d’agrément </w:t>
      </w:r>
      <w:r w:rsidR="00341B60">
        <w:rPr>
          <w:lang w:val="fr-FR"/>
        </w:rPr>
        <w:t>faisant</w:t>
      </w:r>
      <w:r w:rsidR="005E185B">
        <w:rPr>
          <w:lang w:val="fr-FR"/>
        </w:rPr>
        <w:t xml:space="preserve"> office d’organisme de réglementation, les normes seront les mêmes dans l’ensemble du Royaume-Uni</w:t>
      </w:r>
      <w:r w:rsidR="000B562B" w:rsidRPr="00A176EA">
        <w:rPr>
          <w:lang w:val="fr-FR"/>
        </w:rPr>
        <w:t>.</w:t>
      </w:r>
    </w:p>
    <w:p w:rsidR="000B562B" w:rsidRPr="00A176EA" w:rsidRDefault="002549A9" w:rsidP="005E185B">
      <w:pPr>
        <w:pStyle w:val="SingleTxtG"/>
        <w:rPr>
          <w:lang w:val="fr-FR"/>
        </w:rPr>
      </w:pPr>
      <w:r w:rsidRPr="00A176EA">
        <w:rPr>
          <w:lang w:val="fr-FR"/>
        </w:rPr>
        <w:t>412.</w:t>
      </w:r>
      <w:r w:rsidRPr="00A176EA">
        <w:rPr>
          <w:lang w:val="fr-FR"/>
        </w:rPr>
        <w:tab/>
      </w:r>
      <w:r w:rsidR="005E185B">
        <w:rPr>
          <w:lang w:val="fr-FR"/>
        </w:rPr>
        <w:t>Le Bureau d’agrément dirige également un Système volontaire de fournisseurs agréés pour la sécurité privée afin d’améliorer les normes de prestations</w:t>
      </w:r>
      <w:r w:rsidR="000B562B" w:rsidRPr="00A176EA">
        <w:rPr>
          <w:lang w:val="fr-FR"/>
        </w:rPr>
        <w:t>.</w:t>
      </w:r>
    </w:p>
    <w:p w:rsidR="000B562B" w:rsidRPr="00A176EA" w:rsidRDefault="002549A9" w:rsidP="00E5308B">
      <w:pPr>
        <w:pStyle w:val="SingleTxtG"/>
        <w:rPr>
          <w:lang w:val="fr-FR"/>
        </w:rPr>
      </w:pPr>
      <w:r w:rsidRPr="005E185B">
        <w:rPr>
          <w:lang w:val="fr-FR"/>
        </w:rPr>
        <w:t>413.</w:t>
      </w:r>
      <w:r w:rsidRPr="005E185B">
        <w:rPr>
          <w:lang w:val="fr-FR"/>
        </w:rPr>
        <w:tab/>
      </w:r>
      <w:r w:rsidR="008D15D8" w:rsidRPr="005E185B">
        <w:rPr>
          <w:lang w:val="fr-FR"/>
        </w:rPr>
        <w:t xml:space="preserve">La loi de 2001 sur les sociétés de sécurité privée érige en infraction pénale le fait de travailler dans certains secteurs de la sécurité privée sans agrément </w:t>
      </w:r>
      <w:r w:rsidR="00BC65F4" w:rsidRPr="005E185B">
        <w:rPr>
          <w:lang w:val="fr-FR"/>
        </w:rPr>
        <w:t>délivré par le Bureau d’agrément des sociétés de sécurité</w:t>
      </w:r>
      <w:r w:rsidR="000B562B" w:rsidRPr="005E185B">
        <w:rPr>
          <w:lang w:val="fr-FR"/>
        </w:rPr>
        <w:t xml:space="preserve">. </w:t>
      </w:r>
      <w:r w:rsidR="0025526A" w:rsidRPr="005E185B">
        <w:rPr>
          <w:lang w:val="fr-FR"/>
        </w:rPr>
        <w:t xml:space="preserve">Cette loi s’applique à l’Angleterre, au </w:t>
      </w:r>
      <w:r w:rsidR="005601A1" w:rsidRPr="005E185B">
        <w:rPr>
          <w:lang w:val="fr-FR"/>
        </w:rPr>
        <w:t>pays de Galles</w:t>
      </w:r>
      <w:r w:rsidR="0025526A" w:rsidRPr="005E185B">
        <w:rPr>
          <w:lang w:val="fr-FR"/>
        </w:rPr>
        <w:t xml:space="preserve"> et à l’</w:t>
      </w:r>
      <w:r w:rsidR="00FD2CE1" w:rsidRPr="005E185B">
        <w:rPr>
          <w:lang w:val="fr-FR"/>
        </w:rPr>
        <w:t>Écosse</w:t>
      </w:r>
      <w:r w:rsidR="0025526A" w:rsidRPr="005E185B">
        <w:rPr>
          <w:lang w:val="fr-FR"/>
        </w:rPr>
        <w:t>, et s’appliquera prochainement à l’</w:t>
      </w:r>
      <w:r w:rsidR="008F3DA4" w:rsidRPr="005E185B">
        <w:rPr>
          <w:lang w:val="fr-FR"/>
        </w:rPr>
        <w:t>Irlande du Nord</w:t>
      </w:r>
      <w:r w:rsidR="000B562B" w:rsidRPr="005E185B">
        <w:rPr>
          <w:lang w:val="fr-FR"/>
        </w:rPr>
        <w:t>.</w:t>
      </w:r>
    </w:p>
    <w:p w:rsidR="000B562B" w:rsidRPr="005E185B" w:rsidRDefault="00DD155D" w:rsidP="001C135E">
      <w:pPr>
        <w:pStyle w:val="H1G"/>
      </w:pPr>
      <w:bookmarkStart w:id="50" w:name="_Toc299724736"/>
      <w:r>
        <w:tab/>
      </w:r>
      <w:r>
        <w:tab/>
      </w:r>
      <w:r w:rsidR="000B562B" w:rsidRPr="005E185B">
        <w:t>Article 12</w:t>
      </w:r>
      <w:r w:rsidR="00F35187">
        <w:br/>
      </w:r>
      <w:r w:rsidR="0025526A" w:rsidRPr="005E185B">
        <w:t>Enquêtes sur les</w:t>
      </w:r>
      <w:r w:rsidR="000B562B" w:rsidRPr="005E185B">
        <w:t xml:space="preserve"> act</w:t>
      </w:r>
      <w:r w:rsidR="0025526A" w:rsidRPr="005E185B">
        <w:t>e</w:t>
      </w:r>
      <w:r w:rsidR="000B562B" w:rsidRPr="005E185B">
        <w:t xml:space="preserve">s </w:t>
      </w:r>
      <w:r w:rsidR="0025526A" w:rsidRPr="005E185B">
        <w:t>de</w:t>
      </w:r>
      <w:r w:rsidR="000B562B" w:rsidRPr="005E185B">
        <w:t xml:space="preserve"> torture </w:t>
      </w:r>
      <w:r w:rsidR="0025526A" w:rsidRPr="005E185B">
        <w:t>et autres formes de mauvais traitement</w:t>
      </w:r>
      <w:bookmarkEnd w:id="50"/>
      <w:r w:rsidR="0025526A" w:rsidRPr="005E185B">
        <w:t>s</w:t>
      </w:r>
    </w:p>
    <w:p w:rsidR="0025526A" w:rsidRPr="005E185B" w:rsidRDefault="0025526A" w:rsidP="00DE1014">
      <w:pPr>
        <w:pStyle w:val="H23G"/>
        <w:rPr>
          <w:lang w:val="fr-FR"/>
        </w:rPr>
      </w:pPr>
      <w:bookmarkStart w:id="51" w:name="_Toc299724737"/>
      <w:r w:rsidRPr="005E185B">
        <w:rPr>
          <w:lang w:val="fr-FR"/>
        </w:rPr>
        <w:t>Enquêtes sur les décès en garde à vue</w:t>
      </w:r>
      <w:bookmarkEnd w:id="51"/>
    </w:p>
    <w:p w:rsidR="000B562B" w:rsidRPr="00A176EA" w:rsidRDefault="0025526A" w:rsidP="00DE1014">
      <w:pPr>
        <w:pStyle w:val="H23G"/>
        <w:rPr>
          <w:snapToGrid w:val="0"/>
          <w:lang w:val="fr-FR"/>
        </w:rPr>
      </w:pPr>
      <w:r w:rsidRPr="005E185B">
        <w:rPr>
          <w:lang w:val="fr-FR"/>
        </w:rPr>
        <w:t xml:space="preserve">Angleterre et </w:t>
      </w:r>
      <w:r w:rsidR="00186A02">
        <w:rPr>
          <w:lang w:val="fr-FR"/>
        </w:rPr>
        <w:t>p</w:t>
      </w:r>
      <w:r w:rsidR="005601A1" w:rsidRPr="005E185B">
        <w:rPr>
          <w:lang w:val="fr-FR"/>
        </w:rPr>
        <w:t>ays de Galles</w:t>
      </w:r>
    </w:p>
    <w:p w:rsidR="000B562B" w:rsidRPr="00E2069C" w:rsidRDefault="002549A9" w:rsidP="007834EB">
      <w:pPr>
        <w:pStyle w:val="SingleTxtG"/>
        <w:rPr>
          <w:lang w:val="fr-FR"/>
        </w:rPr>
      </w:pPr>
      <w:r w:rsidRPr="005E185B">
        <w:rPr>
          <w:lang w:val="fr-FR"/>
        </w:rPr>
        <w:t>414.</w:t>
      </w:r>
      <w:r w:rsidRPr="005E185B">
        <w:rPr>
          <w:lang w:val="fr-FR"/>
        </w:rPr>
        <w:tab/>
      </w:r>
      <w:r w:rsidR="0025526A" w:rsidRPr="005E185B">
        <w:rPr>
          <w:lang w:val="fr-FR"/>
        </w:rPr>
        <w:t xml:space="preserve">Créée en avril 2004 en vertu de la </w:t>
      </w:r>
      <w:r w:rsidR="00E90AE8">
        <w:rPr>
          <w:lang w:val="fr-FR"/>
        </w:rPr>
        <w:t>p</w:t>
      </w:r>
      <w:r w:rsidR="0025526A" w:rsidRPr="005E185B">
        <w:rPr>
          <w:lang w:val="fr-FR"/>
        </w:rPr>
        <w:t>artie II de la loi de 2002 sur la réforme des services de police, l</w:t>
      </w:r>
      <w:r w:rsidR="00932991" w:rsidRPr="005E185B">
        <w:rPr>
          <w:lang w:val="fr-FR"/>
        </w:rPr>
        <w:t>a</w:t>
      </w:r>
      <w:r w:rsidR="000B562B" w:rsidRPr="005E185B">
        <w:rPr>
          <w:lang w:val="fr-FR"/>
        </w:rPr>
        <w:t xml:space="preserve"> </w:t>
      </w:r>
      <w:r w:rsidR="0090139B" w:rsidRPr="005E185B">
        <w:rPr>
          <w:lang w:val="fr-FR"/>
        </w:rPr>
        <w:t xml:space="preserve">Commission indépendante des plaintes contre la police </w:t>
      </w:r>
      <w:r w:rsidR="0025526A" w:rsidRPr="005E185B">
        <w:rPr>
          <w:lang w:val="fr-FR"/>
        </w:rPr>
        <w:t>e</w:t>
      </w:r>
      <w:r w:rsidR="00F6300A">
        <w:rPr>
          <w:lang w:val="fr-FR"/>
        </w:rPr>
        <w:t>s</w:t>
      </w:r>
      <w:r w:rsidR="0025526A" w:rsidRPr="005E185B">
        <w:rPr>
          <w:lang w:val="fr-FR"/>
        </w:rPr>
        <w:t>t l’organisme indépendant</w:t>
      </w:r>
      <w:r w:rsidR="000B562B" w:rsidRPr="005E185B">
        <w:rPr>
          <w:lang w:val="fr-FR"/>
        </w:rPr>
        <w:t xml:space="preserve"> </w:t>
      </w:r>
      <w:r w:rsidR="0025526A" w:rsidRPr="005E185B">
        <w:rPr>
          <w:lang w:val="fr-FR"/>
        </w:rPr>
        <w:t>qui a remplacé</w:t>
      </w:r>
      <w:r w:rsidR="000B562B" w:rsidRPr="005E185B">
        <w:rPr>
          <w:lang w:val="fr-FR"/>
        </w:rPr>
        <w:t xml:space="preserve"> </w:t>
      </w:r>
      <w:r w:rsidR="005601A1" w:rsidRPr="005E185B">
        <w:rPr>
          <w:lang w:val="fr-FR"/>
        </w:rPr>
        <w:t>l’Administration chargée des plain</w:t>
      </w:r>
      <w:r w:rsidR="006C2C82" w:rsidRPr="005E185B">
        <w:rPr>
          <w:lang w:val="fr-FR"/>
        </w:rPr>
        <w:t>t</w:t>
      </w:r>
      <w:r w:rsidR="005601A1" w:rsidRPr="005E185B">
        <w:rPr>
          <w:lang w:val="fr-FR"/>
        </w:rPr>
        <w:t>es contre la police</w:t>
      </w:r>
      <w:r w:rsidR="00F6300A">
        <w:rPr>
          <w:lang w:val="fr-FR"/>
        </w:rPr>
        <w:t>, et dispose de pouvoirs</w:t>
      </w:r>
      <w:r w:rsidR="000B562B" w:rsidRPr="005E185B">
        <w:rPr>
          <w:lang w:val="fr-FR"/>
        </w:rPr>
        <w:t xml:space="preserve"> </w:t>
      </w:r>
      <w:r w:rsidR="0025526A" w:rsidRPr="005E185B">
        <w:rPr>
          <w:lang w:val="fr-FR"/>
        </w:rPr>
        <w:t>plus étendus</w:t>
      </w:r>
      <w:r w:rsidR="000B562B" w:rsidRPr="005E185B">
        <w:rPr>
          <w:lang w:val="fr-FR"/>
        </w:rPr>
        <w:t>.</w:t>
      </w:r>
      <w:r w:rsidR="000B562B" w:rsidRPr="00A176EA">
        <w:rPr>
          <w:lang w:val="fr-FR"/>
        </w:rPr>
        <w:t xml:space="preserve"> </w:t>
      </w:r>
      <w:r w:rsidR="007834EB">
        <w:rPr>
          <w:lang w:val="fr-FR"/>
        </w:rPr>
        <w:t xml:space="preserve">Ses responsabilités </w:t>
      </w:r>
      <w:r w:rsidR="00341B60">
        <w:rPr>
          <w:lang w:val="fr-FR"/>
        </w:rPr>
        <w:t>s’appliquent aux</w:t>
      </w:r>
      <w:r w:rsidR="007834EB">
        <w:rPr>
          <w:lang w:val="fr-FR"/>
        </w:rPr>
        <w:t xml:space="preserve"> services de police d’Angleterre et du p</w:t>
      </w:r>
      <w:r w:rsidR="005601A1">
        <w:rPr>
          <w:lang w:val="fr-FR"/>
        </w:rPr>
        <w:t>ays de Galles</w:t>
      </w:r>
      <w:r w:rsidR="000B562B" w:rsidRPr="00A176EA">
        <w:rPr>
          <w:lang w:val="fr-FR"/>
        </w:rPr>
        <w:t xml:space="preserve">. </w:t>
      </w:r>
      <w:r w:rsidR="0025526A" w:rsidRPr="00E2069C">
        <w:rPr>
          <w:lang w:val="fr-FR"/>
        </w:rPr>
        <w:t>En avril</w:t>
      </w:r>
      <w:r w:rsidR="000B562B" w:rsidRPr="00E2069C">
        <w:rPr>
          <w:lang w:val="fr-FR"/>
        </w:rPr>
        <w:t xml:space="preserve"> 2006, </w:t>
      </w:r>
      <w:r w:rsidR="0025526A" w:rsidRPr="00E2069C">
        <w:rPr>
          <w:lang w:val="fr-FR"/>
        </w:rPr>
        <w:t>le mandat de la</w:t>
      </w:r>
      <w:r w:rsidR="000B562B" w:rsidRPr="00E2069C">
        <w:rPr>
          <w:lang w:val="fr-FR"/>
        </w:rPr>
        <w:t xml:space="preserve"> </w:t>
      </w:r>
      <w:r w:rsidR="0090139B" w:rsidRPr="00E2069C">
        <w:rPr>
          <w:lang w:val="fr-FR"/>
        </w:rPr>
        <w:t xml:space="preserve">Commission </w:t>
      </w:r>
      <w:r w:rsidR="007834EB" w:rsidRPr="00E2069C">
        <w:rPr>
          <w:lang w:val="fr-FR"/>
        </w:rPr>
        <w:t xml:space="preserve">a été étendu </w:t>
      </w:r>
      <w:r w:rsidR="00791523" w:rsidRPr="00E2069C">
        <w:rPr>
          <w:lang w:val="fr-FR"/>
        </w:rPr>
        <w:t>pour</w:t>
      </w:r>
      <w:r w:rsidR="007834EB" w:rsidRPr="00E2069C">
        <w:rPr>
          <w:lang w:val="fr-FR"/>
        </w:rPr>
        <w:t xml:space="preserve"> s’exerce</w:t>
      </w:r>
      <w:r w:rsidR="00791523" w:rsidRPr="00E2069C">
        <w:rPr>
          <w:lang w:val="fr-FR"/>
        </w:rPr>
        <w:t>r</w:t>
      </w:r>
      <w:r w:rsidR="007834EB" w:rsidRPr="00E2069C">
        <w:rPr>
          <w:lang w:val="fr-FR"/>
        </w:rPr>
        <w:t xml:space="preserve"> également sur l’Agence de lutte contre la grande criminalité organisée et l’Administration fiscale et douanière de Sa Majesté</w:t>
      </w:r>
      <w:r w:rsidR="00791523" w:rsidRPr="00E2069C">
        <w:rPr>
          <w:lang w:val="fr-FR"/>
        </w:rPr>
        <w:t>,</w:t>
      </w:r>
      <w:r w:rsidR="007834EB" w:rsidRPr="00E2069C">
        <w:rPr>
          <w:lang w:val="fr-FR"/>
        </w:rPr>
        <w:t xml:space="preserve"> </w:t>
      </w:r>
      <w:r w:rsidR="0025526A" w:rsidRPr="00E2069C">
        <w:rPr>
          <w:lang w:val="fr-FR"/>
        </w:rPr>
        <w:t>et,</w:t>
      </w:r>
      <w:r w:rsidR="000B562B" w:rsidRPr="00E2069C">
        <w:rPr>
          <w:lang w:val="fr-FR"/>
        </w:rPr>
        <w:t xml:space="preserve"> </w:t>
      </w:r>
      <w:r w:rsidR="0025526A" w:rsidRPr="00E2069C">
        <w:rPr>
          <w:lang w:val="fr-FR"/>
        </w:rPr>
        <w:t>e</w:t>
      </w:r>
      <w:r w:rsidR="000B562B" w:rsidRPr="00E2069C">
        <w:rPr>
          <w:lang w:val="fr-FR"/>
        </w:rPr>
        <w:t xml:space="preserve">n 2007, </w:t>
      </w:r>
      <w:r w:rsidR="00791523" w:rsidRPr="00E2069C">
        <w:rPr>
          <w:lang w:val="fr-FR"/>
        </w:rPr>
        <w:t xml:space="preserve">sur </w:t>
      </w:r>
      <w:r w:rsidR="0025526A" w:rsidRPr="00E2069C">
        <w:rPr>
          <w:lang w:val="fr-FR"/>
        </w:rPr>
        <w:t>l</w:t>
      </w:r>
      <w:r w:rsidR="000B562B" w:rsidRPr="00E2069C">
        <w:rPr>
          <w:lang w:val="fr-FR"/>
        </w:rPr>
        <w:t xml:space="preserve">e </w:t>
      </w:r>
      <w:r w:rsidR="006A0623" w:rsidRPr="00E2069C">
        <w:rPr>
          <w:lang w:val="fr-FR"/>
        </w:rPr>
        <w:t>Service de contrôle des frontières du Royaume-Uni</w:t>
      </w:r>
      <w:r w:rsidR="000B562B" w:rsidRPr="00E2069C">
        <w:rPr>
          <w:lang w:val="fr-FR"/>
        </w:rPr>
        <w:t xml:space="preserve">. </w:t>
      </w:r>
      <w:r w:rsidR="00F6300A" w:rsidRPr="00E2069C">
        <w:rPr>
          <w:lang w:val="fr-FR"/>
        </w:rPr>
        <w:t>La</w:t>
      </w:r>
      <w:r w:rsidR="000B562B" w:rsidRPr="00E2069C">
        <w:rPr>
          <w:lang w:val="fr-FR"/>
        </w:rPr>
        <w:t xml:space="preserve"> </w:t>
      </w:r>
      <w:r w:rsidR="0090139B" w:rsidRPr="00E2069C">
        <w:rPr>
          <w:lang w:val="fr-FR"/>
        </w:rPr>
        <w:t xml:space="preserve">Commission indépendante des plaintes contre la police </w:t>
      </w:r>
      <w:r w:rsidR="00E2069C" w:rsidRPr="00E2069C">
        <w:rPr>
          <w:lang w:val="fr-FR"/>
        </w:rPr>
        <w:t>est juridiquement garante du système de plaintes contre la police</w:t>
      </w:r>
      <w:r w:rsidR="000B562B" w:rsidRPr="00E2069C">
        <w:rPr>
          <w:lang w:val="fr-FR"/>
        </w:rPr>
        <w:t xml:space="preserve">. </w:t>
      </w:r>
      <w:r w:rsidR="00F6300A" w:rsidRPr="00E2069C">
        <w:rPr>
          <w:lang w:val="fr-FR"/>
        </w:rPr>
        <w:t>Bien que financée par le</w:t>
      </w:r>
      <w:r w:rsidR="000B562B" w:rsidRPr="00E2069C">
        <w:rPr>
          <w:lang w:val="fr-FR"/>
        </w:rPr>
        <w:t xml:space="preserve"> </w:t>
      </w:r>
      <w:r w:rsidR="00F6300A" w:rsidRPr="00E2069C">
        <w:rPr>
          <w:lang w:val="fr-FR"/>
        </w:rPr>
        <w:t>Ministère de l’intérieur</w:t>
      </w:r>
      <w:r w:rsidR="000B562B" w:rsidRPr="00E2069C">
        <w:rPr>
          <w:lang w:val="fr-FR"/>
        </w:rPr>
        <w:t xml:space="preserve">, </w:t>
      </w:r>
      <w:r w:rsidR="00F6300A" w:rsidRPr="00E2069C">
        <w:rPr>
          <w:lang w:val="fr-FR"/>
        </w:rPr>
        <w:t>elle exerce son mandat en toute indépendan</w:t>
      </w:r>
      <w:r w:rsidR="0077046F" w:rsidRPr="00E2069C">
        <w:rPr>
          <w:lang w:val="fr-FR"/>
        </w:rPr>
        <w:t>c</w:t>
      </w:r>
      <w:r w:rsidR="00F6300A" w:rsidRPr="00E2069C">
        <w:rPr>
          <w:lang w:val="fr-FR"/>
        </w:rPr>
        <w:t xml:space="preserve">e des services de police et </w:t>
      </w:r>
      <w:r w:rsidR="00341B60">
        <w:rPr>
          <w:lang w:val="fr-FR"/>
        </w:rPr>
        <w:t>des pouvoirs publics</w:t>
      </w:r>
      <w:r w:rsidR="000B562B" w:rsidRPr="00E2069C">
        <w:rPr>
          <w:lang w:val="fr-FR"/>
        </w:rPr>
        <w:t>.</w:t>
      </w:r>
    </w:p>
    <w:p w:rsidR="000B562B" w:rsidRPr="00A176EA" w:rsidRDefault="002549A9" w:rsidP="00E5308B">
      <w:pPr>
        <w:pStyle w:val="SingleTxtG"/>
        <w:rPr>
          <w:lang w:val="fr-FR"/>
        </w:rPr>
      </w:pPr>
      <w:r w:rsidRPr="00E2069C">
        <w:rPr>
          <w:lang w:val="fr-FR"/>
        </w:rPr>
        <w:t>415.</w:t>
      </w:r>
      <w:r w:rsidRPr="00E2069C">
        <w:rPr>
          <w:lang w:val="fr-FR"/>
        </w:rPr>
        <w:tab/>
      </w:r>
      <w:r w:rsidR="0077046F" w:rsidRPr="00E2069C">
        <w:rPr>
          <w:lang w:val="fr-FR"/>
        </w:rPr>
        <w:t>Les</w:t>
      </w:r>
      <w:r w:rsidR="000B562B" w:rsidRPr="00E2069C">
        <w:rPr>
          <w:lang w:val="fr-FR"/>
        </w:rPr>
        <w:t xml:space="preserve"> 15 </w:t>
      </w:r>
      <w:r w:rsidR="0077046F" w:rsidRPr="00E2069C">
        <w:rPr>
          <w:lang w:val="fr-FR"/>
        </w:rPr>
        <w:t xml:space="preserve">Commissaires de la </w:t>
      </w:r>
      <w:r w:rsidR="0090139B" w:rsidRPr="00E2069C">
        <w:rPr>
          <w:lang w:val="fr-FR"/>
        </w:rPr>
        <w:t>Commission indépendante des plaintes contre la police</w:t>
      </w:r>
      <w:r w:rsidR="000B562B" w:rsidRPr="00E2069C">
        <w:rPr>
          <w:lang w:val="fr-FR"/>
        </w:rPr>
        <w:t xml:space="preserve"> </w:t>
      </w:r>
      <w:r w:rsidR="0077046F" w:rsidRPr="00E2069C">
        <w:rPr>
          <w:lang w:val="fr-FR"/>
        </w:rPr>
        <w:t xml:space="preserve">garantissent l’indépendance de la Commission et aucun ne doit avoir été fonctionnaire de police </w:t>
      </w:r>
      <w:r w:rsidR="007834EB" w:rsidRPr="00E2069C">
        <w:rPr>
          <w:lang w:val="fr-FR"/>
        </w:rPr>
        <w:t xml:space="preserve">ni avoir occupé un poste dans l’Administration fiscale et douanière. Ils sont assistés de plus de 100 enquêteurs indépendants, de travailleurs sociaux et d’autres spécialistes. Les Commissaires et le personnel travaillent dans les bureaux régionaux de la </w:t>
      </w:r>
      <w:r w:rsidR="000B562B" w:rsidRPr="00E2069C">
        <w:rPr>
          <w:lang w:val="fr-FR"/>
        </w:rPr>
        <w:t>Commissio</w:t>
      </w:r>
      <w:r w:rsidR="007834EB" w:rsidRPr="00E2069C">
        <w:rPr>
          <w:lang w:val="fr-FR"/>
        </w:rPr>
        <w:t xml:space="preserve">n </w:t>
      </w:r>
      <w:r w:rsidR="00791523" w:rsidRPr="00E2069C">
        <w:rPr>
          <w:lang w:val="fr-FR"/>
        </w:rPr>
        <w:t>de</w:t>
      </w:r>
      <w:r w:rsidR="007834EB" w:rsidRPr="00E2069C">
        <w:rPr>
          <w:lang w:val="fr-FR"/>
        </w:rPr>
        <w:t xml:space="preserve"> </w:t>
      </w:r>
      <w:r w:rsidR="000B562B" w:rsidRPr="00E2069C">
        <w:rPr>
          <w:lang w:val="fr-FR"/>
        </w:rPr>
        <w:t xml:space="preserve">Cardiff, Coalville, </w:t>
      </w:r>
      <w:r w:rsidR="00791523" w:rsidRPr="00E2069C">
        <w:rPr>
          <w:lang w:val="fr-FR"/>
        </w:rPr>
        <w:t>Londres</w:t>
      </w:r>
      <w:r w:rsidR="000B562B" w:rsidRPr="00E2069C">
        <w:rPr>
          <w:lang w:val="fr-FR"/>
        </w:rPr>
        <w:t xml:space="preserve"> </w:t>
      </w:r>
      <w:r w:rsidR="00791523" w:rsidRPr="00E2069C">
        <w:rPr>
          <w:lang w:val="fr-FR"/>
        </w:rPr>
        <w:t>et</w:t>
      </w:r>
      <w:r w:rsidR="000B562B" w:rsidRPr="00E2069C">
        <w:rPr>
          <w:lang w:val="fr-FR"/>
        </w:rPr>
        <w:t xml:space="preserve"> Sale</w:t>
      </w:r>
      <w:r w:rsidR="00791523" w:rsidRPr="00E2069C">
        <w:rPr>
          <w:lang w:val="fr-FR"/>
        </w:rPr>
        <w:t>, auxquels s’ajoute une antenne à</w:t>
      </w:r>
      <w:r w:rsidR="000B562B" w:rsidRPr="00E2069C">
        <w:rPr>
          <w:lang w:val="fr-FR"/>
        </w:rPr>
        <w:t xml:space="preserve"> Wakefield.</w:t>
      </w:r>
    </w:p>
    <w:p w:rsidR="000B562B" w:rsidRPr="00A176EA" w:rsidRDefault="002549A9" w:rsidP="00DD5165">
      <w:pPr>
        <w:pStyle w:val="SingleTxtG"/>
        <w:rPr>
          <w:lang w:val="fr-FR"/>
        </w:rPr>
      </w:pPr>
      <w:r w:rsidRPr="00A176EA">
        <w:rPr>
          <w:lang w:val="fr-FR"/>
        </w:rPr>
        <w:t>416.</w:t>
      </w:r>
      <w:r w:rsidRPr="00A176EA">
        <w:rPr>
          <w:lang w:val="fr-FR"/>
        </w:rPr>
        <w:tab/>
      </w:r>
      <w:r w:rsidR="00CD40BD">
        <w:rPr>
          <w:lang w:val="fr-FR"/>
        </w:rPr>
        <w:t xml:space="preserve">Tous les décès et blessures graves </w:t>
      </w:r>
      <w:r w:rsidR="005A4E43">
        <w:rPr>
          <w:lang w:val="fr-FR"/>
        </w:rPr>
        <w:t>survenus</w:t>
      </w:r>
      <w:r w:rsidR="0013782F">
        <w:rPr>
          <w:lang w:val="fr-FR"/>
        </w:rPr>
        <w:t xml:space="preserve"> à </w:t>
      </w:r>
      <w:r w:rsidR="005A4E43">
        <w:rPr>
          <w:lang w:val="fr-FR"/>
        </w:rPr>
        <w:t>l’occasion</w:t>
      </w:r>
      <w:r w:rsidR="0013782F">
        <w:rPr>
          <w:lang w:val="fr-FR"/>
        </w:rPr>
        <w:t xml:space="preserve"> d’une intervention de la police ou du bureau de police de </w:t>
      </w:r>
      <w:r w:rsidR="007834EB" w:rsidRPr="0013782F">
        <w:rPr>
          <w:lang w:val="fr-FR"/>
        </w:rPr>
        <w:t>l’Agence de lutte contre la grande criminalité organisée</w:t>
      </w:r>
      <w:r w:rsidR="000B562B" w:rsidRPr="0013782F">
        <w:rPr>
          <w:lang w:val="fr-FR"/>
        </w:rPr>
        <w:t xml:space="preserve"> </w:t>
      </w:r>
      <w:r w:rsidR="0013782F" w:rsidRPr="0013782F">
        <w:rPr>
          <w:lang w:val="fr-FR"/>
        </w:rPr>
        <w:t>et de l’Administration fiscale et douanière doivent être signalés à la</w:t>
      </w:r>
      <w:r w:rsidR="000B562B" w:rsidRPr="0013782F">
        <w:rPr>
          <w:lang w:val="fr-FR"/>
        </w:rPr>
        <w:t xml:space="preserve"> </w:t>
      </w:r>
      <w:r w:rsidR="0090139B" w:rsidRPr="0013782F">
        <w:rPr>
          <w:lang w:val="fr-FR"/>
        </w:rPr>
        <w:t>Commission</w:t>
      </w:r>
      <w:r w:rsidR="000B562B" w:rsidRPr="00A176EA">
        <w:rPr>
          <w:lang w:val="fr-FR"/>
        </w:rPr>
        <w:t xml:space="preserve">. </w:t>
      </w:r>
      <w:r w:rsidR="0013782F">
        <w:rPr>
          <w:lang w:val="fr-FR"/>
        </w:rPr>
        <w:t xml:space="preserve">Cette dernière peut recommander ou ordonner que les responsables fassent l’objet d’une procédure disciplinaire si celle-ci n’a pas encore été engagée. </w:t>
      </w:r>
      <w:r w:rsidR="004E26EA" w:rsidRPr="00DD5165">
        <w:rPr>
          <w:lang w:val="fr-FR"/>
        </w:rPr>
        <w:t xml:space="preserve">Si </w:t>
      </w:r>
      <w:r w:rsidR="005A4E43">
        <w:rPr>
          <w:lang w:val="fr-FR"/>
        </w:rPr>
        <w:t>la faute</w:t>
      </w:r>
      <w:r w:rsidR="004E26EA" w:rsidRPr="00DD5165">
        <w:rPr>
          <w:lang w:val="fr-FR"/>
        </w:rPr>
        <w:t xml:space="preserve"> présumée </w:t>
      </w:r>
      <w:r w:rsidR="00DD5165" w:rsidRPr="00DD5165">
        <w:rPr>
          <w:lang w:val="fr-FR"/>
        </w:rPr>
        <w:t xml:space="preserve">relève d’une infraction pénale, le </w:t>
      </w:r>
      <w:r w:rsidR="007A1549">
        <w:rPr>
          <w:lang w:val="fr-FR"/>
        </w:rPr>
        <w:t>m</w:t>
      </w:r>
      <w:r w:rsidR="00327073" w:rsidRPr="00DD5165">
        <w:rPr>
          <w:lang w:val="fr-FR"/>
        </w:rPr>
        <w:t>inistère public de la Couronne</w:t>
      </w:r>
      <w:r w:rsidR="000B562B" w:rsidRPr="00DD5165">
        <w:rPr>
          <w:lang w:val="fr-FR"/>
        </w:rPr>
        <w:t xml:space="preserve"> d</w:t>
      </w:r>
      <w:r w:rsidR="00DD5165" w:rsidRPr="00DD5165">
        <w:rPr>
          <w:lang w:val="fr-FR"/>
        </w:rPr>
        <w:t>é</w:t>
      </w:r>
      <w:r w:rsidR="000B562B" w:rsidRPr="00DD5165">
        <w:rPr>
          <w:lang w:val="fr-FR"/>
        </w:rPr>
        <w:t>termine</w:t>
      </w:r>
      <w:r w:rsidR="00DD5165">
        <w:rPr>
          <w:lang w:val="fr-FR"/>
        </w:rPr>
        <w:t xml:space="preserve"> si des poursuites pénales se justifient. </w:t>
      </w:r>
      <w:r w:rsidR="0080325F" w:rsidRPr="00DD5165">
        <w:rPr>
          <w:lang w:val="fr-FR"/>
        </w:rPr>
        <w:t xml:space="preserve">Les enquêtes et les décisions de la </w:t>
      </w:r>
      <w:r w:rsidR="0090139B" w:rsidRPr="00DD5165">
        <w:rPr>
          <w:lang w:val="fr-FR"/>
        </w:rPr>
        <w:t xml:space="preserve">Commission </w:t>
      </w:r>
      <w:r w:rsidR="00DD5165">
        <w:rPr>
          <w:lang w:val="fr-FR"/>
        </w:rPr>
        <w:t xml:space="preserve">peuvent faire l’objet d’un recours interne ou </w:t>
      </w:r>
      <w:r w:rsidR="005A4E43">
        <w:rPr>
          <w:lang w:val="fr-FR"/>
        </w:rPr>
        <w:t>auprès d’</w:t>
      </w:r>
      <w:r w:rsidR="00DD5165">
        <w:rPr>
          <w:lang w:val="fr-FR"/>
        </w:rPr>
        <w:t>un tribunal</w:t>
      </w:r>
      <w:r w:rsidR="000B562B" w:rsidRPr="00A176EA">
        <w:rPr>
          <w:lang w:val="fr-FR"/>
        </w:rPr>
        <w:t>.</w:t>
      </w:r>
    </w:p>
    <w:p w:rsidR="000B562B" w:rsidRPr="00A176EA" w:rsidRDefault="00C71958" w:rsidP="00E5308B">
      <w:pPr>
        <w:pStyle w:val="H23G"/>
        <w:rPr>
          <w:lang w:val="fr-FR"/>
        </w:rPr>
      </w:pPr>
      <w:r>
        <w:rPr>
          <w:lang w:val="fr-FR"/>
        </w:rPr>
        <w:t xml:space="preserve">Procédures </w:t>
      </w:r>
      <w:r w:rsidR="00685E81">
        <w:rPr>
          <w:lang w:val="fr-FR"/>
        </w:rPr>
        <w:t>de</w:t>
      </w:r>
      <w:r>
        <w:rPr>
          <w:lang w:val="fr-FR"/>
        </w:rPr>
        <w:t xml:space="preserve"> la </w:t>
      </w:r>
      <w:r w:rsidR="0090139B" w:rsidRPr="00C71958">
        <w:rPr>
          <w:lang w:val="fr-FR"/>
        </w:rPr>
        <w:t>Commission indépendante des plaintes contre la police</w:t>
      </w:r>
      <w:r w:rsidR="000B562B" w:rsidRPr="00A176EA">
        <w:rPr>
          <w:lang w:val="fr-FR"/>
        </w:rPr>
        <w:t xml:space="preserve"> </w:t>
      </w:r>
    </w:p>
    <w:p w:rsidR="000B562B" w:rsidRPr="00A176EA" w:rsidRDefault="002549A9" w:rsidP="003B3051">
      <w:pPr>
        <w:pStyle w:val="SingleTxtG"/>
        <w:rPr>
          <w:lang w:val="fr-FR"/>
        </w:rPr>
      </w:pPr>
      <w:r w:rsidRPr="00A176EA">
        <w:rPr>
          <w:lang w:val="fr-FR"/>
        </w:rPr>
        <w:t>417.</w:t>
      </w:r>
      <w:r w:rsidRPr="00A176EA">
        <w:rPr>
          <w:lang w:val="fr-FR"/>
        </w:rPr>
        <w:tab/>
      </w:r>
      <w:r w:rsidR="003B3051">
        <w:rPr>
          <w:lang w:val="fr-FR"/>
        </w:rPr>
        <w:t xml:space="preserve">La suite donnée aux affaires dont est saisie la Commission indépendante des plaintes contre la police est variable. La Commission décide d’abord s’il est nécessaire d’enquêter </w:t>
      </w:r>
      <w:r w:rsidR="00EA0E1F">
        <w:rPr>
          <w:lang w:val="fr-FR"/>
        </w:rPr>
        <w:t>et</w:t>
      </w:r>
      <w:r w:rsidR="003B3051">
        <w:rPr>
          <w:lang w:val="fr-FR"/>
        </w:rPr>
        <w:t>, lorsque les circonstances le justifient, quel type d’enquête doit être mené</w:t>
      </w:r>
      <w:r w:rsidR="000B562B" w:rsidRPr="00A176EA">
        <w:rPr>
          <w:lang w:val="fr-FR"/>
        </w:rPr>
        <w:t>.</w:t>
      </w:r>
    </w:p>
    <w:p w:rsidR="000B562B" w:rsidRPr="00A176EA" w:rsidRDefault="002549A9" w:rsidP="0029405C">
      <w:pPr>
        <w:pStyle w:val="SingleTxtG"/>
        <w:rPr>
          <w:lang w:val="fr-FR"/>
        </w:rPr>
      </w:pPr>
      <w:r w:rsidRPr="00A176EA">
        <w:rPr>
          <w:lang w:val="fr-FR"/>
        </w:rPr>
        <w:t>418.</w:t>
      </w:r>
      <w:r w:rsidRPr="00A176EA">
        <w:rPr>
          <w:lang w:val="fr-FR"/>
        </w:rPr>
        <w:tab/>
      </w:r>
      <w:r w:rsidR="003B3051">
        <w:rPr>
          <w:lang w:val="fr-FR"/>
        </w:rPr>
        <w:t>Enquêtes indépendantes</w:t>
      </w:r>
      <w:r w:rsidR="00FC2B97">
        <w:rPr>
          <w:lang w:val="fr-FR"/>
        </w:rPr>
        <w:t>:</w:t>
      </w:r>
      <w:r w:rsidR="000B562B" w:rsidRPr="00A176EA">
        <w:rPr>
          <w:lang w:val="fr-FR"/>
        </w:rPr>
        <w:t xml:space="preserve"> </w:t>
      </w:r>
      <w:r w:rsidR="009B27BC">
        <w:rPr>
          <w:lang w:val="fr-FR"/>
        </w:rPr>
        <w:t xml:space="preserve">les incidents </w:t>
      </w:r>
      <w:r w:rsidR="0029405C">
        <w:rPr>
          <w:lang w:val="fr-FR"/>
        </w:rPr>
        <w:t>relevant de l’intérêt général, qui sont les plus susceptibles d’avoir un effet sur la communauté ou des conséquences graves pour la réputation des services de police, aboutissent le plus souvent à une enquête indépendante menée par le personnel de la Commission. Le seul recours contre une enquête indépendante est le tribunal administratif</w:t>
      </w:r>
      <w:r w:rsidR="000B562B" w:rsidRPr="00A176EA">
        <w:rPr>
          <w:lang w:val="fr-FR"/>
        </w:rPr>
        <w:t>.</w:t>
      </w:r>
    </w:p>
    <w:p w:rsidR="002924A3" w:rsidRDefault="002549A9" w:rsidP="002924A3">
      <w:pPr>
        <w:pStyle w:val="SingleTxtG"/>
        <w:rPr>
          <w:lang w:val="fr-FR"/>
        </w:rPr>
      </w:pPr>
      <w:r w:rsidRPr="00A176EA">
        <w:rPr>
          <w:lang w:val="fr-FR"/>
        </w:rPr>
        <w:t>419.</w:t>
      </w:r>
      <w:r w:rsidRPr="00A176EA">
        <w:rPr>
          <w:lang w:val="fr-FR"/>
        </w:rPr>
        <w:tab/>
      </w:r>
      <w:r w:rsidR="009B27BC" w:rsidRPr="0029405C">
        <w:rPr>
          <w:lang w:val="fr-FR"/>
        </w:rPr>
        <w:t>Enquêtes dirigées</w:t>
      </w:r>
      <w:r w:rsidR="00FC2B97">
        <w:rPr>
          <w:lang w:val="fr-FR"/>
        </w:rPr>
        <w:t>:</w:t>
      </w:r>
      <w:r w:rsidR="000B562B" w:rsidRPr="00A176EA">
        <w:rPr>
          <w:lang w:val="fr-FR"/>
        </w:rPr>
        <w:t xml:space="preserve"> </w:t>
      </w:r>
      <w:r w:rsidR="00685E81">
        <w:rPr>
          <w:lang w:val="fr-FR"/>
        </w:rPr>
        <w:t xml:space="preserve">lorsqu’un incident, une plainte ou une allégation </w:t>
      </w:r>
      <w:r w:rsidR="005A4E43">
        <w:rPr>
          <w:lang w:val="fr-FR"/>
        </w:rPr>
        <w:t>de faute</w:t>
      </w:r>
      <w:r w:rsidR="00685E81">
        <w:rPr>
          <w:lang w:val="fr-FR"/>
        </w:rPr>
        <w:t xml:space="preserve"> revêt une importance et un intérêt général probable tels qu’une enquête doit être diligentée sous la direction et le contrôle de la Commission mais qu’une enquête indépendante ne se justifie pas, la police mène une enquête dirigée sous le contrôle de la Commission. En concertation avec la police, la Commission établit </w:t>
      </w:r>
      <w:r w:rsidR="002924A3">
        <w:rPr>
          <w:lang w:val="fr-FR"/>
        </w:rPr>
        <w:t xml:space="preserve">le mandat de l’enquête. Un Commissaire doit approuver ce mandat et le choix du responsable d’enquête désigné par les services de police. Le Directeur régional ou l’Enquêteur de la Commission </w:t>
      </w:r>
      <w:r w:rsidR="005A4E43">
        <w:rPr>
          <w:lang w:val="fr-FR"/>
        </w:rPr>
        <w:t>supervise</w:t>
      </w:r>
      <w:r w:rsidR="002924A3">
        <w:rPr>
          <w:lang w:val="fr-FR"/>
        </w:rPr>
        <w:t xml:space="preserve"> l’enquête et reçoit des rapports réguliers sur sa progression. Le compte rendu des décisions et la conduite en temps opportun de l’enquête relèvent de la responsabilité de la Commission. Le seul recours contre une enquête dirigée est le tribunal administratif</w:t>
      </w:r>
      <w:r w:rsidR="002924A3" w:rsidRPr="00A176EA">
        <w:rPr>
          <w:lang w:val="fr-FR"/>
        </w:rPr>
        <w:t>.</w:t>
      </w:r>
    </w:p>
    <w:p w:rsidR="000B562B" w:rsidRPr="00A176EA" w:rsidRDefault="002549A9" w:rsidP="007E4A51">
      <w:pPr>
        <w:pStyle w:val="SingleTxtG"/>
        <w:rPr>
          <w:lang w:val="fr-FR"/>
        </w:rPr>
      </w:pPr>
      <w:r w:rsidRPr="00A176EA">
        <w:rPr>
          <w:lang w:val="fr-FR"/>
        </w:rPr>
        <w:t>420.</w:t>
      </w:r>
      <w:r w:rsidRPr="00A176EA">
        <w:rPr>
          <w:lang w:val="fr-FR"/>
        </w:rPr>
        <w:tab/>
      </w:r>
      <w:r w:rsidR="009B27BC" w:rsidRPr="002924A3">
        <w:rPr>
          <w:lang w:val="fr-FR"/>
        </w:rPr>
        <w:t>Enquêtes supervisées</w:t>
      </w:r>
      <w:r w:rsidR="00FC2B97">
        <w:rPr>
          <w:lang w:val="fr-FR"/>
        </w:rPr>
        <w:t>:</w:t>
      </w:r>
      <w:r w:rsidR="000B562B" w:rsidRPr="00A176EA">
        <w:rPr>
          <w:lang w:val="fr-FR"/>
        </w:rPr>
        <w:t xml:space="preserve"> </w:t>
      </w:r>
      <w:r w:rsidR="002924A3">
        <w:rPr>
          <w:lang w:val="fr-FR"/>
        </w:rPr>
        <w:t xml:space="preserve">lorsque la Commission décide qu’un incident, une plainte ou une allégation </w:t>
      </w:r>
      <w:r w:rsidR="00C43FD9">
        <w:rPr>
          <w:lang w:val="fr-FR"/>
        </w:rPr>
        <w:t>de faute</w:t>
      </w:r>
      <w:r w:rsidR="002924A3">
        <w:rPr>
          <w:lang w:val="fr-FR"/>
        </w:rPr>
        <w:t xml:space="preserve"> est </w:t>
      </w:r>
      <w:r w:rsidR="00C20E09">
        <w:rPr>
          <w:lang w:val="fr-FR"/>
        </w:rPr>
        <w:t>de moindre</w:t>
      </w:r>
      <w:r w:rsidR="002924A3">
        <w:rPr>
          <w:lang w:val="fr-FR"/>
        </w:rPr>
        <w:t xml:space="preserve"> importan</w:t>
      </w:r>
      <w:r w:rsidR="00C20E09">
        <w:rPr>
          <w:lang w:val="fr-FR"/>
        </w:rPr>
        <w:t>c</w:t>
      </w:r>
      <w:r w:rsidR="002924A3">
        <w:rPr>
          <w:lang w:val="fr-FR"/>
        </w:rPr>
        <w:t xml:space="preserve">e et concerne moins l’intérêt général que </w:t>
      </w:r>
      <w:r w:rsidR="00C20E09">
        <w:rPr>
          <w:lang w:val="fr-FR"/>
        </w:rPr>
        <w:t xml:space="preserve">des faits </w:t>
      </w:r>
      <w:r w:rsidR="00505462">
        <w:rPr>
          <w:lang w:val="fr-FR"/>
        </w:rPr>
        <w:t>nécessitant</w:t>
      </w:r>
      <w:r w:rsidR="002924A3">
        <w:rPr>
          <w:lang w:val="fr-FR"/>
        </w:rPr>
        <w:t xml:space="preserve"> une enquête indépendante ou dirigée, mais qu’elle doit contrôler </w:t>
      </w:r>
      <w:r w:rsidR="00A46CF1">
        <w:rPr>
          <w:lang w:val="fr-FR"/>
        </w:rPr>
        <w:t xml:space="preserve">elle-même </w:t>
      </w:r>
      <w:r w:rsidR="002924A3">
        <w:rPr>
          <w:lang w:val="fr-FR"/>
        </w:rPr>
        <w:t xml:space="preserve">l’enquête, les services de police mènent une enquête supervisée. Un Commissaire doit approuver le choix de l’enquêteur, le mandat et le </w:t>
      </w:r>
      <w:r w:rsidR="007E4A51">
        <w:rPr>
          <w:lang w:val="fr-FR"/>
        </w:rPr>
        <w:t>plan d’enquête, ces deux derniers étant élaborés par la police. Un processus de contrôle régulier par la Commission</w:t>
      </w:r>
      <w:r w:rsidR="007E4A51" w:rsidRPr="007E4A51">
        <w:rPr>
          <w:lang w:val="fr-FR"/>
        </w:rPr>
        <w:t xml:space="preserve"> </w:t>
      </w:r>
      <w:r w:rsidR="007E4A51">
        <w:rPr>
          <w:lang w:val="fr-FR"/>
        </w:rPr>
        <w:t xml:space="preserve">peut être convenu, qui comprend une évaluation des risques et dépend de la nature et de l’étendue de l’enquête, et doit alors figurer dans le mandat. </w:t>
      </w:r>
      <w:r w:rsidR="007E4A51" w:rsidRPr="007E4A51">
        <w:rPr>
          <w:lang w:val="fr-FR"/>
        </w:rPr>
        <w:t xml:space="preserve">Dans ce cas, tout fait nouveau doit être </w:t>
      </w:r>
      <w:r w:rsidR="007E4A51">
        <w:rPr>
          <w:lang w:val="fr-FR"/>
        </w:rPr>
        <w:t>consigné</w:t>
      </w:r>
      <w:r w:rsidR="007E4A51" w:rsidRPr="007E4A51">
        <w:rPr>
          <w:lang w:val="fr-FR"/>
        </w:rPr>
        <w:t>.</w:t>
      </w:r>
      <w:r w:rsidR="007E4A51">
        <w:rPr>
          <w:lang w:val="fr-FR"/>
        </w:rPr>
        <w:t xml:space="preserve"> </w:t>
      </w:r>
      <w:r w:rsidR="007E4A51" w:rsidRPr="007E4A51">
        <w:rPr>
          <w:lang w:val="fr-FR"/>
        </w:rPr>
        <w:t>Le compte rendu des décisions et la conduite en temps opportun de l’enquête relèvent de la responsabilité</w:t>
      </w:r>
      <w:r w:rsidR="007E4A51">
        <w:rPr>
          <w:lang w:val="fr-FR"/>
        </w:rPr>
        <w:t xml:space="preserve"> des services de police. À l’issue de l’enquête, le plaignant peut former un recours auprès de la Commission</w:t>
      </w:r>
      <w:r w:rsidR="000B562B" w:rsidRPr="00A176EA">
        <w:rPr>
          <w:lang w:val="fr-FR"/>
        </w:rPr>
        <w:t>.</w:t>
      </w:r>
    </w:p>
    <w:p w:rsidR="000B562B" w:rsidRPr="00A176EA" w:rsidRDefault="002549A9" w:rsidP="00A14377">
      <w:pPr>
        <w:pStyle w:val="SingleTxtG"/>
        <w:rPr>
          <w:lang w:val="fr-FR"/>
        </w:rPr>
      </w:pPr>
      <w:r w:rsidRPr="00A176EA">
        <w:rPr>
          <w:lang w:val="fr-FR"/>
        </w:rPr>
        <w:t>421.</w:t>
      </w:r>
      <w:r w:rsidRPr="00A176EA">
        <w:rPr>
          <w:lang w:val="fr-FR"/>
        </w:rPr>
        <w:tab/>
      </w:r>
      <w:r w:rsidR="009B27BC" w:rsidRPr="007E4A51">
        <w:rPr>
          <w:lang w:val="fr-FR"/>
        </w:rPr>
        <w:t>Enquêtes locales</w:t>
      </w:r>
      <w:r w:rsidR="00FC2B97">
        <w:rPr>
          <w:lang w:val="fr-FR"/>
        </w:rPr>
        <w:t>:</w:t>
      </w:r>
      <w:r w:rsidR="000B562B" w:rsidRPr="00A176EA">
        <w:rPr>
          <w:lang w:val="fr-FR"/>
        </w:rPr>
        <w:t xml:space="preserve"> </w:t>
      </w:r>
      <w:r w:rsidR="007E4A51">
        <w:rPr>
          <w:lang w:val="fr-FR"/>
        </w:rPr>
        <w:t xml:space="preserve">une enquête locale est diligentée lorsque la Commission conclut </w:t>
      </w:r>
      <w:r w:rsidR="007B5FFE">
        <w:rPr>
          <w:lang w:val="fr-FR"/>
        </w:rPr>
        <w:t xml:space="preserve">qu’aucun des facteurs identifiés ne peut être considéré comme grave ou d’intérêt général et que les services de police ont les ressources et l’expérience </w:t>
      </w:r>
      <w:r w:rsidR="00A14377">
        <w:rPr>
          <w:lang w:val="fr-FR"/>
        </w:rPr>
        <w:t>requises</w:t>
      </w:r>
      <w:r w:rsidR="007B5FFE">
        <w:rPr>
          <w:lang w:val="fr-FR"/>
        </w:rPr>
        <w:t xml:space="preserve"> pour </w:t>
      </w:r>
      <w:r w:rsidR="00A14377">
        <w:rPr>
          <w:lang w:val="fr-FR"/>
        </w:rPr>
        <w:t>mener l’enquête sans aide extérieure. À l’issue de l’enquête, le plaignant peut former un recours auprès de la Commission</w:t>
      </w:r>
      <w:r w:rsidR="000B562B" w:rsidRPr="00A176EA">
        <w:rPr>
          <w:lang w:val="fr-FR"/>
        </w:rPr>
        <w:t>.</w:t>
      </w:r>
    </w:p>
    <w:p w:rsidR="000B562B" w:rsidRPr="00A176EA" w:rsidRDefault="002549A9" w:rsidP="00A14377">
      <w:pPr>
        <w:pStyle w:val="SingleTxtG"/>
        <w:rPr>
          <w:lang w:val="fr-FR"/>
        </w:rPr>
      </w:pPr>
      <w:r w:rsidRPr="00A176EA">
        <w:rPr>
          <w:lang w:val="fr-FR"/>
        </w:rPr>
        <w:t>422.</w:t>
      </w:r>
      <w:r w:rsidRPr="00A176EA">
        <w:rPr>
          <w:lang w:val="fr-FR"/>
        </w:rPr>
        <w:tab/>
      </w:r>
      <w:r w:rsidR="00A14377">
        <w:rPr>
          <w:lang w:val="fr-FR"/>
        </w:rPr>
        <w:t xml:space="preserve">Dans certains cas, la Commission peut décider de renvoyer l’affaire devant le service de police concerné, qui la traitera de la façon </w:t>
      </w:r>
      <w:r w:rsidR="00850B37">
        <w:rPr>
          <w:lang w:val="fr-FR"/>
        </w:rPr>
        <w:t>qu’il jugera</w:t>
      </w:r>
      <w:r w:rsidR="00A14377">
        <w:rPr>
          <w:lang w:val="fr-FR"/>
        </w:rPr>
        <w:t xml:space="preserve"> convenir. Ces affaires peuvent être réglées à l’échelon local</w:t>
      </w:r>
      <w:r w:rsidR="000B562B" w:rsidRPr="00A176EA">
        <w:rPr>
          <w:lang w:val="fr-FR"/>
        </w:rPr>
        <w:t>.</w:t>
      </w:r>
    </w:p>
    <w:p w:rsidR="000B562B" w:rsidRPr="00A176EA" w:rsidRDefault="002549A9" w:rsidP="000B1B22">
      <w:pPr>
        <w:pStyle w:val="SingleTxtG"/>
        <w:rPr>
          <w:lang w:val="fr-FR"/>
        </w:rPr>
      </w:pPr>
      <w:r w:rsidRPr="00A176EA">
        <w:rPr>
          <w:lang w:val="fr-FR"/>
        </w:rPr>
        <w:t>423.</w:t>
      </w:r>
      <w:r w:rsidRPr="00A176EA">
        <w:rPr>
          <w:lang w:val="fr-FR"/>
        </w:rPr>
        <w:tab/>
      </w:r>
      <w:r w:rsidR="00A14377">
        <w:rPr>
          <w:lang w:val="fr-FR"/>
        </w:rPr>
        <w:t>Règlement local</w:t>
      </w:r>
      <w:r w:rsidR="00FC2B97">
        <w:rPr>
          <w:lang w:val="fr-FR"/>
        </w:rPr>
        <w:t>:</w:t>
      </w:r>
      <w:r w:rsidR="000B562B" w:rsidRPr="00A176EA">
        <w:rPr>
          <w:lang w:val="fr-FR"/>
        </w:rPr>
        <w:t xml:space="preserve"> </w:t>
      </w:r>
      <w:r w:rsidR="00A14377">
        <w:rPr>
          <w:lang w:val="fr-FR"/>
        </w:rPr>
        <w:t xml:space="preserve">pour les plaintes les moins graves, </w:t>
      </w:r>
      <w:r w:rsidR="00850B37">
        <w:rPr>
          <w:lang w:val="fr-FR"/>
        </w:rPr>
        <w:t>pour</w:t>
      </w:r>
      <w:r w:rsidR="00A14377">
        <w:rPr>
          <w:lang w:val="fr-FR"/>
        </w:rPr>
        <w:t xml:space="preserve"> grossièreté ou incivilité,</w:t>
      </w:r>
      <w:r w:rsidR="00850B37">
        <w:rPr>
          <w:lang w:val="fr-FR"/>
        </w:rPr>
        <w:t xml:space="preserve"> par exemple,</w:t>
      </w:r>
      <w:r w:rsidR="00A14377">
        <w:rPr>
          <w:lang w:val="fr-FR"/>
        </w:rPr>
        <w:t xml:space="preserve"> le plaignant peut accepter un règlement local. En règle générale, un supérieur hiérarchique de la police locale prend en charge la plainte et convient </w:t>
      </w:r>
      <w:r w:rsidR="00BF419C">
        <w:rPr>
          <w:lang w:val="fr-FR"/>
        </w:rPr>
        <w:t xml:space="preserve">d’un mode de règlement </w:t>
      </w:r>
      <w:r w:rsidR="00A14377">
        <w:rPr>
          <w:lang w:val="fr-FR"/>
        </w:rPr>
        <w:t xml:space="preserve">avec le plaignant. Ce peut être une explication ou une information permettant de lever un malentendu, des excuses de la part de la police et/ou </w:t>
      </w:r>
      <w:r w:rsidR="00BF419C">
        <w:rPr>
          <w:lang w:val="fr-FR"/>
        </w:rPr>
        <w:t xml:space="preserve">une brève description des mesures </w:t>
      </w:r>
      <w:r w:rsidR="000B1B22">
        <w:rPr>
          <w:lang w:val="fr-FR"/>
        </w:rPr>
        <w:t>qui seront prises</w:t>
      </w:r>
      <w:r w:rsidR="00BF419C">
        <w:rPr>
          <w:lang w:val="fr-FR"/>
        </w:rPr>
        <w:t xml:space="preserve"> pour éviter de nouvelles plaintes de ce type</w:t>
      </w:r>
      <w:r w:rsidR="000B562B" w:rsidRPr="00A176EA">
        <w:rPr>
          <w:lang w:val="fr-FR"/>
        </w:rPr>
        <w:t>.</w:t>
      </w:r>
    </w:p>
    <w:p w:rsidR="000B562B" w:rsidRPr="00A176EA" w:rsidRDefault="002549A9" w:rsidP="00E5308B">
      <w:pPr>
        <w:pStyle w:val="SingleTxtG"/>
        <w:rPr>
          <w:lang w:val="fr-FR"/>
        </w:rPr>
      </w:pPr>
      <w:r w:rsidRPr="00A176EA">
        <w:rPr>
          <w:lang w:val="fr-FR"/>
        </w:rPr>
        <w:t>424.</w:t>
      </w:r>
      <w:r w:rsidRPr="00A176EA">
        <w:rPr>
          <w:lang w:val="fr-FR"/>
        </w:rPr>
        <w:tab/>
      </w:r>
      <w:r w:rsidR="000B1B22">
        <w:rPr>
          <w:lang w:val="fr-FR"/>
        </w:rPr>
        <w:t>Aucune mesure supplémentaire ne sera prise dans les cas suivants</w:t>
      </w:r>
      <w:r w:rsidR="00FC2B97">
        <w:rPr>
          <w:lang w:val="fr-FR"/>
        </w:rPr>
        <w:t>:</w:t>
      </w:r>
    </w:p>
    <w:p w:rsidR="000B562B" w:rsidRPr="00A176EA" w:rsidRDefault="00736DFC" w:rsidP="00BC0033">
      <w:pPr>
        <w:pStyle w:val="Bullet1G"/>
      </w:pPr>
      <w:r>
        <w:t>Rejet</w:t>
      </w:r>
      <w:r w:rsidR="00FC2B97">
        <w:t>:</w:t>
      </w:r>
      <w:r w:rsidR="000B562B" w:rsidRPr="00A176EA">
        <w:t xml:space="preserve"> </w:t>
      </w:r>
      <w:r w:rsidR="000B1B22">
        <w:t xml:space="preserve">dans certains cas, </w:t>
      </w:r>
      <w:r w:rsidR="000B1B22" w:rsidRPr="0054586D">
        <w:t xml:space="preserve">il </w:t>
      </w:r>
      <w:r w:rsidR="0054586D" w:rsidRPr="0054586D">
        <w:t>convient</w:t>
      </w:r>
      <w:r w:rsidR="000B1B22" w:rsidRPr="0054586D">
        <w:t xml:space="preserve"> de ne pas</w:t>
      </w:r>
      <w:r w:rsidR="000B1B22">
        <w:t xml:space="preserve"> donner suite à </w:t>
      </w:r>
      <w:r w:rsidR="0054586D">
        <w:t>une</w:t>
      </w:r>
      <w:r w:rsidR="000B1B22">
        <w:t xml:space="preserve"> plainte. Ce sont, par exemple, les plaintes insuffisamment étayées, fantaisistes, </w:t>
      </w:r>
      <w:r w:rsidR="003114BE">
        <w:t>calomnieuse</w:t>
      </w:r>
      <w:r w:rsidR="00194EE1">
        <w:t>s</w:t>
      </w:r>
      <w:r w:rsidR="008F0FD7">
        <w:t xml:space="preserve"> ou constituant un abus de procédure</w:t>
      </w:r>
      <w:r w:rsidR="000B562B" w:rsidRPr="00A176EA">
        <w:t xml:space="preserve">. </w:t>
      </w:r>
      <w:r w:rsidR="0054586D" w:rsidRPr="0054586D">
        <w:t>Dans ce cas, le service de police peut demander à la</w:t>
      </w:r>
      <w:r w:rsidR="000B562B" w:rsidRPr="0054586D">
        <w:t xml:space="preserve"> </w:t>
      </w:r>
      <w:r w:rsidR="0090139B" w:rsidRPr="0054586D">
        <w:t xml:space="preserve">Commission </w:t>
      </w:r>
      <w:r w:rsidR="00611A1E">
        <w:t xml:space="preserve">le </w:t>
      </w:r>
      <w:r>
        <w:t>rejet</w:t>
      </w:r>
      <w:r w:rsidR="00611A1E">
        <w:t xml:space="preserve"> de</w:t>
      </w:r>
      <w:r w:rsidR="0054586D" w:rsidRPr="0054586D">
        <w:t xml:space="preserve"> la plainte</w:t>
      </w:r>
      <w:r w:rsidR="00FC2B97">
        <w:t>:</w:t>
      </w:r>
      <w:r w:rsidR="0054586D" w:rsidRPr="0054586D">
        <w:t xml:space="preserve"> s’il obtient satisfaction,</w:t>
      </w:r>
      <w:r w:rsidR="000B562B" w:rsidRPr="0054586D">
        <w:t xml:space="preserve"> </w:t>
      </w:r>
      <w:r w:rsidR="00611A1E">
        <w:t>aucune</w:t>
      </w:r>
      <w:r w:rsidR="000B562B" w:rsidRPr="0054586D">
        <w:t xml:space="preserve"> action </w:t>
      </w:r>
      <w:r w:rsidR="00611A1E">
        <w:t>ne sera engagée</w:t>
      </w:r>
      <w:r w:rsidR="000B562B" w:rsidRPr="0054586D">
        <w:t>.</w:t>
      </w:r>
    </w:p>
    <w:p w:rsidR="000B562B" w:rsidRPr="00A176EA" w:rsidRDefault="00611A1E" w:rsidP="00BC0033">
      <w:pPr>
        <w:pStyle w:val="Bullet1G"/>
      </w:pPr>
      <w:r>
        <w:t>Retrait</w:t>
      </w:r>
      <w:r w:rsidR="00FC2B97">
        <w:t>:</w:t>
      </w:r>
      <w:r w:rsidR="000B562B" w:rsidRPr="00A176EA">
        <w:t xml:space="preserve"> </w:t>
      </w:r>
      <w:r>
        <w:t xml:space="preserve">aucune action supplémentaire ne sera engagée si le plaignant décide de retirer ses </w:t>
      </w:r>
      <w:r w:rsidR="00C20E09">
        <w:t>allégations</w:t>
      </w:r>
      <w:r w:rsidR="000B562B" w:rsidRPr="00A176EA">
        <w:t>.</w:t>
      </w:r>
    </w:p>
    <w:p w:rsidR="000B562B" w:rsidRPr="00A176EA" w:rsidRDefault="00736DFC" w:rsidP="00BC0033">
      <w:pPr>
        <w:pStyle w:val="Bullet1G"/>
      </w:pPr>
      <w:r>
        <w:t>Classement sans suite</w:t>
      </w:r>
      <w:r w:rsidR="00FC2B97">
        <w:t>:</w:t>
      </w:r>
      <w:r w:rsidR="000B562B" w:rsidRPr="00A176EA">
        <w:t xml:space="preserve"> </w:t>
      </w:r>
      <w:r w:rsidR="003F0C19">
        <w:t>il arrive que</w:t>
      </w:r>
      <w:r>
        <w:t xml:space="preserve"> les forces de police ne parviennent pas à conclure l’enquête. </w:t>
      </w:r>
      <w:r w:rsidR="007672D5">
        <w:t>C’est</w:t>
      </w:r>
      <w:r w:rsidR="003F0C19">
        <w:t xml:space="preserve"> le cas lorsque le plaignant refuse de coopérer, </w:t>
      </w:r>
      <w:r w:rsidR="00111A5C">
        <w:t xml:space="preserve">lorsque la plainte </w:t>
      </w:r>
      <w:r w:rsidR="006A0CC3">
        <w:t>a un caractère répétitif</w:t>
      </w:r>
      <w:r w:rsidR="00111A5C">
        <w:t xml:space="preserve"> ou concerne un abus de procédure, ou lorsque le plaignant accepte un règlement local. </w:t>
      </w:r>
      <w:r w:rsidR="006A0CC3">
        <w:t xml:space="preserve">Le service de police peut alors demander à la Commission </w:t>
      </w:r>
      <w:r w:rsidR="00C20E09">
        <w:t>de mettre fin à</w:t>
      </w:r>
      <w:r w:rsidR="006A0CC3">
        <w:t xml:space="preserve"> l’enquête</w:t>
      </w:r>
      <w:r w:rsidR="000B562B" w:rsidRPr="00A176EA">
        <w:t>.</w:t>
      </w:r>
    </w:p>
    <w:p w:rsidR="000B562B" w:rsidRPr="00A176EA" w:rsidRDefault="000B1B22" w:rsidP="00E5308B">
      <w:pPr>
        <w:pStyle w:val="H23G"/>
        <w:rPr>
          <w:lang w:val="fr-FR"/>
        </w:rPr>
      </w:pPr>
      <w:r w:rsidRPr="006A0CC3">
        <w:rPr>
          <w:lang w:val="fr-FR"/>
        </w:rPr>
        <w:t>Recours</w:t>
      </w:r>
    </w:p>
    <w:p w:rsidR="000B562B" w:rsidRPr="00A176EA" w:rsidRDefault="002549A9" w:rsidP="006A0CC3">
      <w:pPr>
        <w:pStyle w:val="SingleTxtG"/>
        <w:rPr>
          <w:lang w:val="fr-FR"/>
        </w:rPr>
      </w:pPr>
      <w:r w:rsidRPr="00A176EA">
        <w:rPr>
          <w:lang w:val="fr-FR"/>
        </w:rPr>
        <w:t>425.</w:t>
      </w:r>
      <w:r w:rsidRPr="00A176EA">
        <w:rPr>
          <w:lang w:val="fr-FR"/>
        </w:rPr>
        <w:tab/>
      </w:r>
      <w:r w:rsidR="006A0CC3">
        <w:rPr>
          <w:lang w:val="fr-FR"/>
        </w:rPr>
        <w:t>Lorsqu’une personne n’est pas satisfaite du traitement de la plainte qu’elle a déposée,  elle doit pouvoir former un recours contre la décision prise. Il existe trois types de recours, qui s’appliquent à différentes étapes de la procédure de plainte, pour des motifs différents et produisent des conséquences différentes. Ce sont</w:t>
      </w:r>
      <w:r w:rsidR="00FC2B97">
        <w:rPr>
          <w:lang w:val="fr-FR"/>
        </w:rPr>
        <w:t>:</w:t>
      </w:r>
    </w:p>
    <w:p w:rsidR="000B562B" w:rsidRPr="00A176EA" w:rsidRDefault="006A0CC3" w:rsidP="00BC0033">
      <w:pPr>
        <w:pStyle w:val="Bullet1G"/>
      </w:pPr>
      <w:r>
        <w:t>Recours contre le non-enregistrement d’une plainte</w:t>
      </w:r>
      <w:r w:rsidR="000B562B" w:rsidRPr="00A176EA">
        <w:t>.</w:t>
      </w:r>
    </w:p>
    <w:p w:rsidR="000B562B" w:rsidRPr="00A176EA" w:rsidRDefault="006A0CC3" w:rsidP="00BC0033">
      <w:pPr>
        <w:pStyle w:val="Bullet1G"/>
      </w:pPr>
      <w:r>
        <w:t>Recours contre le processus de règlement</w:t>
      </w:r>
      <w:r w:rsidR="000B562B" w:rsidRPr="00A176EA">
        <w:t xml:space="preserve"> local.</w:t>
      </w:r>
    </w:p>
    <w:p w:rsidR="000B562B" w:rsidRPr="00A176EA" w:rsidRDefault="006A0CC3" w:rsidP="00BC0033">
      <w:pPr>
        <w:pStyle w:val="Bullet1G"/>
      </w:pPr>
      <w:r>
        <w:t>Recours contre les conclusions de l’enquête de police sur la plainte</w:t>
      </w:r>
      <w:r w:rsidR="000B562B" w:rsidRPr="00A176EA">
        <w:t>.</w:t>
      </w:r>
    </w:p>
    <w:p w:rsidR="000B562B" w:rsidRPr="00A176EA" w:rsidRDefault="002549A9" w:rsidP="006D156C">
      <w:pPr>
        <w:pStyle w:val="SingleTxtG"/>
        <w:spacing w:after="240"/>
        <w:rPr>
          <w:lang w:val="fr-FR"/>
        </w:rPr>
      </w:pPr>
      <w:r w:rsidRPr="00A176EA">
        <w:rPr>
          <w:lang w:val="fr-FR"/>
        </w:rPr>
        <w:t>426.</w:t>
      </w:r>
      <w:r w:rsidRPr="00A176EA">
        <w:rPr>
          <w:lang w:val="fr-FR"/>
        </w:rPr>
        <w:tab/>
      </w:r>
      <w:r w:rsidR="00F153D6">
        <w:rPr>
          <w:lang w:val="fr-FR"/>
        </w:rPr>
        <w:t xml:space="preserve">Le tableau ci-après indique le nombre de décès </w:t>
      </w:r>
      <w:r w:rsidR="006D156C">
        <w:rPr>
          <w:lang w:val="fr-FR"/>
        </w:rPr>
        <w:t>sur</w:t>
      </w:r>
      <w:r w:rsidR="00F153D6">
        <w:rPr>
          <w:lang w:val="fr-FR"/>
        </w:rPr>
        <w:t>venus pendant ou à l</w:t>
      </w:r>
      <w:r w:rsidR="006D156C">
        <w:rPr>
          <w:lang w:val="fr-FR"/>
        </w:rPr>
        <w:t>a suite</w:t>
      </w:r>
      <w:r w:rsidR="00F153D6">
        <w:rPr>
          <w:lang w:val="fr-FR"/>
        </w:rPr>
        <w:t xml:space="preserve"> d’une intervention policière, par type de décès et type d’enquête, pour l’année 2010</w:t>
      </w:r>
      <w:r w:rsidR="002D3901">
        <w:rPr>
          <w:lang w:val="fr-FR"/>
        </w:rPr>
        <w:t>-</w:t>
      </w:r>
      <w:r w:rsidR="00F153D6">
        <w:rPr>
          <w:lang w:val="fr-FR"/>
        </w:rPr>
        <w:t>2011</w:t>
      </w:r>
      <w:r w:rsidR="000B562B" w:rsidRPr="00A176EA">
        <w:rPr>
          <w:snapToGrid w:val="0"/>
          <w:lang w:val="fr-FR"/>
        </w:rPr>
        <w:t>.</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219"/>
        <w:gridCol w:w="590"/>
        <w:gridCol w:w="611"/>
        <w:gridCol w:w="554"/>
        <w:gridCol w:w="557"/>
        <w:gridCol w:w="582"/>
        <w:gridCol w:w="660"/>
        <w:gridCol w:w="615"/>
        <w:gridCol w:w="692"/>
        <w:gridCol w:w="644"/>
        <w:gridCol w:w="646"/>
      </w:tblGrid>
      <w:tr w:rsidR="00DD7C56" w:rsidRPr="00A176EA" w:rsidTr="00294657">
        <w:trPr>
          <w:trHeight w:val="240"/>
          <w:tblHeader/>
        </w:trPr>
        <w:tc>
          <w:tcPr>
            <w:tcW w:w="1219" w:type="dxa"/>
            <w:tcBorders>
              <w:top w:val="single" w:sz="4" w:space="0" w:color="auto"/>
              <w:bottom w:val="single" w:sz="4" w:space="0" w:color="FFFFFF"/>
            </w:tcBorders>
            <w:shd w:val="clear" w:color="auto" w:fill="auto"/>
            <w:vAlign w:val="bottom"/>
          </w:tcPr>
          <w:p w:rsidR="000B562B" w:rsidRPr="00A176EA" w:rsidRDefault="000B562B" w:rsidP="005104B8">
            <w:pPr>
              <w:pStyle w:val="Text"/>
              <w:keepNext/>
              <w:keepLines/>
              <w:spacing w:before="80" w:after="80" w:line="200" w:lineRule="exact"/>
              <w:rPr>
                <w:rFonts w:ascii="Times New Roman" w:hAnsi="Times New Roman"/>
                <w:i/>
                <w:sz w:val="16"/>
                <w:lang w:val="fr-FR"/>
              </w:rPr>
            </w:pPr>
            <w:r w:rsidRPr="00A176EA">
              <w:rPr>
                <w:rFonts w:ascii="Times New Roman" w:hAnsi="Times New Roman"/>
                <w:i/>
                <w:sz w:val="16"/>
                <w:lang w:val="fr-FR"/>
              </w:rPr>
              <w:t xml:space="preserve">Type </w:t>
            </w:r>
            <w:r w:rsidR="00F153D6">
              <w:rPr>
                <w:rFonts w:ascii="Times New Roman" w:hAnsi="Times New Roman"/>
                <w:i/>
                <w:sz w:val="16"/>
                <w:lang w:val="fr-FR"/>
              </w:rPr>
              <w:t>d’enquête</w:t>
            </w:r>
          </w:p>
        </w:tc>
        <w:tc>
          <w:tcPr>
            <w:tcW w:w="1201" w:type="dxa"/>
            <w:gridSpan w:val="2"/>
            <w:tcBorders>
              <w:top w:val="single" w:sz="4" w:space="0" w:color="auto"/>
              <w:bottom w:val="single" w:sz="4" w:space="0" w:color="auto"/>
              <w:right w:val="single" w:sz="36" w:space="0" w:color="FFFFFF"/>
            </w:tcBorders>
            <w:shd w:val="clear" w:color="auto" w:fill="auto"/>
            <w:vAlign w:val="bottom"/>
          </w:tcPr>
          <w:p w:rsidR="000B562B" w:rsidRPr="00A176EA" w:rsidRDefault="00F153D6" w:rsidP="005104B8">
            <w:pPr>
              <w:pStyle w:val="Text"/>
              <w:keepNext/>
              <w:keepLines/>
              <w:spacing w:before="80" w:after="80" w:line="200" w:lineRule="exact"/>
              <w:ind w:left="113" w:right="57"/>
              <w:jc w:val="right"/>
              <w:rPr>
                <w:rFonts w:ascii="Times New Roman" w:hAnsi="Times New Roman"/>
                <w:i/>
                <w:sz w:val="16"/>
                <w:lang w:val="fr-FR"/>
              </w:rPr>
            </w:pPr>
            <w:r>
              <w:rPr>
                <w:rFonts w:ascii="Times New Roman" w:hAnsi="Times New Roman"/>
                <w:i/>
                <w:sz w:val="16"/>
                <w:lang w:val="fr-FR"/>
              </w:rPr>
              <w:t>Accidents de</w:t>
            </w:r>
            <w:r w:rsidR="005104B8">
              <w:rPr>
                <w:rFonts w:ascii="Times New Roman" w:hAnsi="Times New Roman"/>
                <w:i/>
                <w:sz w:val="16"/>
                <w:lang w:val="fr-FR"/>
              </w:rPr>
              <w:t xml:space="preserve"> </w:t>
            </w:r>
            <w:r w:rsidR="00DD7C56">
              <w:rPr>
                <w:rFonts w:ascii="Times New Roman" w:hAnsi="Times New Roman"/>
                <w:i/>
                <w:sz w:val="16"/>
                <w:lang w:val="fr-FR"/>
              </w:rPr>
              <w:br/>
            </w:r>
            <w:r>
              <w:rPr>
                <w:rFonts w:ascii="Times New Roman" w:hAnsi="Times New Roman"/>
                <w:i/>
                <w:sz w:val="16"/>
                <w:lang w:val="fr-FR"/>
              </w:rPr>
              <w:t>la circulation</w:t>
            </w:r>
          </w:p>
        </w:tc>
        <w:tc>
          <w:tcPr>
            <w:tcW w:w="1111" w:type="dxa"/>
            <w:gridSpan w:val="2"/>
            <w:tcBorders>
              <w:top w:val="single" w:sz="4" w:space="0" w:color="auto"/>
              <w:left w:val="single" w:sz="36" w:space="0" w:color="FFFFFF"/>
              <w:bottom w:val="single" w:sz="4" w:space="0" w:color="auto"/>
              <w:right w:val="single" w:sz="36" w:space="0" w:color="FFFFFF"/>
            </w:tcBorders>
            <w:shd w:val="clear" w:color="auto" w:fill="auto"/>
            <w:vAlign w:val="bottom"/>
          </w:tcPr>
          <w:p w:rsidR="000B562B" w:rsidRPr="00A176EA" w:rsidRDefault="00B96FB8" w:rsidP="005104B8">
            <w:pPr>
              <w:pStyle w:val="Text"/>
              <w:keepNext/>
              <w:keepLines/>
              <w:spacing w:before="80" w:after="80" w:line="200" w:lineRule="exact"/>
              <w:ind w:left="113" w:right="57"/>
              <w:jc w:val="right"/>
              <w:rPr>
                <w:rFonts w:ascii="Times New Roman" w:hAnsi="Times New Roman"/>
                <w:i/>
                <w:sz w:val="16"/>
                <w:lang w:val="fr-FR"/>
              </w:rPr>
            </w:pPr>
            <w:r>
              <w:rPr>
                <w:rFonts w:ascii="Times New Roman" w:hAnsi="Times New Roman"/>
                <w:i/>
                <w:sz w:val="16"/>
                <w:lang w:val="fr-FR"/>
              </w:rPr>
              <w:t>Décès par arme à feu</w:t>
            </w:r>
          </w:p>
        </w:tc>
        <w:tc>
          <w:tcPr>
            <w:tcW w:w="1242" w:type="dxa"/>
            <w:gridSpan w:val="2"/>
            <w:tcBorders>
              <w:top w:val="single" w:sz="4" w:space="0" w:color="auto"/>
              <w:left w:val="single" w:sz="36" w:space="0" w:color="FFFFFF"/>
              <w:bottom w:val="single" w:sz="4" w:space="0" w:color="auto"/>
              <w:right w:val="single" w:sz="36" w:space="0" w:color="FFFFFF"/>
            </w:tcBorders>
            <w:shd w:val="clear" w:color="auto" w:fill="auto"/>
            <w:vAlign w:val="bottom"/>
          </w:tcPr>
          <w:p w:rsidR="000B562B" w:rsidRPr="00A176EA" w:rsidRDefault="00B96FB8" w:rsidP="005104B8">
            <w:pPr>
              <w:pStyle w:val="Text"/>
              <w:keepNext/>
              <w:keepLines/>
              <w:spacing w:before="80" w:after="80" w:line="200" w:lineRule="exact"/>
              <w:ind w:left="113" w:right="57"/>
              <w:jc w:val="right"/>
              <w:rPr>
                <w:rFonts w:ascii="Times New Roman" w:hAnsi="Times New Roman"/>
                <w:i/>
                <w:sz w:val="16"/>
                <w:lang w:val="fr-FR"/>
              </w:rPr>
            </w:pPr>
            <w:r>
              <w:rPr>
                <w:rFonts w:ascii="Times New Roman" w:hAnsi="Times New Roman"/>
                <w:i/>
                <w:sz w:val="16"/>
                <w:lang w:val="fr-FR"/>
              </w:rPr>
              <w:t xml:space="preserve">Décès pendant ou après une garde à vue </w:t>
            </w:r>
            <w:r w:rsidR="000B562B" w:rsidRPr="00A176EA">
              <w:rPr>
                <w:rFonts w:ascii="Times New Roman" w:hAnsi="Times New Roman"/>
                <w:i/>
                <w:sz w:val="16"/>
                <w:lang w:val="fr-FR"/>
              </w:rPr>
              <w:t xml:space="preserve">  </w:t>
            </w:r>
          </w:p>
        </w:tc>
        <w:tc>
          <w:tcPr>
            <w:tcW w:w="1307" w:type="dxa"/>
            <w:gridSpan w:val="2"/>
            <w:tcBorders>
              <w:top w:val="single" w:sz="4" w:space="0" w:color="auto"/>
              <w:left w:val="single" w:sz="36" w:space="0" w:color="FFFFFF"/>
              <w:bottom w:val="single" w:sz="4" w:space="0" w:color="auto"/>
              <w:right w:val="single" w:sz="36" w:space="0" w:color="FFFFFF"/>
            </w:tcBorders>
            <w:shd w:val="clear" w:color="auto" w:fill="auto"/>
            <w:vAlign w:val="bottom"/>
          </w:tcPr>
          <w:p w:rsidR="000B562B" w:rsidRPr="00A176EA" w:rsidRDefault="00B96FB8" w:rsidP="005104B8">
            <w:pPr>
              <w:pStyle w:val="Text"/>
              <w:keepNext/>
              <w:keepLines/>
              <w:spacing w:before="80" w:after="80" w:line="200" w:lineRule="exact"/>
              <w:ind w:left="113" w:right="57"/>
              <w:jc w:val="right"/>
              <w:rPr>
                <w:rFonts w:ascii="Times New Roman" w:hAnsi="Times New Roman"/>
                <w:i/>
                <w:sz w:val="16"/>
                <w:lang w:val="fr-FR"/>
              </w:rPr>
            </w:pPr>
            <w:r>
              <w:rPr>
                <w:rFonts w:ascii="Times New Roman" w:hAnsi="Times New Roman"/>
                <w:i/>
                <w:sz w:val="16"/>
                <w:lang w:val="fr-FR"/>
              </w:rPr>
              <w:t xml:space="preserve">Suicides apparents après une garde à vue </w:t>
            </w:r>
            <w:r w:rsidR="000B562B" w:rsidRPr="00A176EA">
              <w:rPr>
                <w:rFonts w:ascii="Times New Roman" w:hAnsi="Times New Roman"/>
                <w:i/>
                <w:sz w:val="16"/>
                <w:lang w:val="fr-FR"/>
              </w:rPr>
              <w:t xml:space="preserve"> </w:t>
            </w:r>
          </w:p>
        </w:tc>
        <w:tc>
          <w:tcPr>
            <w:tcW w:w="1290" w:type="dxa"/>
            <w:gridSpan w:val="2"/>
            <w:tcBorders>
              <w:top w:val="single" w:sz="4" w:space="0" w:color="auto"/>
              <w:left w:val="single" w:sz="36" w:space="0" w:color="FFFFFF"/>
              <w:bottom w:val="single" w:sz="4" w:space="0" w:color="auto"/>
            </w:tcBorders>
            <w:shd w:val="clear" w:color="auto" w:fill="auto"/>
            <w:vAlign w:val="bottom"/>
          </w:tcPr>
          <w:p w:rsidR="000B562B" w:rsidRPr="00A176EA" w:rsidRDefault="00B96FB8" w:rsidP="005104B8">
            <w:pPr>
              <w:pStyle w:val="Text"/>
              <w:keepNext/>
              <w:keepLines/>
              <w:spacing w:before="80" w:after="80" w:line="200" w:lineRule="exact"/>
              <w:ind w:left="113" w:right="57"/>
              <w:jc w:val="right"/>
              <w:rPr>
                <w:rFonts w:ascii="Times New Roman" w:hAnsi="Times New Roman"/>
                <w:i/>
                <w:sz w:val="16"/>
                <w:lang w:val="fr-FR"/>
              </w:rPr>
            </w:pPr>
            <w:r>
              <w:rPr>
                <w:rFonts w:ascii="Times New Roman" w:hAnsi="Times New Roman"/>
                <w:i/>
                <w:sz w:val="16"/>
                <w:lang w:val="fr-FR"/>
              </w:rPr>
              <w:t>Décès pendant ou suite à une intervention policière</w:t>
            </w:r>
            <w:r w:rsidR="000B562B" w:rsidRPr="00A176EA">
              <w:rPr>
                <w:rFonts w:ascii="Times New Roman" w:hAnsi="Times New Roman"/>
                <w:i/>
                <w:sz w:val="16"/>
                <w:lang w:val="fr-FR"/>
              </w:rPr>
              <w:t xml:space="preserve"> </w:t>
            </w:r>
          </w:p>
        </w:tc>
      </w:tr>
      <w:tr w:rsidR="00ED0894" w:rsidRPr="00C26B3D" w:rsidTr="00294657">
        <w:trPr>
          <w:trHeight w:val="240"/>
          <w:tblHeader/>
        </w:trPr>
        <w:tc>
          <w:tcPr>
            <w:tcW w:w="1219" w:type="dxa"/>
            <w:tcBorders>
              <w:top w:val="single" w:sz="4" w:space="0" w:color="FFFFFF"/>
              <w:bottom w:val="single" w:sz="12" w:space="0" w:color="auto"/>
            </w:tcBorders>
            <w:shd w:val="clear" w:color="auto" w:fill="auto"/>
            <w:vAlign w:val="bottom"/>
          </w:tcPr>
          <w:p w:rsidR="000B562B" w:rsidRPr="00A176EA" w:rsidRDefault="000B562B" w:rsidP="005104B8">
            <w:pPr>
              <w:pStyle w:val="Text"/>
              <w:keepNext/>
              <w:keepLines/>
              <w:spacing w:before="40" w:after="40" w:line="220" w:lineRule="exact"/>
              <w:rPr>
                <w:rFonts w:ascii="Times New Roman" w:hAnsi="Times New Roman"/>
                <w:sz w:val="18"/>
                <w:lang w:val="fr-FR"/>
              </w:rPr>
            </w:pPr>
          </w:p>
        </w:tc>
        <w:tc>
          <w:tcPr>
            <w:tcW w:w="590" w:type="dxa"/>
            <w:tcBorders>
              <w:top w:val="single" w:sz="4" w:space="0" w:color="auto"/>
              <w:bottom w:val="single" w:sz="12" w:space="0" w:color="auto"/>
            </w:tcBorders>
            <w:shd w:val="clear" w:color="auto" w:fill="auto"/>
            <w:vAlign w:val="bottom"/>
          </w:tcPr>
          <w:p w:rsidR="000B562B" w:rsidRPr="00C26B3D" w:rsidRDefault="00F153D6" w:rsidP="00A43E7B">
            <w:pPr>
              <w:pStyle w:val="Text"/>
              <w:keepNext/>
              <w:keepLines/>
              <w:spacing w:before="40" w:after="40" w:line="220" w:lineRule="exact"/>
              <w:ind w:left="113" w:right="57"/>
              <w:jc w:val="right"/>
              <w:rPr>
                <w:rFonts w:ascii="Times New Roman" w:hAnsi="Times New Roman"/>
                <w:i/>
                <w:iCs/>
                <w:sz w:val="16"/>
                <w:szCs w:val="16"/>
                <w:lang w:val="fr-FR"/>
              </w:rPr>
            </w:pPr>
            <w:r w:rsidRPr="00C26B3D">
              <w:rPr>
                <w:rFonts w:ascii="Times New Roman" w:hAnsi="Times New Roman"/>
                <w:i/>
                <w:iCs/>
                <w:sz w:val="16"/>
                <w:szCs w:val="16"/>
                <w:lang w:val="fr-FR"/>
              </w:rPr>
              <w:t>Nb</w:t>
            </w:r>
          </w:p>
        </w:tc>
        <w:tc>
          <w:tcPr>
            <w:tcW w:w="611" w:type="dxa"/>
            <w:tcBorders>
              <w:top w:val="single" w:sz="4" w:space="0" w:color="auto"/>
              <w:bottom w:val="single" w:sz="12" w:space="0" w:color="auto"/>
              <w:right w:val="single" w:sz="36" w:space="0" w:color="FFFFFF"/>
            </w:tcBorders>
            <w:shd w:val="clear" w:color="auto" w:fill="auto"/>
            <w:vAlign w:val="bottom"/>
          </w:tcPr>
          <w:p w:rsidR="000B562B" w:rsidRPr="00C26B3D" w:rsidRDefault="000B562B" w:rsidP="00A43E7B">
            <w:pPr>
              <w:pStyle w:val="Text"/>
              <w:keepNext/>
              <w:keepLines/>
              <w:spacing w:before="40" w:after="40" w:line="220" w:lineRule="exact"/>
              <w:ind w:left="113" w:right="57"/>
              <w:jc w:val="right"/>
              <w:rPr>
                <w:rFonts w:ascii="Times New Roman" w:hAnsi="Times New Roman"/>
                <w:i/>
                <w:iCs/>
                <w:sz w:val="16"/>
                <w:szCs w:val="16"/>
                <w:lang w:val="fr-FR"/>
              </w:rPr>
            </w:pPr>
            <w:r w:rsidRPr="00C26B3D">
              <w:rPr>
                <w:rFonts w:ascii="Times New Roman" w:hAnsi="Times New Roman"/>
                <w:i/>
                <w:iCs/>
                <w:sz w:val="16"/>
                <w:szCs w:val="16"/>
                <w:lang w:val="fr-FR"/>
              </w:rPr>
              <w:t>%</w:t>
            </w:r>
          </w:p>
        </w:tc>
        <w:tc>
          <w:tcPr>
            <w:tcW w:w="554" w:type="dxa"/>
            <w:tcBorders>
              <w:top w:val="single" w:sz="4" w:space="0" w:color="auto"/>
              <w:left w:val="single" w:sz="36" w:space="0" w:color="FFFFFF"/>
              <w:bottom w:val="single" w:sz="12" w:space="0" w:color="auto"/>
            </w:tcBorders>
            <w:shd w:val="clear" w:color="auto" w:fill="auto"/>
            <w:vAlign w:val="bottom"/>
          </w:tcPr>
          <w:p w:rsidR="000B562B" w:rsidRPr="00C26B3D" w:rsidRDefault="00F153D6" w:rsidP="00A43E7B">
            <w:pPr>
              <w:pStyle w:val="Text"/>
              <w:keepNext/>
              <w:keepLines/>
              <w:spacing w:before="40" w:after="40" w:line="220" w:lineRule="exact"/>
              <w:ind w:left="113" w:right="57"/>
              <w:jc w:val="right"/>
              <w:rPr>
                <w:rFonts w:ascii="Times New Roman" w:hAnsi="Times New Roman"/>
                <w:i/>
                <w:iCs/>
                <w:sz w:val="16"/>
                <w:szCs w:val="16"/>
                <w:lang w:val="fr-FR"/>
              </w:rPr>
            </w:pPr>
            <w:r w:rsidRPr="00C26B3D">
              <w:rPr>
                <w:rFonts w:ascii="Times New Roman" w:hAnsi="Times New Roman"/>
                <w:i/>
                <w:iCs/>
                <w:sz w:val="16"/>
                <w:szCs w:val="16"/>
                <w:lang w:val="fr-FR"/>
              </w:rPr>
              <w:t>Nb</w:t>
            </w:r>
          </w:p>
        </w:tc>
        <w:tc>
          <w:tcPr>
            <w:tcW w:w="557" w:type="dxa"/>
            <w:tcBorders>
              <w:top w:val="single" w:sz="4" w:space="0" w:color="auto"/>
              <w:bottom w:val="single" w:sz="12" w:space="0" w:color="auto"/>
              <w:right w:val="single" w:sz="36" w:space="0" w:color="FFFFFF"/>
            </w:tcBorders>
            <w:shd w:val="clear" w:color="auto" w:fill="auto"/>
            <w:vAlign w:val="bottom"/>
          </w:tcPr>
          <w:p w:rsidR="000B562B" w:rsidRPr="00C26B3D" w:rsidRDefault="000B562B" w:rsidP="00A43E7B">
            <w:pPr>
              <w:pStyle w:val="Text"/>
              <w:keepNext/>
              <w:keepLines/>
              <w:spacing w:before="40" w:after="40" w:line="220" w:lineRule="exact"/>
              <w:ind w:left="113" w:right="57"/>
              <w:jc w:val="right"/>
              <w:rPr>
                <w:rFonts w:ascii="Times New Roman" w:hAnsi="Times New Roman"/>
                <w:i/>
                <w:iCs/>
                <w:sz w:val="16"/>
                <w:szCs w:val="16"/>
                <w:lang w:val="fr-FR"/>
              </w:rPr>
            </w:pPr>
            <w:r w:rsidRPr="00C26B3D">
              <w:rPr>
                <w:rFonts w:ascii="Times New Roman" w:hAnsi="Times New Roman"/>
                <w:i/>
                <w:iCs/>
                <w:sz w:val="16"/>
                <w:szCs w:val="16"/>
                <w:lang w:val="fr-FR"/>
              </w:rPr>
              <w:t>%</w:t>
            </w:r>
          </w:p>
        </w:tc>
        <w:tc>
          <w:tcPr>
            <w:tcW w:w="582" w:type="dxa"/>
            <w:tcBorders>
              <w:top w:val="single" w:sz="4" w:space="0" w:color="auto"/>
              <w:left w:val="single" w:sz="36" w:space="0" w:color="FFFFFF"/>
              <w:bottom w:val="single" w:sz="12" w:space="0" w:color="auto"/>
            </w:tcBorders>
            <w:shd w:val="clear" w:color="auto" w:fill="auto"/>
            <w:vAlign w:val="bottom"/>
          </w:tcPr>
          <w:p w:rsidR="000B562B" w:rsidRPr="00C26B3D" w:rsidRDefault="000B562B" w:rsidP="00A43E7B">
            <w:pPr>
              <w:pStyle w:val="Text"/>
              <w:keepNext/>
              <w:keepLines/>
              <w:spacing w:before="40" w:after="40" w:line="220" w:lineRule="exact"/>
              <w:ind w:left="113" w:right="57"/>
              <w:jc w:val="right"/>
              <w:rPr>
                <w:rFonts w:ascii="Times New Roman" w:hAnsi="Times New Roman"/>
                <w:i/>
                <w:iCs/>
                <w:sz w:val="16"/>
                <w:szCs w:val="16"/>
                <w:lang w:val="fr-FR"/>
              </w:rPr>
            </w:pPr>
            <w:r w:rsidRPr="00C26B3D">
              <w:rPr>
                <w:rFonts w:ascii="Times New Roman" w:hAnsi="Times New Roman"/>
                <w:i/>
                <w:iCs/>
                <w:sz w:val="16"/>
                <w:szCs w:val="16"/>
                <w:lang w:val="fr-FR"/>
              </w:rPr>
              <w:t>N</w:t>
            </w:r>
            <w:r w:rsidR="00F153D6" w:rsidRPr="00C26B3D">
              <w:rPr>
                <w:rFonts w:ascii="Times New Roman" w:hAnsi="Times New Roman"/>
                <w:i/>
                <w:iCs/>
                <w:sz w:val="16"/>
                <w:szCs w:val="16"/>
                <w:lang w:val="fr-FR"/>
              </w:rPr>
              <w:t>b</w:t>
            </w:r>
          </w:p>
        </w:tc>
        <w:tc>
          <w:tcPr>
            <w:tcW w:w="660" w:type="dxa"/>
            <w:tcBorders>
              <w:top w:val="single" w:sz="4" w:space="0" w:color="auto"/>
              <w:bottom w:val="single" w:sz="12" w:space="0" w:color="auto"/>
              <w:right w:val="single" w:sz="36" w:space="0" w:color="FFFFFF"/>
            </w:tcBorders>
            <w:shd w:val="clear" w:color="auto" w:fill="auto"/>
            <w:vAlign w:val="bottom"/>
          </w:tcPr>
          <w:p w:rsidR="000B562B" w:rsidRPr="00C26B3D" w:rsidRDefault="000B562B" w:rsidP="00A43E7B">
            <w:pPr>
              <w:pStyle w:val="Text"/>
              <w:keepNext/>
              <w:keepLines/>
              <w:spacing w:before="40" w:after="40" w:line="220" w:lineRule="exact"/>
              <w:ind w:left="113" w:right="57"/>
              <w:jc w:val="right"/>
              <w:rPr>
                <w:rFonts w:ascii="Times New Roman" w:hAnsi="Times New Roman"/>
                <w:i/>
                <w:iCs/>
                <w:sz w:val="16"/>
                <w:szCs w:val="16"/>
                <w:lang w:val="fr-FR"/>
              </w:rPr>
            </w:pPr>
            <w:r w:rsidRPr="00C26B3D">
              <w:rPr>
                <w:rFonts w:ascii="Times New Roman" w:hAnsi="Times New Roman"/>
                <w:i/>
                <w:iCs/>
                <w:sz w:val="16"/>
                <w:szCs w:val="16"/>
                <w:lang w:val="fr-FR"/>
              </w:rPr>
              <w:t>%</w:t>
            </w:r>
          </w:p>
        </w:tc>
        <w:tc>
          <w:tcPr>
            <w:tcW w:w="615" w:type="dxa"/>
            <w:tcBorders>
              <w:top w:val="single" w:sz="4" w:space="0" w:color="auto"/>
              <w:left w:val="single" w:sz="36" w:space="0" w:color="FFFFFF"/>
              <w:bottom w:val="single" w:sz="12" w:space="0" w:color="auto"/>
            </w:tcBorders>
            <w:shd w:val="clear" w:color="auto" w:fill="auto"/>
            <w:vAlign w:val="bottom"/>
          </w:tcPr>
          <w:p w:rsidR="000B562B" w:rsidRPr="00C26B3D" w:rsidRDefault="000B562B" w:rsidP="00A43E7B">
            <w:pPr>
              <w:pStyle w:val="Text"/>
              <w:keepNext/>
              <w:keepLines/>
              <w:spacing w:before="40" w:after="40" w:line="220" w:lineRule="exact"/>
              <w:ind w:left="113" w:right="57"/>
              <w:jc w:val="right"/>
              <w:rPr>
                <w:rFonts w:ascii="Times New Roman" w:hAnsi="Times New Roman"/>
                <w:i/>
                <w:iCs/>
                <w:sz w:val="16"/>
                <w:szCs w:val="16"/>
                <w:lang w:val="fr-FR"/>
              </w:rPr>
            </w:pPr>
            <w:r w:rsidRPr="00C26B3D">
              <w:rPr>
                <w:rFonts w:ascii="Times New Roman" w:hAnsi="Times New Roman"/>
                <w:i/>
                <w:iCs/>
                <w:sz w:val="16"/>
                <w:szCs w:val="16"/>
                <w:lang w:val="fr-FR"/>
              </w:rPr>
              <w:t>N</w:t>
            </w:r>
            <w:r w:rsidR="00F153D6" w:rsidRPr="00C26B3D">
              <w:rPr>
                <w:rFonts w:ascii="Times New Roman" w:hAnsi="Times New Roman"/>
                <w:i/>
                <w:iCs/>
                <w:sz w:val="16"/>
                <w:szCs w:val="16"/>
                <w:lang w:val="fr-FR"/>
              </w:rPr>
              <w:t>b</w:t>
            </w:r>
          </w:p>
        </w:tc>
        <w:tc>
          <w:tcPr>
            <w:tcW w:w="692" w:type="dxa"/>
            <w:tcBorders>
              <w:top w:val="single" w:sz="4" w:space="0" w:color="auto"/>
              <w:bottom w:val="single" w:sz="12" w:space="0" w:color="auto"/>
              <w:right w:val="single" w:sz="36" w:space="0" w:color="FFFFFF"/>
            </w:tcBorders>
            <w:shd w:val="clear" w:color="auto" w:fill="auto"/>
            <w:vAlign w:val="bottom"/>
          </w:tcPr>
          <w:p w:rsidR="000B562B" w:rsidRPr="00C26B3D" w:rsidRDefault="000B562B" w:rsidP="00A43E7B">
            <w:pPr>
              <w:pStyle w:val="Text"/>
              <w:keepNext/>
              <w:keepLines/>
              <w:spacing w:before="40" w:after="40" w:line="220" w:lineRule="exact"/>
              <w:ind w:left="113" w:right="57"/>
              <w:jc w:val="right"/>
              <w:rPr>
                <w:rFonts w:ascii="Times New Roman" w:hAnsi="Times New Roman"/>
                <w:i/>
                <w:iCs/>
                <w:sz w:val="16"/>
                <w:szCs w:val="16"/>
                <w:lang w:val="fr-FR"/>
              </w:rPr>
            </w:pPr>
            <w:r w:rsidRPr="00C26B3D">
              <w:rPr>
                <w:rFonts w:ascii="Times New Roman" w:hAnsi="Times New Roman"/>
                <w:i/>
                <w:iCs/>
                <w:sz w:val="16"/>
                <w:szCs w:val="16"/>
                <w:lang w:val="fr-FR"/>
              </w:rPr>
              <w:t>%</w:t>
            </w:r>
          </w:p>
        </w:tc>
        <w:tc>
          <w:tcPr>
            <w:tcW w:w="644" w:type="dxa"/>
            <w:tcBorders>
              <w:top w:val="single" w:sz="4" w:space="0" w:color="auto"/>
              <w:left w:val="single" w:sz="36" w:space="0" w:color="FFFFFF"/>
              <w:bottom w:val="single" w:sz="12" w:space="0" w:color="auto"/>
            </w:tcBorders>
            <w:shd w:val="clear" w:color="auto" w:fill="auto"/>
            <w:vAlign w:val="bottom"/>
          </w:tcPr>
          <w:p w:rsidR="000B562B" w:rsidRPr="00C26B3D" w:rsidRDefault="000B562B" w:rsidP="00A43E7B">
            <w:pPr>
              <w:pStyle w:val="Text"/>
              <w:keepNext/>
              <w:keepLines/>
              <w:spacing w:before="40" w:after="40" w:line="220" w:lineRule="exact"/>
              <w:ind w:left="113" w:right="57"/>
              <w:jc w:val="right"/>
              <w:rPr>
                <w:rFonts w:ascii="Times New Roman" w:hAnsi="Times New Roman"/>
                <w:i/>
                <w:iCs/>
                <w:sz w:val="16"/>
                <w:szCs w:val="16"/>
                <w:lang w:val="fr-FR"/>
              </w:rPr>
            </w:pPr>
            <w:r w:rsidRPr="00C26B3D">
              <w:rPr>
                <w:rFonts w:ascii="Times New Roman" w:hAnsi="Times New Roman"/>
                <w:i/>
                <w:iCs/>
                <w:sz w:val="16"/>
                <w:szCs w:val="16"/>
                <w:lang w:val="fr-FR"/>
              </w:rPr>
              <w:t>N</w:t>
            </w:r>
            <w:r w:rsidR="00F153D6" w:rsidRPr="00C26B3D">
              <w:rPr>
                <w:rFonts w:ascii="Times New Roman" w:hAnsi="Times New Roman"/>
                <w:i/>
                <w:iCs/>
                <w:sz w:val="16"/>
                <w:szCs w:val="16"/>
                <w:lang w:val="fr-FR"/>
              </w:rPr>
              <w:t>b</w:t>
            </w:r>
          </w:p>
        </w:tc>
        <w:tc>
          <w:tcPr>
            <w:tcW w:w="646" w:type="dxa"/>
            <w:tcBorders>
              <w:top w:val="single" w:sz="4" w:space="0" w:color="auto"/>
              <w:bottom w:val="single" w:sz="12" w:space="0" w:color="auto"/>
            </w:tcBorders>
            <w:shd w:val="clear" w:color="auto" w:fill="auto"/>
            <w:vAlign w:val="bottom"/>
          </w:tcPr>
          <w:p w:rsidR="000B562B" w:rsidRPr="00C26B3D" w:rsidRDefault="000B562B" w:rsidP="00A43E7B">
            <w:pPr>
              <w:pStyle w:val="Text"/>
              <w:keepNext/>
              <w:keepLines/>
              <w:spacing w:before="40" w:after="40" w:line="220" w:lineRule="exact"/>
              <w:ind w:left="113" w:right="57"/>
              <w:jc w:val="right"/>
              <w:rPr>
                <w:rFonts w:ascii="Times New Roman" w:hAnsi="Times New Roman"/>
                <w:i/>
                <w:iCs/>
                <w:sz w:val="16"/>
                <w:szCs w:val="16"/>
                <w:lang w:val="fr-FR"/>
              </w:rPr>
            </w:pPr>
            <w:r w:rsidRPr="00C26B3D">
              <w:rPr>
                <w:rFonts w:ascii="Times New Roman" w:hAnsi="Times New Roman"/>
                <w:i/>
                <w:iCs/>
                <w:sz w:val="16"/>
                <w:szCs w:val="16"/>
                <w:lang w:val="fr-FR"/>
              </w:rPr>
              <w:t>%</w:t>
            </w:r>
          </w:p>
        </w:tc>
      </w:tr>
      <w:tr w:rsidR="00ED0894" w:rsidRPr="00A176EA" w:rsidTr="00DD7C56">
        <w:trPr>
          <w:trHeight w:val="235"/>
        </w:trPr>
        <w:tc>
          <w:tcPr>
            <w:tcW w:w="1219" w:type="dxa"/>
            <w:tcBorders>
              <w:top w:val="single" w:sz="12" w:space="0" w:color="auto"/>
              <w:bottom w:val="nil"/>
            </w:tcBorders>
            <w:shd w:val="clear" w:color="auto" w:fill="auto"/>
          </w:tcPr>
          <w:p w:rsidR="000B562B" w:rsidRPr="00A176EA" w:rsidRDefault="000B562B" w:rsidP="00B6556D">
            <w:pPr>
              <w:pStyle w:val="Text"/>
              <w:keepNext/>
              <w:keepLines/>
              <w:spacing w:before="40" w:after="40" w:line="220" w:lineRule="exact"/>
              <w:rPr>
                <w:rFonts w:ascii="Times New Roman" w:hAnsi="Times New Roman"/>
                <w:sz w:val="18"/>
                <w:lang w:val="fr-FR"/>
              </w:rPr>
            </w:pPr>
            <w:r w:rsidRPr="00A176EA">
              <w:rPr>
                <w:rFonts w:ascii="Times New Roman" w:hAnsi="Times New Roman"/>
                <w:sz w:val="18"/>
                <w:lang w:val="fr-FR"/>
              </w:rPr>
              <w:t>Ind</w:t>
            </w:r>
            <w:r w:rsidR="00F153D6">
              <w:rPr>
                <w:rFonts w:ascii="Times New Roman" w:hAnsi="Times New Roman"/>
                <w:sz w:val="18"/>
                <w:lang w:val="fr-FR"/>
              </w:rPr>
              <w:t>é</w:t>
            </w:r>
            <w:r w:rsidRPr="00A176EA">
              <w:rPr>
                <w:rFonts w:ascii="Times New Roman" w:hAnsi="Times New Roman"/>
                <w:sz w:val="18"/>
                <w:lang w:val="fr-FR"/>
              </w:rPr>
              <w:t>p</w:t>
            </w:r>
            <w:r w:rsidR="00F153D6">
              <w:rPr>
                <w:rFonts w:ascii="Times New Roman" w:hAnsi="Times New Roman"/>
                <w:sz w:val="18"/>
                <w:lang w:val="fr-FR"/>
              </w:rPr>
              <w:t>e</w:t>
            </w:r>
            <w:r w:rsidRPr="00A176EA">
              <w:rPr>
                <w:rFonts w:ascii="Times New Roman" w:hAnsi="Times New Roman"/>
                <w:sz w:val="18"/>
                <w:lang w:val="fr-FR"/>
              </w:rPr>
              <w:t>nd</w:t>
            </w:r>
            <w:r w:rsidR="00F153D6">
              <w:rPr>
                <w:rFonts w:ascii="Times New Roman" w:hAnsi="Times New Roman"/>
                <w:sz w:val="18"/>
                <w:lang w:val="fr-FR"/>
              </w:rPr>
              <w:t>a</w:t>
            </w:r>
            <w:r w:rsidRPr="00A176EA">
              <w:rPr>
                <w:rFonts w:ascii="Times New Roman" w:hAnsi="Times New Roman"/>
                <w:sz w:val="18"/>
                <w:lang w:val="fr-FR"/>
              </w:rPr>
              <w:t>nt</w:t>
            </w:r>
            <w:r w:rsidR="00F153D6">
              <w:rPr>
                <w:rFonts w:ascii="Times New Roman" w:hAnsi="Times New Roman"/>
                <w:sz w:val="18"/>
                <w:lang w:val="fr-FR"/>
              </w:rPr>
              <w:t>e</w:t>
            </w:r>
          </w:p>
        </w:tc>
        <w:tc>
          <w:tcPr>
            <w:tcW w:w="590" w:type="dxa"/>
            <w:tcBorders>
              <w:top w:val="single" w:sz="12" w:space="0" w:color="auto"/>
              <w:bottom w:val="nil"/>
            </w:tcBorders>
            <w:shd w:val="clear" w:color="auto" w:fill="auto"/>
            <w:vAlign w:val="bottom"/>
          </w:tcPr>
          <w:p w:rsidR="000B562B" w:rsidRPr="00A176EA" w:rsidRDefault="000B562B" w:rsidP="00A43E7B">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13</w:t>
            </w:r>
          </w:p>
        </w:tc>
        <w:tc>
          <w:tcPr>
            <w:tcW w:w="611" w:type="dxa"/>
            <w:tcBorders>
              <w:top w:val="single" w:sz="12" w:space="0" w:color="auto"/>
              <w:bottom w:val="nil"/>
            </w:tcBorders>
            <w:shd w:val="clear" w:color="auto" w:fill="auto"/>
            <w:vAlign w:val="bottom"/>
          </w:tcPr>
          <w:p w:rsidR="000B562B" w:rsidRPr="00A176EA" w:rsidRDefault="000B562B" w:rsidP="00A43E7B">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54</w:t>
            </w:r>
          </w:p>
        </w:tc>
        <w:tc>
          <w:tcPr>
            <w:tcW w:w="554" w:type="dxa"/>
            <w:tcBorders>
              <w:top w:val="single" w:sz="12" w:space="0" w:color="auto"/>
              <w:bottom w:val="nil"/>
            </w:tcBorders>
            <w:shd w:val="clear" w:color="auto" w:fill="auto"/>
            <w:vAlign w:val="bottom"/>
          </w:tcPr>
          <w:p w:rsidR="000B562B" w:rsidRPr="00A176EA" w:rsidRDefault="000B562B" w:rsidP="00A43E7B">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2</w:t>
            </w:r>
          </w:p>
        </w:tc>
        <w:tc>
          <w:tcPr>
            <w:tcW w:w="557" w:type="dxa"/>
            <w:tcBorders>
              <w:top w:val="single" w:sz="12" w:space="0" w:color="auto"/>
              <w:bottom w:val="nil"/>
            </w:tcBorders>
            <w:shd w:val="clear" w:color="auto" w:fill="auto"/>
            <w:vAlign w:val="bottom"/>
          </w:tcPr>
          <w:p w:rsidR="000B562B" w:rsidRPr="00A176EA" w:rsidRDefault="000B562B" w:rsidP="00A43E7B">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100</w:t>
            </w:r>
          </w:p>
        </w:tc>
        <w:tc>
          <w:tcPr>
            <w:tcW w:w="582" w:type="dxa"/>
            <w:tcBorders>
              <w:top w:val="single" w:sz="12" w:space="0" w:color="auto"/>
              <w:bottom w:val="nil"/>
            </w:tcBorders>
            <w:shd w:val="clear" w:color="auto" w:fill="auto"/>
            <w:vAlign w:val="bottom"/>
          </w:tcPr>
          <w:p w:rsidR="000B562B" w:rsidRPr="00A176EA" w:rsidRDefault="000B562B" w:rsidP="00A43E7B">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16</w:t>
            </w:r>
          </w:p>
        </w:tc>
        <w:tc>
          <w:tcPr>
            <w:tcW w:w="660" w:type="dxa"/>
            <w:tcBorders>
              <w:top w:val="single" w:sz="12" w:space="0" w:color="auto"/>
              <w:bottom w:val="nil"/>
            </w:tcBorders>
            <w:shd w:val="clear" w:color="auto" w:fill="auto"/>
            <w:vAlign w:val="bottom"/>
          </w:tcPr>
          <w:p w:rsidR="000B562B" w:rsidRPr="00A176EA" w:rsidRDefault="000B562B" w:rsidP="00A43E7B">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76</w:t>
            </w:r>
          </w:p>
        </w:tc>
        <w:tc>
          <w:tcPr>
            <w:tcW w:w="615" w:type="dxa"/>
            <w:tcBorders>
              <w:top w:val="single" w:sz="12" w:space="0" w:color="auto"/>
              <w:bottom w:val="nil"/>
            </w:tcBorders>
            <w:shd w:val="clear" w:color="auto" w:fill="auto"/>
            <w:vAlign w:val="bottom"/>
          </w:tcPr>
          <w:p w:rsidR="000B562B" w:rsidRPr="00A176EA" w:rsidRDefault="000B562B" w:rsidP="00A43E7B">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3</w:t>
            </w:r>
          </w:p>
        </w:tc>
        <w:tc>
          <w:tcPr>
            <w:tcW w:w="692" w:type="dxa"/>
            <w:tcBorders>
              <w:top w:val="single" w:sz="12" w:space="0" w:color="auto"/>
              <w:bottom w:val="nil"/>
            </w:tcBorders>
            <w:shd w:val="clear" w:color="auto" w:fill="auto"/>
            <w:vAlign w:val="bottom"/>
          </w:tcPr>
          <w:p w:rsidR="000B562B" w:rsidRPr="00A176EA" w:rsidRDefault="000B562B" w:rsidP="00A43E7B">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7</w:t>
            </w:r>
          </w:p>
        </w:tc>
        <w:tc>
          <w:tcPr>
            <w:tcW w:w="644" w:type="dxa"/>
            <w:tcBorders>
              <w:top w:val="single" w:sz="12" w:space="0" w:color="auto"/>
              <w:bottom w:val="nil"/>
            </w:tcBorders>
            <w:shd w:val="clear" w:color="auto" w:fill="auto"/>
            <w:vAlign w:val="bottom"/>
          </w:tcPr>
          <w:p w:rsidR="000B562B" w:rsidRPr="00A176EA" w:rsidRDefault="000B562B" w:rsidP="00A43E7B">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44</w:t>
            </w:r>
          </w:p>
        </w:tc>
        <w:tc>
          <w:tcPr>
            <w:tcW w:w="646" w:type="dxa"/>
            <w:tcBorders>
              <w:top w:val="single" w:sz="12" w:space="0" w:color="auto"/>
              <w:bottom w:val="nil"/>
            </w:tcBorders>
            <w:shd w:val="clear" w:color="auto" w:fill="auto"/>
            <w:vAlign w:val="bottom"/>
          </w:tcPr>
          <w:p w:rsidR="000B562B" w:rsidRPr="00A176EA" w:rsidRDefault="000B562B" w:rsidP="00A43E7B">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100</w:t>
            </w:r>
          </w:p>
        </w:tc>
      </w:tr>
      <w:tr w:rsidR="00B6556D" w:rsidRPr="00A176EA" w:rsidTr="00DD7C56">
        <w:trPr>
          <w:trHeight w:val="240"/>
        </w:trPr>
        <w:tc>
          <w:tcPr>
            <w:tcW w:w="1219" w:type="dxa"/>
            <w:tcBorders>
              <w:top w:val="nil"/>
            </w:tcBorders>
            <w:shd w:val="clear" w:color="auto" w:fill="auto"/>
          </w:tcPr>
          <w:p w:rsidR="00B6556D" w:rsidRPr="00A176EA" w:rsidRDefault="00B6556D" w:rsidP="005104B8">
            <w:pPr>
              <w:pStyle w:val="Text"/>
              <w:keepNext/>
              <w:keepLines/>
              <w:spacing w:before="40" w:after="40" w:line="220" w:lineRule="exact"/>
              <w:rPr>
                <w:rFonts w:ascii="Times New Roman" w:hAnsi="Times New Roman"/>
                <w:sz w:val="18"/>
                <w:lang w:val="fr-FR"/>
              </w:rPr>
            </w:pPr>
            <w:r>
              <w:rPr>
                <w:rFonts w:ascii="Times New Roman" w:hAnsi="Times New Roman"/>
                <w:sz w:val="18"/>
                <w:lang w:val="fr-FR"/>
              </w:rPr>
              <w:t>Dirigée</w:t>
            </w:r>
          </w:p>
        </w:tc>
        <w:tc>
          <w:tcPr>
            <w:tcW w:w="590" w:type="dxa"/>
            <w:tcBorders>
              <w:top w:val="nil"/>
            </w:tcBorders>
            <w:shd w:val="clear" w:color="auto" w:fill="auto"/>
            <w:vAlign w:val="bottom"/>
          </w:tcPr>
          <w:p w:rsidR="00B6556D" w:rsidRPr="00A176EA" w:rsidRDefault="00B6556D" w:rsidP="00A43E7B">
            <w:pPr>
              <w:pStyle w:val="Text"/>
              <w:keepNext/>
              <w:keepLines/>
              <w:spacing w:before="40" w:after="40" w:line="220" w:lineRule="exact"/>
              <w:ind w:left="113" w:right="57"/>
              <w:jc w:val="right"/>
              <w:rPr>
                <w:rFonts w:ascii="Times New Roman" w:hAnsi="Times New Roman"/>
                <w:sz w:val="18"/>
                <w:lang w:val="fr-FR"/>
              </w:rPr>
            </w:pPr>
            <w:r>
              <w:rPr>
                <w:rFonts w:ascii="Times New Roman" w:hAnsi="Times New Roman"/>
                <w:sz w:val="18"/>
                <w:lang w:val="fr-FR"/>
              </w:rPr>
              <w:t>0</w:t>
            </w:r>
          </w:p>
        </w:tc>
        <w:tc>
          <w:tcPr>
            <w:tcW w:w="611" w:type="dxa"/>
            <w:tcBorders>
              <w:top w:val="nil"/>
            </w:tcBorders>
            <w:shd w:val="clear" w:color="auto" w:fill="auto"/>
            <w:vAlign w:val="bottom"/>
          </w:tcPr>
          <w:p w:rsidR="00B6556D" w:rsidRPr="00A176EA" w:rsidRDefault="00B6556D" w:rsidP="00A43E7B">
            <w:pPr>
              <w:pStyle w:val="Text"/>
              <w:keepNext/>
              <w:keepLines/>
              <w:spacing w:before="40" w:after="40" w:line="220" w:lineRule="exact"/>
              <w:ind w:left="113" w:right="57"/>
              <w:jc w:val="right"/>
              <w:rPr>
                <w:rFonts w:ascii="Times New Roman" w:hAnsi="Times New Roman"/>
                <w:sz w:val="18"/>
                <w:lang w:val="fr-FR"/>
              </w:rPr>
            </w:pPr>
            <w:r>
              <w:rPr>
                <w:rFonts w:ascii="Times New Roman" w:hAnsi="Times New Roman"/>
                <w:sz w:val="18"/>
                <w:lang w:val="fr-FR"/>
              </w:rPr>
              <w:t>-</w:t>
            </w:r>
          </w:p>
        </w:tc>
        <w:tc>
          <w:tcPr>
            <w:tcW w:w="554" w:type="dxa"/>
            <w:tcBorders>
              <w:top w:val="nil"/>
            </w:tcBorders>
            <w:shd w:val="clear" w:color="auto" w:fill="auto"/>
            <w:vAlign w:val="bottom"/>
          </w:tcPr>
          <w:p w:rsidR="00B6556D" w:rsidRPr="00A176EA" w:rsidRDefault="00B6556D" w:rsidP="00A43E7B">
            <w:pPr>
              <w:pStyle w:val="Text"/>
              <w:keepNext/>
              <w:keepLines/>
              <w:spacing w:before="40" w:after="40" w:line="220" w:lineRule="exact"/>
              <w:ind w:left="113" w:right="57"/>
              <w:jc w:val="right"/>
              <w:rPr>
                <w:rFonts w:ascii="Times New Roman" w:hAnsi="Times New Roman"/>
                <w:sz w:val="18"/>
                <w:lang w:val="fr-FR"/>
              </w:rPr>
            </w:pPr>
            <w:r>
              <w:rPr>
                <w:rFonts w:ascii="Times New Roman" w:hAnsi="Times New Roman"/>
                <w:sz w:val="18"/>
                <w:lang w:val="fr-FR"/>
              </w:rPr>
              <w:t>0</w:t>
            </w:r>
          </w:p>
        </w:tc>
        <w:tc>
          <w:tcPr>
            <w:tcW w:w="557" w:type="dxa"/>
            <w:tcBorders>
              <w:top w:val="nil"/>
            </w:tcBorders>
            <w:shd w:val="clear" w:color="auto" w:fill="auto"/>
            <w:vAlign w:val="bottom"/>
          </w:tcPr>
          <w:p w:rsidR="00B6556D" w:rsidRPr="00A176EA" w:rsidRDefault="00B6556D" w:rsidP="00A43E7B">
            <w:pPr>
              <w:pStyle w:val="Text"/>
              <w:keepNext/>
              <w:keepLines/>
              <w:spacing w:before="40" w:after="40" w:line="220" w:lineRule="exact"/>
              <w:ind w:left="113" w:right="57"/>
              <w:jc w:val="right"/>
              <w:rPr>
                <w:rFonts w:ascii="Times New Roman" w:hAnsi="Times New Roman"/>
                <w:sz w:val="18"/>
                <w:lang w:val="fr-FR"/>
              </w:rPr>
            </w:pPr>
            <w:r>
              <w:rPr>
                <w:rFonts w:ascii="Times New Roman" w:hAnsi="Times New Roman"/>
                <w:sz w:val="18"/>
                <w:lang w:val="fr-FR"/>
              </w:rPr>
              <w:t>-</w:t>
            </w:r>
          </w:p>
        </w:tc>
        <w:tc>
          <w:tcPr>
            <w:tcW w:w="582" w:type="dxa"/>
            <w:tcBorders>
              <w:top w:val="nil"/>
            </w:tcBorders>
            <w:shd w:val="clear" w:color="auto" w:fill="auto"/>
            <w:vAlign w:val="bottom"/>
          </w:tcPr>
          <w:p w:rsidR="00B6556D" w:rsidRPr="00A176EA" w:rsidRDefault="00B6556D" w:rsidP="00A43E7B">
            <w:pPr>
              <w:pStyle w:val="Text"/>
              <w:keepNext/>
              <w:keepLines/>
              <w:spacing w:before="40" w:after="40" w:line="220" w:lineRule="exact"/>
              <w:ind w:left="113" w:right="57"/>
              <w:jc w:val="right"/>
              <w:rPr>
                <w:rFonts w:ascii="Times New Roman" w:hAnsi="Times New Roman"/>
                <w:sz w:val="18"/>
                <w:lang w:val="fr-FR"/>
              </w:rPr>
            </w:pPr>
            <w:r>
              <w:rPr>
                <w:rFonts w:ascii="Times New Roman" w:hAnsi="Times New Roman"/>
                <w:sz w:val="18"/>
                <w:lang w:val="fr-FR"/>
              </w:rPr>
              <w:t>0</w:t>
            </w:r>
          </w:p>
        </w:tc>
        <w:tc>
          <w:tcPr>
            <w:tcW w:w="660" w:type="dxa"/>
            <w:tcBorders>
              <w:top w:val="nil"/>
            </w:tcBorders>
            <w:shd w:val="clear" w:color="auto" w:fill="auto"/>
            <w:vAlign w:val="bottom"/>
          </w:tcPr>
          <w:p w:rsidR="00B6556D" w:rsidRPr="00A176EA" w:rsidRDefault="00B6556D" w:rsidP="00A43E7B">
            <w:pPr>
              <w:pStyle w:val="Text"/>
              <w:keepNext/>
              <w:keepLines/>
              <w:spacing w:before="40" w:after="40" w:line="220" w:lineRule="exact"/>
              <w:ind w:left="113" w:right="57"/>
              <w:jc w:val="right"/>
              <w:rPr>
                <w:rFonts w:ascii="Times New Roman" w:hAnsi="Times New Roman"/>
                <w:sz w:val="18"/>
                <w:lang w:val="fr-FR"/>
              </w:rPr>
            </w:pPr>
            <w:r>
              <w:rPr>
                <w:rFonts w:ascii="Times New Roman" w:hAnsi="Times New Roman"/>
                <w:sz w:val="18"/>
                <w:lang w:val="fr-FR"/>
              </w:rPr>
              <w:t>-</w:t>
            </w:r>
          </w:p>
        </w:tc>
        <w:tc>
          <w:tcPr>
            <w:tcW w:w="615" w:type="dxa"/>
            <w:tcBorders>
              <w:top w:val="nil"/>
            </w:tcBorders>
            <w:shd w:val="clear" w:color="auto" w:fill="auto"/>
            <w:vAlign w:val="bottom"/>
          </w:tcPr>
          <w:p w:rsidR="00B6556D" w:rsidRPr="00A176EA" w:rsidRDefault="00B6556D" w:rsidP="00A43E7B">
            <w:pPr>
              <w:pStyle w:val="Text"/>
              <w:keepNext/>
              <w:keepLines/>
              <w:spacing w:before="40" w:after="40" w:line="220" w:lineRule="exact"/>
              <w:ind w:left="113" w:right="57"/>
              <w:jc w:val="right"/>
              <w:rPr>
                <w:rFonts w:ascii="Times New Roman" w:hAnsi="Times New Roman"/>
                <w:sz w:val="18"/>
                <w:lang w:val="fr-FR"/>
              </w:rPr>
            </w:pPr>
            <w:r>
              <w:rPr>
                <w:rFonts w:ascii="Times New Roman" w:hAnsi="Times New Roman"/>
                <w:sz w:val="18"/>
                <w:lang w:val="fr-FR"/>
              </w:rPr>
              <w:t>0</w:t>
            </w:r>
          </w:p>
        </w:tc>
        <w:tc>
          <w:tcPr>
            <w:tcW w:w="692" w:type="dxa"/>
            <w:tcBorders>
              <w:top w:val="nil"/>
            </w:tcBorders>
            <w:shd w:val="clear" w:color="auto" w:fill="auto"/>
            <w:vAlign w:val="bottom"/>
          </w:tcPr>
          <w:p w:rsidR="00B6556D" w:rsidRPr="00A176EA" w:rsidRDefault="00B6556D" w:rsidP="00A43E7B">
            <w:pPr>
              <w:pStyle w:val="Text"/>
              <w:keepNext/>
              <w:keepLines/>
              <w:spacing w:before="40" w:after="40" w:line="220" w:lineRule="exact"/>
              <w:ind w:left="113" w:right="57"/>
              <w:jc w:val="right"/>
              <w:rPr>
                <w:rFonts w:ascii="Times New Roman" w:hAnsi="Times New Roman"/>
                <w:sz w:val="18"/>
                <w:lang w:val="fr-FR"/>
              </w:rPr>
            </w:pPr>
            <w:r>
              <w:rPr>
                <w:rFonts w:ascii="Times New Roman" w:hAnsi="Times New Roman"/>
                <w:sz w:val="18"/>
                <w:lang w:val="fr-FR"/>
              </w:rPr>
              <w:t>-</w:t>
            </w:r>
          </w:p>
        </w:tc>
        <w:tc>
          <w:tcPr>
            <w:tcW w:w="644" w:type="dxa"/>
            <w:tcBorders>
              <w:top w:val="nil"/>
            </w:tcBorders>
            <w:shd w:val="clear" w:color="auto" w:fill="auto"/>
            <w:vAlign w:val="bottom"/>
          </w:tcPr>
          <w:p w:rsidR="00B6556D" w:rsidRPr="00A176EA" w:rsidRDefault="00B6556D" w:rsidP="00A43E7B">
            <w:pPr>
              <w:pStyle w:val="Text"/>
              <w:keepNext/>
              <w:keepLines/>
              <w:spacing w:before="40" w:after="40" w:line="220" w:lineRule="exact"/>
              <w:ind w:left="113" w:right="57"/>
              <w:jc w:val="right"/>
              <w:rPr>
                <w:rFonts w:ascii="Times New Roman" w:hAnsi="Times New Roman"/>
                <w:sz w:val="18"/>
                <w:lang w:val="fr-FR"/>
              </w:rPr>
            </w:pPr>
            <w:r>
              <w:rPr>
                <w:rFonts w:ascii="Times New Roman" w:hAnsi="Times New Roman"/>
                <w:sz w:val="18"/>
                <w:lang w:val="fr-FR"/>
              </w:rPr>
              <w:t>0</w:t>
            </w:r>
          </w:p>
        </w:tc>
        <w:tc>
          <w:tcPr>
            <w:tcW w:w="646" w:type="dxa"/>
            <w:tcBorders>
              <w:top w:val="nil"/>
            </w:tcBorders>
            <w:shd w:val="clear" w:color="auto" w:fill="auto"/>
            <w:vAlign w:val="bottom"/>
          </w:tcPr>
          <w:p w:rsidR="00B6556D" w:rsidRPr="00A176EA" w:rsidRDefault="00B6556D" w:rsidP="00A43E7B">
            <w:pPr>
              <w:pStyle w:val="Text"/>
              <w:keepNext/>
              <w:keepLines/>
              <w:spacing w:before="40" w:after="40" w:line="220" w:lineRule="exact"/>
              <w:ind w:left="113" w:right="57"/>
              <w:jc w:val="right"/>
              <w:rPr>
                <w:rFonts w:ascii="Times New Roman" w:hAnsi="Times New Roman"/>
                <w:sz w:val="18"/>
                <w:lang w:val="fr-FR"/>
              </w:rPr>
            </w:pPr>
            <w:r>
              <w:rPr>
                <w:rFonts w:ascii="Times New Roman" w:hAnsi="Times New Roman"/>
                <w:sz w:val="18"/>
                <w:lang w:val="fr-FR"/>
              </w:rPr>
              <w:t>-</w:t>
            </w:r>
          </w:p>
        </w:tc>
      </w:tr>
      <w:tr w:rsidR="00B6556D" w:rsidRPr="00A176EA" w:rsidTr="00DD7C56">
        <w:trPr>
          <w:trHeight w:val="240"/>
        </w:trPr>
        <w:tc>
          <w:tcPr>
            <w:tcW w:w="1219" w:type="dxa"/>
            <w:tcBorders>
              <w:top w:val="nil"/>
            </w:tcBorders>
            <w:shd w:val="clear" w:color="auto" w:fill="auto"/>
          </w:tcPr>
          <w:p w:rsidR="00B6556D" w:rsidRPr="00A176EA" w:rsidRDefault="00B6556D" w:rsidP="005104B8">
            <w:pPr>
              <w:pStyle w:val="Text"/>
              <w:keepNext/>
              <w:keepLines/>
              <w:spacing w:before="40" w:after="40" w:line="220" w:lineRule="exact"/>
              <w:rPr>
                <w:rFonts w:ascii="Times New Roman" w:hAnsi="Times New Roman"/>
                <w:sz w:val="18"/>
                <w:lang w:val="fr-FR"/>
              </w:rPr>
            </w:pPr>
            <w:r w:rsidRPr="00A176EA">
              <w:rPr>
                <w:rFonts w:ascii="Times New Roman" w:hAnsi="Times New Roman"/>
                <w:sz w:val="18"/>
                <w:lang w:val="fr-FR"/>
              </w:rPr>
              <w:t>Supervis</w:t>
            </w:r>
            <w:r>
              <w:rPr>
                <w:rFonts w:ascii="Times New Roman" w:hAnsi="Times New Roman"/>
                <w:sz w:val="18"/>
                <w:lang w:val="fr-FR"/>
              </w:rPr>
              <w:t>ée</w:t>
            </w:r>
          </w:p>
        </w:tc>
        <w:tc>
          <w:tcPr>
            <w:tcW w:w="590" w:type="dxa"/>
            <w:tcBorders>
              <w:top w:val="nil"/>
            </w:tcBorders>
            <w:shd w:val="clear" w:color="auto" w:fill="auto"/>
            <w:vAlign w:val="bottom"/>
          </w:tcPr>
          <w:p w:rsidR="00B6556D" w:rsidRPr="00A176EA" w:rsidRDefault="00B6556D" w:rsidP="00A43E7B">
            <w:pPr>
              <w:pStyle w:val="Text"/>
              <w:keepNext/>
              <w:keepLines/>
              <w:spacing w:before="40" w:after="40" w:line="220" w:lineRule="exact"/>
              <w:ind w:left="113" w:right="57"/>
              <w:jc w:val="right"/>
              <w:rPr>
                <w:rFonts w:ascii="Times New Roman" w:hAnsi="Times New Roman"/>
                <w:sz w:val="18"/>
                <w:lang w:val="fr-FR"/>
              </w:rPr>
            </w:pPr>
            <w:r>
              <w:rPr>
                <w:rFonts w:ascii="Times New Roman" w:hAnsi="Times New Roman"/>
                <w:sz w:val="18"/>
                <w:lang w:val="fr-FR"/>
              </w:rPr>
              <w:t>0</w:t>
            </w:r>
          </w:p>
        </w:tc>
        <w:tc>
          <w:tcPr>
            <w:tcW w:w="611" w:type="dxa"/>
            <w:tcBorders>
              <w:top w:val="nil"/>
            </w:tcBorders>
            <w:shd w:val="clear" w:color="auto" w:fill="auto"/>
            <w:vAlign w:val="bottom"/>
          </w:tcPr>
          <w:p w:rsidR="00B6556D" w:rsidRPr="00A176EA" w:rsidRDefault="00B6556D" w:rsidP="00A43E7B">
            <w:pPr>
              <w:pStyle w:val="Text"/>
              <w:keepNext/>
              <w:keepLines/>
              <w:spacing w:before="40" w:after="40" w:line="220" w:lineRule="exact"/>
              <w:ind w:left="113" w:right="57"/>
              <w:jc w:val="right"/>
              <w:rPr>
                <w:rFonts w:ascii="Times New Roman" w:hAnsi="Times New Roman"/>
                <w:sz w:val="18"/>
                <w:lang w:val="fr-FR"/>
              </w:rPr>
            </w:pPr>
            <w:r>
              <w:rPr>
                <w:rFonts w:ascii="Times New Roman" w:hAnsi="Times New Roman"/>
                <w:sz w:val="18"/>
                <w:lang w:val="fr-FR"/>
              </w:rPr>
              <w:t>0</w:t>
            </w:r>
          </w:p>
        </w:tc>
        <w:tc>
          <w:tcPr>
            <w:tcW w:w="554" w:type="dxa"/>
            <w:tcBorders>
              <w:top w:val="nil"/>
            </w:tcBorders>
            <w:shd w:val="clear" w:color="auto" w:fill="auto"/>
            <w:vAlign w:val="bottom"/>
          </w:tcPr>
          <w:p w:rsidR="00B6556D" w:rsidRPr="00A176EA" w:rsidRDefault="00B6556D" w:rsidP="00A43E7B">
            <w:pPr>
              <w:pStyle w:val="Text"/>
              <w:keepNext/>
              <w:keepLines/>
              <w:spacing w:before="40" w:after="40" w:line="220" w:lineRule="exact"/>
              <w:ind w:left="113" w:right="57"/>
              <w:jc w:val="right"/>
              <w:rPr>
                <w:rFonts w:ascii="Times New Roman" w:hAnsi="Times New Roman"/>
                <w:sz w:val="18"/>
                <w:lang w:val="fr-FR"/>
              </w:rPr>
            </w:pPr>
            <w:r>
              <w:rPr>
                <w:rFonts w:ascii="Times New Roman" w:hAnsi="Times New Roman"/>
                <w:sz w:val="18"/>
                <w:lang w:val="fr-FR"/>
              </w:rPr>
              <w:t>0</w:t>
            </w:r>
          </w:p>
        </w:tc>
        <w:tc>
          <w:tcPr>
            <w:tcW w:w="557" w:type="dxa"/>
            <w:tcBorders>
              <w:top w:val="nil"/>
            </w:tcBorders>
            <w:shd w:val="clear" w:color="auto" w:fill="auto"/>
            <w:vAlign w:val="bottom"/>
          </w:tcPr>
          <w:p w:rsidR="00B6556D" w:rsidRPr="00A176EA" w:rsidRDefault="00B6556D" w:rsidP="00A43E7B">
            <w:pPr>
              <w:pStyle w:val="Text"/>
              <w:keepNext/>
              <w:keepLines/>
              <w:spacing w:before="40" w:after="40" w:line="220" w:lineRule="exact"/>
              <w:ind w:left="113" w:right="57"/>
              <w:jc w:val="right"/>
              <w:rPr>
                <w:rFonts w:ascii="Times New Roman" w:hAnsi="Times New Roman"/>
                <w:sz w:val="18"/>
                <w:lang w:val="fr-FR"/>
              </w:rPr>
            </w:pPr>
            <w:r>
              <w:rPr>
                <w:rFonts w:ascii="Times New Roman" w:hAnsi="Times New Roman"/>
                <w:sz w:val="18"/>
                <w:lang w:val="fr-FR"/>
              </w:rPr>
              <w:t>-</w:t>
            </w:r>
          </w:p>
        </w:tc>
        <w:tc>
          <w:tcPr>
            <w:tcW w:w="582" w:type="dxa"/>
            <w:tcBorders>
              <w:top w:val="nil"/>
            </w:tcBorders>
            <w:shd w:val="clear" w:color="auto" w:fill="auto"/>
            <w:vAlign w:val="bottom"/>
          </w:tcPr>
          <w:p w:rsidR="00B6556D" w:rsidRPr="00A176EA" w:rsidRDefault="00B6556D" w:rsidP="00A43E7B">
            <w:pPr>
              <w:pStyle w:val="Text"/>
              <w:keepNext/>
              <w:keepLines/>
              <w:spacing w:before="40" w:after="40" w:line="220" w:lineRule="exact"/>
              <w:ind w:left="113" w:right="57"/>
              <w:jc w:val="right"/>
              <w:rPr>
                <w:rFonts w:ascii="Times New Roman" w:hAnsi="Times New Roman"/>
                <w:sz w:val="18"/>
                <w:lang w:val="fr-FR"/>
              </w:rPr>
            </w:pPr>
            <w:r>
              <w:rPr>
                <w:rFonts w:ascii="Times New Roman" w:hAnsi="Times New Roman"/>
                <w:sz w:val="18"/>
                <w:lang w:val="fr-FR"/>
              </w:rPr>
              <w:t>0</w:t>
            </w:r>
          </w:p>
        </w:tc>
        <w:tc>
          <w:tcPr>
            <w:tcW w:w="660" w:type="dxa"/>
            <w:tcBorders>
              <w:top w:val="nil"/>
            </w:tcBorders>
            <w:shd w:val="clear" w:color="auto" w:fill="auto"/>
            <w:vAlign w:val="bottom"/>
          </w:tcPr>
          <w:p w:rsidR="00B6556D" w:rsidRPr="00A176EA" w:rsidRDefault="00B6556D" w:rsidP="00A43E7B">
            <w:pPr>
              <w:pStyle w:val="Text"/>
              <w:keepNext/>
              <w:keepLines/>
              <w:spacing w:before="40" w:after="40" w:line="220" w:lineRule="exact"/>
              <w:ind w:left="113" w:right="57"/>
              <w:jc w:val="right"/>
              <w:rPr>
                <w:rFonts w:ascii="Times New Roman" w:hAnsi="Times New Roman"/>
                <w:sz w:val="18"/>
                <w:lang w:val="fr-FR"/>
              </w:rPr>
            </w:pPr>
            <w:r>
              <w:rPr>
                <w:rFonts w:ascii="Times New Roman" w:hAnsi="Times New Roman"/>
                <w:sz w:val="18"/>
                <w:lang w:val="fr-FR"/>
              </w:rPr>
              <w:t>-</w:t>
            </w:r>
          </w:p>
        </w:tc>
        <w:tc>
          <w:tcPr>
            <w:tcW w:w="615" w:type="dxa"/>
            <w:tcBorders>
              <w:top w:val="nil"/>
            </w:tcBorders>
            <w:shd w:val="clear" w:color="auto" w:fill="auto"/>
            <w:vAlign w:val="bottom"/>
          </w:tcPr>
          <w:p w:rsidR="00B6556D" w:rsidRPr="00A176EA" w:rsidRDefault="00B6556D" w:rsidP="00A43E7B">
            <w:pPr>
              <w:pStyle w:val="Text"/>
              <w:keepNext/>
              <w:keepLines/>
              <w:spacing w:before="40" w:after="40" w:line="220" w:lineRule="exact"/>
              <w:ind w:left="113" w:right="57"/>
              <w:jc w:val="right"/>
              <w:rPr>
                <w:rFonts w:ascii="Times New Roman" w:hAnsi="Times New Roman"/>
                <w:sz w:val="18"/>
                <w:lang w:val="fr-FR"/>
              </w:rPr>
            </w:pPr>
            <w:r>
              <w:rPr>
                <w:rFonts w:ascii="Times New Roman" w:hAnsi="Times New Roman"/>
                <w:sz w:val="18"/>
                <w:lang w:val="fr-FR"/>
              </w:rPr>
              <w:t>1</w:t>
            </w:r>
          </w:p>
        </w:tc>
        <w:tc>
          <w:tcPr>
            <w:tcW w:w="692" w:type="dxa"/>
            <w:tcBorders>
              <w:top w:val="nil"/>
            </w:tcBorders>
            <w:shd w:val="clear" w:color="auto" w:fill="auto"/>
            <w:vAlign w:val="bottom"/>
          </w:tcPr>
          <w:p w:rsidR="00B6556D" w:rsidRPr="00A176EA" w:rsidRDefault="00B6556D" w:rsidP="00A43E7B">
            <w:pPr>
              <w:pStyle w:val="Text"/>
              <w:keepNext/>
              <w:keepLines/>
              <w:spacing w:before="40" w:after="40" w:line="220" w:lineRule="exact"/>
              <w:ind w:left="113" w:right="57"/>
              <w:jc w:val="right"/>
              <w:rPr>
                <w:rFonts w:ascii="Times New Roman" w:hAnsi="Times New Roman"/>
                <w:sz w:val="18"/>
                <w:lang w:val="fr-FR"/>
              </w:rPr>
            </w:pPr>
            <w:r>
              <w:rPr>
                <w:rFonts w:ascii="Times New Roman" w:hAnsi="Times New Roman"/>
                <w:sz w:val="18"/>
                <w:lang w:val="fr-FR"/>
              </w:rPr>
              <w:t>2</w:t>
            </w:r>
          </w:p>
        </w:tc>
        <w:tc>
          <w:tcPr>
            <w:tcW w:w="644" w:type="dxa"/>
            <w:tcBorders>
              <w:top w:val="nil"/>
            </w:tcBorders>
            <w:shd w:val="clear" w:color="auto" w:fill="auto"/>
            <w:vAlign w:val="bottom"/>
          </w:tcPr>
          <w:p w:rsidR="00B6556D" w:rsidRPr="00A176EA" w:rsidRDefault="00B6556D" w:rsidP="00A43E7B">
            <w:pPr>
              <w:pStyle w:val="Text"/>
              <w:keepNext/>
              <w:keepLines/>
              <w:spacing w:before="40" w:after="40" w:line="220" w:lineRule="exact"/>
              <w:ind w:left="113" w:right="57"/>
              <w:jc w:val="right"/>
              <w:rPr>
                <w:rFonts w:ascii="Times New Roman" w:hAnsi="Times New Roman"/>
                <w:sz w:val="18"/>
                <w:lang w:val="fr-FR"/>
              </w:rPr>
            </w:pPr>
            <w:r>
              <w:rPr>
                <w:rFonts w:ascii="Times New Roman" w:hAnsi="Times New Roman"/>
                <w:sz w:val="18"/>
                <w:lang w:val="fr-FR"/>
              </w:rPr>
              <w:t>0</w:t>
            </w:r>
          </w:p>
        </w:tc>
        <w:tc>
          <w:tcPr>
            <w:tcW w:w="646" w:type="dxa"/>
            <w:tcBorders>
              <w:top w:val="nil"/>
            </w:tcBorders>
            <w:shd w:val="clear" w:color="auto" w:fill="auto"/>
            <w:vAlign w:val="bottom"/>
          </w:tcPr>
          <w:p w:rsidR="00B6556D" w:rsidRPr="00A176EA" w:rsidRDefault="00B6556D" w:rsidP="00A43E7B">
            <w:pPr>
              <w:pStyle w:val="Text"/>
              <w:keepNext/>
              <w:keepLines/>
              <w:spacing w:before="40" w:after="40" w:line="220" w:lineRule="exact"/>
              <w:ind w:left="113" w:right="57"/>
              <w:jc w:val="right"/>
              <w:rPr>
                <w:rFonts w:ascii="Times New Roman" w:hAnsi="Times New Roman"/>
                <w:sz w:val="18"/>
                <w:lang w:val="fr-FR"/>
              </w:rPr>
            </w:pPr>
            <w:r>
              <w:rPr>
                <w:rFonts w:ascii="Times New Roman" w:hAnsi="Times New Roman"/>
                <w:sz w:val="18"/>
                <w:lang w:val="fr-FR"/>
              </w:rPr>
              <w:t>-</w:t>
            </w:r>
          </w:p>
        </w:tc>
      </w:tr>
      <w:tr w:rsidR="00B6556D" w:rsidRPr="00A176EA" w:rsidTr="00DD7C56">
        <w:trPr>
          <w:trHeight w:val="240"/>
        </w:trPr>
        <w:tc>
          <w:tcPr>
            <w:tcW w:w="1219" w:type="dxa"/>
            <w:tcBorders>
              <w:top w:val="nil"/>
            </w:tcBorders>
            <w:shd w:val="clear" w:color="auto" w:fill="auto"/>
          </w:tcPr>
          <w:p w:rsidR="00B6556D" w:rsidRPr="00A176EA" w:rsidRDefault="00B6556D" w:rsidP="005104B8">
            <w:pPr>
              <w:pStyle w:val="Text"/>
              <w:keepNext/>
              <w:keepLines/>
              <w:spacing w:before="40" w:after="40" w:line="220" w:lineRule="exact"/>
              <w:rPr>
                <w:rFonts w:ascii="Times New Roman" w:hAnsi="Times New Roman"/>
                <w:sz w:val="18"/>
                <w:lang w:val="fr-FR"/>
              </w:rPr>
            </w:pPr>
            <w:r w:rsidRPr="00A176EA">
              <w:rPr>
                <w:rFonts w:ascii="Times New Roman" w:hAnsi="Times New Roman"/>
                <w:sz w:val="18"/>
                <w:lang w:val="fr-FR"/>
              </w:rPr>
              <w:t>Local</w:t>
            </w:r>
            <w:r>
              <w:rPr>
                <w:rFonts w:ascii="Times New Roman" w:hAnsi="Times New Roman"/>
                <w:sz w:val="18"/>
                <w:lang w:val="fr-FR"/>
              </w:rPr>
              <w:t>e</w:t>
            </w:r>
          </w:p>
        </w:tc>
        <w:tc>
          <w:tcPr>
            <w:tcW w:w="590" w:type="dxa"/>
            <w:tcBorders>
              <w:top w:val="nil"/>
            </w:tcBorders>
            <w:shd w:val="clear" w:color="auto" w:fill="auto"/>
            <w:vAlign w:val="bottom"/>
          </w:tcPr>
          <w:p w:rsidR="00B6556D" w:rsidRPr="00A176EA" w:rsidRDefault="00B6556D" w:rsidP="00A43E7B">
            <w:pPr>
              <w:pStyle w:val="Text"/>
              <w:keepNext/>
              <w:keepLines/>
              <w:spacing w:before="40" w:after="40" w:line="220" w:lineRule="exact"/>
              <w:ind w:left="113" w:right="57"/>
              <w:jc w:val="right"/>
              <w:rPr>
                <w:rFonts w:ascii="Times New Roman" w:hAnsi="Times New Roman"/>
                <w:sz w:val="18"/>
                <w:lang w:val="fr-FR"/>
              </w:rPr>
            </w:pPr>
            <w:r>
              <w:rPr>
                <w:rFonts w:ascii="Times New Roman" w:hAnsi="Times New Roman"/>
                <w:sz w:val="18"/>
                <w:lang w:val="fr-FR"/>
              </w:rPr>
              <w:t>10</w:t>
            </w:r>
          </w:p>
        </w:tc>
        <w:tc>
          <w:tcPr>
            <w:tcW w:w="611" w:type="dxa"/>
            <w:tcBorders>
              <w:top w:val="nil"/>
            </w:tcBorders>
            <w:shd w:val="clear" w:color="auto" w:fill="auto"/>
            <w:vAlign w:val="bottom"/>
          </w:tcPr>
          <w:p w:rsidR="00B6556D" w:rsidRPr="00A176EA" w:rsidRDefault="00B6556D" w:rsidP="00A43E7B">
            <w:pPr>
              <w:pStyle w:val="Text"/>
              <w:keepNext/>
              <w:keepLines/>
              <w:spacing w:before="40" w:after="40" w:line="220" w:lineRule="exact"/>
              <w:ind w:left="113" w:right="57"/>
              <w:jc w:val="right"/>
              <w:rPr>
                <w:rFonts w:ascii="Times New Roman" w:hAnsi="Times New Roman"/>
                <w:sz w:val="18"/>
                <w:lang w:val="fr-FR"/>
              </w:rPr>
            </w:pPr>
            <w:r>
              <w:rPr>
                <w:rFonts w:ascii="Times New Roman" w:hAnsi="Times New Roman"/>
                <w:sz w:val="18"/>
                <w:lang w:val="fr-FR"/>
              </w:rPr>
              <w:t>42</w:t>
            </w:r>
          </w:p>
        </w:tc>
        <w:tc>
          <w:tcPr>
            <w:tcW w:w="554" w:type="dxa"/>
            <w:tcBorders>
              <w:top w:val="nil"/>
            </w:tcBorders>
            <w:shd w:val="clear" w:color="auto" w:fill="auto"/>
            <w:vAlign w:val="bottom"/>
          </w:tcPr>
          <w:p w:rsidR="00B6556D" w:rsidRPr="00A176EA" w:rsidRDefault="00B6556D" w:rsidP="00A43E7B">
            <w:pPr>
              <w:pStyle w:val="Text"/>
              <w:keepNext/>
              <w:keepLines/>
              <w:spacing w:before="40" w:after="40" w:line="220" w:lineRule="exact"/>
              <w:ind w:left="113" w:right="57"/>
              <w:jc w:val="right"/>
              <w:rPr>
                <w:rFonts w:ascii="Times New Roman" w:hAnsi="Times New Roman"/>
                <w:sz w:val="18"/>
                <w:lang w:val="fr-FR"/>
              </w:rPr>
            </w:pPr>
            <w:r>
              <w:rPr>
                <w:rFonts w:ascii="Times New Roman" w:hAnsi="Times New Roman"/>
                <w:sz w:val="18"/>
                <w:lang w:val="fr-FR"/>
              </w:rPr>
              <w:t>0</w:t>
            </w:r>
          </w:p>
        </w:tc>
        <w:tc>
          <w:tcPr>
            <w:tcW w:w="557" w:type="dxa"/>
            <w:tcBorders>
              <w:top w:val="nil"/>
            </w:tcBorders>
            <w:shd w:val="clear" w:color="auto" w:fill="auto"/>
            <w:vAlign w:val="bottom"/>
          </w:tcPr>
          <w:p w:rsidR="00B6556D" w:rsidRPr="00A176EA" w:rsidRDefault="00B6556D" w:rsidP="00A43E7B">
            <w:pPr>
              <w:pStyle w:val="Text"/>
              <w:keepNext/>
              <w:keepLines/>
              <w:spacing w:before="40" w:after="40" w:line="220" w:lineRule="exact"/>
              <w:ind w:left="113" w:right="57"/>
              <w:jc w:val="right"/>
              <w:rPr>
                <w:rFonts w:ascii="Times New Roman" w:hAnsi="Times New Roman"/>
                <w:sz w:val="18"/>
                <w:lang w:val="fr-FR"/>
              </w:rPr>
            </w:pPr>
            <w:r>
              <w:rPr>
                <w:rFonts w:ascii="Times New Roman" w:hAnsi="Times New Roman"/>
                <w:sz w:val="18"/>
                <w:lang w:val="fr-FR"/>
              </w:rPr>
              <w:t>-</w:t>
            </w:r>
          </w:p>
        </w:tc>
        <w:tc>
          <w:tcPr>
            <w:tcW w:w="582" w:type="dxa"/>
            <w:tcBorders>
              <w:top w:val="nil"/>
            </w:tcBorders>
            <w:shd w:val="clear" w:color="auto" w:fill="auto"/>
            <w:vAlign w:val="bottom"/>
          </w:tcPr>
          <w:p w:rsidR="00B6556D" w:rsidRPr="00A176EA" w:rsidRDefault="00B6556D" w:rsidP="00A43E7B">
            <w:pPr>
              <w:pStyle w:val="Text"/>
              <w:keepNext/>
              <w:keepLines/>
              <w:spacing w:before="40" w:after="40" w:line="220" w:lineRule="exact"/>
              <w:ind w:left="113" w:right="57"/>
              <w:jc w:val="right"/>
              <w:rPr>
                <w:rFonts w:ascii="Times New Roman" w:hAnsi="Times New Roman"/>
                <w:sz w:val="18"/>
                <w:lang w:val="fr-FR"/>
              </w:rPr>
            </w:pPr>
            <w:r>
              <w:rPr>
                <w:rFonts w:ascii="Times New Roman" w:hAnsi="Times New Roman"/>
                <w:sz w:val="18"/>
                <w:lang w:val="fr-FR"/>
              </w:rPr>
              <w:t>1</w:t>
            </w:r>
          </w:p>
        </w:tc>
        <w:tc>
          <w:tcPr>
            <w:tcW w:w="660" w:type="dxa"/>
            <w:tcBorders>
              <w:top w:val="nil"/>
            </w:tcBorders>
            <w:shd w:val="clear" w:color="auto" w:fill="auto"/>
            <w:vAlign w:val="bottom"/>
          </w:tcPr>
          <w:p w:rsidR="00B6556D" w:rsidRPr="00A176EA" w:rsidRDefault="00B6556D" w:rsidP="00A43E7B">
            <w:pPr>
              <w:pStyle w:val="Text"/>
              <w:keepNext/>
              <w:keepLines/>
              <w:spacing w:before="40" w:after="40" w:line="220" w:lineRule="exact"/>
              <w:ind w:left="113" w:right="57"/>
              <w:jc w:val="right"/>
              <w:rPr>
                <w:rFonts w:ascii="Times New Roman" w:hAnsi="Times New Roman"/>
                <w:sz w:val="18"/>
                <w:lang w:val="fr-FR"/>
              </w:rPr>
            </w:pPr>
            <w:r>
              <w:rPr>
                <w:rFonts w:ascii="Times New Roman" w:hAnsi="Times New Roman"/>
                <w:sz w:val="18"/>
                <w:lang w:val="fr-FR"/>
              </w:rPr>
              <w:t>5</w:t>
            </w:r>
          </w:p>
        </w:tc>
        <w:tc>
          <w:tcPr>
            <w:tcW w:w="615" w:type="dxa"/>
            <w:tcBorders>
              <w:top w:val="nil"/>
            </w:tcBorders>
            <w:shd w:val="clear" w:color="auto" w:fill="auto"/>
            <w:vAlign w:val="bottom"/>
          </w:tcPr>
          <w:p w:rsidR="00B6556D" w:rsidRPr="00A176EA" w:rsidRDefault="00B6556D" w:rsidP="00A43E7B">
            <w:pPr>
              <w:pStyle w:val="Text"/>
              <w:keepNext/>
              <w:keepLines/>
              <w:spacing w:before="40" w:after="40" w:line="220" w:lineRule="exact"/>
              <w:ind w:left="113" w:right="57"/>
              <w:jc w:val="right"/>
              <w:rPr>
                <w:rFonts w:ascii="Times New Roman" w:hAnsi="Times New Roman"/>
                <w:sz w:val="18"/>
                <w:lang w:val="fr-FR"/>
              </w:rPr>
            </w:pPr>
            <w:r>
              <w:rPr>
                <w:rFonts w:ascii="Times New Roman" w:hAnsi="Times New Roman"/>
                <w:sz w:val="18"/>
                <w:lang w:val="fr-FR"/>
              </w:rPr>
              <w:t>18</w:t>
            </w:r>
          </w:p>
        </w:tc>
        <w:tc>
          <w:tcPr>
            <w:tcW w:w="692" w:type="dxa"/>
            <w:tcBorders>
              <w:top w:val="nil"/>
            </w:tcBorders>
            <w:shd w:val="clear" w:color="auto" w:fill="auto"/>
            <w:vAlign w:val="bottom"/>
          </w:tcPr>
          <w:p w:rsidR="00B6556D" w:rsidRPr="00A176EA" w:rsidRDefault="00B6556D" w:rsidP="00A43E7B">
            <w:pPr>
              <w:pStyle w:val="Text"/>
              <w:keepNext/>
              <w:keepLines/>
              <w:spacing w:before="40" w:after="40" w:line="220" w:lineRule="exact"/>
              <w:ind w:left="113" w:right="57"/>
              <w:jc w:val="right"/>
              <w:rPr>
                <w:rFonts w:ascii="Times New Roman" w:hAnsi="Times New Roman"/>
                <w:sz w:val="18"/>
                <w:lang w:val="fr-FR"/>
              </w:rPr>
            </w:pPr>
            <w:r>
              <w:rPr>
                <w:rFonts w:ascii="Times New Roman" w:hAnsi="Times New Roman"/>
                <w:sz w:val="18"/>
                <w:lang w:val="fr-FR"/>
              </w:rPr>
              <w:t>39</w:t>
            </w:r>
          </w:p>
        </w:tc>
        <w:tc>
          <w:tcPr>
            <w:tcW w:w="644" w:type="dxa"/>
            <w:tcBorders>
              <w:top w:val="nil"/>
            </w:tcBorders>
            <w:shd w:val="clear" w:color="auto" w:fill="auto"/>
            <w:vAlign w:val="bottom"/>
          </w:tcPr>
          <w:p w:rsidR="00B6556D" w:rsidRPr="00A176EA" w:rsidRDefault="00B6556D" w:rsidP="00A43E7B">
            <w:pPr>
              <w:pStyle w:val="Text"/>
              <w:keepNext/>
              <w:keepLines/>
              <w:spacing w:before="40" w:after="40" w:line="220" w:lineRule="exact"/>
              <w:ind w:left="113" w:right="57"/>
              <w:jc w:val="right"/>
              <w:rPr>
                <w:rFonts w:ascii="Times New Roman" w:hAnsi="Times New Roman"/>
                <w:sz w:val="18"/>
                <w:lang w:val="fr-FR"/>
              </w:rPr>
            </w:pPr>
            <w:r>
              <w:rPr>
                <w:rFonts w:ascii="Times New Roman" w:hAnsi="Times New Roman"/>
                <w:sz w:val="18"/>
                <w:lang w:val="fr-FR"/>
              </w:rPr>
              <w:t>0</w:t>
            </w:r>
          </w:p>
        </w:tc>
        <w:tc>
          <w:tcPr>
            <w:tcW w:w="646" w:type="dxa"/>
            <w:tcBorders>
              <w:top w:val="nil"/>
            </w:tcBorders>
            <w:shd w:val="clear" w:color="auto" w:fill="auto"/>
            <w:vAlign w:val="bottom"/>
          </w:tcPr>
          <w:p w:rsidR="00B6556D" w:rsidRPr="00A176EA" w:rsidRDefault="00B6556D" w:rsidP="00A43E7B">
            <w:pPr>
              <w:pStyle w:val="Text"/>
              <w:keepNext/>
              <w:keepLines/>
              <w:spacing w:before="40" w:after="40" w:line="220" w:lineRule="exact"/>
              <w:ind w:left="113" w:right="57"/>
              <w:jc w:val="right"/>
              <w:rPr>
                <w:rFonts w:ascii="Times New Roman" w:hAnsi="Times New Roman"/>
                <w:sz w:val="18"/>
                <w:lang w:val="fr-FR"/>
              </w:rPr>
            </w:pPr>
            <w:r>
              <w:rPr>
                <w:rFonts w:ascii="Times New Roman" w:hAnsi="Times New Roman"/>
                <w:sz w:val="18"/>
                <w:lang w:val="fr-FR"/>
              </w:rPr>
              <w:t>-</w:t>
            </w:r>
          </w:p>
        </w:tc>
      </w:tr>
      <w:tr w:rsidR="00B6556D" w:rsidRPr="00A176EA" w:rsidTr="00DD7C56">
        <w:trPr>
          <w:trHeight w:val="240"/>
        </w:trPr>
        <w:tc>
          <w:tcPr>
            <w:tcW w:w="1219" w:type="dxa"/>
            <w:tcBorders>
              <w:top w:val="nil"/>
              <w:bottom w:val="single" w:sz="4" w:space="0" w:color="auto"/>
            </w:tcBorders>
            <w:shd w:val="clear" w:color="auto" w:fill="auto"/>
          </w:tcPr>
          <w:p w:rsidR="00B6556D" w:rsidRPr="00A176EA" w:rsidRDefault="00B6556D" w:rsidP="005104B8">
            <w:pPr>
              <w:pStyle w:val="Text"/>
              <w:keepNext/>
              <w:keepLines/>
              <w:spacing w:before="40" w:after="40" w:line="220" w:lineRule="exact"/>
              <w:rPr>
                <w:rFonts w:ascii="Times New Roman" w:hAnsi="Times New Roman"/>
                <w:sz w:val="18"/>
                <w:lang w:val="fr-FR"/>
              </w:rPr>
            </w:pPr>
            <w:r>
              <w:rPr>
                <w:rFonts w:ascii="Times New Roman" w:hAnsi="Times New Roman"/>
                <w:sz w:val="18"/>
                <w:lang w:val="fr-FR"/>
              </w:rPr>
              <w:t>Renvoyée au service de police</w:t>
            </w:r>
          </w:p>
        </w:tc>
        <w:tc>
          <w:tcPr>
            <w:tcW w:w="590" w:type="dxa"/>
            <w:tcBorders>
              <w:top w:val="nil"/>
              <w:bottom w:val="single" w:sz="4" w:space="0" w:color="auto"/>
            </w:tcBorders>
            <w:shd w:val="clear" w:color="auto" w:fill="auto"/>
            <w:vAlign w:val="bottom"/>
          </w:tcPr>
          <w:p w:rsidR="00B6556D" w:rsidRPr="00A176EA" w:rsidRDefault="00B6556D" w:rsidP="00A43E7B">
            <w:pPr>
              <w:pStyle w:val="Text"/>
              <w:keepNext/>
              <w:keepLines/>
              <w:spacing w:before="40" w:after="40" w:line="220" w:lineRule="exact"/>
              <w:ind w:left="113" w:right="57"/>
              <w:jc w:val="right"/>
              <w:rPr>
                <w:rFonts w:ascii="Times New Roman" w:hAnsi="Times New Roman"/>
                <w:sz w:val="18"/>
                <w:lang w:val="fr-FR"/>
              </w:rPr>
            </w:pPr>
            <w:r>
              <w:rPr>
                <w:rFonts w:ascii="Times New Roman" w:hAnsi="Times New Roman"/>
                <w:sz w:val="18"/>
                <w:lang w:val="fr-FR"/>
              </w:rPr>
              <w:t>1</w:t>
            </w:r>
          </w:p>
        </w:tc>
        <w:tc>
          <w:tcPr>
            <w:tcW w:w="611" w:type="dxa"/>
            <w:tcBorders>
              <w:top w:val="nil"/>
              <w:bottom w:val="single" w:sz="4" w:space="0" w:color="auto"/>
            </w:tcBorders>
            <w:shd w:val="clear" w:color="auto" w:fill="auto"/>
            <w:vAlign w:val="bottom"/>
          </w:tcPr>
          <w:p w:rsidR="00B6556D" w:rsidRPr="00A176EA" w:rsidRDefault="00B6556D" w:rsidP="00A43E7B">
            <w:pPr>
              <w:pStyle w:val="Text"/>
              <w:keepNext/>
              <w:keepLines/>
              <w:spacing w:before="40" w:after="40" w:line="220" w:lineRule="exact"/>
              <w:ind w:left="113" w:right="57"/>
              <w:jc w:val="right"/>
              <w:rPr>
                <w:rFonts w:ascii="Times New Roman" w:hAnsi="Times New Roman"/>
                <w:sz w:val="18"/>
                <w:lang w:val="fr-FR"/>
              </w:rPr>
            </w:pPr>
            <w:r>
              <w:rPr>
                <w:rFonts w:ascii="Times New Roman" w:hAnsi="Times New Roman"/>
                <w:sz w:val="18"/>
                <w:lang w:val="fr-FR"/>
              </w:rPr>
              <w:t>4</w:t>
            </w:r>
          </w:p>
        </w:tc>
        <w:tc>
          <w:tcPr>
            <w:tcW w:w="554" w:type="dxa"/>
            <w:tcBorders>
              <w:top w:val="nil"/>
              <w:bottom w:val="single" w:sz="4" w:space="0" w:color="auto"/>
            </w:tcBorders>
            <w:shd w:val="clear" w:color="auto" w:fill="auto"/>
            <w:vAlign w:val="bottom"/>
          </w:tcPr>
          <w:p w:rsidR="00B6556D" w:rsidRPr="00A176EA" w:rsidRDefault="00B6556D" w:rsidP="00A43E7B">
            <w:pPr>
              <w:pStyle w:val="Text"/>
              <w:keepNext/>
              <w:keepLines/>
              <w:spacing w:before="40" w:after="40" w:line="220" w:lineRule="exact"/>
              <w:ind w:left="113" w:right="57"/>
              <w:jc w:val="right"/>
              <w:rPr>
                <w:rFonts w:ascii="Times New Roman" w:hAnsi="Times New Roman"/>
                <w:sz w:val="18"/>
                <w:lang w:val="fr-FR"/>
              </w:rPr>
            </w:pPr>
            <w:r>
              <w:rPr>
                <w:rFonts w:ascii="Times New Roman" w:hAnsi="Times New Roman"/>
                <w:sz w:val="18"/>
                <w:lang w:val="fr-FR"/>
              </w:rPr>
              <w:t>0</w:t>
            </w:r>
          </w:p>
        </w:tc>
        <w:tc>
          <w:tcPr>
            <w:tcW w:w="557" w:type="dxa"/>
            <w:tcBorders>
              <w:top w:val="nil"/>
              <w:bottom w:val="single" w:sz="4" w:space="0" w:color="auto"/>
            </w:tcBorders>
            <w:shd w:val="clear" w:color="auto" w:fill="auto"/>
            <w:vAlign w:val="bottom"/>
          </w:tcPr>
          <w:p w:rsidR="00B6556D" w:rsidRPr="00A176EA" w:rsidRDefault="00B6556D" w:rsidP="00A43E7B">
            <w:pPr>
              <w:pStyle w:val="Text"/>
              <w:keepNext/>
              <w:keepLines/>
              <w:spacing w:before="40" w:after="40" w:line="220" w:lineRule="exact"/>
              <w:ind w:left="113" w:right="57"/>
              <w:jc w:val="right"/>
              <w:rPr>
                <w:rFonts w:ascii="Times New Roman" w:hAnsi="Times New Roman"/>
                <w:sz w:val="18"/>
                <w:lang w:val="fr-FR"/>
              </w:rPr>
            </w:pPr>
            <w:r>
              <w:rPr>
                <w:rFonts w:ascii="Times New Roman" w:hAnsi="Times New Roman"/>
                <w:sz w:val="18"/>
                <w:lang w:val="fr-FR"/>
              </w:rPr>
              <w:t>-</w:t>
            </w:r>
          </w:p>
        </w:tc>
        <w:tc>
          <w:tcPr>
            <w:tcW w:w="582" w:type="dxa"/>
            <w:tcBorders>
              <w:top w:val="nil"/>
              <w:bottom w:val="single" w:sz="4" w:space="0" w:color="auto"/>
            </w:tcBorders>
            <w:shd w:val="clear" w:color="auto" w:fill="auto"/>
            <w:vAlign w:val="bottom"/>
          </w:tcPr>
          <w:p w:rsidR="00B6556D" w:rsidRPr="00A176EA" w:rsidRDefault="00B6556D" w:rsidP="00A43E7B">
            <w:pPr>
              <w:pStyle w:val="Text"/>
              <w:keepNext/>
              <w:keepLines/>
              <w:spacing w:before="40" w:after="40" w:line="220" w:lineRule="exact"/>
              <w:ind w:left="113" w:right="57"/>
              <w:jc w:val="right"/>
              <w:rPr>
                <w:rFonts w:ascii="Times New Roman" w:hAnsi="Times New Roman"/>
                <w:sz w:val="18"/>
                <w:lang w:val="fr-FR"/>
              </w:rPr>
            </w:pPr>
            <w:r>
              <w:rPr>
                <w:rFonts w:ascii="Times New Roman" w:hAnsi="Times New Roman"/>
                <w:sz w:val="18"/>
                <w:lang w:val="fr-FR"/>
              </w:rPr>
              <w:t>4</w:t>
            </w:r>
          </w:p>
        </w:tc>
        <w:tc>
          <w:tcPr>
            <w:tcW w:w="660" w:type="dxa"/>
            <w:tcBorders>
              <w:top w:val="nil"/>
              <w:bottom w:val="single" w:sz="4" w:space="0" w:color="auto"/>
            </w:tcBorders>
            <w:shd w:val="clear" w:color="auto" w:fill="auto"/>
            <w:vAlign w:val="bottom"/>
          </w:tcPr>
          <w:p w:rsidR="00B6556D" w:rsidRPr="00A176EA" w:rsidRDefault="00B6556D" w:rsidP="00A43E7B">
            <w:pPr>
              <w:pStyle w:val="Text"/>
              <w:keepNext/>
              <w:keepLines/>
              <w:spacing w:before="40" w:after="40" w:line="220" w:lineRule="exact"/>
              <w:ind w:left="113" w:right="57"/>
              <w:jc w:val="right"/>
              <w:rPr>
                <w:rFonts w:ascii="Times New Roman" w:hAnsi="Times New Roman"/>
                <w:sz w:val="18"/>
                <w:lang w:val="fr-FR"/>
              </w:rPr>
            </w:pPr>
            <w:r>
              <w:rPr>
                <w:rFonts w:ascii="Times New Roman" w:hAnsi="Times New Roman"/>
                <w:sz w:val="18"/>
                <w:lang w:val="fr-FR"/>
              </w:rPr>
              <w:t>19</w:t>
            </w:r>
          </w:p>
        </w:tc>
        <w:tc>
          <w:tcPr>
            <w:tcW w:w="615" w:type="dxa"/>
            <w:tcBorders>
              <w:top w:val="nil"/>
              <w:bottom w:val="single" w:sz="4" w:space="0" w:color="auto"/>
            </w:tcBorders>
            <w:shd w:val="clear" w:color="auto" w:fill="auto"/>
            <w:vAlign w:val="bottom"/>
          </w:tcPr>
          <w:p w:rsidR="00B6556D" w:rsidRPr="00A176EA" w:rsidRDefault="00B6556D" w:rsidP="00A43E7B">
            <w:pPr>
              <w:pStyle w:val="Text"/>
              <w:keepNext/>
              <w:keepLines/>
              <w:spacing w:before="40" w:after="40" w:line="220" w:lineRule="exact"/>
              <w:ind w:left="113" w:right="57"/>
              <w:jc w:val="right"/>
              <w:rPr>
                <w:rFonts w:ascii="Times New Roman" w:hAnsi="Times New Roman"/>
                <w:sz w:val="18"/>
                <w:lang w:val="fr-FR"/>
              </w:rPr>
            </w:pPr>
            <w:r>
              <w:rPr>
                <w:rFonts w:ascii="Times New Roman" w:hAnsi="Times New Roman"/>
                <w:sz w:val="18"/>
                <w:lang w:val="fr-FR"/>
              </w:rPr>
              <w:t>24</w:t>
            </w:r>
          </w:p>
        </w:tc>
        <w:tc>
          <w:tcPr>
            <w:tcW w:w="692" w:type="dxa"/>
            <w:tcBorders>
              <w:top w:val="nil"/>
              <w:bottom w:val="single" w:sz="4" w:space="0" w:color="auto"/>
            </w:tcBorders>
            <w:shd w:val="clear" w:color="auto" w:fill="auto"/>
            <w:vAlign w:val="bottom"/>
          </w:tcPr>
          <w:p w:rsidR="00B6556D" w:rsidRPr="00A176EA" w:rsidRDefault="00B6556D" w:rsidP="00A43E7B">
            <w:pPr>
              <w:pStyle w:val="Text"/>
              <w:keepNext/>
              <w:keepLines/>
              <w:spacing w:before="40" w:after="40" w:line="220" w:lineRule="exact"/>
              <w:ind w:left="113" w:right="57"/>
              <w:jc w:val="right"/>
              <w:rPr>
                <w:rFonts w:ascii="Times New Roman" w:hAnsi="Times New Roman"/>
                <w:sz w:val="18"/>
                <w:lang w:val="fr-FR"/>
              </w:rPr>
            </w:pPr>
            <w:r>
              <w:rPr>
                <w:rFonts w:ascii="Times New Roman" w:hAnsi="Times New Roman"/>
                <w:sz w:val="18"/>
                <w:lang w:val="fr-FR"/>
              </w:rPr>
              <w:t>52</w:t>
            </w:r>
          </w:p>
        </w:tc>
        <w:tc>
          <w:tcPr>
            <w:tcW w:w="644" w:type="dxa"/>
            <w:tcBorders>
              <w:top w:val="nil"/>
              <w:bottom w:val="single" w:sz="4" w:space="0" w:color="auto"/>
            </w:tcBorders>
            <w:shd w:val="clear" w:color="auto" w:fill="auto"/>
            <w:vAlign w:val="bottom"/>
          </w:tcPr>
          <w:p w:rsidR="00B6556D" w:rsidRPr="00A176EA" w:rsidRDefault="00B6556D" w:rsidP="00A43E7B">
            <w:pPr>
              <w:pStyle w:val="Text"/>
              <w:keepNext/>
              <w:keepLines/>
              <w:spacing w:before="40" w:after="40" w:line="220" w:lineRule="exact"/>
              <w:ind w:left="113" w:right="57"/>
              <w:jc w:val="right"/>
              <w:rPr>
                <w:rFonts w:ascii="Times New Roman" w:hAnsi="Times New Roman"/>
                <w:sz w:val="18"/>
                <w:lang w:val="fr-FR"/>
              </w:rPr>
            </w:pPr>
            <w:r>
              <w:rPr>
                <w:rFonts w:ascii="Times New Roman" w:hAnsi="Times New Roman"/>
                <w:sz w:val="18"/>
                <w:lang w:val="fr-FR"/>
              </w:rPr>
              <w:t>0</w:t>
            </w:r>
          </w:p>
        </w:tc>
        <w:tc>
          <w:tcPr>
            <w:tcW w:w="646" w:type="dxa"/>
            <w:tcBorders>
              <w:top w:val="nil"/>
              <w:bottom w:val="single" w:sz="4" w:space="0" w:color="auto"/>
            </w:tcBorders>
            <w:shd w:val="clear" w:color="auto" w:fill="auto"/>
            <w:vAlign w:val="bottom"/>
          </w:tcPr>
          <w:p w:rsidR="00B6556D" w:rsidRPr="00A176EA" w:rsidRDefault="00B6556D" w:rsidP="00A43E7B">
            <w:pPr>
              <w:pStyle w:val="Text"/>
              <w:keepNext/>
              <w:keepLines/>
              <w:spacing w:before="40" w:after="40" w:line="220" w:lineRule="exact"/>
              <w:ind w:left="113" w:right="57"/>
              <w:jc w:val="right"/>
              <w:rPr>
                <w:rFonts w:ascii="Times New Roman" w:hAnsi="Times New Roman"/>
                <w:sz w:val="18"/>
                <w:lang w:val="fr-FR"/>
              </w:rPr>
            </w:pPr>
            <w:r>
              <w:rPr>
                <w:rFonts w:ascii="Times New Roman" w:hAnsi="Times New Roman"/>
                <w:sz w:val="18"/>
                <w:lang w:val="fr-FR"/>
              </w:rPr>
              <w:t>-</w:t>
            </w:r>
          </w:p>
        </w:tc>
      </w:tr>
      <w:tr w:rsidR="00ED0894" w:rsidRPr="00DD7C56" w:rsidTr="00DD7C56">
        <w:trPr>
          <w:trHeight w:val="240"/>
        </w:trPr>
        <w:tc>
          <w:tcPr>
            <w:tcW w:w="1219" w:type="dxa"/>
            <w:tcBorders>
              <w:top w:val="single" w:sz="4" w:space="0" w:color="auto"/>
              <w:bottom w:val="single" w:sz="12" w:space="0" w:color="auto"/>
            </w:tcBorders>
            <w:shd w:val="clear" w:color="auto" w:fill="auto"/>
          </w:tcPr>
          <w:p w:rsidR="000B562B" w:rsidRPr="00DD7C56" w:rsidRDefault="00F153D6" w:rsidP="00DD7C56">
            <w:pPr>
              <w:pStyle w:val="Text"/>
              <w:keepNext/>
              <w:keepLines/>
              <w:spacing w:before="80" w:after="80" w:line="220" w:lineRule="exact"/>
              <w:ind w:left="283"/>
              <w:rPr>
                <w:rFonts w:ascii="Times New Roman" w:hAnsi="Times New Roman"/>
                <w:b/>
                <w:bCs/>
                <w:sz w:val="18"/>
                <w:lang w:val="fr-FR"/>
              </w:rPr>
            </w:pPr>
            <w:r w:rsidRPr="00DD7C56">
              <w:rPr>
                <w:rFonts w:ascii="Times New Roman" w:hAnsi="Times New Roman"/>
                <w:b/>
                <w:bCs/>
                <w:sz w:val="18"/>
                <w:lang w:val="fr-FR"/>
              </w:rPr>
              <w:t xml:space="preserve">Nb total </w:t>
            </w:r>
            <w:r w:rsidR="00DD7C56">
              <w:rPr>
                <w:rFonts w:ascii="Times New Roman" w:hAnsi="Times New Roman"/>
                <w:b/>
                <w:bCs/>
                <w:sz w:val="18"/>
                <w:lang w:val="fr-FR"/>
              </w:rPr>
              <w:br/>
            </w:r>
            <w:r w:rsidRPr="00DD7C56">
              <w:rPr>
                <w:rFonts w:ascii="Times New Roman" w:hAnsi="Times New Roman"/>
                <w:b/>
                <w:bCs/>
                <w:sz w:val="18"/>
                <w:lang w:val="fr-FR"/>
              </w:rPr>
              <w:t>de décès</w:t>
            </w:r>
          </w:p>
        </w:tc>
        <w:tc>
          <w:tcPr>
            <w:tcW w:w="590" w:type="dxa"/>
            <w:tcBorders>
              <w:top w:val="single" w:sz="4" w:space="0" w:color="auto"/>
              <w:bottom w:val="single" w:sz="12" w:space="0" w:color="auto"/>
            </w:tcBorders>
            <w:shd w:val="clear" w:color="auto" w:fill="auto"/>
            <w:vAlign w:val="bottom"/>
          </w:tcPr>
          <w:p w:rsidR="000B562B" w:rsidRPr="00DD7C56" w:rsidRDefault="000B562B" w:rsidP="00A43E7B">
            <w:pPr>
              <w:pStyle w:val="Text"/>
              <w:keepNext/>
              <w:keepLines/>
              <w:spacing w:before="80" w:after="80" w:line="220" w:lineRule="exact"/>
              <w:ind w:left="113" w:right="57"/>
              <w:jc w:val="right"/>
              <w:rPr>
                <w:rFonts w:ascii="Times New Roman" w:hAnsi="Times New Roman"/>
                <w:b/>
                <w:bCs/>
                <w:sz w:val="18"/>
                <w:lang w:val="fr-FR"/>
              </w:rPr>
            </w:pPr>
            <w:r w:rsidRPr="00DD7C56">
              <w:rPr>
                <w:rFonts w:ascii="Times New Roman" w:hAnsi="Times New Roman"/>
                <w:b/>
                <w:bCs/>
                <w:sz w:val="18"/>
                <w:lang w:val="fr-FR"/>
              </w:rPr>
              <w:t>24</w:t>
            </w:r>
          </w:p>
        </w:tc>
        <w:tc>
          <w:tcPr>
            <w:tcW w:w="611" w:type="dxa"/>
            <w:tcBorders>
              <w:top w:val="single" w:sz="4" w:space="0" w:color="auto"/>
              <w:bottom w:val="single" w:sz="12" w:space="0" w:color="auto"/>
            </w:tcBorders>
            <w:shd w:val="clear" w:color="auto" w:fill="auto"/>
            <w:vAlign w:val="bottom"/>
          </w:tcPr>
          <w:p w:rsidR="000B562B" w:rsidRPr="00DD7C56" w:rsidRDefault="000B562B" w:rsidP="00A43E7B">
            <w:pPr>
              <w:pStyle w:val="Text"/>
              <w:keepNext/>
              <w:keepLines/>
              <w:spacing w:before="80" w:after="80" w:line="220" w:lineRule="exact"/>
              <w:ind w:left="113" w:right="57"/>
              <w:jc w:val="right"/>
              <w:rPr>
                <w:rFonts w:ascii="Times New Roman" w:hAnsi="Times New Roman"/>
                <w:b/>
                <w:bCs/>
                <w:sz w:val="18"/>
                <w:lang w:val="fr-FR"/>
              </w:rPr>
            </w:pPr>
            <w:r w:rsidRPr="00DD7C56">
              <w:rPr>
                <w:rFonts w:ascii="Times New Roman" w:hAnsi="Times New Roman"/>
                <w:b/>
                <w:bCs/>
                <w:sz w:val="18"/>
                <w:lang w:val="fr-FR"/>
              </w:rPr>
              <w:t>100</w:t>
            </w:r>
          </w:p>
        </w:tc>
        <w:tc>
          <w:tcPr>
            <w:tcW w:w="554" w:type="dxa"/>
            <w:tcBorders>
              <w:top w:val="single" w:sz="4" w:space="0" w:color="auto"/>
              <w:bottom w:val="single" w:sz="12" w:space="0" w:color="auto"/>
            </w:tcBorders>
            <w:shd w:val="clear" w:color="auto" w:fill="auto"/>
            <w:vAlign w:val="bottom"/>
          </w:tcPr>
          <w:p w:rsidR="000B562B" w:rsidRPr="00DD7C56" w:rsidRDefault="000B562B" w:rsidP="00A43E7B">
            <w:pPr>
              <w:pStyle w:val="Text"/>
              <w:keepNext/>
              <w:keepLines/>
              <w:spacing w:before="80" w:after="80" w:line="220" w:lineRule="exact"/>
              <w:ind w:left="113" w:right="57"/>
              <w:jc w:val="right"/>
              <w:rPr>
                <w:rFonts w:ascii="Times New Roman" w:hAnsi="Times New Roman"/>
                <w:b/>
                <w:bCs/>
                <w:sz w:val="18"/>
                <w:lang w:val="fr-FR"/>
              </w:rPr>
            </w:pPr>
            <w:r w:rsidRPr="00DD7C56">
              <w:rPr>
                <w:rFonts w:ascii="Times New Roman" w:hAnsi="Times New Roman"/>
                <w:b/>
                <w:bCs/>
                <w:sz w:val="18"/>
                <w:lang w:val="fr-FR"/>
              </w:rPr>
              <w:t>2</w:t>
            </w:r>
          </w:p>
        </w:tc>
        <w:tc>
          <w:tcPr>
            <w:tcW w:w="557" w:type="dxa"/>
            <w:tcBorders>
              <w:top w:val="single" w:sz="4" w:space="0" w:color="auto"/>
              <w:bottom w:val="single" w:sz="12" w:space="0" w:color="auto"/>
            </w:tcBorders>
            <w:shd w:val="clear" w:color="auto" w:fill="auto"/>
            <w:vAlign w:val="bottom"/>
          </w:tcPr>
          <w:p w:rsidR="000B562B" w:rsidRPr="00DD7C56" w:rsidRDefault="000B562B" w:rsidP="00A43E7B">
            <w:pPr>
              <w:pStyle w:val="Text"/>
              <w:keepNext/>
              <w:keepLines/>
              <w:spacing w:before="80" w:after="80" w:line="220" w:lineRule="exact"/>
              <w:ind w:left="113" w:right="57"/>
              <w:jc w:val="right"/>
              <w:rPr>
                <w:rFonts w:ascii="Times New Roman" w:hAnsi="Times New Roman"/>
                <w:b/>
                <w:bCs/>
                <w:sz w:val="18"/>
                <w:lang w:val="fr-FR"/>
              </w:rPr>
            </w:pPr>
            <w:r w:rsidRPr="00DD7C56">
              <w:rPr>
                <w:rFonts w:ascii="Times New Roman" w:hAnsi="Times New Roman"/>
                <w:b/>
                <w:bCs/>
                <w:sz w:val="18"/>
                <w:lang w:val="fr-FR"/>
              </w:rPr>
              <w:t>100</w:t>
            </w:r>
          </w:p>
        </w:tc>
        <w:tc>
          <w:tcPr>
            <w:tcW w:w="582" w:type="dxa"/>
            <w:tcBorders>
              <w:top w:val="single" w:sz="4" w:space="0" w:color="auto"/>
              <w:bottom w:val="single" w:sz="12" w:space="0" w:color="auto"/>
            </w:tcBorders>
            <w:shd w:val="clear" w:color="auto" w:fill="auto"/>
            <w:vAlign w:val="bottom"/>
          </w:tcPr>
          <w:p w:rsidR="000B562B" w:rsidRPr="00DD7C56" w:rsidRDefault="000B562B" w:rsidP="00A43E7B">
            <w:pPr>
              <w:pStyle w:val="Text"/>
              <w:keepNext/>
              <w:keepLines/>
              <w:spacing w:before="80" w:after="80" w:line="220" w:lineRule="exact"/>
              <w:ind w:left="113" w:right="57"/>
              <w:jc w:val="right"/>
              <w:rPr>
                <w:rFonts w:ascii="Times New Roman" w:hAnsi="Times New Roman"/>
                <w:b/>
                <w:bCs/>
                <w:sz w:val="18"/>
                <w:lang w:val="fr-FR"/>
              </w:rPr>
            </w:pPr>
            <w:r w:rsidRPr="00DD7C56">
              <w:rPr>
                <w:rFonts w:ascii="Times New Roman" w:hAnsi="Times New Roman"/>
                <w:b/>
                <w:bCs/>
                <w:sz w:val="18"/>
                <w:lang w:val="fr-FR"/>
              </w:rPr>
              <w:t>21</w:t>
            </w:r>
          </w:p>
        </w:tc>
        <w:tc>
          <w:tcPr>
            <w:tcW w:w="660" w:type="dxa"/>
            <w:tcBorders>
              <w:top w:val="single" w:sz="4" w:space="0" w:color="auto"/>
              <w:bottom w:val="single" w:sz="12" w:space="0" w:color="auto"/>
            </w:tcBorders>
            <w:shd w:val="clear" w:color="auto" w:fill="auto"/>
            <w:vAlign w:val="bottom"/>
          </w:tcPr>
          <w:p w:rsidR="000B562B" w:rsidRPr="00DD7C56" w:rsidRDefault="000B562B" w:rsidP="00A43E7B">
            <w:pPr>
              <w:pStyle w:val="Text"/>
              <w:keepNext/>
              <w:keepLines/>
              <w:spacing w:before="80" w:after="80" w:line="220" w:lineRule="exact"/>
              <w:ind w:left="113" w:right="57"/>
              <w:jc w:val="right"/>
              <w:rPr>
                <w:rFonts w:ascii="Times New Roman" w:hAnsi="Times New Roman"/>
                <w:b/>
                <w:bCs/>
                <w:sz w:val="18"/>
                <w:lang w:val="fr-FR"/>
              </w:rPr>
            </w:pPr>
            <w:r w:rsidRPr="00DD7C56">
              <w:rPr>
                <w:rFonts w:ascii="Times New Roman" w:hAnsi="Times New Roman"/>
                <w:b/>
                <w:bCs/>
                <w:sz w:val="18"/>
                <w:lang w:val="fr-FR"/>
              </w:rPr>
              <w:t>100</w:t>
            </w:r>
          </w:p>
        </w:tc>
        <w:tc>
          <w:tcPr>
            <w:tcW w:w="615" w:type="dxa"/>
            <w:tcBorders>
              <w:top w:val="single" w:sz="4" w:space="0" w:color="auto"/>
              <w:bottom w:val="single" w:sz="12" w:space="0" w:color="auto"/>
            </w:tcBorders>
            <w:shd w:val="clear" w:color="auto" w:fill="auto"/>
            <w:vAlign w:val="bottom"/>
          </w:tcPr>
          <w:p w:rsidR="000B562B" w:rsidRPr="00DD7C56" w:rsidRDefault="000B562B" w:rsidP="00A43E7B">
            <w:pPr>
              <w:pStyle w:val="Text"/>
              <w:keepNext/>
              <w:keepLines/>
              <w:spacing w:before="80" w:after="80" w:line="220" w:lineRule="exact"/>
              <w:ind w:left="113" w:right="57"/>
              <w:jc w:val="right"/>
              <w:rPr>
                <w:rFonts w:ascii="Times New Roman" w:hAnsi="Times New Roman"/>
                <w:b/>
                <w:bCs/>
                <w:sz w:val="18"/>
                <w:lang w:val="fr-FR"/>
              </w:rPr>
            </w:pPr>
            <w:r w:rsidRPr="00DD7C56">
              <w:rPr>
                <w:rFonts w:ascii="Times New Roman" w:hAnsi="Times New Roman"/>
                <w:b/>
                <w:bCs/>
                <w:sz w:val="18"/>
                <w:lang w:val="fr-FR"/>
              </w:rPr>
              <w:t>46</w:t>
            </w:r>
          </w:p>
        </w:tc>
        <w:tc>
          <w:tcPr>
            <w:tcW w:w="692" w:type="dxa"/>
            <w:tcBorders>
              <w:top w:val="single" w:sz="4" w:space="0" w:color="auto"/>
              <w:bottom w:val="single" w:sz="12" w:space="0" w:color="auto"/>
            </w:tcBorders>
            <w:shd w:val="clear" w:color="auto" w:fill="auto"/>
            <w:vAlign w:val="bottom"/>
          </w:tcPr>
          <w:p w:rsidR="000B562B" w:rsidRPr="00DD7C56" w:rsidRDefault="000B562B" w:rsidP="00A43E7B">
            <w:pPr>
              <w:pStyle w:val="Text"/>
              <w:keepNext/>
              <w:keepLines/>
              <w:spacing w:before="80" w:after="80" w:line="220" w:lineRule="exact"/>
              <w:ind w:left="113" w:right="57"/>
              <w:jc w:val="right"/>
              <w:rPr>
                <w:rFonts w:ascii="Times New Roman" w:hAnsi="Times New Roman"/>
                <w:b/>
                <w:bCs/>
                <w:sz w:val="18"/>
                <w:lang w:val="fr-FR"/>
              </w:rPr>
            </w:pPr>
            <w:r w:rsidRPr="00DD7C56">
              <w:rPr>
                <w:rFonts w:ascii="Times New Roman" w:hAnsi="Times New Roman"/>
                <w:b/>
                <w:bCs/>
                <w:sz w:val="18"/>
                <w:lang w:val="fr-FR"/>
              </w:rPr>
              <w:t>100</w:t>
            </w:r>
          </w:p>
        </w:tc>
        <w:tc>
          <w:tcPr>
            <w:tcW w:w="644" w:type="dxa"/>
            <w:tcBorders>
              <w:top w:val="single" w:sz="4" w:space="0" w:color="auto"/>
              <w:bottom w:val="single" w:sz="12" w:space="0" w:color="auto"/>
            </w:tcBorders>
            <w:shd w:val="clear" w:color="auto" w:fill="auto"/>
            <w:vAlign w:val="bottom"/>
          </w:tcPr>
          <w:p w:rsidR="000B562B" w:rsidRPr="00DD7C56" w:rsidRDefault="000B562B" w:rsidP="00A43E7B">
            <w:pPr>
              <w:pStyle w:val="Text"/>
              <w:keepNext/>
              <w:keepLines/>
              <w:spacing w:before="80" w:after="80" w:line="220" w:lineRule="exact"/>
              <w:ind w:left="113" w:right="57"/>
              <w:jc w:val="right"/>
              <w:rPr>
                <w:rFonts w:ascii="Times New Roman" w:hAnsi="Times New Roman"/>
                <w:b/>
                <w:bCs/>
                <w:sz w:val="18"/>
                <w:lang w:val="fr-FR"/>
              </w:rPr>
            </w:pPr>
            <w:r w:rsidRPr="00DD7C56">
              <w:rPr>
                <w:rFonts w:ascii="Times New Roman" w:hAnsi="Times New Roman"/>
                <w:b/>
                <w:bCs/>
                <w:sz w:val="18"/>
                <w:lang w:val="fr-FR"/>
              </w:rPr>
              <w:t>44</w:t>
            </w:r>
          </w:p>
        </w:tc>
        <w:tc>
          <w:tcPr>
            <w:tcW w:w="646" w:type="dxa"/>
            <w:tcBorders>
              <w:top w:val="single" w:sz="4" w:space="0" w:color="auto"/>
              <w:bottom w:val="single" w:sz="12" w:space="0" w:color="auto"/>
            </w:tcBorders>
            <w:shd w:val="clear" w:color="auto" w:fill="auto"/>
            <w:vAlign w:val="bottom"/>
          </w:tcPr>
          <w:p w:rsidR="000B562B" w:rsidRPr="00DD7C56" w:rsidRDefault="000B562B" w:rsidP="00A43E7B">
            <w:pPr>
              <w:pStyle w:val="Text"/>
              <w:keepNext/>
              <w:keepLines/>
              <w:spacing w:before="80" w:after="80" w:line="220" w:lineRule="exact"/>
              <w:ind w:left="113" w:right="57"/>
              <w:jc w:val="right"/>
              <w:rPr>
                <w:rFonts w:ascii="Times New Roman" w:hAnsi="Times New Roman"/>
                <w:b/>
                <w:bCs/>
                <w:sz w:val="18"/>
                <w:lang w:val="fr-FR"/>
              </w:rPr>
            </w:pPr>
            <w:r w:rsidRPr="00DD7C56">
              <w:rPr>
                <w:rFonts w:ascii="Times New Roman" w:hAnsi="Times New Roman"/>
                <w:b/>
                <w:bCs/>
                <w:sz w:val="18"/>
                <w:lang w:val="fr-FR"/>
              </w:rPr>
              <w:t>100</w:t>
            </w:r>
          </w:p>
        </w:tc>
      </w:tr>
    </w:tbl>
    <w:p w:rsidR="000B562B" w:rsidRPr="00DD7C56" w:rsidRDefault="00EC3B28" w:rsidP="00DD7C56">
      <w:pPr>
        <w:pStyle w:val="SingleTxtG"/>
        <w:spacing w:before="120" w:after="0" w:line="220" w:lineRule="atLeast"/>
        <w:ind w:firstLine="170"/>
        <w:jc w:val="left"/>
        <w:rPr>
          <w:sz w:val="18"/>
          <w:szCs w:val="18"/>
          <w:lang w:val="fr-FR"/>
        </w:rPr>
      </w:pPr>
      <w:r w:rsidRPr="00EC3B28">
        <w:rPr>
          <w:i/>
          <w:iCs/>
          <w:sz w:val="18"/>
          <w:szCs w:val="18"/>
          <w:lang w:val="fr-FR"/>
        </w:rPr>
        <w:t>Note</w:t>
      </w:r>
      <w:r w:rsidR="00B16863">
        <w:rPr>
          <w:i/>
          <w:iCs/>
          <w:sz w:val="18"/>
          <w:szCs w:val="18"/>
          <w:lang w:val="fr-FR"/>
        </w:rPr>
        <w:t>s</w:t>
      </w:r>
      <w:r w:rsidRPr="00EC3B28">
        <w:rPr>
          <w:i/>
          <w:iCs/>
          <w:sz w:val="18"/>
          <w:szCs w:val="18"/>
          <w:lang w:val="fr-FR"/>
        </w:rPr>
        <w:t> :</w:t>
      </w:r>
      <w:r>
        <w:rPr>
          <w:sz w:val="18"/>
          <w:szCs w:val="18"/>
          <w:lang w:val="fr-FR"/>
        </w:rPr>
        <w:t xml:space="preserve">  </w:t>
      </w:r>
      <w:r w:rsidR="00B12C70">
        <w:rPr>
          <w:sz w:val="18"/>
          <w:szCs w:val="18"/>
          <w:lang w:val="fr-FR"/>
        </w:rPr>
        <w:t>1.</w:t>
      </w:r>
      <w:r w:rsidR="00DD7C56">
        <w:rPr>
          <w:sz w:val="18"/>
          <w:szCs w:val="18"/>
          <w:lang w:val="fr-FR"/>
        </w:rPr>
        <w:t xml:space="preserve"> </w:t>
      </w:r>
      <w:r w:rsidR="00B96FB8" w:rsidRPr="00DD7C56">
        <w:rPr>
          <w:sz w:val="18"/>
          <w:szCs w:val="18"/>
          <w:lang w:val="fr-FR"/>
        </w:rPr>
        <w:t>Type d’enquête</w:t>
      </w:r>
      <w:r w:rsidR="000B562B" w:rsidRPr="00DD7C56">
        <w:rPr>
          <w:sz w:val="18"/>
          <w:szCs w:val="18"/>
          <w:lang w:val="fr-FR"/>
        </w:rPr>
        <w:t xml:space="preserve"> </w:t>
      </w:r>
      <w:r w:rsidR="0024448E" w:rsidRPr="00DD7C56">
        <w:rPr>
          <w:sz w:val="18"/>
          <w:szCs w:val="18"/>
          <w:lang w:val="fr-FR"/>
        </w:rPr>
        <w:t>figurant dans le Système de gestion des dossiers de la</w:t>
      </w:r>
      <w:r w:rsidR="000B562B" w:rsidRPr="00DD7C56">
        <w:rPr>
          <w:sz w:val="18"/>
          <w:szCs w:val="18"/>
          <w:lang w:val="fr-FR"/>
        </w:rPr>
        <w:t xml:space="preserve"> </w:t>
      </w:r>
      <w:r w:rsidR="0090139B" w:rsidRPr="00DD7C56">
        <w:rPr>
          <w:sz w:val="18"/>
          <w:szCs w:val="18"/>
          <w:lang w:val="fr-FR"/>
        </w:rPr>
        <w:t>Commission indépendante des plaintes contre la police</w:t>
      </w:r>
      <w:r w:rsidR="000B562B" w:rsidRPr="00DD7C56">
        <w:rPr>
          <w:sz w:val="18"/>
          <w:szCs w:val="18"/>
          <w:lang w:val="fr-FR"/>
        </w:rPr>
        <w:t xml:space="preserve">, </w:t>
      </w:r>
      <w:r w:rsidR="0024448E" w:rsidRPr="00DD7C56">
        <w:rPr>
          <w:sz w:val="18"/>
          <w:szCs w:val="18"/>
          <w:lang w:val="fr-FR"/>
        </w:rPr>
        <w:t>av</w:t>
      </w:r>
      <w:r w:rsidR="000B562B" w:rsidRPr="00DD7C56">
        <w:rPr>
          <w:sz w:val="18"/>
          <w:szCs w:val="18"/>
          <w:lang w:val="fr-FR"/>
        </w:rPr>
        <w:t>ril 2011.</w:t>
      </w:r>
    </w:p>
    <w:p w:rsidR="000B562B" w:rsidRPr="00DD7C56" w:rsidRDefault="00B12C70" w:rsidP="00B16863">
      <w:pPr>
        <w:pStyle w:val="SingleTxtG"/>
        <w:spacing w:after="240" w:line="220" w:lineRule="atLeast"/>
        <w:ind w:firstLine="770"/>
        <w:jc w:val="left"/>
        <w:rPr>
          <w:sz w:val="18"/>
          <w:szCs w:val="18"/>
          <w:lang w:val="fr-FR"/>
        </w:rPr>
      </w:pPr>
      <w:r>
        <w:rPr>
          <w:sz w:val="18"/>
          <w:szCs w:val="18"/>
          <w:lang w:val="fr-FR"/>
        </w:rPr>
        <w:t>2.</w:t>
      </w:r>
      <w:r w:rsidR="00DD7C56">
        <w:rPr>
          <w:sz w:val="18"/>
          <w:szCs w:val="18"/>
          <w:lang w:val="fr-FR"/>
        </w:rPr>
        <w:t xml:space="preserve"> </w:t>
      </w:r>
      <w:r w:rsidR="0024448E" w:rsidRPr="00DD7C56">
        <w:rPr>
          <w:sz w:val="18"/>
          <w:szCs w:val="18"/>
          <w:lang w:val="fr-FR"/>
        </w:rPr>
        <w:t>Les pourcentages sont arrondis et peuvent donc être supérieurs</w:t>
      </w:r>
      <w:r w:rsidR="000B562B" w:rsidRPr="00DD7C56">
        <w:rPr>
          <w:sz w:val="18"/>
          <w:szCs w:val="18"/>
          <w:lang w:val="fr-FR"/>
        </w:rPr>
        <w:t xml:space="preserve"> </w:t>
      </w:r>
      <w:r w:rsidR="0024448E" w:rsidRPr="00DD7C56">
        <w:rPr>
          <w:sz w:val="18"/>
          <w:szCs w:val="18"/>
          <w:lang w:val="fr-FR"/>
        </w:rPr>
        <w:t>à la somme des chiffres dans certaines catégories</w:t>
      </w:r>
      <w:r w:rsidR="000B562B" w:rsidRPr="00DD7C56">
        <w:rPr>
          <w:sz w:val="18"/>
          <w:szCs w:val="18"/>
          <w:lang w:val="fr-FR"/>
        </w:rPr>
        <w:t>.</w:t>
      </w:r>
    </w:p>
    <w:p w:rsidR="000B562B" w:rsidRPr="00A176EA" w:rsidRDefault="00FD2CE1" w:rsidP="00DE1014">
      <w:pPr>
        <w:pStyle w:val="H23G"/>
        <w:rPr>
          <w:lang w:val="fr-FR"/>
        </w:rPr>
      </w:pPr>
      <w:r w:rsidRPr="0024448E">
        <w:rPr>
          <w:lang w:val="fr-FR"/>
        </w:rPr>
        <w:t>Écosse</w:t>
      </w:r>
    </w:p>
    <w:p w:rsidR="000B562B" w:rsidRPr="00A176EA" w:rsidRDefault="002549A9" w:rsidP="00BD0B56">
      <w:pPr>
        <w:pStyle w:val="SingleTxtG"/>
        <w:rPr>
          <w:lang w:val="fr-FR"/>
        </w:rPr>
      </w:pPr>
      <w:r w:rsidRPr="00A176EA">
        <w:rPr>
          <w:lang w:val="fr-FR"/>
        </w:rPr>
        <w:t>427.</w:t>
      </w:r>
      <w:r w:rsidRPr="00A176EA">
        <w:rPr>
          <w:lang w:val="fr-FR"/>
        </w:rPr>
        <w:tab/>
      </w:r>
      <w:r w:rsidR="0024448E">
        <w:rPr>
          <w:lang w:val="fr-FR"/>
        </w:rPr>
        <w:t xml:space="preserve">Le détail des procédures concernant les décès en garde à vue en </w:t>
      </w:r>
      <w:r w:rsidR="0024448E" w:rsidRPr="0024448E">
        <w:rPr>
          <w:lang w:val="fr-FR"/>
        </w:rPr>
        <w:t>Écosse</w:t>
      </w:r>
      <w:r w:rsidR="0024448E">
        <w:rPr>
          <w:lang w:val="fr-FR"/>
        </w:rPr>
        <w:t xml:space="preserve"> figure aux paragraphes 208 à 211 du quatrième rapport du Royaume-Uni. </w:t>
      </w:r>
      <w:r w:rsidR="00BD0B56">
        <w:rPr>
          <w:lang w:val="fr-FR"/>
        </w:rPr>
        <w:t xml:space="preserve">Le nombre de décès en garde à vue en </w:t>
      </w:r>
      <w:r w:rsidR="00BD0B56" w:rsidRPr="00BD0B56">
        <w:rPr>
          <w:lang w:val="fr-FR"/>
        </w:rPr>
        <w:t>Écosse</w:t>
      </w:r>
      <w:r w:rsidR="00BD0B56">
        <w:rPr>
          <w:lang w:val="fr-FR"/>
        </w:rPr>
        <w:t xml:space="preserve"> </w:t>
      </w:r>
      <w:r w:rsidR="00BD0B56" w:rsidRPr="00BD0B56">
        <w:rPr>
          <w:lang w:val="fr-FR"/>
        </w:rPr>
        <w:t xml:space="preserve">figure au paragraphe </w:t>
      </w:r>
      <w:r w:rsidR="00BD0B56" w:rsidRPr="00A43E7B">
        <w:rPr>
          <w:lang w:val="fr-FR"/>
        </w:rPr>
        <w:t>309</w:t>
      </w:r>
      <w:r w:rsidR="00BD0B56" w:rsidRPr="00BD0B56">
        <w:rPr>
          <w:lang w:val="fr-FR"/>
        </w:rPr>
        <w:t xml:space="preserve"> du présent rapport</w:t>
      </w:r>
      <w:r w:rsidR="000B562B" w:rsidRPr="00BD0B56">
        <w:rPr>
          <w:lang w:val="fr-FR"/>
        </w:rPr>
        <w:t>.</w:t>
      </w:r>
    </w:p>
    <w:p w:rsidR="000B562B" w:rsidRPr="00A176EA" w:rsidRDefault="008F3DA4" w:rsidP="00DE1014">
      <w:pPr>
        <w:pStyle w:val="H23G"/>
        <w:rPr>
          <w:lang w:val="fr-FR"/>
        </w:rPr>
      </w:pPr>
      <w:r w:rsidRPr="00BD0B56">
        <w:rPr>
          <w:lang w:val="fr-FR"/>
        </w:rPr>
        <w:t>Irlande du Nord</w:t>
      </w:r>
    </w:p>
    <w:p w:rsidR="000B562B" w:rsidRPr="00A176EA" w:rsidRDefault="002549A9" w:rsidP="00BD0B56">
      <w:pPr>
        <w:pStyle w:val="SingleTxtG"/>
        <w:rPr>
          <w:lang w:val="fr-FR"/>
        </w:rPr>
      </w:pPr>
      <w:r w:rsidRPr="00A176EA">
        <w:rPr>
          <w:lang w:val="fr-FR"/>
        </w:rPr>
        <w:t>428.</w:t>
      </w:r>
      <w:r w:rsidRPr="00A176EA">
        <w:rPr>
          <w:lang w:val="fr-FR"/>
        </w:rPr>
        <w:tab/>
      </w:r>
      <w:r w:rsidR="00BD0B56">
        <w:rPr>
          <w:lang w:val="fr-FR"/>
        </w:rPr>
        <w:t xml:space="preserve">Le détail du mandat et des procédures du Médiateur de la police d’Irlande du Nord figure aux paragraphes 212 à 215 du quatrième rapport du Royaume-Uni. Le nombre de décès en garde à vue en Irlande du Nord </w:t>
      </w:r>
      <w:r w:rsidR="00BD0B56" w:rsidRPr="00BD0B56">
        <w:rPr>
          <w:lang w:val="fr-FR"/>
        </w:rPr>
        <w:t xml:space="preserve">figure au paragraphe </w:t>
      </w:r>
      <w:r w:rsidR="00BD0B56" w:rsidRPr="00A43E7B">
        <w:rPr>
          <w:lang w:val="fr-FR"/>
        </w:rPr>
        <w:t>309</w:t>
      </w:r>
      <w:r w:rsidR="00BD0B56" w:rsidRPr="00BD0B56">
        <w:rPr>
          <w:lang w:val="fr-FR"/>
        </w:rPr>
        <w:t xml:space="preserve"> du présent rapport</w:t>
      </w:r>
      <w:r w:rsidR="000B562B" w:rsidRPr="00A176EA">
        <w:rPr>
          <w:lang w:val="fr-FR"/>
        </w:rPr>
        <w:t>.</w:t>
      </w:r>
    </w:p>
    <w:p w:rsidR="000B562B" w:rsidRPr="00A176EA" w:rsidRDefault="00BD0B56" w:rsidP="00DE1014">
      <w:pPr>
        <w:pStyle w:val="H23G"/>
        <w:rPr>
          <w:lang w:val="fr-FR"/>
        </w:rPr>
      </w:pPr>
      <w:bookmarkStart w:id="52" w:name="_Toc299724738"/>
      <w:r>
        <w:rPr>
          <w:lang w:val="fr-FR"/>
        </w:rPr>
        <w:t xml:space="preserve">Enquêtes sur les décès en </w:t>
      </w:r>
      <w:r w:rsidR="000B562B" w:rsidRPr="00A176EA">
        <w:rPr>
          <w:lang w:val="fr-FR"/>
        </w:rPr>
        <w:t>prison</w:t>
      </w:r>
      <w:bookmarkEnd w:id="52"/>
    </w:p>
    <w:p w:rsidR="000B562B" w:rsidRPr="00A176EA" w:rsidRDefault="003D5DFC" w:rsidP="00DE1014">
      <w:pPr>
        <w:pStyle w:val="H23G"/>
        <w:rPr>
          <w:lang w:val="fr-FR"/>
        </w:rPr>
      </w:pPr>
      <w:r w:rsidRPr="00BD0B56">
        <w:rPr>
          <w:lang w:val="fr-FR"/>
        </w:rPr>
        <w:t xml:space="preserve">Angleterre et </w:t>
      </w:r>
      <w:r w:rsidR="00BD0B56" w:rsidRPr="00BD0B56">
        <w:rPr>
          <w:lang w:val="fr-FR"/>
        </w:rPr>
        <w:t>p</w:t>
      </w:r>
      <w:r w:rsidR="005601A1" w:rsidRPr="00BD0B56">
        <w:rPr>
          <w:lang w:val="fr-FR"/>
        </w:rPr>
        <w:t>ays de Galles</w:t>
      </w:r>
    </w:p>
    <w:p w:rsidR="000B562B" w:rsidRPr="00A176EA" w:rsidRDefault="002549A9" w:rsidP="0033693B">
      <w:pPr>
        <w:pStyle w:val="SingleTxtG"/>
        <w:rPr>
          <w:lang w:val="fr-FR"/>
        </w:rPr>
      </w:pPr>
      <w:r w:rsidRPr="00A176EA">
        <w:rPr>
          <w:lang w:val="fr-FR"/>
        </w:rPr>
        <w:t>429.</w:t>
      </w:r>
      <w:r w:rsidRPr="00A176EA">
        <w:rPr>
          <w:lang w:val="fr-FR"/>
        </w:rPr>
        <w:tab/>
      </w:r>
      <w:r w:rsidR="00BD0B56" w:rsidRPr="0033693B">
        <w:rPr>
          <w:lang w:val="fr-FR"/>
        </w:rPr>
        <w:t>En Angleterre et au p</w:t>
      </w:r>
      <w:r w:rsidR="005601A1" w:rsidRPr="0033693B">
        <w:rPr>
          <w:lang w:val="fr-FR"/>
        </w:rPr>
        <w:t>ays de Galles</w:t>
      </w:r>
      <w:r w:rsidR="000B562B" w:rsidRPr="0033693B">
        <w:rPr>
          <w:lang w:val="fr-FR"/>
        </w:rPr>
        <w:t xml:space="preserve">, </w:t>
      </w:r>
      <w:r w:rsidR="0033693B" w:rsidRPr="0033693B">
        <w:rPr>
          <w:lang w:val="fr-FR"/>
        </w:rPr>
        <w:t xml:space="preserve">tous les décès en prison font l'objet d'une enquête menée par le </w:t>
      </w:r>
      <w:r w:rsidR="00BF42ED" w:rsidRPr="0033693B">
        <w:rPr>
          <w:snapToGrid w:val="0"/>
          <w:lang w:val="fr-FR"/>
        </w:rPr>
        <w:t xml:space="preserve">Médiateur </w:t>
      </w:r>
      <w:r w:rsidR="00BF42ED" w:rsidRPr="0033693B">
        <w:rPr>
          <w:lang w:val="fr-FR"/>
        </w:rPr>
        <w:t>des établissements pénitentiaires et de la probation</w:t>
      </w:r>
      <w:r w:rsidR="000B562B" w:rsidRPr="0033693B">
        <w:rPr>
          <w:lang w:val="fr-FR"/>
        </w:rPr>
        <w:t>.</w:t>
      </w:r>
      <w:r w:rsidR="000B562B" w:rsidRPr="00A176EA">
        <w:rPr>
          <w:lang w:val="fr-FR"/>
        </w:rPr>
        <w:t xml:space="preserve"> </w:t>
      </w:r>
      <w:r w:rsidR="0033693B">
        <w:rPr>
          <w:lang w:val="fr-FR"/>
        </w:rPr>
        <w:t>Il s’agit des décès de cause naturelle, des suicides, des homicides et des décès accidentels. Le Médiateur peut également, à sa discrétion, mener une enquête sur le décès d’un détenu récemment libéré</w:t>
      </w:r>
      <w:r w:rsidR="000B562B" w:rsidRPr="00A176EA">
        <w:rPr>
          <w:lang w:val="fr-FR"/>
        </w:rPr>
        <w:t>.</w:t>
      </w:r>
    </w:p>
    <w:p w:rsidR="000B562B" w:rsidRPr="00A176EA" w:rsidRDefault="002549A9" w:rsidP="002125D3">
      <w:pPr>
        <w:pStyle w:val="SingleTxtG"/>
        <w:rPr>
          <w:lang w:val="fr-FR"/>
        </w:rPr>
      </w:pPr>
      <w:r w:rsidRPr="00A176EA">
        <w:rPr>
          <w:lang w:val="fr-FR"/>
        </w:rPr>
        <w:t>430.</w:t>
      </w:r>
      <w:r w:rsidRPr="00A176EA">
        <w:rPr>
          <w:lang w:val="fr-FR"/>
        </w:rPr>
        <w:tab/>
      </w:r>
      <w:r w:rsidR="00BF42ED" w:rsidRPr="0033693B">
        <w:rPr>
          <w:lang w:val="fr-FR"/>
        </w:rPr>
        <w:t>Le Médiateur</w:t>
      </w:r>
      <w:r w:rsidR="000B562B" w:rsidRPr="0033693B">
        <w:rPr>
          <w:lang w:val="fr-FR"/>
        </w:rPr>
        <w:t xml:space="preserve"> </w:t>
      </w:r>
      <w:r w:rsidR="0033693B" w:rsidRPr="0033693B">
        <w:rPr>
          <w:lang w:val="fr-FR"/>
        </w:rPr>
        <w:t>publie un rapport à l’issue de chaque enquête.</w:t>
      </w:r>
      <w:r w:rsidR="0033693B">
        <w:rPr>
          <w:lang w:val="fr-FR"/>
        </w:rPr>
        <w:t xml:space="preserve"> </w:t>
      </w:r>
      <w:r w:rsidR="002125D3">
        <w:rPr>
          <w:lang w:val="fr-FR"/>
        </w:rPr>
        <w:t>Ce rappor</w:t>
      </w:r>
      <w:r w:rsidR="000D2F91">
        <w:rPr>
          <w:lang w:val="fr-FR"/>
        </w:rPr>
        <w:t>t</w:t>
      </w:r>
      <w:r w:rsidR="002125D3">
        <w:rPr>
          <w:lang w:val="fr-FR"/>
        </w:rPr>
        <w:t xml:space="preserve"> contient souvent des recommandations à l’intention du service où le décès a eu lieu lorsque le Médiateur estime que des enseignements peuvent être tirés de ce décès. </w:t>
      </w:r>
      <w:r w:rsidR="00C20E09">
        <w:rPr>
          <w:lang w:val="fr-FR"/>
        </w:rPr>
        <w:t>L</w:t>
      </w:r>
      <w:r w:rsidR="002125D3">
        <w:rPr>
          <w:lang w:val="fr-FR"/>
        </w:rPr>
        <w:t xml:space="preserve">es recommandations peuvent porter sur un établissement spécifique ou avoir des implications plus vastes </w:t>
      </w:r>
      <w:r w:rsidR="00C20E09">
        <w:rPr>
          <w:lang w:val="fr-FR"/>
        </w:rPr>
        <w:t>sur la</w:t>
      </w:r>
      <w:r w:rsidR="002125D3">
        <w:rPr>
          <w:lang w:val="fr-FR"/>
        </w:rPr>
        <w:t xml:space="preserve"> politique et </w:t>
      </w:r>
      <w:r w:rsidR="00C20E09">
        <w:rPr>
          <w:lang w:val="fr-FR"/>
        </w:rPr>
        <w:t>les</w:t>
      </w:r>
      <w:r w:rsidR="002125D3">
        <w:rPr>
          <w:lang w:val="fr-FR"/>
        </w:rPr>
        <w:t xml:space="preserve"> pratiques à l’échelon national. </w:t>
      </w:r>
      <w:r w:rsidR="00BF42ED" w:rsidRPr="002125D3">
        <w:rPr>
          <w:lang w:val="fr-FR"/>
        </w:rPr>
        <w:t xml:space="preserve">Le rapport du Médiateur est envoyé à la famille du défunt, au </w:t>
      </w:r>
      <w:r w:rsidR="00BF42ED" w:rsidRPr="002125D3">
        <w:rPr>
          <w:i/>
          <w:lang w:val="fr-FR"/>
        </w:rPr>
        <w:t>coroner</w:t>
      </w:r>
      <w:r w:rsidR="00BF42ED" w:rsidRPr="002125D3">
        <w:rPr>
          <w:lang w:val="fr-FR"/>
        </w:rPr>
        <w:t>, au</w:t>
      </w:r>
      <w:r w:rsidR="000B562B" w:rsidRPr="002125D3">
        <w:rPr>
          <w:lang w:val="fr-FR"/>
        </w:rPr>
        <w:t xml:space="preserve"> service </w:t>
      </w:r>
      <w:r w:rsidR="00871BEB">
        <w:rPr>
          <w:lang w:val="fr-FR"/>
        </w:rPr>
        <w:t>visé</w:t>
      </w:r>
      <w:r w:rsidR="000B562B" w:rsidRPr="002125D3">
        <w:rPr>
          <w:lang w:val="fr-FR"/>
        </w:rPr>
        <w:t xml:space="preserve"> </w:t>
      </w:r>
      <w:r w:rsidR="00BF42ED" w:rsidRPr="002125D3">
        <w:rPr>
          <w:lang w:val="fr-FR"/>
        </w:rPr>
        <w:t>et au Ministère de la santé</w:t>
      </w:r>
      <w:r w:rsidR="000B562B" w:rsidRPr="002125D3">
        <w:rPr>
          <w:lang w:val="fr-FR"/>
        </w:rPr>
        <w:t>.</w:t>
      </w:r>
      <w:r w:rsidR="00871BEB">
        <w:rPr>
          <w:lang w:val="fr-FR"/>
        </w:rPr>
        <w:t xml:space="preserve"> </w:t>
      </w:r>
    </w:p>
    <w:p w:rsidR="000B562B" w:rsidRPr="00A176EA" w:rsidRDefault="002549A9" w:rsidP="00871BEB">
      <w:pPr>
        <w:pStyle w:val="SingleTxtG"/>
        <w:rPr>
          <w:szCs w:val="24"/>
          <w:lang w:val="fr-FR"/>
        </w:rPr>
      </w:pPr>
      <w:r w:rsidRPr="00A176EA">
        <w:rPr>
          <w:szCs w:val="24"/>
          <w:lang w:val="fr-FR"/>
        </w:rPr>
        <w:t>431.</w:t>
      </w:r>
      <w:r w:rsidRPr="00A176EA">
        <w:rPr>
          <w:szCs w:val="24"/>
          <w:lang w:val="fr-FR"/>
        </w:rPr>
        <w:tab/>
      </w:r>
      <w:r w:rsidR="00871BEB">
        <w:rPr>
          <w:lang w:val="fr-FR"/>
        </w:rPr>
        <w:t>Une fois l’enquête conclue, l</w:t>
      </w:r>
      <w:r w:rsidR="00BF42ED" w:rsidRPr="00871BEB">
        <w:rPr>
          <w:lang w:val="fr-FR"/>
        </w:rPr>
        <w:t>e Médiateur</w:t>
      </w:r>
      <w:r w:rsidR="000B562B" w:rsidRPr="00A176EA">
        <w:rPr>
          <w:lang w:val="fr-FR"/>
        </w:rPr>
        <w:t xml:space="preserve"> </w:t>
      </w:r>
      <w:r w:rsidR="00871BEB">
        <w:rPr>
          <w:lang w:val="fr-FR"/>
        </w:rPr>
        <w:t>publie sur son site Internet un rapport anonymisé sur le décès</w:t>
      </w:r>
      <w:r w:rsidR="000B562B" w:rsidRPr="00A176EA">
        <w:rPr>
          <w:lang w:val="fr-FR"/>
        </w:rPr>
        <w:t>.</w:t>
      </w:r>
    </w:p>
    <w:p w:rsidR="000B562B" w:rsidRPr="00A176EA" w:rsidRDefault="002549A9" w:rsidP="00C32C70">
      <w:pPr>
        <w:pStyle w:val="SingleTxtG"/>
        <w:rPr>
          <w:lang w:val="fr-FR"/>
        </w:rPr>
      </w:pPr>
      <w:r w:rsidRPr="00A176EA">
        <w:rPr>
          <w:lang w:val="fr-FR"/>
        </w:rPr>
        <w:t>432.</w:t>
      </w:r>
      <w:r w:rsidRPr="00A176EA">
        <w:rPr>
          <w:lang w:val="fr-FR"/>
        </w:rPr>
        <w:tab/>
      </w:r>
      <w:r w:rsidR="00871BEB">
        <w:rPr>
          <w:lang w:val="fr-FR"/>
        </w:rPr>
        <w:t xml:space="preserve">Tout décès en garde à vue fait l’objet d’une enquête de police visant à déterminer ce qui s’est passé et vérifier qu’il n’y a pas eu </w:t>
      </w:r>
      <w:r w:rsidR="00C20E09">
        <w:rPr>
          <w:lang w:val="fr-FR"/>
        </w:rPr>
        <w:t>d’acte</w:t>
      </w:r>
      <w:r w:rsidR="00871BEB">
        <w:rPr>
          <w:lang w:val="fr-FR"/>
        </w:rPr>
        <w:t xml:space="preserve"> criminel. Tout décès en garde à vue est par ailleurs signalé à un </w:t>
      </w:r>
      <w:r w:rsidR="00871BEB" w:rsidRPr="00871BEB">
        <w:rPr>
          <w:i/>
          <w:lang w:val="fr-FR"/>
        </w:rPr>
        <w:t>coroner</w:t>
      </w:r>
      <w:r w:rsidR="00871BEB">
        <w:rPr>
          <w:lang w:val="fr-FR"/>
        </w:rPr>
        <w:t xml:space="preserve">. Ce dernier, qui est un </w:t>
      </w:r>
      <w:r w:rsidR="00F3289A">
        <w:rPr>
          <w:lang w:val="fr-FR"/>
        </w:rPr>
        <w:t>membre indépendant du corps</w:t>
      </w:r>
      <w:r w:rsidR="00871BEB">
        <w:rPr>
          <w:lang w:val="fr-FR"/>
        </w:rPr>
        <w:t xml:space="preserve"> judiciaire, procédera à une enquête devant jury pour établir les faits</w:t>
      </w:r>
      <w:r w:rsidR="00C20E09">
        <w:rPr>
          <w:lang w:val="fr-FR"/>
        </w:rPr>
        <w:t xml:space="preserve"> de la cause</w:t>
      </w:r>
      <w:r w:rsidR="00871BEB">
        <w:rPr>
          <w:lang w:val="fr-FR"/>
        </w:rPr>
        <w:t xml:space="preserve">. L’enquête du </w:t>
      </w:r>
      <w:r w:rsidR="00871BEB" w:rsidRPr="00871BEB">
        <w:rPr>
          <w:i/>
          <w:lang w:val="fr-FR"/>
        </w:rPr>
        <w:t>coroner</w:t>
      </w:r>
      <w:r w:rsidR="00871BEB">
        <w:rPr>
          <w:lang w:val="fr-FR"/>
        </w:rPr>
        <w:t xml:space="preserve"> est considérée comme une procédure indépendante par le droit national et le droit européen</w:t>
      </w:r>
      <w:r w:rsidR="000B562B" w:rsidRPr="00A176EA">
        <w:rPr>
          <w:lang w:val="fr-FR"/>
        </w:rPr>
        <w:t>.</w:t>
      </w:r>
    </w:p>
    <w:p w:rsidR="000B562B" w:rsidRPr="00A176EA" w:rsidRDefault="00FD2CE1" w:rsidP="00DE1014">
      <w:pPr>
        <w:pStyle w:val="H23G"/>
        <w:rPr>
          <w:lang w:val="fr-FR"/>
        </w:rPr>
      </w:pPr>
      <w:r w:rsidRPr="00871BEB">
        <w:rPr>
          <w:lang w:val="fr-FR"/>
        </w:rPr>
        <w:t>Écosse</w:t>
      </w:r>
    </w:p>
    <w:p w:rsidR="000B562B" w:rsidRPr="00A176EA" w:rsidRDefault="002549A9" w:rsidP="007F692D">
      <w:pPr>
        <w:pStyle w:val="SingleTxtG"/>
        <w:rPr>
          <w:lang w:val="fr-FR"/>
        </w:rPr>
      </w:pPr>
      <w:r w:rsidRPr="00A176EA">
        <w:rPr>
          <w:lang w:val="fr-FR"/>
        </w:rPr>
        <w:t>433.</w:t>
      </w:r>
      <w:r w:rsidRPr="00A176EA">
        <w:rPr>
          <w:lang w:val="fr-FR"/>
        </w:rPr>
        <w:tab/>
      </w:r>
      <w:r w:rsidR="00871BEB">
        <w:rPr>
          <w:lang w:val="fr-FR"/>
        </w:rPr>
        <w:t>E</w:t>
      </w:r>
      <w:r w:rsidR="000B562B" w:rsidRPr="00A176EA">
        <w:rPr>
          <w:lang w:val="fr-FR"/>
        </w:rPr>
        <w:t xml:space="preserve">n </w:t>
      </w:r>
      <w:r w:rsidR="00FD2CE1" w:rsidRPr="00871BEB">
        <w:rPr>
          <w:lang w:val="fr-FR"/>
        </w:rPr>
        <w:t>Écosse</w:t>
      </w:r>
      <w:r w:rsidR="000B562B" w:rsidRPr="00A176EA">
        <w:rPr>
          <w:lang w:val="fr-FR"/>
        </w:rPr>
        <w:t xml:space="preserve">, </w:t>
      </w:r>
      <w:r w:rsidR="002F53D1" w:rsidRPr="002F53D1">
        <w:rPr>
          <w:lang w:val="fr-FR"/>
        </w:rPr>
        <w:t xml:space="preserve">le </w:t>
      </w:r>
      <w:r w:rsidR="000443B5">
        <w:rPr>
          <w:lang w:val="fr-FR"/>
        </w:rPr>
        <w:t>P</w:t>
      </w:r>
      <w:r w:rsidR="002F53D1" w:rsidRPr="002F53D1">
        <w:rPr>
          <w:lang w:val="fr-FR"/>
        </w:rPr>
        <w:t xml:space="preserve">rocureur </w:t>
      </w:r>
      <w:r w:rsidR="0002390B">
        <w:rPr>
          <w:lang w:val="fr-FR"/>
        </w:rPr>
        <w:t xml:space="preserve">général </w:t>
      </w:r>
      <w:r w:rsidR="000D2F91">
        <w:rPr>
          <w:lang w:val="fr-FR"/>
        </w:rPr>
        <w:t xml:space="preserve">(Procurator Fiscal) </w:t>
      </w:r>
      <w:r w:rsidR="002F53D1" w:rsidRPr="002F53D1">
        <w:rPr>
          <w:lang w:val="fr-FR"/>
        </w:rPr>
        <w:t xml:space="preserve">mène une enquête indépendante sur </w:t>
      </w:r>
      <w:r w:rsidR="002F53D1">
        <w:rPr>
          <w:lang w:val="fr-FR"/>
        </w:rPr>
        <w:t xml:space="preserve">les circonstances de </w:t>
      </w:r>
      <w:r w:rsidR="002F53D1" w:rsidRPr="002F53D1">
        <w:rPr>
          <w:lang w:val="fr-FR"/>
        </w:rPr>
        <w:t xml:space="preserve">tout décès constaté en prison. A l'issue de cette enquête, il est </w:t>
      </w:r>
      <w:r w:rsidR="002F53D1">
        <w:rPr>
          <w:lang w:val="fr-FR"/>
        </w:rPr>
        <w:t xml:space="preserve">systématiquement </w:t>
      </w:r>
      <w:r w:rsidR="002F53D1" w:rsidRPr="002F53D1">
        <w:rPr>
          <w:lang w:val="fr-FR"/>
        </w:rPr>
        <w:t>procédé à une</w:t>
      </w:r>
      <w:r w:rsidR="002F53D1">
        <w:rPr>
          <w:lang w:val="fr-FR"/>
        </w:rPr>
        <w:t xml:space="preserve"> enquête publique conformément aux dispositions de la loi de 1976 sur les enquêtes relatives aux accidents mortels et aux morts subites (</w:t>
      </w:r>
      <w:r w:rsidR="002F53D1" w:rsidRPr="002F53D1">
        <w:rPr>
          <w:lang w:val="fr-FR"/>
        </w:rPr>
        <w:t>Écosse</w:t>
      </w:r>
      <w:r w:rsidR="002F53D1">
        <w:rPr>
          <w:lang w:val="fr-FR"/>
        </w:rPr>
        <w:t>)</w:t>
      </w:r>
      <w:r w:rsidR="002F53D1" w:rsidRPr="00A176EA">
        <w:rPr>
          <w:rStyle w:val="FootnoteReference"/>
          <w:bCs/>
          <w:szCs w:val="24"/>
        </w:rPr>
        <w:footnoteReference w:id="57"/>
      </w:r>
      <w:r w:rsidR="002F53D1">
        <w:rPr>
          <w:lang w:val="fr-FR"/>
        </w:rPr>
        <w:t xml:space="preserve"> afin de rechercher les circonstances </w:t>
      </w:r>
      <w:r w:rsidR="00781196">
        <w:rPr>
          <w:lang w:val="fr-FR"/>
        </w:rPr>
        <w:t>entourant</w:t>
      </w:r>
      <w:r w:rsidR="00404F31">
        <w:rPr>
          <w:lang w:val="fr-FR"/>
        </w:rPr>
        <w:t xml:space="preserve"> le</w:t>
      </w:r>
      <w:r w:rsidR="002F53D1">
        <w:rPr>
          <w:lang w:val="fr-FR"/>
        </w:rPr>
        <w:t xml:space="preserve"> décès. </w:t>
      </w:r>
      <w:r w:rsidR="00404F31">
        <w:rPr>
          <w:lang w:val="fr-FR"/>
        </w:rPr>
        <w:t xml:space="preserve">Depuis la création de l’Unité écossaise d’enquête sur les décès par le Bureau de la Couronne et le </w:t>
      </w:r>
      <w:r w:rsidR="00E20825">
        <w:rPr>
          <w:lang w:val="fr-FR"/>
        </w:rPr>
        <w:t>ministère public</w:t>
      </w:r>
      <w:r w:rsidR="00404F31">
        <w:rPr>
          <w:lang w:val="fr-FR"/>
        </w:rPr>
        <w:t xml:space="preserve">, en octobre 2010, ces décès </w:t>
      </w:r>
      <w:r w:rsidR="00E20825">
        <w:rPr>
          <w:lang w:val="fr-FR"/>
        </w:rPr>
        <w:t>sont signalés à l’Unité</w:t>
      </w:r>
      <w:r w:rsidR="004828A5">
        <w:rPr>
          <w:lang w:val="fr-FR"/>
        </w:rPr>
        <w:t>, ce</w:t>
      </w:r>
      <w:r w:rsidR="00E20825">
        <w:rPr>
          <w:lang w:val="fr-FR"/>
        </w:rPr>
        <w:t xml:space="preserve"> </w:t>
      </w:r>
      <w:r w:rsidR="004828A5">
        <w:rPr>
          <w:lang w:val="fr-FR"/>
        </w:rPr>
        <w:t>qui permet de tenir</w:t>
      </w:r>
      <w:r w:rsidR="00E20825">
        <w:rPr>
          <w:lang w:val="fr-FR"/>
        </w:rPr>
        <w:t xml:space="preserve"> une base de données sur tous les décès ayant fait l’objet d’une enquête, </w:t>
      </w:r>
      <w:r w:rsidR="004828A5">
        <w:rPr>
          <w:lang w:val="fr-FR"/>
        </w:rPr>
        <w:t>de</w:t>
      </w:r>
      <w:r w:rsidR="00E20825">
        <w:rPr>
          <w:lang w:val="fr-FR"/>
        </w:rPr>
        <w:t xml:space="preserve"> suivre la progression de ces affaires et </w:t>
      </w:r>
      <w:r w:rsidR="004828A5">
        <w:rPr>
          <w:lang w:val="fr-FR"/>
        </w:rPr>
        <w:t>de</w:t>
      </w:r>
      <w:r w:rsidR="00E20825">
        <w:rPr>
          <w:lang w:val="fr-FR"/>
        </w:rPr>
        <w:t xml:space="preserve"> </w:t>
      </w:r>
      <w:r w:rsidR="004828A5">
        <w:rPr>
          <w:lang w:val="fr-FR"/>
        </w:rPr>
        <w:t>donner accès à</w:t>
      </w:r>
      <w:r w:rsidR="00E20825">
        <w:rPr>
          <w:lang w:val="fr-FR"/>
        </w:rPr>
        <w:t xml:space="preserve"> </w:t>
      </w:r>
      <w:r w:rsidR="00E20825" w:rsidRPr="004828A5">
        <w:rPr>
          <w:lang w:val="fr-FR"/>
        </w:rPr>
        <w:t>de</w:t>
      </w:r>
      <w:r w:rsidR="004828A5" w:rsidRPr="004828A5">
        <w:rPr>
          <w:lang w:val="fr-FR"/>
        </w:rPr>
        <w:t>s</w:t>
      </w:r>
      <w:r w:rsidR="00E20825" w:rsidRPr="004828A5">
        <w:rPr>
          <w:lang w:val="fr-FR"/>
        </w:rPr>
        <w:t xml:space="preserve"> connaissances</w:t>
      </w:r>
      <w:r w:rsidR="004828A5">
        <w:rPr>
          <w:lang w:val="fr-FR"/>
        </w:rPr>
        <w:t xml:space="preserve"> spécialisées</w:t>
      </w:r>
      <w:r w:rsidR="00E20825">
        <w:rPr>
          <w:lang w:val="fr-FR"/>
        </w:rPr>
        <w:t xml:space="preserve">, le cas échéant, </w:t>
      </w:r>
      <w:r w:rsidR="004828A5">
        <w:rPr>
          <w:lang w:val="fr-FR"/>
        </w:rPr>
        <w:t>pour préparer les</w:t>
      </w:r>
      <w:r w:rsidR="00E20825">
        <w:rPr>
          <w:lang w:val="fr-FR"/>
        </w:rPr>
        <w:t xml:space="preserve"> enquêtes. </w:t>
      </w:r>
      <w:r w:rsidR="00AA5191">
        <w:rPr>
          <w:lang w:val="fr-FR"/>
        </w:rPr>
        <w:t xml:space="preserve">Un juge détermine la cause du décès et indique par écrit si quelque chose aurait pu être fait pour l’empêcher. Tout décès apparaissant comme un suicide fait l’objet d’une enquête par deux membres du Groupe </w:t>
      </w:r>
      <w:r w:rsidR="007F692D">
        <w:rPr>
          <w:lang w:val="fr-FR"/>
        </w:rPr>
        <w:t xml:space="preserve">national </w:t>
      </w:r>
      <w:r w:rsidR="00AA5191">
        <w:rPr>
          <w:lang w:val="fr-FR"/>
        </w:rPr>
        <w:t>de gestion des risques de suicide</w:t>
      </w:r>
      <w:r w:rsidR="000B562B" w:rsidRPr="00A176EA">
        <w:rPr>
          <w:lang w:val="fr-FR"/>
        </w:rPr>
        <w:t>.</w:t>
      </w:r>
    </w:p>
    <w:p w:rsidR="000B562B" w:rsidRPr="00A176EA" w:rsidRDefault="002549A9" w:rsidP="00C94ACB">
      <w:pPr>
        <w:pStyle w:val="SingleTxtG"/>
        <w:rPr>
          <w:lang w:val="fr-FR"/>
        </w:rPr>
      </w:pPr>
      <w:r w:rsidRPr="00A176EA">
        <w:rPr>
          <w:lang w:val="fr-FR"/>
        </w:rPr>
        <w:t>434.</w:t>
      </w:r>
      <w:r w:rsidRPr="00A176EA">
        <w:rPr>
          <w:lang w:val="fr-FR"/>
        </w:rPr>
        <w:tab/>
      </w:r>
      <w:r w:rsidR="007F692D" w:rsidRPr="007F692D">
        <w:rPr>
          <w:lang w:val="fr-FR"/>
        </w:rPr>
        <w:t>L’Administration pénitentiaire</w:t>
      </w:r>
      <w:r w:rsidR="007F692D" w:rsidRPr="00A176EA">
        <w:rPr>
          <w:lang w:val="fr-FR"/>
        </w:rPr>
        <w:t xml:space="preserve"> </w:t>
      </w:r>
      <w:r w:rsidR="007F692D">
        <w:rPr>
          <w:lang w:val="fr-FR"/>
        </w:rPr>
        <w:t>écossaise a adopté un processus permettant de tirer les enseignements de l’analyse et de l’examen critiques des suicides apparents en détention. Nommé SIDCAAR (</w:t>
      </w:r>
      <w:r w:rsidR="00D86250">
        <w:rPr>
          <w:lang w:val="fr-FR"/>
        </w:rPr>
        <w:t>Suicide en détention</w:t>
      </w:r>
      <w:r w:rsidR="00FC2B97">
        <w:rPr>
          <w:lang w:val="fr-FR"/>
        </w:rPr>
        <w:t>:</w:t>
      </w:r>
      <w:r w:rsidR="00D86250">
        <w:rPr>
          <w:lang w:val="fr-FR"/>
        </w:rPr>
        <w:t xml:space="preserve"> analyse, audit et examen), ce processus garantit une pratique normalisée lors de l’examen de tels suicides et fournit un cadre au processus d’examen critique. Il garantit par ailleurs l’ouverture et la transparence des pratiques et des avis, </w:t>
      </w:r>
      <w:r w:rsidR="007C334C">
        <w:rPr>
          <w:lang w:val="fr-FR"/>
        </w:rPr>
        <w:t xml:space="preserve">se concentre sur l’expérience de l’établissement et fournit un mécanisme d’apprentissage et d’assurance primaire et secondaire concernant les différents aspects de la gestion des détenus. </w:t>
      </w:r>
      <w:r w:rsidR="004828A5">
        <w:rPr>
          <w:lang w:val="fr-FR"/>
        </w:rPr>
        <w:t>Si le défunt</w:t>
      </w:r>
      <w:r w:rsidR="007C334C">
        <w:rPr>
          <w:lang w:val="fr-FR"/>
        </w:rPr>
        <w:t xml:space="preserve"> a</w:t>
      </w:r>
      <w:r w:rsidR="004828A5">
        <w:rPr>
          <w:lang w:val="fr-FR"/>
        </w:rPr>
        <w:t>vait</w:t>
      </w:r>
      <w:r w:rsidR="007C334C">
        <w:rPr>
          <w:lang w:val="fr-FR"/>
        </w:rPr>
        <w:t xml:space="preserve"> des problèmes de santé mentale, les informations sont partagées avec les collègues du système </w:t>
      </w:r>
      <w:r w:rsidR="00FF5C37">
        <w:rPr>
          <w:lang w:val="fr-FR"/>
        </w:rPr>
        <w:t>national de santé. Les informations recueillies contribuent également à l’élaboration de</w:t>
      </w:r>
      <w:r w:rsidR="00B0397C">
        <w:rPr>
          <w:lang w:val="fr-FR"/>
        </w:rPr>
        <w:t>s</w:t>
      </w:r>
      <w:r w:rsidR="00FF5C37">
        <w:rPr>
          <w:lang w:val="fr-FR"/>
        </w:rPr>
        <w:t xml:space="preserve"> politiques et de</w:t>
      </w:r>
      <w:r w:rsidR="00B0397C">
        <w:rPr>
          <w:lang w:val="fr-FR"/>
        </w:rPr>
        <w:t>s</w:t>
      </w:r>
      <w:r w:rsidR="00FF5C37">
        <w:rPr>
          <w:lang w:val="fr-FR"/>
        </w:rPr>
        <w:t xml:space="preserve"> procédures nationales de gestion des risques de suicide et offr</w:t>
      </w:r>
      <w:r w:rsidR="00B0397C">
        <w:rPr>
          <w:lang w:val="fr-FR"/>
        </w:rPr>
        <w:t>e</w:t>
      </w:r>
      <w:r w:rsidR="00FF5C37">
        <w:rPr>
          <w:lang w:val="fr-FR"/>
        </w:rPr>
        <w:t xml:space="preserve">nt le moyen de faire connaître les bonnes pratiques. Tous les décès en détention font l’objet d’une enquête du Procureur </w:t>
      </w:r>
      <w:r w:rsidR="00B0397C">
        <w:rPr>
          <w:lang w:val="fr-FR"/>
        </w:rPr>
        <w:t xml:space="preserve">général </w:t>
      </w:r>
      <w:r w:rsidR="00FF5C37">
        <w:rPr>
          <w:lang w:val="fr-FR"/>
        </w:rPr>
        <w:t xml:space="preserve">et d’une enquête publique selon les dispositions prévues dans la loi de 1976 </w:t>
      </w:r>
      <w:r w:rsidR="00C94ACB">
        <w:rPr>
          <w:lang w:val="fr-FR"/>
        </w:rPr>
        <w:t xml:space="preserve">sur les enquêtes relatives aux accidents mortels et aux morts subites </w:t>
      </w:r>
      <w:r w:rsidR="000B562B" w:rsidRPr="00A176EA">
        <w:rPr>
          <w:lang w:val="fr-FR"/>
        </w:rPr>
        <w:t>(</w:t>
      </w:r>
      <w:r w:rsidR="00FD2CE1" w:rsidRPr="00C94ACB">
        <w:rPr>
          <w:lang w:val="fr-FR"/>
        </w:rPr>
        <w:t>Écosse</w:t>
      </w:r>
      <w:r w:rsidR="000B562B" w:rsidRPr="00A176EA">
        <w:rPr>
          <w:lang w:val="fr-FR"/>
        </w:rPr>
        <w:t>).</w:t>
      </w:r>
    </w:p>
    <w:p w:rsidR="000B562B" w:rsidRPr="00C94ACB" w:rsidRDefault="00206280" w:rsidP="00DE1014">
      <w:pPr>
        <w:pStyle w:val="H23G"/>
        <w:rPr>
          <w:lang w:val="fr-FR"/>
        </w:rPr>
      </w:pPr>
      <w:r w:rsidRPr="00C94ACB">
        <w:rPr>
          <w:lang w:val="fr-FR"/>
        </w:rPr>
        <w:t>Irlande du Nord</w:t>
      </w:r>
    </w:p>
    <w:p w:rsidR="000B562B" w:rsidRPr="00A176EA" w:rsidRDefault="002549A9" w:rsidP="00C94ACB">
      <w:pPr>
        <w:pStyle w:val="SingleTxtG"/>
        <w:rPr>
          <w:lang w:val="fr-FR"/>
        </w:rPr>
      </w:pPr>
      <w:r w:rsidRPr="00C94ACB">
        <w:rPr>
          <w:lang w:val="fr-FR"/>
        </w:rPr>
        <w:t>435.</w:t>
      </w:r>
      <w:r w:rsidRPr="00C94ACB">
        <w:rPr>
          <w:lang w:val="fr-FR"/>
        </w:rPr>
        <w:tab/>
      </w:r>
      <w:r w:rsidR="00C94ACB" w:rsidRPr="00C94ACB">
        <w:rPr>
          <w:lang w:val="fr-FR"/>
        </w:rPr>
        <w:t>E</w:t>
      </w:r>
      <w:r w:rsidR="000B562B" w:rsidRPr="00C94ACB">
        <w:rPr>
          <w:lang w:val="fr-FR"/>
        </w:rPr>
        <w:t xml:space="preserve">n </w:t>
      </w:r>
      <w:r w:rsidR="008F3DA4" w:rsidRPr="00C94ACB">
        <w:rPr>
          <w:lang w:val="fr-FR"/>
        </w:rPr>
        <w:t>Irlande du Nord</w:t>
      </w:r>
      <w:r w:rsidR="00C94ACB" w:rsidRPr="00C94ACB">
        <w:rPr>
          <w:lang w:val="fr-FR"/>
        </w:rPr>
        <w:t>,</w:t>
      </w:r>
      <w:r w:rsidR="00C94ACB">
        <w:rPr>
          <w:lang w:val="fr-FR"/>
        </w:rPr>
        <w:t xml:space="preserve"> un Médiateur pénitentiaire a été nommé le 3 mai 2005. En septembre 2005, ses fonctions ont été étendues à la conduite d’enquêtes et à l’établissement de rapports sur les circonstances et les événements entourant tout décès en détention. Ces attributions viennent en complément des enquêtes effectuées par la police et le </w:t>
      </w:r>
      <w:r w:rsidR="00C94ACB" w:rsidRPr="00C94ACB">
        <w:rPr>
          <w:i/>
          <w:lang w:val="fr-FR"/>
        </w:rPr>
        <w:t>coroner</w:t>
      </w:r>
      <w:r w:rsidR="000B562B" w:rsidRPr="00A176EA">
        <w:rPr>
          <w:lang w:val="fr-FR"/>
        </w:rPr>
        <w:t xml:space="preserve">. </w:t>
      </w:r>
      <w:r w:rsidR="00C94ACB">
        <w:rPr>
          <w:lang w:val="fr-FR"/>
        </w:rPr>
        <w:t>Les rapports du Médiateur sont rendus publics</w:t>
      </w:r>
      <w:r w:rsidR="000B562B" w:rsidRPr="00A176EA">
        <w:rPr>
          <w:rStyle w:val="FootnoteReference"/>
          <w:bCs/>
          <w:szCs w:val="24"/>
        </w:rPr>
        <w:footnoteReference w:id="58"/>
      </w:r>
      <w:r w:rsidR="00206280">
        <w:rPr>
          <w:lang w:val="fr-FR"/>
        </w:rPr>
        <w:t>.</w:t>
      </w:r>
    </w:p>
    <w:p w:rsidR="000B562B" w:rsidRPr="00A176EA" w:rsidRDefault="00C94ACB" w:rsidP="00DE1014">
      <w:pPr>
        <w:pStyle w:val="H23G"/>
        <w:rPr>
          <w:lang w:val="fr-FR"/>
        </w:rPr>
      </w:pPr>
      <w:r>
        <w:rPr>
          <w:lang w:val="fr-FR"/>
        </w:rPr>
        <w:t xml:space="preserve">Décès </w:t>
      </w:r>
      <w:r w:rsidR="00766830" w:rsidRPr="00766830">
        <w:rPr>
          <w:lang w:val="fr-FR"/>
        </w:rPr>
        <w:t>de personnes retenues par</w:t>
      </w:r>
      <w:r w:rsidR="003F1FE2" w:rsidRPr="00766830">
        <w:rPr>
          <w:lang w:val="fr-FR"/>
        </w:rPr>
        <w:t xml:space="preserve"> l</w:t>
      </w:r>
      <w:r w:rsidRPr="00766830">
        <w:rPr>
          <w:lang w:val="fr-FR"/>
        </w:rPr>
        <w:t>es services d’immigration</w:t>
      </w:r>
    </w:p>
    <w:p w:rsidR="000B562B" w:rsidRPr="00A176EA" w:rsidRDefault="002549A9" w:rsidP="003F1FE2">
      <w:pPr>
        <w:pStyle w:val="SingleTxtG"/>
        <w:rPr>
          <w:lang w:val="fr-FR"/>
        </w:rPr>
      </w:pPr>
      <w:r w:rsidRPr="00A176EA">
        <w:rPr>
          <w:lang w:val="fr-FR"/>
        </w:rPr>
        <w:t>436.</w:t>
      </w:r>
      <w:r w:rsidRPr="00A176EA">
        <w:rPr>
          <w:lang w:val="fr-FR"/>
        </w:rPr>
        <w:tab/>
      </w:r>
      <w:r w:rsidR="00C94ACB">
        <w:rPr>
          <w:lang w:val="fr-FR"/>
        </w:rPr>
        <w:t xml:space="preserve">Entre 1989 et 2010, on a dénombré 14 décès </w:t>
      </w:r>
      <w:r w:rsidR="003F1FE2">
        <w:rPr>
          <w:lang w:val="fr-FR"/>
        </w:rPr>
        <w:t xml:space="preserve">de personnes </w:t>
      </w:r>
      <w:r w:rsidR="00766830">
        <w:rPr>
          <w:lang w:val="fr-FR"/>
        </w:rPr>
        <w:t>re</w:t>
      </w:r>
      <w:r w:rsidR="003F1FE2">
        <w:rPr>
          <w:lang w:val="fr-FR"/>
        </w:rPr>
        <w:t>tenues par les</w:t>
      </w:r>
      <w:r w:rsidR="00C94ACB">
        <w:rPr>
          <w:lang w:val="fr-FR"/>
        </w:rPr>
        <w:t xml:space="preserve"> services d’immigration, le dernier s’étant produit en octobre 2010</w:t>
      </w:r>
      <w:r w:rsidR="00FC2B97">
        <w:rPr>
          <w:lang w:val="fr-FR"/>
        </w:rPr>
        <w:t>:</w:t>
      </w:r>
      <w:r w:rsidR="003F1FE2">
        <w:rPr>
          <w:lang w:val="fr-FR"/>
        </w:rPr>
        <w:t xml:space="preserve"> un</w:t>
      </w:r>
      <w:r w:rsidR="00C94ACB">
        <w:rPr>
          <w:lang w:val="fr-FR"/>
        </w:rPr>
        <w:t xml:space="preserve"> </w:t>
      </w:r>
      <w:r w:rsidR="003F1FE2">
        <w:rPr>
          <w:lang w:val="fr-FR"/>
        </w:rPr>
        <w:t xml:space="preserve">détenu est décédé à l’hôpital après </w:t>
      </w:r>
      <w:r w:rsidR="00B0397C">
        <w:rPr>
          <w:lang w:val="fr-FR"/>
        </w:rPr>
        <w:t>avoir eu un malaise</w:t>
      </w:r>
      <w:r w:rsidR="003F1FE2">
        <w:rPr>
          <w:lang w:val="fr-FR"/>
        </w:rPr>
        <w:t xml:space="preserve"> d</w:t>
      </w:r>
      <w:r w:rsidR="00B0397C">
        <w:rPr>
          <w:lang w:val="fr-FR"/>
        </w:rPr>
        <w:t>ans l</w:t>
      </w:r>
      <w:r w:rsidR="003F1FE2">
        <w:rPr>
          <w:lang w:val="fr-FR"/>
        </w:rPr>
        <w:t xml:space="preserve">’avion </w:t>
      </w:r>
      <w:r w:rsidR="00B0397C">
        <w:rPr>
          <w:lang w:val="fr-FR"/>
        </w:rPr>
        <w:t>où on l’</w:t>
      </w:r>
      <w:r w:rsidR="003F1FE2">
        <w:rPr>
          <w:lang w:val="fr-FR"/>
        </w:rPr>
        <w:t xml:space="preserve">avait été escorté pour son expulsion du Royaume-Uni. La cause du décès n’est pas encore déterminée. </w:t>
      </w:r>
      <w:r w:rsidR="003F1FE2" w:rsidRPr="003F1FE2">
        <w:rPr>
          <w:lang w:val="fr-FR"/>
        </w:rPr>
        <w:t xml:space="preserve">Les circonstances du décès font l’objet d’enquêtes distinctes des services de police et du </w:t>
      </w:r>
      <w:r w:rsidR="00BF42ED" w:rsidRPr="003F1FE2">
        <w:rPr>
          <w:snapToGrid w:val="0"/>
          <w:lang w:val="fr-FR"/>
        </w:rPr>
        <w:t xml:space="preserve">Médiateur </w:t>
      </w:r>
      <w:r w:rsidR="00BF42ED" w:rsidRPr="003F1FE2">
        <w:rPr>
          <w:lang w:val="fr-FR"/>
        </w:rPr>
        <w:t>des établissements pénitentiaires et de la probation</w:t>
      </w:r>
      <w:r w:rsidR="000B562B" w:rsidRPr="003F1FE2">
        <w:rPr>
          <w:lang w:val="fr-FR"/>
        </w:rPr>
        <w:t>.</w:t>
      </w:r>
    </w:p>
    <w:p w:rsidR="000B562B" w:rsidRPr="00A176EA" w:rsidRDefault="002549A9" w:rsidP="00C32C70">
      <w:pPr>
        <w:pStyle w:val="SingleTxtG"/>
        <w:rPr>
          <w:lang w:val="fr-FR"/>
        </w:rPr>
      </w:pPr>
      <w:r w:rsidRPr="00A176EA">
        <w:rPr>
          <w:lang w:val="fr-FR"/>
        </w:rPr>
        <w:t>437.</w:t>
      </w:r>
      <w:r w:rsidRPr="00A176EA">
        <w:rPr>
          <w:lang w:val="fr-FR"/>
        </w:rPr>
        <w:tab/>
      </w:r>
      <w:r w:rsidR="003F1FE2" w:rsidRPr="003F1FE2">
        <w:rPr>
          <w:lang w:val="fr-FR"/>
        </w:rPr>
        <w:t>Tous les décès font l’objet d’une enquête du</w:t>
      </w:r>
      <w:r w:rsidR="000B562B" w:rsidRPr="003F1FE2">
        <w:rPr>
          <w:snapToGrid w:val="0"/>
          <w:lang w:val="fr-FR"/>
        </w:rPr>
        <w:t xml:space="preserve"> </w:t>
      </w:r>
      <w:r w:rsidR="00BF42ED" w:rsidRPr="003F1FE2">
        <w:rPr>
          <w:snapToGrid w:val="0"/>
          <w:lang w:val="fr-FR"/>
        </w:rPr>
        <w:t xml:space="preserve">Médiateur </w:t>
      </w:r>
      <w:r w:rsidR="00BF42ED" w:rsidRPr="003F1FE2">
        <w:rPr>
          <w:lang w:val="fr-FR"/>
        </w:rPr>
        <w:t>des établissements pénitentiaires et de la probation</w:t>
      </w:r>
      <w:r w:rsidR="003F1FE2" w:rsidRPr="003F1FE2">
        <w:rPr>
          <w:lang w:val="fr-FR"/>
        </w:rPr>
        <w:t>, dont les recommandations sont examinées avec soin de façon à en tirer des enseignements qui seront appliqués dans l’ensemble des établissements du Service de contrôle des frontières du Royaume-Uni</w:t>
      </w:r>
      <w:r w:rsidR="003F1FE2">
        <w:rPr>
          <w:lang w:val="fr-FR"/>
        </w:rPr>
        <w:t xml:space="preserve"> afin de réduire le risque qu’une telle tragédie se reproduise. La police est avertie sans délai et </w:t>
      </w:r>
      <w:r w:rsidR="00861D78">
        <w:rPr>
          <w:lang w:val="fr-FR"/>
        </w:rPr>
        <w:t>procède à</w:t>
      </w:r>
      <w:r w:rsidR="003F1FE2">
        <w:rPr>
          <w:lang w:val="fr-FR"/>
        </w:rPr>
        <w:t xml:space="preserve"> sa propre enquête</w:t>
      </w:r>
      <w:r w:rsidR="000B562B" w:rsidRPr="00A176EA">
        <w:rPr>
          <w:snapToGrid w:val="0"/>
          <w:lang w:val="fr-FR"/>
        </w:rPr>
        <w:t>.</w:t>
      </w:r>
    </w:p>
    <w:p w:rsidR="000B562B" w:rsidRPr="00A176EA" w:rsidRDefault="002549A9" w:rsidP="00FC3B7E">
      <w:pPr>
        <w:pStyle w:val="SingleTxtG"/>
        <w:rPr>
          <w:lang w:val="fr-FR"/>
        </w:rPr>
      </w:pPr>
      <w:r w:rsidRPr="00A176EA">
        <w:rPr>
          <w:lang w:val="fr-FR"/>
        </w:rPr>
        <w:t>438.</w:t>
      </w:r>
      <w:r w:rsidRPr="00A176EA">
        <w:rPr>
          <w:lang w:val="fr-FR"/>
        </w:rPr>
        <w:tab/>
      </w:r>
      <w:r w:rsidR="00861D78">
        <w:rPr>
          <w:lang w:val="fr-FR"/>
        </w:rPr>
        <w:t xml:space="preserve">Le problème du suicide et de l’automutilation est pris très au sérieux et le personnel de tous les centres est formé </w:t>
      </w:r>
      <w:r w:rsidR="00B0397C">
        <w:rPr>
          <w:lang w:val="fr-FR"/>
        </w:rPr>
        <w:t xml:space="preserve">à </w:t>
      </w:r>
      <w:r w:rsidR="00861D78">
        <w:rPr>
          <w:lang w:val="fr-FR"/>
        </w:rPr>
        <w:t xml:space="preserve">repérer et </w:t>
      </w:r>
      <w:r w:rsidR="00B0397C">
        <w:rPr>
          <w:lang w:val="fr-FR"/>
        </w:rPr>
        <w:t xml:space="preserve">à </w:t>
      </w:r>
      <w:r w:rsidR="00861D78">
        <w:rPr>
          <w:lang w:val="fr-FR"/>
        </w:rPr>
        <w:t xml:space="preserve">prévenir ces phénomènes. </w:t>
      </w:r>
      <w:r w:rsidR="00861D78" w:rsidRPr="00861D78">
        <w:rPr>
          <w:lang w:val="fr-FR"/>
        </w:rPr>
        <w:t>De plus, des</w:t>
      </w:r>
      <w:r w:rsidR="00861D78">
        <w:rPr>
          <w:lang w:val="fr-FR"/>
        </w:rPr>
        <w:t xml:space="preserve"> </w:t>
      </w:r>
      <w:r w:rsidR="00B820F9">
        <w:rPr>
          <w:lang w:val="fr-FR"/>
        </w:rPr>
        <w:t>avis</w:t>
      </w:r>
      <w:r w:rsidR="00861D78" w:rsidRPr="00861D78">
        <w:rPr>
          <w:lang w:val="fr-FR"/>
        </w:rPr>
        <w:t xml:space="preserve"> en différentes langues sont affichés dans tous les centres</w:t>
      </w:r>
      <w:r w:rsidR="00B820F9">
        <w:rPr>
          <w:lang w:val="fr-FR"/>
        </w:rPr>
        <w:t xml:space="preserve"> pour inciter</w:t>
      </w:r>
      <w:r w:rsidR="00861D78" w:rsidRPr="00861D78">
        <w:rPr>
          <w:lang w:val="fr-FR"/>
        </w:rPr>
        <w:t xml:space="preserve"> </w:t>
      </w:r>
      <w:r w:rsidR="00B820F9">
        <w:rPr>
          <w:lang w:val="fr-FR"/>
        </w:rPr>
        <w:t>tout</w:t>
      </w:r>
      <w:r w:rsidR="00861D78" w:rsidRPr="00861D78">
        <w:rPr>
          <w:lang w:val="fr-FR"/>
        </w:rPr>
        <w:t xml:space="preserve"> </w:t>
      </w:r>
      <w:r w:rsidR="00B820F9">
        <w:rPr>
          <w:lang w:val="fr-FR"/>
        </w:rPr>
        <w:t>re</w:t>
      </w:r>
      <w:r w:rsidR="00861D78" w:rsidRPr="00861D78">
        <w:rPr>
          <w:lang w:val="fr-FR"/>
        </w:rPr>
        <w:t xml:space="preserve">tenu </w:t>
      </w:r>
      <w:r w:rsidR="00B820F9">
        <w:rPr>
          <w:lang w:val="fr-FR"/>
        </w:rPr>
        <w:t>inquiet</w:t>
      </w:r>
      <w:r w:rsidR="00861D78" w:rsidRPr="00861D78">
        <w:rPr>
          <w:lang w:val="fr-FR"/>
        </w:rPr>
        <w:t xml:space="preserve"> au sujet d’un autre </w:t>
      </w:r>
      <w:r w:rsidR="00B820F9">
        <w:rPr>
          <w:lang w:val="fr-FR"/>
        </w:rPr>
        <w:t>re</w:t>
      </w:r>
      <w:r w:rsidR="00861D78" w:rsidRPr="00861D78">
        <w:rPr>
          <w:lang w:val="fr-FR"/>
        </w:rPr>
        <w:t>tenu</w:t>
      </w:r>
      <w:r w:rsidR="00B820F9">
        <w:rPr>
          <w:lang w:val="fr-FR"/>
        </w:rPr>
        <w:t xml:space="preserve"> à</w:t>
      </w:r>
      <w:r w:rsidR="00861D78" w:rsidRPr="00861D78">
        <w:rPr>
          <w:lang w:val="fr-FR"/>
        </w:rPr>
        <w:t xml:space="preserve"> </w:t>
      </w:r>
      <w:r w:rsidR="007C7B2B">
        <w:rPr>
          <w:lang w:val="fr-FR"/>
        </w:rPr>
        <w:t>en informer</w:t>
      </w:r>
      <w:r w:rsidR="00861D78" w:rsidRPr="00861D78">
        <w:rPr>
          <w:lang w:val="fr-FR"/>
        </w:rPr>
        <w:t xml:space="preserve"> </w:t>
      </w:r>
      <w:r w:rsidR="00B820F9">
        <w:rPr>
          <w:lang w:val="fr-FR"/>
        </w:rPr>
        <w:t>le</w:t>
      </w:r>
      <w:r w:rsidR="00861D78" w:rsidRPr="00861D78">
        <w:rPr>
          <w:lang w:val="fr-FR"/>
        </w:rPr>
        <w:t xml:space="preserve"> personnel</w:t>
      </w:r>
      <w:r w:rsidR="007C7B2B">
        <w:rPr>
          <w:lang w:val="fr-FR"/>
        </w:rPr>
        <w:t xml:space="preserve">. Ces procédures fonctionnent bien. L’évaluation formelle des risques au début de la </w:t>
      </w:r>
      <w:r w:rsidR="00BE5EBE">
        <w:rPr>
          <w:lang w:val="fr-FR"/>
        </w:rPr>
        <w:t>r</w:t>
      </w:r>
      <w:r w:rsidR="007C7B2B">
        <w:rPr>
          <w:lang w:val="fr-FR"/>
        </w:rPr>
        <w:t xml:space="preserve">étention et, </w:t>
      </w:r>
      <w:r w:rsidR="001A3D6D">
        <w:rPr>
          <w:lang w:val="fr-FR"/>
        </w:rPr>
        <w:t>ultérieurement</w:t>
      </w:r>
      <w:r w:rsidR="007C7B2B">
        <w:rPr>
          <w:lang w:val="fr-FR"/>
        </w:rPr>
        <w:t xml:space="preserve">, les mécanismes permettant à chacun d’exprimer ses préoccupations alimentent les procédures </w:t>
      </w:r>
      <w:r w:rsidR="00A91C09">
        <w:rPr>
          <w:lang w:val="fr-FR"/>
        </w:rPr>
        <w:t xml:space="preserve">de prévention de l’automutilation établies dans chaque centre, elles-mêmes étayées par </w:t>
      </w:r>
      <w:r w:rsidR="00FC3B7E">
        <w:rPr>
          <w:lang w:val="fr-FR"/>
        </w:rPr>
        <w:t>la norme opérationnelle relative à la prévention des automutilations</w:t>
      </w:r>
      <w:r w:rsidR="000B562B" w:rsidRPr="00A176EA">
        <w:rPr>
          <w:lang w:val="fr-FR"/>
        </w:rPr>
        <w:t>.</w:t>
      </w:r>
    </w:p>
    <w:p w:rsidR="000B562B" w:rsidRPr="00A176EA" w:rsidRDefault="00FC3B7E" w:rsidP="00C32C70">
      <w:pPr>
        <w:pStyle w:val="H23G"/>
        <w:rPr>
          <w:snapToGrid w:val="0"/>
          <w:lang w:val="fr-FR"/>
        </w:rPr>
      </w:pPr>
      <w:bookmarkStart w:id="53" w:name="_Toc299724740"/>
      <w:r>
        <w:rPr>
          <w:snapToGrid w:val="0"/>
          <w:lang w:val="fr-FR"/>
        </w:rPr>
        <w:t xml:space="preserve">Enquêtes </w:t>
      </w:r>
      <w:bookmarkEnd w:id="53"/>
      <w:r>
        <w:rPr>
          <w:snapToGrid w:val="0"/>
          <w:lang w:val="fr-FR"/>
        </w:rPr>
        <w:t>en milieu militaire</w:t>
      </w:r>
    </w:p>
    <w:p w:rsidR="000B562B" w:rsidRPr="00A176EA" w:rsidRDefault="002549A9" w:rsidP="00FC3B7E">
      <w:pPr>
        <w:pStyle w:val="SingleTxtG"/>
        <w:rPr>
          <w:snapToGrid w:val="0"/>
          <w:lang w:val="fr-FR"/>
        </w:rPr>
      </w:pPr>
      <w:r w:rsidRPr="00A176EA">
        <w:rPr>
          <w:snapToGrid w:val="0"/>
          <w:lang w:val="fr-FR"/>
        </w:rPr>
        <w:t>439.</w:t>
      </w:r>
      <w:r w:rsidRPr="00A176EA">
        <w:rPr>
          <w:snapToGrid w:val="0"/>
          <w:lang w:val="fr-FR"/>
        </w:rPr>
        <w:tab/>
      </w:r>
      <w:r w:rsidR="00AB6279" w:rsidRPr="00FC3B7E">
        <w:rPr>
          <w:snapToGrid w:val="0"/>
          <w:lang w:val="fr-FR"/>
        </w:rPr>
        <w:t xml:space="preserve">Le </w:t>
      </w:r>
      <w:r w:rsidR="000B562B" w:rsidRPr="00FC3B7E">
        <w:rPr>
          <w:snapToGrid w:val="0"/>
          <w:lang w:val="fr-FR"/>
        </w:rPr>
        <w:t xml:space="preserve">Code C </w:t>
      </w:r>
      <w:r w:rsidR="00AB6279" w:rsidRPr="00FC3B7E">
        <w:rPr>
          <w:snapToGrid w:val="0"/>
          <w:lang w:val="fr-FR"/>
        </w:rPr>
        <w:t>des Codes de bonnes pratiques de la police militaire</w:t>
      </w:r>
      <w:r w:rsidR="000B562B" w:rsidRPr="00FC3B7E">
        <w:rPr>
          <w:rStyle w:val="FootnoteReference"/>
          <w:szCs w:val="24"/>
        </w:rPr>
        <w:footnoteReference w:id="59"/>
      </w:r>
      <w:r w:rsidR="000B562B" w:rsidRPr="00A176EA">
        <w:rPr>
          <w:snapToGrid w:val="0"/>
          <w:lang w:val="fr-FR"/>
        </w:rPr>
        <w:t xml:space="preserve"> </w:t>
      </w:r>
      <w:r w:rsidR="00FC3B7E">
        <w:rPr>
          <w:snapToGrid w:val="0"/>
          <w:lang w:val="fr-FR"/>
        </w:rPr>
        <w:t>fournit des directives sur le traitement et l’audition de tout individu soupçonné d’avoir commis une infraction relevant des lois sur la discipline militaire et veille à ce qu’il soit traité de façon juste et équitable, conformément à la loi</w:t>
      </w:r>
      <w:r w:rsidR="000B562B" w:rsidRPr="00A176EA">
        <w:rPr>
          <w:snapToGrid w:val="0"/>
          <w:lang w:val="fr-FR"/>
        </w:rPr>
        <w:t>.</w:t>
      </w:r>
    </w:p>
    <w:p w:rsidR="000B562B" w:rsidRPr="00A176EA" w:rsidRDefault="002549A9" w:rsidP="00044345">
      <w:pPr>
        <w:pStyle w:val="SingleTxtG"/>
        <w:rPr>
          <w:snapToGrid w:val="0"/>
          <w:lang w:val="fr-FR"/>
        </w:rPr>
      </w:pPr>
      <w:r w:rsidRPr="00A176EA">
        <w:rPr>
          <w:snapToGrid w:val="0"/>
          <w:lang w:val="fr-FR"/>
        </w:rPr>
        <w:t>440.</w:t>
      </w:r>
      <w:r w:rsidRPr="00A176EA">
        <w:rPr>
          <w:snapToGrid w:val="0"/>
          <w:lang w:val="fr-FR"/>
        </w:rPr>
        <w:tab/>
      </w:r>
      <w:r w:rsidR="00B820F9">
        <w:rPr>
          <w:snapToGrid w:val="0"/>
          <w:lang w:val="fr-FR"/>
        </w:rPr>
        <w:t>En temps de paix</w:t>
      </w:r>
      <w:r w:rsidR="00622C88" w:rsidRPr="00622C88">
        <w:rPr>
          <w:snapToGrid w:val="0"/>
          <w:lang w:val="fr-FR"/>
        </w:rPr>
        <w:t xml:space="preserve">, la Police militaire mène ses enquêtes conformément à la Doctrine fondamentale sur les enquêtes adoptée par l’Association des </w:t>
      </w:r>
      <w:r w:rsidR="00622C88" w:rsidRPr="00622C88">
        <w:rPr>
          <w:lang w:val="fr-FR"/>
        </w:rPr>
        <w:t>officiers supérieurs</w:t>
      </w:r>
      <w:r w:rsidR="00622C88" w:rsidRPr="00622C88">
        <w:rPr>
          <w:snapToGrid w:val="0"/>
          <w:lang w:val="fr-FR"/>
        </w:rPr>
        <w:t xml:space="preserve"> de </w:t>
      </w:r>
      <w:r w:rsidR="00622C88" w:rsidRPr="00622C88">
        <w:rPr>
          <w:lang w:val="fr-FR"/>
        </w:rPr>
        <w:t xml:space="preserve">la </w:t>
      </w:r>
      <w:r w:rsidR="00622C88" w:rsidRPr="00622C88">
        <w:rPr>
          <w:snapToGrid w:val="0"/>
          <w:lang w:val="fr-FR"/>
        </w:rPr>
        <w:t>police</w:t>
      </w:r>
      <w:r w:rsidR="00622C88">
        <w:rPr>
          <w:snapToGrid w:val="0"/>
          <w:lang w:val="fr-FR"/>
        </w:rPr>
        <w:t xml:space="preserve"> et établie dans les Procédures administratives normalisées </w:t>
      </w:r>
      <w:r w:rsidR="00FF3545">
        <w:rPr>
          <w:snapToGrid w:val="0"/>
          <w:lang w:val="fr-FR"/>
        </w:rPr>
        <w:t>du centre de contrôle des incidents majeurs</w:t>
      </w:r>
      <w:r w:rsidR="000B562B" w:rsidRPr="00A176EA">
        <w:rPr>
          <w:rStyle w:val="FootnoteReference"/>
          <w:szCs w:val="24"/>
        </w:rPr>
        <w:footnoteReference w:id="60"/>
      </w:r>
      <w:r w:rsidR="000B562B" w:rsidRPr="00A176EA">
        <w:rPr>
          <w:snapToGrid w:val="0"/>
          <w:lang w:val="fr-FR"/>
        </w:rPr>
        <w:t xml:space="preserve"> </w:t>
      </w:r>
      <w:r w:rsidR="00FF3545">
        <w:rPr>
          <w:snapToGrid w:val="0"/>
          <w:lang w:val="fr-FR"/>
        </w:rPr>
        <w:t>et</w:t>
      </w:r>
      <w:r w:rsidR="000B562B" w:rsidRPr="00A176EA">
        <w:rPr>
          <w:snapToGrid w:val="0"/>
          <w:lang w:val="fr-FR"/>
        </w:rPr>
        <w:t xml:space="preserve">, </w:t>
      </w:r>
      <w:r w:rsidR="00FF3545">
        <w:rPr>
          <w:snapToGrid w:val="0"/>
          <w:lang w:val="fr-FR"/>
        </w:rPr>
        <w:t>le cas échéant</w:t>
      </w:r>
      <w:r w:rsidR="000B562B" w:rsidRPr="00A176EA">
        <w:rPr>
          <w:snapToGrid w:val="0"/>
          <w:lang w:val="fr-FR"/>
        </w:rPr>
        <w:t xml:space="preserve">, </w:t>
      </w:r>
      <w:r w:rsidR="00044345">
        <w:rPr>
          <w:snapToGrid w:val="0"/>
          <w:lang w:val="fr-FR"/>
        </w:rPr>
        <w:t xml:space="preserve">conformément au Manuel d’enquête sur les meurtres </w:t>
      </w:r>
      <w:r w:rsidR="00B820F9">
        <w:rPr>
          <w:snapToGrid w:val="0"/>
          <w:lang w:val="fr-FR"/>
        </w:rPr>
        <w:t xml:space="preserve">publié par la même </w:t>
      </w:r>
      <w:r w:rsidR="000A1593" w:rsidRPr="00044345">
        <w:rPr>
          <w:snapToGrid w:val="0"/>
          <w:lang w:val="fr-FR"/>
        </w:rPr>
        <w:t>Association</w:t>
      </w:r>
      <w:r w:rsidR="000B562B" w:rsidRPr="00A176EA">
        <w:rPr>
          <w:snapToGrid w:val="0"/>
          <w:lang w:val="fr-FR"/>
        </w:rPr>
        <w:t xml:space="preserve">. </w:t>
      </w:r>
      <w:r w:rsidR="00044345" w:rsidRPr="00044345">
        <w:rPr>
          <w:snapToGrid w:val="0"/>
          <w:lang w:val="fr-FR"/>
        </w:rPr>
        <w:t xml:space="preserve">Sur un théâtre d’opérations, il est parfois impossible d’enquêter en suivant ces documents à la lettre, ce dont </w:t>
      </w:r>
      <w:r w:rsidR="00044345" w:rsidRPr="00044345">
        <w:rPr>
          <w:lang w:val="fr-FR"/>
        </w:rPr>
        <w:t>l’Inspection des services de police de Sa Majesté a conscience</w:t>
      </w:r>
      <w:r w:rsidR="00044345" w:rsidRPr="00044345">
        <w:rPr>
          <w:snapToGrid w:val="0"/>
          <w:lang w:val="fr-FR"/>
        </w:rPr>
        <w:t>.</w:t>
      </w:r>
      <w:r w:rsidR="00044345">
        <w:rPr>
          <w:snapToGrid w:val="0"/>
          <w:lang w:val="fr-FR"/>
        </w:rPr>
        <w:t xml:space="preserve"> Néanmoins, les enquêtes suivent toujours l’esprit de ces textes, qui incarnent les meilleures pratiques</w:t>
      </w:r>
      <w:r w:rsidR="000B562B" w:rsidRPr="00A176EA">
        <w:rPr>
          <w:snapToGrid w:val="0"/>
          <w:lang w:val="fr-FR"/>
        </w:rPr>
        <w:t>.</w:t>
      </w:r>
    </w:p>
    <w:p w:rsidR="000B562B" w:rsidRPr="00A176EA" w:rsidRDefault="002549A9" w:rsidP="00C32C70">
      <w:pPr>
        <w:pStyle w:val="SingleTxtG"/>
        <w:rPr>
          <w:snapToGrid w:val="0"/>
          <w:lang w:val="fr-FR"/>
        </w:rPr>
      </w:pPr>
      <w:r w:rsidRPr="00A176EA">
        <w:rPr>
          <w:snapToGrid w:val="0"/>
          <w:lang w:val="fr-FR"/>
        </w:rPr>
        <w:t>441.</w:t>
      </w:r>
      <w:r w:rsidRPr="00A176EA">
        <w:rPr>
          <w:snapToGrid w:val="0"/>
          <w:lang w:val="fr-FR"/>
        </w:rPr>
        <w:tab/>
      </w:r>
      <w:r w:rsidR="00044345">
        <w:rPr>
          <w:snapToGrid w:val="0"/>
          <w:lang w:val="fr-FR"/>
        </w:rPr>
        <w:t xml:space="preserve">L’un des principes fondamentaux sous-tendant le travail de la Police militaire est que les enquêtes sont </w:t>
      </w:r>
      <w:r w:rsidR="00B820F9">
        <w:rPr>
          <w:snapToGrid w:val="0"/>
          <w:lang w:val="fr-FR"/>
        </w:rPr>
        <w:t xml:space="preserve">toujours </w:t>
      </w:r>
      <w:r w:rsidR="00044345">
        <w:rPr>
          <w:snapToGrid w:val="0"/>
          <w:lang w:val="fr-FR"/>
        </w:rPr>
        <w:t xml:space="preserve">menées en toute indépendance de la chaîne de commandement et en toute impartialité. </w:t>
      </w:r>
      <w:r w:rsidR="00D77D41">
        <w:rPr>
          <w:snapToGrid w:val="0"/>
          <w:lang w:val="fr-FR"/>
        </w:rPr>
        <w:t>La Police militaire, y compris la Direction des enquêtes spéciales de la Police militaire royale, qui effectue la majorité des enquêtes sur les théâtres d’opérations, est donc dotée d’une structure de commandement distincte</w:t>
      </w:r>
      <w:r w:rsidR="000B562B" w:rsidRPr="00A176EA">
        <w:rPr>
          <w:snapToGrid w:val="0"/>
          <w:lang w:val="fr-FR"/>
        </w:rPr>
        <w:t>.</w:t>
      </w:r>
    </w:p>
    <w:p w:rsidR="000B562B" w:rsidRPr="00A176EA" w:rsidRDefault="002549A9" w:rsidP="00D77D41">
      <w:pPr>
        <w:pStyle w:val="SingleTxtG"/>
        <w:rPr>
          <w:snapToGrid w:val="0"/>
          <w:lang w:val="fr-FR"/>
        </w:rPr>
      </w:pPr>
      <w:r w:rsidRPr="00A176EA">
        <w:rPr>
          <w:snapToGrid w:val="0"/>
          <w:lang w:val="fr-FR"/>
        </w:rPr>
        <w:t>442.</w:t>
      </w:r>
      <w:r w:rsidRPr="00A176EA">
        <w:rPr>
          <w:snapToGrid w:val="0"/>
          <w:lang w:val="fr-FR"/>
        </w:rPr>
        <w:tab/>
      </w:r>
      <w:r w:rsidR="00D77D41" w:rsidRPr="00D77D41">
        <w:rPr>
          <w:snapToGrid w:val="0"/>
          <w:lang w:val="fr-FR"/>
        </w:rPr>
        <w:t xml:space="preserve">Comme son homologue la police civile, la Police militaire royale est inspectée par </w:t>
      </w:r>
      <w:r w:rsidR="00D46D1A" w:rsidRPr="00D77D41">
        <w:rPr>
          <w:lang w:val="fr-FR"/>
        </w:rPr>
        <w:t>l’Inspection des services de police de Sa Majesté</w:t>
      </w:r>
      <w:r w:rsidR="000B562B" w:rsidRPr="00D77D41">
        <w:rPr>
          <w:snapToGrid w:val="0"/>
          <w:lang w:val="fr-FR"/>
        </w:rPr>
        <w:t xml:space="preserve">, </w:t>
      </w:r>
      <w:r w:rsidR="00D77D41" w:rsidRPr="00D77D41">
        <w:rPr>
          <w:snapToGrid w:val="0"/>
          <w:lang w:val="fr-FR"/>
        </w:rPr>
        <w:t xml:space="preserve">qui l’a déclarée </w:t>
      </w:r>
      <w:r w:rsidR="00793CEE" w:rsidRPr="00793CEE">
        <w:rPr>
          <w:snapToGrid w:val="0"/>
          <w:lang w:val="fr-FR"/>
        </w:rPr>
        <w:t xml:space="preserve">parfaitement </w:t>
      </w:r>
      <w:r w:rsidR="00D77D41" w:rsidRPr="00793CEE">
        <w:rPr>
          <w:snapToGrid w:val="0"/>
          <w:lang w:val="fr-FR"/>
        </w:rPr>
        <w:t>adaptée</w:t>
      </w:r>
      <w:r w:rsidR="000B562B" w:rsidRPr="00793CEE">
        <w:rPr>
          <w:snapToGrid w:val="0"/>
          <w:lang w:val="fr-FR"/>
        </w:rPr>
        <w:t>.</w:t>
      </w:r>
    </w:p>
    <w:p w:rsidR="000B562B" w:rsidRPr="00A176EA" w:rsidRDefault="002549A9" w:rsidP="00A83FC1">
      <w:pPr>
        <w:pStyle w:val="SingleTxtG"/>
        <w:rPr>
          <w:snapToGrid w:val="0"/>
          <w:lang w:val="fr-FR"/>
        </w:rPr>
      </w:pPr>
      <w:r w:rsidRPr="00A176EA">
        <w:rPr>
          <w:snapToGrid w:val="0"/>
          <w:lang w:val="fr-FR"/>
        </w:rPr>
        <w:t>443.</w:t>
      </w:r>
      <w:r w:rsidRPr="00A176EA">
        <w:rPr>
          <w:snapToGrid w:val="0"/>
          <w:lang w:val="fr-FR"/>
        </w:rPr>
        <w:tab/>
      </w:r>
      <w:r w:rsidR="00D77D41">
        <w:rPr>
          <w:snapToGrid w:val="0"/>
          <w:lang w:val="fr-FR"/>
        </w:rPr>
        <w:t xml:space="preserve">Aucun militaire n’a été poursuivi ou condamné pour acte de torture. </w:t>
      </w:r>
      <w:r w:rsidR="0025772B">
        <w:rPr>
          <w:snapToGrid w:val="0"/>
          <w:lang w:val="fr-FR"/>
        </w:rPr>
        <w:t>L’affaire</w:t>
      </w:r>
      <w:r w:rsidR="00D77D41">
        <w:rPr>
          <w:snapToGrid w:val="0"/>
          <w:lang w:val="fr-FR"/>
        </w:rPr>
        <w:t xml:space="preserve"> </w:t>
      </w:r>
      <w:r w:rsidR="00CD0110">
        <w:rPr>
          <w:snapToGrid w:val="0"/>
          <w:lang w:val="fr-FR"/>
        </w:rPr>
        <w:t>«</w:t>
      </w:r>
      <w:r w:rsidR="0025772B">
        <w:rPr>
          <w:snapToGrid w:val="0"/>
          <w:lang w:val="fr-FR"/>
        </w:rPr>
        <w:t>Breadbasket</w:t>
      </w:r>
      <w:r w:rsidR="00CD0110">
        <w:rPr>
          <w:snapToGrid w:val="0"/>
          <w:lang w:val="fr-FR"/>
        </w:rPr>
        <w:t>»</w:t>
      </w:r>
      <w:r w:rsidR="00C935B0">
        <w:rPr>
          <w:snapToGrid w:val="0"/>
          <w:lang w:val="fr-FR"/>
        </w:rPr>
        <w:t xml:space="preserve"> du </w:t>
      </w:r>
      <w:r w:rsidR="00D77D41">
        <w:rPr>
          <w:snapToGrid w:val="0"/>
          <w:lang w:val="fr-FR"/>
        </w:rPr>
        <w:t xml:space="preserve">15 mai 2003, </w:t>
      </w:r>
      <w:r w:rsidR="00793CEE">
        <w:rPr>
          <w:snapToGrid w:val="0"/>
          <w:lang w:val="fr-FR"/>
        </w:rPr>
        <w:t>où</w:t>
      </w:r>
      <w:r w:rsidR="00D77D41">
        <w:rPr>
          <w:snapToGrid w:val="0"/>
          <w:lang w:val="fr-FR"/>
        </w:rPr>
        <w:t xml:space="preserve"> des pillards iraquiens ont été maltraités et </w:t>
      </w:r>
      <w:r w:rsidR="00C935B0">
        <w:rPr>
          <w:snapToGrid w:val="0"/>
          <w:lang w:val="fr-FR"/>
        </w:rPr>
        <w:t xml:space="preserve"> </w:t>
      </w:r>
      <w:r w:rsidR="00D77D41">
        <w:rPr>
          <w:snapToGrid w:val="0"/>
          <w:lang w:val="fr-FR"/>
        </w:rPr>
        <w:t xml:space="preserve">photographiés, </w:t>
      </w:r>
      <w:r w:rsidR="00A83FC1">
        <w:rPr>
          <w:snapToGrid w:val="0"/>
          <w:lang w:val="fr-FR"/>
        </w:rPr>
        <w:t>a fait l’objet d’une enquête approfondie qui s’est soldée par la condamnation en cour martiale de quatre soldats britanniques pour d’autres infractions</w:t>
      </w:r>
      <w:r w:rsidR="000B562B" w:rsidRPr="00A176EA">
        <w:rPr>
          <w:snapToGrid w:val="0"/>
          <w:lang w:val="fr-FR"/>
        </w:rPr>
        <w:t>.</w:t>
      </w:r>
    </w:p>
    <w:p w:rsidR="000B562B" w:rsidRPr="00A176EA" w:rsidRDefault="002549A9" w:rsidP="00464469">
      <w:pPr>
        <w:pStyle w:val="SingleTxtG"/>
        <w:rPr>
          <w:snapToGrid w:val="0"/>
          <w:lang w:val="fr-FR"/>
        </w:rPr>
      </w:pPr>
      <w:r w:rsidRPr="00A176EA">
        <w:rPr>
          <w:snapToGrid w:val="0"/>
          <w:lang w:val="fr-FR"/>
        </w:rPr>
        <w:t>444.</w:t>
      </w:r>
      <w:r w:rsidRPr="00A176EA">
        <w:rPr>
          <w:snapToGrid w:val="0"/>
          <w:lang w:val="fr-FR"/>
        </w:rPr>
        <w:tab/>
      </w:r>
      <w:r w:rsidR="002B35B7">
        <w:rPr>
          <w:snapToGrid w:val="0"/>
          <w:lang w:val="fr-FR"/>
        </w:rPr>
        <w:t>Suite au</w:t>
      </w:r>
      <w:r w:rsidR="00A83FC1">
        <w:rPr>
          <w:snapToGrid w:val="0"/>
          <w:lang w:val="fr-FR"/>
        </w:rPr>
        <w:t xml:space="preserve"> décès de Baha Mousa alors qu’il se trouvait sous la garde du </w:t>
      </w:r>
      <w:r w:rsidR="00A83FC1" w:rsidRPr="00A451A5">
        <w:rPr>
          <w:snapToGrid w:val="0"/>
          <w:lang w:val="fr-FR"/>
        </w:rPr>
        <w:t>1</w:t>
      </w:r>
      <w:r w:rsidR="00A83FC1" w:rsidRPr="00A451A5">
        <w:rPr>
          <w:snapToGrid w:val="0"/>
          <w:vertAlign w:val="superscript"/>
          <w:lang w:val="fr-FR"/>
        </w:rPr>
        <w:t>er</w:t>
      </w:r>
      <w:r w:rsidR="00A83FC1">
        <w:rPr>
          <w:snapToGrid w:val="0"/>
          <w:lang w:val="fr-FR"/>
        </w:rPr>
        <w:t xml:space="preserve"> bataillon du </w:t>
      </w:r>
      <w:r w:rsidR="00DA6AE8">
        <w:rPr>
          <w:snapToGrid w:val="0"/>
          <w:lang w:val="fr-FR"/>
        </w:rPr>
        <w:t xml:space="preserve">Queen’s Lancashire </w:t>
      </w:r>
      <w:r w:rsidR="00A83FC1">
        <w:rPr>
          <w:snapToGrid w:val="0"/>
          <w:lang w:val="fr-FR"/>
        </w:rPr>
        <w:t>R</w:t>
      </w:r>
      <w:r w:rsidR="00DA6AE8">
        <w:rPr>
          <w:snapToGrid w:val="0"/>
          <w:lang w:val="fr-FR"/>
        </w:rPr>
        <w:t>e</w:t>
      </w:r>
      <w:r w:rsidR="00A83FC1">
        <w:rPr>
          <w:snapToGrid w:val="0"/>
          <w:lang w:val="fr-FR"/>
        </w:rPr>
        <w:t xml:space="preserve">giment (1QLR), le 15 septembre </w:t>
      </w:r>
      <w:r w:rsidR="00BB14B5">
        <w:rPr>
          <w:snapToGrid w:val="0"/>
          <w:lang w:val="fr-FR"/>
        </w:rPr>
        <w:t xml:space="preserve">2003 </w:t>
      </w:r>
      <w:r w:rsidR="00A83FC1">
        <w:rPr>
          <w:snapToGrid w:val="0"/>
          <w:lang w:val="fr-FR"/>
        </w:rPr>
        <w:t xml:space="preserve">à Bassorah, </w:t>
      </w:r>
      <w:r w:rsidR="002B35B7">
        <w:rPr>
          <w:snapToGrid w:val="0"/>
          <w:lang w:val="fr-FR"/>
        </w:rPr>
        <w:t xml:space="preserve">deux officiers et cinq soldats ont </w:t>
      </w:r>
      <w:r w:rsidR="00464469">
        <w:rPr>
          <w:snapToGrid w:val="0"/>
          <w:lang w:val="fr-FR"/>
        </w:rPr>
        <w:t>comparu devant</w:t>
      </w:r>
      <w:r w:rsidR="002B35B7">
        <w:rPr>
          <w:snapToGrid w:val="0"/>
          <w:lang w:val="fr-FR"/>
        </w:rPr>
        <w:t xml:space="preserve"> </w:t>
      </w:r>
      <w:r w:rsidR="00C935B0">
        <w:rPr>
          <w:snapToGrid w:val="0"/>
          <w:lang w:val="fr-FR"/>
        </w:rPr>
        <w:t>une</w:t>
      </w:r>
      <w:r w:rsidR="002B35B7">
        <w:rPr>
          <w:snapToGrid w:val="0"/>
          <w:lang w:val="fr-FR"/>
        </w:rPr>
        <w:t xml:space="preserve"> cour martiale et l’un d’eux (le caporal Donald Payne) a été jugé coupable de traitement inhumain à l’égard d’</w:t>
      </w:r>
      <w:r w:rsidR="00464469">
        <w:rPr>
          <w:snapToGrid w:val="0"/>
          <w:lang w:val="fr-FR"/>
        </w:rPr>
        <w:t>un détenu, renvoyé de l’armée, condamné à 12 mois de privation de liberté et dégradé</w:t>
      </w:r>
      <w:r w:rsidR="000B562B" w:rsidRPr="00A176EA">
        <w:rPr>
          <w:lang w:val="fr-FR"/>
        </w:rPr>
        <w:t>.</w:t>
      </w:r>
    </w:p>
    <w:p w:rsidR="000B562B" w:rsidRPr="00A176EA" w:rsidRDefault="002549A9" w:rsidP="00DA3512">
      <w:pPr>
        <w:pStyle w:val="SingleTxtG"/>
        <w:rPr>
          <w:lang w:val="fr-FR"/>
        </w:rPr>
      </w:pPr>
      <w:r w:rsidRPr="00A176EA">
        <w:rPr>
          <w:lang w:val="fr-FR"/>
        </w:rPr>
        <w:t>445.</w:t>
      </w:r>
      <w:r w:rsidRPr="00A176EA">
        <w:rPr>
          <w:lang w:val="fr-FR"/>
        </w:rPr>
        <w:tab/>
      </w:r>
      <w:r w:rsidR="00DA6AE8">
        <w:rPr>
          <w:lang w:val="fr-FR"/>
        </w:rPr>
        <w:t>Un grand nombre des</w:t>
      </w:r>
      <w:r w:rsidR="00464469">
        <w:rPr>
          <w:lang w:val="fr-FR"/>
        </w:rPr>
        <w:t xml:space="preserve"> plaintes pour </w:t>
      </w:r>
      <w:r w:rsidR="00DA6AE8">
        <w:rPr>
          <w:lang w:val="fr-FR"/>
        </w:rPr>
        <w:t>mauvais traitements</w:t>
      </w:r>
      <w:r w:rsidR="0098348B">
        <w:rPr>
          <w:lang w:val="fr-FR"/>
        </w:rPr>
        <w:t xml:space="preserve"> relevant d’un </w:t>
      </w:r>
      <w:r w:rsidR="00DA6AE8">
        <w:rPr>
          <w:lang w:val="fr-FR"/>
        </w:rPr>
        <w:t>comport</w:t>
      </w:r>
      <w:r w:rsidR="0098348B">
        <w:rPr>
          <w:lang w:val="fr-FR"/>
        </w:rPr>
        <w:t>ement criminel</w:t>
      </w:r>
      <w:r w:rsidR="00DA6AE8">
        <w:rPr>
          <w:lang w:val="fr-FR"/>
        </w:rPr>
        <w:t xml:space="preserve"> </w:t>
      </w:r>
      <w:r w:rsidR="00C935B0">
        <w:rPr>
          <w:lang w:val="fr-FR"/>
        </w:rPr>
        <w:t>contre l</w:t>
      </w:r>
      <w:r w:rsidR="00464469">
        <w:rPr>
          <w:lang w:val="fr-FR"/>
        </w:rPr>
        <w:t>es forces britanniques en Iraq</w:t>
      </w:r>
      <w:r w:rsidR="00DA6AE8">
        <w:rPr>
          <w:lang w:val="fr-FR"/>
        </w:rPr>
        <w:t xml:space="preserve"> ont été déposées </w:t>
      </w:r>
      <w:r w:rsidR="00C935B0">
        <w:rPr>
          <w:lang w:val="fr-FR"/>
        </w:rPr>
        <w:t xml:space="preserve">bien </w:t>
      </w:r>
      <w:r w:rsidR="00DA6AE8">
        <w:rPr>
          <w:lang w:val="fr-FR"/>
        </w:rPr>
        <w:t xml:space="preserve">des années après cet événement et présentent d’importantes difficultés en matière d’enquête. </w:t>
      </w:r>
      <w:r w:rsidR="00FB7A1D">
        <w:rPr>
          <w:lang w:val="fr-FR"/>
        </w:rPr>
        <w:t>L’Équipe d’enquête sur les allégations historiques relatives à l’Ira</w:t>
      </w:r>
      <w:r w:rsidR="00F016E0">
        <w:rPr>
          <w:lang w:val="fr-FR"/>
        </w:rPr>
        <w:t>q</w:t>
      </w:r>
      <w:r w:rsidR="00FB7A1D">
        <w:rPr>
          <w:lang w:val="fr-FR"/>
        </w:rPr>
        <w:t xml:space="preserve">, dont </w:t>
      </w:r>
      <w:r w:rsidR="00CA2CF7">
        <w:rPr>
          <w:lang w:val="fr-FR"/>
        </w:rPr>
        <w:t xml:space="preserve">le Ministre de la défense a annoncé </w:t>
      </w:r>
      <w:r w:rsidR="00FB7A1D">
        <w:rPr>
          <w:lang w:val="fr-FR"/>
        </w:rPr>
        <w:t xml:space="preserve">la création </w:t>
      </w:r>
      <w:r w:rsidR="00CA2CF7">
        <w:rPr>
          <w:lang w:val="fr-FR"/>
        </w:rPr>
        <w:t xml:space="preserve">le 1er mars 2010, </w:t>
      </w:r>
      <w:r w:rsidR="00F016E0">
        <w:rPr>
          <w:lang w:val="fr-FR"/>
        </w:rPr>
        <w:t xml:space="preserve">a été instituée pour allouer des ressources supplémentaires aux enquêtes et faire rapidement la lumière </w:t>
      </w:r>
      <w:r w:rsidR="00DA3512">
        <w:rPr>
          <w:lang w:val="fr-FR"/>
        </w:rPr>
        <w:t>sur les allégations (cette approche a été avalisée par le nouveau gouvernement). Le Président de l’</w:t>
      </w:r>
      <w:r w:rsidR="00DA3512" w:rsidRPr="00DA3512">
        <w:rPr>
          <w:lang w:val="fr-FR"/>
        </w:rPr>
        <w:t>Équipe</w:t>
      </w:r>
      <w:r w:rsidR="00DA3512">
        <w:rPr>
          <w:lang w:val="fr-FR"/>
        </w:rPr>
        <w:t>, un haut fonctionnaire de police à la retraite nommé le 6 septembre 2010, dirige une équipe composé de membres de la Police militaire royale et d’enquêteurs civils</w:t>
      </w:r>
      <w:r w:rsidR="000B562B" w:rsidRPr="00A176EA">
        <w:rPr>
          <w:lang w:val="fr-FR"/>
        </w:rPr>
        <w:t>.</w:t>
      </w:r>
    </w:p>
    <w:p w:rsidR="000B562B" w:rsidRPr="00A176EA" w:rsidRDefault="002549A9" w:rsidP="00A71F58">
      <w:pPr>
        <w:pStyle w:val="SingleTxtG"/>
        <w:rPr>
          <w:lang w:val="fr-FR"/>
        </w:rPr>
      </w:pPr>
      <w:r w:rsidRPr="00A176EA">
        <w:rPr>
          <w:lang w:val="fr-FR"/>
        </w:rPr>
        <w:t>446.</w:t>
      </w:r>
      <w:r w:rsidRPr="00A176EA">
        <w:rPr>
          <w:lang w:val="fr-FR"/>
        </w:rPr>
        <w:tab/>
      </w:r>
      <w:r w:rsidR="00DA3512">
        <w:rPr>
          <w:lang w:val="fr-FR"/>
        </w:rPr>
        <w:t>Le Président de l’</w:t>
      </w:r>
      <w:r w:rsidR="00DA3512" w:rsidRPr="00DA3512">
        <w:rPr>
          <w:lang w:val="fr-FR"/>
        </w:rPr>
        <w:t>Équipe</w:t>
      </w:r>
      <w:r w:rsidR="00DA3512">
        <w:rPr>
          <w:lang w:val="fr-FR"/>
        </w:rPr>
        <w:t xml:space="preserve"> </w:t>
      </w:r>
      <w:r w:rsidR="009C045A">
        <w:rPr>
          <w:lang w:val="fr-FR"/>
        </w:rPr>
        <w:t xml:space="preserve">d’enquête </w:t>
      </w:r>
      <w:r w:rsidR="00DA3512" w:rsidRPr="00C935B0">
        <w:rPr>
          <w:lang w:val="fr-FR"/>
        </w:rPr>
        <w:t>rend compte au</w:t>
      </w:r>
      <w:r w:rsidR="00DA3512">
        <w:rPr>
          <w:lang w:val="fr-FR"/>
        </w:rPr>
        <w:t xml:space="preserve"> </w:t>
      </w:r>
      <w:r w:rsidR="00993E76">
        <w:rPr>
          <w:lang w:val="fr-FR"/>
        </w:rPr>
        <w:t>Prévôt</w:t>
      </w:r>
      <w:r w:rsidR="00DA3512">
        <w:rPr>
          <w:lang w:val="fr-FR"/>
        </w:rPr>
        <w:t xml:space="preserve"> militaire, en sa qualité de Commandant de la police militaire royale, </w:t>
      </w:r>
      <w:r w:rsidR="00CD0110">
        <w:rPr>
          <w:lang w:val="fr-FR"/>
        </w:rPr>
        <w:t>«</w:t>
      </w:r>
      <w:r w:rsidR="00DA3512">
        <w:rPr>
          <w:lang w:val="fr-FR"/>
        </w:rPr>
        <w:t xml:space="preserve">de l’exercice de ses fonctions en toute indépendance du Ministre et de la chaîne de </w:t>
      </w:r>
      <w:r w:rsidR="001A3D6D">
        <w:rPr>
          <w:lang w:val="fr-FR"/>
        </w:rPr>
        <w:t>commandement</w:t>
      </w:r>
      <w:r w:rsidR="00CD0110">
        <w:rPr>
          <w:lang w:val="fr-FR"/>
        </w:rPr>
        <w:t>»</w:t>
      </w:r>
      <w:r w:rsidR="00DA3512">
        <w:rPr>
          <w:lang w:val="fr-FR"/>
        </w:rPr>
        <w:t xml:space="preserve">. Il est chargé </w:t>
      </w:r>
      <w:r w:rsidR="00A71F58">
        <w:rPr>
          <w:lang w:val="fr-FR"/>
        </w:rPr>
        <w:t xml:space="preserve">d’encadrer et </w:t>
      </w:r>
      <w:r w:rsidR="00DA3512">
        <w:rPr>
          <w:lang w:val="fr-FR"/>
        </w:rPr>
        <w:t xml:space="preserve">de diriger </w:t>
      </w:r>
      <w:r w:rsidR="00A71F58">
        <w:rPr>
          <w:lang w:val="fr-FR"/>
        </w:rPr>
        <w:t>les enquêtes de l’</w:t>
      </w:r>
      <w:r w:rsidR="00A71F58" w:rsidRPr="00DA3512">
        <w:rPr>
          <w:lang w:val="fr-FR"/>
        </w:rPr>
        <w:t>Équipe</w:t>
      </w:r>
      <w:r w:rsidR="00A71F58">
        <w:rPr>
          <w:lang w:val="fr-FR"/>
        </w:rPr>
        <w:t xml:space="preserve"> et détermine l’orientation stratégique la plus appropriée pour atteindre ses objectifs. Ainsi, son premier objectif a été d’élaborer une stratégie d’enquête, approuvée par le </w:t>
      </w:r>
      <w:r w:rsidR="00D45E4A">
        <w:rPr>
          <w:lang w:val="fr-FR"/>
        </w:rPr>
        <w:t>Prévôt</w:t>
      </w:r>
      <w:r w:rsidR="00A71F58">
        <w:rPr>
          <w:lang w:val="fr-FR"/>
        </w:rPr>
        <w:t xml:space="preserve"> militaire, pour permettre à </w:t>
      </w:r>
      <w:r w:rsidR="00A71F58" w:rsidRPr="00A71F58">
        <w:rPr>
          <w:lang w:val="fr-FR"/>
        </w:rPr>
        <w:t>l’Équipe</w:t>
      </w:r>
      <w:r w:rsidR="00A71F58">
        <w:rPr>
          <w:lang w:val="fr-FR"/>
        </w:rPr>
        <w:t xml:space="preserve"> d’obtenir les résultats escompté</w:t>
      </w:r>
      <w:r w:rsidR="00C935B0">
        <w:rPr>
          <w:lang w:val="fr-FR"/>
        </w:rPr>
        <w:t>s</w:t>
      </w:r>
      <w:r w:rsidR="00A71F58">
        <w:rPr>
          <w:lang w:val="fr-FR"/>
        </w:rPr>
        <w:t>. Cette stratégie se compose de cinq grands volets</w:t>
      </w:r>
      <w:r w:rsidR="00FC2B97">
        <w:rPr>
          <w:lang w:val="fr-FR"/>
        </w:rPr>
        <w:t>:</w:t>
      </w:r>
    </w:p>
    <w:p w:rsidR="000B562B" w:rsidRPr="00A176EA" w:rsidRDefault="00A71F58" w:rsidP="00BC0033">
      <w:pPr>
        <w:pStyle w:val="Bullet1G"/>
      </w:pPr>
      <w:r>
        <w:rPr>
          <w:b/>
        </w:rPr>
        <w:t>recherche, recueil et</w:t>
      </w:r>
      <w:r w:rsidR="000B562B" w:rsidRPr="00A176EA">
        <w:rPr>
          <w:b/>
        </w:rPr>
        <w:t xml:space="preserve"> </w:t>
      </w:r>
      <w:r>
        <w:rPr>
          <w:b/>
        </w:rPr>
        <w:t>conservation des preuves</w:t>
      </w:r>
      <w:r w:rsidR="000B562B" w:rsidRPr="00A176EA">
        <w:t xml:space="preserve">, </w:t>
      </w:r>
      <w:r w:rsidR="00BA0CA8">
        <w:t>ce qui inclut la récupération des données informatiques et autres documents</w:t>
      </w:r>
      <w:r w:rsidR="000B562B" w:rsidRPr="00A176EA">
        <w:t xml:space="preserve"> </w:t>
      </w:r>
      <w:r w:rsidR="00BA0CA8">
        <w:t xml:space="preserve">en </w:t>
      </w:r>
      <w:r w:rsidR="00C935B0">
        <w:t xml:space="preserve">la </w:t>
      </w:r>
      <w:r w:rsidR="00BA0CA8">
        <w:t>possession du Ministère de la défense</w:t>
      </w:r>
      <w:r w:rsidR="00FC2B97">
        <w:t>;</w:t>
      </w:r>
    </w:p>
    <w:p w:rsidR="000B562B" w:rsidRPr="00A176EA" w:rsidRDefault="00BA0CA8" w:rsidP="00BC0033">
      <w:pPr>
        <w:pStyle w:val="Bullet1G"/>
      </w:pPr>
      <w:r>
        <w:rPr>
          <w:b/>
        </w:rPr>
        <w:t xml:space="preserve">analyse des </w:t>
      </w:r>
      <w:r w:rsidR="000B562B" w:rsidRPr="00A176EA">
        <w:rPr>
          <w:b/>
        </w:rPr>
        <w:t>information</w:t>
      </w:r>
      <w:r>
        <w:rPr>
          <w:b/>
        </w:rPr>
        <w:t>s</w:t>
      </w:r>
      <w:r w:rsidR="000B562B" w:rsidRPr="00A176EA">
        <w:t xml:space="preserve"> </w:t>
      </w:r>
      <w:r>
        <w:t>relatives à chaque plainte</w:t>
      </w:r>
      <w:r w:rsidR="00FC2B97">
        <w:t>;</w:t>
      </w:r>
    </w:p>
    <w:p w:rsidR="000B562B" w:rsidRPr="00A176EA" w:rsidRDefault="00BA0CA8" w:rsidP="00BC0033">
      <w:pPr>
        <w:pStyle w:val="Bullet1G"/>
      </w:pPr>
      <w:r>
        <w:rPr>
          <w:b/>
        </w:rPr>
        <w:t>audition des plaignants</w:t>
      </w:r>
      <w:r w:rsidR="000B562B" w:rsidRPr="00A176EA">
        <w:t xml:space="preserve"> </w:t>
      </w:r>
      <w:r>
        <w:t>aux fins de dresser un procès-verbal de plainte</w:t>
      </w:r>
      <w:r w:rsidR="00FC2B97">
        <w:t>;</w:t>
      </w:r>
    </w:p>
    <w:p w:rsidR="000B562B" w:rsidRPr="00A176EA" w:rsidRDefault="00BA0CA8" w:rsidP="00BC0033">
      <w:pPr>
        <w:pStyle w:val="Bullet1G"/>
      </w:pPr>
      <w:r>
        <w:rPr>
          <w:b/>
        </w:rPr>
        <w:t>évaluation de la situation</w:t>
      </w:r>
      <w:r w:rsidR="000B562B" w:rsidRPr="00A176EA">
        <w:t xml:space="preserve"> </w:t>
      </w:r>
      <w:r>
        <w:t>en vue de déterminer s’il y a lieu de poursuivre l’enquête</w:t>
      </w:r>
      <w:r w:rsidR="00FC2B97">
        <w:t>;</w:t>
      </w:r>
      <w:r>
        <w:t xml:space="preserve"> et</w:t>
      </w:r>
    </w:p>
    <w:p w:rsidR="000B562B" w:rsidRPr="00A176EA" w:rsidRDefault="00BA0CA8" w:rsidP="00BC0033">
      <w:pPr>
        <w:pStyle w:val="Bullet1G"/>
      </w:pPr>
      <w:r w:rsidRPr="00207656">
        <w:rPr>
          <w:b/>
          <w:bCs/>
        </w:rPr>
        <w:t>e</w:t>
      </w:r>
      <w:r w:rsidR="004C2D49" w:rsidRPr="00207656">
        <w:rPr>
          <w:b/>
          <w:bCs/>
        </w:rPr>
        <w:t>nquêtes</w:t>
      </w:r>
      <w:r w:rsidR="000B562B" w:rsidRPr="00BA0CA8">
        <w:t>.</w:t>
      </w:r>
    </w:p>
    <w:p w:rsidR="000B562B" w:rsidRPr="00A176EA" w:rsidRDefault="002549A9" w:rsidP="00BA0CA8">
      <w:pPr>
        <w:pStyle w:val="SingleTxtG"/>
        <w:rPr>
          <w:lang w:val="fr-FR"/>
        </w:rPr>
      </w:pPr>
      <w:r w:rsidRPr="00A176EA">
        <w:rPr>
          <w:lang w:val="fr-FR"/>
        </w:rPr>
        <w:t>447.</w:t>
      </w:r>
      <w:r w:rsidRPr="00A176EA">
        <w:rPr>
          <w:lang w:val="fr-FR"/>
        </w:rPr>
        <w:tab/>
      </w:r>
      <w:r w:rsidR="00BA0CA8" w:rsidRPr="00BA0CA8">
        <w:rPr>
          <w:lang w:val="fr-FR"/>
        </w:rPr>
        <w:t>Aux termes de son</w:t>
      </w:r>
      <w:r w:rsidR="004C2D49" w:rsidRPr="00BA0CA8">
        <w:rPr>
          <w:lang w:val="fr-FR"/>
        </w:rPr>
        <w:t xml:space="preserve"> mandat</w:t>
      </w:r>
      <w:r w:rsidR="00BA0CA8" w:rsidRPr="00BA0CA8">
        <w:rPr>
          <w:lang w:val="fr-FR"/>
        </w:rPr>
        <w:t xml:space="preserve">, l’Équipe </w:t>
      </w:r>
      <w:r w:rsidR="009C045A">
        <w:rPr>
          <w:lang w:val="fr-FR"/>
        </w:rPr>
        <w:t xml:space="preserve">d’enquête </w:t>
      </w:r>
      <w:r w:rsidR="00BA0CA8" w:rsidRPr="00BA0CA8">
        <w:rPr>
          <w:lang w:val="fr-FR"/>
        </w:rPr>
        <w:t xml:space="preserve">doit enquêter sur </w:t>
      </w:r>
      <w:r w:rsidR="00000C78" w:rsidRPr="00BA0CA8">
        <w:rPr>
          <w:lang w:val="fr-FR"/>
        </w:rPr>
        <w:t>toutes les requêtes en contrôle juridictionnel</w:t>
      </w:r>
      <w:r w:rsidR="00000C78">
        <w:rPr>
          <w:lang w:val="fr-FR"/>
        </w:rPr>
        <w:t xml:space="preserve"> </w:t>
      </w:r>
      <w:r w:rsidR="00BA0CA8">
        <w:rPr>
          <w:lang w:val="fr-FR"/>
        </w:rPr>
        <w:t xml:space="preserve">émanant de </w:t>
      </w:r>
      <w:r w:rsidR="00911122">
        <w:rPr>
          <w:lang w:val="fr-FR"/>
        </w:rPr>
        <w:t>juristes défendant les causes d’intérêt public</w:t>
      </w:r>
      <w:r w:rsidR="00882352">
        <w:rPr>
          <w:lang w:val="fr-FR"/>
        </w:rPr>
        <w:t xml:space="preserve"> </w:t>
      </w:r>
      <w:r w:rsidR="00DF081B">
        <w:rPr>
          <w:lang w:val="fr-FR"/>
        </w:rPr>
        <w:t xml:space="preserve">présentées ou notifiées par voie de protocole préjudiciaire </w:t>
      </w:r>
      <w:r w:rsidR="009C045A">
        <w:rPr>
          <w:lang w:val="fr-FR"/>
        </w:rPr>
        <w:t xml:space="preserve">jusqu’au 30 avril 2010. Les allégations de mauvais traitement notifiées au Ministre après cette date seront traitées au cas par cas et pourront faire l’objet d’une enquête de </w:t>
      </w:r>
      <w:r w:rsidR="009C045A" w:rsidRPr="009C045A">
        <w:rPr>
          <w:lang w:val="fr-FR"/>
        </w:rPr>
        <w:t>l’Équipe</w:t>
      </w:r>
      <w:r w:rsidR="009C045A">
        <w:rPr>
          <w:lang w:val="fr-FR"/>
        </w:rPr>
        <w:t>. Cette dernière doit achever ses investigations d’ici novembre 2012. Elle examine actuellement 102 dossiers émanant de 156 plaignants iraquiens</w:t>
      </w:r>
      <w:r w:rsidR="000B562B" w:rsidRPr="00A176EA">
        <w:rPr>
          <w:lang w:val="fr-FR"/>
        </w:rPr>
        <w:t>.</w:t>
      </w:r>
    </w:p>
    <w:p w:rsidR="000B562B" w:rsidRPr="00A176EA" w:rsidRDefault="002549A9" w:rsidP="00070066">
      <w:pPr>
        <w:pStyle w:val="SingleTxtG"/>
        <w:rPr>
          <w:snapToGrid w:val="0"/>
          <w:lang w:val="fr-FR"/>
        </w:rPr>
      </w:pPr>
      <w:r w:rsidRPr="00A176EA">
        <w:rPr>
          <w:snapToGrid w:val="0"/>
          <w:lang w:val="fr-FR"/>
        </w:rPr>
        <w:t>448.</w:t>
      </w:r>
      <w:r w:rsidRPr="00A176EA">
        <w:rPr>
          <w:snapToGrid w:val="0"/>
          <w:lang w:val="fr-FR"/>
        </w:rPr>
        <w:tab/>
      </w:r>
      <w:r w:rsidR="009C045A">
        <w:rPr>
          <w:snapToGrid w:val="0"/>
          <w:lang w:val="fr-FR"/>
        </w:rPr>
        <w:t xml:space="preserve">Dans un jugement rendu en décembre 2010, la Haute Cour a entériné la décision du Ministre de la défense de ne pas engager immédiatement une enquête publique unique sur toutes les allégations de mauvais traitement. La Cour a par ailleurs approuvé la création de </w:t>
      </w:r>
      <w:r w:rsidR="009C045A" w:rsidRPr="009C045A">
        <w:rPr>
          <w:snapToGrid w:val="0"/>
          <w:lang w:val="fr-FR"/>
        </w:rPr>
        <w:t>l’Équipe d’enquête</w:t>
      </w:r>
      <w:r w:rsidR="009C045A">
        <w:rPr>
          <w:snapToGrid w:val="0"/>
          <w:lang w:val="fr-FR"/>
        </w:rPr>
        <w:t xml:space="preserve">. Les avocats représentant les plaignants iraquiens </w:t>
      </w:r>
      <w:r w:rsidR="00070066">
        <w:rPr>
          <w:snapToGrid w:val="0"/>
          <w:lang w:val="fr-FR"/>
        </w:rPr>
        <w:t xml:space="preserve">ont été autorisés à faire appel et l’audience est prévue pour juillet </w:t>
      </w:r>
      <w:r w:rsidR="000B562B" w:rsidRPr="00A176EA">
        <w:rPr>
          <w:lang w:val="fr-FR"/>
        </w:rPr>
        <w:t>2011.</w:t>
      </w:r>
    </w:p>
    <w:p w:rsidR="000B562B" w:rsidRPr="00A176EA" w:rsidRDefault="008E3816" w:rsidP="001C135E">
      <w:pPr>
        <w:pStyle w:val="H1G"/>
      </w:pPr>
      <w:bookmarkStart w:id="54" w:name="_Toc299724741"/>
      <w:r>
        <w:tab/>
      </w:r>
      <w:r>
        <w:tab/>
      </w:r>
      <w:r w:rsidR="000B562B" w:rsidRPr="00070066">
        <w:t>Article 13</w:t>
      </w:r>
      <w:r w:rsidR="00A43E7B">
        <w:br/>
      </w:r>
      <w:r w:rsidR="004C2D49" w:rsidRPr="00070066">
        <w:t xml:space="preserve">Possibilité de porter plainte donnée aux victimes de torture ou autres formes de mauvais </w:t>
      </w:r>
      <w:bookmarkEnd w:id="54"/>
      <w:r w:rsidR="004C2D49" w:rsidRPr="00070066">
        <w:t>traitement</w:t>
      </w:r>
      <w:r w:rsidR="00A91FC7">
        <w:t>s</w:t>
      </w:r>
    </w:p>
    <w:p w:rsidR="000B562B" w:rsidRPr="00A176EA" w:rsidRDefault="00070066" w:rsidP="00DE1014">
      <w:pPr>
        <w:pStyle w:val="H23G"/>
        <w:rPr>
          <w:lang w:val="fr-FR"/>
        </w:rPr>
      </w:pPr>
      <w:bookmarkStart w:id="55" w:name="_Toc299724742"/>
      <w:r>
        <w:rPr>
          <w:lang w:val="fr-FR"/>
        </w:rPr>
        <w:t xml:space="preserve">Plaintes contre la police et régime </w:t>
      </w:r>
      <w:r w:rsidRPr="00A176EA">
        <w:rPr>
          <w:lang w:val="fr-FR"/>
        </w:rPr>
        <w:t>disciplin</w:t>
      </w:r>
      <w:r>
        <w:rPr>
          <w:lang w:val="fr-FR"/>
        </w:rPr>
        <w:t>air</w:t>
      </w:r>
      <w:r w:rsidRPr="00A176EA">
        <w:rPr>
          <w:lang w:val="fr-FR"/>
        </w:rPr>
        <w:t>e</w:t>
      </w:r>
      <w:bookmarkEnd w:id="55"/>
    </w:p>
    <w:p w:rsidR="000B562B" w:rsidRPr="00070066" w:rsidRDefault="009C045A" w:rsidP="00DE1014">
      <w:pPr>
        <w:pStyle w:val="H23G"/>
        <w:rPr>
          <w:lang w:val="fr-FR"/>
        </w:rPr>
      </w:pPr>
      <w:r w:rsidRPr="00070066">
        <w:rPr>
          <w:lang w:val="fr-FR"/>
        </w:rPr>
        <w:t>Angleterre et</w:t>
      </w:r>
      <w:r w:rsidR="000B562B" w:rsidRPr="00070066">
        <w:rPr>
          <w:lang w:val="fr-FR"/>
        </w:rPr>
        <w:t xml:space="preserve"> </w:t>
      </w:r>
      <w:r w:rsidRPr="00070066">
        <w:rPr>
          <w:lang w:val="fr-FR"/>
        </w:rPr>
        <w:t>p</w:t>
      </w:r>
      <w:r w:rsidR="005601A1" w:rsidRPr="00070066">
        <w:rPr>
          <w:lang w:val="fr-FR"/>
        </w:rPr>
        <w:t>ays de Galles</w:t>
      </w:r>
    </w:p>
    <w:p w:rsidR="000B562B" w:rsidRPr="00A176EA" w:rsidRDefault="0090139B" w:rsidP="00C32C70">
      <w:pPr>
        <w:pStyle w:val="H23G"/>
        <w:rPr>
          <w:lang w:val="fr-FR"/>
        </w:rPr>
      </w:pPr>
      <w:bookmarkStart w:id="56" w:name="_Toc169696361"/>
      <w:bookmarkStart w:id="57" w:name="_Toc170825723"/>
      <w:r w:rsidRPr="00070066">
        <w:rPr>
          <w:lang w:val="fr-FR"/>
        </w:rPr>
        <w:t>Commission indépendante des plaintes contre la police</w:t>
      </w:r>
      <w:bookmarkEnd w:id="56"/>
      <w:bookmarkEnd w:id="57"/>
    </w:p>
    <w:p w:rsidR="000B562B" w:rsidRPr="00A176EA" w:rsidRDefault="002549A9" w:rsidP="00EA0E1F">
      <w:pPr>
        <w:pStyle w:val="SingleTxtG"/>
        <w:rPr>
          <w:lang w:val="fr-FR"/>
        </w:rPr>
      </w:pPr>
      <w:r w:rsidRPr="00A176EA">
        <w:rPr>
          <w:lang w:val="fr-FR"/>
        </w:rPr>
        <w:t>449.</w:t>
      </w:r>
      <w:r w:rsidRPr="00A176EA">
        <w:rPr>
          <w:lang w:val="fr-FR"/>
        </w:rPr>
        <w:tab/>
      </w:r>
      <w:r w:rsidR="00070066">
        <w:rPr>
          <w:lang w:val="fr-FR"/>
        </w:rPr>
        <w:t>La</w:t>
      </w:r>
      <w:r w:rsidR="000B562B" w:rsidRPr="00A176EA">
        <w:rPr>
          <w:lang w:val="fr-FR"/>
        </w:rPr>
        <w:t xml:space="preserve"> </w:t>
      </w:r>
      <w:r w:rsidR="0090139B" w:rsidRPr="00070066">
        <w:rPr>
          <w:lang w:val="fr-FR"/>
        </w:rPr>
        <w:t>Commission indépendante des plaintes contre la police</w:t>
      </w:r>
      <w:r w:rsidR="000B562B" w:rsidRPr="00A176EA">
        <w:rPr>
          <w:lang w:val="fr-FR"/>
        </w:rPr>
        <w:t xml:space="preserve"> </w:t>
      </w:r>
      <w:r w:rsidR="00070066">
        <w:rPr>
          <w:lang w:val="fr-FR"/>
        </w:rPr>
        <w:t xml:space="preserve">est un organisme indépendant </w:t>
      </w:r>
      <w:r w:rsidR="00070066" w:rsidRPr="00E2069C">
        <w:rPr>
          <w:lang w:val="fr-FR"/>
        </w:rPr>
        <w:t>juridiquement garant du système de plaintes contre la police</w:t>
      </w:r>
      <w:r w:rsidR="00070066">
        <w:rPr>
          <w:lang w:val="fr-FR"/>
        </w:rPr>
        <w:t xml:space="preserve">. Elle définit les normes s’appliquant au traitement des plaintes par les services de police et, en cas de dysfonctionnement, aide ceux-ci à en tirer les enseignements et à améliorer leurs méthodes de travail. </w:t>
      </w:r>
      <w:r w:rsidR="00EA0E1F">
        <w:rPr>
          <w:lang w:val="fr-FR"/>
        </w:rPr>
        <w:t>L’une des tâches de la Commission est de renforcer la confiance du public</w:t>
      </w:r>
      <w:r w:rsidR="000B562B" w:rsidRPr="00A176EA">
        <w:rPr>
          <w:lang w:val="fr-FR"/>
        </w:rPr>
        <w:t>.</w:t>
      </w:r>
    </w:p>
    <w:p w:rsidR="000B562B" w:rsidRPr="00A176EA" w:rsidRDefault="002549A9" w:rsidP="00F0364E">
      <w:pPr>
        <w:pStyle w:val="SingleTxtG"/>
        <w:rPr>
          <w:lang w:val="fr-FR"/>
        </w:rPr>
      </w:pPr>
      <w:r w:rsidRPr="00A176EA">
        <w:rPr>
          <w:lang w:val="fr-FR"/>
        </w:rPr>
        <w:t>450.</w:t>
      </w:r>
      <w:r w:rsidRPr="00A176EA">
        <w:rPr>
          <w:lang w:val="fr-FR"/>
        </w:rPr>
        <w:tab/>
      </w:r>
      <w:r w:rsidR="00EA0E1F">
        <w:rPr>
          <w:lang w:val="fr-FR"/>
        </w:rPr>
        <w:t>Le</w:t>
      </w:r>
      <w:r w:rsidR="002943CE">
        <w:rPr>
          <w:lang w:val="fr-FR"/>
        </w:rPr>
        <w:t xml:space="preserve"> public peut déposer une</w:t>
      </w:r>
      <w:r w:rsidR="00EA0E1F">
        <w:rPr>
          <w:lang w:val="fr-FR"/>
        </w:rPr>
        <w:t xml:space="preserve"> plainte </w:t>
      </w:r>
      <w:r w:rsidR="002943CE">
        <w:rPr>
          <w:lang w:val="fr-FR"/>
        </w:rPr>
        <w:t xml:space="preserve">ou </w:t>
      </w:r>
      <w:r w:rsidR="00F0364E">
        <w:rPr>
          <w:lang w:val="fr-FR"/>
        </w:rPr>
        <w:t xml:space="preserve">une affaire mettant en cause le comportement de la police peut être constatée par un service de police lui-même. Les plaintes publiques peuvent être réglées par voie de </w:t>
      </w:r>
      <w:r w:rsidR="00B679A8">
        <w:rPr>
          <w:lang w:val="fr-FR"/>
        </w:rPr>
        <w:t>règlement</w:t>
      </w:r>
      <w:r w:rsidR="00F0364E">
        <w:rPr>
          <w:lang w:val="fr-FR"/>
        </w:rPr>
        <w:t xml:space="preserve"> local (avec l’accord du plaignant) ou faire l’objet d’une enquête de police sous la supervision et la direction de la Commission indépendante. La Commission peut également désigner l’un de ses propres enquêteurs pour mener l’enquête</w:t>
      </w:r>
      <w:r w:rsidR="000B562B" w:rsidRPr="00A176EA">
        <w:rPr>
          <w:lang w:val="fr-FR"/>
        </w:rPr>
        <w:t>.</w:t>
      </w:r>
    </w:p>
    <w:p w:rsidR="000B562B" w:rsidRPr="00A176EA" w:rsidRDefault="002549A9" w:rsidP="00C32C70">
      <w:pPr>
        <w:pStyle w:val="SingleTxtG"/>
        <w:rPr>
          <w:lang w:val="fr-FR"/>
        </w:rPr>
      </w:pPr>
      <w:r w:rsidRPr="00A176EA">
        <w:rPr>
          <w:lang w:val="fr-FR"/>
        </w:rPr>
        <w:t>451.</w:t>
      </w:r>
      <w:r w:rsidRPr="00A176EA">
        <w:rPr>
          <w:lang w:val="fr-FR"/>
        </w:rPr>
        <w:tab/>
      </w:r>
      <w:r w:rsidR="00F0364E" w:rsidRPr="00F0364E">
        <w:rPr>
          <w:lang w:val="fr-FR"/>
        </w:rPr>
        <w:t>Depuis avril</w:t>
      </w:r>
      <w:r w:rsidR="000B562B" w:rsidRPr="00F0364E">
        <w:rPr>
          <w:lang w:val="fr-FR"/>
        </w:rPr>
        <w:t xml:space="preserve"> 2004</w:t>
      </w:r>
      <w:r w:rsidR="00F0364E" w:rsidRPr="00F0364E">
        <w:rPr>
          <w:lang w:val="fr-FR"/>
        </w:rPr>
        <w:t>,</w:t>
      </w:r>
      <w:r w:rsidR="000B562B" w:rsidRPr="00F0364E">
        <w:rPr>
          <w:lang w:val="fr-FR"/>
        </w:rPr>
        <w:t xml:space="preserve"> </w:t>
      </w:r>
      <w:r w:rsidR="00F0364E" w:rsidRPr="00F0364E">
        <w:rPr>
          <w:lang w:val="fr-FR"/>
        </w:rPr>
        <w:t>la</w:t>
      </w:r>
      <w:r w:rsidR="000B562B" w:rsidRPr="00F0364E">
        <w:rPr>
          <w:lang w:val="fr-FR"/>
        </w:rPr>
        <w:t xml:space="preserve"> </w:t>
      </w:r>
      <w:r w:rsidR="0090139B" w:rsidRPr="00F0364E">
        <w:rPr>
          <w:lang w:val="fr-FR"/>
        </w:rPr>
        <w:t>Commission indépendante des plaintes contre la police</w:t>
      </w:r>
      <w:r w:rsidR="000B562B" w:rsidRPr="00A176EA">
        <w:rPr>
          <w:lang w:val="fr-FR"/>
        </w:rPr>
        <w:t xml:space="preserve"> </w:t>
      </w:r>
      <w:r w:rsidR="00A46CF1">
        <w:rPr>
          <w:lang w:val="fr-FR"/>
        </w:rPr>
        <w:t>a usé de s</w:t>
      </w:r>
      <w:r w:rsidR="00981546">
        <w:rPr>
          <w:lang w:val="fr-FR"/>
        </w:rPr>
        <w:t>es</w:t>
      </w:r>
      <w:r w:rsidR="00A46CF1">
        <w:rPr>
          <w:lang w:val="fr-FR"/>
        </w:rPr>
        <w:t xml:space="preserve"> pouvoir</w:t>
      </w:r>
      <w:r w:rsidR="00981546">
        <w:rPr>
          <w:lang w:val="fr-FR"/>
        </w:rPr>
        <w:t>s</w:t>
      </w:r>
      <w:r w:rsidR="00A46CF1">
        <w:rPr>
          <w:lang w:val="fr-FR"/>
        </w:rPr>
        <w:t xml:space="preserve"> pour ouvrir 264 enquêtes indépendantes et 663 enquêtes </w:t>
      </w:r>
      <w:r w:rsidR="00981546">
        <w:rPr>
          <w:lang w:val="fr-FR"/>
        </w:rPr>
        <w:t xml:space="preserve">dirigées </w:t>
      </w:r>
      <w:r w:rsidR="004A0D61">
        <w:rPr>
          <w:lang w:val="fr-FR"/>
        </w:rPr>
        <w:t>concernant les plaintes les plus graves contre la police et autres organismes</w:t>
      </w:r>
      <w:r w:rsidR="00B679A8">
        <w:rPr>
          <w:lang w:val="fr-FR"/>
        </w:rPr>
        <w:t xml:space="preserve"> publics</w:t>
      </w:r>
      <w:r w:rsidR="004A0D61">
        <w:rPr>
          <w:lang w:val="fr-FR"/>
        </w:rPr>
        <w:t xml:space="preserve">. Elle a établi de nouvelles normes pour que les forces de police améliorent la façon dont les plaintes du public sont traitées. La Commission traite également les recours formés par le public </w:t>
      </w:r>
      <w:r w:rsidR="003B3C44">
        <w:rPr>
          <w:lang w:val="fr-FR"/>
        </w:rPr>
        <w:t>contre</w:t>
      </w:r>
      <w:r w:rsidR="004A0D61">
        <w:rPr>
          <w:lang w:val="fr-FR"/>
        </w:rPr>
        <w:t xml:space="preserve"> la façon dont les forces </w:t>
      </w:r>
      <w:r w:rsidR="003B3C44">
        <w:rPr>
          <w:lang w:val="fr-FR"/>
        </w:rPr>
        <w:t xml:space="preserve">de police </w:t>
      </w:r>
      <w:r w:rsidR="004A0D61">
        <w:rPr>
          <w:lang w:val="fr-FR"/>
        </w:rPr>
        <w:t>locales ont traité sa plainte</w:t>
      </w:r>
      <w:r w:rsidR="000B562B" w:rsidRPr="00A176EA">
        <w:rPr>
          <w:lang w:val="fr-FR"/>
        </w:rPr>
        <w:t>.</w:t>
      </w:r>
    </w:p>
    <w:p w:rsidR="000B562B" w:rsidRPr="003B3C44" w:rsidRDefault="002549A9" w:rsidP="00250A6E">
      <w:pPr>
        <w:pStyle w:val="SingleTxtG"/>
        <w:rPr>
          <w:lang w:val="fr-FR"/>
        </w:rPr>
      </w:pPr>
      <w:r w:rsidRPr="003B3C44">
        <w:rPr>
          <w:lang w:val="fr-FR"/>
        </w:rPr>
        <w:t>452.</w:t>
      </w:r>
      <w:r w:rsidRPr="003B3C44">
        <w:rPr>
          <w:lang w:val="fr-FR"/>
        </w:rPr>
        <w:tab/>
      </w:r>
      <w:r w:rsidR="003B3C44" w:rsidRPr="003B3C44">
        <w:rPr>
          <w:lang w:val="fr-FR"/>
        </w:rPr>
        <w:t xml:space="preserve">Le détail des procédures suivies par la </w:t>
      </w:r>
      <w:r w:rsidR="0090139B" w:rsidRPr="003B3C44">
        <w:rPr>
          <w:lang w:val="fr-FR"/>
        </w:rPr>
        <w:t xml:space="preserve">Commission indépendante </w:t>
      </w:r>
      <w:r w:rsidR="003B3C44" w:rsidRPr="003B3C44">
        <w:rPr>
          <w:lang w:val="fr-FR"/>
        </w:rPr>
        <w:t>et du système de recours figure dans la</w:t>
      </w:r>
      <w:r w:rsidR="000B562B" w:rsidRPr="003B3C44">
        <w:rPr>
          <w:lang w:val="fr-FR"/>
        </w:rPr>
        <w:t xml:space="preserve"> </w:t>
      </w:r>
      <w:r w:rsidR="00EA0E1F" w:rsidRPr="003B3C44">
        <w:rPr>
          <w:lang w:val="fr-FR"/>
        </w:rPr>
        <w:t>réponse ci-dessus concernant l’a</w:t>
      </w:r>
      <w:r w:rsidR="000B562B" w:rsidRPr="003B3C44">
        <w:rPr>
          <w:lang w:val="fr-FR"/>
        </w:rPr>
        <w:t>rticle 12 (par</w:t>
      </w:r>
      <w:r w:rsidR="00250A6E">
        <w:rPr>
          <w:lang w:val="fr-FR"/>
        </w:rPr>
        <w:t>.</w:t>
      </w:r>
      <w:r w:rsidR="000B562B" w:rsidRPr="003B3C44">
        <w:rPr>
          <w:lang w:val="fr-FR"/>
        </w:rPr>
        <w:t xml:space="preserve"> 417 </w:t>
      </w:r>
      <w:r w:rsidR="00EA0E1F" w:rsidRPr="003B3C44">
        <w:rPr>
          <w:lang w:val="fr-FR"/>
        </w:rPr>
        <w:t>à</w:t>
      </w:r>
      <w:r w:rsidR="000B562B" w:rsidRPr="003B3C44">
        <w:rPr>
          <w:lang w:val="fr-FR"/>
        </w:rPr>
        <w:t xml:space="preserve"> 424).</w:t>
      </w:r>
    </w:p>
    <w:p w:rsidR="000B562B" w:rsidRPr="003B3C44" w:rsidRDefault="002549A9" w:rsidP="009C569D">
      <w:pPr>
        <w:pStyle w:val="SingleTxtG"/>
        <w:spacing w:after="240"/>
        <w:rPr>
          <w:lang w:val="fr-FR"/>
        </w:rPr>
      </w:pPr>
      <w:r w:rsidRPr="003B3C44">
        <w:rPr>
          <w:lang w:val="fr-FR"/>
        </w:rPr>
        <w:t>453.</w:t>
      </w:r>
      <w:r w:rsidRPr="003B3C44">
        <w:rPr>
          <w:lang w:val="fr-FR"/>
        </w:rPr>
        <w:tab/>
      </w:r>
      <w:r w:rsidR="00EA0E1F" w:rsidRPr="003B3C44">
        <w:rPr>
          <w:lang w:val="fr-FR"/>
        </w:rPr>
        <w:t>Depuis</w:t>
      </w:r>
      <w:r w:rsidR="000B562B" w:rsidRPr="003B3C44">
        <w:rPr>
          <w:lang w:val="fr-FR"/>
        </w:rPr>
        <w:t xml:space="preserve"> 2004</w:t>
      </w:r>
      <w:r w:rsidR="00EA0E1F" w:rsidRPr="003B3C44">
        <w:rPr>
          <w:lang w:val="fr-FR"/>
        </w:rPr>
        <w:t xml:space="preserve">, la </w:t>
      </w:r>
      <w:r w:rsidR="0090139B" w:rsidRPr="003B3C44">
        <w:rPr>
          <w:lang w:val="fr-FR"/>
        </w:rPr>
        <w:t>Commission indépendante des plaintes contre la police</w:t>
      </w:r>
      <w:r w:rsidR="000B562B" w:rsidRPr="003B3C44">
        <w:rPr>
          <w:lang w:val="fr-FR"/>
        </w:rPr>
        <w:t xml:space="preserve"> </w:t>
      </w:r>
      <w:r w:rsidR="00EA0E1F" w:rsidRPr="003B3C44">
        <w:rPr>
          <w:lang w:val="fr-FR"/>
        </w:rPr>
        <w:t>publie les statistiques annuelles des plaintes contre la police</w:t>
      </w:r>
      <w:r w:rsidR="000B562B" w:rsidRPr="003B3C44">
        <w:rPr>
          <w:lang w:val="fr-FR"/>
        </w:rPr>
        <w:t xml:space="preserve"> </w:t>
      </w:r>
      <w:r w:rsidR="00EA0E1F" w:rsidRPr="003B3C44">
        <w:rPr>
          <w:lang w:val="fr-FR"/>
        </w:rPr>
        <w:t>pour l’Angleterre et le</w:t>
      </w:r>
      <w:r w:rsidR="000B562B" w:rsidRPr="003B3C44">
        <w:rPr>
          <w:lang w:val="fr-FR"/>
        </w:rPr>
        <w:t xml:space="preserve"> </w:t>
      </w:r>
      <w:r w:rsidR="00EA0E1F" w:rsidRPr="003B3C44">
        <w:rPr>
          <w:lang w:val="fr-FR"/>
        </w:rPr>
        <w:t>p</w:t>
      </w:r>
      <w:r w:rsidR="005601A1" w:rsidRPr="003B3C44">
        <w:rPr>
          <w:lang w:val="fr-FR"/>
        </w:rPr>
        <w:t>ays de Galles</w:t>
      </w:r>
      <w:r w:rsidR="000B562B" w:rsidRPr="003B3C44">
        <w:rPr>
          <w:rStyle w:val="FootnoteReference"/>
          <w:szCs w:val="24"/>
        </w:rPr>
        <w:footnoteReference w:id="61"/>
      </w:r>
      <w:r w:rsidR="00EA0E1F" w:rsidRPr="003B3C44">
        <w:rPr>
          <w:lang w:val="fr-FR"/>
        </w:rPr>
        <w:t>.</w:t>
      </w:r>
      <w:r w:rsidR="000B562B" w:rsidRPr="003B3C44">
        <w:rPr>
          <w:lang w:val="fr-FR"/>
        </w:rPr>
        <w:t xml:space="preserve"> </w:t>
      </w:r>
      <w:r w:rsidR="00EA0E1F" w:rsidRPr="003B3C44">
        <w:rPr>
          <w:lang w:val="fr-FR"/>
        </w:rPr>
        <w:t>Les chiffres annuels figurent dans le tableau ci-dessus</w:t>
      </w:r>
      <w:r w:rsidR="000B562B" w:rsidRPr="003B3C44">
        <w:rPr>
          <w:lang w:val="fr-FR"/>
        </w:rPr>
        <w:t xml:space="preserve">. </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2811"/>
        <w:gridCol w:w="911"/>
        <w:gridCol w:w="912"/>
        <w:gridCol w:w="912"/>
        <w:gridCol w:w="912"/>
        <w:gridCol w:w="912"/>
      </w:tblGrid>
      <w:tr w:rsidR="000B562B" w:rsidRPr="003B3C44" w:rsidTr="00532DD5">
        <w:tblPrEx>
          <w:tblCellMar>
            <w:top w:w="0" w:type="dxa"/>
            <w:bottom w:w="0" w:type="dxa"/>
          </w:tblCellMar>
        </w:tblPrEx>
        <w:trPr>
          <w:cantSplit/>
          <w:trHeight w:val="240"/>
          <w:tblHeader/>
        </w:trPr>
        <w:tc>
          <w:tcPr>
            <w:tcW w:w="3246" w:type="dxa"/>
            <w:tcBorders>
              <w:top w:val="single" w:sz="4" w:space="0" w:color="auto"/>
              <w:bottom w:val="single" w:sz="12" w:space="0" w:color="auto"/>
            </w:tcBorders>
            <w:shd w:val="clear" w:color="auto" w:fill="auto"/>
            <w:vAlign w:val="bottom"/>
          </w:tcPr>
          <w:p w:rsidR="000B562B" w:rsidRPr="003B3C44" w:rsidRDefault="000B562B" w:rsidP="00C32C70">
            <w:pPr>
              <w:pStyle w:val="Text"/>
              <w:spacing w:before="80" w:after="80" w:line="200" w:lineRule="exact"/>
              <w:rPr>
                <w:rFonts w:ascii="Times New Roman" w:hAnsi="Times New Roman"/>
                <w:i/>
                <w:sz w:val="16"/>
                <w:lang w:val="fr-FR"/>
              </w:rPr>
            </w:pPr>
          </w:p>
        </w:tc>
        <w:tc>
          <w:tcPr>
            <w:tcW w:w="992" w:type="dxa"/>
            <w:tcBorders>
              <w:top w:val="single" w:sz="4" w:space="0" w:color="auto"/>
              <w:bottom w:val="single" w:sz="12" w:space="0" w:color="auto"/>
            </w:tcBorders>
            <w:shd w:val="clear" w:color="auto" w:fill="auto"/>
            <w:vAlign w:val="bottom"/>
          </w:tcPr>
          <w:p w:rsidR="000B562B" w:rsidRPr="003B3C44" w:rsidRDefault="009C569D" w:rsidP="008E3816">
            <w:pPr>
              <w:pStyle w:val="Text"/>
              <w:spacing w:before="80" w:after="80" w:line="200" w:lineRule="exact"/>
              <w:ind w:left="113" w:right="57"/>
              <w:jc w:val="right"/>
              <w:rPr>
                <w:rFonts w:ascii="Times New Roman" w:hAnsi="Times New Roman"/>
                <w:i/>
                <w:sz w:val="16"/>
                <w:lang w:val="fr-FR"/>
              </w:rPr>
            </w:pPr>
            <w:r>
              <w:rPr>
                <w:rFonts w:ascii="Times New Roman" w:hAnsi="Times New Roman"/>
                <w:i/>
                <w:sz w:val="16"/>
                <w:lang w:val="fr-FR"/>
              </w:rPr>
              <w:t>2004-</w:t>
            </w:r>
            <w:r w:rsidR="00866436" w:rsidRPr="003B3C44">
              <w:rPr>
                <w:rFonts w:ascii="Times New Roman" w:hAnsi="Times New Roman"/>
                <w:i/>
                <w:sz w:val="16"/>
                <w:lang w:val="fr-FR"/>
              </w:rPr>
              <w:t>20</w:t>
            </w:r>
            <w:r w:rsidR="000B562B" w:rsidRPr="003B3C44">
              <w:rPr>
                <w:rFonts w:ascii="Times New Roman" w:hAnsi="Times New Roman"/>
                <w:i/>
                <w:sz w:val="16"/>
                <w:lang w:val="fr-FR"/>
              </w:rPr>
              <w:t>05</w:t>
            </w:r>
          </w:p>
        </w:tc>
        <w:tc>
          <w:tcPr>
            <w:tcW w:w="992" w:type="dxa"/>
            <w:tcBorders>
              <w:top w:val="single" w:sz="4" w:space="0" w:color="auto"/>
              <w:bottom w:val="single" w:sz="12" w:space="0" w:color="auto"/>
            </w:tcBorders>
            <w:shd w:val="clear" w:color="auto" w:fill="auto"/>
            <w:vAlign w:val="bottom"/>
          </w:tcPr>
          <w:p w:rsidR="000B562B" w:rsidRPr="003B3C44" w:rsidRDefault="009C569D" w:rsidP="008E3816">
            <w:pPr>
              <w:pStyle w:val="Text"/>
              <w:spacing w:before="80" w:after="80" w:line="200" w:lineRule="exact"/>
              <w:ind w:left="113" w:right="57"/>
              <w:jc w:val="right"/>
              <w:rPr>
                <w:rFonts w:ascii="Times New Roman" w:hAnsi="Times New Roman"/>
                <w:i/>
                <w:sz w:val="16"/>
                <w:lang w:val="fr-FR"/>
              </w:rPr>
            </w:pPr>
            <w:r>
              <w:rPr>
                <w:rFonts w:ascii="Times New Roman" w:hAnsi="Times New Roman"/>
                <w:i/>
                <w:sz w:val="16"/>
                <w:lang w:val="fr-FR"/>
              </w:rPr>
              <w:t>2005-</w:t>
            </w:r>
            <w:r w:rsidR="00866436" w:rsidRPr="003B3C44">
              <w:rPr>
                <w:rFonts w:ascii="Times New Roman" w:hAnsi="Times New Roman"/>
                <w:i/>
                <w:sz w:val="16"/>
                <w:lang w:val="fr-FR"/>
              </w:rPr>
              <w:t>20</w:t>
            </w:r>
            <w:r w:rsidR="000B562B" w:rsidRPr="003B3C44">
              <w:rPr>
                <w:rFonts w:ascii="Times New Roman" w:hAnsi="Times New Roman"/>
                <w:i/>
                <w:sz w:val="16"/>
                <w:lang w:val="fr-FR"/>
              </w:rPr>
              <w:t>06</w:t>
            </w:r>
          </w:p>
        </w:tc>
        <w:tc>
          <w:tcPr>
            <w:tcW w:w="992" w:type="dxa"/>
            <w:tcBorders>
              <w:top w:val="single" w:sz="4" w:space="0" w:color="auto"/>
              <w:bottom w:val="single" w:sz="12" w:space="0" w:color="auto"/>
            </w:tcBorders>
            <w:shd w:val="clear" w:color="auto" w:fill="auto"/>
            <w:vAlign w:val="bottom"/>
          </w:tcPr>
          <w:p w:rsidR="000B562B" w:rsidRPr="003B3C44" w:rsidRDefault="009C569D" w:rsidP="008E3816">
            <w:pPr>
              <w:pStyle w:val="Text"/>
              <w:spacing w:before="80" w:after="80" w:line="200" w:lineRule="exact"/>
              <w:ind w:left="113" w:right="57"/>
              <w:jc w:val="right"/>
              <w:rPr>
                <w:rFonts w:ascii="Times New Roman" w:hAnsi="Times New Roman"/>
                <w:i/>
                <w:sz w:val="16"/>
                <w:lang w:val="fr-FR"/>
              </w:rPr>
            </w:pPr>
            <w:r>
              <w:rPr>
                <w:rFonts w:ascii="Times New Roman" w:hAnsi="Times New Roman"/>
                <w:i/>
                <w:sz w:val="16"/>
                <w:lang w:val="fr-FR"/>
              </w:rPr>
              <w:t>2006-</w:t>
            </w:r>
            <w:r w:rsidR="00866436" w:rsidRPr="003B3C44">
              <w:rPr>
                <w:rFonts w:ascii="Times New Roman" w:hAnsi="Times New Roman"/>
                <w:i/>
                <w:sz w:val="16"/>
                <w:lang w:val="fr-FR"/>
              </w:rPr>
              <w:t>20</w:t>
            </w:r>
            <w:r w:rsidR="000B562B" w:rsidRPr="003B3C44">
              <w:rPr>
                <w:rFonts w:ascii="Times New Roman" w:hAnsi="Times New Roman"/>
                <w:i/>
                <w:sz w:val="16"/>
                <w:lang w:val="fr-FR"/>
              </w:rPr>
              <w:t>07</w:t>
            </w:r>
          </w:p>
        </w:tc>
        <w:tc>
          <w:tcPr>
            <w:tcW w:w="992" w:type="dxa"/>
            <w:tcBorders>
              <w:top w:val="single" w:sz="4" w:space="0" w:color="auto"/>
              <w:bottom w:val="single" w:sz="12" w:space="0" w:color="auto"/>
            </w:tcBorders>
            <w:shd w:val="clear" w:color="auto" w:fill="auto"/>
            <w:vAlign w:val="bottom"/>
          </w:tcPr>
          <w:p w:rsidR="000B562B" w:rsidRPr="003B3C44" w:rsidRDefault="009C569D" w:rsidP="008E3816">
            <w:pPr>
              <w:pStyle w:val="Text"/>
              <w:spacing w:before="80" w:after="80" w:line="200" w:lineRule="exact"/>
              <w:ind w:left="113" w:right="57"/>
              <w:jc w:val="right"/>
              <w:rPr>
                <w:rFonts w:ascii="Times New Roman" w:hAnsi="Times New Roman"/>
                <w:i/>
                <w:sz w:val="16"/>
                <w:lang w:val="fr-FR"/>
              </w:rPr>
            </w:pPr>
            <w:r>
              <w:rPr>
                <w:rFonts w:ascii="Times New Roman" w:hAnsi="Times New Roman"/>
                <w:i/>
                <w:sz w:val="16"/>
                <w:lang w:val="fr-FR"/>
              </w:rPr>
              <w:t>2007-</w:t>
            </w:r>
            <w:r w:rsidR="00866436" w:rsidRPr="003B3C44">
              <w:rPr>
                <w:rFonts w:ascii="Times New Roman" w:hAnsi="Times New Roman"/>
                <w:i/>
                <w:sz w:val="16"/>
                <w:lang w:val="fr-FR"/>
              </w:rPr>
              <w:t>20</w:t>
            </w:r>
            <w:r w:rsidR="000B562B" w:rsidRPr="003B3C44">
              <w:rPr>
                <w:rFonts w:ascii="Times New Roman" w:hAnsi="Times New Roman"/>
                <w:i/>
                <w:sz w:val="16"/>
                <w:lang w:val="fr-FR"/>
              </w:rPr>
              <w:t>08</w:t>
            </w:r>
          </w:p>
        </w:tc>
        <w:tc>
          <w:tcPr>
            <w:tcW w:w="992" w:type="dxa"/>
            <w:tcBorders>
              <w:top w:val="single" w:sz="4" w:space="0" w:color="auto"/>
              <w:bottom w:val="single" w:sz="12" w:space="0" w:color="auto"/>
            </w:tcBorders>
            <w:shd w:val="clear" w:color="auto" w:fill="auto"/>
            <w:vAlign w:val="bottom"/>
          </w:tcPr>
          <w:p w:rsidR="000B562B" w:rsidRPr="003B3C44" w:rsidRDefault="009C569D" w:rsidP="008E3816">
            <w:pPr>
              <w:pStyle w:val="Text"/>
              <w:spacing w:before="80" w:after="80" w:line="200" w:lineRule="exact"/>
              <w:ind w:left="113" w:right="57"/>
              <w:jc w:val="right"/>
              <w:rPr>
                <w:rFonts w:ascii="Times New Roman" w:hAnsi="Times New Roman"/>
                <w:i/>
                <w:sz w:val="16"/>
                <w:lang w:val="fr-FR"/>
              </w:rPr>
            </w:pPr>
            <w:r>
              <w:rPr>
                <w:rFonts w:ascii="Times New Roman" w:hAnsi="Times New Roman"/>
                <w:i/>
                <w:sz w:val="16"/>
                <w:lang w:val="fr-FR"/>
              </w:rPr>
              <w:t>2008-</w:t>
            </w:r>
            <w:r w:rsidR="00866436" w:rsidRPr="003B3C44">
              <w:rPr>
                <w:rFonts w:ascii="Times New Roman" w:hAnsi="Times New Roman"/>
                <w:i/>
                <w:sz w:val="16"/>
                <w:lang w:val="fr-FR"/>
              </w:rPr>
              <w:t>20</w:t>
            </w:r>
            <w:r w:rsidR="000B562B" w:rsidRPr="003B3C44">
              <w:rPr>
                <w:rFonts w:ascii="Times New Roman" w:hAnsi="Times New Roman"/>
                <w:i/>
                <w:sz w:val="16"/>
                <w:lang w:val="fr-FR"/>
              </w:rPr>
              <w:t>09</w:t>
            </w:r>
          </w:p>
        </w:tc>
      </w:tr>
      <w:tr w:rsidR="000B562B" w:rsidRPr="003B3C44" w:rsidTr="00532DD5">
        <w:tblPrEx>
          <w:tblCellMar>
            <w:top w:w="0" w:type="dxa"/>
            <w:bottom w:w="0" w:type="dxa"/>
          </w:tblCellMar>
        </w:tblPrEx>
        <w:trPr>
          <w:cantSplit/>
          <w:trHeight w:val="240"/>
        </w:trPr>
        <w:tc>
          <w:tcPr>
            <w:tcW w:w="3246" w:type="dxa"/>
            <w:tcBorders>
              <w:top w:val="single" w:sz="12" w:space="0" w:color="auto"/>
            </w:tcBorders>
            <w:shd w:val="clear" w:color="auto" w:fill="auto"/>
          </w:tcPr>
          <w:p w:rsidR="000B562B" w:rsidRPr="003B3C44" w:rsidRDefault="00866436" w:rsidP="00C32C70">
            <w:pPr>
              <w:pStyle w:val="Text"/>
              <w:spacing w:before="40" w:after="40" w:line="220" w:lineRule="exact"/>
              <w:rPr>
                <w:rFonts w:ascii="Times New Roman" w:hAnsi="Times New Roman"/>
                <w:sz w:val="18"/>
                <w:lang w:val="fr-FR"/>
              </w:rPr>
            </w:pPr>
            <w:r w:rsidRPr="003B3C44">
              <w:rPr>
                <w:rFonts w:ascii="Times New Roman" w:hAnsi="Times New Roman"/>
                <w:sz w:val="18"/>
                <w:lang w:val="fr-FR"/>
              </w:rPr>
              <w:t>Nombre d’affaires</w:t>
            </w:r>
            <w:r w:rsidR="000B562B" w:rsidRPr="009C569D">
              <w:rPr>
                <w:rFonts w:ascii="Times New Roman" w:hAnsi="Times New Roman"/>
                <w:sz w:val="20"/>
                <w:lang w:val="fr-FR"/>
              </w:rPr>
              <w:t>*</w:t>
            </w:r>
          </w:p>
        </w:tc>
        <w:tc>
          <w:tcPr>
            <w:tcW w:w="992" w:type="dxa"/>
            <w:tcBorders>
              <w:top w:val="single" w:sz="12" w:space="0" w:color="auto"/>
            </w:tcBorders>
            <w:shd w:val="clear" w:color="auto" w:fill="auto"/>
            <w:vAlign w:val="bottom"/>
          </w:tcPr>
          <w:p w:rsidR="000B562B" w:rsidRPr="003B3C44" w:rsidRDefault="000B562B" w:rsidP="008E3816">
            <w:pPr>
              <w:pStyle w:val="Text"/>
              <w:spacing w:before="40" w:after="40" w:line="220" w:lineRule="exact"/>
              <w:ind w:left="113" w:right="57"/>
              <w:jc w:val="right"/>
              <w:rPr>
                <w:rFonts w:ascii="Times New Roman" w:hAnsi="Times New Roman"/>
                <w:sz w:val="18"/>
                <w:lang w:val="fr-FR"/>
              </w:rPr>
            </w:pPr>
            <w:r w:rsidRPr="003B3C44">
              <w:rPr>
                <w:rFonts w:ascii="Times New Roman" w:hAnsi="Times New Roman"/>
                <w:sz w:val="18"/>
                <w:lang w:val="fr-FR"/>
              </w:rPr>
              <w:t>22</w:t>
            </w:r>
            <w:r w:rsidR="00866436" w:rsidRPr="003B3C44">
              <w:rPr>
                <w:rFonts w:ascii="Times New Roman" w:hAnsi="Times New Roman"/>
                <w:sz w:val="18"/>
                <w:lang w:val="fr-FR"/>
              </w:rPr>
              <w:t xml:space="preserve"> </w:t>
            </w:r>
            <w:r w:rsidRPr="003B3C44">
              <w:rPr>
                <w:rFonts w:ascii="Times New Roman" w:hAnsi="Times New Roman"/>
                <w:sz w:val="18"/>
                <w:lang w:val="fr-FR"/>
              </w:rPr>
              <w:t>898</w:t>
            </w:r>
          </w:p>
        </w:tc>
        <w:tc>
          <w:tcPr>
            <w:tcW w:w="992" w:type="dxa"/>
            <w:tcBorders>
              <w:top w:val="single" w:sz="12" w:space="0" w:color="auto"/>
            </w:tcBorders>
            <w:shd w:val="clear" w:color="auto" w:fill="auto"/>
            <w:vAlign w:val="bottom"/>
          </w:tcPr>
          <w:p w:rsidR="000B562B" w:rsidRPr="003B3C44" w:rsidRDefault="000B562B" w:rsidP="008E3816">
            <w:pPr>
              <w:pStyle w:val="Text"/>
              <w:spacing w:before="40" w:after="40" w:line="220" w:lineRule="exact"/>
              <w:ind w:left="113" w:right="57"/>
              <w:jc w:val="right"/>
              <w:rPr>
                <w:rFonts w:ascii="Times New Roman" w:hAnsi="Times New Roman"/>
                <w:sz w:val="18"/>
                <w:lang w:val="fr-FR"/>
              </w:rPr>
            </w:pPr>
            <w:r w:rsidRPr="003B3C44">
              <w:rPr>
                <w:rFonts w:ascii="Times New Roman" w:hAnsi="Times New Roman"/>
                <w:sz w:val="18"/>
                <w:lang w:val="fr-FR"/>
              </w:rPr>
              <w:t>26</w:t>
            </w:r>
            <w:r w:rsidR="00866436" w:rsidRPr="003B3C44">
              <w:rPr>
                <w:rFonts w:ascii="Times New Roman" w:hAnsi="Times New Roman"/>
                <w:sz w:val="18"/>
                <w:lang w:val="fr-FR"/>
              </w:rPr>
              <w:t xml:space="preserve"> </w:t>
            </w:r>
            <w:r w:rsidRPr="003B3C44">
              <w:rPr>
                <w:rFonts w:ascii="Times New Roman" w:hAnsi="Times New Roman"/>
                <w:sz w:val="18"/>
                <w:lang w:val="fr-FR"/>
              </w:rPr>
              <w:t>268</w:t>
            </w:r>
          </w:p>
        </w:tc>
        <w:tc>
          <w:tcPr>
            <w:tcW w:w="992" w:type="dxa"/>
            <w:tcBorders>
              <w:top w:val="single" w:sz="12" w:space="0" w:color="auto"/>
            </w:tcBorders>
            <w:shd w:val="clear" w:color="auto" w:fill="auto"/>
            <w:vAlign w:val="bottom"/>
          </w:tcPr>
          <w:p w:rsidR="000B562B" w:rsidRPr="003B3C44" w:rsidRDefault="000B562B" w:rsidP="008E3816">
            <w:pPr>
              <w:pStyle w:val="Text"/>
              <w:spacing w:before="40" w:after="40" w:line="220" w:lineRule="exact"/>
              <w:ind w:left="113" w:right="57"/>
              <w:jc w:val="right"/>
              <w:rPr>
                <w:rFonts w:ascii="Times New Roman" w:hAnsi="Times New Roman"/>
                <w:sz w:val="18"/>
                <w:lang w:val="fr-FR"/>
              </w:rPr>
            </w:pPr>
            <w:r w:rsidRPr="003B3C44">
              <w:rPr>
                <w:rFonts w:ascii="Times New Roman" w:hAnsi="Times New Roman"/>
                <w:sz w:val="18"/>
                <w:lang w:val="fr-FR"/>
              </w:rPr>
              <w:t>28</w:t>
            </w:r>
            <w:r w:rsidR="00866436" w:rsidRPr="003B3C44">
              <w:rPr>
                <w:rFonts w:ascii="Times New Roman" w:hAnsi="Times New Roman"/>
                <w:sz w:val="18"/>
                <w:lang w:val="fr-FR"/>
              </w:rPr>
              <w:t xml:space="preserve"> </w:t>
            </w:r>
            <w:r w:rsidRPr="003B3C44">
              <w:rPr>
                <w:rFonts w:ascii="Times New Roman" w:hAnsi="Times New Roman"/>
                <w:sz w:val="18"/>
                <w:lang w:val="fr-FR"/>
              </w:rPr>
              <w:t>998</w:t>
            </w:r>
          </w:p>
        </w:tc>
        <w:tc>
          <w:tcPr>
            <w:tcW w:w="992" w:type="dxa"/>
            <w:tcBorders>
              <w:top w:val="single" w:sz="12" w:space="0" w:color="auto"/>
            </w:tcBorders>
            <w:shd w:val="clear" w:color="auto" w:fill="auto"/>
            <w:vAlign w:val="bottom"/>
          </w:tcPr>
          <w:p w:rsidR="000B562B" w:rsidRPr="003B3C44" w:rsidRDefault="000B562B" w:rsidP="008E3816">
            <w:pPr>
              <w:pStyle w:val="Text"/>
              <w:spacing w:before="40" w:after="40" w:line="220" w:lineRule="exact"/>
              <w:ind w:left="113" w:right="57"/>
              <w:jc w:val="right"/>
              <w:rPr>
                <w:rFonts w:ascii="Times New Roman" w:hAnsi="Times New Roman"/>
                <w:sz w:val="18"/>
                <w:lang w:val="fr-FR"/>
              </w:rPr>
            </w:pPr>
            <w:r w:rsidRPr="003B3C44">
              <w:rPr>
                <w:rFonts w:ascii="Times New Roman" w:hAnsi="Times New Roman"/>
                <w:sz w:val="18"/>
                <w:lang w:val="fr-FR"/>
              </w:rPr>
              <w:t>28</w:t>
            </w:r>
            <w:r w:rsidR="00866436" w:rsidRPr="003B3C44">
              <w:rPr>
                <w:rFonts w:ascii="Times New Roman" w:hAnsi="Times New Roman"/>
                <w:sz w:val="18"/>
                <w:lang w:val="fr-FR"/>
              </w:rPr>
              <w:t xml:space="preserve"> </w:t>
            </w:r>
            <w:r w:rsidRPr="003B3C44">
              <w:rPr>
                <w:rFonts w:ascii="Times New Roman" w:hAnsi="Times New Roman"/>
                <w:sz w:val="18"/>
                <w:lang w:val="fr-FR"/>
              </w:rPr>
              <w:t>963</w:t>
            </w:r>
          </w:p>
        </w:tc>
        <w:tc>
          <w:tcPr>
            <w:tcW w:w="992" w:type="dxa"/>
            <w:tcBorders>
              <w:top w:val="single" w:sz="12" w:space="0" w:color="auto"/>
            </w:tcBorders>
            <w:shd w:val="clear" w:color="auto" w:fill="auto"/>
            <w:vAlign w:val="bottom"/>
          </w:tcPr>
          <w:p w:rsidR="000B562B" w:rsidRPr="003B3C44" w:rsidRDefault="000B562B" w:rsidP="008E3816">
            <w:pPr>
              <w:pStyle w:val="Text"/>
              <w:spacing w:before="40" w:after="40" w:line="220" w:lineRule="exact"/>
              <w:ind w:left="113" w:right="57"/>
              <w:jc w:val="right"/>
              <w:rPr>
                <w:rFonts w:ascii="Times New Roman" w:hAnsi="Times New Roman"/>
                <w:sz w:val="18"/>
                <w:lang w:val="fr-FR"/>
              </w:rPr>
            </w:pPr>
            <w:r w:rsidRPr="003B3C44">
              <w:rPr>
                <w:rFonts w:ascii="Times New Roman" w:hAnsi="Times New Roman"/>
                <w:sz w:val="18"/>
                <w:lang w:val="fr-FR"/>
              </w:rPr>
              <w:t>31</w:t>
            </w:r>
            <w:r w:rsidR="00866436" w:rsidRPr="003B3C44">
              <w:rPr>
                <w:rFonts w:ascii="Times New Roman" w:hAnsi="Times New Roman"/>
                <w:sz w:val="18"/>
                <w:lang w:val="fr-FR"/>
              </w:rPr>
              <w:t xml:space="preserve"> </w:t>
            </w:r>
            <w:r w:rsidRPr="003B3C44">
              <w:rPr>
                <w:rFonts w:ascii="Times New Roman" w:hAnsi="Times New Roman"/>
                <w:sz w:val="18"/>
                <w:lang w:val="fr-FR"/>
              </w:rPr>
              <w:t>259</w:t>
            </w:r>
          </w:p>
        </w:tc>
      </w:tr>
      <w:tr w:rsidR="000B562B" w:rsidRPr="003B3C44" w:rsidTr="00532DD5">
        <w:tblPrEx>
          <w:tblCellMar>
            <w:top w:w="0" w:type="dxa"/>
            <w:bottom w:w="0" w:type="dxa"/>
          </w:tblCellMar>
        </w:tblPrEx>
        <w:trPr>
          <w:cantSplit/>
          <w:trHeight w:val="240"/>
        </w:trPr>
        <w:tc>
          <w:tcPr>
            <w:tcW w:w="3246" w:type="dxa"/>
            <w:shd w:val="clear" w:color="auto" w:fill="auto"/>
          </w:tcPr>
          <w:p w:rsidR="000B562B" w:rsidRPr="003B3C44" w:rsidRDefault="00866436" w:rsidP="00866436">
            <w:pPr>
              <w:pStyle w:val="Text"/>
              <w:spacing w:before="40" w:after="40" w:line="220" w:lineRule="exact"/>
              <w:rPr>
                <w:rFonts w:ascii="Times New Roman" w:hAnsi="Times New Roman"/>
                <w:sz w:val="18"/>
                <w:lang w:val="fr-FR"/>
              </w:rPr>
            </w:pPr>
            <w:r w:rsidRPr="003B3C44">
              <w:rPr>
                <w:rFonts w:ascii="Times New Roman" w:hAnsi="Times New Roman"/>
                <w:sz w:val="18"/>
                <w:lang w:val="fr-FR"/>
              </w:rPr>
              <w:t>Évolution par rapport à l’année précédente (</w:t>
            </w:r>
            <w:r w:rsidR="000B562B" w:rsidRPr="003B3C44">
              <w:rPr>
                <w:rFonts w:ascii="Times New Roman" w:hAnsi="Times New Roman"/>
                <w:sz w:val="18"/>
                <w:lang w:val="fr-FR"/>
              </w:rPr>
              <w:t>%</w:t>
            </w:r>
            <w:r w:rsidRPr="003B3C44">
              <w:rPr>
                <w:rFonts w:ascii="Times New Roman" w:hAnsi="Times New Roman"/>
                <w:sz w:val="18"/>
                <w:lang w:val="fr-FR"/>
              </w:rPr>
              <w:t>)</w:t>
            </w:r>
          </w:p>
        </w:tc>
        <w:tc>
          <w:tcPr>
            <w:tcW w:w="992" w:type="dxa"/>
            <w:shd w:val="clear" w:color="auto" w:fill="auto"/>
            <w:vAlign w:val="bottom"/>
          </w:tcPr>
          <w:p w:rsidR="000B562B" w:rsidRPr="003B3C44" w:rsidRDefault="000B562B" w:rsidP="008E3816">
            <w:pPr>
              <w:pStyle w:val="Text"/>
              <w:spacing w:before="40" w:after="40" w:line="220" w:lineRule="exact"/>
              <w:ind w:left="113" w:right="57"/>
              <w:jc w:val="right"/>
              <w:rPr>
                <w:rFonts w:ascii="Times New Roman" w:hAnsi="Times New Roman"/>
                <w:sz w:val="18"/>
                <w:lang w:val="fr-FR"/>
              </w:rPr>
            </w:pPr>
            <w:r w:rsidRPr="003B3C44">
              <w:rPr>
                <w:rFonts w:ascii="Times New Roman" w:hAnsi="Times New Roman"/>
                <w:sz w:val="18"/>
                <w:lang w:val="fr-FR"/>
              </w:rPr>
              <w:t>44</w:t>
            </w:r>
          </w:p>
        </w:tc>
        <w:tc>
          <w:tcPr>
            <w:tcW w:w="992" w:type="dxa"/>
            <w:shd w:val="clear" w:color="auto" w:fill="auto"/>
            <w:vAlign w:val="bottom"/>
          </w:tcPr>
          <w:p w:rsidR="000B562B" w:rsidRPr="003B3C44" w:rsidRDefault="000B562B" w:rsidP="008E3816">
            <w:pPr>
              <w:pStyle w:val="Text"/>
              <w:spacing w:before="40" w:after="40" w:line="220" w:lineRule="exact"/>
              <w:ind w:left="113" w:right="57"/>
              <w:jc w:val="right"/>
              <w:rPr>
                <w:rFonts w:ascii="Times New Roman" w:hAnsi="Times New Roman"/>
                <w:sz w:val="18"/>
                <w:lang w:val="fr-FR"/>
              </w:rPr>
            </w:pPr>
            <w:r w:rsidRPr="003B3C44">
              <w:rPr>
                <w:rFonts w:ascii="Times New Roman" w:hAnsi="Times New Roman"/>
                <w:sz w:val="18"/>
                <w:lang w:val="fr-FR"/>
              </w:rPr>
              <w:t>15</w:t>
            </w:r>
          </w:p>
        </w:tc>
        <w:tc>
          <w:tcPr>
            <w:tcW w:w="992" w:type="dxa"/>
            <w:shd w:val="clear" w:color="auto" w:fill="auto"/>
            <w:vAlign w:val="bottom"/>
          </w:tcPr>
          <w:p w:rsidR="000B562B" w:rsidRPr="003B3C44" w:rsidRDefault="000B562B" w:rsidP="008E3816">
            <w:pPr>
              <w:pStyle w:val="Text"/>
              <w:spacing w:before="40" w:after="40" w:line="220" w:lineRule="exact"/>
              <w:ind w:left="113" w:right="57"/>
              <w:jc w:val="right"/>
              <w:rPr>
                <w:rFonts w:ascii="Times New Roman" w:hAnsi="Times New Roman"/>
                <w:sz w:val="18"/>
                <w:lang w:val="fr-FR"/>
              </w:rPr>
            </w:pPr>
            <w:r w:rsidRPr="003B3C44">
              <w:rPr>
                <w:rFonts w:ascii="Times New Roman" w:hAnsi="Times New Roman"/>
                <w:sz w:val="18"/>
                <w:lang w:val="fr-FR"/>
              </w:rPr>
              <w:t>10</w:t>
            </w:r>
          </w:p>
        </w:tc>
        <w:tc>
          <w:tcPr>
            <w:tcW w:w="992" w:type="dxa"/>
            <w:shd w:val="clear" w:color="auto" w:fill="auto"/>
            <w:vAlign w:val="bottom"/>
          </w:tcPr>
          <w:p w:rsidR="000B562B" w:rsidRPr="003B3C44" w:rsidRDefault="000B562B" w:rsidP="008E3816">
            <w:pPr>
              <w:pStyle w:val="Text"/>
              <w:spacing w:before="40" w:after="40" w:line="220" w:lineRule="exact"/>
              <w:ind w:left="113" w:right="57"/>
              <w:jc w:val="right"/>
              <w:rPr>
                <w:rFonts w:ascii="Times New Roman" w:hAnsi="Times New Roman"/>
                <w:sz w:val="18"/>
                <w:lang w:val="fr-FR"/>
              </w:rPr>
            </w:pPr>
            <w:r w:rsidRPr="003B3C44">
              <w:rPr>
                <w:rFonts w:ascii="Times New Roman" w:hAnsi="Times New Roman"/>
                <w:sz w:val="18"/>
                <w:lang w:val="fr-FR"/>
              </w:rPr>
              <w:t>0</w:t>
            </w:r>
          </w:p>
        </w:tc>
        <w:tc>
          <w:tcPr>
            <w:tcW w:w="992" w:type="dxa"/>
            <w:shd w:val="clear" w:color="auto" w:fill="auto"/>
            <w:vAlign w:val="bottom"/>
          </w:tcPr>
          <w:p w:rsidR="000B562B" w:rsidRPr="003B3C44" w:rsidRDefault="000B562B" w:rsidP="008E3816">
            <w:pPr>
              <w:pStyle w:val="Text"/>
              <w:spacing w:before="40" w:after="40" w:line="220" w:lineRule="exact"/>
              <w:ind w:left="113" w:right="57"/>
              <w:jc w:val="right"/>
              <w:rPr>
                <w:rFonts w:ascii="Times New Roman" w:hAnsi="Times New Roman"/>
                <w:sz w:val="18"/>
                <w:lang w:val="fr-FR"/>
              </w:rPr>
            </w:pPr>
            <w:r w:rsidRPr="003B3C44">
              <w:rPr>
                <w:rFonts w:ascii="Times New Roman" w:hAnsi="Times New Roman"/>
                <w:sz w:val="18"/>
                <w:lang w:val="fr-FR"/>
              </w:rPr>
              <w:t>8</w:t>
            </w:r>
          </w:p>
        </w:tc>
      </w:tr>
      <w:tr w:rsidR="000B562B" w:rsidRPr="00866436" w:rsidTr="00532DD5">
        <w:tblPrEx>
          <w:tblCellMar>
            <w:top w:w="0" w:type="dxa"/>
            <w:bottom w:w="0" w:type="dxa"/>
          </w:tblCellMar>
        </w:tblPrEx>
        <w:trPr>
          <w:cantSplit/>
          <w:trHeight w:val="240"/>
        </w:trPr>
        <w:tc>
          <w:tcPr>
            <w:tcW w:w="3246" w:type="dxa"/>
            <w:shd w:val="clear" w:color="auto" w:fill="auto"/>
          </w:tcPr>
          <w:p w:rsidR="000B562B" w:rsidRPr="00A176EA" w:rsidRDefault="00766830" w:rsidP="00C32C70">
            <w:pPr>
              <w:pStyle w:val="Text"/>
              <w:spacing w:before="40" w:after="40" w:line="220" w:lineRule="exact"/>
              <w:rPr>
                <w:rFonts w:ascii="Times New Roman" w:hAnsi="Times New Roman"/>
                <w:sz w:val="18"/>
                <w:lang w:val="fr-FR"/>
              </w:rPr>
            </w:pPr>
            <w:r>
              <w:rPr>
                <w:rFonts w:ascii="Times New Roman" w:hAnsi="Times New Roman"/>
                <w:sz w:val="18"/>
                <w:lang w:val="fr-FR"/>
              </w:rPr>
              <w:t>Enquêtes menées à bien</w:t>
            </w:r>
          </w:p>
        </w:tc>
        <w:tc>
          <w:tcPr>
            <w:tcW w:w="992" w:type="dxa"/>
            <w:shd w:val="clear" w:color="auto" w:fill="auto"/>
            <w:vAlign w:val="bottom"/>
          </w:tcPr>
          <w:p w:rsidR="000B562B" w:rsidRPr="003B3C44" w:rsidRDefault="000B562B" w:rsidP="008E3816">
            <w:pPr>
              <w:pStyle w:val="Text"/>
              <w:spacing w:before="40" w:after="40" w:line="220" w:lineRule="exact"/>
              <w:ind w:left="113" w:right="57"/>
              <w:jc w:val="right"/>
              <w:rPr>
                <w:rFonts w:ascii="Times New Roman" w:hAnsi="Times New Roman"/>
                <w:sz w:val="18"/>
                <w:lang w:val="fr-FR"/>
              </w:rPr>
            </w:pPr>
            <w:r w:rsidRPr="003B3C44">
              <w:rPr>
                <w:rFonts w:ascii="Times New Roman" w:hAnsi="Times New Roman"/>
                <w:sz w:val="18"/>
                <w:lang w:val="fr-FR"/>
              </w:rPr>
              <w:t>27</w:t>
            </w:r>
            <w:r w:rsidR="00866436" w:rsidRPr="003B3C44">
              <w:rPr>
                <w:rFonts w:ascii="Times New Roman" w:hAnsi="Times New Roman"/>
                <w:sz w:val="18"/>
                <w:lang w:val="fr-FR"/>
              </w:rPr>
              <w:t xml:space="preserve"> </w:t>
            </w:r>
            <w:r w:rsidRPr="003B3C44">
              <w:rPr>
                <w:rFonts w:ascii="Times New Roman" w:hAnsi="Times New Roman"/>
                <w:sz w:val="18"/>
                <w:lang w:val="fr-FR"/>
              </w:rPr>
              <w:t>909</w:t>
            </w:r>
          </w:p>
        </w:tc>
        <w:tc>
          <w:tcPr>
            <w:tcW w:w="992" w:type="dxa"/>
            <w:shd w:val="clear" w:color="auto" w:fill="auto"/>
            <w:vAlign w:val="bottom"/>
          </w:tcPr>
          <w:p w:rsidR="000B562B" w:rsidRPr="003B3C44" w:rsidRDefault="000B562B" w:rsidP="008E3816">
            <w:pPr>
              <w:pStyle w:val="Text"/>
              <w:spacing w:before="40" w:after="40" w:line="220" w:lineRule="exact"/>
              <w:ind w:left="113" w:right="57"/>
              <w:jc w:val="right"/>
              <w:rPr>
                <w:rFonts w:ascii="Times New Roman" w:hAnsi="Times New Roman"/>
                <w:sz w:val="18"/>
                <w:lang w:val="fr-FR"/>
              </w:rPr>
            </w:pPr>
            <w:r w:rsidRPr="003B3C44">
              <w:rPr>
                <w:rFonts w:ascii="Times New Roman" w:hAnsi="Times New Roman"/>
                <w:sz w:val="18"/>
                <w:lang w:val="fr-FR"/>
              </w:rPr>
              <w:t>38</w:t>
            </w:r>
            <w:r w:rsidR="00866436" w:rsidRPr="003B3C44">
              <w:rPr>
                <w:rFonts w:ascii="Times New Roman" w:hAnsi="Times New Roman"/>
                <w:sz w:val="18"/>
                <w:lang w:val="fr-FR"/>
              </w:rPr>
              <w:t xml:space="preserve"> </w:t>
            </w:r>
            <w:r w:rsidRPr="003B3C44">
              <w:rPr>
                <w:rFonts w:ascii="Times New Roman" w:hAnsi="Times New Roman"/>
                <w:sz w:val="18"/>
                <w:lang w:val="fr-FR"/>
              </w:rPr>
              <w:t>199</w:t>
            </w:r>
          </w:p>
        </w:tc>
        <w:tc>
          <w:tcPr>
            <w:tcW w:w="992" w:type="dxa"/>
            <w:shd w:val="clear" w:color="auto" w:fill="auto"/>
            <w:vAlign w:val="bottom"/>
          </w:tcPr>
          <w:p w:rsidR="000B562B" w:rsidRPr="003B3C44" w:rsidRDefault="000B562B" w:rsidP="008E3816">
            <w:pPr>
              <w:pStyle w:val="Text"/>
              <w:spacing w:before="40" w:after="40" w:line="220" w:lineRule="exact"/>
              <w:ind w:left="113" w:right="57"/>
              <w:jc w:val="right"/>
              <w:rPr>
                <w:rFonts w:ascii="Times New Roman" w:hAnsi="Times New Roman"/>
                <w:sz w:val="18"/>
                <w:lang w:val="fr-FR"/>
              </w:rPr>
            </w:pPr>
            <w:r w:rsidRPr="003B3C44">
              <w:rPr>
                <w:rFonts w:ascii="Times New Roman" w:hAnsi="Times New Roman"/>
                <w:sz w:val="18"/>
                <w:lang w:val="fr-FR"/>
              </w:rPr>
              <w:t>41</w:t>
            </w:r>
            <w:r w:rsidR="00866436" w:rsidRPr="003B3C44">
              <w:rPr>
                <w:rFonts w:ascii="Times New Roman" w:hAnsi="Times New Roman"/>
                <w:sz w:val="18"/>
                <w:lang w:val="fr-FR"/>
              </w:rPr>
              <w:t xml:space="preserve"> </w:t>
            </w:r>
            <w:r w:rsidRPr="003B3C44">
              <w:rPr>
                <w:rFonts w:ascii="Times New Roman" w:hAnsi="Times New Roman"/>
                <w:sz w:val="18"/>
                <w:lang w:val="fr-FR"/>
              </w:rPr>
              <w:t>584</w:t>
            </w:r>
          </w:p>
        </w:tc>
        <w:tc>
          <w:tcPr>
            <w:tcW w:w="992" w:type="dxa"/>
            <w:shd w:val="clear" w:color="auto" w:fill="auto"/>
            <w:vAlign w:val="bottom"/>
          </w:tcPr>
          <w:p w:rsidR="000B562B" w:rsidRPr="003B3C44" w:rsidRDefault="000B562B" w:rsidP="008E3816">
            <w:pPr>
              <w:pStyle w:val="Text"/>
              <w:spacing w:before="40" w:after="40" w:line="220" w:lineRule="exact"/>
              <w:ind w:left="113" w:right="57"/>
              <w:jc w:val="right"/>
              <w:rPr>
                <w:rFonts w:ascii="Times New Roman" w:hAnsi="Times New Roman"/>
                <w:sz w:val="18"/>
                <w:lang w:val="fr-FR"/>
              </w:rPr>
            </w:pPr>
            <w:r w:rsidRPr="003B3C44">
              <w:rPr>
                <w:rFonts w:ascii="Times New Roman" w:hAnsi="Times New Roman"/>
                <w:sz w:val="18"/>
                <w:lang w:val="fr-FR"/>
              </w:rPr>
              <w:t>45</w:t>
            </w:r>
            <w:r w:rsidR="00866436" w:rsidRPr="003B3C44">
              <w:rPr>
                <w:rFonts w:ascii="Times New Roman" w:hAnsi="Times New Roman"/>
                <w:sz w:val="18"/>
                <w:lang w:val="fr-FR"/>
              </w:rPr>
              <w:t xml:space="preserve"> </w:t>
            </w:r>
            <w:r w:rsidRPr="003B3C44">
              <w:rPr>
                <w:rFonts w:ascii="Times New Roman" w:hAnsi="Times New Roman"/>
                <w:sz w:val="18"/>
                <w:lang w:val="fr-FR"/>
              </w:rPr>
              <w:t>524</w:t>
            </w:r>
          </w:p>
        </w:tc>
        <w:tc>
          <w:tcPr>
            <w:tcW w:w="992" w:type="dxa"/>
            <w:shd w:val="clear" w:color="auto" w:fill="auto"/>
            <w:vAlign w:val="bottom"/>
          </w:tcPr>
          <w:p w:rsidR="000B562B" w:rsidRPr="003B3C44" w:rsidRDefault="000B562B" w:rsidP="008E3816">
            <w:pPr>
              <w:pStyle w:val="Text"/>
              <w:spacing w:before="40" w:after="40" w:line="220" w:lineRule="exact"/>
              <w:ind w:left="113" w:right="57"/>
              <w:jc w:val="right"/>
              <w:rPr>
                <w:rFonts w:ascii="Times New Roman" w:hAnsi="Times New Roman"/>
                <w:sz w:val="18"/>
                <w:lang w:val="fr-FR"/>
              </w:rPr>
            </w:pPr>
            <w:r w:rsidRPr="003B3C44">
              <w:rPr>
                <w:rFonts w:ascii="Times New Roman" w:hAnsi="Times New Roman"/>
                <w:sz w:val="18"/>
                <w:lang w:val="fr-FR"/>
              </w:rPr>
              <w:t>50</w:t>
            </w:r>
            <w:r w:rsidR="00866436" w:rsidRPr="003B3C44">
              <w:rPr>
                <w:rFonts w:ascii="Times New Roman" w:hAnsi="Times New Roman"/>
                <w:sz w:val="18"/>
                <w:lang w:val="fr-FR"/>
              </w:rPr>
              <w:t xml:space="preserve"> </w:t>
            </w:r>
            <w:r w:rsidRPr="003B3C44">
              <w:rPr>
                <w:rFonts w:ascii="Times New Roman" w:hAnsi="Times New Roman"/>
                <w:sz w:val="18"/>
                <w:lang w:val="fr-FR"/>
              </w:rPr>
              <w:t>369</w:t>
            </w:r>
          </w:p>
        </w:tc>
      </w:tr>
      <w:tr w:rsidR="000B562B" w:rsidRPr="002943CE" w:rsidTr="00532DD5">
        <w:tblPrEx>
          <w:tblCellMar>
            <w:top w:w="0" w:type="dxa"/>
            <w:bottom w:w="0" w:type="dxa"/>
          </w:tblCellMar>
        </w:tblPrEx>
        <w:trPr>
          <w:cantSplit/>
          <w:trHeight w:val="240"/>
        </w:trPr>
        <w:tc>
          <w:tcPr>
            <w:tcW w:w="3246" w:type="dxa"/>
            <w:shd w:val="clear" w:color="auto" w:fill="auto"/>
          </w:tcPr>
          <w:p w:rsidR="000B562B" w:rsidRPr="003B3C44" w:rsidRDefault="00866436" w:rsidP="00866436">
            <w:pPr>
              <w:pStyle w:val="Text"/>
              <w:spacing w:before="40" w:after="40" w:line="220" w:lineRule="exact"/>
              <w:rPr>
                <w:rFonts w:ascii="Times New Roman" w:hAnsi="Times New Roman"/>
                <w:sz w:val="18"/>
                <w:lang w:val="fr-FR"/>
              </w:rPr>
            </w:pPr>
            <w:r w:rsidRPr="003B3C44">
              <w:rPr>
                <w:rFonts w:ascii="Times New Roman" w:hAnsi="Times New Roman"/>
                <w:sz w:val="18"/>
                <w:lang w:val="fr-FR"/>
              </w:rPr>
              <w:t>Plaintes fondées (</w:t>
            </w:r>
            <w:r w:rsidR="000B562B" w:rsidRPr="003B3C44">
              <w:rPr>
                <w:rFonts w:ascii="Times New Roman" w:hAnsi="Times New Roman"/>
                <w:sz w:val="18"/>
                <w:lang w:val="fr-FR"/>
              </w:rPr>
              <w:t>%</w:t>
            </w:r>
            <w:r w:rsidRPr="003B3C44">
              <w:rPr>
                <w:rFonts w:ascii="Times New Roman" w:hAnsi="Times New Roman"/>
                <w:sz w:val="18"/>
                <w:lang w:val="fr-FR"/>
              </w:rPr>
              <w:t>)</w:t>
            </w:r>
            <w:r w:rsidR="000B562B" w:rsidRPr="003B3C44">
              <w:rPr>
                <w:rFonts w:ascii="Times New Roman" w:hAnsi="Times New Roman"/>
                <w:sz w:val="18"/>
                <w:lang w:val="fr-FR"/>
              </w:rPr>
              <w:t xml:space="preserve"> </w:t>
            </w:r>
          </w:p>
        </w:tc>
        <w:tc>
          <w:tcPr>
            <w:tcW w:w="992" w:type="dxa"/>
            <w:shd w:val="clear" w:color="auto" w:fill="auto"/>
            <w:vAlign w:val="bottom"/>
          </w:tcPr>
          <w:p w:rsidR="000B562B" w:rsidRPr="003B3C44" w:rsidRDefault="000B562B" w:rsidP="008E3816">
            <w:pPr>
              <w:pStyle w:val="Text"/>
              <w:spacing w:before="40" w:after="40" w:line="220" w:lineRule="exact"/>
              <w:ind w:left="113" w:right="57"/>
              <w:jc w:val="right"/>
              <w:rPr>
                <w:rFonts w:ascii="Times New Roman" w:hAnsi="Times New Roman"/>
                <w:sz w:val="18"/>
                <w:lang w:val="fr-FR"/>
              </w:rPr>
            </w:pPr>
            <w:r w:rsidRPr="003B3C44">
              <w:rPr>
                <w:rFonts w:ascii="Times New Roman" w:hAnsi="Times New Roman"/>
                <w:sz w:val="18"/>
                <w:lang w:val="fr-FR"/>
              </w:rPr>
              <w:t>13</w:t>
            </w:r>
          </w:p>
        </w:tc>
        <w:tc>
          <w:tcPr>
            <w:tcW w:w="992" w:type="dxa"/>
            <w:shd w:val="clear" w:color="auto" w:fill="auto"/>
            <w:vAlign w:val="bottom"/>
          </w:tcPr>
          <w:p w:rsidR="000B562B" w:rsidRPr="003B3C44" w:rsidRDefault="000B562B" w:rsidP="008E3816">
            <w:pPr>
              <w:pStyle w:val="Text"/>
              <w:spacing w:before="40" w:after="40" w:line="220" w:lineRule="exact"/>
              <w:ind w:left="113" w:right="57"/>
              <w:jc w:val="right"/>
              <w:rPr>
                <w:rFonts w:ascii="Times New Roman" w:hAnsi="Times New Roman"/>
                <w:sz w:val="18"/>
                <w:lang w:val="fr-FR"/>
              </w:rPr>
            </w:pPr>
            <w:r w:rsidRPr="003B3C44">
              <w:rPr>
                <w:rFonts w:ascii="Times New Roman" w:hAnsi="Times New Roman"/>
                <w:sz w:val="18"/>
                <w:lang w:val="fr-FR"/>
              </w:rPr>
              <w:t>12</w:t>
            </w:r>
          </w:p>
        </w:tc>
        <w:tc>
          <w:tcPr>
            <w:tcW w:w="992" w:type="dxa"/>
            <w:shd w:val="clear" w:color="auto" w:fill="auto"/>
            <w:vAlign w:val="bottom"/>
          </w:tcPr>
          <w:p w:rsidR="000B562B" w:rsidRPr="003B3C44" w:rsidRDefault="000B562B" w:rsidP="008E3816">
            <w:pPr>
              <w:pStyle w:val="Text"/>
              <w:spacing w:before="40" w:after="40" w:line="220" w:lineRule="exact"/>
              <w:ind w:left="113" w:right="57"/>
              <w:jc w:val="right"/>
              <w:rPr>
                <w:rFonts w:ascii="Times New Roman" w:hAnsi="Times New Roman"/>
                <w:sz w:val="18"/>
                <w:lang w:val="fr-FR"/>
              </w:rPr>
            </w:pPr>
            <w:r w:rsidRPr="003B3C44">
              <w:rPr>
                <w:rFonts w:ascii="Times New Roman" w:hAnsi="Times New Roman"/>
                <w:sz w:val="18"/>
                <w:lang w:val="fr-FR"/>
              </w:rPr>
              <w:t>11</w:t>
            </w:r>
          </w:p>
        </w:tc>
        <w:tc>
          <w:tcPr>
            <w:tcW w:w="992" w:type="dxa"/>
            <w:shd w:val="clear" w:color="auto" w:fill="auto"/>
            <w:vAlign w:val="bottom"/>
          </w:tcPr>
          <w:p w:rsidR="000B562B" w:rsidRPr="003B3C44" w:rsidRDefault="000B562B" w:rsidP="008E3816">
            <w:pPr>
              <w:pStyle w:val="Text"/>
              <w:spacing w:before="40" w:after="40" w:line="220" w:lineRule="exact"/>
              <w:ind w:left="113" w:right="57"/>
              <w:jc w:val="right"/>
              <w:rPr>
                <w:rFonts w:ascii="Times New Roman" w:hAnsi="Times New Roman"/>
                <w:sz w:val="18"/>
                <w:lang w:val="fr-FR"/>
              </w:rPr>
            </w:pPr>
            <w:r w:rsidRPr="003B3C44">
              <w:rPr>
                <w:rFonts w:ascii="Times New Roman" w:hAnsi="Times New Roman"/>
                <w:sz w:val="18"/>
                <w:lang w:val="fr-FR"/>
              </w:rPr>
              <w:t>11</w:t>
            </w:r>
          </w:p>
        </w:tc>
        <w:tc>
          <w:tcPr>
            <w:tcW w:w="992" w:type="dxa"/>
            <w:shd w:val="clear" w:color="auto" w:fill="auto"/>
            <w:vAlign w:val="bottom"/>
          </w:tcPr>
          <w:p w:rsidR="000B562B" w:rsidRPr="003B3C44" w:rsidRDefault="000B562B" w:rsidP="008E3816">
            <w:pPr>
              <w:pStyle w:val="Text"/>
              <w:spacing w:before="40" w:after="40" w:line="220" w:lineRule="exact"/>
              <w:ind w:left="113" w:right="57"/>
              <w:jc w:val="right"/>
              <w:rPr>
                <w:rFonts w:ascii="Times New Roman" w:hAnsi="Times New Roman"/>
                <w:sz w:val="18"/>
                <w:lang w:val="fr-FR"/>
              </w:rPr>
            </w:pPr>
            <w:r w:rsidRPr="003B3C44">
              <w:rPr>
                <w:rFonts w:ascii="Times New Roman" w:hAnsi="Times New Roman"/>
                <w:sz w:val="18"/>
                <w:lang w:val="fr-FR"/>
              </w:rPr>
              <w:t>10</w:t>
            </w:r>
          </w:p>
        </w:tc>
      </w:tr>
      <w:tr w:rsidR="000B562B" w:rsidRPr="002943CE" w:rsidTr="00532DD5">
        <w:tblPrEx>
          <w:tblCellMar>
            <w:top w:w="0" w:type="dxa"/>
            <w:bottom w:w="0" w:type="dxa"/>
          </w:tblCellMar>
        </w:tblPrEx>
        <w:trPr>
          <w:cantSplit/>
          <w:trHeight w:val="240"/>
        </w:trPr>
        <w:tc>
          <w:tcPr>
            <w:tcW w:w="3246" w:type="dxa"/>
            <w:shd w:val="clear" w:color="auto" w:fill="auto"/>
          </w:tcPr>
          <w:p w:rsidR="000B562B" w:rsidRPr="003B3C44" w:rsidRDefault="00866436" w:rsidP="00866436">
            <w:pPr>
              <w:pStyle w:val="Text"/>
              <w:spacing w:before="40" w:after="40" w:line="220" w:lineRule="exact"/>
              <w:rPr>
                <w:rFonts w:ascii="Times New Roman" w:hAnsi="Times New Roman"/>
                <w:sz w:val="18"/>
                <w:lang w:val="fr-FR"/>
              </w:rPr>
            </w:pPr>
            <w:r w:rsidRPr="003B3C44">
              <w:rPr>
                <w:rFonts w:ascii="Times New Roman" w:hAnsi="Times New Roman"/>
                <w:sz w:val="18"/>
                <w:lang w:val="fr-FR"/>
              </w:rPr>
              <w:t>Plaintes non fondées (</w:t>
            </w:r>
            <w:r w:rsidR="000B562B" w:rsidRPr="003B3C44">
              <w:rPr>
                <w:rFonts w:ascii="Times New Roman" w:hAnsi="Times New Roman"/>
                <w:sz w:val="18"/>
                <w:lang w:val="fr-FR"/>
              </w:rPr>
              <w:t>%</w:t>
            </w:r>
            <w:r w:rsidRPr="003B3C44">
              <w:rPr>
                <w:rFonts w:ascii="Times New Roman" w:hAnsi="Times New Roman"/>
                <w:sz w:val="18"/>
                <w:lang w:val="fr-FR"/>
              </w:rPr>
              <w:t>)</w:t>
            </w:r>
            <w:r w:rsidR="000B562B" w:rsidRPr="003B3C44">
              <w:rPr>
                <w:rFonts w:ascii="Times New Roman" w:hAnsi="Times New Roman"/>
                <w:sz w:val="18"/>
                <w:lang w:val="fr-FR"/>
              </w:rPr>
              <w:t xml:space="preserve"> </w:t>
            </w:r>
          </w:p>
        </w:tc>
        <w:tc>
          <w:tcPr>
            <w:tcW w:w="992" w:type="dxa"/>
            <w:shd w:val="clear" w:color="auto" w:fill="auto"/>
            <w:vAlign w:val="bottom"/>
          </w:tcPr>
          <w:p w:rsidR="000B562B" w:rsidRPr="003B3C44" w:rsidRDefault="000B562B" w:rsidP="008E3816">
            <w:pPr>
              <w:pStyle w:val="Text"/>
              <w:spacing w:before="40" w:after="40" w:line="220" w:lineRule="exact"/>
              <w:ind w:left="113" w:right="57"/>
              <w:jc w:val="right"/>
              <w:rPr>
                <w:rFonts w:ascii="Times New Roman" w:hAnsi="Times New Roman"/>
                <w:sz w:val="18"/>
                <w:lang w:val="fr-FR"/>
              </w:rPr>
            </w:pPr>
            <w:r w:rsidRPr="003B3C44">
              <w:rPr>
                <w:rFonts w:ascii="Times New Roman" w:hAnsi="Times New Roman"/>
                <w:sz w:val="18"/>
                <w:lang w:val="fr-FR"/>
              </w:rPr>
              <w:t>87</w:t>
            </w:r>
          </w:p>
        </w:tc>
        <w:tc>
          <w:tcPr>
            <w:tcW w:w="992" w:type="dxa"/>
            <w:shd w:val="clear" w:color="auto" w:fill="auto"/>
            <w:vAlign w:val="bottom"/>
          </w:tcPr>
          <w:p w:rsidR="000B562B" w:rsidRPr="003B3C44" w:rsidRDefault="000B562B" w:rsidP="008E3816">
            <w:pPr>
              <w:pStyle w:val="Text"/>
              <w:spacing w:before="40" w:after="40" w:line="220" w:lineRule="exact"/>
              <w:ind w:left="113" w:right="57"/>
              <w:jc w:val="right"/>
              <w:rPr>
                <w:rFonts w:ascii="Times New Roman" w:hAnsi="Times New Roman"/>
                <w:sz w:val="18"/>
                <w:lang w:val="fr-FR"/>
              </w:rPr>
            </w:pPr>
            <w:r w:rsidRPr="003B3C44">
              <w:rPr>
                <w:rFonts w:ascii="Times New Roman" w:hAnsi="Times New Roman"/>
                <w:sz w:val="18"/>
                <w:lang w:val="fr-FR"/>
              </w:rPr>
              <w:t>88</w:t>
            </w:r>
          </w:p>
        </w:tc>
        <w:tc>
          <w:tcPr>
            <w:tcW w:w="992" w:type="dxa"/>
            <w:shd w:val="clear" w:color="auto" w:fill="auto"/>
            <w:vAlign w:val="bottom"/>
          </w:tcPr>
          <w:p w:rsidR="000B562B" w:rsidRPr="003B3C44" w:rsidRDefault="000B562B" w:rsidP="008E3816">
            <w:pPr>
              <w:pStyle w:val="Text"/>
              <w:spacing w:before="40" w:after="40" w:line="220" w:lineRule="exact"/>
              <w:ind w:left="113" w:right="57"/>
              <w:jc w:val="right"/>
              <w:rPr>
                <w:rFonts w:ascii="Times New Roman" w:hAnsi="Times New Roman"/>
                <w:sz w:val="18"/>
                <w:lang w:val="fr-FR"/>
              </w:rPr>
            </w:pPr>
            <w:r w:rsidRPr="003B3C44">
              <w:rPr>
                <w:rFonts w:ascii="Times New Roman" w:hAnsi="Times New Roman"/>
                <w:sz w:val="18"/>
                <w:lang w:val="fr-FR"/>
              </w:rPr>
              <w:t>89</w:t>
            </w:r>
          </w:p>
        </w:tc>
        <w:tc>
          <w:tcPr>
            <w:tcW w:w="992" w:type="dxa"/>
            <w:shd w:val="clear" w:color="auto" w:fill="auto"/>
            <w:vAlign w:val="bottom"/>
          </w:tcPr>
          <w:p w:rsidR="000B562B" w:rsidRPr="003B3C44" w:rsidRDefault="000B562B" w:rsidP="008E3816">
            <w:pPr>
              <w:pStyle w:val="Text"/>
              <w:spacing w:before="40" w:after="40" w:line="220" w:lineRule="exact"/>
              <w:ind w:left="113" w:right="57"/>
              <w:jc w:val="right"/>
              <w:rPr>
                <w:rFonts w:ascii="Times New Roman" w:hAnsi="Times New Roman"/>
                <w:sz w:val="18"/>
                <w:lang w:val="fr-FR"/>
              </w:rPr>
            </w:pPr>
            <w:r w:rsidRPr="003B3C44">
              <w:rPr>
                <w:rFonts w:ascii="Times New Roman" w:hAnsi="Times New Roman"/>
                <w:sz w:val="18"/>
                <w:lang w:val="fr-FR"/>
              </w:rPr>
              <w:t>89</w:t>
            </w:r>
          </w:p>
        </w:tc>
        <w:tc>
          <w:tcPr>
            <w:tcW w:w="992" w:type="dxa"/>
            <w:shd w:val="clear" w:color="auto" w:fill="auto"/>
            <w:vAlign w:val="bottom"/>
          </w:tcPr>
          <w:p w:rsidR="000B562B" w:rsidRPr="003B3C44" w:rsidRDefault="000B562B" w:rsidP="008E3816">
            <w:pPr>
              <w:pStyle w:val="Text"/>
              <w:spacing w:before="40" w:after="40" w:line="220" w:lineRule="exact"/>
              <w:ind w:left="113" w:right="57"/>
              <w:jc w:val="right"/>
              <w:rPr>
                <w:rFonts w:ascii="Times New Roman" w:hAnsi="Times New Roman"/>
                <w:sz w:val="18"/>
                <w:lang w:val="fr-FR"/>
              </w:rPr>
            </w:pPr>
            <w:r w:rsidRPr="003B3C44">
              <w:rPr>
                <w:rFonts w:ascii="Times New Roman" w:hAnsi="Times New Roman"/>
                <w:sz w:val="18"/>
                <w:lang w:val="fr-FR"/>
              </w:rPr>
              <w:t>90</w:t>
            </w:r>
          </w:p>
        </w:tc>
      </w:tr>
      <w:tr w:rsidR="000B562B" w:rsidRPr="003B3C44" w:rsidTr="00532DD5">
        <w:tblPrEx>
          <w:tblCellMar>
            <w:top w:w="0" w:type="dxa"/>
            <w:bottom w:w="0" w:type="dxa"/>
          </w:tblCellMar>
        </w:tblPrEx>
        <w:trPr>
          <w:cantSplit/>
          <w:trHeight w:val="240"/>
        </w:trPr>
        <w:tc>
          <w:tcPr>
            <w:tcW w:w="3246" w:type="dxa"/>
            <w:shd w:val="clear" w:color="auto" w:fill="auto"/>
          </w:tcPr>
          <w:p w:rsidR="000B562B" w:rsidRPr="003B3C44" w:rsidRDefault="00866436" w:rsidP="00866436">
            <w:pPr>
              <w:pStyle w:val="Text"/>
              <w:spacing w:before="40" w:after="40" w:line="220" w:lineRule="exact"/>
              <w:rPr>
                <w:rFonts w:ascii="Times New Roman" w:hAnsi="Times New Roman"/>
                <w:sz w:val="18"/>
                <w:lang w:val="fr-FR"/>
              </w:rPr>
            </w:pPr>
            <w:r w:rsidRPr="003B3C44">
              <w:rPr>
                <w:rFonts w:ascii="Times New Roman" w:hAnsi="Times New Roman"/>
                <w:sz w:val="18"/>
                <w:lang w:val="fr-FR"/>
              </w:rPr>
              <w:t xml:space="preserve">Plaintes </w:t>
            </w:r>
            <w:r w:rsidR="002943CE" w:rsidRPr="003B3C44">
              <w:rPr>
                <w:rFonts w:ascii="Times New Roman" w:hAnsi="Times New Roman"/>
                <w:sz w:val="18"/>
                <w:lang w:val="fr-FR"/>
              </w:rPr>
              <w:t>retirées (</w:t>
            </w:r>
            <w:r w:rsidR="000B562B" w:rsidRPr="003B3C44">
              <w:rPr>
                <w:rFonts w:ascii="Times New Roman" w:hAnsi="Times New Roman"/>
                <w:sz w:val="18"/>
                <w:lang w:val="fr-FR"/>
              </w:rPr>
              <w:t>%</w:t>
            </w:r>
            <w:r w:rsidR="002943CE" w:rsidRPr="003B3C44">
              <w:rPr>
                <w:rFonts w:ascii="Times New Roman" w:hAnsi="Times New Roman"/>
                <w:sz w:val="18"/>
                <w:lang w:val="fr-FR"/>
              </w:rPr>
              <w:t>)</w:t>
            </w:r>
            <w:r w:rsidR="000B562B" w:rsidRPr="003B3C44">
              <w:rPr>
                <w:rFonts w:ascii="Times New Roman" w:hAnsi="Times New Roman"/>
                <w:sz w:val="18"/>
                <w:lang w:val="fr-FR"/>
              </w:rPr>
              <w:t xml:space="preserve"> </w:t>
            </w:r>
          </w:p>
        </w:tc>
        <w:tc>
          <w:tcPr>
            <w:tcW w:w="992" w:type="dxa"/>
            <w:shd w:val="clear" w:color="auto" w:fill="auto"/>
            <w:vAlign w:val="bottom"/>
          </w:tcPr>
          <w:p w:rsidR="000B562B" w:rsidRPr="003B3C44" w:rsidRDefault="000B562B" w:rsidP="008E3816">
            <w:pPr>
              <w:pStyle w:val="Text"/>
              <w:spacing w:before="40" w:after="40" w:line="220" w:lineRule="exact"/>
              <w:ind w:left="113" w:right="57"/>
              <w:jc w:val="right"/>
              <w:rPr>
                <w:rFonts w:ascii="Times New Roman" w:hAnsi="Times New Roman"/>
                <w:sz w:val="18"/>
                <w:lang w:val="fr-FR"/>
              </w:rPr>
            </w:pPr>
            <w:r w:rsidRPr="003B3C44">
              <w:rPr>
                <w:rFonts w:ascii="Times New Roman" w:hAnsi="Times New Roman"/>
                <w:sz w:val="18"/>
                <w:lang w:val="fr-FR"/>
              </w:rPr>
              <w:t>13</w:t>
            </w:r>
          </w:p>
        </w:tc>
        <w:tc>
          <w:tcPr>
            <w:tcW w:w="992" w:type="dxa"/>
            <w:shd w:val="clear" w:color="auto" w:fill="auto"/>
            <w:vAlign w:val="bottom"/>
          </w:tcPr>
          <w:p w:rsidR="000B562B" w:rsidRPr="003B3C44" w:rsidRDefault="000B562B" w:rsidP="008E3816">
            <w:pPr>
              <w:pStyle w:val="Text"/>
              <w:spacing w:before="40" w:after="40" w:line="220" w:lineRule="exact"/>
              <w:ind w:left="113" w:right="57"/>
              <w:jc w:val="right"/>
              <w:rPr>
                <w:rFonts w:ascii="Times New Roman" w:hAnsi="Times New Roman"/>
                <w:sz w:val="18"/>
                <w:lang w:val="fr-FR"/>
              </w:rPr>
            </w:pPr>
            <w:r w:rsidRPr="003B3C44">
              <w:rPr>
                <w:rFonts w:ascii="Times New Roman" w:hAnsi="Times New Roman"/>
                <w:sz w:val="18"/>
                <w:lang w:val="fr-FR"/>
              </w:rPr>
              <w:t>12</w:t>
            </w:r>
          </w:p>
        </w:tc>
        <w:tc>
          <w:tcPr>
            <w:tcW w:w="992" w:type="dxa"/>
            <w:shd w:val="clear" w:color="auto" w:fill="auto"/>
            <w:vAlign w:val="bottom"/>
          </w:tcPr>
          <w:p w:rsidR="000B562B" w:rsidRPr="003B3C44" w:rsidRDefault="000B562B" w:rsidP="008E3816">
            <w:pPr>
              <w:pStyle w:val="Text"/>
              <w:spacing w:before="40" w:after="40" w:line="220" w:lineRule="exact"/>
              <w:ind w:left="113" w:right="57"/>
              <w:jc w:val="right"/>
              <w:rPr>
                <w:rFonts w:ascii="Times New Roman" w:hAnsi="Times New Roman"/>
                <w:sz w:val="18"/>
                <w:lang w:val="fr-FR"/>
              </w:rPr>
            </w:pPr>
            <w:r w:rsidRPr="003B3C44">
              <w:rPr>
                <w:rFonts w:ascii="Times New Roman" w:hAnsi="Times New Roman"/>
                <w:sz w:val="18"/>
                <w:lang w:val="fr-FR"/>
              </w:rPr>
              <w:t>12</w:t>
            </w:r>
          </w:p>
        </w:tc>
        <w:tc>
          <w:tcPr>
            <w:tcW w:w="992" w:type="dxa"/>
            <w:shd w:val="clear" w:color="auto" w:fill="auto"/>
            <w:vAlign w:val="bottom"/>
          </w:tcPr>
          <w:p w:rsidR="000B562B" w:rsidRPr="003B3C44" w:rsidRDefault="000B562B" w:rsidP="008E3816">
            <w:pPr>
              <w:pStyle w:val="Text"/>
              <w:spacing w:before="40" w:after="40" w:line="220" w:lineRule="exact"/>
              <w:ind w:left="113" w:right="57"/>
              <w:jc w:val="right"/>
              <w:rPr>
                <w:rFonts w:ascii="Times New Roman" w:hAnsi="Times New Roman"/>
                <w:sz w:val="18"/>
                <w:lang w:val="fr-FR"/>
              </w:rPr>
            </w:pPr>
            <w:r w:rsidRPr="003B3C44">
              <w:rPr>
                <w:rFonts w:ascii="Times New Roman" w:hAnsi="Times New Roman"/>
                <w:sz w:val="18"/>
                <w:lang w:val="fr-FR"/>
              </w:rPr>
              <w:t>11</w:t>
            </w:r>
          </w:p>
        </w:tc>
        <w:tc>
          <w:tcPr>
            <w:tcW w:w="992" w:type="dxa"/>
            <w:shd w:val="clear" w:color="auto" w:fill="auto"/>
            <w:vAlign w:val="bottom"/>
          </w:tcPr>
          <w:p w:rsidR="000B562B" w:rsidRPr="003B3C44" w:rsidRDefault="000B562B" w:rsidP="008E3816">
            <w:pPr>
              <w:pStyle w:val="Text"/>
              <w:spacing w:before="40" w:after="40" w:line="220" w:lineRule="exact"/>
              <w:ind w:left="113" w:right="57"/>
              <w:jc w:val="right"/>
              <w:rPr>
                <w:rFonts w:ascii="Times New Roman" w:hAnsi="Times New Roman"/>
                <w:sz w:val="18"/>
                <w:lang w:val="fr-FR"/>
              </w:rPr>
            </w:pPr>
            <w:r w:rsidRPr="003B3C44">
              <w:rPr>
                <w:rFonts w:ascii="Times New Roman" w:hAnsi="Times New Roman"/>
                <w:sz w:val="18"/>
                <w:lang w:val="fr-FR"/>
              </w:rPr>
              <w:t>12</w:t>
            </w:r>
          </w:p>
        </w:tc>
      </w:tr>
      <w:tr w:rsidR="000B562B" w:rsidRPr="003B3C44" w:rsidTr="00532DD5">
        <w:tblPrEx>
          <w:tblCellMar>
            <w:top w:w="0" w:type="dxa"/>
            <w:bottom w:w="0" w:type="dxa"/>
          </w:tblCellMar>
        </w:tblPrEx>
        <w:trPr>
          <w:cantSplit/>
          <w:trHeight w:val="240"/>
        </w:trPr>
        <w:tc>
          <w:tcPr>
            <w:tcW w:w="3246" w:type="dxa"/>
            <w:shd w:val="clear" w:color="auto" w:fill="auto"/>
          </w:tcPr>
          <w:p w:rsidR="000B562B" w:rsidRPr="003B3C44" w:rsidRDefault="002943CE" w:rsidP="00B679A8">
            <w:pPr>
              <w:pStyle w:val="Text"/>
              <w:spacing w:before="40" w:after="40" w:line="220" w:lineRule="exact"/>
              <w:rPr>
                <w:rFonts w:ascii="Times New Roman" w:hAnsi="Times New Roman"/>
                <w:sz w:val="18"/>
                <w:lang w:val="fr-FR"/>
              </w:rPr>
            </w:pPr>
            <w:r w:rsidRPr="003B3C44">
              <w:rPr>
                <w:rFonts w:ascii="Times New Roman" w:hAnsi="Times New Roman"/>
                <w:sz w:val="18"/>
                <w:lang w:val="fr-FR"/>
              </w:rPr>
              <w:t>Plaintes ré</w:t>
            </w:r>
            <w:r w:rsidR="00B679A8">
              <w:rPr>
                <w:rFonts w:ascii="Times New Roman" w:hAnsi="Times New Roman"/>
                <w:sz w:val="18"/>
                <w:lang w:val="fr-FR"/>
              </w:rPr>
              <w:t>glé</w:t>
            </w:r>
            <w:r w:rsidRPr="003B3C44">
              <w:rPr>
                <w:rFonts w:ascii="Times New Roman" w:hAnsi="Times New Roman"/>
                <w:sz w:val="18"/>
                <w:lang w:val="fr-FR"/>
              </w:rPr>
              <w:t>es localement (</w:t>
            </w:r>
            <w:r w:rsidR="000B562B" w:rsidRPr="003B3C44">
              <w:rPr>
                <w:rFonts w:ascii="Times New Roman" w:hAnsi="Times New Roman"/>
                <w:sz w:val="18"/>
                <w:lang w:val="fr-FR"/>
              </w:rPr>
              <w:t>%</w:t>
            </w:r>
            <w:r w:rsidRPr="003B3C44">
              <w:rPr>
                <w:rFonts w:ascii="Times New Roman" w:hAnsi="Times New Roman"/>
                <w:sz w:val="18"/>
                <w:lang w:val="fr-FR"/>
              </w:rPr>
              <w:t>)</w:t>
            </w:r>
            <w:r w:rsidR="000B562B" w:rsidRPr="003B3C44">
              <w:rPr>
                <w:rFonts w:ascii="Times New Roman" w:hAnsi="Times New Roman"/>
                <w:sz w:val="18"/>
                <w:lang w:val="fr-FR"/>
              </w:rPr>
              <w:t xml:space="preserve"> </w:t>
            </w:r>
          </w:p>
        </w:tc>
        <w:tc>
          <w:tcPr>
            <w:tcW w:w="992" w:type="dxa"/>
            <w:shd w:val="clear" w:color="auto" w:fill="auto"/>
            <w:vAlign w:val="bottom"/>
          </w:tcPr>
          <w:p w:rsidR="000B562B" w:rsidRPr="003B3C44" w:rsidRDefault="000B562B" w:rsidP="008E3816">
            <w:pPr>
              <w:pStyle w:val="Text"/>
              <w:spacing w:before="40" w:after="40" w:line="220" w:lineRule="exact"/>
              <w:ind w:left="113" w:right="57"/>
              <w:jc w:val="right"/>
              <w:rPr>
                <w:rFonts w:ascii="Times New Roman" w:hAnsi="Times New Roman"/>
                <w:sz w:val="18"/>
                <w:lang w:val="fr-FR"/>
              </w:rPr>
            </w:pPr>
            <w:r w:rsidRPr="003B3C44">
              <w:rPr>
                <w:rFonts w:ascii="Times New Roman" w:hAnsi="Times New Roman"/>
                <w:sz w:val="18"/>
                <w:lang w:val="fr-FR"/>
              </w:rPr>
              <w:t>50</w:t>
            </w:r>
          </w:p>
        </w:tc>
        <w:tc>
          <w:tcPr>
            <w:tcW w:w="992" w:type="dxa"/>
            <w:shd w:val="clear" w:color="auto" w:fill="auto"/>
            <w:vAlign w:val="bottom"/>
          </w:tcPr>
          <w:p w:rsidR="000B562B" w:rsidRPr="003B3C44" w:rsidRDefault="000B562B" w:rsidP="008E3816">
            <w:pPr>
              <w:pStyle w:val="Text"/>
              <w:spacing w:before="40" w:after="40" w:line="220" w:lineRule="exact"/>
              <w:ind w:left="113" w:right="57"/>
              <w:jc w:val="right"/>
              <w:rPr>
                <w:rFonts w:ascii="Times New Roman" w:hAnsi="Times New Roman"/>
                <w:sz w:val="18"/>
                <w:lang w:val="fr-FR"/>
              </w:rPr>
            </w:pPr>
            <w:r w:rsidRPr="003B3C44">
              <w:rPr>
                <w:rFonts w:ascii="Times New Roman" w:hAnsi="Times New Roman"/>
                <w:sz w:val="18"/>
                <w:lang w:val="fr-FR"/>
              </w:rPr>
              <w:t>46</w:t>
            </w:r>
          </w:p>
        </w:tc>
        <w:tc>
          <w:tcPr>
            <w:tcW w:w="992" w:type="dxa"/>
            <w:shd w:val="clear" w:color="auto" w:fill="auto"/>
            <w:vAlign w:val="bottom"/>
          </w:tcPr>
          <w:p w:rsidR="000B562B" w:rsidRPr="003B3C44" w:rsidRDefault="000B562B" w:rsidP="008E3816">
            <w:pPr>
              <w:pStyle w:val="Text"/>
              <w:spacing w:before="40" w:after="40" w:line="220" w:lineRule="exact"/>
              <w:ind w:left="113" w:right="57"/>
              <w:jc w:val="right"/>
              <w:rPr>
                <w:rFonts w:ascii="Times New Roman" w:hAnsi="Times New Roman"/>
                <w:sz w:val="18"/>
                <w:lang w:val="fr-FR"/>
              </w:rPr>
            </w:pPr>
            <w:r w:rsidRPr="003B3C44">
              <w:rPr>
                <w:rFonts w:ascii="Times New Roman" w:hAnsi="Times New Roman"/>
                <w:sz w:val="18"/>
                <w:lang w:val="fr-FR"/>
              </w:rPr>
              <w:t>47</w:t>
            </w:r>
          </w:p>
        </w:tc>
        <w:tc>
          <w:tcPr>
            <w:tcW w:w="992" w:type="dxa"/>
            <w:shd w:val="clear" w:color="auto" w:fill="auto"/>
            <w:vAlign w:val="bottom"/>
          </w:tcPr>
          <w:p w:rsidR="000B562B" w:rsidRPr="003B3C44" w:rsidRDefault="000B562B" w:rsidP="008E3816">
            <w:pPr>
              <w:pStyle w:val="Text"/>
              <w:spacing w:before="40" w:after="40" w:line="220" w:lineRule="exact"/>
              <w:ind w:left="113" w:right="57"/>
              <w:jc w:val="right"/>
              <w:rPr>
                <w:rFonts w:ascii="Times New Roman" w:hAnsi="Times New Roman"/>
                <w:sz w:val="18"/>
                <w:lang w:val="fr-FR"/>
              </w:rPr>
            </w:pPr>
            <w:r w:rsidRPr="003B3C44">
              <w:rPr>
                <w:rFonts w:ascii="Times New Roman" w:hAnsi="Times New Roman"/>
                <w:sz w:val="18"/>
                <w:lang w:val="fr-FR"/>
              </w:rPr>
              <w:t>43</w:t>
            </w:r>
          </w:p>
        </w:tc>
        <w:tc>
          <w:tcPr>
            <w:tcW w:w="992" w:type="dxa"/>
            <w:shd w:val="clear" w:color="auto" w:fill="auto"/>
            <w:vAlign w:val="bottom"/>
          </w:tcPr>
          <w:p w:rsidR="000B562B" w:rsidRPr="003B3C44" w:rsidRDefault="000B562B" w:rsidP="008E3816">
            <w:pPr>
              <w:pStyle w:val="Text"/>
              <w:spacing w:before="40" w:after="40" w:line="220" w:lineRule="exact"/>
              <w:ind w:left="113" w:right="57"/>
              <w:jc w:val="right"/>
              <w:rPr>
                <w:rFonts w:ascii="Times New Roman" w:hAnsi="Times New Roman"/>
                <w:sz w:val="18"/>
                <w:lang w:val="fr-FR"/>
              </w:rPr>
            </w:pPr>
            <w:r w:rsidRPr="003B3C44">
              <w:rPr>
                <w:rFonts w:ascii="Times New Roman" w:hAnsi="Times New Roman"/>
                <w:sz w:val="18"/>
                <w:lang w:val="fr-FR"/>
              </w:rPr>
              <w:t>41</w:t>
            </w:r>
          </w:p>
        </w:tc>
      </w:tr>
      <w:tr w:rsidR="000B562B" w:rsidRPr="003B3C44" w:rsidTr="00532DD5">
        <w:tblPrEx>
          <w:tblCellMar>
            <w:top w:w="0" w:type="dxa"/>
            <w:bottom w:w="0" w:type="dxa"/>
          </w:tblCellMar>
        </w:tblPrEx>
        <w:trPr>
          <w:cantSplit/>
          <w:trHeight w:val="240"/>
        </w:trPr>
        <w:tc>
          <w:tcPr>
            <w:tcW w:w="3246" w:type="dxa"/>
            <w:shd w:val="clear" w:color="auto" w:fill="auto"/>
          </w:tcPr>
          <w:p w:rsidR="000B562B" w:rsidRPr="003B3C44" w:rsidRDefault="002943CE" w:rsidP="002943CE">
            <w:pPr>
              <w:pStyle w:val="Text"/>
              <w:spacing w:before="40" w:after="40" w:line="220" w:lineRule="exact"/>
              <w:rPr>
                <w:rFonts w:ascii="Times New Roman" w:hAnsi="Times New Roman"/>
                <w:sz w:val="18"/>
                <w:lang w:val="fr-FR"/>
              </w:rPr>
            </w:pPr>
            <w:r w:rsidRPr="003B3C44">
              <w:rPr>
                <w:rFonts w:ascii="Times New Roman" w:hAnsi="Times New Roman"/>
                <w:sz w:val="18"/>
                <w:lang w:val="fr-FR"/>
              </w:rPr>
              <w:t>Plaintes rejetées (</w:t>
            </w:r>
            <w:r w:rsidR="000B562B" w:rsidRPr="003B3C44">
              <w:rPr>
                <w:rFonts w:ascii="Times New Roman" w:hAnsi="Times New Roman"/>
                <w:sz w:val="18"/>
                <w:lang w:val="fr-FR"/>
              </w:rPr>
              <w:t>%</w:t>
            </w:r>
            <w:r w:rsidRPr="003B3C44">
              <w:rPr>
                <w:rFonts w:ascii="Times New Roman" w:hAnsi="Times New Roman"/>
                <w:sz w:val="18"/>
                <w:lang w:val="fr-FR"/>
              </w:rPr>
              <w:t>)</w:t>
            </w:r>
            <w:r w:rsidR="000B562B" w:rsidRPr="003B3C44">
              <w:rPr>
                <w:rFonts w:ascii="Times New Roman" w:hAnsi="Times New Roman"/>
                <w:sz w:val="18"/>
                <w:lang w:val="fr-FR"/>
              </w:rPr>
              <w:t xml:space="preserve"> </w:t>
            </w:r>
          </w:p>
        </w:tc>
        <w:tc>
          <w:tcPr>
            <w:tcW w:w="992" w:type="dxa"/>
            <w:shd w:val="clear" w:color="auto" w:fill="auto"/>
            <w:vAlign w:val="bottom"/>
          </w:tcPr>
          <w:p w:rsidR="000B562B" w:rsidRPr="003B3C44" w:rsidRDefault="000B562B" w:rsidP="008E3816">
            <w:pPr>
              <w:pStyle w:val="Text"/>
              <w:spacing w:before="40" w:after="40" w:line="220" w:lineRule="exact"/>
              <w:ind w:left="113" w:right="57"/>
              <w:jc w:val="right"/>
              <w:rPr>
                <w:rFonts w:ascii="Times New Roman" w:hAnsi="Times New Roman"/>
                <w:sz w:val="18"/>
                <w:lang w:val="fr-FR"/>
              </w:rPr>
            </w:pPr>
            <w:r w:rsidRPr="003B3C44">
              <w:rPr>
                <w:rFonts w:ascii="Times New Roman" w:hAnsi="Times New Roman"/>
                <w:sz w:val="18"/>
                <w:lang w:val="fr-FR"/>
              </w:rPr>
              <w:t>17</w:t>
            </w:r>
          </w:p>
        </w:tc>
        <w:tc>
          <w:tcPr>
            <w:tcW w:w="992" w:type="dxa"/>
            <w:shd w:val="clear" w:color="auto" w:fill="auto"/>
            <w:vAlign w:val="bottom"/>
          </w:tcPr>
          <w:p w:rsidR="000B562B" w:rsidRPr="003B3C44" w:rsidRDefault="000B562B" w:rsidP="008E3816">
            <w:pPr>
              <w:pStyle w:val="Text"/>
              <w:spacing w:before="40" w:after="40" w:line="220" w:lineRule="exact"/>
              <w:ind w:left="113" w:right="57"/>
              <w:jc w:val="right"/>
              <w:rPr>
                <w:rFonts w:ascii="Times New Roman" w:hAnsi="Times New Roman"/>
                <w:sz w:val="18"/>
                <w:lang w:val="fr-FR"/>
              </w:rPr>
            </w:pPr>
            <w:r w:rsidRPr="003B3C44">
              <w:rPr>
                <w:rFonts w:ascii="Times New Roman" w:hAnsi="Times New Roman"/>
                <w:sz w:val="18"/>
                <w:lang w:val="fr-FR"/>
              </w:rPr>
              <w:t>14</w:t>
            </w:r>
          </w:p>
        </w:tc>
        <w:tc>
          <w:tcPr>
            <w:tcW w:w="992" w:type="dxa"/>
            <w:shd w:val="clear" w:color="auto" w:fill="auto"/>
            <w:vAlign w:val="bottom"/>
          </w:tcPr>
          <w:p w:rsidR="000B562B" w:rsidRPr="003B3C44" w:rsidRDefault="000B562B" w:rsidP="008E3816">
            <w:pPr>
              <w:pStyle w:val="Text"/>
              <w:spacing w:before="40" w:after="40" w:line="220" w:lineRule="exact"/>
              <w:ind w:left="113" w:right="57"/>
              <w:jc w:val="right"/>
              <w:rPr>
                <w:rFonts w:ascii="Times New Roman" w:hAnsi="Times New Roman"/>
                <w:sz w:val="18"/>
                <w:lang w:val="fr-FR"/>
              </w:rPr>
            </w:pPr>
            <w:r w:rsidRPr="003B3C44">
              <w:rPr>
                <w:rFonts w:ascii="Times New Roman" w:hAnsi="Times New Roman"/>
                <w:sz w:val="18"/>
                <w:lang w:val="fr-FR"/>
              </w:rPr>
              <w:t>10</w:t>
            </w:r>
          </w:p>
        </w:tc>
        <w:tc>
          <w:tcPr>
            <w:tcW w:w="992" w:type="dxa"/>
            <w:shd w:val="clear" w:color="auto" w:fill="auto"/>
            <w:vAlign w:val="bottom"/>
          </w:tcPr>
          <w:p w:rsidR="000B562B" w:rsidRPr="003B3C44" w:rsidRDefault="000B562B" w:rsidP="008E3816">
            <w:pPr>
              <w:pStyle w:val="Text"/>
              <w:spacing w:before="40" w:after="40" w:line="220" w:lineRule="exact"/>
              <w:ind w:left="113" w:right="57"/>
              <w:jc w:val="right"/>
              <w:rPr>
                <w:rFonts w:ascii="Times New Roman" w:hAnsi="Times New Roman"/>
                <w:sz w:val="18"/>
                <w:lang w:val="fr-FR"/>
              </w:rPr>
            </w:pPr>
            <w:r w:rsidRPr="003B3C44">
              <w:rPr>
                <w:rFonts w:ascii="Times New Roman" w:hAnsi="Times New Roman"/>
                <w:sz w:val="18"/>
                <w:lang w:val="fr-FR"/>
              </w:rPr>
              <w:t>11</w:t>
            </w:r>
          </w:p>
        </w:tc>
        <w:tc>
          <w:tcPr>
            <w:tcW w:w="992" w:type="dxa"/>
            <w:shd w:val="clear" w:color="auto" w:fill="auto"/>
            <w:vAlign w:val="bottom"/>
          </w:tcPr>
          <w:p w:rsidR="000B562B" w:rsidRPr="003B3C44" w:rsidRDefault="000B562B" w:rsidP="008E3816">
            <w:pPr>
              <w:pStyle w:val="Text"/>
              <w:spacing w:before="40" w:after="40" w:line="220" w:lineRule="exact"/>
              <w:ind w:left="113" w:right="57"/>
              <w:jc w:val="right"/>
              <w:rPr>
                <w:rFonts w:ascii="Times New Roman" w:hAnsi="Times New Roman"/>
                <w:sz w:val="18"/>
                <w:lang w:val="fr-FR"/>
              </w:rPr>
            </w:pPr>
            <w:r w:rsidRPr="003B3C44">
              <w:rPr>
                <w:rFonts w:ascii="Times New Roman" w:hAnsi="Times New Roman"/>
                <w:sz w:val="18"/>
                <w:lang w:val="fr-FR"/>
              </w:rPr>
              <w:t>10</w:t>
            </w:r>
          </w:p>
        </w:tc>
      </w:tr>
      <w:tr w:rsidR="000B562B" w:rsidRPr="003B3C44" w:rsidTr="00532DD5">
        <w:tblPrEx>
          <w:tblCellMar>
            <w:top w:w="0" w:type="dxa"/>
            <w:bottom w:w="0" w:type="dxa"/>
          </w:tblCellMar>
        </w:tblPrEx>
        <w:trPr>
          <w:cantSplit/>
          <w:trHeight w:val="240"/>
        </w:trPr>
        <w:tc>
          <w:tcPr>
            <w:tcW w:w="3246" w:type="dxa"/>
            <w:tcBorders>
              <w:bottom w:val="single" w:sz="12" w:space="0" w:color="auto"/>
            </w:tcBorders>
            <w:shd w:val="clear" w:color="auto" w:fill="auto"/>
          </w:tcPr>
          <w:p w:rsidR="000B562B" w:rsidRPr="003B3C44" w:rsidRDefault="002943CE" w:rsidP="002943CE">
            <w:pPr>
              <w:pStyle w:val="Text"/>
              <w:spacing w:before="40" w:after="40" w:line="220" w:lineRule="exact"/>
              <w:rPr>
                <w:rFonts w:ascii="Times New Roman" w:hAnsi="Times New Roman"/>
                <w:sz w:val="18"/>
                <w:lang w:val="fr-FR"/>
              </w:rPr>
            </w:pPr>
            <w:r w:rsidRPr="003B3C44">
              <w:rPr>
                <w:rFonts w:ascii="Times New Roman" w:hAnsi="Times New Roman"/>
                <w:sz w:val="18"/>
                <w:lang w:val="fr-FR"/>
              </w:rPr>
              <w:t>Classement sans suite (</w:t>
            </w:r>
            <w:r w:rsidR="000B562B" w:rsidRPr="003B3C44">
              <w:rPr>
                <w:rFonts w:ascii="Times New Roman" w:hAnsi="Times New Roman"/>
                <w:sz w:val="18"/>
                <w:lang w:val="fr-FR"/>
              </w:rPr>
              <w:t>%</w:t>
            </w:r>
            <w:r w:rsidRPr="003B3C44">
              <w:rPr>
                <w:rFonts w:ascii="Times New Roman" w:hAnsi="Times New Roman"/>
                <w:sz w:val="18"/>
                <w:lang w:val="fr-FR"/>
              </w:rPr>
              <w:t>)</w:t>
            </w:r>
            <w:r w:rsidR="000B562B" w:rsidRPr="003B3C44">
              <w:rPr>
                <w:rFonts w:ascii="Times New Roman" w:hAnsi="Times New Roman"/>
                <w:sz w:val="18"/>
                <w:lang w:val="fr-FR"/>
              </w:rPr>
              <w:t xml:space="preserve"> </w:t>
            </w:r>
          </w:p>
        </w:tc>
        <w:tc>
          <w:tcPr>
            <w:tcW w:w="992" w:type="dxa"/>
            <w:tcBorders>
              <w:bottom w:val="single" w:sz="12" w:space="0" w:color="auto"/>
            </w:tcBorders>
            <w:shd w:val="clear" w:color="auto" w:fill="auto"/>
            <w:vAlign w:val="bottom"/>
          </w:tcPr>
          <w:p w:rsidR="000B562B" w:rsidRPr="003B3C44" w:rsidRDefault="000B562B" w:rsidP="008E3816">
            <w:pPr>
              <w:pStyle w:val="Text"/>
              <w:spacing w:before="40" w:after="40" w:line="220" w:lineRule="exact"/>
              <w:ind w:left="113" w:right="57"/>
              <w:jc w:val="right"/>
              <w:rPr>
                <w:rFonts w:ascii="Times New Roman" w:hAnsi="Times New Roman"/>
                <w:sz w:val="18"/>
                <w:lang w:val="fr-FR"/>
              </w:rPr>
            </w:pPr>
            <w:r w:rsidRPr="003B3C44">
              <w:rPr>
                <w:rFonts w:ascii="Times New Roman" w:hAnsi="Times New Roman"/>
                <w:sz w:val="18"/>
                <w:lang w:val="fr-FR"/>
              </w:rPr>
              <w:t>-</w:t>
            </w:r>
          </w:p>
        </w:tc>
        <w:tc>
          <w:tcPr>
            <w:tcW w:w="992" w:type="dxa"/>
            <w:tcBorders>
              <w:bottom w:val="single" w:sz="12" w:space="0" w:color="auto"/>
            </w:tcBorders>
            <w:shd w:val="clear" w:color="auto" w:fill="auto"/>
            <w:vAlign w:val="bottom"/>
          </w:tcPr>
          <w:p w:rsidR="000B562B" w:rsidRPr="003B3C44" w:rsidRDefault="000B562B" w:rsidP="008E3816">
            <w:pPr>
              <w:pStyle w:val="Text"/>
              <w:spacing w:before="40" w:after="40" w:line="220" w:lineRule="exact"/>
              <w:ind w:left="113" w:right="57"/>
              <w:jc w:val="right"/>
              <w:rPr>
                <w:rFonts w:ascii="Times New Roman" w:hAnsi="Times New Roman"/>
                <w:sz w:val="18"/>
                <w:lang w:val="fr-FR"/>
              </w:rPr>
            </w:pPr>
            <w:r w:rsidRPr="003B3C44">
              <w:rPr>
                <w:rFonts w:ascii="Times New Roman" w:hAnsi="Times New Roman"/>
                <w:sz w:val="18"/>
                <w:lang w:val="fr-FR"/>
              </w:rPr>
              <w:t>-</w:t>
            </w:r>
          </w:p>
        </w:tc>
        <w:tc>
          <w:tcPr>
            <w:tcW w:w="992" w:type="dxa"/>
            <w:tcBorders>
              <w:bottom w:val="single" w:sz="12" w:space="0" w:color="auto"/>
            </w:tcBorders>
            <w:shd w:val="clear" w:color="auto" w:fill="auto"/>
            <w:vAlign w:val="bottom"/>
          </w:tcPr>
          <w:p w:rsidR="000B562B" w:rsidRPr="003B3C44" w:rsidRDefault="000B562B" w:rsidP="008E3816">
            <w:pPr>
              <w:pStyle w:val="Text"/>
              <w:spacing w:before="40" w:after="40" w:line="220" w:lineRule="exact"/>
              <w:ind w:left="113" w:right="57"/>
              <w:jc w:val="right"/>
              <w:rPr>
                <w:rFonts w:ascii="Times New Roman" w:hAnsi="Times New Roman"/>
                <w:sz w:val="18"/>
                <w:lang w:val="fr-FR"/>
              </w:rPr>
            </w:pPr>
            <w:r w:rsidRPr="003B3C44">
              <w:rPr>
                <w:rFonts w:ascii="Times New Roman" w:hAnsi="Times New Roman"/>
                <w:sz w:val="18"/>
                <w:lang w:val="fr-FR"/>
              </w:rPr>
              <w:t>-</w:t>
            </w:r>
          </w:p>
        </w:tc>
        <w:tc>
          <w:tcPr>
            <w:tcW w:w="992" w:type="dxa"/>
            <w:tcBorders>
              <w:bottom w:val="single" w:sz="12" w:space="0" w:color="auto"/>
            </w:tcBorders>
            <w:shd w:val="clear" w:color="auto" w:fill="auto"/>
            <w:vAlign w:val="bottom"/>
          </w:tcPr>
          <w:p w:rsidR="000B562B" w:rsidRPr="003B3C44" w:rsidRDefault="000B562B" w:rsidP="008E3816">
            <w:pPr>
              <w:pStyle w:val="Text"/>
              <w:spacing w:before="40" w:after="40" w:line="220" w:lineRule="exact"/>
              <w:ind w:left="113" w:right="57"/>
              <w:jc w:val="right"/>
              <w:rPr>
                <w:rFonts w:ascii="Times New Roman" w:hAnsi="Times New Roman"/>
                <w:sz w:val="18"/>
                <w:lang w:val="fr-FR"/>
              </w:rPr>
            </w:pPr>
            <w:r w:rsidRPr="003B3C44">
              <w:rPr>
                <w:rFonts w:ascii="Times New Roman" w:hAnsi="Times New Roman"/>
                <w:sz w:val="18"/>
                <w:lang w:val="fr-FR"/>
              </w:rPr>
              <w:t>3</w:t>
            </w:r>
          </w:p>
        </w:tc>
        <w:tc>
          <w:tcPr>
            <w:tcW w:w="992" w:type="dxa"/>
            <w:tcBorders>
              <w:bottom w:val="single" w:sz="12" w:space="0" w:color="auto"/>
            </w:tcBorders>
            <w:shd w:val="clear" w:color="auto" w:fill="auto"/>
            <w:vAlign w:val="bottom"/>
          </w:tcPr>
          <w:p w:rsidR="000B562B" w:rsidRPr="003B3C44" w:rsidRDefault="000B562B" w:rsidP="008E3816">
            <w:pPr>
              <w:pStyle w:val="Text"/>
              <w:spacing w:before="40" w:after="40" w:line="220" w:lineRule="exact"/>
              <w:ind w:left="113" w:right="57"/>
              <w:jc w:val="right"/>
              <w:rPr>
                <w:rFonts w:ascii="Times New Roman" w:hAnsi="Times New Roman"/>
                <w:sz w:val="18"/>
                <w:lang w:val="fr-FR"/>
              </w:rPr>
            </w:pPr>
            <w:r w:rsidRPr="003B3C44">
              <w:rPr>
                <w:rFonts w:ascii="Times New Roman" w:hAnsi="Times New Roman"/>
                <w:sz w:val="18"/>
                <w:lang w:val="fr-FR"/>
              </w:rPr>
              <w:t>2</w:t>
            </w:r>
          </w:p>
        </w:tc>
      </w:tr>
    </w:tbl>
    <w:p w:rsidR="000B562B" w:rsidRPr="009C569D" w:rsidRDefault="009C569D" w:rsidP="009C569D">
      <w:pPr>
        <w:pStyle w:val="SingleTxtG"/>
        <w:spacing w:before="120" w:after="0" w:line="220" w:lineRule="atLeast"/>
        <w:ind w:firstLine="170"/>
        <w:jc w:val="left"/>
        <w:rPr>
          <w:sz w:val="18"/>
          <w:szCs w:val="18"/>
          <w:lang w:val="fr-FR"/>
        </w:rPr>
      </w:pPr>
      <w:r w:rsidRPr="009C569D">
        <w:rPr>
          <w:lang w:val="fr-FR"/>
        </w:rPr>
        <w:t>*</w:t>
      </w:r>
      <w:r>
        <w:rPr>
          <w:sz w:val="18"/>
          <w:szCs w:val="18"/>
          <w:lang w:val="fr-FR"/>
        </w:rPr>
        <w:t xml:space="preserve">  </w:t>
      </w:r>
      <w:r w:rsidR="00CD74DD" w:rsidRPr="009C569D">
        <w:rPr>
          <w:sz w:val="18"/>
          <w:szCs w:val="18"/>
          <w:lang w:val="fr-FR"/>
        </w:rPr>
        <w:t xml:space="preserve">Chaque </w:t>
      </w:r>
      <w:r w:rsidR="00CD0110" w:rsidRPr="009C569D">
        <w:rPr>
          <w:sz w:val="18"/>
          <w:szCs w:val="18"/>
          <w:lang w:val="fr-FR"/>
        </w:rPr>
        <w:t>«</w:t>
      </w:r>
      <w:r w:rsidR="00CD74DD" w:rsidRPr="009C569D">
        <w:rPr>
          <w:sz w:val="18"/>
          <w:szCs w:val="18"/>
          <w:lang w:val="fr-FR"/>
        </w:rPr>
        <w:t>affaire</w:t>
      </w:r>
      <w:r w:rsidR="00CD0110" w:rsidRPr="009C569D">
        <w:rPr>
          <w:sz w:val="18"/>
          <w:szCs w:val="18"/>
          <w:lang w:val="fr-FR"/>
        </w:rPr>
        <w:t>»</w:t>
      </w:r>
      <w:r w:rsidR="000B562B" w:rsidRPr="009C569D">
        <w:rPr>
          <w:sz w:val="18"/>
          <w:szCs w:val="18"/>
          <w:lang w:val="fr-FR"/>
        </w:rPr>
        <w:t xml:space="preserve"> </w:t>
      </w:r>
      <w:r w:rsidR="00CD74DD" w:rsidRPr="009C569D">
        <w:rPr>
          <w:sz w:val="18"/>
          <w:szCs w:val="18"/>
          <w:lang w:val="fr-FR"/>
        </w:rPr>
        <w:t>peut correspondre à plusieurs plaintes individuelles</w:t>
      </w:r>
      <w:r w:rsidR="000B562B" w:rsidRPr="009C569D">
        <w:rPr>
          <w:sz w:val="18"/>
          <w:szCs w:val="18"/>
          <w:lang w:val="fr-FR"/>
        </w:rPr>
        <w:t xml:space="preserve">. </w:t>
      </w:r>
      <w:r w:rsidR="00CD74DD" w:rsidRPr="009C569D">
        <w:rPr>
          <w:sz w:val="18"/>
          <w:szCs w:val="18"/>
          <w:lang w:val="fr-FR"/>
        </w:rPr>
        <w:t>Les pourcentages étant arrondis, leur somme n’est pas égale à 100.</w:t>
      </w:r>
    </w:p>
    <w:p w:rsidR="000B562B" w:rsidRPr="003B3C44" w:rsidRDefault="00FD2CE1" w:rsidP="00DE1014">
      <w:pPr>
        <w:pStyle w:val="H23G"/>
        <w:rPr>
          <w:lang w:val="fr-FR"/>
        </w:rPr>
      </w:pPr>
      <w:r w:rsidRPr="003B3C44">
        <w:rPr>
          <w:lang w:val="fr-FR"/>
        </w:rPr>
        <w:t>Écosse</w:t>
      </w:r>
    </w:p>
    <w:p w:rsidR="000B562B" w:rsidRPr="00A176EA" w:rsidRDefault="002549A9" w:rsidP="00C32C70">
      <w:pPr>
        <w:pStyle w:val="SingleTxtG"/>
        <w:rPr>
          <w:lang w:val="fr-FR"/>
        </w:rPr>
      </w:pPr>
      <w:r w:rsidRPr="003B3C44">
        <w:rPr>
          <w:lang w:val="fr-FR"/>
        </w:rPr>
        <w:t>454.</w:t>
      </w:r>
      <w:r w:rsidRPr="003B3C44">
        <w:rPr>
          <w:lang w:val="fr-FR"/>
        </w:rPr>
        <w:tab/>
      </w:r>
      <w:r w:rsidR="00D46D1A" w:rsidRPr="003B3C44">
        <w:rPr>
          <w:lang w:val="fr-FR"/>
        </w:rPr>
        <w:t>Le détail des procédures de plainte à l’encontre de la</w:t>
      </w:r>
      <w:r w:rsidR="000B562B" w:rsidRPr="003B3C44">
        <w:rPr>
          <w:lang w:val="fr-FR"/>
        </w:rPr>
        <w:t xml:space="preserve"> police </w:t>
      </w:r>
      <w:r w:rsidR="00D46D1A" w:rsidRPr="003B3C44">
        <w:rPr>
          <w:lang w:val="fr-FR"/>
        </w:rPr>
        <w:t>e</w:t>
      </w:r>
      <w:r w:rsidR="000B562B" w:rsidRPr="003B3C44">
        <w:rPr>
          <w:lang w:val="fr-FR"/>
        </w:rPr>
        <w:t xml:space="preserve">n </w:t>
      </w:r>
      <w:r w:rsidR="00FD2CE1" w:rsidRPr="003B3C44">
        <w:rPr>
          <w:lang w:val="fr-FR"/>
        </w:rPr>
        <w:t>Écosse</w:t>
      </w:r>
      <w:r w:rsidR="000B562B" w:rsidRPr="003B3C44">
        <w:rPr>
          <w:lang w:val="fr-FR"/>
        </w:rPr>
        <w:t xml:space="preserve"> </w:t>
      </w:r>
      <w:r w:rsidR="00D46D1A" w:rsidRPr="003B3C44">
        <w:rPr>
          <w:lang w:val="fr-FR"/>
        </w:rPr>
        <w:t>figure aux</w:t>
      </w:r>
      <w:r w:rsidR="000B562B" w:rsidRPr="003B3C44">
        <w:rPr>
          <w:lang w:val="fr-FR"/>
        </w:rPr>
        <w:t xml:space="preserve"> paragraph</w:t>
      </w:r>
      <w:r w:rsidR="00D46D1A" w:rsidRPr="003B3C44">
        <w:rPr>
          <w:lang w:val="fr-FR"/>
        </w:rPr>
        <w:t>e</w:t>
      </w:r>
      <w:r w:rsidR="000B562B" w:rsidRPr="003B3C44">
        <w:rPr>
          <w:lang w:val="fr-FR"/>
        </w:rPr>
        <w:t>s 208</w:t>
      </w:r>
      <w:r w:rsidR="00D46D1A" w:rsidRPr="003B3C44">
        <w:rPr>
          <w:lang w:val="fr-FR"/>
        </w:rPr>
        <w:t xml:space="preserve"> à </w:t>
      </w:r>
      <w:r w:rsidR="000B562B" w:rsidRPr="003B3C44">
        <w:rPr>
          <w:lang w:val="fr-FR"/>
        </w:rPr>
        <w:t xml:space="preserve">211 </w:t>
      </w:r>
      <w:r w:rsidR="00D46D1A" w:rsidRPr="003B3C44">
        <w:rPr>
          <w:lang w:val="fr-FR"/>
        </w:rPr>
        <w:t>du quatrième rapport du Royaume-Uni</w:t>
      </w:r>
      <w:r w:rsidR="000B562B" w:rsidRPr="003B3C44">
        <w:rPr>
          <w:lang w:val="fr-FR"/>
        </w:rPr>
        <w:t>.</w:t>
      </w:r>
    </w:p>
    <w:p w:rsidR="000B562B" w:rsidRPr="00A176EA" w:rsidRDefault="002549A9" w:rsidP="000443B5">
      <w:pPr>
        <w:pStyle w:val="SingleTxtG"/>
        <w:rPr>
          <w:lang w:val="fr-FR"/>
        </w:rPr>
      </w:pPr>
      <w:r w:rsidRPr="00A176EA">
        <w:rPr>
          <w:lang w:val="fr-FR"/>
        </w:rPr>
        <w:t>455.</w:t>
      </w:r>
      <w:r w:rsidRPr="00A176EA">
        <w:rPr>
          <w:lang w:val="fr-FR"/>
        </w:rPr>
        <w:tab/>
      </w:r>
      <w:r w:rsidR="003B3C44">
        <w:rPr>
          <w:lang w:val="fr-FR"/>
        </w:rPr>
        <w:t xml:space="preserve">En 2009-2010, </w:t>
      </w:r>
      <w:r w:rsidR="00A61DEC">
        <w:rPr>
          <w:lang w:val="fr-FR"/>
        </w:rPr>
        <w:t xml:space="preserve">766 plaintes pour </w:t>
      </w:r>
      <w:r w:rsidR="00B679A8">
        <w:rPr>
          <w:lang w:val="fr-FR"/>
        </w:rPr>
        <w:t>comportement</w:t>
      </w:r>
      <w:r w:rsidR="00A61DEC">
        <w:rPr>
          <w:lang w:val="fr-FR"/>
        </w:rPr>
        <w:t xml:space="preserve"> criminel ont été déposées auprès du Procureur à l’encontre de fo</w:t>
      </w:r>
      <w:r w:rsidR="000443B5">
        <w:rPr>
          <w:lang w:val="fr-FR"/>
        </w:rPr>
        <w:t>nctionnaires de police écossais. Elles ont donné lieu à des poursuites contre 10 de ces fonctionnaires</w:t>
      </w:r>
      <w:r w:rsidR="000B562B" w:rsidRPr="00A176EA">
        <w:rPr>
          <w:lang w:val="fr-FR"/>
        </w:rPr>
        <w:t>.</w:t>
      </w:r>
    </w:p>
    <w:p w:rsidR="000B562B" w:rsidRPr="00C244DB" w:rsidRDefault="002549A9" w:rsidP="00C244DB">
      <w:pPr>
        <w:pStyle w:val="SingleTxtG"/>
        <w:rPr>
          <w:lang w:val="fr-FR"/>
        </w:rPr>
      </w:pPr>
      <w:r w:rsidRPr="00A176EA">
        <w:rPr>
          <w:lang w:val="fr-FR"/>
        </w:rPr>
        <w:t>456.</w:t>
      </w:r>
      <w:r w:rsidRPr="00A176EA">
        <w:rPr>
          <w:lang w:val="fr-FR"/>
        </w:rPr>
        <w:tab/>
      </w:r>
      <w:r w:rsidR="00D24650">
        <w:rPr>
          <w:lang w:val="fr-FR"/>
        </w:rPr>
        <w:t xml:space="preserve">Pour les affaires non pénales, le Chef adjoint </w:t>
      </w:r>
      <w:r w:rsidR="00A526F7">
        <w:rPr>
          <w:lang w:val="fr-FR"/>
        </w:rPr>
        <w:t>du corps</w:t>
      </w:r>
      <w:r w:rsidR="00D24650">
        <w:rPr>
          <w:lang w:val="fr-FR"/>
        </w:rPr>
        <w:t xml:space="preserve"> </w:t>
      </w:r>
      <w:r w:rsidR="00A01530">
        <w:rPr>
          <w:lang w:val="fr-FR"/>
        </w:rPr>
        <w:t xml:space="preserve">de police </w:t>
      </w:r>
      <w:r w:rsidR="00D24650">
        <w:rPr>
          <w:lang w:val="fr-FR"/>
        </w:rPr>
        <w:t xml:space="preserve">concerné décide s’il y a lieu de procéder à une audition du fonctionnaire accusé ou de lui faire décerner un blâme par la hiérarchie. </w:t>
      </w:r>
      <w:r w:rsidR="00C244DB">
        <w:rPr>
          <w:lang w:val="fr-FR"/>
        </w:rPr>
        <w:t>Des travaux sont en cours, et bien avancés, pour élargir l’éventail d’options dont dispose le Chef adjoint ou l’officier supérieur pour choisir le mode de traitement approprié d’une plainte. Les autorités de police, en vertu de l’article 40 de la loi de 1967 sur la police (</w:t>
      </w:r>
      <w:r w:rsidR="00C244DB" w:rsidRPr="00C244DB">
        <w:rPr>
          <w:lang w:val="fr-FR"/>
        </w:rPr>
        <w:t>Écosse</w:t>
      </w:r>
      <w:r w:rsidR="00C244DB">
        <w:rPr>
          <w:lang w:val="fr-FR"/>
        </w:rPr>
        <w:t xml:space="preserve">), doivent se tenir informées de la façon dont sont traitées les plaintes contre la police. </w:t>
      </w:r>
      <w:r w:rsidR="00C244DB" w:rsidRPr="00C244DB">
        <w:rPr>
          <w:lang w:val="fr-FR"/>
        </w:rPr>
        <w:t xml:space="preserve">Auparavant, un plaignant pouvait saisir </w:t>
      </w:r>
      <w:r w:rsidR="00D46D1A" w:rsidRPr="00C244DB">
        <w:rPr>
          <w:lang w:val="fr-FR"/>
        </w:rPr>
        <w:t>l’Inspection des services de police de Sa Majesté</w:t>
      </w:r>
      <w:r w:rsidR="000B562B" w:rsidRPr="00C244DB">
        <w:rPr>
          <w:lang w:val="fr-FR"/>
        </w:rPr>
        <w:t xml:space="preserve"> </w:t>
      </w:r>
      <w:r w:rsidR="00C244DB" w:rsidRPr="00C244DB">
        <w:rPr>
          <w:lang w:val="fr-FR"/>
        </w:rPr>
        <w:t>s’il n’était pas satisfait de la façon dont sa plainte avait été traitée par la police. Cette fonction incombe désormais au Commissaire aux plaintes contre la police pour l’</w:t>
      </w:r>
      <w:r w:rsidR="00FD2CE1" w:rsidRPr="00C244DB">
        <w:rPr>
          <w:lang w:val="fr-FR"/>
        </w:rPr>
        <w:t>Écosse</w:t>
      </w:r>
      <w:r w:rsidR="000B562B" w:rsidRPr="00C244DB">
        <w:rPr>
          <w:lang w:val="fr-FR"/>
        </w:rPr>
        <w:t>.</w:t>
      </w:r>
    </w:p>
    <w:p w:rsidR="000B562B" w:rsidRPr="00C244DB" w:rsidRDefault="002549A9" w:rsidP="008C2F2D">
      <w:pPr>
        <w:pStyle w:val="SingleTxtG"/>
        <w:rPr>
          <w:lang w:val="fr-FR"/>
        </w:rPr>
      </w:pPr>
      <w:r w:rsidRPr="00C244DB">
        <w:rPr>
          <w:lang w:val="fr-FR"/>
        </w:rPr>
        <w:t>457.</w:t>
      </w:r>
      <w:r w:rsidRPr="00C244DB">
        <w:rPr>
          <w:lang w:val="fr-FR"/>
        </w:rPr>
        <w:tab/>
      </w:r>
      <w:r w:rsidR="00D24650" w:rsidRPr="00C244DB">
        <w:rPr>
          <w:lang w:val="fr-FR"/>
        </w:rPr>
        <w:t>L’annexe</w:t>
      </w:r>
      <w:r w:rsidR="000B562B" w:rsidRPr="00C244DB">
        <w:rPr>
          <w:lang w:val="fr-FR"/>
        </w:rPr>
        <w:t xml:space="preserve"> 1 </w:t>
      </w:r>
      <w:r w:rsidR="00D24650" w:rsidRPr="00C244DB">
        <w:rPr>
          <w:lang w:val="fr-FR"/>
        </w:rPr>
        <w:t>du Règlement de la</w:t>
      </w:r>
      <w:r w:rsidR="000B562B" w:rsidRPr="00C244DB">
        <w:rPr>
          <w:lang w:val="fr-FR"/>
        </w:rPr>
        <w:t xml:space="preserve"> </w:t>
      </w:r>
      <w:r w:rsidR="00D24650" w:rsidRPr="00C244DB">
        <w:rPr>
          <w:lang w:val="fr-FR"/>
        </w:rPr>
        <w:t>p</w:t>
      </w:r>
      <w:r w:rsidR="000B562B" w:rsidRPr="00C244DB">
        <w:rPr>
          <w:lang w:val="fr-FR"/>
        </w:rPr>
        <w:t>olice (Condu</w:t>
      </w:r>
      <w:r w:rsidR="00D24650" w:rsidRPr="00C244DB">
        <w:rPr>
          <w:lang w:val="fr-FR"/>
        </w:rPr>
        <w:t>ite</w:t>
      </w:r>
      <w:r w:rsidR="000B562B" w:rsidRPr="00C244DB">
        <w:rPr>
          <w:lang w:val="fr-FR"/>
        </w:rPr>
        <w:t>) (</w:t>
      </w:r>
      <w:r w:rsidR="00FD2CE1" w:rsidRPr="00C244DB">
        <w:rPr>
          <w:lang w:val="fr-FR"/>
        </w:rPr>
        <w:t>Écosse</w:t>
      </w:r>
      <w:r w:rsidR="000B562B" w:rsidRPr="00C244DB">
        <w:rPr>
          <w:lang w:val="fr-FR"/>
        </w:rPr>
        <w:t xml:space="preserve">) </w:t>
      </w:r>
      <w:r w:rsidR="00D24650" w:rsidRPr="00C244DB">
        <w:rPr>
          <w:lang w:val="fr-FR"/>
        </w:rPr>
        <w:t>de</w:t>
      </w:r>
      <w:r w:rsidR="000B562B" w:rsidRPr="00C244DB">
        <w:rPr>
          <w:lang w:val="fr-FR"/>
        </w:rPr>
        <w:t xml:space="preserve"> 1996 </w:t>
      </w:r>
      <w:r w:rsidR="00D24650" w:rsidRPr="00C244DB">
        <w:rPr>
          <w:lang w:val="fr-FR"/>
        </w:rPr>
        <w:t xml:space="preserve">définit en détail les comportements constitutifs de mauvaise conduite. Les huit forces de police écossaises </w:t>
      </w:r>
      <w:r w:rsidR="008C2F2D" w:rsidRPr="00C244DB">
        <w:rPr>
          <w:lang w:val="fr-FR"/>
        </w:rPr>
        <w:t xml:space="preserve">sont habilitées à prendre des sanctions contre les fonctionnaires de police jugés coupables de mauvaise conduite. Aux termes du Règlement de 1996, les comparutions pour conduite </w:t>
      </w:r>
      <w:r w:rsidR="008B3227">
        <w:rPr>
          <w:lang w:val="fr-FR"/>
        </w:rPr>
        <w:t xml:space="preserve">répréhensible </w:t>
      </w:r>
      <w:r w:rsidR="008C2F2D" w:rsidRPr="00C244DB">
        <w:rPr>
          <w:lang w:val="fr-FR"/>
        </w:rPr>
        <w:t xml:space="preserve">peuvent être confiées aux </w:t>
      </w:r>
      <w:r w:rsidR="00BF602F" w:rsidRPr="00BF602F">
        <w:rPr>
          <w:lang w:val="fr-FR"/>
        </w:rPr>
        <w:t>superintendants</w:t>
      </w:r>
      <w:r w:rsidR="008C2F2D" w:rsidRPr="00BF602F">
        <w:rPr>
          <w:lang w:val="fr-FR"/>
        </w:rPr>
        <w:t xml:space="preserve"> de police</w:t>
      </w:r>
      <w:r w:rsidR="008C2F2D" w:rsidRPr="00C244DB">
        <w:rPr>
          <w:lang w:val="fr-FR"/>
        </w:rPr>
        <w:t xml:space="preserve">. Suite à une recommandation formulée dans un rapport thématique publié par l’Inspection des services de police de Sa Majesté pour l’Écosse (2000), intitulé </w:t>
      </w:r>
      <w:r w:rsidR="00CD0110">
        <w:rPr>
          <w:lang w:val="fr-FR"/>
        </w:rPr>
        <w:t>«</w:t>
      </w:r>
      <w:r w:rsidR="008C2F2D" w:rsidRPr="00C244DB">
        <w:rPr>
          <w:lang w:val="fr-FR"/>
        </w:rPr>
        <w:t>Être un bon flic</w:t>
      </w:r>
      <w:r w:rsidR="00CD0110">
        <w:rPr>
          <w:lang w:val="fr-FR"/>
        </w:rPr>
        <w:t>»</w:t>
      </w:r>
      <w:r w:rsidR="000B562B" w:rsidRPr="00C244DB">
        <w:rPr>
          <w:rStyle w:val="FootnoteReference"/>
          <w:bCs/>
          <w:iCs/>
          <w:szCs w:val="24"/>
        </w:rPr>
        <w:footnoteReference w:id="62"/>
      </w:r>
      <w:r w:rsidR="008C2F2D" w:rsidRPr="00C244DB">
        <w:rPr>
          <w:lang w:val="fr-FR"/>
        </w:rPr>
        <w:t xml:space="preserve">, suggérant que les bonnes pratiques voudraient que seuls des fonctionnaires de police formés à cet effet devraient présider les </w:t>
      </w:r>
      <w:r w:rsidR="00171F68" w:rsidRPr="00C244DB">
        <w:rPr>
          <w:lang w:val="fr-FR"/>
        </w:rPr>
        <w:t>audi</w:t>
      </w:r>
      <w:r w:rsidR="00BF602F">
        <w:rPr>
          <w:lang w:val="fr-FR"/>
        </w:rPr>
        <w:t>ence</w:t>
      </w:r>
      <w:r w:rsidR="00171F68" w:rsidRPr="00C244DB">
        <w:rPr>
          <w:lang w:val="fr-FR"/>
        </w:rPr>
        <w:t>s</w:t>
      </w:r>
      <w:r w:rsidR="008C2F2D" w:rsidRPr="00C244DB">
        <w:rPr>
          <w:lang w:val="fr-FR"/>
        </w:rPr>
        <w:t>, les forces de police ont organisé une formation nationale pour répondre à ce besoin</w:t>
      </w:r>
      <w:r w:rsidR="000B562B" w:rsidRPr="00C244DB">
        <w:rPr>
          <w:lang w:val="fr-FR"/>
        </w:rPr>
        <w:t>.</w:t>
      </w:r>
    </w:p>
    <w:p w:rsidR="000B562B" w:rsidRPr="00A176EA" w:rsidRDefault="002549A9" w:rsidP="00237732">
      <w:pPr>
        <w:pStyle w:val="SingleTxtG"/>
        <w:spacing w:after="240"/>
        <w:rPr>
          <w:lang w:val="fr-FR"/>
        </w:rPr>
      </w:pPr>
      <w:r w:rsidRPr="00C244DB">
        <w:rPr>
          <w:lang w:val="fr-FR"/>
        </w:rPr>
        <w:t>458.</w:t>
      </w:r>
      <w:r w:rsidRPr="00C244DB">
        <w:rPr>
          <w:lang w:val="fr-FR"/>
        </w:rPr>
        <w:tab/>
      </w:r>
      <w:r w:rsidR="00BF602F">
        <w:rPr>
          <w:lang w:val="fr-FR"/>
        </w:rPr>
        <w:t>L’issue</w:t>
      </w:r>
      <w:r w:rsidR="00171F68" w:rsidRPr="00C244DB">
        <w:rPr>
          <w:lang w:val="fr-FR"/>
        </w:rPr>
        <w:t xml:space="preserve"> des affaires disciplinaires jugées en 2008-2009 et 2009-2010 figure dans le tableau ci-dessous</w:t>
      </w:r>
      <w:r w:rsidR="000B562B" w:rsidRPr="00C244DB">
        <w:rPr>
          <w:lang w:val="fr-FR"/>
        </w:rPr>
        <w:t>.</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968"/>
        <w:gridCol w:w="1077"/>
        <w:gridCol w:w="1077"/>
        <w:gridCol w:w="1248"/>
      </w:tblGrid>
      <w:tr w:rsidR="000B562B" w:rsidRPr="00237732" w:rsidTr="00237732">
        <w:trPr>
          <w:cantSplit/>
          <w:trHeight w:val="240"/>
          <w:tblHeader/>
        </w:trPr>
        <w:tc>
          <w:tcPr>
            <w:tcW w:w="3968" w:type="dxa"/>
            <w:tcBorders>
              <w:top w:val="single" w:sz="4" w:space="0" w:color="auto"/>
              <w:bottom w:val="single" w:sz="12" w:space="0" w:color="auto"/>
            </w:tcBorders>
            <w:shd w:val="clear" w:color="auto" w:fill="auto"/>
          </w:tcPr>
          <w:p w:rsidR="000B562B" w:rsidRPr="00A176EA" w:rsidRDefault="00237732" w:rsidP="00237732">
            <w:pPr>
              <w:pStyle w:val="Text"/>
              <w:spacing w:before="80" w:after="80" w:line="220" w:lineRule="exact"/>
              <w:rPr>
                <w:rFonts w:ascii="Times New Roman" w:hAnsi="Times New Roman"/>
                <w:sz w:val="18"/>
                <w:lang w:val="fr-FR"/>
              </w:rPr>
            </w:pPr>
            <w:r w:rsidRPr="008C6E8D">
              <w:rPr>
                <w:rFonts w:ascii="Times New Roman" w:hAnsi="Times New Roman"/>
                <w:i/>
                <w:sz w:val="16"/>
                <w:lang w:val="fr-FR"/>
              </w:rPr>
              <w:t>Nombre d’allégations traitées, par mode de traitement</w:t>
            </w:r>
          </w:p>
        </w:tc>
        <w:tc>
          <w:tcPr>
            <w:tcW w:w="1077" w:type="dxa"/>
            <w:tcBorders>
              <w:top w:val="single" w:sz="4" w:space="0" w:color="auto"/>
              <w:bottom w:val="single" w:sz="12" w:space="0" w:color="auto"/>
            </w:tcBorders>
            <w:shd w:val="clear" w:color="auto" w:fill="auto"/>
            <w:vAlign w:val="bottom"/>
          </w:tcPr>
          <w:p w:rsidR="000B562B" w:rsidRPr="00237732" w:rsidRDefault="000B562B" w:rsidP="00237732">
            <w:pPr>
              <w:pStyle w:val="Text"/>
              <w:spacing w:before="80" w:after="80" w:line="220" w:lineRule="exact"/>
              <w:ind w:right="57"/>
              <w:jc w:val="right"/>
              <w:rPr>
                <w:rFonts w:ascii="Times New Roman" w:hAnsi="Times New Roman"/>
                <w:i/>
                <w:iCs/>
                <w:sz w:val="16"/>
                <w:szCs w:val="16"/>
                <w:lang w:val="fr-FR"/>
              </w:rPr>
            </w:pPr>
            <w:r w:rsidRPr="00237732">
              <w:rPr>
                <w:rFonts w:ascii="Times New Roman" w:hAnsi="Times New Roman"/>
                <w:i/>
                <w:iCs/>
                <w:sz w:val="16"/>
                <w:szCs w:val="16"/>
                <w:lang w:val="fr-FR"/>
              </w:rPr>
              <w:t>2008–</w:t>
            </w:r>
            <w:r w:rsidR="00171F68" w:rsidRPr="00237732">
              <w:rPr>
                <w:rFonts w:ascii="Times New Roman" w:hAnsi="Times New Roman"/>
                <w:i/>
                <w:iCs/>
                <w:sz w:val="16"/>
                <w:szCs w:val="16"/>
                <w:lang w:val="fr-FR"/>
              </w:rPr>
              <w:t>20</w:t>
            </w:r>
            <w:r w:rsidRPr="00237732">
              <w:rPr>
                <w:rFonts w:ascii="Times New Roman" w:hAnsi="Times New Roman"/>
                <w:i/>
                <w:iCs/>
                <w:sz w:val="16"/>
                <w:szCs w:val="16"/>
                <w:lang w:val="fr-FR"/>
              </w:rPr>
              <w:t>09</w:t>
            </w:r>
          </w:p>
        </w:tc>
        <w:tc>
          <w:tcPr>
            <w:tcW w:w="1077" w:type="dxa"/>
            <w:tcBorders>
              <w:top w:val="single" w:sz="4" w:space="0" w:color="auto"/>
              <w:bottom w:val="single" w:sz="12" w:space="0" w:color="auto"/>
            </w:tcBorders>
            <w:shd w:val="clear" w:color="auto" w:fill="auto"/>
            <w:vAlign w:val="bottom"/>
          </w:tcPr>
          <w:p w:rsidR="000B562B" w:rsidRPr="00237732" w:rsidRDefault="000B562B" w:rsidP="00237732">
            <w:pPr>
              <w:pStyle w:val="Text"/>
              <w:spacing w:before="80" w:after="80" w:line="220" w:lineRule="exact"/>
              <w:ind w:right="57"/>
              <w:jc w:val="right"/>
              <w:rPr>
                <w:rFonts w:ascii="Times New Roman" w:hAnsi="Times New Roman"/>
                <w:i/>
                <w:iCs/>
                <w:sz w:val="16"/>
                <w:szCs w:val="16"/>
                <w:lang w:val="fr-FR"/>
              </w:rPr>
            </w:pPr>
            <w:r w:rsidRPr="00237732">
              <w:rPr>
                <w:rFonts w:ascii="Times New Roman" w:hAnsi="Times New Roman"/>
                <w:i/>
                <w:iCs/>
                <w:sz w:val="16"/>
                <w:szCs w:val="16"/>
                <w:lang w:val="fr-FR"/>
              </w:rPr>
              <w:t>2009–</w:t>
            </w:r>
            <w:r w:rsidR="00171F68" w:rsidRPr="00237732">
              <w:rPr>
                <w:rFonts w:ascii="Times New Roman" w:hAnsi="Times New Roman"/>
                <w:i/>
                <w:iCs/>
                <w:sz w:val="16"/>
                <w:szCs w:val="16"/>
                <w:lang w:val="fr-FR"/>
              </w:rPr>
              <w:t>20</w:t>
            </w:r>
            <w:r w:rsidRPr="00237732">
              <w:rPr>
                <w:rFonts w:ascii="Times New Roman" w:hAnsi="Times New Roman"/>
                <w:i/>
                <w:iCs/>
                <w:sz w:val="16"/>
                <w:szCs w:val="16"/>
                <w:lang w:val="fr-FR"/>
              </w:rPr>
              <w:t>10</w:t>
            </w:r>
          </w:p>
        </w:tc>
        <w:tc>
          <w:tcPr>
            <w:tcW w:w="1248" w:type="dxa"/>
            <w:tcBorders>
              <w:top w:val="single" w:sz="4" w:space="0" w:color="auto"/>
              <w:bottom w:val="single" w:sz="12" w:space="0" w:color="auto"/>
            </w:tcBorders>
            <w:shd w:val="clear" w:color="auto" w:fill="auto"/>
            <w:vAlign w:val="bottom"/>
          </w:tcPr>
          <w:p w:rsidR="000B562B" w:rsidRPr="00237732" w:rsidRDefault="00171F68" w:rsidP="00237732">
            <w:pPr>
              <w:pStyle w:val="Text"/>
              <w:spacing w:before="80" w:after="80" w:line="220" w:lineRule="exact"/>
              <w:ind w:right="57"/>
              <w:jc w:val="right"/>
              <w:rPr>
                <w:rFonts w:ascii="Times New Roman" w:hAnsi="Times New Roman"/>
                <w:i/>
                <w:iCs/>
                <w:sz w:val="16"/>
                <w:szCs w:val="16"/>
                <w:lang w:val="fr-FR"/>
              </w:rPr>
            </w:pPr>
            <w:r w:rsidRPr="00237732">
              <w:rPr>
                <w:rFonts w:ascii="Times New Roman" w:hAnsi="Times New Roman"/>
                <w:i/>
                <w:iCs/>
                <w:sz w:val="16"/>
                <w:szCs w:val="16"/>
                <w:lang w:val="fr-FR"/>
              </w:rPr>
              <w:t>Variation (</w:t>
            </w:r>
            <w:r w:rsidR="000B562B" w:rsidRPr="00237732">
              <w:rPr>
                <w:rFonts w:ascii="Times New Roman" w:hAnsi="Times New Roman"/>
                <w:i/>
                <w:iCs/>
                <w:sz w:val="16"/>
                <w:szCs w:val="16"/>
                <w:lang w:val="fr-FR"/>
              </w:rPr>
              <w:t>%</w:t>
            </w:r>
            <w:r w:rsidRPr="00237732">
              <w:rPr>
                <w:rFonts w:ascii="Times New Roman" w:hAnsi="Times New Roman"/>
                <w:i/>
                <w:iCs/>
                <w:sz w:val="16"/>
                <w:szCs w:val="16"/>
                <w:lang w:val="fr-FR"/>
              </w:rPr>
              <w:t>)</w:t>
            </w:r>
            <w:r w:rsidR="000B562B" w:rsidRPr="00237732">
              <w:rPr>
                <w:rFonts w:ascii="Times New Roman" w:hAnsi="Times New Roman"/>
                <w:i/>
                <w:iCs/>
                <w:sz w:val="16"/>
                <w:szCs w:val="16"/>
                <w:lang w:val="fr-FR"/>
              </w:rPr>
              <w:t xml:space="preserve"> </w:t>
            </w:r>
          </w:p>
        </w:tc>
      </w:tr>
      <w:tr w:rsidR="000B562B" w:rsidRPr="00A176EA" w:rsidTr="00237732">
        <w:trPr>
          <w:cantSplit/>
          <w:trHeight w:val="240"/>
          <w:tblHeader/>
        </w:trPr>
        <w:tc>
          <w:tcPr>
            <w:tcW w:w="3968" w:type="dxa"/>
            <w:tcBorders>
              <w:top w:val="single" w:sz="12" w:space="0" w:color="auto"/>
            </w:tcBorders>
            <w:shd w:val="clear" w:color="auto" w:fill="auto"/>
          </w:tcPr>
          <w:p w:rsidR="000B562B" w:rsidRPr="008C6E8D" w:rsidRDefault="00D73889" w:rsidP="00BF602F">
            <w:pPr>
              <w:pStyle w:val="Text"/>
              <w:spacing w:before="40" w:after="40" w:line="220" w:lineRule="exact"/>
              <w:rPr>
                <w:rFonts w:ascii="Times New Roman" w:hAnsi="Times New Roman"/>
                <w:sz w:val="18"/>
                <w:lang w:val="fr-FR"/>
              </w:rPr>
            </w:pPr>
            <w:r w:rsidRPr="008C6E8D">
              <w:rPr>
                <w:rFonts w:ascii="Times New Roman" w:hAnsi="Times New Roman"/>
                <w:sz w:val="18"/>
                <w:lang w:val="fr-FR"/>
              </w:rPr>
              <w:t>R</w:t>
            </w:r>
            <w:r w:rsidR="00BF602F">
              <w:rPr>
                <w:rFonts w:ascii="Times New Roman" w:hAnsi="Times New Roman"/>
                <w:sz w:val="18"/>
                <w:lang w:val="fr-FR"/>
              </w:rPr>
              <w:t>èglement</w:t>
            </w:r>
            <w:r w:rsidRPr="008C6E8D">
              <w:rPr>
                <w:rFonts w:ascii="Times New Roman" w:hAnsi="Times New Roman"/>
                <w:sz w:val="18"/>
                <w:lang w:val="fr-FR"/>
              </w:rPr>
              <w:t xml:space="preserve"> par une explication au plaignant</w:t>
            </w:r>
          </w:p>
        </w:tc>
        <w:tc>
          <w:tcPr>
            <w:tcW w:w="1077" w:type="dxa"/>
            <w:tcBorders>
              <w:top w:val="single" w:sz="12" w:space="0" w:color="auto"/>
            </w:tcBorders>
            <w:shd w:val="clear" w:color="auto" w:fill="auto"/>
            <w:vAlign w:val="bottom"/>
          </w:tcPr>
          <w:p w:rsidR="000B562B" w:rsidRPr="008C6E8D" w:rsidRDefault="000B562B" w:rsidP="00237732">
            <w:pPr>
              <w:pStyle w:val="Text"/>
              <w:spacing w:before="40" w:after="40" w:line="220" w:lineRule="exact"/>
              <w:ind w:right="57"/>
              <w:jc w:val="right"/>
              <w:rPr>
                <w:rFonts w:ascii="Times New Roman" w:hAnsi="Times New Roman"/>
                <w:sz w:val="18"/>
                <w:lang w:val="fr-FR"/>
              </w:rPr>
            </w:pPr>
            <w:r w:rsidRPr="008C6E8D">
              <w:rPr>
                <w:rFonts w:ascii="Times New Roman" w:hAnsi="Times New Roman"/>
                <w:sz w:val="18"/>
                <w:lang w:val="fr-FR"/>
              </w:rPr>
              <w:t>1</w:t>
            </w:r>
            <w:r w:rsidR="00A4350F" w:rsidRPr="008C6E8D">
              <w:rPr>
                <w:rFonts w:ascii="Times New Roman" w:hAnsi="Times New Roman"/>
                <w:sz w:val="18"/>
                <w:lang w:val="fr-FR"/>
              </w:rPr>
              <w:t xml:space="preserve"> </w:t>
            </w:r>
            <w:r w:rsidRPr="008C6E8D">
              <w:rPr>
                <w:rFonts w:ascii="Times New Roman" w:hAnsi="Times New Roman"/>
                <w:sz w:val="18"/>
                <w:lang w:val="fr-FR"/>
              </w:rPr>
              <w:t>533</w:t>
            </w:r>
          </w:p>
        </w:tc>
        <w:tc>
          <w:tcPr>
            <w:tcW w:w="1077" w:type="dxa"/>
            <w:tcBorders>
              <w:top w:val="single" w:sz="12" w:space="0" w:color="auto"/>
            </w:tcBorders>
            <w:shd w:val="clear" w:color="auto" w:fill="auto"/>
            <w:vAlign w:val="bottom"/>
          </w:tcPr>
          <w:p w:rsidR="000B562B" w:rsidRPr="008C6E8D" w:rsidRDefault="000B562B" w:rsidP="00237732">
            <w:pPr>
              <w:pStyle w:val="Text"/>
              <w:spacing w:before="40" w:after="40" w:line="220" w:lineRule="exact"/>
              <w:ind w:right="57"/>
              <w:jc w:val="right"/>
              <w:rPr>
                <w:rFonts w:ascii="Times New Roman" w:hAnsi="Times New Roman"/>
                <w:sz w:val="18"/>
                <w:lang w:val="fr-FR"/>
              </w:rPr>
            </w:pPr>
            <w:r w:rsidRPr="008C6E8D">
              <w:rPr>
                <w:rFonts w:ascii="Times New Roman" w:hAnsi="Times New Roman"/>
                <w:sz w:val="18"/>
                <w:lang w:val="fr-FR"/>
              </w:rPr>
              <w:t>2</w:t>
            </w:r>
            <w:r w:rsidR="00A4350F" w:rsidRPr="008C6E8D">
              <w:rPr>
                <w:rFonts w:ascii="Times New Roman" w:hAnsi="Times New Roman"/>
                <w:sz w:val="18"/>
                <w:lang w:val="fr-FR"/>
              </w:rPr>
              <w:t xml:space="preserve"> </w:t>
            </w:r>
            <w:r w:rsidRPr="008C6E8D">
              <w:rPr>
                <w:rFonts w:ascii="Times New Roman" w:hAnsi="Times New Roman"/>
                <w:sz w:val="18"/>
                <w:lang w:val="fr-FR"/>
              </w:rPr>
              <w:t>517</w:t>
            </w:r>
          </w:p>
        </w:tc>
        <w:tc>
          <w:tcPr>
            <w:tcW w:w="1248" w:type="dxa"/>
            <w:tcBorders>
              <w:top w:val="single" w:sz="12" w:space="0" w:color="auto"/>
            </w:tcBorders>
            <w:shd w:val="clear" w:color="auto" w:fill="auto"/>
            <w:vAlign w:val="bottom"/>
          </w:tcPr>
          <w:p w:rsidR="000B562B" w:rsidRPr="008C6E8D" w:rsidRDefault="000B562B" w:rsidP="00237732">
            <w:pPr>
              <w:pStyle w:val="Text"/>
              <w:spacing w:before="40" w:after="40" w:line="220" w:lineRule="exact"/>
              <w:ind w:right="57"/>
              <w:jc w:val="right"/>
              <w:rPr>
                <w:rFonts w:ascii="Times New Roman" w:hAnsi="Times New Roman"/>
                <w:sz w:val="18"/>
                <w:lang w:val="fr-FR"/>
              </w:rPr>
            </w:pPr>
            <w:r w:rsidRPr="008C6E8D">
              <w:rPr>
                <w:rFonts w:ascii="Times New Roman" w:hAnsi="Times New Roman"/>
                <w:sz w:val="18"/>
                <w:lang w:val="fr-FR"/>
              </w:rPr>
              <w:t>64</w:t>
            </w:r>
          </w:p>
        </w:tc>
      </w:tr>
      <w:tr w:rsidR="000B562B" w:rsidRPr="00A176EA" w:rsidTr="00237732">
        <w:trPr>
          <w:cantSplit/>
          <w:trHeight w:val="240"/>
        </w:trPr>
        <w:tc>
          <w:tcPr>
            <w:tcW w:w="3968" w:type="dxa"/>
            <w:shd w:val="clear" w:color="auto" w:fill="auto"/>
          </w:tcPr>
          <w:p w:rsidR="000B562B" w:rsidRPr="008C6E8D" w:rsidRDefault="00D73889" w:rsidP="00C32C70">
            <w:pPr>
              <w:pStyle w:val="Text"/>
              <w:spacing w:before="40" w:after="40" w:line="220" w:lineRule="exact"/>
              <w:rPr>
                <w:rFonts w:ascii="Times New Roman" w:hAnsi="Times New Roman"/>
                <w:sz w:val="18"/>
                <w:lang w:val="fr-FR"/>
              </w:rPr>
            </w:pPr>
            <w:r w:rsidRPr="008C6E8D">
              <w:rPr>
                <w:rFonts w:ascii="Times New Roman" w:hAnsi="Times New Roman"/>
                <w:sz w:val="18"/>
                <w:lang w:val="fr-FR"/>
              </w:rPr>
              <w:t>Non étayées par les éléments de preuve disponibles</w:t>
            </w:r>
          </w:p>
        </w:tc>
        <w:tc>
          <w:tcPr>
            <w:tcW w:w="1077" w:type="dxa"/>
            <w:shd w:val="clear" w:color="auto" w:fill="auto"/>
            <w:vAlign w:val="bottom"/>
          </w:tcPr>
          <w:p w:rsidR="000B562B" w:rsidRPr="008C6E8D" w:rsidRDefault="000B562B" w:rsidP="00237732">
            <w:pPr>
              <w:pStyle w:val="Text"/>
              <w:spacing w:before="40" w:after="40" w:line="220" w:lineRule="exact"/>
              <w:ind w:right="57"/>
              <w:jc w:val="right"/>
              <w:rPr>
                <w:rFonts w:ascii="Times New Roman" w:hAnsi="Times New Roman"/>
                <w:sz w:val="18"/>
                <w:lang w:val="fr-FR"/>
              </w:rPr>
            </w:pPr>
            <w:r w:rsidRPr="008C6E8D">
              <w:rPr>
                <w:rFonts w:ascii="Times New Roman" w:hAnsi="Times New Roman"/>
                <w:sz w:val="18"/>
                <w:lang w:val="fr-FR"/>
              </w:rPr>
              <w:t>2</w:t>
            </w:r>
            <w:r w:rsidR="00A4350F" w:rsidRPr="008C6E8D">
              <w:rPr>
                <w:rFonts w:ascii="Times New Roman" w:hAnsi="Times New Roman"/>
                <w:sz w:val="18"/>
                <w:lang w:val="fr-FR"/>
              </w:rPr>
              <w:t xml:space="preserve"> </w:t>
            </w:r>
            <w:r w:rsidRPr="008C6E8D">
              <w:rPr>
                <w:rFonts w:ascii="Times New Roman" w:hAnsi="Times New Roman"/>
                <w:sz w:val="18"/>
                <w:lang w:val="fr-FR"/>
              </w:rPr>
              <w:t>129</w:t>
            </w:r>
          </w:p>
        </w:tc>
        <w:tc>
          <w:tcPr>
            <w:tcW w:w="1077" w:type="dxa"/>
            <w:shd w:val="clear" w:color="auto" w:fill="auto"/>
            <w:vAlign w:val="bottom"/>
          </w:tcPr>
          <w:p w:rsidR="000B562B" w:rsidRPr="008C6E8D" w:rsidRDefault="000B562B" w:rsidP="00237732">
            <w:pPr>
              <w:pStyle w:val="Text"/>
              <w:spacing w:before="40" w:after="40" w:line="220" w:lineRule="exact"/>
              <w:ind w:right="57"/>
              <w:jc w:val="right"/>
              <w:rPr>
                <w:rFonts w:ascii="Times New Roman" w:hAnsi="Times New Roman"/>
                <w:sz w:val="18"/>
                <w:lang w:val="fr-FR"/>
              </w:rPr>
            </w:pPr>
            <w:r w:rsidRPr="008C6E8D">
              <w:rPr>
                <w:rFonts w:ascii="Times New Roman" w:hAnsi="Times New Roman"/>
                <w:sz w:val="18"/>
                <w:lang w:val="fr-FR"/>
              </w:rPr>
              <w:t>1,820</w:t>
            </w:r>
          </w:p>
        </w:tc>
        <w:tc>
          <w:tcPr>
            <w:tcW w:w="1248" w:type="dxa"/>
            <w:shd w:val="clear" w:color="auto" w:fill="auto"/>
            <w:vAlign w:val="bottom"/>
          </w:tcPr>
          <w:p w:rsidR="000B562B" w:rsidRPr="008C6E8D" w:rsidRDefault="000B562B" w:rsidP="00237732">
            <w:pPr>
              <w:pStyle w:val="Text"/>
              <w:spacing w:before="40" w:after="40" w:line="220" w:lineRule="exact"/>
              <w:ind w:right="57"/>
              <w:jc w:val="right"/>
              <w:rPr>
                <w:rFonts w:ascii="Times New Roman" w:hAnsi="Times New Roman"/>
                <w:sz w:val="18"/>
                <w:lang w:val="fr-FR"/>
              </w:rPr>
            </w:pPr>
            <w:r w:rsidRPr="008C6E8D">
              <w:rPr>
                <w:rFonts w:ascii="Times New Roman" w:hAnsi="Times New Roman"/>
                <w:sz w:val="18"/>
                <w:lang w:val="fr-FR"/>
              </w:rPr>
              <w:t>-15</w:t>
            </w:r>
          </w:p>
        </w:tc>
      </w:tr>
      <w:tr w:rsidR="000B562B" w:rsidRPr="00A176EA" w:rsidTr="00237732">
        <w:trPr>
          <w:cantSplit/>
          <w:trHeight w:val="240"/>
        </w:trPr>
        <w:tc>
          <w:tcPr>
            <w:tcW w:w="3968" w:type="dxa"/>
            <w:shd w:val="clear" w:color="auto" w:fill="auto"/>
          </w:tcPr>
          <w:p w:rsidR="00DD1AF7" w:rsidRDefault="00DD1AF7" w:rsidP="00DD1AF7">
            <w:pPr>
              <w:pStyle w:val="Text"/>
              <w:spacing w:before="40" w:after="40" w:line="220" w:lineRule="exact"/>
              <w:rPr>
                <w:rFonts w:ascii="Times New Roman" w:hAnsi="Times New Roman"/>
                <w:sz w:val="18"/>
                <w:lang w:val="fr-FR"/>
              </w:rPr>
            </w:pPr>
            <w:r>
              <w:rPr>
                <w:rFonts w:ascii="Times New Roman" w:hAnsi="Times New Roman"/>
                <w:sz w:val="18"/>
                <w:lang w:val="fr-FR"/>
              </w:rPr>
              <w:t>Décision du</w:t>
            </w:r>
            <w:r w:rsidR="000B562B" w:rsidRPr="00A176EA">
              <w:rPr>
                <w:rFonts w:ascii="Times New Roman" w:hAnsi="Times New Roman"/>
                <w:sz w:val="18"/>
                <w:lang w:val="fr-FR"/>
              </w:rPr>
              <w:t xml:space="preserve"> Procur</w:t>
            </w:r>
            <w:r>
              <w:rPr>
                <w:rFonts w:ascii="Times New Roman" w:hAnsi="Times New Roman"/>
                <w:sz w:val="18"/>
                <w:lang w:val="fr-FR"/>
              </w:rPr>
              <w:t>eur</w:t>
            </w:r>
            <w:r w:rsidR="000B562B" w:rsidRPr="00A176EA">
              <w:rPr>
                <w:rFonts w:ascii="Times New Roman" w:hAnsi="Times New Roman"/>
                <w:sz w:val="18"/>
                <w:lang w:val="fr-FR"/>
              </w:rPr>
              <w:t xml:space="preserve"> </w:t>
            </w:r>
            <w:r>
              <w:rPr>
                <w:rFonts w:ascii="Times New Roman" w:hAnsi="Times New Roman"/>
                <w:sz w:val="18"/>
                <w:lang w:val="fr-FR"/>
              </w:rPr>
              <w:t xml:space="preserve">de ne pas engager </w:t>
            </w:r>
          </w:p>
          <w:p w:rsidR="000B562B" w:rsidRPr="00A176EA" w:rsidRDefault="00DD1AF7" w:rsidP="00DD1AF7">
            <w:pPr>
              <w:pStyle w:val="Text"/>
              <w:spacing w:before="40" w:after="40" w:line="220" w:lineRule="exact"/>
              <w:rPr>
                <w:rFonts w:ascii="Times New Roman" w:hAnsi="Times New Roman"/>
                <w:sz w:val="18"/>
                <w:lang w:val="fr-FR"/>
              </w:rPr>
            </w:pPr>
            <w:r>
              <w:rPr>
                <w:rFonts w:ascii="Times New Roman" w:hAnsi="Times New Roman"/>
                <w:sz w:val="18"/>
                <w:lang w:val="fr-FR"/>
              </w:rPr>
              <w:t>de poursuites</w:t>
            </w:r>
          </w:p>
        </w:tc>
        <w:tc>
          <w:tcPr>
            <w:tcW w:w="1077" w:type="dxa"/>
            <w:shd w:val="clear" w:color="auto" w:fill="auto"/>
            <w:vAlign w:val="bottom"/>
          </w:tcPr>
          <w:p w:rsidR="000B562B" w:rsidRPr="00DC3DED" w:rsidRDefault="000B562B" w:rsidP="00237732">
            <w:pPr>
              <w:pStyle w:val="Text"/>
              <w:spacing w:before="40" w:after="40" w:line="220" w:lineRule="exact"/>
              <w:ind w:right="57"/>
              <w:jc w:val="right"/>
              <w:rPr>
                <w:rFonts w:ascii="Times New Roman" w:hAnsi="Times New Roman"/>
                <w:sz w:val="18"/>
                <w:lang w:val="fr-FR"/>
              </w:rPr>
            </w:pPr>
            <w:r w:rsidRPr="00DC3DED">
              <w:rPr>
                <w:rFonts w:ascii="Times New Roman" w:hAnsi="Times New Roman"/>
                <w:sz w:val="18"/>
                <w:lang w:val="fr-FR"/>
              </w:rPr>
              <w:t>1</w:t>
            </w:r>
            <w:r w:rsidR="00A4350F" w:rsidRPr="00DC3DED">
              <w:rPr>
                <w:rFonts w:ascii="Times New Roman" w:hAnsi="Times New Roman"/>
                <w:sz w:val="18"/>
                <w:lang w:val="fr-FR"/>
              </w:rPr>
              <w:t xml:space="preserve"> </w:t>
            </w:r>
            <w:r w:rsidRPr="00DC3DED">
              <w:rPr>
                <w:rFonts w:ascii="Times New Roman" w:hAnsi="Times New Roman"/>
                <w:sz w:val="18"/>
                <w:lang w:val="fr-FR"/>
              </w:rPr>
              <w:t>348</w:t>
            </w:r>
          </w:p>
        </w:tc>
        <w:tc>
          <w:tcPr>
            <w:tcW w:w="1077" w:type="dxa"/>
            <w:shd w:val="clear" w:color="auto" w:fill="auto"/>
            <w:vAlign w:val="bottom"/>
          </w:tcPr>
          <w:p w:rsidR="000B562B" w:rsidRPr="00DC3DED" w:rsidRDefault="000B562B" w:rsidP="00237732">
            <w:pPr>
              <w:pStyle w:val="Text"/>
              <w:spacing w:before="40" w:after="40" w:line="220" w:lineRule="exact"/>
              <w:ind w:right="57"/>
              <w:jc w:val="right"/>
              <w:rPr>
                <w:rFonts w:ascii="Times New Roman" w:hAnsi="Times New Roman"/>
                <w:sz w:val="18"/>
                <w:lang w:val="fr-FR"/>
              </w:rPr>
            </w:pPr>
            <w:r w:rsidRPr="00DC3DED">
              <w:rPr>
                <w:rFonts w:ascii="Times New Roman" w:hAnsi="Times New Roman"/>
                <w:sz w:val="18"/>
                <w:lang w:val="fr-FR"/>
              </w:rPr>
              <w:t>1</w:t>
            </w:r>
            <w:r w:rsidR="00A4350F" w:rsidRPr="00DC3DED">
              <w:rPr>
                <w:rFonts w:ascii="Times New Roman" w:hAnsi="Times New Roman"/>
                <w:sz w:val="18"/>
                <w:lang w:val="fr-FR"/>
              </w:rPr>
              <w:t xml:space="preserve"> </w:t>
            </w:r>
            <w:r w:rsidRPr="00DC3DED">
              <w:rPr>
                <w:rFonts w:ascii="Times New Roman" w:hAnsi="Times New Roman"/>
                <w:sz w:val="18"/>
                <w:lang w:val="fr-FR"/>
              </w:rPr>
              <w:t>215</w:t>
            </w:r>
          </w:p>
        </w:tc>
        <w:tc>
          <w:tcPr>
            <w:tcW w:w="1248" w:type="dxa"/>
            <w:shd w:val="clear" w:color="auto" w:fill="auto"/>
            <w:vAlign w:val="bottom"/>
          </w:tcPr>
          <w:p w:rsidR="000B562B" w:rsidRPr="00DC3DED" w:rsidRDefault="000B562B" w:rsidP="00237732">
            <w:pPr>
              <w:pStyle w:val="Text"/>
              <w:spacing w:before="40" w:after="40" w:line="220" w:lineRule="exact"/>
              <w:ind w:right="57"/>
              <w:jc w:val="right"/>
              <w:rPr>
                <w:rFonts w:ascii="Times New Roman" w:hAnsi="Times New Roman"/>
                <w:sz w:val="18"/>
                <w:lang w:val="fr-FR"/>
              </w:rPr>
            </w:pPr>
            <w:r w:rsidRPr="00DC3DED">
              <w:rPr>
                <w:rFonts w:ascii="Times New Roman" w:hAnsi="Times New Roman"/>
                <w:sz w:val="18"/>
                <w:lang w:val="fr-FR"/>
              </w:rPr>
              <w:t>-10</w:t>
            </w:r>
          </w:p>
        </w:tc>
      </w:tr>
      <w:tr w:rsidR="000B562B" w:rsidRPr="00A176EA" w:rsidTr="00237732">
        <w:trPr>
          <w:cantSplit/>
          <w:trHeight w:val="240"/>
        </w:trPr>
        <w:tc>
          <w:tcPr>
            <w:tcW w:w="3968" w:type="dxa"/>
            <w:shd w:val="clear" w:color="auto" w:fill="auto"/>
          </w:tcPr>
          <w:p w:rsidR="000B562B" w:rsidRPr="00A176EA" w:rsidRDefault="00DC3DED" w:rsidP="00C32C70">
            <w:pPr>
              <w:pStyle w:val="Text"/>
              <w:spacing w:before="40" w:after="40" w:line="220" w:lineRule="exact"/>
              <w:rPr>
                <w:rFonts w:ascii="Times New Roman" w:hAnsi="Times New Roman"/>
                <w:sz w:val="18"/>
                <w:lang w:val="fr-FR"/>
              </w:rPr>
            </w:pPr>
            <w:r>
              <w:rPr>
                <w:rFonts w:ascii="Times New Roman" w:hAnsi="Times New Roman"/>
                <w:sz w:val="18"/>
                <w:lang w:val="fr-FR"/>
              </w:rPr>
              <w:t>Formulation d’une recommandation</w:t>
            </w:r>
          </w:p>
        </w:tc>
        <w:tc>
          <w:tcPr>
            <w:tcW w:w="1077" w:type="dxa"/>
            <w:shd w:val="clear" w:color="auto" w:fill="auto"/>
            <w:vAlign w:val="bottom"/>
          </w:tcPr>
          <w:p w:rsidR="000B562B" w:rsidRPr="00DC3DED" w:rsidRDefault="000B562B" w:rsidP="00237732">
            <w:pPr>
              <w:pStyle w:val="Text"/>
              <w:spacing w:before="40" w:after="40" w:line="220" w:lineRule="exact"/>
              <w:ind w:right="57"/>
              <w:jc w:val="right"/>
              <w:rPr>
                <w:rFonts w:ascii="Times New Roman" w:hAnsi="Times New Roman"/>
                <w:sz w:val="18"/>
                <w:lang w:val="fr-FR"/>
              </w:rPr>
            </w:pPr>
            <w:r w:rsidRPr="00DC3DED">
              <w:rPr>
                <w:rFonts w:ascii="Times New Roman" w:hAnsi="Times New Roman"/>
                <w:sz w:val="18"/>
                <w:lang w:val="fr-FR"/>
              </w:rPr>
              <w:t>455</w:t>
            </w:r>
          </w:p>
        </w:tc>
        <w:tc>
          <w:tcPr>
            <w:tcW w:w="1077" w:type="dxa"/>
            <w:shd w:val="clear" w:color="auto" w:fill="auto"/>
            <w:vAlign w:val="bottom"/>
          </w:tcPr>
          <w:p w:rsidR="000B562B" w:rsidRPr="00DC3DED" w:rsidRDefault="000B562B" w:rsidP="00237732">
            <w:pPr>
              <w:pStyle w:val="Text"/>
              <w:spacing w:before="40" w:after="40" w:line="220" w:lineRule="exact"/>
              <w:ind w:right="57"/>
              <w:jc w:val="right"/>
              <w:rPr>
                <w:rFonts w:ascii="Times New Roman" w:hAnsi="Times New Roman"/>
                <w:sz w:val="18"/>
                <w:lang w:val="fr-FR"/>
              </w:rPr>
            </w:pPr>
            <w:r w:rsidRPr="00DC3DED">
              <w:rPr>
                <w:rFonts w:ascii="Times New Roman" w:hAnsi="Times New Roman"/>
                <w:sz w:val="18"/>
                <w:lang w:val="fr-FR"/>
              </w:rPr>
              <w:t>601</w:t>
            </w:r>
          </w:p>
        </w:tc>
        <w:tc>
          <w:tcPr>
            <w:tcW w:w="1248" w:type="dxa"/>
            <w:shd w:val="clear" w:color="auto" w:fill="auto"/>
            <w:vAlign w:val="bottom"/>
          </w:tcPr>
          <w:p w:rsidR="000B562B" w:rsidRPr="00DC3DED" w:rsidRDefault="000B562B" w:rsidP="00237732">
            <w:pPr>
              <w:pStyle w:val="Text"/>
              <w:spacing w:before="40" w:after="40" w:line="220" w:lineRule="exact"/>
              <w:ind w:right="57"/>
              <w:jc w:val="right"/>
              <w:rPr>
                <w:rFonts w:ascii="Times New Roman" w:hAnsi="Times New Roman"/>
                <w:sz w:val="18"/>
                <w:lang w:val="fr-FR"/>
              </w:rPr>
            </w:pPr>
            <w:r w:rsidRPr="00DC3DED">
              <w:rPr>
                <w:rFonts w:ascii="Times New Roman" w:hAnsi="Times New Roman"/>
                <w:sz w:val="18"/>
                <w:lang w:val="fr-FR"/>
              </w:rPr>
              <w:t>32</w:t>
            </w:r>
          </w:p>
        </w:tc>
      </w:tr>
      <w:tr w:rsidR="000B562B" w:rsidRPr="00A176EA" w:rsidTr="00237732">
        <w:trPr>
          <w:cantSplit/>
          <w:trHeight w:val="104"/>
        </w:trPr>
        <w:tc>
          <w:tcPr>
            <w:tcW w:w="3968" w:type="dxa"/>
            <w:shd w:val="clear" w:color="auto" w:fill="auto"/>
          </w:tcPr>
          <w:p w:rsidR="000B562B" w:rsidRPr="00A176EA" w:rsidRDefault="00DC3DED" w:rsidP="00C32C70">
            <w:pPr>
              <w:pStyle w:val="Text"/>
              <w:spacing w:before="40" w:after="40" w:line="220" w:lineRule="exact"/>
              <w:rPr>
                <w:rFonts w:ascii="Times New Roman" w:hAnsi="Times New Roman"/>
                <w:sz w:val="18"/>
                <w:lang w:val="fr-FR"/>
              </w:rPr>
            </w:pPr>
            <w:r>
              <w:rPr>
                <w:rFonts w:ascii="Times New Roman" w:hAnsi="Times New Roman"/>
                <w:sz w:val="18"/>
                <w:lang w:val="fr-FR"/>
              </w:rPr>
              <w:t>Retrait par le plaignant</w:t>
            </w:r>
          </w:p>
        </w:tc>
        <w:tc>
          <w:tcPr>
            <w:tcW w:w="1077" w:type="dxa"/>
            <w:shd w:val="clear" w:color="auto" w:fill="auto"/>
            <w:vAlign w:val="bottom"/>
          </w:tcPr>
          <w:p w:rsidR="000B562B" w:rsidRPr="00DC3DED" w:rsidRDefault="000B562B" w:rsidP="00237732">
            <w:pPr>
              <w:pStyle w:val="Text"/>
              <w:spacing w:before="40" w:after="40" w:line="220" w:lineRule="exact"/>
              <w:ind w:right="57"/>
              <w:jc w:val="right"/>
              <w:rPr>
                <w:rFonts w:ascii="Times New Roman" w:hAnsi="Times New Roman"/>
                <w:sz w:val="18"/>
                <w:lang w:val="fr-FR"/>
              </w:rPr>
            </w:pPr>
            <w:r w:rsidRPr="00DC3DED">
              <w:rPr>
                <w:rFonts w:ascii="Times New Roman" w:hAnsi="Times New Roman"/>
                <w:sz w:val="18"/>
                <w:lang w:val="fr-FR"/>
              </w:rPr>
              <w:t>855</w:t>
            </w:r>
          </w:p>
        </w:tc>
        <w:tc>
          <w:tcPr>
            <w:tcW w:w="1077" w:type="dxa"/>
            <w:shd w:val="clear" w:color="auto" w:fill="auto"/>
            <w:vAlign w:val="bottom"/>
          </w:tcPr>
          <w:p w:rsidR="000B562B" w:rsidRPr="00DC3DED" w:rsidRDefault="000B562B" w:rsidP="00237732">
            <w:pPr>
              <w:pStyle w:val="Text"/>
              <w:spacing w:before="40" w:after="40" w:line="220" w:lineRule="exact"/>
              <w:ind w:right="57"/>
              <w:jc w:val="right"/>
              <w:rPr>
                <w:rFonts w:ascii="Times New Roman" w:hAnsi="Times New Roman"/>
                <w:sz w:val="18"/>
                <w:lang w:val="fr-FR"/>
              </w:rPr>
            </w:pPr>
            <w:r w:rsidRPr="00DC3DED">
              <w:rPr>
                <w:rFonts w:ascii="Times New Roman" w:hAnsi="Times New Roman"/>
                <w:sz w:val="18"/>
                <w:lang w:val="fr-FR"/>
              </w:rPr>
              <w:t>463</w:t>
            </w:r>
          </w:p>
        </w:tc>
        <w:tc>
          <w:tcPr>
            <w:tcW w:w="1248" w:type="dxa"/>
            <w:shd w:val="clear" w:color="auto" w:fill="auto"/>
            <w:vAlign w:val="bottom"/>
          </w:tcPr>
          <w:p w:rsidR="000B562B" w:rsidRPr="00DC3DED" w:rsidRDefault="000B562B" w:rsidP="00237732">
            <w:pPr>
              <w:pStyle w:val="Text"/>
              <w:spacing w:before="40" w:after="40" w:line="220" w:lineRule="exact"/>
              <w:ind w:right="57"/>
              <w:jc w:val="right"/>
              <w:rPr>
                <w:rFonts w:ascii="Times New Roman" w:hAnsi="Times New Roman"/>
                <w:sz w:val="18"/>
                <w:lang w:val="fr-FR"/>
              </w:rPr>
            </w:pPr>
            <w:r w:rsidRPr="00DC3DED">
              <w:rPr>
                <w:rFonts w:ascii="Times New Roman" w:hAnsi="Times New Roman"/>
                <w:sz w:val="18"/>
                <w:lang w:val="fr-FR"/>
              </w:rPr>
              <w:t>-46</w:t>
            </w:r>
          </w:p>
        </w:tc>
      </w:tr>
      <w:tr w:rsidR="000B562B" w:rsidRPr="00A176EA" w:rsidTr="00237732">
        <w:trPr>
          <w:cantSplit/>
          <w:trHeight w:val="240"/>
        </w:trPr>
        <w:tc>
          <w:tcPr>
            <w:tcW w:w="3968" w:type="dxa"/>
            <w:shd w:val="clear" w:color="auto" w:fill="auto"/>
          </w:tcPr>
          <w:p w:rsidR="000B562B" w:rsidRPr="00A176EA" w:rsidRDefault="00D912FA" w:rsidP="008B3227">
            <w:pPr>
              <w:pStyle w:val="Text"/>
              <w:spacing w:before="40" w:after="40" w:line="220" w:lineRule="exact"/>
              <w:rPr>
                <w:rFonts w:ascii="Times New Roman" w:hAnsi="Times New Roman"/>
                <w:sz w:val="18"/>
                <w:lang w:val="fr-FR"/>
              </w:rPr>
            </w:pPr>
            <w:r>
              <w:rPr>
                <w:rFonts w:ascii="Times New Roman" w:hAnsi="Times New Roman"/>
                <w:sz w:val="18"/>
                <w:lang w:val="fr-FR"/>
              </w:rPr>
              <w:t xml:space="preserve">Procédure pour </w:t>
            </w:r>
            <w:r w:rsidR="008B3227">
              <w:rPr>
                <w:rFonts w:ascii="Times New Roman" w:hAnsi="Times New Roman"/>
                <w:sz w:val="18"/>
                <w:lang w:val="fr-FR"/>
              </w:rPr>
              <w:t>conduite répréhensible</w:t>
            </w:r>
            <w:r>
              <w:rPr>
                <w:rFonts w:ascii="Times New Roman" w:hAnsi="Times New Roman"/>
                <w:sz w:val="18"/>
                <w:lang w:val="fr-FR"/>
              </w:rPr>
              <w:t xml:space="preserve"> </w:t>
            </w:r>
          </w:p>
        </w:tc>
        <w:tc>
          <w:tcPr>
            <w:tcW w:w="1077" w:type="dxa"/>
            <w:shd w:val="clear" w:color="auto" w:fill="auto"/>
            <w:vAlign w:val="bottom"/>
          </w:tcPr>
          <w:p w:rsidR="000B562B" w:rsidRPr="00D912FA" w:rsidRDefault="000B562B" w:rsidP="00237732">
            <w:pPr>
              <w:pStyle w:val="Text"/>
              <w:spacing w:before="40" w:after="40" w:line="220" w:lineRule="exact"/>
              <w:ind w:right="57"/>
              <w:jc w:val="right"/>
              <w:rPr>
                <w:rFonts w:ascii="Times New Roman" w:hAnsi="Times New Roman"/>
                <w:sz w:val="18"/>
                <w:lang w:val="fr-FR"/>
              </w:rPr>
            </w:pPr>
            <w:r w:rsidRPr="00D912FA">
              <w:rPr>
                <w:rFonts w:ascii="Times New Roman" w:hAnsi="Times New Roman"/>
                <w:sz w:val="18"/>
                <w:lang w:val="fr-FR"/>
              </w:rPr>
              <w:t>120</w:t>
            </w:r>
          </w:p>
        </w:tc>
        <w:tc>
          <w:tcPr>
            <w:tcW w:w="1077" w:type="dxa"/>
            <w:shd w:val="clear" w:color="auto" w:fill="auto"/>
            <w:vAlign w:val="bottom"/>
          </w:tcPr>
          <w:p w:rsidR="000B562B" w:rsidRPr="00D912FA" w:rsidRDefault="000B562B" w:rsidP="00237732">
            <w:pPr>
              <w:pStyle w:val="Text"/>
              <w:spacing w:before="40" w:after="40" w:line="220" w:lineRule="exact"/>
              <w:ind w:right="57"/>
              <w:jc w:val="right"/>
              <w:rPr>
                <w:rFonts w:ascii="Times New Roman" w:hAnsi="Times New Roman"/>
                <w:sz w:val="18"/>
                <w:lang w:val="fr-FR"/>
              </w:rPr>
            </w:pPr>
            <w:r w:rsidRPr="00D912FA">
              <w:rPr>
                <w:rFonts w:ascii="Times New Roman" w:hAnsi="Times New Roman"/>
                <w:sz w:val="18"/>
                <w:lang w:val="fr-FR"/>
              </w:rPr>
              <w:t>146</w:t>
            </w:r>
          </w:p>
        </w:tc>
        <w:tc>
          <w:tcPr>
            <w:tcW w:w="1248" w:type="dxa"/>
            <w:shd w:val="clear" w:color="auto" w:fill="auto"/>
            <w:vAlign w:val="bottom"/>
          </w:tcPr>
          <w:p w:rsidR="000B562B" w:rsidRPr="00D912FA" w:rsidRDefault="000B562B" w:rsidP="00237732">
            <w:pPr>
              <w:pStyle w:val="Text"/>
              <w:spacing w:before="40" w:after="40" w:line="220" w:lineRule="exact"/>
              <w:ind w:right="57"/>
              <w:jc w:val="right"/>
              <w:rPr>
                <w:rFonts w:ascii="Times New Roman" w:hAnsi="Times New Roman"/>
                <w:sz w:val="18"/>
                <w:lang w:val="fr-FR"/>
              </w:rPr>
            </w:pPr>
            <w:r w:rsidRPr="00D912FA">
              <w:rPr>
                <w:rFonts w:ascii="Times New Roman" w:hAnsi="Times New Roman"/>
                <w:sz w:val="18"/>
                <w:lang w:val="fr-FR"/>
              </w:rPr>
              <w:t>22</w:t>
            </w:r>
          </w:p>
        </w:tc>
      </w:tr>
      <w:tr w:rsidR="000B562B" w:rsidRPr="00A176EA" w:rsidTr="00237732">
        <w:trPr>
          <w:cantSplit/>
          <w:trHeight w:val="240"/>
        </w:trPr>
        <w:tc>
          <w:tcPr>
            <w:tcW w:w="3968" w:type="dxa"/>
            <w:shd w:val="clear" w:color="auto" w:fill="auto"/>
          </w:tcPr>
          <w:p w:rsidR="000B562B" w:rsidRDefault="000B562B" w:rsidP="00D912FA">
            <w:pPr>
              <w:pStyle w:val="Text"/>
              <w:spacing w:before="40" w:after="40" w:line="220" w:lineRule="exact"/>
              <w:rPr>
                <w:rFonts w:ascii="Times New Roman" w:hAnsi="Times New Roman"/>
                <w:sz w:val="18"/>
                <w:lang w:val="fr-FR"/>
              </w:rPr>
            </w:pPr>
            <w:r w:rsidRPr="00A176EA">
              <w:rPr>
                <w:rFonts w:ascii="Times New Roman" w:hAnsi="Times New Roman"/>
                <w:sz w:val="18"/>
                <w:lang w:val="fr-FR"/>
              </w:rPr>
              <w:t>Abandon</w:t>
            </w:r>
            <w:r w:rsidR="00D912FA">
              <w:rPr>
                <w:rFonts w:ascii="Times New Roman" w:hAnsi="Times New Roman"/>
                <w:sz w:val="18"/>
                <w:lang w:val="fr-FR"/>
              </w:rPr>
              <w:t xml:space="preserve"> pour manque de</w:t>
            </w:r>
            <w:r w:rsidRPr="00A176EA">
              <w:rPr>
                <w:rFonts w:ascii="Times New Roman" w:hAnsi="Times New Roman"/>
                <w:sz w:val="18"/>
                <w:lang w:val="fr-FR"/>
              </w:rPr>
              <w:t xml:space="preserve"> coop</w:t>
            </w:r>
            <w:r w:rsidR="00D912FA">
              <w:rPr>
                <w:rFonts w:ascii="Times New Roman" w:hAnsi="Times New Roman"/>
                <w:sz w:val="18"/>
                <w:lang w:val="fr-FR"/>
              </w:rPr>
              <w:t>é</w:t>
            </w:r>
            <w:r w:rsidRPr="00A176EA">
              <w:rPr>
                <w:rFonts w:ascii="Times New Roman" w:hAnsi="Times New Roman"/>
                <w:sz w:val="18"/>
                <w:lang w:val="fr-FR"/>
              </w:rPr>
              <w:t xml:space="preserve">ration </w:t>
            </w:r>
          </w:p>
          <w:p w:rsidR="00D912FA" w:rsidRPr="00A176EA" w:rsidRDefault="00D912FA" w:rsidP="00D912FA">
            <w:pPr>
              <w:pStyle w:val="Text"/>
              <w:spacing w:before="40" w:after="40" w:line="220" w:lineRule="exact"/>
              <w:rPr>
                <w:rFonts w:ascii="Times New Roman" w:hAnsi="Times New Roman"/>
                <w:sz w:val="18"/>
                <w:lang w:val="fr-FR"/>
              </w:rPr>
            </w:pPr>
            <w:r>
              <w:rPr>
                <w:rFonts w:ascii="Times New Roman" w:hAnsi="Times New Roman"/>
                <w:sz w:val="18"/>
                <w:lang w:val="fr-FR"/>
              </w:rPr>
              <w:t>de la part du plaignant</w:t>
            </w:r>
          </w:p>
        </w:tc>
        <w:tc>
          <w:tcPr>
            <w:tcW w:w="1077" w:type="dxa"/>
            <w:shd w:val="clear" w:color="auto" w:fill="auto"/>
            <w:vAlign w:val="bottom"/>
          </w:tcPr>
          <w:p w:rsidR="000B562B" w:rsidRPr="00A176EA" w:rsidRDefault="000B562B" w:rsidP="00237732">
            <w:pPr>
              <w:pStyle w:val="Text"/>
              <w:spacing w:before="40" w:after="40" w:line="220" w:lineRule="exact"/>
              <w:ind w:right="57"/>
              <w:jc w:val="right"/>
              <w:rPr>
                <w:rFonts w:ascii="Times New Roman" w:hAnsi="Times New Roman"/>
                <w:sz w:val="18"/>
                <w:lang w:val="fr-FR"/>
              </w:rPr>
            </w:pPr>
            <w:r w:rsidRPr="00A176EA">
              <w:rPr>
                <w:rFonts w:ascii="Times New Roman" w:hAnsi="Times New Roman"/>
                <w:sz w:val="18"/>
                <w:lang w:val="fr-FR"/>
              </w:rPr>
              <w:t>225</w:t>
            </w:r>
          </w:p>
        </w:tc>
        <w:tc>
          <w:tcPr>
            <w:tcW w:w="1077" w:type="dxa"/>
            <w:shd w:val="clear" w:color="auto" w:fill="auto"/>
            <w:vAlign w:val="bottom"/>
          </w:tcPr>
          <w:p w:rsidR="000B562B" w:rsidRPr="00A176EA" w:rsidRDefault="000B562B" w:rsidP="00237732">
            <w:pPr>
              <w:pStyle w:val="Text"/>
              <w:spacing w:before="40" w:after="40" w:line="220" w:lineRule="exact"/>
              <w:ind w:right="57"/>
              <w:jc w:val="right"/>
              <w:rPr>
                <w:rFonts w:ascii="Times New Roman" w:hAnsi="Times New Roman"/>
                <w:sz w:val="18"/>
                <w:lang w:val="fr-FR"/>
              </w:rPr>
            </w:pPr>
            <w:r w:rsidRPr="00A176EA">
              <w:rPr>
                <w:rFonts w:ascii="Times New Roman" w:hAnsi="Times New Roman"/>
                <w:sz w:val="18"/>
                <w:lang w:val="fr-FR"/>
              </w:rPr>
              <w:t>145</w:t>
            </w:r>
          </w:p>
        </w:tc>
        <w:tc>
          <w:tcPr>
            <w:tcW w:w="1248" w:type="dxa"/>
            <w:shd w:val="clear" w:color="auto" w:fill="auto"/>
            <w:vAlign w:val="bottom"/>
          </w:tcPr>
          <w:p w:rsidR="000B562B" w:rsidRPr="00A176EA" w:rsidRDefault="000B562B" w:rsidP="00237732">
            <w:pPr>
              <w:pStyle w:val="Text"/>
              <w:spacing w:before="40" w:after="40" w:line="220" w:lineRule="exact"/>
              <w:ind w:right="57"/>
              <w:jc w:val="right"/>
              <w:rPr>
                <w:rFonts w:ascii="Times New Roman" w:hAnsi="Times New Roman"/>
                <w:sz w:val="18"/>
                <w:lang w:val="fr-FR"/>
              </w:rPr>
            </w:pPr>
            <w:r w:rsidRPr="00A176EA">
              <w:rPr>
                <w:rFonts w:ascii="Times New Roman" w:hAnsi="Times New Roman"/>
                <w:sz w:val="18"/>
                <w:lang w:val="fr-FR"/>
              </w:rPr>
              <w:t>-36</w:t>
            </w:r>
          </w:p>
        </w:tc>
      </w:tr>
      <w:tr w:rsidR="000B562B" w:rsidRPr="00A176EA" w:rsidTr="00237732">
        <w:trPr>
          <w:cantSplit/>
          <w:trHeight w:val="240"/>
        </w:trPr>
        <w:tc>
          <w:tcPr>
            <w:tcW w:w="3968" w:type="dxa"/>
            <w:shd w:val="clear" w:color="auto" w:fill="auto"/>
          </w:tcPr>
          <w:p w:rsidR="000B562B" w:rsidRPr="00A176EA" w:rsidRDefault="00D912FA" w:rsidP="00C32C70">
            <w:pPr>
              <w:pStyle w:val="Text"/>
              <w:spacing w:before="40" w:after="40" w:line="220" w:lineRule="exact"/>
              <w:rPr>
                <w:rFonts w:ascii="Times New Roman" w:hAnsi="Times New Roman"/>
                <w:sz w:val="18"/>
                <w:lang w:val="fr-FR"/>
              </w:rPr>
            </w:pPr>
            <w:r>
              <w:rPr>
                <w:rFonts w:ascii="Times New Roman" w:hAnsi="Times New Roman"/>
                <w:sz w:val="18"/>
                <w:lang w:val="fr-FR"/>
              </w:rPr>
              <w:t>Poursuites pénales</w:t>
            </w:r>
          </w:p>
        </w:tc>
        <w:tc>
          <w:tcPr>
            <w:tcW w:w="1077" w:type="dxa"/>
            <w:shd w:val="clear" w:color="auto" w:fill="auto"/>
            <w:vAlign w:val="bottom"/>
          </w:tcPr>
          <w:p w:rsidR="000B562B" w:rsidRPr="00A176EA" w:rsidRDefault="000B562B" w:rsidP="00237732">
            <w:pPr>
              <w:pStyle w:val="Text"/>
              <w:spacing w:before="40" w:after="40" w:line="220" w:lineRule="exact"/>
              <w:ind w:right="57"/>
              <w:jc w:val="right"/>
              <w:rPr>
                <w:rFonts w:ascii="Times New Roman" w:hAnsi="Times New Roman"/>
                <w:sz w:val="18"/>
                <w:lang w:val="fr-FR"/>
              </w:rPr>
            </w:pPr>
            <w:r w:rsidRPr="00A176EA">
              <w:rPr>
                <w:rFonts w:ascii="Times New Roman" w:hAnsi="Times New Roman"/>
                <w:sz w:val="18"/>
                <w:lang w:val="fr-FR"/>
              </w:rPr>
              <w:t>15</w:t>
            </w:r>
          </w:p>
        </w:tc>
        <w:tc>
          <w:tcPr>
            <w:tcW w:w="1077" w:type="dxa"/>
            <w:shd w:val="clear" w:color="auto" w:fill="auto"/>
            <w:vAlign w:val="bottom"/>
          </w:tcPr>
          <w:p w:rsidR="000B562B" w:rsidRPr="00A176EA" w:rsidRDefault="000B562B" w:rsidP="00237732">
            <w:pPr>
              <w:pStyle w:val="Text"/>
              <w:spacing w:before="40" w:after="40" w:line="220" w:lineRule="exact"/>
              <w:ind w:right="57"/>
              <w:jc w:val="right"/>
              <w:rPr>
                <w:rFonts w:ascii="Times New Roman" w:hAnsi="Times New Roman"/>
                <w:sz w:val="18"/>
                <w:lang w:val="fr-FR"/>
              </w:rPr>
            </w:pPr>
            <w:r w:rsidRPr="00A176EA">
              <w:rPr>
                <w:rFonts w:ascii="Times New Roman" w:hAnsi="Times New Roman"/>
                <w:sz w:val="18"/>
                <w:lang w:val="fr-FR"/>
              </w:rPr>
              <w:t>15</w:t>
            </w:r>
          </w:p>
        </w:tc>
        <w:tc>
          <w:tcPr>
            <w:tcW w:w="1248" w:type="dxa"/>
            <w:shd w:val="clear" w:color="auto" w:fill="auto"/>
            <w:vAlign w:val="bottom"/>
          </w:tcPr>
          <w:p w:rsidR="000B562B" w:rsidRPr="00A176EA" w:rsidRDefault="000B562B" w:rsidP="00237732">
            <w:pPr>
              <w:pStyle w:val="Text"/>
              <w:spacing w:before="40" w:after="40" w:line="220" w:lineRule="exact"/>
              <w:ind w:right="57"/>
              <w:jc w:val="right"/>
              <w:rPr>
                <w:rFonts w:ascii="Times New Roman" w:hAnsi="Times New Roman"/>
                <w:sz w:val="18"/>
                <w:lang w:val="fr-FR"/>
              </w:rPr>
            </w:pPr>
            <w:r w:rsidRPr="00A176EA">
              <w:rPr>
                <w:rFonts w:ascii="Times New Roman" w:hAnsi="Times New Roman"/>
                <w:sz w:val="18"/>
                <w:lang w:val="fr-FR"/>
              </w:rPr>
              <w:t>0</w:t>
            </w:r>
          </w:p>
        </w:tc>
      </w:tr>
      <w:tr w:rsidR="000B562B" w:rsidRPr="00A176EA" w:rsidTr="00237732">
        <w:trPr>
          <w:cantSplit/>
          <w:trHeight w:val="240"/>
        </w:trPr>
        <w:tc>
          <w:tcPr>
            <w:tcW w:w="3968" w:type="dxa"/>
            <w:tcBorders>
              <w:bottom w:val="single" w:sz="4" w:space="0" w:color="auto"/>
            </w:tcBorders>
            <w:shd w:val="clear" w:color="auto" w:fill="auto"/>
          </w:tcPr>
          <w:p w:rsidR="000B562B" w:rsidRPr="00A176EA" w:rsidRDefault="00D912FA" w:rsidP="00BF602F">
            <w:pPr>
              <w:pStyle w:val="Text"/>
              <w:spacing w:before="40" w:after="40" w:line="220" w:lineRule="exact"/>
              <w:rPr>
                <w:rFonts w:ascii="Times New Roman" w:hAnsi="Times New Roman"/>
                <w:sz w:val="18"/>
                <w:lang w:val="fr-FR"/>
              </w:rPr>
            </w:pPr>
            <w:r>
              <w:rPr>
                <w:rFonts w:ascii="Times New Roman" w:hAnsi="Times New Roman"/>
                <w:sz w:val="18"/>
                <w:lang w:val="fr-FR"/>
              </w:rPr>
              <w:t>Condamnation pénale</w:t>
            </w:r>
          </w:p>
        </w:tc>
        <w:tc>
          <w:tcPr>
            <w:tcW w:w="1077" w:type="dxa"/>
            <w:tcBorders>
              <w:bottom w:val="single" w:sz="4" w:space="0" w:color="auto"/>
            </w:tcBorders>
            <w:shd w:val="clear" w:color="auto" w:fill="auto"/>
            <w:vAlign w:val="bottom"/>
          </w:tcPr>
          <w:p w:rsidR="000B562B" w:rsidRPr="00A176EA" w:rsidRDefault="000B562B" w:rsidP="00237732">
            <w:pPr>
              <w:pStyle w:val="Text"/>
              <w:spacing w:before="40" w:after="40" w:line="220" w:lineRule="exact"/>
              <w:ind w:right="57"/>
              <w:jc w:val="right"/>
              <w:rPr>
                <w:rFonts w:ascii="Times New Roman" w:hAnsi="Times New Roman"/>
                <w:sz w:val="18"/>
                <w:lang w:val="fr-FR"/>
              </w:rPr>
            </w:pPr>
            <w:r w:rsidRPr="00A176EA">
              <w:rPr>
                <w:rFonts w:ascii="Times New Roman" w:hAnsi="Times New Roman"/>
                <w:sz w:val="18"/>
                <w:lang w:val="fr-FR"/>
              </w:rPr>
              <w:t>10</w:t>
            </w:r>
          </w:p>
        </w:tc>
        <w:tc>
          <w:tcPr>
            <w:tcW w:w="1077" w:type="dxa"/>
            <w:tcBorders>
              <w:bottom w:val="single" w:sz="4" w:space="0" w:color="auto"/>
            </w:tcBorders>
            <w:shd w:val="clear" w:color="auto" w:fill="auto"/>
            <w:vAlign w:val="bottom"/>
          </w:tcPr>
          <w:p w:rsidR="000B562B" w:rsidRPr="00A176EA" w:rsidRDefault="000B562B" w:rsidP="00237732">
            <w:pPr>
              <w:pStyle w:val="Text"/>
              <w:spacing w:before="40" w:after="40" w:line="220" w:lineRule="exact"/>
              <w:ind w:right="57"/>
              <w:jc w:val="right"/>
              <w:rPr>
                <w:rFonts w:ascii="Times New Roman" w:hAnsi="Times New Roman"/>
                <w:sz w:val="18"/>
                <w:lang w:val="fr-FR"/>
              </w:rPr>
            </w:pPr>
            <w:r w:rsidRPr="00A176EA">
              <w:rPr>
                <w:rFonts w:ascii="Times New Roman" w:hAnsi="Times New Roman"/>
                <w:sz w:val="18"/>
                <w:lang w:val="fr-FR"/>
              </w:rPr>
              <w:t>9</w:t>
            </w:r>
          </w:p>
        </w:tc>
        <w:tc>
          <w:tcPr>
            <w:tcW w:w="1248" w:type="dxa"/>
            <w:tcBorders>
              <w:bottom w:val="single" w:sz="4" w:space="0" w:color="auto"/>
            </w:tcBorders>
            <w:shd w:val="clear" w:color="auto" w:fill="auto"/>
            <w:vAlign w:val="bottom"/>
          </w:tcPr>
          <w:p w:rsidR="000B562B" w:rsidRPr="00A176EA" w:rsidRDefault="000B562B" w:rsidP="00237732">
            <w:pPr>
              <w:pStyle w:val="Text"/>
              <w:spacing w:before="40" w:after="40" w:line="220" w:lineRule="exact"/>
              <w:ind w:right="57"/>
              <w:jc w:val="right"/>
              <w:rPr>
                <w:rFonts w:ascii="Times New Roman" w:hAnsi="Times New Roman"/>
                <w:sz w:val="18"/>
                <w:lang w:val="fr-FR"/>
              </w:rPr>
            </w:pPr>
            <w:r w:rsidRPr="00A176EA">
              <w:rPr>
                <w:rFonts w:ascii="Times New Roman" w:hAnsi="Times New Roman"/>
                <w:sz w:val="18"/>
                <w:lang w:val="fr-FR"/>
              </w:rPr>
              <w:t>-10</w:t>
            </w:r>
          </w:p>
        </w:tc>
      </w:tr>
      <w:tr w:rsidR="000B562B" w:rsidRPr="00237732" w:rsidTr="00237732">
        <w:trPr>
          <w:cantSplit/>
          <w:trHeight w:val="240"/>
        </w:trPr>
        <w:tc>
          <w:tcPr>
            <w:tcW w:w="3968" w:type="dxa"/>
            <w:tcBorders>
              <w:top w:val="single" w:sz="4" w:space="0" w:color="auto"/>
              <w:bottom w:val="single" w:sz="12" w:space="0" w:color="auto"/>
            </w:tcBorders>
            <w:shd w:val="clear" w:color="auto" w:fill="auto"/>
          </w:tcPr>
          <w:p w:rsidR="000B562B" w:rsidRPr="00237732" w:rsidRDefault="000B562B" w:rsidP="00237732">
            <w:pPr>
              <w:pStyle w:val="Text"/>
              <w:spacing w:before="80" w:after="80" w:line="220" w:lineRule="exact"/>
              <w:ind w:left="283"/>
              <w:rPr>
                <w:rFonts w:ascii="Times New Roman" w:hAnsi="Times New Roman"/>
                <w:b/>
                <w:bCs/>
                <w:sz w:val="18"/>
                <w:lang w:val="fr-FR"/>
              </w:rPr>
            </w:pPr>
            <w:r w:rsidRPr="00237732">
              <w:rPr>
                <w:rFonts w:ascii="Times New Roman" w:hAnsi="Times New Roman"/>
                <w:b/>
                <w:bCs/>
                <w:sz w:val="18"/>
                <w:lang w:val="fr-FR"/>
              </w:rPr>
              <w:t>Total</w:t>
            </w:r>
          </w:p>
        </w:tc>
        <w:tc>
          <w:tcPr>
            <w:tcW w:w="1077" w:type="dxa"/>
            <w:tcBorders>
              <w:top w:val="single" w:sz="4" w:space="0" w:color="auto"/>
              <w:bottom w:val="single" w:sz="12" w:space="0" w:color="auto"/>
            </w:tcBorders>
            <w:shd w:val="clear" w:color="auto" w:fill="auto"/>
            <w:vAlign w:val="bottom"/>
          </w:tcPr>
          <w:p w:rsidR="000B562B" w:rsidRPr="00237732" w:rsidRDefault="000B562B" w:rsidP="00237732">
            <w:pPr>
              <w:pStyle w:val="Text"/>
              <w:spacing w:before="80" w:after="80" w:line="220" w:lineRule="exact"/>
              <w:ind w:right="57"/>
              <w:jc w:val="right"/>
              <w:rPr>
                <w:rFonts w:ascii="Times New Roman" w:hAnsi="Times New Roman"/>
                <w:b/>
                <w:bCs/>
                <w:sz w:val="18"/>
                <w:lang w:val="fr-FR"/>
              </w:rPr>
            </w:pPr>
            <w:r w:rsidRPr="00237732">
              <w:rPr>
                <w:rFonts w:ascii="Times New Roman" w:hAnsi="Times New Roman"/>
                <w:b/>
                <w:bCs/>
                <w:sz w:val="18"/>
                <w:lang w:val="fr-FR"/>
              </w:rPr>
              <w:t>6,690</w:t>
            </w:r>
          </w:p>
        </w:tc>
        <w:tc>
          <w:tcPr>
            <w:tcW w:w="1077" w:type="dxa"/>
            <w:tcBorders>
              <w:top w:val="single" w:sz="4" w:space="0" w:color="auto"/>
              <w:bottom w:val="single" w:sz="12" w:space="0" w:color="auto"/>
            </w:tcBorders>
            <w:shd w:val="clear" w:color="auto" w:fill="auto"/>
            <w:vAlign w:val="bottom"/>
          </w:tcPr>
          <w:p w:rsidR="000B562B" w:rsidRPr="00237732" w:rsidRDefault="000B562B" w:rsidP="00237732">
            <w:pPr>
              <w:pStyle w:val="Text"/>
              <w:spacing w:before="80" w:after="80" w:line="220" w:lineRule="exact"/>
              <w:ind w:right="57"/>
              <w:jc w:val="right"/>
              <w:rPr>
                <w:rFonts w:ascii="Times New Roman" w:hAnsi="Times New Roman"/>
                <w:b/>
                <w:bCs/>
                <w:sz w:val="18"/>
                <w:lang w:val="fr-FR"/>
              </w:rPr>
            </w:pPr>
            <w:r w:rsidRPr="00237732">
              <w:rPr>
                <w:rFonts w:ascii="Times New Roman" w:hAnsi="Times New Roman"/>
                <w:b/>
                <w:bCs/>
                <w:sz w:val="18"/>
                <w:lang w:val="fr-FR"/>
              </w:rPr>
              <w:t>6,931</w:t>
            </w:r>
          </w:p>
        </w:tc>
        <w:tc>
          <w:tcPr>
            <w:tcW w:w="1248" w:type="dxa"/>
            <w:tcBorders>
              <w:top w:val="single" w:sz="4" w:space="0" w:color="auto"/>
              <w:bottom w:val="single" w:sz="12" w:space="0" w:color="auto"/>
            </w:tcBorders>
            <w:shd w:val="clear" w:color="auto" w:fill="auto"/>
            <w:vAlign w:val="bottom"/>
          </w:tcPr>
          <w:p w:rsidR="000B562B" w:rsidRPr="00237732" w:rsidRDefault="000B562B" w:rsidP="00237732">
            <w:pPr>
              <w:pStyle w:val="Text"/>
              <w:spacing w:before="80" w:after="80" w:line="220" w:lineRule="exact"/>
              <w:ind w:right="57"/>
              <w:jc w:val="right"/>
              <w:rPr>
                <w:rFonts w:ascii="Times New Roman" w:hAnsi="Times New Roman"/>
                <w:b/>
                <w:bCs/>
                <w:sz w:val="18"/>
                <w:lang w:val="fr-FR"/>
              </w:rPr>
            </w:pPr>
            <w:r w:rsidRPr="00237732">
              <w:rPr>
                <w:rFonts w:ascii="Times New Roman" w:hAnsi="Times New Roman"/>
                <w:b/>
                <w:bCs/>
                <w:sz w:val="18"/>
                <w:lang w:val="fr-FR"/>
              </w:rPr>
              <w:t>4</w:t>
            </w:r>
          </w:p>
        </w:tc>
      </w:tr>
    </w:tbl>
    <w:p w:rsidR="000B562B" w:rsidRPr="00A176EA" w:rsidRDefault="002549A9" w:rsidP="00237732">
      <w:pPr>
        <w:pStyle w:val="SingleTxtG"/>
        <w:spacing w:before="240"/>
        <w:rPr>
          <w:lang w:val="fr-FR"/>
        </w:rPr>
      </w:pPr>
      <w:r w:rsidRPr="00A176EA">
        <w:rPr>
          <w:lang w:val="fr-FR"/>
        </w:rPr>
        <w:t>459.</w:t>
      </w:r>
      <w:r w:rsidRPr="00A176EA">
        <w:rPr>
          <w:lang w:val="fr-FR"/>
        </w:rPr>
        <w:tab/>
      </w:r>
      <w:r w:rsidR="00D912FA" w:rsidRPr="00D912FA">
        <w:rPr>
          <w:lang w:val="fr-FR"/>
        </w:rPr>
        <w:t>En juin</w:t>
      </w:r>
      <w:r w:rsidR="000B562B" w:rsidRPr="00D912FA">
        <w:rPr>
          <w:lang w:val="fr-FR"/>
        </w:rPr>
        <w:t xml:space="preserve"> 2004, </w:t>
      </w:r>
      <w:r w:rsidR="00D46D1A" w:rsidRPr="00D912FA">
        <w:rPr>
          <w:lang w:val="fr-FR"/>
        </w:rPr>
        <w:t>l’Inspection des services de police de Sa Majesté pour l’Écosse</w:t>
      </w:r>
      <w:r w:rsidR="000B562B" w:rsidRPr="00A176EA">
        <w:rPr>
          <w:lang w:val="fr-FR"/>
        </w:rPr>
        <w:t xml:space="preserve"> </w:t>
      </w:r>
      <w:r w:rsidR="0090765F">
        <w:rPr>
          <w:lang w:val="fr-FR"/>
        </w:rPr>
        <w:t xml:space="preserve">a </w:t>
      </w:r>
      <w:r w:rsidR="009A4935">
        <w:rPr>
          <w:lang w:val="fr-FR"/>
        </w:rPr>
        <w:t xml:space="preserve">examiné les progrès réalisés par les Services de police écossais et autres parties prenantes pour donner suite aux recommandations formulées dans le rapport </w:t>
      </w:r>
      <w:r w:rsidR="00CD0110">
        <w:rPr>
          <w:lang w:val="fr-FR"/>
        </w:rPr>
        <w:t>«</w:t>
      </w:r>
      <w:r w:rsidR="009A4935">
        <w:rPr>
          <w:lang w:val="fr-FR"/>
        </w:rPr>
        <w:t>Être un bon flic</w:t>
      </w:r>
      <w:r w:rsidR="00CD0110">
        <w:rPr>
          <w:lang w:val="fr-FR"/>
        </w:rPr>
        <w:t>»</w:t>
      </w:r>
      <w:r w:rsidR="009A4935">
        <w:rPr>
          <w:lang w:val="fr-FR"/>
        </w:rPr>
        <w:t xml:space="preserve">. Le rapport suivant, intitulé </w:t>
      </w:r>
      <w:r w:rsidR="00CD0110">
        <w:rPr>
          <w:lang w:val="fr-FR"/>
        </w:rPr>
        <w:t>«</w:t>
      </w:r>
      <w:r w:rsidR="009A4935">
        <w:rPr>
          <w:lang w:val="fr-FR"/>
        </w:rPr>
        <w:t>Examen des enquêtes sur les plaintes contre la police en Écosse (2004)</w:t>
      </w:r>
      <w:r w:rsidR="000B562B" w:rsidRPr="00A176EA">
        <w:rPr>
          <w:rStyle w:val="FootnoteReference"/>
          <w:szCs w:val="24"/>
        </w:rPr>
        <w:footnoteReference w:id="63"/>
      </w:r>
      <w:r w:rsidR="009A4935">
        <w:rPr>
          <w:lang w:val="fr-FR"/>
        </w:rPr>
        <w:t xml:space="preserve">, a révélé que, en règle générale, les services </w:t>
      </w:r>
      <w:r w:rsidR="00E80397">
        <w:rPr>
          <w:lang w:val="fr-FR"/>
        </w:rPr>
        <w:t>donnaient correctement suite</w:t>
      </w:r>
      <w:r w:rsidR="009A4935">
        <w:rPr>
          <w:lang w:val="fr-FR"/>
        </w:rPr>
        <w:t xml:space="preserve"> aux recommandations et a mis en valeur les éléments de bonnes pratiques</w:t>
      </w:r>
      <w:r w:rsidR="000B562B" w:rsidRPr="00A176EA">
        <w:rPr>
          <w:lang w:val="fr-FR"/>
        </w:rPr>
        <w:t>.</w:t>
      </w:r>
    </w:p>
    <w:p w:rsidR="000B562B" w:rsidRPr="00A176EA" w:rsidRDefault="002549A9" w:rsidP="006E6851">
      <w:pPr>
        <w:pStyle w:val="SingleTxtG"/>
        <w:rPr>
          <w:lang w:val="fr-FR"/>
        </w:rPr>
      </w:pPr>
      <w:r w:rsidRPr="00A176EA">
        <w:rPr>
          <w:lang w:val="fr-FR"/>
        </w:rPr>
        <w:t>460.</w:t>
      </w:r>
      <w:r w:rsidRPr="00A176EA">
        <w:rPr>
          <w:lang w:val="fr-FR"/>
        </w:rPr>
        <w:tab/>
      </w:r>
      <w:r w:rsidR="009A4935">
        <w:rPr>
          <w:lang w:val="fr-FR"/>
        </w:rPr>
        <w:t>Le 1</w:t>
      </w:r>
      <w:r w:rsidR="009A4935" w:rsidRPr="009A4935">
        <w:rPr>
          <w:vertAlign w:val="superscript"/>
          <w:lang w:val="fr-FR"/>
        </w:rPr>
        <w:t>er</w:t>
      </w:r>
      <w:r w:rsidR="009A4935">
        <w:rPr>
          <w:lang w:val="fr-FR"/>
        </w:rPr>
        <w:t xml:space="preserve"> avril 2007, le pouvoir exécutif écossais a créé un nouvel organisme indépendant, le Commissaire aux plaintes contre la police pour l’Écosse. Le Commissaire </w:t>
      </w:r>
      <w:r w:rsidR="006E6851">
        <w:rPr>
          <w:lang w:val="fr-FR"/>
        </w:rPr>
        <w:t xml:space="preserve">est habilité à examiner la manière dont une plainte pertinente a été traitée. Sa fonction a été créée par la loi de 2006 sur la police, l’ordre public et la justice pénale </w:t>
      </w:r>
      <w:r w:rsidR="006E6851" w:rsidRPr="006E6851">
        <w:rPr>
          <w:lang w:val="fr-FR"/>
        </w:rPr>
        <w:t>(Écosse)</w:t>
      </w:r>
      <w:r w:rsidR="000B562B" w:rsidRPr="00A176EA">
        <w:rPr>
          <w:lang w:val="fr-FR"/>
        </w:rPr>
        <w:t>.</w:t>
      </w:r>
    </w:p>
    <w:p w:rsidR="000B562B" w:rsidRPr="00A176EA" w:rsidRDefault="002549A9" w:rsidP="00C32C70">
      <w:pPr>
        <w:pStyle w:val="SingleTxtG"/>
        <w:rPr>
          <w:lang w:val="fr-FR"/>
        </w:rPr>
      </w:pPr>
      <w:r w:rsidRPr="00A176EA">
        <w:rPr>
          <w:lang w:val="fr-FR"/>
        </w:rPr>
        <w:t>461.</w:t>
      </w:r>
      <w:r w:rsidRPr="00A176EA">
        <w:rPr>
          <w:lang w:val="fr-FR"/>
        </w:rPr>
        <w:tab/>
      </w:r>
      <w:r w:rsidR="009A4935">
        <w:rPr>
          <w:lang w:val="fr-FR"/>
        </w:rPr>
        <w:t>Le Commissaire</w:t>
      </w:r>
      <w:r w:rsidR="000B562B" w:rsidRPr="00A176EA">
        <w:rPr>
          <w:lang w:val="fr-FR"/>
        </w:rPr>
        <w:t xml:space="preserve"> </w:t>
      </w:r>
      <w:r w:rsidR="006E6851">
        <w:rPr>
          <w:lang w:val="fr-FR"/>
        </w:rPr>
        <w:t xml:space="preserve">peut examiner la façon dont les plaintes relatives au comportement d’un fonctionnaire de police ou </w:t>
      </w:r>
      <w:r w:rsidR="00E80397">
        <w:rPr>
          <w:lang w:val="fr-FR"/>
        </w:rPr>
        <w:t xml:space="preserve">d’un membre du </w:t>
      </w:r>
      <w:r w:rsidR="006E6851">
        <w:rPr>
          <w:lang w:val="fr-FR"/>
        </w:rPr>
        <w:t xml:space="preserve">personnel </w:t>
      </w:r>
      <w:r w:rsidR="00E80397">
        <w:rPr>
          <w:lang w:val="fr-FR"/>
        </w:rPr>
        <w:t xml:space="preserve">administratif </w:t>
      </w:r>
      <w:r w:rsidR="006E6851">
        <w:rPr>
          <w:lang w:val="fr-FR"/>
        </w:rPr>
        <w:t xml:space="preserve">de </w:t>
      </w:r>
      <w:r w:rsidR="00E80397">
        <w:rPr>
          <w:lang w:val="fr-FR"/>
        </w:rPr>
        <w:t xml:space="preserve">la </w:t>
      </w:r>
      <w:r w:rsidR="006E6851">
        <w:rPr>
          <w:lang w:val="fr-FR"/>
        </w:rPr>
        <w:t xml:space="preserve">police ont été traitées, ainsi que la qualité des services fournis par une </w:t>
      </w:r>
      <w:r w:rsidR="00D4624A">
        <w:rPr>
          <w:lang w:val="fr-FR"/>
        </w:rPr>
        <w:t>force</w:t>
      </w:r>
      <w:r w:rsidR="006E6851">
        <w:rPr>
          <w:lang w:val="fr-FR"/>
        </w:rPr>
        <w:t xml:space="preserve"> de police, une autorité policière ou un service de police. </w:t>
      </w:r>
      <w:r w:rsidR="0005706C">
        <w:rPr>
          <w:lang w:val="fr-FR"/>
        </w:rPr>
        <w:t>Le Commissaire peut ordonner à ces instances de réexaminer une plainte, mais également décider qui doit le faire et, dans certains cas, superviser personnellement ce réexamen</w:t>
      </w:r>
      <w:r w:rsidR="000B562B" w:rsidRPr="00A176EA">
        <w:rPr>
          <w:lang w:val="fr-FR"/>
        </w:rPr>
        <w:t>.</w:t>
      </w:r>
    </w:p>
    <w:p w:rsidR="000B562B" w:rsidRPr="00A176EA" w:rsidRDefault="002549A9" w:rsidP="00F5095A">
      <w:pPr>
        <w:pStyle w:val="SingleTxtG"/>
        <w:rPr>
          <w:lang w:val="fr-FR"/>
        </w:rPr>
      </w:pPr>
      <w:r w:rsidRPr="00A176EA">
        <w:rPr>
          <w:lang w:val="fr-FR"/>
        </w:rPr>
        <w:t>462.</w:t>
      </w:r>
      <w:r w:rsidRPr="00A176EA">
        <w:rPr>
          <w:lang w:val="fr-FR"/>
        </w:rPr>
        <w:tab/>
      </w:r>
      <w:r w:rsidR="009A4935">
        <w:rPr>
          <w:lang w:val="fr-FR"/>
        </w:rPr>
        <w:t>Le Commissaire</w:t>
      </w:r>
      <w:r w:rsidR="000B562B" w:rsidRPr="00A176EA">
        <w:rPr>
          <w:lang w:val="fr-FR"/>
        </w:rPr>
        <w:t xml:space="preserve"> </w:t>
      </w:r>
      <w:r w:rsidR="0005706C">
        <w:rPr>
          <w:lang w:val="fr-FR"/>
        </w:rPr>
        <w:t>n’a pas le pouvoir d’examiner une plainte au fond ni celles dont un tribunal a été saisi ou qui font déjà l’objet d’une procédure. Toute plainte à caractère pénal est transmise au Bureau de la Couronne et a</w:t>
      </w:r>
      <w:r w:rsidR="00F5095A">
        <w:rPr>
          <w:lang w:val="fr-FR"/>
        </w:rPr>
        <w:t>u ministère public. Le Commissaire ne traite pas les plaintes concernant l’emploi et la gestion du personnel s’agissant d’individus qui travaillent ou ont travaillé avec les services de police</w:t>
      </w:r>
      <w:r w:rsidR="000B562B" w:rsidRPr="00A176EA">
        <w:rPr>
          <w:lang w:val="fr-FR"/>
        </w:rPr>
        <w:t>.</w:t>
      </w:r>
    </w:p>
    <w:p w:rsidR="000B562B" w:rsidRPr="00F5095A" w:rsidRDefault="008F3DA4" w:rsidP="00DE1014">
      <w:pPr>
        <w:pStyle w:val="H23G"/>
        <w:rPr>
          <w:lang w:val="fr-FR"/>
        </w:rPr>
      </w:pPr>
      <w:r w:rsidRPr="00F5095A">
        <w:rPr>
          <w:lang w:val="fr-FR"/>
        </w:rPr>
        <w:t>Irlande du Nord</w:t>
      </w:r>
    </w:p>
    <w:p w:rsidR="000B562B" w:rsidRPr="00F5095A" w:rsidRDefault="002549A9" w:rsidP="0091555B">
      <w:pPr>
        <w:pStyle w:val="SingleTxtG"/>
        <w:spacing w:after="240"/>
        <w:rPr>
          <w:lang w:val="fr-FR"/>
        </w:rPr>
      </w:pPr>
      <w:r w:rsidRPr="00F5095A">
        <w:rPr>
          <w:lang w:val="fr-FR"/>
        </w:rPr>
        <w:t>463.</w:t>
      </w:r>
      <w:r w:rsidRPr="00F5095A">
        <w:rPr>
          <w:lang w:val="fr-FR"/>
        </w:rPr>
        <w:tab/>
      </w:r>
      <w:r w:rsidR="00A72D7E" w:rsidRPr="00F5095A">
        <w:rPr>
          <w:lang w:val="fr-FR"/>
        </w:rPr>
        <w:t xml:space="preserve">Le détail des procédures de plainte contre la police </w:t>
      </w:r>
      <w:r w:rsidR="00D4624A">
        <w:rPr>
          <w:lang w:val="fr-FR"/>
        </w:rPr>
        <w:t>en</w:t>
      </w:r>
      <w:r w:rsidR="00A72D7E" w:rsidRPr="00F5095A">
        <w:rPr>
          <w:lang w:val="fr-FR"/>
        </w:rPr>
        <w:t xml:space="preserve"> Irlande du Nord est indiqué au paragraphe </w:t>
      </w:r>
      <w:r w:rsidR="000B562B" w:rsidRPr="00F5095A">
        <w:rPr>
          <w:lang w:val="fr-FR"/>
        </w:rPr>
        <w:t xml:space="preserve">799. </w:t>
      </w:r>
      <w:r w:rsidR="00A72D7E" w:rsidRPr="00F5095A">
        <w:rPr>
          <w:lang w:val="fr-FR"/>
        </w:rPr>
        <w:t xml:space="preserve">Le nombre de plaintes déposées à partir du 6 novembre </w:t>
      </w:r>
      <w:r w:rsidR="000B562B" w:rsidRPr="00F5095A">
        <w:rPr>
          <w:lang w:val="fr-FR"/>
        </w:rPr>
        <w:t xml:space="preserve">2000 </w:t>
      </w:r>
      <w:r w:rsidR="00A72D7E" w:rsidRPr="00F5095A">
        <w:rPr>
          <w:lang w:val="fr-FR"/>
        </w:rPr>
        <w:t>figure dans le tableau ci-dessous</w:t>
      </w:r>
      <w:r w:rsidR="000B562B" w:rsidRPr="00F5095A">
        <w:rPr>
          <w:lang w:val="fr-FR"/>
        </w:rPr>
        <w:t>.</w:t>
      </w:r>
    </w:p>
    <w:tbl>
      <w:tblPr>
        <w:tblW w:w="7304" w:type="dxa"/>
        <w:tblInd w:w="1148" w:type="dxa"/>
        <w:tblBorders>
          <w:top w:val="single" w:sz="4" w:space="0" w:color="auto"/>
        </w:tblBorders>
        <w:tblCellMar>
          <w:left w:w="0" w:type="dxa"/>
          <w:right w:w="0" w:type="dxa"/>
        </w:tblCellMar>
        <w:tblLook w:val="01E0" w:firstRow="1" w:lastRow="1" w:firstColumn="1" w:lastColumn="1" w:noHBand="0" w:noVBand="0"/>
      </w:tblPr>
      <w:tblGrid>
        <w:gridCol w:w="4145"/>
        <w:gridCol w:w="3159"/>
      </w:tblGrid>
      <w:tr w:rsidR="000B562B" w:rsidRPr="00F5095A" w:rsidTr="00237732">
        <w:tblPrEx>
          <w:tblCellMar>
            <w:top w:w="0" w:type="dxa"/>
            <w:bottom w:w="0" w:type="dxa"/>
          </w:tblCellMar>
        </w:tblPrEx>
        <w:trPr>
          <w:trHeight w:val="240"/>
          <w:tblHeader/>
        </w:trPr>
        <w:tc>
          <w:tcPr>
            <w:tcW w:w="4145" w:type="dxa"/>
            <w:tcBorders>
              <w:top w:val="single" w:sz="4" w:space="0" w:color="auto"/>
              <w:bottom w:val="single" w:sz="12" w:space="0" w:color="auto"/>
            </w:tcBorders>
            <w:shd w:val="clear" w:color="auto" w:fill="auto"/>
            <w:vAlign w:val="bottom"/>
          </w:tcPr>
          <w:p w:rsidR="000B562B" w:rsidRPr="00F5095A" w:rsidRDefault="000B562B" w:rsidP="00C32C70">
            <w:pPr>
              <w:pStyle w:val="Text"/>
              <w:spacing w:before="80" w:after="80" w:line="200" w:lineRule="exact"/>
              <w:rPr>
                <w:rFonts w:ascii="Times New Roman" w:hAnsi="Times New Roman"/>
                <w:i/>
                <w:sz w:val="16"/>
                <w:lang w:val="fr-FR"/>
              </w:rPr>
            </w:pPr>
            <w:r w:rsidRPr="00F5095A">
              <w:rPr>
                <w:rFonts w:ascii="Times New Roman" w:hAnsi="Times New Roman"/>
                <w:i/>
                <w:sz w:val="16"/>
                <w:lang w:val="fr-FR"/>
              </w:rPr>
              <w:t>Date</w:t>
            </w:r>
          </w:p>
        </w:tc>
        <w:tc>
          <w:tcPr>
            <w:tcW w:w="3159" w:type="dxa"/>
            <w:tcBorders>
              <w:top w:val="single" w:sz="4" w:space="0" w:color="auto"/>
              <w:bottom w:val="single" w:sz="12" w:space="0" w:color="auto"/>
            </w:tcBorders>
            <w:shd w:val="clear" w:color="auto" w:fill="auto"/>
            <w:vAlign w:val="bottom"/>
          </w:tcPr>
          <w:p w:rsidR="000B562B" w:rsidRPr="00F5095A" w:rsidRDefault="00D73889" w:rsidP="0091555B">
            <w:pPr>
              <w:pStyle w:val="Text"/>
              <w:spacing w:before="80" w:after="80" w:line="200" w:lineRule="exact"/>
              <w:ind w:left="113" w:right="57"/>
              <w:jc w:val="right"/>
              <w:rPr>
                <w:rFonts w:ascii="Times New Roman" w:hAnsi="Times New Roman"/>
                <w:i/>
                <w:sz w:val="16"/>
                <w:lang w:val="fr-FR"/>
              </w:rPr>
            </w:pPr>
            <w:r w:rsidRPr="00F5095A">
              <w:rPr>
                <w:rFonts w:ascii="Times New Roman" w:hAnsi="Times New Roman"/>
                <w:i/>
                <w:sz w:val="16"/>
                <w:lang w:val="fr-FR"/>
              </w:rPr>
              <w:t>Nombre de plaintes</w:t>
            </w:r>
          </w:p>
        </w:tc>
      </w:tr>
      <w:tr w:rsidR="000B562B" w:rsidRPr="00F5095A" w:rsidTr="00237732">
        <w:tblPrEx>
          <w:tblCellMar>
            <w:top w:w="0" w:type="dxa"/>
            <w:bottom w:w="0" w:type="dxa"/>
          </w:tblCellMar>
        </w:tblPrEx>
        <w:trPr>
          <w:trHeight w:val="240"/>
        </w:trPr>
        <w:tc>
          <w:tcPr>
            <w:tcW w:w="4145" w:type="dxa"/>
            <w:tcBorders>
              <w:top w:val="single" w:sz="12" w:space="0" w:color="auto"/>
            </w:tcBorders>
            <w:shd w:val="clear" w:color="auto" w:fill="auto"/>
          </w:tcPr>
          <w:p w:rsidR="000B562B" w:rsidRPr="00F5095A" w:rsidRDefault="000B562B" w:rsidP="00D73889">
            <w:pPr>
              <w:pStyle w:val="Text"/>
              <w:spacing w:before="40" w:after="40" w:line="220" w:lineRule="exact"/>
              <w:rPr>
                <w:rFonts w:ascii="Times New Roman" w:hAnsi="Times New Roman"/>
                <w:sz w:val="18"/>
                <w:lang w:val="fr-FR"/>
              </w:rPr>
            </w:pPr>
            <w:r w:rsidRPr="00F5095A">
              <w:rPr>
                <w:rFonts w:ascii="Times New Roman" w:hAnsi="Times New Roman"/>
                <w:sz w:val="18"/>
                <w:lang w:val="fr-FR"/>
              </w:rPr>
              <w:t xml:space="preserve">6 </w:t>
            </w:r>
            <w:r w:rsidR="00D73889" w:rsidRPr="00F5095A">
              <w:rPr>
                <w:rFonts w:ascii="Times New Roman" w:hAnsi="Times New Roman"/>
                <w:sz w:val="18"/>
                <w:lang w:val="fr-FR"/>
              </w:rPr>
              <w:t>n</w:t>
            </w:r>
            <w:r w:rsidRPr="00F5095A">
              <w:rPr>
                <w:rFonts w:ascii="Times New Roman" w:hAnsi="Times New Roman"/>
                <w:sz w:val="18"/>
                <w:lang w:val="fr-FR"/>
              </w:rPr>
              <w:t xml:space="preserve">ov 2000–31 </w:t>
            </w:r>
            <w:r w:rsidR="00D73889" w:rsidRPr="00F5095A">
              <w:rPr>
                <w:rFonts w:ascii="Times New Roman" w:hAnsi="Times New Roman"/>
                <w:sz w:val="18"/>
                <w:lang w:val="fr-FR"/>
              </w:rPr>
              <w:t>m</w:t>
            </w:r>
            <w:r w:rsidRPr="00F5095A">
              <w:rPr>
                <w:rFonts w:ascii="Times New Roman" w:hAnsi="Times New Roman"/>
                <w:sz w:val="18"/>
                <w:lang w:val="fr-FR"/>
              </w:rPr>
              <w:t>ar</w:t>
            </w:r>
            <w:r w:rsidR="00D73889" w:rsidRPr="00F5095A">
              <w:rPr>
                <w:rFonts w:ascii="Times New Roman" w:hAnsi="Times New Roman"/>
                <w:sz w:val="18"/>
                <w:lang w:val="fr-FR"/>
              </w:rPr>
              <w:t>s</w:t>
            </w:r>
            <w:r w:rsidRPr="00F5095A">
              <w:rPr>
                <w:rFonts w:ascii="Times New Roman" w:hAnsi="Times New Roman"/>
                <w:sz w:val="18"/>
                <w:lang w:val="fr-FR"/>
              </w:rPr>
              <w:t xml:space="preserve"> 2001</w:t>
            </w:r>
          </w:p>
        </w:tc>
        <w:tc>
          <w:tcPr>
            <w:tcW w:w="3159" w:type="dxa"/>
            <w:tcBorders>
              <w:top w:val="single" w:sz="12" w:space="0" w:color="auto"/>
            </w:tcBorders>
            <w:shd w:val="clear" w:color="auto" w:fill="auto"/>
            <w:vAlign w:val="bottom"/>
          </w:tcPr>
          <w:p w:rsidR="000B562B" w:rsidRPr="00F5095A" w:rsidRDefault="000B562B" w:rsidP="0091555B">
            <w:pPr>
              <w:pStyle w:val="Text"/>
              <w:spacing w:before="40" w:after="40" w:line="220" w:lineRule="exact"/>
              <w:ind w:left="113" w:right="57"/>
              <w:jc w:val="right"/>
              <w:rPr>
                <w:rFonts w:ascii="Times New Roman" w:hAnsi="Times New Roman"/>
                <w:sz w:val="18"/>
                <w:lang w:val="fr-FR"/>
              </w:rPr>
            </w:pPr>
            <w:r w:rsidRPr="00F5095A">
              <w:rPr>
                <w:rFonts w:ascii="Times New Roman" w:hAnsi="Times New Roman"/>
                <w:sz w:val="18"/>
                <w:lang w:val="fr-FR"/>
              </w:rPr>
              <w:t>1</w:t>
            </w:r>
            <w:r w:rsidR="00D73889" w:rsidRPr="00F5095A">
              <w:rPr>
                <w:rFonts w:ascii="Times New Roman" w:hAnsi="Times New Roman"/>
                <w:sz w:val="18"/>
                <w:lang w:val="fr-FR"/>
              </w:rPr>
              <w:t xml:space="preserve"> </w:t>
            </w:r>
            <w:r w:rsidRPr="00F5095A">
              <w:rPr>
                <w:rFonts w:ascii="Times New Roman" w:hAnsi="Times New Roman"/>
                <w:sz w:val="18"/>
                <w:lang w:val="fr-FR"/>
              </w:rPr>
              <w:t>531</w:t>
            </w:r>
          </w:p>
        </w:tc>
      </w:tr>
      <w:tr w:rsidR="000B562B" w:rsidRPr="00F5095A" w:rsidTr="00237732">
        <w:tblPrEx>
          <w:tblCellMar>
            <w:top w:w="0" w:type="dxa"/>
            <w:bottom w:w="0" w:type="dxa"/>
          </w:tblCellMar>
        </w:tblPrEx>
        <w:trPr>
          <w:trHeight w:val="240"/>
        </w:trPr>
        <w:tc>
          <w:tcPr>
            <w:tcW w:w="4145" w:type="dxa"/>
            <w:shd w:val="clear" w:color="auto" w:fill="auto"/>
          </w:tcPr>
          <w:p w:rsidR="000B562B" w:rsidRPr="00F5095A" w:rsidRDefault="000B562B" w:rsidP="00D73889">
            <w:pPr>
              <w:pStyle w:val="Text"/>
              <w:spacing w:before="40" w:after="40" w:line="220" w:lineRule="exact"/>
              <w:rPr>
                <w:rFonts w:ascii="Times New Roman" w:hAnsi="Times New Roman"/>
                <w:sz w:val="18"/>
                <w:lang w:val="fr-FR"/>
              </w:rPr>
            </w:pPr>
            <w:r w:rsidRPr="00F5095A">
              <w:rPr>
                <w:rFonts w:ascii="Times New Roman" w:hAnsi="Times New Roman"/>
                <w:sz w:val="18"/>
                <w:lang w:val="fr-FR"/>
              </w:rPr>
              <w:t>1</w:t>
            </w:r>
            <w:r w:rsidR="00D73889" w:rsidRPr="00F5095A">
              <w:rPr>
                <w:rFonts w:ascii="Times New Roman" w:hAnsi="Times New Roman"/>
                <w:sz w:val="18"/>
                <w:vertAlign w:val="superscript"/>
                <w:lang w:val="fr-FR"/>
              </w:rPr>
              <w:t>er</w:t>
            </w:r>
            <w:r w:rsidRPr="00F5095A">
              <w:rPr>
                <w:rFonts w:ascii="Times New Roman" w:hAnsi="Times New Roman"/>
                <w:sz w:val="18"/>
                <w:lang w:val="fr-FR"/>
              </w:rPr>
              <w:t xml:space="preserve"> </w:t>
            </w:r>
            <w:r w:rsidR="00D73889" w:rsidRPr="00F5095A">
              <w:rPr>
                <w:rFonts w:ascii="Times New Roman" w:hAnsi="Times New Roman"/>
                <w:sz w:val="18"/>
                <w:lang w:val="fr-FR"/>
              </w:rPr>
              <w:t>av</w:t>
            </w:r>
            <w:r w:rsidRPr="00F5095A">
              <w:rPr>
                <w:rFonts w:ascii="Times New Roman" w:hAnsi="Times New Roman"/>
                <w:sz w:val="18"/>
                <w:lang w:val="fr-FR"/>
              </w:rPr>
              <w:t xml:space="preserve">r 2001–31 </w:t>
            </w:r>
            <w:r w:rsidR="00D73889" w:rsidRPr="00F5095A">
              <w:rPr>
                <w:rFonts w:ascii="Times New Roman" w:hAnsi="Times New Roman"/>
                <w:sz w:val="18"/>
                <w:lang w:val="fr-FR"/>
              </w:rPr>
              <w:t xml:space="preserve">mars </w:t>
            </w:r>
            <w:r w:rsidRPr="00F5095A">
              <w:rPr>
                <w:rFonts w:ascii="Times New Roman" w:hAnsi="Times New Roman"/>
                <w:sz w:val="18"/>
                <w:lang w:val="fr-FR"/>
              </w:rPr>
              <w:t>2002</w:t>
            </w:r>
          </w:p>
        </w:tc>
        <w:tc>
          <w:tcPr>
            <w:tcW w:w="3159" w:type="dxa"/>
            <w:shd w:val="clear" w:color="auto" w:fill="auto"/>
            <w:vAlign w:val="bottom"/>
          </w:tcPr>
          <w:p w:rsidR="000B562B" w:rsidRPr="00F5095A" w:rsidRDefault="000B562B" w:rsidP="0091555B">
            <w:pPr>
              <w:pStyle w:val="Text"/>
              <w:spacing w:before="40" w:after="40" w:line="220" w:lineRule="exact"/>
              <w:ind w:left="113" w:right="57"/>
              <w:jc w:val="right"/>
              <w:rPr>
                <w:rFonts w:ascii="Times New Roman" w:hAnsi="Times New Roman"/>
                <w:sz w:val="18"/>
                <w:lang w:val="fr-FR"/>
              </w:rPr>
            </w:pPr>
            <w:r w:rsidRPr="00F5095A">
              <w:rPr>
                <w:rFonts w:ascii="Times New Roman" w:hAnsi="Times New Roman"/>
                <w:sz w:val="18"/>
                <w:lang w:val="fr-FR"/>
              </w:rPr>
              <w:t>3</w:t>
            </w:r>
            <w:r w:rsidR="00D73889" w:rsidRPr="00F5095A">
              <w:rPr>
                <w:rFonts w:ascii="Times New Roman" w:hAnsi="Times New Roman"/>
                <w:sz w:val="18"/>
                <w:lang w:val="fr-FR"/>
              </w:rPr>
              <w:t xml:space="preserve"> </w:t>
            </w:r>
            <w:r w:rsidRPr="00F5095A">
              <w:rPr>
                <w:rFonts w:ascii="Times New Roman" w:hAnsi="Times New Roman"/>
                <w:sz w:val="18"/>
                <w:lang w:val="fr-FR"/>
              </w:rPr>
              <w:t>600</w:t>
            </w:r>
          </w:p>
        </w:tc>
      </w:tr>
      <w:tr w:rsidR="000B562B" w:rsidRPr="00F5095A" w:rsidTr="00237732">
        <w:tblPrEx>
          <w:tblCellMar>
            <w:top w:w="0" w:type="dxa"/>
            <w:bottom w:w="0" w:type="dxa"/>
          </w:tblCellMar>
        </w:tblPrEx>
        <w:trPr>
          <w:trHeight w:val="240"/>
        </w:trPr>
        <w:tc>
          <w:tcPr>
            <w:tcW w:w="4145" w:type="dxa"/>
            <w:shd w:val="clear" w:color="auto" w:fill="auto"/>
          </w:tcPr>
          <w:p w:rsidR="000B562B" w:rsidRPr="00F5095A" w:rsidRDefault="00D25374" w:rsidP="00D73889">
            <w:pPr>
              <w:pStyle w:val="Text"/>
              <w:spacing w:before="40" w:after="40" w:line="220" w:lineRule="exact"/>
              <w:rPr>
                <w:rFonts w:ascii="Times New Roman" w:hAnsi="Times New Roman"/>
                <w:sz w:val="18"/>
                <w:lang w:val="fr-FR"/>
              </w:rPr>
            </w:pPr>
            <w:r w:rsidRPr="00F5095A">
              <w:rPr>
                <w:rFonts w:ascii="Times New Roman" w:hAnsi="Times New Roman"/>
                <w:sz w:val="18"/>
                <w:lang w:val="fr-FR"/>
              </w:rPr>
              <w:t>1</w:t>
            </w:r>
            <w:r w:rsidRPr="00F5095A">
              <w:rPr>
                <w:rFonts w:ascii="Times New Roman" w:hAnsi="Times New Roman"/>
                <w:sz w:val="18"/>
                <w:vertAlign w:val="superscript"/>
                <w:lang w:val="fr-FR"/>
              </w:rPr>
              <w:t>er</w:t>
            </w:r>
            <w:r w:rsidRPr="00F5095A">
              <w:rPr>
                <w:rFonts w:ascii="Times New Roman" w:hAnsi="Times New Roman"/>
                <w:sz w:val="18"/>
                <w:lang w:val="fr-FR"/>
              </w:rPr>
              <w:t xml:space="preserve"> avr </w:t>
            </w:r>
            <w:r w:rsidR="000B562B" w:rsidRPr="00F5095A">
              <w:rPr>
                <w:rFonts w:ascii="Times New Roman" w:hAnsi="Times New Roman"/>
                <w:sz w:val="18"/>
                <w:lang w:val="fr-FR"/>
              </w:rPr>
              <w:t xml:space="preserve">2002–31 </w:t>
            </w:r>
            <w:r w:rsidR="00D73889" w:rsidRPr="00F5095A">
              <w:rPr>
                <w:rFonts w:ascii="Times New Roman" w:hAnsi="Times New Roman"/>
                <w:sz w:val="18"/>
                <w:lang w:val="fr-FR"/>
              </w:rPr>
              <w:t xml:space="preserve">mars </w:t>
            </w:r>
            <w:r w:rsidR="000B562B" w:rsidRPr="00F5095A">
              <w:rPr>
                <w:rFonts w:ascii="Times New Roman" w:hAnsi="Times New Roman"/>
                <w:sz w:val="18"/>
                <w:lang w:val="fr-FR"/>
              </w:rPr>
              <w:t>2003</w:t>
            </w:r>
          </w:p>
        </w:tc>
        <w:tc>
          <w:tcPr>
            <w:tcW w:w="3159" w:type="dxa"/>
            <w:shd w:val="clear" w:color="auto" w:fill="auto"/>
            <w:vAlign w:val="bottom"/>
          </w:tcPr>
          <w:p w:rsidR="000B562B" w:rsidRPr="00F5095A" w:rsidRDefault="000B562B" w:rsidP="0091555B">
            <w:pPr>
              <w:pStyle w:val="Text"/>
              <w:spacing w:before="40" w:after="40" w:line="220" w:lineRule="exact"/>
              <w:ind w:left="113" w:right="57"/>
              <w:jc w:val="right"/>
              <w:rPr>
                <w:rFonts w:ascii="Times New Roman" w:hAnsi="Times New Roman"/>
                <w:sz w:val="18"/>
                <w:lang w:val="fr-FR"/>
              </w:rPr>
            </w:pPr>
            <w:r w:rsidRPr="00F5095A">
              <w:rPr>
                <w:rFonts w:ascii="Times New Roman" w:hAnsi="Times New Roman"/>
                <w:sz w:val="18"/>
                <w:lang w:val="fr-FR"/>
              </w:rPr>
              <w:t>3</w:t>
            </w:r>
            <w:r w:rsidR="00D73889" w:rsidRPr="00F5095A">
              <w:rPr>
                <w:rFonts w:ascii="Times New Roman" w:hAnsi="Times New Roman"/>
                <w:sz w:val="18"/>
                <w:lang w:val="fr-FR"/>
              </w:rPr>
              <w:t xml:space="preserve"> </w:t>
            </w:r>
            <w:r w:rsidRPr="00F5095A">
              <w:rPr>
                <w:rFonts w:ascii="Times New Roman" w:hAnsi="Times New Roman"/>
                <w:sz w:val="18"/>
                <w:lang w:val="fr-FR"/>
              </w:rPr>
              <w:t>214</w:t>
            </w:r>
          </w:p>
        </w:tc>
      </w:tr>
      <w:tr w:rsidR="000B562B" w:rsidRPr="00F5095A" w:rsidTr="00237732">
        <w:tblPrEx>
          <w:tblCellMar>
            <w:top w:w="0" w:type="dxa"/>
            <w:bottom w:w="0" w:type="dxa"/>
          </w:tblCellMar>
        </w:tblPrEx>
        <w:trPr>
          <w:trHeight w:val="240"/>
        </w:trPr>
        <w:tc>
          <w:tcPr>
            <w:tcW w:w="4145" w:type="dxa"/>
            <w:shd w:val="clear" w:color="auto" w:fill="auto"/>
          </w:tcPr>
          <w:p w:rsidR="000B562B" w:rsidRPr="00F5095A" w:rsidRDefault="00D25374" w:rsidP="00D73889">
            <w:pPr>
              <w:pStyle w:val="Text"/>
              <w:spacing w:before="40" w:after="40" w:line="220" w:lineRule="exact"/>
              <w:rPr>
                <w:rFonts w:ascii="Times New Roman" w:hAnsi="Times New Roman"/>
                <w:sz w:val="18"/>
                <w:lang w:val="fr-FR"/>
              </w:rPr>
            </w:pPr>
            <w:r w:rsidRPr="00F5095A">
              <w:rPr>
                <w:rFonts w:ascii="Times New Roman" w:hAnsi="Times New Roman"/>
                <w:sz w:val="18"/>
                <w:lang w:val="fr-FR"/>
              </w:rPr>
              <w:t>1</w:t>
            </w:r>
            <w:r w:rsidRPr="00F5095A">
              <w:rPr>
                <w:rFonts w:ascii="Times New Roman" w:hAnsi="Times New Roman"/>
                <w:sz w:val="18"/>
                <w:vertAlign w:val="superscript"/>
                <w:lang w:val="fr-FR"/>
              </w:rPr>
              <w:t>er</w:t>
            </w:r>
            <w:r w:rsidRPr="00F5095A">
              <w:rPr>
                <w:rFonts w:ascii="Times New Roman" w:hAnsi="Times New Roman"/>
                <w:sz w:val="18"/>
                <w:lang w:val="fr-FR"/>
              </w:rPr>
              <w:t xml:space="preserve"> avr </w:t>
            </w:r>
            <w:r w:rsidR="000B562B" w:rsidRPr="00F5095A">
              <w:rPr>
                <w:rFonts w:ascii="Times New Roman" w:hAnsi="Times New Roman"/>
                <w:sz w:val="18"/>
                <w:lang w:val="fr-FR"/>
              </w:rPr>
              <w:t xml:space="preserve">2003–31 </w:t>
            </w:r>
            <w:r w:rsidR="00D73889" w:rsidRPr="00F5095A">
              <w:rPr>
                <w:rFonts w:ascii="Times New Roman" w:hAnsi="Times New Roman"/>
                <w:sz w:val="18"/>
                <w:lang w:val="fr-FR"/>
              </w:rPr>
              <w:t xml:space="preserve">mars </w:t>
            </w:r>
            <w:r w:rsidR="000B562B" w:rsidRPr="00F5095A">
              <w:rPr>
                <w:rFonts w:ascii="Times New Roman" w:hAnsi="Times New Roman"/>
                <w:sz w:val="18"/>
                <w:lang w:val="fr-FR"/>
              </w:rPr>
              <w:t>2004</w:t>
            </w:r>
          </w:p>
        </w:tc>
        <w:tc>
          <w:tcPr>
            <w:tcW w:w="3159" w:type="dxa"/>
            <w:shd w:val="clear" w:color="auto" w:fill="auto"/>
            <w:vAlign w:val="bottom"/>
          </w:tcPr>
          <w:p w:rsidR="000B562B" w:rsidRPr="00F5095A" w:rsidRDefault="000B562B" w:rsidP="0091555B">
            <w:pPr>
              <w:pStyle w:val="Text"/>
              <w:spacing w:before="40" w:after="40" w:line="220" w:lineRule="exact"/>
              <w:ind w:left="113" w:right="57"/>
              <w:jc w:val="right"/>
              <w:rPr>
                <w:rFonts w:ascii="Times New Roman" w:hAnsi="Times New Roman"/>
                <w:sz w:val="18"/>
                <w:lang w:val="fr-FR"/>
              </w:rPr>
            </w:pPr>
            <w:r w:rsidRPr="00F5095A">
              <w:rPr>
                <w:rFonts w:ascii="Times New Roman" w:hAnsi="Times New Roman"/>
                <w:sz w:val="18"/>
                <w:lang w:val="fr-FR"/>
              </w:rPr>
              <w:t>2</w:t>
            </w:r>
            <w:r w:rsidR="00D73889" w:rsidRPr="00F5095A">
              <w:rPr>
                <w:rFonts w:ascii="Times New Roman" w:hAnsi="Times New Roman"/>
                <w:sz w:val="18"/>
                <w:lang w:val="fr-FR"/>
              </w:rPr>
              <w:t xml:space="preserve"> </w:t>
            </w:r>
            <w:r w:rsidRPr="00F5095A">
              <w:rPr>
                <w:rFonts w:ascii="Times New Roman" w:hAnsi="Times New Roman"/>
                <w:sz w:val="18"/>
                <w:lang w:val="fr-FR"/>
              </w:rPr>
              <w:t>979</w:t>
            </w:r>
          </w:p>
        </w:tc>
      </w:tr>
      <w:tr w:rsidR="000B562B" w:rsidRPr="00F5095A" w:rsidTr="00237732">
        <w:tblPrEx>
          <w:tblCellMar>
            <w:top w:w="0" w:type="dxa"/>
            <w:bottom w:w="0" w:type="dxa"/>
          </w:tblCellMar>
        </w:tblPrEx>
        <w:trPr>
          <w:trHeight w:val="240"/>
        </w:trPr>
        <w:tc>
          <w:tcPr>
            <w:tcW w:w="4145" w:type="dxa"/>
            <w:shd w:val="clear" w:color="auto" w:fill="auto"/>
          </w:tcPr>
          <w:p w:rsidR="000B562B" w:rsidRPr="00F5095A" w:rsidRDefault="00D25374" w:rsidP="00C32C70">
            <w:pPr>
              <w:pStyle w:val="Text"/>
              <w:spacing w:before="40" w:after="40" w:line="220" w:lineRule="exact"/>
              <w:rPr>
                <w:rFonts w:ascii="Times New Roman" w:hAnsi="Times New Roman"/>
                <w:sz w:val="18"/>
                <w:lang w:val="fr-FR"/>
              </w:rPr>
            </w:pPr>
            <w:r w:rsidRPr="00F5095A">
              <w:rPr>
                <w:rFonts w:ascii="Times New Roman" w:hAnsi="Times New Roman"/>
                <w:sz w:val="18"/>
                <w:lang w:val="fr-FR"/>
              </w:rPr>
              <w:t>1</w:t>
            </w:r>
            <w:r w:rsidRPr="00F5095A">
              <w:rPr>
                <w:rFonts w:ascii="Times New Roman" w:hAnsi="Times New Roman"/>
                <w:sz w:val="18"/>
                <w:vertAlign w:val="superscript"/>
                <w:lang w:val="fr-FR"/>
              </w:rPr>
              <w:t>er</w:t>
            </w:r>
            <w:r w:rsidRPr="00F5095A">
              <w:rPr>
                <w:rFonts w:ascii="Times New Roman" w:hAnsi="Times New Roman"/>
                <w:sz w:val="18"/>
                <w:lang w:val="fr-FR"/>
              </w:rPr>
              <w:t xml:space="preserve"> avr </w:t>
            </w:r>
            <w:r w:rsidR="000B562B" w:rsidRPr="00F5095A">
              <w:rPr>
                <w:rFonts w:ascii="Times New Roman" w:hAnsi="Times New Roman"/>
                <w:sz w:val="18"/>
                <w:lang w:val="fr-FR"/>
              </w:rPr>
              <w:t xml:space="preserve">2004–31 </w:t>
            </w:r>
            <w:r w:rsidR="00D73889" w:rsidRPr="00F5095A">
              <w:rPr>
                <w:rFonts w:ascii="Times New Roman" w:hAnsi="Times New Roman"/>
                <w:sz w:val="18"/>
                <w:lang w:val="fr-FR"/>
              </w:rPr>
              <w:t xml:space="preserve">mars </w:t>
            </w:r>
            <w:r w:rsidR="000B562B" w:rsidRPr="00F5095A">
              <w:rPr>
                <w:rFonts w:ascii="Times New Roman" w:hAnsi="Times New Roman"/>
                <w:sz w:val="18"/>
                <w:lang w:val="fr-FR"/>
              </w:rPr>
              <w:t>2005</w:t>
            </w:r>
          </w:p>
        </w:tc>
        <w:tc>
          <w:tcPr>
            <w:tcW w:w="3159" w:type="dxa"/>
            <w:shd w:val="clear" w:color="auto" w:fill="auto"/>
            <w:vAlign w:val="bottom"/>
          </w:tcPr>
          <w:p w:rsidR="000B562B" w:rsidRPr="00F5095A" w:rsidRDefault="000B562B" w:rsidP="0091555B">
            <w:pPr>
              <w:pStyle w:val="Text"/>
              <w:spacing w:before="40" w:after="40" w:line="220" w:lineRule="exact"/>
              <w:ind w:left="113" w:right="57"/>
              <w:jc w:val="right"/>
              <w:rPr>
                <w:rFonts w:ascii="Times New Roman" w:hAnsi="Times New Roman"/>
                <w:sz w:val="18"/>
                <w:lang w:val="fr-FR"/>
              </w:rPr>
            </w:pPr>
            <w:r w:rsidRPr="00F5095A">
              <w:rPr>
                <w:rFonts w:ascii="Times New Roman" w:hAnsi="Times New Roman"/>
                <w:sz w:val="18"/>
                <w:lang w:val="fr-FR"/>
              </w:rPr>
              <w:t>2</w:t>
            </w:r>
            <w:r w:rsidR="00D73889" w:rsidRPr="00F5095A">
              <w:rPr>
                <w:rFonts w:ascii="Times New Roman" w:hAnsi="Times New Roman"/>
                <w:sz w:val="18"/>
                <w:lang w:val="fr-FR"/>
              </w:rPr>
              <w:t xml:space="preserve"> </w:t>
            </w:r>
            <w:r w:rsidRPr="00F5095A">
              <w:rPr>
                <w:rFonts w:ascii="Times New Roman" w:hAnsi="Times New Roman"/>
                <w:sz w:val="18"/>
                <w:lang w:val="fr-FR"/>
              </w:rPr>
              <w:t>887</w:t>
            </w:r>
          </w:p>
        </w:tc>
      </w:tr>
      <w:tr w:rsidR="000B562B" w:rsidRPr="00F5095A" w:rsidTr="00237732">
        <w:tblPrEx>
          <w:tblCellMar>
            <w:top w:w="0" w:type="dxa"/>
            <w:bottom w:w="0" w:type="dxa"/>
          </w:tblCellMar>
        </w:tblPrEx>
        <w:trPr>
          <w:trHeight w:val="240"/>
        </w:trPr>
        <w:tc>
          <w:tcPr>
            <w:tcW w:w="4145" w:type="dxa"/>
            <w:shd w:val="clear" w:color="auto" w:fill="auto"/>
          </w:tcPr>
          <w:p w:rsidR="000B562B" w:rsidRPr="00F5095A" w:rsidRDefault="00D25374" w:rsidP="00C32C70">
            <w:pPr>
              <w:pStyle w:val="Text"/>
              <w:spacing w:before="40" w:after="40" w:line="220" w:lineRule="exact"/>
              <w:rPr>
                <w:rFonts w:ascii="Times New Roman" w:hAnsi="Times New Roman"/>
                <w:sz w:val="18"/>
                <w:lang w:val="fr-FR"/>
              </w:rPr>
            </w:pPr>
            <w:r w:rsidRPr="00F5095A">
              <w:rPr>
                <w:rFonts w:ascii="Times New Roman" w:hAnsi="Times New Roman"/>
                <w:sz w:val="18"/>
                <w:lang w:val="fr-FR"/>
              </w:rPr>
              <w:t>1</w:t>
            </w:r>
            <w:r w:rsidRPr="00F5095A">
              <w:rPr>
                <w:rFonts w:ascii="Times New Roman" w:hAnsi="Times New Roman"/>
                <w:sz w:val="18"/>
                <w:vertAlign w:val="superscript"/>
                <w:lang w:val="fr-FR"/>
              </w:rPr>
              <w:t>er</w:t>
            </w:r>
            <w:r w:rsidRPr="00F5095A">
              <w:rPr>
                <w:rFonts w:ascii="Times New Roman" w:hAnsi="Times New Roman"/>
                <w:sz w:val="18"/>
                <w:lang w:val="fr-FR"/>
              </w:rPr>
              <w:t xml:space="preserve"> avr </w:t>
            </w:r>
            <w:r w:rsidR="000B562B" w:rsidRPr="00F5095A">
              <w:rPr>
                <w:rFonts w:ascii="Times New Roman" w:hAnsi="Times New Roman"/>
                <w:sz w:val="18"/>
                <w:lang w:val="fr-FR"/>
              </w:rPr>
              <w:t xml:space="preserve">2005–31 </w:t>
            </w:r>
            <w:r w:rsidR="00D73889" w:rsidRPr="00F5095A">
              <w:rPr>
                <w:rFonts w:ascii="Times New Roman" w:hAnsi="Times New Roman"/>
                <w:sz w:val="18"/>
                <w:lang w:val="fr-FR"/>
              </w:rPr>
              <w:t xml:space="preserve">mars </w:t>
            </w:r>
            <w:r w:rsidR="000B562B" w:rsidRPr="00F5095A">
              <w:rPr>
                <w:rFonts w:ascii="Times New Roman" w:hAnsi="Times New Roman"/>
                <w:sz w:val="18"/>
                <w:lang w:val="fr-FR"/>
              </w:rPr>
              <w:t>2006</w:t>
            </w:r>
          </w:p>
        </w:tc>
        <w:tc>
          <w:tcPr>
            <w:tcW w:w="3159" w:type="dxa"/>
            <w:shd w:val="clear" w:color="auto" w:fill="auto"/>
            <w:vAlign w:val="bottom"/>
          </w:tcPr>
          <w:p w:rsidR="000B562B" w:rsidRPr="00F5095A" w:rsidRDefault="000B562B" w:rsidP="0091555B">
            <w:pPr>
              <w:pStyle w:val="Text"/>
              <w:spacing w:before="40" w:after="40" w:line="220" w:lineRule="exact"/>
              <w:ind w:left="113" w:right="57"/>
              <w:jc w:val="right"/>
              <w:rPr>
                <w:rFonts w:ascii="Times New Roman" w:hAnsi="Times New Roman"/>
                <w:sz w:val="18"/>
                <w:lang w:val="fr-FR"/>
              </w:rPr>
            </w:pPr>
            <w:r w:rsidRPr="00F5095A">
              <w:rPr>
                <w:rFonts w:ascii="Times New Roman" w:hAnsi="Times New Roman"/>
                <w:sz w:val="18"/>
                <w:lang w:val="fr-FR"/>
              </w:rPr>
              <w:t>3</w:t>
            </w:r>
            <w:r w:rsidR="00D73889" w:rsidRPr="00F5095A">
              <w:rPr>
                <w:rFonts w:ascii="Times New Roman" w:hAnsi="Times New Roman"/>
                <w:sz w:val="18"/>
                <w:lang w:val="fr-FR"/>
              </w:rPr>
              <w:t xml:space="preserve"> </w:t>
            </w:r>
            <w:r w:rsidRPr="00F5095A">
              <w:rPr>
                <w:rFonts w:ascii="Times New Roman" w:hAnsi="Times New Roman"/>
                <w:sz w:val="18"/>
                <w:lang w:val="fr-FR"/>
              </w:rPr>
              <w:t>140</w:t>
            </w:r>
          </w:p>
        </w:tc>
      </w:tr>
      <w:tr w:rsidR="000B562B" w:rsidRPr="00F5095A" w:rsidTr="00237732">
        <w:tblPrEx>
          <w:tblCellMar>
            <w:top w:w="0" w:type="dxa"/>
            <w:bottom w:w="0" w:type="dxa"/>
          </w:tblCellMar>
        </w:tblPrEx>
        <w:trPr>
          <w:trHeight w:val="240"/>
        </w:trPr>
        <w:tc>
          <w:tcPr>
            <w:tcW w:w="4145" w:type="dxa"/>
            <w:shd w:val="clear" w:color="auto" w:fill="auto"/>
          </w:tcPr>
          <w:p w:rsidR="000B562B" w:rsidRPr="00F5095A" w:rsidRDefault="00D25374" w:rsidP="00C32C70">
            <w:pPr>
              <w:pStyle w:val="Text"/>
              <w:spacing w:before="40" w:after="40" w:line="220" w:lineRule="exact"/>
              <w:rPr>
                <w:rFonts w:ascii="Times New Roman" w:hAnsi="Times New Roman"/>
                <w:sz w:val="18"/>
                <w:lang w:val="fr-FR"/>
              </w:rPr>
            </w:pPr>
            <w:r w:rsidRPr="00F5095A">
              <w:rPr>
                <w:rFonts w:ascii="Times New Roman" w:hAnsi="Times New Roman"/>
                <w:sz w:val="18"/>
                <w:lang w:val="fr-FR"/>
              </w:rPr>
              <w:t>1</w:t>
            </w:r>
            <w:r w:rsidRPr="00F5095A">
              <w:rPr>
                <w:rFonts w:ascii="Times New Roman" w:hAnsi="Times New Roman"/>
                <w:sz w:val="18"/>
                <w:vertAlign w:val="superscript"/>
                <w:lang w:val="fr-FR"/>
              </w:rPr>
              <w:t>er</w:t>
            </w:r>
            <w:r w:rsidRPr="00F5095A">
              <w:rPr>
                <w:rFonts w:ascii="Times New Roman" w:hAnsi="Times New Roman"/>
                <w:sz w:val="18"/>
                <w:lang w:val="fr-FR"/>
              </w:rPr>
              <w:t xml:space="preserve"> avr </w:t>
            </w:r>
            <w:r w:rsidR="000B562B" w:rsidRPr="00F5095A">
              <w:rPr>
                <w:rFonts w:ascii="Times New Roman" w:hAnsi="Times New Roman"/>
                <w:sz w:val="18"/>
                <w:lang w:val="fr-FR"/>
              </w:rPr>
              <w:t xml:space="preserve">2006–31 </w:t>
            </w:r>
            <w:r w:rsidR="00D73889" w:rsidRPr="00F5095A">
              <w:rPr>
                <w:rFonts w:ascii="Times New Roman" w:hAnsi="Times New Roman"/>
                <w:sz w:val="18"/>
                <w:lang w:val="fr-FR"/>
              </w:rPr>
              <w:t xml:space="preserve">mars </w:t>
            </w:r>
            <w:r w:rsidR="000B562B" w:rsidRPr="00F5095A">
              <w:rPr>
                <w:rFonts w:ascii="Times New Roman" w:hAnsi="Times New Roman"/>
                <w:sz w:val="18"/>
                <w:lang w:val="fr-FR"/>
              </w:rPr>
              <w:t>2007</w:t>
            </w:r>
          </w:p>
        </w:tc>
        <w:tc>
          <w:tcPr>
            <w:tcW w:w="3159" w:type="dxa"/>
            <w:shd w:val="clear" w:color="auto" w:fill="auto"/>
            <w:vAlign w:val="bottom"/>
          </w:tcPr>
          <w:p w:rsidR="000B562B" w:rsidRPr="00F5095A" w:rsidRDefault="000B562B" w:rsidP="0091555B">
            <w:pPr>
              <w:pStyle w:val="Text"/>
              <w:spacing w:before="40" w:after="40" w:line="220" w:lineRule="exact"/>
              <w:ind w:left="113" w:right="57"/>
              <w:jc w:val="right"/>
              <w:rPr>
                <w:rFonts w:ascii="Times New Roman" w:hAnsi="Times New Roman"/>
                <w:sz w:val="18"/>
                <w:lang w:val="fr-FR"/>
              </w:rPr>
            </w:pPr>
            <w:r w:rsidRPr="00F5095A">
              <w:rPr>
                <w:rFonts w:ascii="Times New Roman" w:hAnsi="Times New Roman"/>
                <w:sz w:val="18"/>
                <w:lang w:val="fr-FR"/>
              </w:rPr>
              <w:t>3</w:t>
            </w:r>
            <w:r w:rsidR="00D73889" w:rsidRPr="00F5095A">
              <w:rPr>
                <w:rFonts w:ascii="Times New Roman" w:hAnsi="Times New Roman"/>
                <w:sz w:val="18"/>
                <w:lang w:val="fr-FR"/>
              </w:rPr>
              <w:t xml:space="preserve"> </w:t>
            </w:r>
            <w:r w:rsidRPr="00F5095A">
              <w:rPr>
                <w:rFonts w:ascii="Times New Roman" w:hAnsi="Times New Roman"/>
                <w:sz w:val="18"/>
                <w:lang w:val="fr-FR"/>
              </w:rPr>
              <w:t>283</w:t>
            </w:r>
          </w:p>
        </w:tc>
      </w:tr>
      <w:tr w:rsidR="000B562B" w:rsidRPr="00A176EA" w:rsidTr="00237732">
        <w:tblPrEx>
          <w:tblCellMar>
            <w:top w:w="0" w:type="dxa"/>
            <w:bottom w:w="0" w:type="dxa"/>
          </w:tblCellMar>
        </w:tblPrEx>
        <w:trPr>
          <w:trHeight w:val="240"/>
        </w:trPr>
        <w:tc>
          <w:tcPr>
            <w:tcW w:w="4145" w:type="dxa"/>
            <w:shd w:val="clear" w:color="auto" w:fill="auto"/>
          </w:tcPr>
          <w:p w:rsidR="000B562B" w:rsidRPr="00F5095A" w:rsidRDefault="00D25374" w:rsidP="00C32C70">
            <w:pPr>
              <w:pStyle w:val="Text"/>
              <w:spacing w:before="40" w:after="40" w:line="220" w:lineRule="exact"/>
              <w:rPr>
                <w:rFonts w:ascii="Times New Roman" w:hAnsi="Times New Roman"/>
                <w:sz w:val="18"/>
                <w:lang w:val="fr-FR"/>
              </w:rPr>
            </w:pPr>
            <w:r w:rsidRPr="00F5095A">
              <w:rPr>
                <w:rFonts w:ascii="Times New Roman" w:hAnsi="Times New Roman"/>
                <w:sz w:val="18"/>
                <w:lang w:val="fr-FR"/>
              </w:rPr>
              <w:t>1</w:t>
            </w:r>
            <w:r w:rsidRPr="00F5095A">
              <w:rPr>
                <w:rFonts w:ascii="Times New Roman" w:hAnsi="Times New Roman"/>
                <w:sz w:val="18"/>
                <w:vertAlign w:val="superscript"/>
                <w:lang w:val="fr-FR"/>
              </w:rPr>
              <w:t>er</w:t>
            </w:r>
            <w:r w:rsidRPr="00F5095A">
              <w:rPr>
                <w:rFonts w:ascii="Times New Roman" w:hAnsi="Times New Roman"/>
                <w:sz w:val="18"/>
                <w:lang w:val="fr-FR"/>
              </w:rPr>
              <w:t xml:space="preserve"> avr </w:t>
            </w:r>
            <w:r w:rsidR="000B562B" w:rsidRPr="00F5095A">
              <w:rPr>
                <w:rFonts w:ascii="Times New Roman" w:hAnsi="Times New Roman"/>
                <w:sz w:val="18"/>
                <w:lang w:val="fr-FR"/>
              </w:rPr>
              <w:t xml:space="preserve">2007–31 </w:t>
            </w:r>
            <w:r w:rsidR="00D73889" w:rsidRPr="00F5095A">
              <w:rPr>
                <w:rFonts w:ascii="Times New Roman" w:hAnsi="Times New Roman"/>
                <w:sz w:val="18"/>
                <w:lang w:val="fr-FR"/>
              </w:rPr>
              <w:t xml:space="preserve">mars </w:t>
            </w:r>
            <w:r w:rsidR="000B562B" w:rsidRPr="00F5095A">
              <w:rPr>
                <w:rFonts w:ascii="Times New Roman" w:hAnsi="Times New Roman"/>
                <w:sz w:val="18"/>
                <w:lang w:val="fr-FR"/>
              </w:rPr>
              <w:t>2008</w:t>
            </w:r>
          </w:p>
        </w:tc>
        <w:tc>
          <w:tcPr>
            <w:tcW w:w="3159" w:type="dxa"/>
            <w:shd w:val="clear" w:color="auto" w:fill="auto"/>
            <w:vAlign w:val="bottom"/>
          </w:tcPr>
          <w:p w:rsidR="000B562B" w:rsidRPr="00F5095A" w:rsidRDefault="000B562B" w:rsidP="0091555B">
            <w:pPr>
              <w:pStyle w:val="Text"/>
              <w:spacing w:before="40" w:after="40" w:line="220" w:lineRule="exact"/>
              <w:ind w:left="113" w:right="57"/>
              <w:jc w:val="right"/>
              <w:rPr>
                <w:rFonts w:ascii="Times New Roman" w:hAnsi="Times New Roman"/>
                <w:sz w:val="18"/>
                <w:lang w:val="fr-FR"/>
              </w:rPr>
            </w:pPr>
            <w:r w:rsidRPr="00F5095A">
              <w:rPr>
                <w:rFonts w:ascii="Times New Roman" w:hAnsi="Times New Roman"/>
                <w:sz w:val="18"/>
                <w:lang w:val="fr-FR"/>
              </w:rPr>
              <w:t>2</w:t>
            </w:r>
            <w:r w:rsidR="00D73889" w:rsidRPr="00F5095A">
              <w:rPr>
                <w:rFonts w:ascii="Times New Roman" w:hAnsi="Times New Roman"/>
                <w:sz w:val="18"/>
                <w:lang w:val="fr-FR"/>
              </w:rPr>
              <w:t xml:space="preserve"> </w:t>
            </w:r>
            <w:r w:rsidRPr="00F5095A">
              <w:rPr>
                <w:rFonts w:ascii="Times New Roman" w:hAnsi="Times New Roman"/>
                <w:sz w:val="18"/>
                <w:lang w:val="fr-FR"/>
              </w:rPr>
              <w:t>994</w:t>
            </w:r>
          </w:p>
        </w:tc>
      </w:tr>
      <w:tr w:rsidR="000B562B" w:rsidRPr="00F5095A" w:rsidTr="00237732">
        <w:tblPrEx>
          <w:tblCellMar>
            <w:top w:w="0" w:type="dxa"/>
            <w:bottom w:w="0" w:type="dxa"/>
          </w:tblCellMar>
        </w:tblPrEx>
        <w:trPr>
          <w:trHeight w:val="240"/>
        </w:trPr>
        <w:tc>
          <w:tcPr>
            <w:tcW w:w="4145" w:type="dxa"/>
            <w:shd w:val="clear" w:color="auto" w:fill="auto"/>
          </w:tcPr>
          <w:p w:rsidR="000B562B" w:rsidRPr="00F5095A" w:rsidRDefault="00D25374" w:rsidP="00C32C70">
            <w:pPr>
              <w:pStyle w:val="Text"/>
              <w:spacing w:before="40" w:after="40" w:line="220" w:lineRule="exact"/>
              <w:rPr>
                <w:rFonts w:ascii="Times New Roman" w:hAnsi="Times New Roman"/>
                <w:sz w:val="18"/>
                <w:lang w:val="fr-FR"/>
              </w:rPr>
            </w:pPr>
            <w:r w:rsidRPr="00F5095A">
              <w:rPr>
                <w:rFonts w:ascii="Times New Roman" w:hAnsi="Times New Roman"/>
                <w:sz w:val="18"/>
                <w:lang w:val="fr-FR"/>
              </w:rPr>
              <w:t>1</w:t>
            </w:r>
            <w:r w:rsidRPr="00F5095A">
              <w:rPr>
                <w:rFonts w:ascii="Times New Roman" w:hAnsi="Times New Roman"/>
                <w:sz w:val="18"/>
                <w:vertAlign w:val="superscript"/>
                <w:lang w:val="fr-FR"/>
              </w:rPr>
              <w:t>er</w:t>
            </w:r>
            <w:r w:rsidRPr="00F5095A">
              <w:rPr>
                <w:rFonts w:ascii="Times New Roman" w:hAnsi="Times New Roman"/>
                <w:sz w:val="18"/>
                <w:lang w:val="fr-FR"/>
              </w:rPr>
              <w:t xml:space="preserve"> avr </w:t>
            </w:r>
            <w:r w:rsidR="000B562B" w:rsidRPr="00F5095A">
              <w:rPr>
                <w:rFonts w:ascii="Times New Roman" w:hAnsi="Times New Roman"/>
                <w:sz w:val="18"/>
                <w:lang w:val="fr-FR"/>
              </w:rPr>
              <w:t xml:space="preserve">2008–31 </w:t>
            </w:r>
            <w:r w:rsidR="00D73889" w:rsidRPr="00F5095A">
              <w:rPr>
                <w:rFonts w:ascii="Times New Roman" w:hAnsi="Times New Roman"/>
                <w:sz w:val="18"/>
                <w:lang w:val="fr-FR"/>
              </w:rPr>
              <w:t xml:space="preserve">mars </w:t>
            </w:r>
            <w:r w:rsidR="000B562B" w:rsidRPr="00F5095A">
              <w:rPr>
                <w:rFonts w:ascii="Times New Roman" w:hAnsi="Times New Roman"/>
                <w:sz w:val="18"/>
                <w:lang w:val="fr-FR"/>
              </w:rPr>
              <w:t>2009</w:t>
            </w:r>
          </w:p>
        </w:tc>
        <w:tc>
          <w:tcPr>
            <w:tcW w:w="3159" w:type="dxa"/>
            <w:shd w:val="clear" w:color="auto" w:fill="auto"/>
            <w:vAlign w:val="bottom"/>
          </w:tcPr>
          <w:p w:rsidR="000B562B" w:rsidRPr="00F5095A" w:rsidRDefault="000B562B" w:rsidP="0091555B">
            <w:pPr>
              <w:pStyle w:val="Text"/>
              <w:spacing w:before="40" w:after="40" w:line="220" w:lineRule="exact"/>
              <w:ind w:left="113" w:right="57"/>
              <w:jc w:val="right"/>
              <w:rPr>
                <w:rFonts w:ascii="Times New Roman" w:hAnsi="Times New Roman"/>
                <w:sz w:val="18"/>
                <w:lang w:val="fr-FR"/>
              </w:rPr>
            </w:pPr>
            <w:r w:rsidRPr="00F5095A">
              <w:rPr>
                <w:rFonts w:ascii="Times New Roman" w:hAnsi="Times New Roman"/>
                <w:sz w:val="18"/>
                <w:lang w:val="fr-FR"/>
              </w:rPr>
              <w:t>3</w:t>
            </w:r>
            <w:r w:rsidR="00D73889" w:rsidRPr="00F5095A">
              <w:rPr>
                <w:rFonts w:ascii="Times New Roman" w:hAnsi="Times New Roman"/>
                <w:sz w:val="18"/>
                <w:lang w:val="fr-FR"/>
              </w:rPr>
              <w:t xml:space="preserve"> </w:t>
            </w:r>
            <w:r w:rsidRPr="00F5095A">
              <w:rPr>
                <w:rFonts w:ascii="Times New Roman" w:hAnsi="Times New Roman"/>
                <w:sz w:val="18"/>
                <w:lang w:val="fr-FR"/>
              </w:rPr>
              <w:t>086</w:t>
            </w:r>
          </w:p>
        </w:tc>
      </w:tr>
      <w:tr w:rsidR="000B562B" w:rsidRPr="00F5095A" w:rsidTr="00237732">
        <w:tblPrEx>
          <w:tblCellMar>
            <w:top w:w="0" w:type="dxa"/>
            <w:bottom w:w="0" w:type="dxa"/>
          </w:tblCellMar>
        </w:tblPrEx>
        <w:trPr>
          <w:trHeight w:val="240"/>
        </w:trPr>
        <w:tc>
          <w:tcPr>
            <w:tcW w:w="4145" w:type="dxa"/>
            <w:shd w:val="clear" w:color="auto" w:fill="auto"/>
          </w:tcPr>
          <w:p w:rsidR="000B562B" w:rsidRPr="00F5095A" w:rsidRDefault="00D25374" w:rsidP="00C32C70">
            <w:pPr>
              <w:pStyle w:val="Text"/>
              <w:spacing w:before="40" w:after="40" w:line="220" w:lineRule="exact"/>
              <w:rPr>
                <w:rFonts w:ascii="Times New Roman" w:hAnsi="Times New Roman"/>
                <w:sz w:val="18"/>
                <w:lang w:val="fr-FR"/>
              </w:rPr>
            </w:pPr>
            <w:r w:rsidRPr="00F5095A">
              <w:rPr>
                <w:rFonts w:ascii="Times New Roman" w:hAnsi="Times New Roman"/>
                <w:sz w:val="18"/>
                <w:lang w:val="fr-FR"/>
              </w:rPr>
              <w:t>1</w:t>
            </w:r>
            <w:r w:rsidRPr="00F5095A">
              <w:rPr>
                <w:rFonts w:ascii="Times New Roman" w:hAnsi="Times New Roman"/>
                <w:sz w:val="18"/>
                <w:vertAlign w:val="superscript"/>
                <w:lang w:val="fr-FR"/>
              </w:rPr>
              <w:t>er</w:t>
            </w:r>
            <w:r w:rsidRPr="00F5095A">
              <w:rPr>
                <w:rFonts w:ascii="Times New Roman" w:hAnsi="Times New Roman"/>
                <w:sz w:val="18"/>
                <w:lang w:val="fr-FR"/>
              </w:rPr>
              <w:t xml:space="preserve"> avr </w:t>
            </w:r>
            <w:r w:rsidR="000B562B" w:rsidRPr="00F5095A">
              <w:rPr>
                <w:rFonts w:ascii="Times New Roman" w:hAnsi="Times New Roman"/>
                <w:sz w:val="18"/>
                <w:lang w:val="fr-FR"/>
              </w:rPr>
              <w:t xml:space="preserve">2009–31 </w:t>
            </w:r>
            <w:r w:rsidR="00D73889" w:rsidRPr="00F5095A">
              <w:rPr>
                <w:rFonts w:ascii="Times New Roman" w:hAnsi="Times New Roman"/>
                <w:sz w:val="18"/>
                <w:lang w:val="fr-FR"/>
              </w:rPr>
              <w:t xml:space="preserve">mars </w:t>
            </w:r>
            <w:r w:rsidR="000B562B" w:rsidRPr="00F5095A">
              <w:rPr>
                <w:rFonts w:ascii="Times New Roman" w:hAnsi="Times New Roman"/>
                <w:sz w:val="18"/>
                <w:lang w:val="fr-FR"/>
              </w:rPr>
              <w:t>2010</w:t>
            </w:r>
          </w:p>
        </w:tc>
        <w:tc>
          <w:tcPr>
            <w:tcW w:w="3159" w:type="dxa"/>
            <w:shd w:val="clear" w:color="auto" w:fill="auto"/>
            <w:vAlign w:val="bottom"/>
          </w:tcPr>
          <w:p w:rsidR="000B562B" w:rsidRPr="00F5095A" w:rsidRDefault="000B562B" w:rsidP="0091555B">
            <w:pPr>
              <w:pStyle w:val="Text"/>
              <w:spacing w:before="40" w:after="40" w:line="220" w:lineRule="exact"/>
              <w:ind w:left="113" w:right="57"/>
              <w:jc w:val="right"/>
              <w:rPr>
                <w:rFonts w:ascii="Times New Roman" w:hAnsi="Times New Roman"/>
                <w:sz w:val="18"/>
                <w:lang w:val="fr-FR"/>
              </w:rPr>
            </w:pPr>
            <w:r w:rsidRPr="00F5095A">
              <w:rPr>
                <w:rFonts w:ascii="Times New Roman" w:hAnsi="Times New Roman"/>
                <w:sz w:val="18"/>
                <w:lang w:val="fr-FR"/>
              </w:rPr>
              <w:t>3</w:t>
            </w:r>
            <w:r w:rsidR="00D73889" w:rsidRPr="00F5095A">
              <w:rPr>
                <w:rFonts w:ascii="Times New Roman" w:hAnsi="Times New Roman"/>
                <w:sz w:val="18"/>
                <w:lang w:val="fr-FR"/>
              </w:rPr>
              <w:t xml:space="preserve"> </w:t>
            </w:r>
            <w:r w:rsidRPr="00F5095A">
              <w:rPr>
                <w:rFonts w:ascii="Times New Roman" w:hAnsi="Times New Roman"/>
                <w:sz w:val="18"/>
                <w:lang w:val="fr-FR"/>
              </w:rPr>
              <w:t>528</w:t>
            </w:r>
          </w:p>
        </w:tc>
      </w:tr>
      <w:tr w:rsidR="000B562B" w:rsidRPr="00F5095A" w:rsidTr="0091555B">
        <w:tblPrEx>
          <w:tblCellMar>
            <w:top w:w="0" w:type="dxa"/>
            <w:bottom w:w="0" w:type="dxa"/>
          </w:tblCellMar>
        </w:tblPrEx>
        <w:trPr>
          <w:trHeight w:val="240"/>
        </w:trPr>
        <w:tc>
          <w:tcPr>
            <w:tcW w:w="4145" w:type="dxa"/>
            <w:tcBorders>
              <w:bottom w:val="single" w:sz="4" w:space="0" w:color="auto"/>
            </w:tcBorders>
            <w:shd w:val="clear" w:color="auto" w:fill="auto"/>
          </w:tcPr>
          <w:p w:rsidR="000B562B" w:rsidRPr="00F5095A" w:rsidRDefault="008C6E8D" w:rsidP="008C6E8D">
            <w:pPr>
              <w:pStyle w:val="Text"/>
              <w:spacing w:before="40" w:after="40" w:line="220" w:lineRule="exact"/>
              <w:rPr>
                <w:rFonts w:ascii="Times New Roman" w:hAnsi="Times New Roman"/>
                <w:sz w:val="18"/>
                <w:lang w:val="fr-FR"/>
              </w:rPr>
            </w:pPr>
            <w:r w:rsidRPr="00F5095A">
              <w:rPr>
                <w:rFonts w:ascii="Times New Roman" w:hAnsi="Times New Roman"/>
                <w:sz w:val="18"/>
                <w:lang w:val="fr-FR"/>
              </w:rPr>
              <w:t>1</w:t>
            </w:r>
            <w:r w:rsidRPr="00F5095A">
              <w:rPr>
                <w:rFonts w:ascii="Times New Roman" w:hAnsi="Times New Roman"/>
                <w:sz w:val="18"/>
                <w:vertAlign w:val="superscript"/>
                <w:lang w:val="fr-FR"/>
              </w:rPr>
              <w:t>er</w:t>
            </w:r>
            <w:r w:rsidRPr="00F5095A">
              <w:rPr>
                <w:rFonts w:ascii="Times New Roman" w:hAnsi="Times New Roman"/>
                <w:sz w:val="18"/>
                <w:lang w:val="fr-FR"/>
              </w:rPr>
              <w:t xml:space="preserve"> avr </w:t>
            </w:r>
            <w:r w:rsidR="000B562B" w:rsidRPr="00F5095A">
              <w:rPr>
                <w:rFonts w:ascii="Times New Roman" w:hAnsi="Times New Roman"/>
                <w:sz w:val="18"/>
                <w:lang w:val="fr-FR"/>
              </w:rPr>
              <w:t xml:space="preserve">2010–31 </w:t>
            </w:r>
            <w:r w:rsidRPr="00F5095A">
              <w:rPr>
                <w:rFonts w:ascii="Times New Roman" w:hAnsi="Times New Roman"/>
                <w:sz w:val="18"/>
                <w:lang w:val="fr-FR"/>
              </w:rPr>
              <w:t>mars</w:t>
            </w:r>
            <w:r w:rsidR="000B562B" w:rsidRPr="00F5095A">
              <w:rPr>
                <w:rFonts w:ascii="Times New Roman" w:hAnsi="Times New Roman"/>
                <w:sz w:val="18"/>
                <w:lang w:val="fr-FR"/>
              </w:rPr>
              <w:t xml:space="preserve"> 2011</w:t>
            </w:r>
          </w:p>
        </w:tc>
        <w:tc>
          <w:tcPr>
            <w:tcW w:w="3159" w:type="dxa"/>
            <w:tcBorders>
              <w:bottom w:val="single" w:sz="4" w:space="0" w:color="auto"/>
            </w:tcBorders>
            <w:shd w:val="clear" w:color="auto" w:fill="auto"/>
            <w:vAlign w:val="bottom"/>
          </w:tcPr>
          <w:p w:rsidR="000B562B" w:rsidRPr="00F5095A" w:rsidRDefault="000B562B" w:rsidP="0091555B">
            <w:pPr>
              <w:pStyle w:val="Text"/>
              <w:spacing w:before="40" w:after="40" w:line="220" w:lineRule="exact"/>
              <w:ind w:left="113" w:right="57"/>
              <w:jc w:val="right"/>
              <w:rPr>
                <w:rFonts w:ascii="Times New Roman" w:hAnsi="Times New Roman"/>
                <w:sz w:val="18"/>
                <w:lang w:val="fr-FR"/>
              </w:rPr>
            </w:pPr>
            <w:r w:rsidRPr="00F5095A">
              <w:rPr>
                <w:rFonts w:ascii="Times New Roman" w:hAnsi="Times New Roman"/>
                <w:sz w:val="18"/>
                <w:lang w:val="fr-FR"/>
              </w:rPr>
              <w:t>3</w:t>
            </w:r>
            <w:r w:rsidR="008C6E8D" w:rsidRPr="00F5095A">
              <w:rPr>
                <w:rFonts w:ascii="Times New Roman" w:hAnsi="Times New Roman"/>
                <w:sz w:val="18"/>
                <w:lang w:val="fr-FR"/>
              </w:rPr>
              <w:t xml:space="preserve"> </w:t>
            </w:r>
            <w:r w:rsidRPr="00F5095A">
              <w:rPr>
                <w:rFonts w:ascii="Times New Roman" w:hAnsi="Times New Roman"/>
                <w:sz w:val="18"/>
                <w:lang w:val="fr-FR"/>
              </w:rPr>
              <w:t>313</w:t>
            </w:r>
          </w:p>
        </w:tc>
      </w:tr>
      <w:tr w:rsidR="000B562B" w:rsidRPr="0091555B" w:rsidTr="0091555B">
        <w:tblPrEx>
          <w:tblCellMar>
            <w:top w:w="0" w:type="dxa"/>
            <w:bottom w:w="0" w:type="dxa"/>
          </w:tblCellMar>
        </w:tblPrEx>
        <w:trPr>
          <w:trHeight w:val="240"/>
        </w:trPr>
        <w:tc>
          <w:tcPr>
            <w:tcW w:w="4145" w:type="dxa"/>
            <w:tcBorders>
              <w:top w:val="single" w:sz="4" w:space="0" w:color="auto"/>
              <w:bottom w:val="single" w:sz="12" w:space="0" w:color="auto"/>
            </w:tcBorders>
            <w:shd w:val="clear" w:color="auto" w:fill="auto"/>
          </w:tcPr>
          <w:p w:rsidR="000B562B" w:rsidRPr="0091555B" w:rsidRDefault="008C6E8D" w:rsidP="0091555B">
            <w:pPr>
              <w:pStyle w:val="Text"/>
              <w:spacing w:before="80" w:after="80" w:line="220" w:lineRule="exact"/>
              <w:ind w:left="283"/>
              <w:rPr>
                <w:rFonts w:ascii="Times New Roman" w:hAnsi="Times New Roman"/>
                <w:b/>
                <w:bCs/>
                <w:sz w:val="18"/>
                <w:lang w:val="fr-FR"/>
              </w:rPr>
            </w:pPr>
            <w:r w:rsidRPr="0091555B">
              <w:rPr>
                <w:rFonts w:ascii="Times New Roman" w:hAnsi="Times New Roman"/>
                <w:b/>
                <w:bCs/>
                <w:sz w:val="18"/>
                <w:lang w:val="fr-FR"/>
              </w:rPr>
              <w:t>Total général</w:t>
            </w:r>
          </w:p>
        </w:tc>
        <w:tc>
          <w:tcPr>
            <w:tcW w:w="3159" w:type="dxa"/>
            <w:tcBorders>
              <w:top w:val="single" w:sz="4" w:space="0" w:color="auto"/>
              <w:bottom w:val="single" w:sz="12" w:space="0" w:color="auto"/>
            </w:tcBorders>
            <w:shd w:val="clear" w:color="auto" w:fill="auto"/>
            <w:vAlign w:val="bottom"/>
          </w:tcPr>
          <w:p w:rsidR="000B562B" w:rsidRPr="0091555B" w:rsidRDefault="000B562B" w:rsidP="0091555B">
            <w:pPr>
              <w:pStyle w:val="Text"/>
              <w:spacing w:before="80" w:after="80" w:line="220" w:lineRule="exact"/>
              <w:ind w:left="113" w:right="57"/>
              <w:jc w:val="right"/>
              <w:rPr>
                <w:rFonts w:ascii="Times New Roman" w:hAnsi="Times New Roman"/>
                <w:b/>
                <w:bCs/>
                <w:sz w:val="18"/>
                <w:lang w:val="fr-FR"/>
              </w:rPr>
            </w:pPr>
            <w:r w:rsidRPr="0091555B">
              <w:rPr>
                <w:rFonts w:ascii="Times New Roman" w:hAnsi="Times New Roman"/>
                <w:b/>
                <w:bCs/>
                <w:sz w:val="18"/>
                <w:lang w:val="fr-FR"/>
              </w:rPr>
              <w:t>33</w:t>
            </w:r>
            <w:r w:rsidR="008C6E8D" w:rsidRPr="0091555B">
              <w:rPr>
                <w:rFonts w:ascii="Times New Roman" w:hAnsi="Times New Roman"/>
                <w:b/>
                <w:bCs/>
                <w:sz w:val="18"/>
                <w:lang w:val="fr-FR"/>
              </w:rPr>
              <w:t xml:space="preserve"> </w:t>
            </w:r>
            <w:r w:rsidRPr="0091555B">
              <w:rPr>
                <w:rFonts w:ascii="Times New Roman" w:hAnsi="Times New Roman"/>
                <w:b/>
                <w:bCs/>
                <w:sz w:val="18"/>
                <w:lang w:val="fr-FR"/>
              </w:rPr>
              <w:t>555</w:t>
            </w:r>
          </w:p>
        </w:tc>
      </w:tr>
    </w:tbl>
    <w:p w:rsidR="000B562B" w:rsidRPr="00A176EA" w:rsidRDefault="006B4268" w:rsidP="00C32C70">
      <w:pPr>
        <w:pStyle w:val="H23G"/>
        <w:rPr>
          <w:lang w:val="fr-FR"/>
        </w:rPr>
      </w:pPr>
      <w:bookmarkStart w:id="58" w:name="_Toc299724743"/>
      <w:r w:rsidRPr="00A176EA">
        <w:rPr>
          <w:lang w:val="fr-FR"/>
        </w:rPr>
        <w:t>Discipline</w:t>
      </w:r>
      <w:r>
        <w:rPr>
          <w:lang w:val="fr-FR"/>
        </w:rPr>
        <w:t xml:space="preserve"> pénitentiaire et plaintes contre l’administration pénitentiaire</w:t>
      </w:r>
      <w:bookmarkEnd w:id="58"/>
    </w:p>
    <w:p w:rsidR="000B562B" w:rsidRPr="00A176EA" w:rsidRDefault="00EB483E" w:rsidP="00DE1014">
      <w:pPr>
        <w:pStyle w:val="H23G"/>
        <w:rPr>
          <w:lang w:val="fr-FR"/>
        </w:rPr>
      </w:pPr>
      <w:r w:rsidRPr="006B4268">
        <w:rPr>
          <w:lang w:val="fr-FR"/>
        </w:rPr>
        <w:t xml:space="preserve">Angleterre et </w:t>
      </w:r>
      <w:r w:rsidR="00D73889" w:rsidRPr="006B4268">
        <w:rPr>
          <w:lang w:val="fr-FR"/>
        </w:rPr>
        <w:t>p</w:t>
      </w:r>
      <w:r w:rsidR="005601A1" w:rsidRPr="006B4268">
        <w:rPr>
          <w:lang w:val="fr-FR"/>
        </w:rPr>
        <w:t>ays de Galles</w:t>
      </w:r>
    </w:p>
    <w:p w:rsidR="000B562B" w:rsidRPr="00A176EA" w:rsidRDefault="002549A9" w:rsidP="00632BA9">
      <w:pPr>
        <w:pStyle w:val="SingleTxtG"/>
        <w:rPr>
          <w:lang w:val="fr-FR"/>
        </w:rPr>
      </w:pPr>
      <w:r w:rsidRPr="00A176EA">
        <w:rPr>
          <w:lang w:val="fr-FR"/>
        </w:rPr>
        <w:t>464.</w:t>
      </w:r>
      <w:r w:rsidRPr="00A176EA">
        <w:rPr>
          <w:lang w:val="fr-FR"/>
        </w:rPr>
        <w:tab/>
      </w:r>
      <w:r w:rsidR="00BC6873">
        <w:rPr>
          <w:lang w:val="fr-FR"/>
        </w:rPr>
        <w:t xml:space="preserve">Le système de plainte des détenus est établi dans l’ordonnance </w:t>
      </w:r>
      <w:r w:rsidR="00D4624A">
        <w:rPr>
          <w:lang w:val="fr-FR"/>
        </w:rPr>
        <w:t xml:space="preserve">relative à </w:t>
      </w:r>
      <w:r w:rsidR="00BC6873">
        <w:rPr>
          <w:lang w:val="fr-FR"/>
        </w:rPr>
        <w:t>l’Administration pénitentiaire</w:t>
      </w:r>
      <w:r w:rsidR="00BC6873" w:rsidRPr="00A176EA">
        <w:rPr>
          <w:lang w:val="fr-FR"/>
        </w:rPr>
        <w:t xml:space="preserve"> </w:t>
      </w:r>
      <w:r w:rsidR="00D4624A">
        <w:rPr>
          <w:lang w:val="fr-FR"/>
        </w:rPr>
        <w:t xml:space="preserve">PSO </w:t>
      </w:r>
      <w:r w:rsidR="000B562B" w:rsidRPr="00A176EA">
        <w:rPr>
          <w:lang w:val="fr-FR"/>
        </w:rPr>
        <w:t xml:space="preserve">2510 </w:t>
      </w:r>
      <w:r w:rsidR="00BC6873">
        <w:rPr>
          <w:lang w:val="fr-FR"/>
        </w:rPr>
        <w:t>(</w:t>
      </w:r>
      <w:r w:rsidR="00BC6873" w:rsidRPr="00A176EA">
        <w:rPr>
          <w:lang w:val="fr-FR"/>
        </w:rPr>
        <w:t>Proc</w:t>
      </w:r>
      <w:r w:rsidR="00BC6873">
        <w:rPr>
          <w:lang w:val="fr-FR"/>
        </w:rPr>
        <w:t>é</w:t>
      </w:r>
      <w:r w:rsidR="00BC6873" w:rsidRPr="00A176EA">
        <w:rPr>
          <w:lang w:val="fr-FR"/>
        </w:rPr>
        <w:t xml:space="preserve">dures </w:t>
      </w:r>
      <w:r w:rsidR="00BC6873">
        <w:rPr>
          <w:lang w:val="fr-FR"/>
        </w:rPr>
        <w:t>de requêtes et de plaintes)</w:t>
      </w:r>
      <w:r w:rsidR="000B562B" w:rsidRPr="00A176EA">
        <w:rPr>
          <w:rStyle w:val="FootnoteReference"/>
          <w:szCs w:val="24"/>
        </w:rPr>
        <w:footnoteReference w:id="64"/>
      </w:r>
      <w:r w:rsidR="00EB483E">
        <w:rPr>
          <w:lang w:val="fr-FR"/>
        </w:rPr>
        <w:t>.</w:t>
      </w:r>
      <w:r w:rsidR="000B562B" w:rsidRPr="00A176EA">
        <w:rPr>
          <w:lang w:val="fr-FR"/>
        </w:rPr>
        <w:t xml:space="preserve"> </w:t>
      </w:r>
      <w:r w:rsidR="00BC6873">
        <w:rPr>
          <w:lang w:val="fr-FR"/>
        </w:rPr>
        <w:t>Ces</w:t>
      </w:r>
      <w:r w:rsidR="000B562B" w:rsidRPr="00A176EA">
        <w:rPr>
          <w:lang w:val="fr-FR"/>
        </w:rPr>
        <w:t xml:space="preserve"> proc</w:t>
      </w:r>
      <w:r w:rsidR="00BC6873">
        <w:rPr>
          <w:lang w:val="fr-FR"/>
        </w:rPr>
        <w:t>é</w:t>
      </w:r>
      <w:r w:rsidR="000B562B" w:rsidRPr="00A176EA">
        <w:rPr>
          <w:lang w:val="fr-FR"/>
        </w:rPr>
        <w:t xml:space="preserve">dures </w:t>
      </w:r>
      <w:r w:rsidR="00BC6873">
        <w:rPr>
          <w:lang w:val="fr-FR"/>
        </w:rPr>
        <w:t xml:space="preserve">fournissent des instructions claires sur la façon dont les plaintes de détenus doivent être traitées et définissent les critères </w:t>
      </w:r>
      <w:r w:rsidR="00CC31B2">
        <w:rPr>
          <w:lang w:val="fr-FR"/>
        </w:rPr>
        <w:t xml:space="preserve">régissant le déroulement des enquêtes sur des allégations de mauvaise conduite du personnel à l’égard des détenus. </w:t>
      </w:r>
      <w:r w:rsidR="00EB483E" w:rsidRPr="00CC31B2">
        <w:rPr>
          <w:lang w:val="fr-FR"/>
        </w:rPr>
        <w:t>L</w:t>
      </w:r>
      <w:r w:rsidR="000B562B" w:rsidRPr="00CC31B2">
        <w:rPr>
          <w:lang w:val="fr-FR"/>
        </w:rPr>
        <w:t xml:space="preserve">e </w:t>
      </w:r>
      <w:r w:rsidR="00EB483E" w:rsidRPr="00CC31B2">
        <w:rPr>
          <w:lang w:val="fr-FR"/>
        </w:rPr>
        <w:t>Service national de gestion des détenus</w:t>
      </w:r>
      <w:r w:rsidR="00EB483E" w:rsidRPr="00A176EA">
        <w:rPr>
          <w:lang w:val="fr-FR"/>
        </w:rPr>
        <w:t xml:space="preserve"> </w:t>
      </w:r>
      <w:r w:rsidR="00CC31B2">
        <w:rPr>
          <w:lang w:val="fr-FR"/>
        </w:rPr>
        <w:t xml:space="preserve">ne centralise pas </w:t>
      </w:r>
      <w:r w:rsidR="008B3227">
        <w:rPr>
          <w:lang w:val="fr-FR"/>
        </w:rPr>
        <w:t>d’</w:t>
      </w:r>
      <w:r w:rsidR="00CC31B2">
        <w:rPr>
          <w:lang w:val="fr-FR"/>
        </w:rPr>
        <w:t xml:space="preserve">informations détaillées </w:t>
      </w:r>
      <w:r w:rsidR="008B3227">
        <w:rPr>
          <w:lang w:val="fr-FR"/>
        </w:rPr>
        <w:t>sur</w:t>
      </w:r>
      <w:r w:rsidR="00CC31B2">
        <w:rPr>
          <w:lang w:val="fr-FR"/>
        </w:rPr>
        <w:t xml:space="preserve"> les différents types de plaintes déposées. Cela dit, les orientations de politique en vigueur indiquent que ces données constituent un outil utile pour fournir</w:t>
      </w:r>
      <w:r w:rsidR="00083687">
        <w:rPr>
          <w:lang w:val="fr-FR"/>
        </w:rPr>
        <w:t xml:space="preserve"> des informations en matière de gestion et analyser les tendances. L’équipe de direction de l’établissement pénitentiaire </w:t>
      </w:r>
      <w:r w:rsidR="00632BA9">
        <w:rPr>
          <w:lang w:val="fr-FR"/>
        </w:rPr>
        <w:t>devrai</w:t>
      </w:r>
      <w:r w:rsidR="00083687">
        <w:rPr>
          <w:lang w:val="fr-FR"/>
        </w:rPr>
        <w:t xml:space="preserve">t utiliser les données collectées </w:t>
      </w:r>
      <w:r w:rsidR="00632BA9">
        <w:rPr>
          <w:lang w:val="fr-FR"/>
        </w:rPr>
        <w:t>pour déterminer les domaines problématiques et y remédier, mais cette suggestion n’a pas caractère obligatoire</w:t>
      </w:r>
      <w:r w:rsidR="000B562B" w:rsidRPr="00A176EA">
        <w:rPr>
          <w:lang w:val="fr-FR"/>
        </w:rPr>
        <w:t>.</w:t>
      </w:r>
    </w:p>
    <w:p w:rsidR="000B562B" w:rsidRPr="00A176EA" w:rsidRDefault="002549A9" w:rsidP="00632BA9">
      <w:pPr>
        <w:pStyle w:val="SingleTxtG"/>
        <w:tabs>
          <w:tab w:val="left" w:pos="567"/>
          <w:tab w:val="left" w:pos="1134"/>
          <w:tab w:val="left" w:pos="1701"/>
          <w:tab w:val="left" w:pos="2268"/>
          <w:tab w:val="left" w:pos="2835"/>
          <w:tab w:val="left" w:pos="4186"/>
        </w:tabs>
        <w:rPr>
          <w:lang w:val="fr-FR"/>
        </w:rPr>
      </w:pPr>
      <w:r w:rsidRPr="00A176EA">
        <w:rPr>
          <w:lang w:val="fr-FR"/>
        </w:rPr>
        <w:t>465.</w:t>
      </w:r>
      <w:r w:rsidRPr="00A176EA">
        <w:rPr>
          <w:lang w:val="fr-FR"/>
        </w:rPr>
        <w:tab/>
      </w:r>
      <w:r w:rsidR="00632BA9">
        <w:rPr>
          <w:lang w:val="fr-FR"/>
        </w:rPr>
        <w:t xml:space="preserve">Lorsqu’un individu se dit victime </w:t>
      </w:r>
      <w:r w:rsidR="008B3227">
        <w:rPr>
          <w:lang w:val="fr-FR"/>
        </w:rPr>
        <w:t>d’une</w:t>
      </w:r>
      <w:r w:rsidR="00632BA9">
        <w:rPr>
          <w:lang w:val="fr-FR"/>
        </w:rPr>
        <w:t xml:space="preserve"> conduite</w:t>
      </w:r>
      <w:r w:rsidR="008B3227">
        <w:rPr>
          <w:lang w:val="fr-FR"/>
        </w:rPr>
        <w:t xml:space="preserve"> répréhensible</w:t>
      </w:r>
      <w:r w:rsidR="00632BA9">
        <w:rPr>
          <w:lang w:val="fr-FR"/>
        </w:rPr>
        <w:t xml:space="preserve">, une enquête approfondie (conforme à </w:t>
      </w:r>
      <w:r w:rsidR="00632BA9" w:rsidRPr="00632BA9">
        <w:rPr>
          <w:lang w:val="fr-FR"/>
        </w:rPr>
        <w:t xml:space="preserve">l’ordonnance </w:t>
      </w:r>
      <w:r w:rsidR="008B3227">
        <w:rPr>
          <w:lang w:val="fr-FR"/>
        </w:rPr>
        <w:t>relative à</w:t>
      </w:r>
      <w:r w:rsidR="00632BA9" w:rsidRPr="00632BA9">
        <w:rPr>
          <w:lang w:val="fr-FR"/>
        </w:rPr>
        <w:t xml:space="preserve"> l’Administration pénitentiaire</w:t>
      </w:r>
      <w:r w:rsidR="00632BA9">
        <w:rPr>
          <w:lang w:val="fr-FR"/>
        </w:rPr>
        <w:t xml:space="preserve"> </w:t>
      </w:r>
      <w:r w:rsidR="008B3227">
        <w:rPr>
          <w:lang w:val="fr-FR"/>
        </w:rPr>
        <w:t xml:space="preserve">PSO </w:t>
      </w:r>
      <w:r w:rsidR="00632BA9">
        <w:rPr>
          <w:lang w:val="fr-FR"/>
        </w:rPr>
        <w:t xml:space="preserve">1300) </w:t>
      </w:r>
      <w:r w:rsidR="008B3227">
        <w:rPr>
          <w:lang w:val="fr-FR"/>
        </w:rPr>
        <w:t>est</w:t>
      </w:r>
      <w:r w:rsidR="00632BA9">
        <w:rPr>
          <w:lang w:val="fr-FR"/>
        </w:rPr>
        <w:t xml:space="preserve"> menée. </w:t>
      </w:r>
      <w:r w:rsidR="00632BA9" w:rsidRPr="00BF6322">
        <w:rPr>
          <w:lang w:val="fr-FR"/>
        </w:rPr>
        <w:t xml:space="preserve">Les détenus peuvent porter plainte auprès du </w:t>
      </w:r>
      <w:r w:rsidR="00BF42ED" w:rsidRPr="00BF6322">
        <w:rPr>
          <w:snapToGrid w:val="0"/>
          <w:lang w:val="fr-FR"/>
        </w:rPr>
        <w:t xml:space="preserve">Médiateur </w:t>
      </w:r>
      <w:r w:rsidR="00BF42ED" w:rsidRPr="00BF6322">
        <w:rPr>
          <w:lang w:val="fr-FR"/>
        </w:rPr>
        <w:t>des établissements pénitentiaires et de la probation</w:t>
      </w:r>
      <w:r w:rsidR="000B562B" w:rsidRPr="00BF6322">
        <w:rPr>
          <w:lang w:val="fr-FR"/>
        </w:rPr>
        <w:t xml:space="preserve">, </w:t>
      </w:r>
      <w:r w:rsidR="00632BA9" w:rsidRPr="00BF6322">
        <w:rPr>
          <w:lang w:val="fr-FR"/>
        </w:rPr>
        <w:t xml:space="preserve">du Médiateur </w:t>
      </w:r>
      <w:r w:rsidR="003A6643">
        <w:rPr>
          <w:lang w:val="fr-FR"/>
        </w:rPr>
        <w:t>du Parlement</w:t>
      </w:r>
      <w:r w:rsidR="00632BA9" w:rsidRPr="00BF6322">
        <w:rPr>
          <w:lang w:val="fr-FR"/>
        </w:rPr>
        <w:t xml:space="preserve"> et des services de santé ou des Comités de surveillance indépendants</w:t>
      </w:r>
      <w:r w:rsidR="000B562B" w:rsidRPr="00BF6322">
        <w:rPr>
          <w:lang w:val="fr-FR"/>
        </w:rPr>
        <w:t>.</w:t>
      </w:r>
    </w:p>
    <w:p w:rsidR="000B562B" w:rsidRPr="00A176EA" w:rsidRDefault="002549A9" w:rsidP="00BF6322">
      <w:pPr>
        <w:pStyle w:val="SingleTxtG"/>
        <w:rPr>
          <w:lang w:val="fr-FR"/>
        </w:rPr>
      </w:pPr>
      <w:r w:rsidRPr="00A176EA">
        <w:rPr>
          <w:lang w:val="fr-FR"/>
        </w:rPr>
        <w:t>466.</w:t>
      </w:r>
      <w:r w:rsidRPr="00A176EA">
        <w:rPr>
          <w:lang w:val="fr-FR"/>
        </w:rPr>
        <w:tab/>
      </w:r>
      <w:r w:rsidR="00BF6322" w:rsidRPr="00BF6322">
        <w:rPr>
          <w:lang w:val="fr-FR"/>
        </w:rPr>
        <w:t xml:space="preserve">La procédure disciplinaire en vigueur </w:t>
      </w:r>
      <w:r w:rsidR="008B3227">
        <w:rPr>
          <w:lang w:val="fr-FR"/>
        </w:rPr>
        <w:t>au</w:t>
      </w:r>
      <w:r w:rsidR="00BF6322" w:rsidRPr="00BF6322">
        <w:rPr>
          <w:lang w:val="fr-FR"/>
        </w:rPr>
        <w:t xml:space="preserve"> sein de </w:t>
      </w:r>
      <w:r w:rsidR="0080325F" w:rsidRPr="00BF6322">
        <w:rPr>
          <w:lang w:val="fr-FR"/>
        </w:rPr>
        <w:t>l’</w:t>
      </w:r>
      <w:r w:rsidR="008E4932" w:rsidRPr="00BF6322">
        <w:rPr>
          <w:lang w:val="fr-FR"/>
        </w:rPr>
        <w:t>Administration pénitentiaire</w:t>
      </w:r>
      <w:r w:rsidR="000B562B" w:rsidRPr="00BF6322">
        <w:rPr>
          <w:lang w:val="fr-FR"/>
        </w:rPr>
        <w:t xml:space="preserve"> </w:t>
      </w:r>
      <w:r w:rsidR="0080325F" w:rsidRPr="00BF6322">
        <w:rPr>
          <w:lang w:val="fr-FR"/>
        </w:rPr>
        <w:t>publi</w:t>
      </w:r>
      <w:r w:rsidR="008B3227">
        <w:rPr>
          <w:lang w:val="fr-FR"/>
        </w:rPr>
        <w:t>que</w:t>
      </w:r>
      <w:r w:rsidR="0080325F" w:rsidRPr="00BF6322">
        <w:rPr>
          <w:lang w:val="fr-FR"/>
        </w:rPr>
        <w:t xml:space="preserve"> </w:t>
      </w:r>
      <w:r w:rsidR="00BF6322" w:rsidRPr="00BF6322">
        <w:rPr>
          <w:lang w:val="fr-FR"/>
        </w:rPr>
        <w:t>est définie dans</w:t>
      </w:r>
      <w:r w:rsidR="000B562B" w:rsidRPr="00BF6322">
        <w:rPr>
          <w:lang w:val="fr-FR"/>
        </w:rPr>
        <w:t xml:space="preserve"> </w:t>
      </w:r>
      <w:r w:rsidR="00BC6873" w:rsidRPr="00BF6322">
        <w:rPr>
          <w:lang w:val="fr-FR"/>
        </w:rPr>
        <w:t xml:space="preserve">l’ordonnance </w:t>
      </w:r>
      <w:r w:rsidR="008B3227">
        <w:rPr>
          <w:lang w:val="fr-FR"/>
        </w:rPr>
        <w:t>relative à</w:t>
      </w:r>
      <w:r w:rsidR="00BC6873" w:rsidRPr="00BF6322">
        <w:rPr>
          <w:lang w:val="fr-FR"/>
        </w:rPr>
        <w:t xml:space="preserve"> l’</w:t>
      </w:r>
      <w:r w:rsidR="008E4932" w:rsidRPr="00BF6322">
        <w:rPr>
          <w:lang w:val="fr-FR"/>
        </w:rPr>
        <w:t>Administration pénitentiaire</w:t>
      </w:r>
      <w:r w:rsidR="000B562B" w:rsidRPr="00BF6322">
        <w:rPr>
          <w:lang w:val="fr-FR"/>
        </w:rPr>
        <w:t xml:space="preserve"> </w:t>
      </w:r>
      <w:r w:rsidR="008B3227">
        <w:rPr>
          <w:lang w:val="fr-FR"/>
        </w:rPr>
        <w:t xml:space="preserve">PSO </w:t>
      </w:r>
      <w:r w:rsidR="000B562B" w:rsidRPr="00BF6322">
        <w:rPr>
          <w:lang w:val="fr-FR"/>
        </w:rPr>
        <w:t xml:space="preserve">8460 </w:t>
      </w:r>
      <w:r w:rsidR="00BC6873" w:rsidRPr="00BF6322">
        <w:rPr>
          <w:lang w:val="fr-FR"/>
        </w:rPr>
        <w:t>(</w:t>
      </w:r>
      <w:r w:rsidR="000B562B" w:rsidRPr="00BF6322">
        <w:rPr>
          <w:lang w:val="fr-FR"/>
        </w:rPr>
        <w:t>Condu</w:t>
      </w:r>
      <w:r w:rsidR="00BC6873" w:rsidRPr="00BF6322">
        <w:rPr>
          <w:lang w:val="fr-FR"/>
        </w:rPr>
        <w:t>ite et</w:t>
      </w:r>
      <w:r w:rsidR="000B562B" w:rsidRPr="00BF6322">
        <w:rPr>
          <w:lang w:val="fr-FR"/>
        </w:rPr>
        <w:t xml:space="preserve"> </w:t>
      </w:r>
      <w:r w:rsidR="00BC6873" w:rsidRPr="00BF6322">
        <w:rPr>
          <w:lang w:val="fr-FR"/>
        </w:rPr>
        <w:t>d</w:t>
      </w:r>
      <w:r w:rsidR="000B562B" w:rsidRPr="00BF6322">
        <w:rPr>
          <w:lang w:val="fr-FR"/>
        </w:rPr>
        <w:t>iscipline</w:t>
      </w:r>
      <w:r w:rsidR="00BC6873" w:rsidRPr="00BF6322">
        <w:rPr>
          <w:lang w:val="fr-FR"/>
        </w:rPr>
        <w:t>)</w:t>
      </w:r>
      <w:r w:rsidR="000B562B" w:rsidRPr="00BF6322">
        <w:rPr>
          <w:lang w:val="fr-FR"/>
        </w:rPr>
        <w:t xml:space="preserve">. </w:t>
      </w:r>
      <w:r w:rsidR="00BF6322">
        <w:rPr>
          <w:lang w:val="fr-FR"/>
        </w:rPr>
        <w:t xml:space="preserve">Cette </w:t>
      </w:r>
      <w:r w:rsidR="00BC6873" w:rsidRPr="00BF6322">
        <w:rPr>
          <w:lang w:val="fr-FR"/>
        </w:rPr>
        <w:t>ordonnance</w:t>
      </w:r>
      <w:r w:rsidR="000B562B" w:rsidRPr="00A176EA">
        <w:rPr>
          <w:lang w:val="fr-FR"/>
        </w:rPr>
        <w:t xml:space="preserve"> </w:t>
      </w:r>
      <w:r w:rsidR="00BF6322">
        <w:rPr>
          <w:lang w:val="fr-FR"/>
        </w:rPr>
        <w:t xml:space="preserve">indique la démarche à suivre en cas d’allégation de mauvaise conduite, </w:t>
      </w:r>
      <w:r w:rsidR="00C167E6">
        <w:rPr>
          <w:lang w:val="fr-FR"/>
        </w:rPr>
        <w:t>ce qui comprend</w:t>
      </w:r>
      <w:r w:rsidR="00BF6322">
        <w:rPr>
          <w:lang w:val="fr-FR"/>
        </w:rPr>
        <w:t xml:space="preserve"> le traitemen</w:t>
      </w:r>
      <w:r w:rsidR="00494F52">
        <w:rPr>
          <w:lang w:val="fr-FR"/>
        </w:rPr>
        <w:t>t</w:t>
      </w:r>
      <w:r w:rsidR="00BF6322">
        <w:rPr>
          <w:lang w:val="fr-FR"/>
        </w:rPr>
        <w:t xml:space="preserve"> inapproprié de détenus et les comportements inadéquats à leur égard</w:t>
      </w:r>
      <w:r w:rsidR="000B562B" w:rsidRPr="00A176EA">
        <w:rPr>
          <w:lang w:val="fr-FR"/>
        </w:rPr>
        <w:t>.</w:t>
      </w:r>
    </w:p>
    <w:p w:rsidR="000B562B" w:rsidRPr="00A176EA" w:rsidRDefault="002549A9" w:rsidP="007B455A">
      <w:pPr>
        <w:pStyle w:val="SingleTxtG"/>
        <w:tabs>
          <w:tab w:val="left" w:pos="567"/>
          <w:tab w:val="left" w:pos="1134"/>
          <w:tab w:val="left" w:pos="1701"/>
          <w:tab w:val="left" w:pos="2260"/>
        </w:tabs>
        <w:rPr>
          <w:lang w:val="fr-FR"/>
        </w:rPr>
      </w:pPr>
      <w:r w:rsidRPr="00A176EA">
        <w:rPr>
          <w:lang w:val="fr-FR"/>
        </w:rPr>
        <w:t>467.</w:t>
      </w:r>
      <w:r w:rsidRPr="00A176EA">
        <w:rPr>
          <w:lang w:val="fr-FR"/>
        </w:rPr>
        <w:tab/>
      </w:r>
      <w:r w:rsidR="00F76AE0">
        <w:rPr>
          <w:lang w:val="fr-FR"/>
        </w:rPr>
        <w:t xml:space="preserve">Le Gouverneur de chaque établissement pénitentiaire mettra en place des dispositions locales indiquant qui, dans l’établissement, est habilité à agir en tant que </w:t>
      </w:r>
      <w:r w:rsidR="0079732A">
        <w:rPr>
          <w:lang w:val="fr-FR"/>
        </w:rPr>
        <w:t>Directeur</w:t>
      </w:r>
      <w:r w:rsidR="007B455A">
        <w:rPr>
          <w:lang w:val="fr-FR"/>
        </w:rPr>
        <w:t xml:space="preserve"> d’enquête. Ce dernier doit être au minimum un fonctionnaire de l’échelon F de l’Administration pénitentiaire</w:t>
      </w:r>
      <w:r w:rsidR="000B562B" w:rsidRPr="00A176EA">
        <w:rPr>
          <w:lang w:val="fr-FR"/>
        </w:rPr>
        <w:t>.</w:t>
      </w:r>
    </w:p>
    <w:p w:rsidR="000B562B" w:rsidRPr="00A176EA" w:rsidRDefault="002549A9" w:rsidP="0059478A">
      <w:pPr>
        <w:pStyle w:val="SingleTxtG"/>
        <w:rPr>
          <w:lang w:val="fr-FR"/>
        </w:rPr>
      </w:pPr>
      <w:r w:rsidRPr="00A176EA">
        <w:rPr>
          <w:lang w:val="fr-FR"/>
        </w:rPr>
        <w:t>468.</w:t>
      </w:r>
      <w:r w:rsidRPr="00A176EA">
        <w:rPr>
          <w:lang w:val="fr-FR"/>
        </w:rPr>
        <w:tab/>
      </w:r>
      <w:r w:rsidR="0059478A">
        <w:rPr>
          <w:lang w:val="fr-FR"/>
        </w:rPr>
        <w:t xml:space="preserve">Le choix </w:t>
      </w:r>
      <w:r w:rsidR="0079732A">
        <w:rPr>
          <w:lang w:val="fr-FR"/>
        </w:rPr>
        <w:t>du Chargé d’enquête</w:t>
      </w:r>
      <w:r w:rsidR="0059478A">
        <w:rPr>
          <w:lang w:val="fr-FR"/>
        </w:rPr>
        <w:t xml:space="preserve"> est laissé à la discrétion du </w:t>
      </w:r>
      <w:r w:rsidR="0079732A">
        <w:rPr>
          <w:lang w:val="fr-FR"/>
        </w:rPr>
        <w:t>Directeur</w:t>
      </w:r>
      <w:r w:rsidR="0059478A">
        <w:rPr>
          <w:lang w:val="fr-FR"/>
        </w:rPr>
        <w:t xml:space="preserve"> d’enquête et dépend de la nature de l’incident et de la nécessité ou non de faire appel à des compétences ou des connaissances spécialisées. </w:t>
      </w:r>
      <w:r w:rsidR="0079732A">
        <w:rPr>
          <w:lang w:val="fr-FR"/>
        </w:rPr>
        <w:t>Le Chargé d’enquête</w:t>
      </w:r>
      <w:r w:rsidR="0059478A">
        <w:rPr>
          <w:lang w:val="fr-FR"/>
        </w:rPr>
        <w:t xml:space="preserve"> est tenu de travailler en toute impartialité et sans aucune influence de la part de tiers. Par ailleurs, il doit être au minimum Administrateur général ou Administrateur exécutif et, </w:t>
      </w:r>
      <w:r w:rsidR="008F46E3">
        <w:rPr>
          <w:lang w:val="fr-FR"/>
        </w:rPr>
        <w:t>d’une façon</w:t>
      </w:r>
      <w:r w:rsidR="0059478A">
        <w:rPr>
          <w:lang w:val="fr-FR"/>
        </w:rPr>
        <w:t xml:space="preserve"> générale, son grade ou son rang doit être plus élevé que celui de l’individu sur lequel il enquête</w:t>
      </w:r>
      <w:r w:rsidR="000B562B" w:rsidRPr="00A176EA">
        <w:rPr>
          <w:lang w:val="fr-FR"/>
        </w:rPr>
        <w:t>.</w:t>
      </w:r>
    </w:p>
    <w:p w:rsidR="000B562B" w:rsidRPr="00A176EA" w:rsidRDefault="002549A9" w:rsidP="0079732A">
      <w:pPr>
        <w:pStyle w:val="SingleTxtG"/>
        <w:rPr>
          <w:lang w:val="fr-FR"/>
        </w:rPr>
      </w:pPr>
      <w:r w:rsidRPr="00A176EA">
        <w:rPr>
          <w:lang w:val="fr-FR"/>
        </w:rPr>
        <w:t>469.</w:t>
      </w:r>
      <w:r w:rsidRPr="00A176EA">
        <w:rPr>
          <w:lang w:val="fr-FR"/>
        </w:rPr>
        <w:tab/>
      </w:r>
      <w:r w:rsidR="0059478A">
        <w:rPr>
          <w:lang w:val="fr-FR"/>
        </w:rPr>
        <w:t xml:space="preserve">Le </w:t>
      </w:r>
      <w:r w:rsidR="0079732A">
        <w:rPr>
          <w:lang w:val="fr-FR"/>
        </w:rPr>
        <w:t>Directeur</w:t>
      </w:r>
      <w:r w:rsidR="0059478A">
        <w:rPr>
          <w:lang w:val="fr-FR"/>
        </w:rPr>
        <w:t xml:space="preserve"> d’enquête doit vérifier que </w:t>
      </w:r>
      <w:r w:rsidR="0079732A">
        <w:rPr>
          <w:lang w:val="fr-FR"/>
        </w:rPr>
        <w:t>le</w:t>
      </w:r>
      <w:r w:rsidR="0059478A">
        <w:rPr>
          <w:lang w:val="fr-FR"/>
        </w:rPr>
        <w:t xml:space="preserve"> </w:t>
      </w:r>
      <w:r w:rsidR="0079732A">
        <w:rPr>
          <w:lang w:val="fr-FR"/>
        </w:rPr>
        <w:t xml:space="preserve">Chargé d’enquête </w:t>
      </w:r>
      <w:r w:rsidR="0059478A">
        <w:rPr>
          <w:lang w:val="fr-FR"/>
        </w:rPr>
        <w:t>est compétent pour remplir sa fonction</w:t>
      </w:r>
      <w:r w:rsidR="0079732A">
        <w:rPr>
          <w:lang w:val="fr-FR"/>
        </w:rPr>
        <w:t>, que ce soit</w:t>
      </w:r>
      <w:r w:rsidR="0059478A">
        <w:rPr>
          <w:lang w:val="fr-FR"/>
        </w:rPr>
        <w:t xml:space="preserve"> </w:t>
      </w:r>
      <w:r w:rsidR="0079732A" w:rsidRPr="0079732A">
        <w:rPr>
          <w:lang w:val="fr-FR"/>
        </w:rPr>
        <w:t>par</w:t>
      </w:r>
      <w:r w:rsidR="0079732A">
        <w:rPr>
          <w:lang w:val="fr-FR"/>
        </w:rPr>
        <w:t xml:space="preserve"> sa formation, ses états de service en matière de gestion ou de conduite d’enquête, ou la démonstration de son aptitude, à savoir ses capacités analytiques, ses compétences en termes de communication écrite, ses connaissances ou son expertise de </w:t>
      </w:r>
      <w:r w:rsidR="000B562B" w:rsidRPr="00A176EA">
        <w:rPr>
          <w:lang w:val="fr-FR"/>
        </w:rPr>
        <w:t>sp</w:t>
      </w:r>
      <w:r w:rsidR="0079732A">
        <w:rPr>
          <w:lang w:val="fr-FR"/>
        </w:rPr>
        <w:t>é</w:t>
      </w:r>
      <w:r w:rsidR="000B562B" w:rsidRPr="00A176EA">
        <w:rPr>
          <w:lang w:val="fr-FR"/>
        </w:rPr>
        <w:t>cialist</w:t>
      </w:r>
      <w:r w:rsidR="0079732A">
        <w:rPr>
          <w:lang w:val="fr-FR"/>
        </w:rPr>
        <w:t>e</w:t>
      </w:r>
      <w:r w:rsidR="000B562B" w:rsidRPr="00A176EA">
        <w:rPr>
          <w:lang w:val="fr-FR"/>
        </w:rPr>
        <w:t>.</w:t>
      </w:r>
    </w:p>
    <w:p w:rsidR="000B562B" w:rsidRPr="00A176EA" w:rsidRDefault="002549A9" w:rsidP="0005066F">
      <w:pPr>
        <w:pStyle w:val="SingleTxtG"/>
        <w:rPr>
          <w:lang w:val="fr-FR"/>
        </w:rPr>
      </w:pPr>
      <w:r w:rsidRPr="00A176EA">
        <w:rPr>
          <w:lang w:val="fr-FR"/>
        </w:rPr>
        <w:t>470.</w:t>
      </w:r>
      <w:r w:rsidRPr="00A176EA">
        <w:rPr>
          <w:lang w:val="fr-FR"/>
        </w:rPr>
        <w:tab/>
      </w:r>
      <w:r w:rsidR="0079732A">
        <w:rPr>
          <w:lang w:val="fr-FR"/>
        </w:rPr>
        <w:t xml:space="preserve">Selon la nature de l’allégation, le Chargé d’enquête </w:t>
      </w:r>
      <w:r w:rsidR="008A402B">
        <w:rPr>
          <w:lang w:val="fr-FR"/>
        </w:rPr>
        <w:t xml:space="preserve">doit déterminer si d’autres méthodes d’investigation sont nécessaires, par exemple l’intervention d’un expert en médecine légale. </w:t>
      </w:r>
      <w:r w:rsidR="0005066F" w:rsidRPr="0005066F">
        <w:rPr>
          <w:lang w:val="fr-FR"/>
        </w:rPr>
        <w:t>Lorsque les allégations sont potentiellement de nature criminelle, l’affaire est transmise aux services de police et non traitée en premier ressort par l’</w:t>
      </w:r>
      <w:r w:rsidR="008E4932" w:rsidRPr="0005066F">
        <w:rPr>
          <w:lang w:val="fr-FR"/>
        </w:rPr>
        <w:t>Administration pénitentiaire</w:t>
      </w:r>
      <w:r w:rsidR="000B562B" w:rsidRPr="0005066F">
        <w:rPr>
          <w:lang w:val="fr-FR"/>
        </w:rPr>
        <w:t>.</w:t>
      </w:r>
    </w:p>
    <w:p w:rsidR="000B562B" w:rsidRPr="00A176EA" w:rsidRDefault="002549A9" w:rsidP="0005066F">
      <w:pPr>
        <w:pStyle w:val="SingleTxtG"/>
        <w:rPr>
          <w:lang w:val="fr-FR"/>
        </w:rPr>
      </w:pPr>
      <w:r w:rsidRPr="00A176EA">
        <w:rPr>
          <w:lang w:val="fr-FR"/>
        </w:rPr>
        <w:t>471.</w:t>
      </w:r>
      <w:r w:rsidRPr="00A176EA">
        <w:rPr>
          <w:lang w:val="fr-FR"/>
        </w:rPr>
        <w:tab/>
      </w:r>
      <w:r w:rsidR="0005066F">
        <w:rPr>
          <w:lang w:val="fr-FR"/>
        </w:rPr>
        <w:t>Dans certains cas, il n’est pas approprié qu’un membre du personnel reste en fonction ou sur son lieu de travail pendant l’enquête menée sur lui pour conduite</w:t>
      </w:r>
      <w:r w:rsidR="008B3227" w:rsidRPr="008B3227">
        <w:rPr>
          <w:lang w:val="fr-FR"/>
        </w:rPr>
        <w:t xml:space="preserve"> </w:t>
      </w:r>
      <w:r w:rsidR="008B3227">
        <w:rPr>
          <w:lang w:val="fr-FR"/>
        </w:rPr>
        <w:t>répréhensible</w:t>
      </w:r>
      <w:r w:rsidR="0005066F">
        <w:rPr>
          <w:lang w:val="fr-FR"/>
        </w:rPr>
        <w:t xml:space="preserve">. En l’espèce, le Gouverneur de l’établissement pénitentiaire l’affectera à d’autres tâches ou, à titre exceptionnel, le suspendra jusqu’à la fin de l’enquête. Pendant cette période, l’intéressé aura pour instruction de ne discuter </w:t>
      </w:r>
      <w:r w:rsidR="00C378D5">
        <w:rPr>
          <w:lang w:val="fr-FR"/>
        </w:rPr>
        <w:t xml:space="preserve">en aucun cas </w:t>
      </w:r>
      <w:r w:rsidR="0005066F">
        <w:rPr>
          <w:lang w:val="fr-FR"/>
        </w:rPr>
        <w:t xml:space="preserve">de l’affaire avec </w:t>
      </w:r>
      <w:r w:rsidR="00C378D5">
        <w:rPr>
          <w:lang w:val="fr-FR"/>
        </w:rPr>
        <w:t>un</w:t>
      </w:r>
      <w:r w:rsidR="002C3BD4">
        <w:rPr>
          <w:lang w:val="fr-FR"/>
        </w:rPr>
        <w:t>e</w:t>
      </w:r>
      <w:r w:rsidR="00C378D5">
        <w:rPr>
          <w:lang w:val="fr-FR"/>
        </w:rPr>
        <w:t xml:space="preserve"> autre </w:t>
      </w:r>
      <w:r w:rsidR="0005066F">
        <w:rPr>
          <w:lang w:val="fr-FR"/>
        </w:rPr>
        <w:t>personne</w:t>
      </w:r>
      <w:r w:rsidR="00C378D5">
        <w:rPr>
          <w:lang w:val="fr-FR"/>
        </w:rPr>
        <w:t xml:space="preserve"> qu’un</w:t>
      </w:r>
      <w:r w:rsidR="0005066F">
        <w:rPr>
          <w:lang w:val="fr-FR"/>
        </w:rPr>
        <w:t xml:space="preserve"> </w:t>
      </w:r>
      <w:r w:rsidR="00C378D5">
        <w:rPr>
          <w:lang w:val="fr-FR"/>
        </w:rPr>
        <w:t>membre de</w:t>
      </w:r>
      <w:r w:rsidR="0005066F">
        <w:rPr>
          <w:lang w:val="fr-FR"/>
        </w:rPr>
        <w:t xml:space="preserve"> l’équipe ou </w:t>
      </w:r>
      <w:r w:rsidR="00C378D5">
        <w:rPr>
          <w:lang w:val="fr-FR"/>
        </w:rPr>
        <w:t>un</w:t>
      </w:r>
      <w:r w:rsidR="0005066F">
        <w:rPr>
          <w:lang w:val="fr-FR"/>
        </w:rPr>
        <w:t xml:space="preserve"> représentant dûment mandaté</w:t>
      </w:r>
      <w:r w:rsidR="00C378D5">
        <w:rPr>
          <w:lang w:val="fr-FR"/>
        </w:rPr>
        <w:t xml:space="preserve"> de celle-ci</w:t>
      </w:r>
      <w:r w:rsidR="000B562B" w:rsidRPr="00A176EA">
        <w:rPr>
          <w:lang w:val="fr-FR"/>
        </w:rPr>
        <w:t>.</w:t>
      </w:r>
    </w:p>
    <w:p w:rsidR="000B562B" w:rsidRPr="00A176EA" w:rsidRDefault="002549A9" w:rsidP="00902B3F">
      <w:pPr>
        <w:pStyle w:val="SingleTxtG"/>
        <w:rPr>
          <w:lang w:val="fr-FR"/>
        </w:rPr>
      </w:pPr>
      <w:r w:rsidRPr="00A176EA">
        <w:rPr>
          <w:lang w:val="fr-FR"/>
        </w:rPr>
        <w:t>472.</w:t>
      </w:r>
      <w:r w:rsidRPr="00A176EA">
        <w:rPr>
          <w:lang w:val="fr-FR"/>
        </w:rPr>
        <w:tab/>
      </w:r>
      <w:r w:rsidR="00902B3F">
        <w:rPr>
          <w:lang w:val="fr-FR"/>
        </w:rPr>
        <w:t>Une base de données centrale contient les détails de tous les cas avérés de mauvaise conduite du personnel et de la sanction disciplinaire prononcée. Cette base de données comprend par ailleurs des informations sur les affaires de mauvais traitement envers des détenus</w:t>
      </w:r>
      <w:r w:rsidR="000B562B" w:rsidRPr="00A176EA">
        <w:rPr>
          <w:lang w:val="fr-FR"/>
        </w:rPr>
        <w:t>.</w:t>
      </w:r>
    </w:p>
    <w:p w:rsidR="000B562B" w:rsidRPr="00A176EA" w:rsidRDefault="008432D4" w:rsidP="00DE1014">
      <w:pPr>
        <w:pStyle w:val="H23G"/>
        <w:rPr>
          <w:snapToGrid w:val="0"/>
          <w:lang w:val="fr-FR"/>
        </w:rPr>
      </w:pPr>
      <w:r w:rsidRPr="00902B3F">
        <w:rPr>
          <w:snapToGrid w:val="0"/>
          <w:lang w:val="fr-FR"/>
        </w:rPr>
        <w:t>Écosse</w:t>
      </w:r>
    </w:p>
    <w:p w:rsidR="000B562B" w:rsidRPr="00A176EA" w:rsidRDefault="002549A9" w:rsidP="00902B3F">
      <w:pPr>
        <w:pStyle w:val="SingleTxtG"/>
        <w:rPr>
          <w:snapToGrid w:val="0"/>
          <w:lang w:val="fr-FR"/>
        </w:rPr>
      </w:pPr>
      <w:r w:rsidRPr="00A176EA">
        <w:rPr>
          <w:snapToGrid w:val="0"/>
          <w:lang w:val="fr-FR"/>
        </w:rPr>
        <w:t>473.</w:t>
      </w:r>
      <w:r w:rsidRPr="00A176EA">
        <w:rPr>
          <w:snapToGrid w:val="0"/>
          <w:lang w:val="fr-FR"/>
        </w:rPr>
        <w:tab/>
      </w:r>
      <w:r w:rsidR="00902B3F">
        <w:rPr>
          <w:snapToGrid w:val="0"/>
          <w:lang w:val="fr-FR"/>
        </w:rPr>
        <w:t xml:space="preserve">En toute indépendance de l’Administration pénitentiaire écossaise, le Procureur enquête sur les allégations </w:t>
      </w:r>
      <w:r w:rsidR="006A0DDA">
        <w:rPr>
          <w:snapToGrid w:val="0"/>
          <w:lang w:val="fr-FR"/>
        </w:rPr>
        <w:t>d’acte criminel</w:t>
      </w:r>
      <w:r w:rsidR="00902B3F">
        <w:rPr>
          <w:snapToGrid w:val="0"/>
          <w:lang w:val="fr-FR"/>
        </w:rPr>
        <w:t xml:space="preserve"> commis par un agent pénitentiaire. En outre, toute allégation </w:t>
      </w:r>
      <w:r w:rsidR="00630FAA">
        <w:rPr>
          <w:snapToGrid w:val="0"/>
          <w:lang w:val="fr-FR"/>
        </w:rPr>
        <w:t>d’agression d’un détenu par le</w:t>
      </w:r>
      <w:r w:rsidR="00902B3F">
        <w:rPr>
          <w:snapToGrid w:val="0"/>
          <w:lang w:val="fr-FR"/>
        </w:rPr>
        <w:t xml:space="preserve"> personnel au sein de l’établissement </w:t>
      </w:r>
      <w:r w:rsidR="00630FAA">
        <w:rPr>
          <w:snapToGrid w:val="0"/>
          <w:lang w:val="fr-FR"/>
        </w:rPr>
        <w:t>est</w:t>
      </w:r>
      <w:r w:rsidR="00902B3F">
        <w:rPr>
          <w:snapToGrid w:val="0"/>
          <w:lang w:val="fr-FR"/>
        </w:rPr>
        <w:t xml:space="preserve"> signalée aux services de police et f</w:t>
      </w:r>
      <w:r w:rsidR="00630FAA">
        <w:rPr>
          <w:snapToGrid w:val="0"/>
          <w:lang w:val="fr-FR"/>
        </w:rPr>
        <w:t>ai</w:t>
      </w:r>
      <w:r w:rsidR="00902B3F">
        <w:rPr>
          <w:snapToGrid w:val="0"/>
          <w:lang w:val="fr-FR"/>
        </w:rPr>
        <w:t>t l’objet d’une enquête, de la même façon que les allégations à l’encontre de fonctionnaires de police</w:t>
      </w:r>
      <w:r w:rsidR="000B562B" w:rsidRPr="00A176EA">
        <w:rPr>
          <w:snapToGrid w:val="0"/>
          <w:lang w:val="fr-FR"/>
        </w:rPr>
        <w:t>.</w:t>
      </w:r>
    </w:p>
    <w:p w:rsidR="000B562B" w:rsidRPr="00A176EA" w:rsidRDefault="008432D4" w:rsidP="00DE1014">
      <w:pPr>
        <w:pStyle w:val="H23G"/>
        <w:rPr>
          <w:snapToGrid w:val="0"/>
          <w:lang w:val="fr-FR"/>
        </w:rPr>
      </w:pPr>
      <w:r w:rsidRPr="00902B3F">
        <w:rPr>
          <w:snapToGrid w:val="0"/>
          <w:lang w:val="fr-FR"/>
        </w:rPr>
        <w:t>Irlande du Nord</w:t>
      </w:r>
    </w:p>
    <w:p w:rsidR="000B562B" w:rsidRPr="00A176EA" w:rsidRDefault="002549A9" w:rsidP="00BD094D">
      <w:pPr>
        <w:pStyle w:val="SingleTxtG"/>
        <w:rPr>
          <w:snapToGrid w:val="0"/>
          <w:lang w:val="fr-FR"/>
        </w:rPr>
      </w:pPr>
      <w:r w:rsidRPr="00A176EA">
        <w:rPr>
          <w:snapToGrid w:val="0"/>
          <w:lang w:val="fr-FR"/>
        </w:rPr>
        <w:t>474.</w:t>
      </w:r>
      <w:r w:rsidRPr="00A176EA">
        <w:rPr>
          <w:snapToGrid w:val="0"/>
          <w:lang w:val="fr-FR"/>
        </w:rPr>
        <w:tab/>
      </w:r>
      <w:r w:rsidR="00902B3F" w:rsidRPr="00902B3F">
        <w:rPr>
          <w:snapToGrid w:val="0"/>
          <w:lang w:val="fr-FR"/>
        </w:rPr>
        <w:t>E</w:t>
      </w:r>
      <w:r w:rsidR="000B562B" w:rsidRPr="00902B3F">
        <w:rPr>
          <w:snapToGrid w:val="0"/>
          <w:lang w:val="fr-FR"/>
        </w:rPr>
        <w:t xml:space="preserve">n </w:t>
      </w:r>
      <w:r w:rsidR="008F3DA4" w:rsidRPr="00902B3F">
        <w:rPr>
          <w:lang w:val="fr-FR"/>
        </w:rPr>
        <w:t>Irlande du Nord</w:t>
      </w:r>
      <w:r w:rsidR="00902B3F" w:rsidRPr="00902B3F">
        <w:rPr>
          <w:lang w:val="fr-FR"/>
        </w:rPr>
        <w:t>,</w:t>
      </w:r>
      <w:r w:rsidR="00902B3F">
        <w:rPr>
          <w:lang w:val="fr-FR"/>
        </w:rPr>
        <w:t xml:space="preserve"> la procédure disciplinaire à l’encontre du personnel pénitentiaire figure dans</w:t>
      </w:r>
      <w:r w:rsidR="00A2062D">
        <w:rPr>
          <w:lang w:val="fr-FR"/>
        </w:rPr>
        <w:t xml:space="preserve"> </w:t>
      </w:r>
      <w:r w:rsidR="00902B3F">
        <w:rPr>
          <w:lang w:val="fr-FR"/>
        </w:rPr>
        <w:t>le Code de conduite et de discipline</w:t>
      </w:r>
      <w:r w:rsidR="0082562A">
        <w:rPr>
          <w:lang w:val="fr-FR"/>
        </w:rPr>
        <w:t>. Il ne s’agit</w:t>
      </w:r>
      <w:r w:rsidR="00902B3F">
        <w:rPr>
          <w:lang w:val="fr-FR"/>
        </w:rPr>
        <w:t xml:space="preserve"> pas </w:t>
      </w:r>
      <w:r w:rsidR="0082562A">
        <w:rPr>
          <w:lang w:val="fr-FR"/>
        </w:rPr>
        <w:t>d’</w:t>
      </w:r>
      <w:r w:rsidR="00902B3F">
        <w:rPr>
          <w:lang w:val="fr-FR"/>
        </w:rPr>
        <w:t>un texte législatif</w:t>
      </w:r>
      <w:r w:rsidR="0082562A">
        <w:rPr>
          <w:lang w:val="fr-FR"/>
        </w:rPr>
        <w:t xml:space="preserve"> mais d’un document d’orientation découlant de la loi de 1953 sur les </w:t>
      </w:r>
      <w:r w:rsidR="00164ECF">
        <w:rPr>
          <w:lang w:val="fr-FR"/>
        </w:rPr>
        <w:t>établissements pénitentiaires</w:t>
      </w:r>
      <w:r w:rsidR="0082562A">
        <w:rPr>
          <w:lang w:val="fr-FR"/>
        </w:rPr>
        <w:t xml:space="preserve"> (Irlande du Nord)</w:t>
      </w:r>
      <w:r w:rsidR="00902B3F">
        <w:rPr>
          <w:lang w:val="fr-FR"/>
        </w:rPr>
        <w:t xml:space="preserve">. </w:t>
      </w:r>
      <w:r w:rsidR="00164ECF">
        <w:rPr>
          <w:lang w:val="fr-FR"/>
        </w:rPr>
        <w:t>Le paragraphe 13</w:t>
      </w:r>
      <w:r w:rsidR="00250A6E">
        <w:rPr>
          <w:lang w:val="fr-FR"/>
        </w:rPr>
        <w:t xml:space="preserve"> </w:t>
      </w:r>
      <w:r w:rsidR="00164ECF">
        <w:rPr>
          <w:lang w:val="fr-FR"/>
        </w:rPr>
        <w:t xml:space="preserve">e) de cette loi stipule que </w:t>
      </w:r>
      <w:r w:rsidR="00CD0110">
        <w:rPr>
          <w:lang w:val="fr-FR"/>
        </w:rPr>
        <w:t>«</w:t>
      </w:r>
      <w:r w:rsidR="00164ECF">
        <w:rPr>
          <w:lang w:val="fr-FR"/>
        </w:rPr>
        <w:t xml:space="preserve">le Ministère peut </w:t>
      </w:r>
      <w:r w:rsidR="00BD094D">
        <w:rPr>
          <w:lang w:val="fr-FR"/>
        </w:rPr>
        <w:t>instaurer des Règles pénitentiaires relative</w:t>
      </w:r>
      <w:r w:rsidR="004A74CE">
        <w:rPr>
          <w:lang w:val="fr-FR"/>
        </w:rPr>
        <w:t>s</w:t>
      </w:r>
      <w:r w:rsidR="00BD094D">
        <w:rPr>
          <w:lang w:val="fr-FR"/>
        </w:rPr>
        <w:t xml:space="preserve"> à la conduite, au devoir et à la discipline du personnel pénitentiaire</w:t>
      </w:r>
      <w:r w:rsidR="00CD0110">
        <w:rPr>
          <w:lang w:val="fr-FR"/>
        </w:rPr>
        <w:t>»</w:t>
      </w:r>
      <w:r w:rsidR="00BD094D">
        <w:rPr>
          <w:lang w:val="fr-FR"/>
        </w:rPr>
        <w:t>.</w:t>
      </w:r>
    </w:p>
    <w:p w:rsidR="000B562B" w:rsidRPr="00A176EA" w:rsidRDefault="002549A9" w:rsidP="00C167E6">
      <w:pPr>
        <w:pStyle w:val="SingleTxtG"/>
        <w:rPr>
          <w:lang w:val="fr-FR"/>
        </w:rPr>
      </w:pPr>
      <w:r w:rsidRPr="00A176EA">
        <w:rPr>
          <w:lang w:val="fr-FR"/>
        </w:rPr>
        <w:t>475.</w:t>
      </w:r>
      <w:r w:rsidRPr="00A176EA">
        <w:rPr>
          <w:lang w:val="fr-FR"/>
        </w:rPr>
        <w:tab/>
      </w:r>
      <w:r w:rsidR="00BD094D">
        <w:rPr>
          <w:lang w:val="fr-FR"/>
        </w:rPr>
        <w:t xml:space="preserve">Le Code s’applique tant aux Gouverneurs qu’aux agents pénitentiaires de toutes catégories et tous grades. Il </w:t>
      </w:r>
      <w:r w:rsidR="00C167E6">
        <w:rPr>
          <w:lang w:val="fr-FR"/>
        </w:rPr>
        <w:t>indique la démarche à suivre en cas d’allégation de conduite</w:t>
      </w:r>
      <w:r w:rsidR="008B3227" w:rsidRPr="008B3227">
        <w:rPr>
          <w:lang w:val="fr-FR"/>
        </w:rPr>
        <w:t xml:space="preserve"> </w:t>
      </w:r>
      <w:r w:rsidR="008B3227">
        <w:rPr>
          <w:lang w:val="fr-FR"/>
        </w:rPr>
        <w:t>répréhensible</w:t>
      </w:r>
      <w:r w:rsidR="00C167E6">
        <w:rPr>
          <w:lang w:val="fr-FR"/>
        </w:rPr>
        <w:t>, ce qui comprend le traitement inapproprié de détenus et les comportements inadéquats à leur égard</w:t>
      </w:r>
      <w:r w:rsidR="000B562B" w:rsidRPr="00A176EA">
        <w:rPr>
          <w:lang w:val="fr-FR"/>
        </w:rPr>
        <w:t>.</w:t>
      </w:r>
    </w:p>
    <w:p w:rsidR="000B562B" w:rsidRPr="00A176EA" w:rsidRDefault="002549A9" w:rsidP="00C32C70">
      <w:pPr>
        <w:pStyle w:val="SingleTxtG"/>
        <w:rPr>
          <w:lang w:val="fr-FR"/>
        </w:rPr>
      </w:pPr>
      <w:r w:rsidRPr="00A176EA">
        <w:rPr>
          <w:lang w:val="fr-FR"/>
        </w:rPr>
        <w:t>476.</w:t>
      </w:r>
      <w:r w:rsidRPr="00A176EA">
        <w:rPr>
          <w:lang w:val="fr-FR"/>
        </w:rPr>
        <w:tab/>
      </w:r>
      <w:r w:rsidR="00C167E6">
        <w:rPr>
          <w:lang w:val="fr-FR"/>
        </w:rPr>
        <w:t>Le Code est actuellement en cours de révision</w:t>
      </w:r>
      <w:r w:rsidR="000B562B" w:rsidRPr="00A176EA">
        <w:rPr>
          <w:lang w:val="fr-FR"/>
        </w:rPr>
        <w:t>.</w:t>
      </w:r>
    </w:p>
    <w:p w:rsidR="000B562B" w:rsidRPr="00C167E6" w:rsidRDefault="00BF42ED" w:rsidP="00C32C70">
      <w:pPr>
        <w:pStyle w:val="H23G"/>
        <w:rPr>
          <w:lang w:val="fr-FR"/>
        </w:rPr>
      </w:pPr>
      <w:r w:rsidRPr="00C167E6">
        <w:rPr>
          <w:lang w:val="fr-FR"/>
        </w:rPr>
        <w:t>L</w:t>
      </w:r>
      <w:r w:rsidR="000B562B" w:rsidRPr="00C167E6">
        <w:rPr>
          <w:lang w:val="fr-FR"/>
        </w:rPr>
        <w:t xml:space="preserve">e </w:t>
      </w:r>
      <w:r w:rsidRPr="00C167E6">
        <w:rPr>
          <w:lang w:val="fr-FR"/>
        </w:rPr>
        <w:t>Médiateur des établissements pénitentiaires et de la probation</w:t>
      </w:r>
    </w:p>
    <w:p w:rsidR="000B562B" w:rsidRPr="003A6643" w:rsidRDefault="002549A9" w:rsidP="003A6643">
      <w:pPr>
        <w:pStyle w:val="SingleTxtG"/>
        <w:rPr>
          <w:lang w:val="fr-FR"/>
        </w:rPr>
      </w:pPr>
      <w:r w:rsidRPr="00C167E6">
        <w:rPr>
          <w:lang w:val="fr-FR"/>
        </w:rPr>
        <w:t>477.</w:t>
      </w:r>
      <w:r w:rsidRPr="00C167E6">
        <w:rPr>
          <w:lang w:val="fr-FR"/>
        </w:rPr>
        <w:tab/>
      </w:r>
      <w:r w:rsidR="00BF42ED" w:rsidRPr="00C167E6">
        <w:rPr>
          <w:lang w:val="fr-FR"/>
        </w:rPr>
        <w:t>Nommé par le Ministre de la justice, le Médiateur est totalement</w:t>
      </w:r>
      <w:r w:rsidR="000B562B" w:rsidRPr="00C167E6">
        <w:rPr>
          <w:lang w:val="fr-FR"/>
        </w:rPr>
        <w:t xml:space="preserve"> ind</w:t>
      </w:r>
      <w:r w:rsidR="00BF42ED" w:rsidRPr="00C167E6">
        <w:rPr>
          <w:lang w:val="fr-FR"/>
        </w:rPr>
        <w:t>é</w:t>
      </w:r>
      <w:r w:rsidR="000B562B" w:rsidRPr="00C167E6">
        <w:rPr>
          <w:lang w:val="fr-FR"/>
        </w:rPr>
        <w:t>pend</w:t>
      </w:r>
      <w:r w:rsidR="00BF42ED" w:rsidRPr="00C167E6">
        <w:rPr>
          <w:lang w:val="fr-FR"/>
        </w:rPr>
        <w:t>a</w:t>
      </w:r>
      <w:r w:rsidR="000B562B" w:rsidRPr="00C167E6">
        <w:rPr>
          <w:lang w:val="fr-FR"/>
        </w:rPr>
        <w:t xml:space="preserve">nt </w:t>
      </w:r>
      <w:r w:rsidR="00BF42ED" w:rsidRPr="00C167E6">
        <w:rPr>
          <w:lang w:val="fr-FR"/>
        </w:rPr>
        <w:t>du</w:t>
      </w:r>
      <w:r w:rsidR="000B562B" w:rsidRPr="00C167E6">
        <w:rPr>
          <w:lang w:val="fr-FR"/>
        </w:rPr>
        <w:t xml:space="preserve"> </w:t>
      </w:r>
      <w:r w:rsidR="00EC7069" w:rsidRPr="00C167E6">
        <w:rPr>
          <w:lang w:val="fr-FR"/>
        </w:rPr>
        <w:t xml:space="preserve">Service national de gestion des </w:t>
      </w:r>
      <w:r w:rsidR="000423A5" w:rsidRPr="00C167E6">
        <w:rPr>
          <w:lang w:val="fr-FR"/>
        </w:rPr>
        <w:t>détenus</w:t>
      </w:r>
      <w:r w:rsidR="00EC7069" w:rsidRPr="00C167E6">
        <w:rPr>
          <w:lang w:val="fr-FR"/>
        </w:rPr>
        <w:t xml:space="preserve"> </w:t>
      </w:r>
      <w:r w:rsidR="00BF42ED" w:rsidRPr="00C167E6">
        <w:rPr>
          <w:lang w:val="fr-FR"/>
        </w:rPr>
        <w:t>et du</w:t>
      </w:r>
      <w:r w:rsidR="000B562B" w:rsidRPr="00C167E6">
        <w:rPr>
          <w:lang w:val="fr-FR"/>
        </w:rPr>
        <w:t xml:space="preserve"> </w:t>
      </w:r>
      <w:r w:rsidR="006A0623" w:rsidRPr="00C167E6">
        <w:rPr>
          <w:lang w:val="fr-FR"/>
        </w:rPr>
        <w:t>Service de contrôle des frontières du Royaume-Uni</w:t>
      </w:r>
      <w:r w:rsidR="000B562B" w:rsidRPr="00C167E6">
        <w:rPr>
          <w:lang w:val="fr-FR"/>
        </w:rPr>
        <w:t>.</w:t>
      </w:r>
      <w:r w:rsidR="000B562B" w:rsidRPr="00A176EA">
        <w:rPr>
          <w:lang w:val="fr-FR"/>
        </w:rPr>
        <w:t xml:space="preserve"> </w:t>
      </w:r>
      <w:r w:rsidR="00C167E6">
        <w:rPr>
          <w:lang w:val="fr-FR"/>
        </w:rPr>
        <w:t>Il constitue un mécanisme de plainte indépendant pour les détenus, les délinquants en liberté surveillée et les immigrants détenus qui n’ont pas obtenu</w:t>
      </w:r>
      <w:r w:rsidR="000B562B" w:rsidRPr="00A176EA">
        <w:rPr>
          <w:lang w:val="fr-FR"/>
        </w:rPr>
        <w:t xml:space="preserve"> satisfaction </w:t>
      </w:r>
      <w:r w:rsidR="00C167E6">
        <w:rPr>
          <w:lang w:val="fr-FR"/>
        </w:rPr>
        <w:t>dans le cadre du système interne de plainte</w:t>
      </w:r>
      <w:r w:rsidR="000B562B" w:rsidRPr="00A176EA">
        <w:rPr>
          <w:lang w:val="fr-FR"/>
        </w:rPr>
        <w:t xml:space="preserve">. </w:t>
      </w:r>
      <w:r w:rsidR="00C167E6">
        <w:rPr>
          <w:lang w:val="fr-FR"/>
        </w:rPr>
        <w:t>Le Médiateur est également chargé d’enquêter sur tous les décès</w:t>
      </w:r>
      <w:r w:rsidR="003A6643">
        <w:rPr>
          <w:lang w:val="fr-FR"/>
        </w:rPr>
        <w:t xml:space="preserve"> en prison, dans des lieux approuvés par le service de probation ou dans les  </w:t>
      </w:r>
      <w:r w:rsidR="003744DC" w:rsidRPr="003A6643">
        <w:rPr>
          <w:color w:val="000000"/>
          <w:lang w:val="fr-FR"/>
        </w:rPr>
        <w:t>centres de rétention d</w:t>
      </w:r>
      <w:r w:rsidR="00975911" w:rsidRPr="003A6643">
        <w:rPr>
          <w:color w:val="000000"/>
          <w:lang w:val="fr-FR"/>
        </w:rPr>
        <w:t>es</w:t>
      </w:r>
      <w:r w:rsidR="003744DC" w:rsidRPr="003A6643">
        <w:rPr>
          <w:color w:val="000000"/>
          <w:lang w:val="fr-FR"/>
        </w:rPr>
        <w:t xml:space="preserve"> servic</w:t>
      </w:r>
      <w:r w:rsidR="003A6643" w:rsidRPr="003A6643">
        <w:rPr>
          <w:color w:val="000000"/>
          <w:lang w:val="fr-FR"/>
        </w:rPr>
        <w:t>es</w:t>
      </w:r>
      <w:r w:rsidR="003744DC" w:rsidRPr="003A6643">
        <w:rPr>
          <w:color w:val="000000"/>
          <w:lang w:val="fr-FR"/>
        </w:rPr>
        <w:t xml:space="preserve"> d’immigration</w:t>
      </w:r>
      <w:r w:rsidR="000B562B" w:rsidRPr="003A6643">
        <w:rPr>
          <w:lang w:val="fr-FR"/>
        </w:rPr>
        <w:t xml:space="preserve">, </w:t>
      </w:r>
      <w:r w:rsidR="003A6643" w:rsidRPr="003A6643">
        <w:rPr>
          <w:lang w:val="fr-FR"/>
        </w:rPr>
        <w:t>quelle que soit la cause du décès</w:t>
      </w:r>
      <w:r w:rsidR="000B562B" w:rsidRPr="003A6643">
        <w:rPr>
          <w:lang w:val="fr-FR"/>
        </w:rPr>
        <w:t>.</w:t>
      </w:r>
    </w:p>
    <w:p w:rsidR="000B562B" w:rsidRPr="00A176EA" w:rsidRDefault="002549A9" w:rsidP="00C32C70">
      <w:pPr>
        <w:pStyle w:val="SingleTxtG"/>
        <w:rPr>
          <w:lang w:val="fr-FR"/>
        </w:rPr>
      </w:pPr>
      <w:r w:rsidRPr="003A6643">
        <w:rPr>
          <w:lang w:val="fr-FR"/>
        </w:rPr>
        <w:t>478.</w:t>
      </w:r>
      <w:r w:rsidRPr="003A6643">
        <w:rPr>
          <w:lang w:val="fr-FR"/>
        </w:rPr>
        <w:tab/>
      </w:r>
      <w:r w:rsidR="00BF42ED" w:rsidRPr="003A6643">
        <w:rPr>
          <w:lang w:val="fr-FR"/>
        </w:rPr>
        <w:t>En</w:t>
      </w:r>
      <w:r w:rsidR="000B562B" w:rsidRPr="003A6643">
        <w:rPr>
          <w:lang w:val="fr-FR"/>
        </w:rPr>
        <w:t xml:space="preserve"> 2009</w:t>
      </w:r>
      <w:r w:rsidR="00BF42ED" w:rsidRPr="003A6643">
        <w:rPr>
          <w:lang w:val="fr-FR"/>
        </w:rPr>
        <w:t>-20</w:t>
      </w:r>
      <w:r w:rsidR="000B562B" w:rsidRPr="003A6643">
        <w:rPr>
          <w:lang w:val="fr-FR"/>
        </w:rPr>
        <w:t>10</w:t>
      </w:r>
      <w:r w:rsidR="00BF42ED" w:rsidRPr="003A6643">
        <w:rPr>
          <w:lang w:val="fr-FR"/>
        </w:rPr>
        <w:t>, le Médiateur</w:t>
      </w:r>
      <w:r w:rsidR="000B562B" w:rsidRPr="003A6643">
        <w:rPr>
          <w:lang w:val="fr-FR"/>
        </w:rPr>
        <w:t xml:space="preserve"> </w:t>
      </w:r>
      <w:r w:rsidR="00DA50E5" w:rsidRPr="003A6643">
        <w:rPr>
          <w:lang w:val="fr-FR"/>
        </w:rPr>
        <w:t>a mené</w:t>
      </w:r>
      <w:r w:rsidR="000B562B" w:rsidRPr="003A6643">
        <w:rPr>
          <w:lang w:val="fr-FR"/>
        </w:rPr>
        <w:t xml:space="preserve"> 1</w:t>
      </w:r>
      <w:r w:rsidR="00DA50E5" w:rsidRPr="003A6643">
        <w:rPr>
          <w:lang w:val="fr-FR"/>
        </w:rPr>
        <w:t xml:space="preserve"> </w:t>
      </w:r>
      <w:r w:rsidR="000B562B" w:rsidRPr="003A6643">
        <w:rPr>
          <w:lang w:val="fr-FR"/>
        </w:rPr>
        <w:t xml:space="preserve">944 </w:t>
      </w:r>
      <w:r w:rsidR="00DA50E5" w:rsidRPr="003A6643">
        <w:rPr>
          <w:lang w:val="fr-FR"/>
        </w:rPr>
        <w:t>enquêtes sur des plaintes de détenus, soit une hausse de 39 % par rapport à l’année précédente</w:t>
      </w:r>
      <w:r w:rsidR="000B562B" w:rsidRPr="003A6643">
        <w:rPr>
          <w:lang w:val="fr-FR"/>
        </w:rPr>
        <w:t xml:space="preserve">. </w:t>
      </w:r>
      <w:r w:rsidR="00DA50E5" w:rsidRPr="003A6643">
        <w:rPr>
          <w:lang w:val="fr-FR"/>
        </w:rPr>
        <w:t xml:space="preserve">Le nombre de plaintes </w:t>
      </w:r>
      <w:r w:rsidR="001C1986">
        <w:rPr>
          <w:lang w:val="fr-FR"/>
        </w:rPr>
        <w:t>déclarées</w:t>
      </w:r>
      <w:r w:rsidR="00DA50E5" w:rsidRPr="003A6643">
        <w:rPr>
          <w:lang w:val="fr-FR"/>
        </w:rPr>
        <w:t xml:space="preserve"> recevables a augmenté de 26 % pendant la même période. Sur l’ensemble des plaintes, 30</w:t>
      </w:r>
      <w:r w:rsidR="003A6643">
        <w:rPr>
          <w:lang w:val="fr-FR"/>
        </w:rPr>
        <w:t> </w:t>
      </w:r>
      <w:r w:rsidR="00DA50E5" w:rsidRPr="003A6643">
        <w:rPr>
          <w:lang w:val="fr-FR"/>
        </w:rPr>
        <w:t>% ont été satisfaites ou réglées l</w:t>
      </w:r>
      <w:r w:rsidR="002C3BD4">
        <w:rPr>
          <w:lang w:val="fr-FR"/>
        </w:rPr>
        <w:t>ocalement, soit une hausse de 1 </w:t>
      </w:r>
      <w:r w:rsidR="00DA50E5" w:rsidRPr="003A6643">
        <w:rPr>
          <w:lang w:val="fr-FR"/>
        </w:rPr>
        <w:t xml:space="preserve">% par rapport à </w:t>
      </w:r>
      <w:r w:rsidR="000B562B" w:rsidRPr="003A6643">
        <w:rPr>
          <w:lang w:val="fr-FR"/>
        </w:rPr>
        <w:t>2008</w:t>
      </w:r>
      <w:r w:rsidR="00BF42ED" w:rsidRPr="003A6643">
        <w:rPr>
          <w:lang w:val="fr-FR"/>
        </w:rPr>
        <w:t>-20</w:t>
      </w:r>
      <w:r w:rsidR="000B562B" w:rsidRPr="003A6643">
        <w:rPr>
          <w:lang w:val="fr-FR"/>
        </w:rPr>
        <w:t>09.</w:t>
      </w:r>
    </w:p>
    <w:p w:rsidR="000B562B" w:rsidRPr="00A176EA" w:rsidRDefault="002549A9" w:rsidP="00C32C70">
      <w:pPr>
        <w:pStyle w:val="SingleTxtG"/>
        <w:rPr>
          <w:lang w:val="fr-FR"/>
        </w:rPr>
      </w:pPr>
      <w:r w:rsidRPr="00A176EA">
        <w:rPr>
          <w:lang w:val="fr-FR"/>
        </w:rPr>
        <w:t>479.</w:t>
      </w:r>
      <w:r w:rsidRPr="00A176EA">
        <w:rPr>
          <w:lang w:val="fr-FR"/>
        </w:rPr>
        <w:tab/>
      </w:r>
      <w:r w:rsidR="003A6643">
        <w:rPr>
          <w:lang w:val="fr-FR"/>
        </w:rPr>
        <w:t>Le tableau ci-après indique les chiffres concernant les enquêtes sur des plaintes et l’analyse qui en est faite.</w:t>
      </w:r>
    </w:p>
    <w:tbl>
      <w:tblPr>
        <w:tblW w:w="7290" w:type="dxa"/>
        <w:tblInd w:w="1134" w:type="dxa"/>
        <w:tblBorders>
          <w:top w:val="single" w:sz="4" w:space="0" w:color="auto"/>
        </w:tblBorders>
        <w:tblCellMar>
          <w:left w:w="0" w:type="dxa"/>
          <w:right w:w="0" w:type="dxa"/>
        </w:tblCellMar>
        <w:tblLook w:val="00BF" w:firstRow="1" w:lastRow="0" w:firstColumn="1" w:lastColumn="0" w:noHBand="0" w:noVBand="0"/>
      </w:tblPr>
      <w:tblGrid>
        <w:gridCol w:w="4934"/>
        <w:gridCol w:w="1275"/>
        <w:gridCol w:w="1081"/>
      </w:tblGrid>
      <w:tr w:rsidR="000B562B" w:rsidRPr="00A176EA" w:rsidTr="00532DD5">
        <w:tblPrEx>
          <w:tblCellMar>
            <w:top w:w="0" w:type="dxa"/>
            <w:bottom w:w="0" w:type="dxa"/>
          </w:tblCellMar>
        </w:tblPrEx>
        <w:trPr>
          <w:cantSplit/>
          <w:trHeight w:val="240"/>
        </w:trPr>
        <w:tc>
          <w:tcPr>
            <w:tcW w:w="4934" w:type="dxa"/>
            <w:tcBorders>
              <w:top w:val="single" w:sz="4" w:space="0" w:color="auto"/>
              <w:bottom w:val="single" w:sz="12" w:space="0" w:color="auto"/>
            </w:tcBorders>
            <w:shd w:val="clear" w:color="auto" w:fill="auto"/>
          </w:tcPr>
          <w:p w:rsidR="000B562B" w:rsidRPr="003A6643" w:rsidRDefault="0091555B" w:rsidP="0091555B">
            <w:pPr>
              <w:pStyle w:val="Text"/>
              <w:spacing w:before="80" w:after="80" w:line="220" w:lineRule="exact"/>
              <w:rPr>
                <w:rFonts w:ascii="Times New Roman" w:hAnsi="Times New Roman"/>
                <w:sz w:val="18"/>
                <w:lang w:val="fr-FR"/>
              </w:rPr>
            </w:pPr>
            <w:r w:rsidRPr="003A6643">
              <w:rPr>
                <w:rFonts w:ascii="Times New Roman" w:hAnsi="Times New Roman"/>
                <w:i/>
                <w:sz w:val="16"/>
                <w:lang w:val="fr-FR"/>
              </w:rPr>
              <w:t>Plaintes de détenus</w:t>
            </w:r>
            <w:r>
              <w:rPr>
                <w:rFonts w:ascii="Times New Roman" w:hAnsi="Times New Roman"/>
                <w:i/>
                <w:sz w:val="16"/>
                <w:lang w:val="fr-FR"/>
              </w:rPr>
              <w:t>:</w:t>
            </w:r>
            <w:r w:rsidRPr="003A6643">
              <w:rPr>
                <w:rFonts w:ascii="Times New Roman" w:hAnsi="Times New Roman"/>
                <w:i/>
                <w:sz w:val="16"/>
                <w:lang w:val="fr-FR"/>
              </w:rPr>
              <w:t xml:space="preserve"> analyse des plaintes reçues, </w:t>
            </w:r>
            <w:r w:rsidR="002840C6">
              <w:rPr>
                <w:rFonts w:ascii="Times New Roman" w:hAnsi="Times New Roman"/>
                <w:i/>
                <w:sz w:val="16"/>
                <w:lang w:val="fr-FR"/>
              </w:rPr>
              <w:br/>
            </w:r>
            <w:r w:rsidRPr="003A6643">
              <w:rPr>
                <w:rFonts w:ascii="Times New Roman" w:hAnsi="Times New Roman"/>
                <w:i/>
                <w:sz w:val="16"/>
                <w:lang w:val="fr-FR"/>
              </w:rPr>
              <w:t>conclusions et recommandations</w:t>
            </w:r>
          </w:p>
        </w:tc>
        <w:tc>
          <w:tcPr>
            <w:tcW w:w="1275" w:type="dxa"/>
            <w:tcBorders>
              <w:top w:val="single" w:sz="4" w:space="0" w:color="auto"/>
              <w:bottom w:val="single" w:sz="12" w:space="0" w:color="auto"/>
            </w:tcBorders>
            <w:shd w:val="clear" w:color="auto" w:fill="auto"/>
            <w:vAlign w:val="bottom"/>
          </w:tcPr>
          <w:p w:rsidR="000B562B" w:rsidRPr="0091555B" w:rsidRDefault="000B562B" w:rsidP="0091555B">
            <w:pPr>
              <w:pStyle w:val="Text"/>
              <w:spacing w:before="80" w:after="80" w:line="220" w:lineRule="exact"/>
              <w:ind w:right="57"/>
              <w:jc w:val="right"/>
              <w:rPr>
                <w:rFonts w:ascii="Times New Roman" w:hAnsi="Times New Roman"/>
                <w:i/>
                <w:iCs/>
                <w:sz w:val="16"/>
                <w:szCs w:val="16"/>
                <w:lang w:val="fr-FR"/>
              </w:rPr>
            </w:pPr>
            <w:r w:rsidRPr="0091555B">
              <w:rPr>
                <w:rFonts w:ascii="Times New Roman" w:hAnsi="Times New Roman"/>
                <w:i/>
                <w:iCs/>
                <w:sz w:val="16"/>
                <w:szCs w:val="16"/>
                <w:lang w:val="fr-FR"/>
              </w:rPr>
              <w:t>2008</w:t>
            </w:r>
            <w:r w:rsidR="006538B6" w:rsidRPr="0091555B">
              <w:rPr>
                <w:rFonts w:ascii="Times New Roman" w:hAnsi="Times New Roman"/>
                <w:i/>
                <w:iCs/>
                <w:sz w:val="16"/>
                <w:szCs w:val="16"/>
                <w:lang w:val="fr-FR"/>
              </w:rPr>
              <w:t>-20</w:t>
            </w:r>
            <w:r w:rsidRPr="0091555B">
              <w:rPr>
                <w:rFonts w:ascii="Times New Roman" w:hAnsi="Times New Roman"/>
                <w:i/>
                <w:iCs/>
                <w:sz w:val="16"/>
                <w:szCs w:val="16"/>
                <w:lang w:val="fr-FR"/>
              </w:rPr>
              <w:t>09</w:t>
            </w:r>
          </w:p>
        </w:tc>
        <w:tc>
          <w:tcPr>
            <w:tcW w:w="1081" w:type="dxa"/>
            <w:tcBorders>
              <w:top w:val="single" w:sz="4" w:space="0" w:color="auto"/>
              <w:bottom w:val="single" w:sz="12" w:space="0" w:color="auto"/>
            </w:tcBorders>
            <w:shd w:val="clear" w:color="auto" w:fill="auto"/>
            <w:vAlign w:val="bottom"/>
          </w:tcPr>
          <w:p w:rsidR="000B562B" w:rsidRPr="0091555B" w:rsidRDefault="000B562B" w:rsidP="0091555B">
            <w:pPr>
              <w:pStyle w:val="Text"/>
              <w:spacing w:before="80" w:after="80" w:line="220" w:lineRule="exact"/>
              <w:ind w:right="57"/>
              <w:jc w:val="right"/>
              <w:rPr>
                <w:rFonts w:ascii="Times New Roman" w:hAnsi="Times New Roman"/>
                <w:i/>
                <w:iCs/>
                <w:sz w:val="16"/>
                <w:szCs w:val="16"/>
                <w:lang w:val="fr-FR"/>
              </w:rPr>
            </w:pPr>
            <w:r w:rsidRPr="0091555B">
              <w:rPr>
                <w:rFonts w:ascii="Times New Roman" w:hAnsi="Times New Roman"/>
                <w:i/>
                <w:iCs/>
                <w:sz w:val="16"/>
                <w:szCs w:val="16"/>
                <w:lang w:val="fr-FR"/>
              </w:rPr>
              <w:t>2009</w:t>
            </w:r>
            <w:r w:rsidR="006538B6" w:rsidRPr="0091555B">
              <w:rPr>
                <w:rFonts w:ascii="Times New Roman" w:hAnsi="Times New Roman"/>
                <w:i/>
                <w:iCs/>
                <w:sz w:val="16"/>
                <w:szCs w:val="16"/>
                <w:lang w:val="fr-FR"/>
              </w:rPr>
              <w:t>-20</w:t>
            </w:r>
            <w:r w:rsidRPr="0091555B">
              <w:rPr>
                <w:rFonts w:ascii="Times New Roman" w:hAnsi="Times New Roman"/>
                <w:i/>
                <w:iCs/>
                <w:sz w:val="16"/>
                <w:szCs w:val="16"/>
                <w:lang w:val="fr-FR"/>
              </w:rPr>
              <w:t>10</w:t>
            </w:r>
          </w:p>
        </w:tc>
      </w:tr>
      <w:tr w:rsidR="000B562B" w:rsidRPr="00A176EA" w:rsidTr="00532DD5">
        <w:tblPrEx>
          <w:tblCellMar>
            <w:top w:w="0" w:type="dxa"/>
            <w:bottom w:w="0" w:type="dxa"/>
          </w:tblCellMar>
        </w:tblPrEx>
        <w:trPr>
          <w:cantSplit/>
          <w:trHeight w:val="240"/>
        </w:trPr>
        <w:tc>
          <w:tcPr>
            <w:tcW w:w="4934" w:type="dxa"/>
            <w:tcBorders>
              <w:top w:val="single" w:sz="12" w:space="0" w:color="auto"/>
            </w:tcBorders>
            <w:shd w:val="clear" w:color="auto" w:fill="auto"/>
          </w:tcPr>
          <w:p w:rsidR="000B562B" w:rsidRPr="003A6643" w:rsidRDefault="006538B6" w:rsidP="00C32C70">
            <w:pPr>
              <w:pStyle w:val="Text"/>
              <w:spacing w:before="40" w:after="40" w:line="220" w:lineRule="exact"/>
              <w:rPr>
                <w:rFonts w:ascii="Times New Roman" w:hAnsi="Times New Roman"/>
                <w:sz w:val="18"/>
                <w:lang w:val="fr-FR"/>
              </w:rPr>
            </w:pPr>
            <w:r w:rsidRPr="003A6643">
              <w:rPr>
                <w:rFonts w:ascii="Times New Roman" w:hAnsi="Times New Roman"/>
                <w:sz w:val="18"/>
                <w:lang w:val="fr-FR"/>
              </w:rPr>
              <w:t>Plaintes reçues</w:t>
            </w:r>
          </w:p>
        </w:tc>
        <w:tc>
          <w:tcPr>
            <w:tcW w:w="1275" w:type="dxa"/>
            <w:tcBorders>
              <w:top w:val="single" w:sz="12" w:space="0" w:color="auto"/>
            </w:tcBorders>
            <w:shd w:val="clear" w:color="auto" w:fill="auto"/>
            <w:vAlign w:val="bottom"/>
          </w:tcPr>
          <w:p w:rsidR="000B562B" w:rsidRPr="003A6643" w:rsidRDefault="000B562B" w:rsidP="00FF5250">
            <w:pPr>
              <w:pStyle w:val="Text"/>
              <w:spacing w:before="40" w:after="40" w:line="220" w:lineRule="exact"/>
              <w:ind w:right="57"/>
              <w:jc w:val="right"/>
              <w:rPr>
                <w:rFonts w:ascii="Times New Roman" w:hAnsi="Times New Roman"/>
                <w:sz w:val="18"/>
                <w:lang w:val="fr-FR"/>
              </w:rPr>
            </w:pPr>
            <w:r w:rsidRPr="003A6643">
              <w:rPr>
                <w:rFonts w:ascii="Times New Roman" w:hAnsi="Times New Roman"/>
                <w:sz w:val="18"/>
                <w:lang w:val="fr-FR"/>
              </w:rPr>
              <w:t>3</w:t>
            </w:r>
            <w:r w:rsidR="006538B6" w:rsidRPr="003A6643">
              <w:rPr>
                <w:rFonts w:ascii="Times New Roman" w:hAnsi="Times New Roman"/>
                <w:sz w:val="18"/>
                <w:lang w:val="fr-FR"/>
              </w:rPr>
              <w:t xml:space="preserve"> </w:t>
            </w:r>
            <w:r w:rsidRPr="003A6643">
              <w:rPr>
                <w:rFonts w:ascii="Times New Roman" w:hAnsi="Times New Roman"/>
                <w:sz w:val="18"/>
                <w:lang w:val="fr-FR"/>
              </w:rPr>
              <w:t>826</w:t>
            </w:r>
          </w:p>
        </w:tc>
        <w:tc>
          <w:tcPr>
            <w:tcW w:w="1081" w:type="dxa"/>
            <w:tcBorders>
              <w:top w:val="single" w:sz="12" w:space="0" w:color="auto"/>
            </w:tcBorders>
            <w:shd w:val="clear" w:color="auto" w:fill="auto"/>
            <w:vAlign w:val="bottom"/>
          </w:tcPr>
          <w:p w:rsidR="000B562B" w:rsidRPr="003A6643" w:rsidRDefault="000B562B" w:rsidP="00FF5250">
            <w:pPr>
              <w:pStyle w:val="Text"/>
              <w:spacing w:before="40" w:after="40" w:line="220" w:lineRule="exact"/>
              <w:ind w:right="57"/>
              <w:jc w:val="right"/>
              <w:rPr>
                <w:rFonts w:ascii="Times New Roman" w:hAnsi="Times New Roman"/>
                <w:sz w:val="18"/>
                <w:lang w:val="fr-FR"/>
              </w:rPr>
            </w:pPr>
            <w:r w:rsidRPr="003A6643">
              <w:rPr>
                <w:rFonts w:ascii="Times New Roman" w:hAnsi="Times New Roman"/>
                <w:sz w:val="18"/>
                <w:lang w:val="fr-FR"/>
              </w:rPr>
              <w:t>4</w:t>
            </w:r>
            <w:r w:rsidR="006538B6" w:rsidRPr="003A6643">
              <w:rPr>
                <w:rFonts w:ascii="Times New Roman" w:hAnsi="Times New Roman"/>
                <w:sz w:val="18"/>
                <w:lang w:val="fr-FR"/>
              </w:rPr>
              <w:t xml:space="preserve"> </w:t>
            </w:r>
            <w:r w:rsidRPr="003A6643">
              <w:rPr>
                <w:rFonts w:ascii="Times New Roman" w:hAnsi="Times New Roman"/>
                <w:sz w:val="18"/>
                <w:lang w:val="fr-FR"/>
              </w:rPr>
              <w:t>050</w:t>
            </w:r>
          </w:p>
        </w:tc>
      </w:tr>
      <w:tr w:rsidR="000B562B" w:rsidRPr="00A176EA" w:rsidTr="00532DD5">
        <w:tblPrEx>
          <w:tblCellMar>
            <w:top w:w="0" w:type="dxa"/>
            <w:bottom w:w="0" w:type="dxa"/>
          </w:tblCellMar>
        </w:tblPrEx>
        <w:trPr>
          <w:cantSplit/>
          <w:trHeight w:val="240"/>
        </w:trPr>
        <w:tc>
          <w:tcPr>
            <w:tcW w:w="4934" w:type="dxa"/>
            <w:shd w:val="clear" w:color="auto" w:fill="auto"/>
          </w:tcPr>
          <w:p w:rsidR="000B562B" w:rsidRPr="003A6643" w:rsidRDefault="006538B6" w:rsidP="001C1986">
            <w:pPr>
              <w:pStyle w:val="Text"/>
              <w:spacing w:before="40" w:after="40" w:line="220" w:lineRule="exact"/>
              <w:rPr>
                <w:rFonts w:ascii="Times New Roman" w:hAnsi="Times New Roman"/>
                <w:sz w:val="18"/>
                <w:lang w:val="fr-FR"/>
              </w:rPr>
            </w:pPr>
            <w:r w:rsidRPr="003A6643">
              <w:rPr>
                <w:rFonts w:ascii="Times New Roman" w:hAnsi="Times New Roman"/>
                <w:sz w:val="18"/>
                <w:lang w:val="fr-FR"/>
              </w:rPr>
              <w:t xml:space="preserve">Plaintes </w:t>
            </w:r>
            <w:r w:rsidR="001C1986">
              <w:rPr>
                <w:rFonts w:ascii="Times New Roman" w:hAnsi="Times New Roman"/>
                <w:sz w:val="18"/>
                <w:lang w:val="fr-FR"/>
              </w:rPr>
              <w:t>déclarées</w:t>
            </w:r>
            <w:r w:rsidRPr="003A6643">
              <w:rPr>
                <w:rFonts w:ascii="Times New Roman" w:hAnsi="Times New Roman"/>
                <w:sz w:val="18"/>
                <w:lang w:val="fr-FR"/>
              </w:rPr>
              <w:t xml:space="preserve"> recevables</w:t>
            </w:r>
          </w:p>
        </w:tc>
        <w:tc>
          <w:tcPr>
            <w:tcW w:w="1275" w:type="dxa"/>
            <w:shd w:val="clear" w:color="auto" w:fill="auto"/>
            <w:vAlign w:val="bottom"/>
          </w:tcPr>
          <w:p w:rsidR="000B562B" w:rsidRPr="003A6643" w:rsidRDefault="000B562B" w:rsidP="00FF5250">
            <w:pPr>
              <w:pStyle w:val="Text"/>
              <w:spacing w:before="40" w:after="40" w:line="220" w:lineRule="exact"/>
              <w:ind w:right="57"/>
              <w:jc w:val="right"/>
              <w:rPr>
                <w:rFonts w:ascii="Times New Roman" w:hAnsi="Times New Roman"/>
                <w:sz w:val="18"/>
                <w:lang w:val="fr-FR"/>
              </w:rPr>
            </w:pPr>
            <w:r w:rsidRPr="003A6643">
              <w:rPr>
                <w:rFonts w:ascii="Times New Roman" w:hAnsi="Times New Roman"/>
                <w:sz w:val="18"/>
                <w:lang w:val="fr-FR"/>
              </w:rPr>
              <w:t>1</w:t>
            </w:r>
            <w:r w:rsidR="006538B6" w:rsidRPr="003A6643">
              <w:rPr>
                <w:rFonts w:ascii="Times New Roman" w:hAnsi="Times New Roman"/>
                <w:sz w:val="18"/>
                <w:lang w:val="fr-FR"/>
              </w:rPr>
              <w:t xml:space="preserve"> </w:t>
            </w:r>
            <w:r w:rsidRPr="003A6643">
              <w:rPr>
                <w:rFonts w:ascii="Times New Roman" w:hAnsi="Times New Roman"/>
                <w:sz w:val="18"/>
                <w:lang w:val="fr-FR"/>
              </w:rPr>
              <w:t>745</w:t>
            </w:r>
          </w:p>
        </w:tc>
        <w:tc>
          <w:tcPr>
            <w:tcW w:w="1081" w:type="dxa"/>
            <w:shd w:val="clear" w:color="auto" w:fill="auto"/>
            <w:vAlign w:val="bottom"/>
          </w:tcPr>
          <w:p w:rsidR="000B562B" w:rsidRPr="003A6643" w:rsidRDefault="000B562B" w:rsidP="00FF5250">
            <w:pPr>
              <w:pStyle w:val="Text"/>
              <w:spacing w:before="40" w:after="40" w:line="220" w:lineRule="exact"/>
              <w:ind w:right="57"/>
              <w:jc w:val="right"/>
              <w:rPr>
                <w:rFonts w:ascii="Times New Roman" w:hAnsi="Times New Roman"/>
                <w:sz w:val="18"/>
                <w:lang w:val="fr-FR"/>
              </w:rPr>
            </w:pPr>
            <w:r w:rsidRPr="003A6643">
              <w:rPr>
                <w:rFonts w:ascii="Times New Roman" w:hAnsi="Times New Roman"/>
                <w:sz w:val="18"/>
                <w:lang w:val="fr-FR"/>
              </w:rPr>
              <w:t>2</w:t>
            </w:r>
            <w:r w:rsidR="006538B6" w:rsidRPr="003A6643">
              <w:rPr>
                <w:rFonts w:ascii="Times New Roman" w:hAnsi="Times New Roman"/>
                <w:sz w:val="18"/>
                <w:lang w:val="fr-FR"/>
              </w:rPr>
              <w:t xml:space="preserve"> </w:t>
            </w:r>
            <w:r w:rsidRPr="003A6643">
              <w:rPr>
                <w:rFonts w:ascii="Times New Roman" w:hAnsi="Times New Roman"/>
                <w:sz w:val="18"/>
                <w:lang w:val="fr-FR"/>
              </w:rPr>
              <w:t>173</w:t>
            </w:r>
          </w:p>
        </w:tc>
      </w:tr>
      <w:tr w:rsidR="000B562B" w:rsidRPr="00A176EA" w:rsidTr="00532DD5">
        <w:tblPrEx>
          <w:tblCellMar>
            <w:top w:w="0" w:type="dxa"/>
            <w:bottom w:w="0" w:type="dxa"/>
          </w:tblCellMar>
        </w:tblPrEx>
        <w:trPr>
          <w:cantSplit/>
          <w:trHeight w:val="240"/>
        </w:trPr>
        <w:tc>
          <w:tcPr>
            <w:tcW w:w="4934" w:type="dxa"/>
            <w:shd w:val="clear" w:color="auto" w:fill="auto"/>
          </w:tcPr>
          <w:p w:rsidR="000B562B" w:rsidRPr="003A6643" w:rsidRDefault="005351D8" w:rsidP="00C32C70">
            <w:pPr>
              <w:pStyle w:val="Text"/>
              <w:spacing w:before="40" w:after="40" w:line="220" w:lineRule="exact"/>
              <w:rPr>
                <w:rFonts w:ascii="Times New Roman" w:hAnsi="Times New Roman"/>
                <w:sz w:val="18"/>
                <w:lang w:val="fr-FR"/>
              </w:rPr>
            </w:pPr>
            <w:r w:rsidRPr="003A6643">
              <w:rPr>
                <w:rFonts w:ascii="Times New Roman" w:hAnsi="Times New Roman"/>
                <w:sz w:val="18"/>
                <w:lang w:val="fr-FR"/>
              </w:rPr>
              <w:t>Enquêtes menées à bien</w:t>
            </w:r>
          </w:p>
        </w:tc>
        <w:tc>
          <w:tcPr>
            <w:tcW w:w="1275" w:type="dxa"/>
            <w:shd w:val="clear" w:color="auto" w:fill="auto"/>
            <w:vAlign w:val="bottom"/>
          </w:tcPr>
          <w:p w:rsidR="000B562B" w:rsidRPr="003A6643" w:rsidRDefault="000B562B" w:rsidP="00FF5250">
            <w:pPr>
              <w:pStyle w:val="Text"/>
              <w:spacing w:before="40" w:after="40" w:line="220" w:lineRule="exact"/>
              <w:ind w:right="57"/>
              <w:jc w:val="right"/>
              <w:rPr>
                <w:rFonts w:ascii="Times New Roman" w:hAnsi="Times New Roman"/>
                <w:sz w:val="18"/>
                <w:lang w:val="fr-FR"/>
              </w:rPr>
            </w:pPr>
            <w:r w:rsidRPr="003A6643">
              <w:rPr>
                <w:rFonts w:ascii="Times New Roman" w:hAnsi="Times New Roman"/>
                <w:sz w:val="18"/>
                <w:lang w:val="fr-FR"/>
              </w:rPr>
              <w:t>1</w:t>
            </w:r>
            <w:r w:rsidR="006538B6" w:rsidRPr="003A6643">
              <w:rPr>
                <w:rFonts w:ascii="Times New Roman" w:hAnsi="Times New Roman"/>
                <w:sz w:val="18"/>
                <w:lang w:val="fr-FR"/>
              </w:rPr>
              <w:t xml:space="preserve"> </w:t>
            </w:r>
            <w:r w:rsidRPr="003A6643">
              <w:rPr>
                <w:rFonts w:ascii="Times New Roman" w:hAnsi="Times New Roman"/>
                <w:sz w:val="18"/>
                <w:lang w:val="fr-FR"/>
              </w:rPr>
              <w:t>439</w:t>
            </w:r>
          </w:p>
        </w:tc>
        <w:tc>
          <w:tcPr>
            <w:tcW w:w="1081" w:type="dxa"/>
            <w:shd w:val="clear" w:color="auto" w:fill="auto"/>
            <w:vAlign w:val="bottom"/>
          </w:tcPr>
          <w:p w:rsidR="000B562B" w:rsidRPr="003A6643" w:rsidRDefault="000B562B" w:rsidP="00FF5250">
            <w:pPr>
              <w:pStyle w:val="Text"/>
              <w:spacing w:before="40" w:after="40" w:line="220" w:lineRule="exact"/>
              <w:ind w:right="57"/>
              <w:jc w:val="right"/>
              <w:rPr>
                <w:rFonts w:ascii="Times New Roman" w:hAnsi="Times New Roman"/>
                <w:sz w:val="18"/>
                <w:lang w:val="fr-FR"/>
              </w:rPr>
            </w:pPr>
            <w:r w:rsidRPr="003A6643">
              <w:rPr>
                <w:rFonts w:ascii="Times New Roman" w:hAnsi="Times New Roman"/>
                <w:sz w:val="18"/>
                <w:lang w:val="fr-FR"/>
              </w:rPr>
              <w:t>1</w:t>
            </w:r>
            <w:r w:rsidR="006538B6" w:rsidRPr="003A6643">
              <w:rPr>
                <w:rFonts w:ascii="Times New Roman" w:hAnsi="Times New Roman"/>
                <w:sz w:val="18"/>
                <w:lang w:val="fr-FR"/>
              </w:rPr>
              <w:t xml:space="preserve"> </w:t>
            </w:r>
            <w:r w:rsidRPr="003A6643">
              <w:rPr>
                <w:rFonts w:ascii="Times New Roman" w:hAnsi="Times New Roman"/>
                <w:sz w:val="18"/>
                <w:lang w:val="fr-FR"/>
              </w:rPr>
              <w:t>944</w:t>
            </w:r>
          </w:p>
        </w:tc>
      </w:tr>
      <w:tr w:rsidR="000B562B" w:rsidRPr="00A176EA" w:rsidTr="00532DD5">
        <w:tblPrEx>
          <w:tblCellMar>
            <w:top w:w="0" w:type="dxa"/>
            <w:bottom w:w="0" w:type="dxa"/>
          </w:tblCellMar>
        </w:tblPrEx>
        <w:trPr>
          <w:cantSplit/>
          <w:trHeight w:val="240"/>
        </w:trPr>
        <w:tc>
          <w:tcPr>
            <w:tcW w:w="4934" w:type="dxa"/>
            <w:shd w:val="clear" w:color="auto" w:fill="auto"/>
          </w:tcPr>
          <w:p w:rsidR="000B562B" w:rsidRPr="003A6643" w:rsidRDefault="005351D8" w:rsidP="005351D8">
            <w:pPr>
              <w:pStyle w:val="Text"/>
              <w:spacing w:before="40" w:after="40" w:line="220" w:lineRule="exact"/>
              <w:rPr>
                <w:rFonts w:ascii="Times New Roman" w:hAnsi="Times New Roman"/>
                <w:sz w:val="18"/>
                <w:lang w:val="fr-FR"/>
              </w:rPr>
            </w:pPr>
            <w:r w:rsidRPr="003A6643">
              <w:rPr>
                <w:rFonts w:ascii="Times New Roman" w:hAnsi="Times New Roman"/>
                <w:sz w:val="18"/>
                <w:lang w:val="fr-FR"/>
              </w:rPr>
              <w:t>Satisfaites</w:t>
            </w:r>
            <w:r w:rsidR="000B562B" w:rsidRPr="003A6643">
              <w:rPr>
                <w:rFonts w:ascii="Times New Roman" w:hAnsi="Times New Roman"/>
                <w:sz w:val="18"/>
                <w:lang w:val="fr-FR"/>
              </w:rPr>
              <w:t>/</w:t>
            </w:r>
            <w:r w:rsidRPr="003A6643">
              <w:rPr>
                <w:rFonts w:ascii="Times New Roman" w:hAnsi="Times New Roman"/>
                <w:sz w:val="18"/>
                <w:lang w:val="fr-FR"/>
              </w:rPr>
              <w:t>partiellement satisfaites</w:t>
            </w:r>
          </w:p>
        </w:tc>
        <w:tc>
          <w:tcPr>
            <w:tcW w:w="1275" w:type="dxa"/>
            <w:shd w:val="clear" w:color="auto" w:fill="auto"/>
            <w:vAlign w:val="bottom"/>
          </w:tcPr>
          <w:p w:rsidR="000B562B" w:rsidRPr="003A6643" w:rsidRDefault="000B562B" w:rsidP="00FF5250">
            <w:pPr>
              <w:pStyle w:val="Text"/>
              <w:spacing w:before="40" w:after="40" w:line="220" w:lineRule="exact"/>
              <w:ind w:right="57"/>
              <w:jc w:val="right"/>
              <w:rPr>
                <w:rFonts w:ascii="Times New Roman" w:hAnsi="Times New Roman"/>
                <w:sz w:val="18"/>
                <w:lang w:val="fr-FR"/>
              </w:rPr>
            </w:pPr>
            <w:r w:rsidRPr="003A6643">
              <w:rPr>
                <w:rFonts w:ascii="Times New Roman" w:hAnsi="Times New Roman"/>
                <w:sz w:val="18"/>
                <w:lang w:val="fr-FR"/>
              </w:rPr>
              <w:t>416</w:t>
            </w:r>
          </w:p>
        </w:tc>
        <w:tc>
          <w:tcPr>
            <w:tcW w:w="1081" w:type="dxa"/>
            <w:shd w:val="clear" w:color="auto" w:fill="auto"/>
            <w:vAlign w:val="bottom"/>
          </w:tcPr>
          <w:p w:rsidR="000B562B" w:rsidRPr="003A6643" w:rsidRDefault="000B562B" w:rsidP="00FF5250">
            <w:pPr>
              <w:pStyle w:val="Text"/>
              <w:spacing w:before="40" w:after="40" w:line="220" w:lineRule="exact"/>
              <w:ind w:right="57"/>
              <w:jc w:val="right"/>
              <w:rPr>
                <w:rFonts w:ascii="Times New Roman" w:hAnsi="Times New Roman"/>
                <w:sz w:val="18"/>
                <w:lang w:val="fr-FR"/>
              </w:rPr>
            </w:pPr>
            <w:r w:rsidRPr="003A6643">
              <w:rPr>
                <w:rFonts w:ascii="Times New Roman" w:hAnsi="Times New Roman"/>
                <w:sz w:val="18"/>
                <w:lang w:val="fr-FR"/>
              </w:rPr>
              <w:t>612</w:t>
            </w:r>
          </w:p>
        </w:tc>
      </w:tr>
      <w:tr w:rsidR="000B562B" w:rsidRPr="00A176EA" w:rsidTr="00532DD5">
        <w:tblPrEx>
          <w:tblCellMar>
            <w:top w:w="0" w:type="dxa"/>
            <w:bottom w:w="0" w:type="dxa"/>
          </w:tblCellMar>
        </w:tblPrEx>
        <w:trPr>
          <w:cantSplit/>
          <w:trHeight w:val="240"/>
        </w:trPr>
        <w:tc>
          <w:tcPr>
            <w:tcW w:w="4934" w:type="dxa"/>
            <w:shd w:val="clear" w:color="auto" w:fill="auto"/>
          </w:tcPr>
          <w:p w:rsidR="000B562B" w:rsidRPr="003A6643" w:rsidRDefault="005351D8" w:rsidP="00C32C70">
            <w:pPr>
              <w:pStyle w:val="Text"/>
              <w:spacing w:before="40" w:after="40" w:line="220" w:lineRule="exact"/>
              <w:rPr>
                <w:rFonts w:ascii="Times New Roman" w:hAnsi="Times New Roman"/>
                <w:sz w:val="18"/>
                <w:lang w:val="fr-FR"/>
              </w:rPr>
            </w:pPr>
            <w:r w:rsidRPr="003A6643">
              <w:rPr>
                <w:rFonts w:ascii="Times New Roman" w:hAnsi="Times New Roman"/>
                <w:sz w:val="18"/>
                <w:lang w:val="fr-FR"/>
              </w:rPr>
              <w:t>Règlement local</w:t>
            </w:r>
          </w:p>
        </w:tc>
        <w:tc>
          <w:tcPr>
            <w:tcW w:w="1275" w:type="dxa"/>
            <w:shd w:val="clear" w:color="auto" w:fill="auto"/>
            <w:vAlign w:val="bottom"/>
          </w:tcPr>
          <w:p w:rsidR="000B562B" w:rsidRPr="003A6643" w:rsidRDefault="000B562B" w:rsidP="00FF5250">
            <w:pPr>
              <w:pStyle w:val="Text"/>
              <w:spacing w:before="40" w:after="40" w:line="220" w:lineRule="exact"/>
              <w:ind w:right="57"/>
              <w:jc w:val="right"/>
              <w:rPr>
                <w:rFonts w:ascii="Times New Roman" w:hAnsi="Times New Roman"/>
                <w:sz w:val="18"/>
                <w:lang w:val="fr-FR"/>
              </w:rPr>
            </w:pPr>
            <w:r w:rsidRPr="003A6643">
              <w:rPr>
                <w:rFonts w:ascii="Times New Roman" w:hAnsi="Times New Roman"/>
                <w:sz w:val="18"/>
                <w:lang w:val="fr-FR"/>
              </w:rPr>
              <w:t>113</w:t>
            </w:r>
          </w:p>
        </w:tc>
        <w:tc>
          <w:tcPr>
            <w:tcW w:w="1081" w:type="dxa"/>
            <w:shd w:val="clear" w:color="auto" w:fill="auto"/>
            <w:vAlign w:val="bottom"/>
          </w:tcPr>
          <w:p w:rsidR="000B562B" w:rsidRPr="003A6643" w:rsidRDefault="000B562B" w:rsidP="00FF5250">
            <w:pPr>
              <w:pStyle w:val="Text"/>
              <w:spacing w:before="40" w:after="40" w:line="220" w:lineRule="exact"/>
              <w:ind w:right="57"/>
              <w:jc w:val="right"/>
              <w:rPr>
                <w:rFonts w:ascii="Times New Roman" w:hAnsi="Times New Roman"/>
                <w:sz w:val="18"/>
                <w:lang w:val="fr-FR"/>
              </w:rPr>
            </w:pPr>
            <w:r w:rsidRPr="003A6643">
              <w:rPr>
                <w:rFonts w:ascii="Times New Roman" w:hAnsi="Times New Roman"/>
                <w:sz w:val="18"/>
                <w:lang w:val="fr-FR"/>
              </w:rPr>
              <w:t>172</w:t>
            </w:r>
          </w:p>
        </w:tc>
      </w:tr>
      <w:tr w:rsidR="000B562B" w:rsidRPr="00A176EA" w:rsidTr="00532DD5">
        <w:tblPrEx>
          <w:tblCellMar>
            <w:top w:w="0" w:type="dxa"/>
            <w:bottom w:w="0" w:type="dxa"/>
          </w:tblCellMar>
        </w:tblPrEx>
        <w:trPr>
          <w:cantSplit/>
          <w:trHeight w:val="240"/>
        </w:trPr>
        <w:tc>
          <w:tcPr>
            <w:tcW w:w="4934" w:type="dxa"/>
            <w:shd w:val="clear" w:color="auto" w:fill="auto"/>
          </w:tcPr>
          <w:p w:rsidR="000B562B" w:rsidRPr="003A6643" w:rsidRDefault="005351D8" w:rsidP="00C32C70">
            <w:pPr>
              <w:pStyle w:val="Text"/>
              <w:spacing w:before="40" w:after="40" w:line="220" w:lineRule="exact"/>
              <w:rPr>
                <w:rFonts w:ascii="Times New Roman" w:hAnsi="Times New Roman"/>
                <w:sz w:val="18"/>
                <w:lang w:val="fr-FR"/>
              </w:rPr>
            </w:pPr>
            <w:r w:rsidRPr="003A6643">
              <w:rPr>
                <w:rFonts w:ascii="Times New Roman" w:hAnsi="Times New Roman"/>
                <w:sz w:val="18"/>
                <w:lang w:val="fr-FR"/>
              </w:rPr>
              <w:t>Décisions favorables</w:t>
            </w:r>
          </w:p>
        </w:tc>
        <w:tc>
          <w:tcPr>
            <w:tcW w:w="1275" w:type="dxa"/>
            <w:shd w:val="clear" w:color="auto" w:fill="auto"/>
            <w:vAlign w:val="bottom"/>
          </w:tcPr>
          <w:p w:rsidR="000B562B" w:rsidRPr="003A6643" w:rsidRDefault="000B562B" w:rsidP="00FF5250">
            <w:pPr>
              <w:pStyle w:val="Text"/>
              <w:spacing w:before="40" w:after="40" w:line="220" w:lineRule="exact"/>
              <w:ind w:right="57"/>
              <w:jc w:val="right"/>
              <w:rPr>
                <w:rFonts w:ascii="Times New Roman" w:hAnsi="Times New Roman"/>
                <w:sz w:val="18"/>
                <w:lang w:val="fr-FR"/>
              </w:rPr>
            </w:pPr>
            <w:r w:rsidRPr="003A6643">
              <w:rPr>
                <w:rFonts w:ascii="Times New Roman" w:hAnsi="Times New Roman"/>
                <w:sz w:val="18"/>
                <w:lang w:val="fr-FR"/>
              </w:rPr>
              <w:t>416</w:t>
            </w:r>
          </w:p>
        </w:tc>
        <w:tc>
          <w:tcPr>
            <w:tcW w:w="1081" w:type="dxa"/>
            <w:shd w:val="clear" w:color="auto" w:fill="auto"/>
            <w:vAlign w:val="bottom"/>
          </w:tcPr>
          <w:p w:rsidR="000B562B" w:rsidRPr="003A6643" w:rsidRDefault="000B562B" w:rsidP="00FF5250">
            <w:pPr>
              <w:pStyle w:val="Text"/>
              <w:spacing w:before="40" w:after="40" w:line="220" w:lineRule="exact"/>
              <w:ind w:right="57"/>
              <w:jc w:val="right"/>
              <w:rPr>
                <w:rFonts w:ascii="Times New Roman" w:hAnsi="Times New Roman"/>
                <w:sz w:val="18"/>
                <w:lang w:val="fr-FR"/>
              </w:rPr>
            </w:pPr>
            <w:r w:rsidRPr="003A6643">
              <w:rPr>
                <w:rFonts w:ascii="Times New Roman" w:hAnsi="Times New Roman"/>
                <w:sz w:val="18"/>
                <w:lang w:val="fr-FR"/>
              </w:rPr>
              <w:t>586</w:t>
            </w:r>
          </w:p>
        </w:tc>
      </w:tr>
      <w:tr w:rsidR="000B562B" w:rsidRPr="00A176EA" w:rsidTr="00532DD5">
        <w:tblPrEx>
          <w:tblCellMar>
            <w:top w:w="0" w:type="dxa"/>
            <w:bottom w:w="0" w:type="dxa"/>
          </w:tblCellMar>
        </w:tblPrEx>
        <w:trPr>
          <w:cantSplit/>
          <w:trHeight w:val="240"/>
        </w:trPr>
        <w:tc>
          <w:tcPr>
            <w:tcW w:w="4934" w:type="dxa"/>
            <w:shd w:val="clear" w:color="auto" w:fill="auto"/>
          </w:tcPr>
          <w:p w:rsidR="00ED1CEC" w:rsidRPr="003A6643" w:rsidRDefault="000B562B" w:rsidP="00C32C70">
            <w:pPr>
              <w:pStyle w:val="Text"/>
              <w:spacing w:before="40" w:after="40" w:line="220" w:lineRule="exact"/>
              <w:rPr>
                <w:rFonts w:ascii="Times New Roman" w:hAnsi="Times New Roman"/>
                <w:sz w:val="18"/>
                <w:szCs w:val="18"/>
                <w:lang w:val="fr-FR"/>
              </w:rPr>
            </w:pPr>
            <w:r w:rsidRPr="003A6643">
              <w:rPr>
                <w:rFonts w:ascii="Times New Roman" w:hAnsi="Times New Roman"/>
                <w:sz w:val="18"/>
                <w:szCs w:val="18"/>
                <w:lang w:val="fr-FR"/>
              </w:rPr>
              <w:t>Recomm</w:t>
            </w:r>
            <w:r w:rsidR="00ED1CEC" w:rsidRPr="003A6643">
              <w:rPr>
                <w:rFonts w:ascii="Times New Roman" w:hAnsi="Times New Roman"/>
                <w:sz w:val="18"/>
                <w:szCs w:val="18"/>
                <w:lang w:val="fr-FR"/>
              </w:rPr>
              <w:t>a</w:t>
            </w:r>
            <w:r w:rsidRPr="003A6643">
              <w:rPr>
                <w:rFonts w:ascii="Times New Roman" w:hAnsi="Times New Roman"/>
                <w:sz w:val="18"/>
                <w:szCs w:val="18"/>
                <w:lang w:val="fr-FR"/>
              </w:rPr>
              <w:t xml:space="preserve">ndations </w:t>
            </w:r>
            <w:r w:rsidR="00ED1CEC" w:rsidRPr="003A6643">
              <w:rPr>
                <w:rFonts w:ascii="Times New Roman" w:hAnsi="Times New Roman"/>
                <w:sz w:val="18"/>
                <w:szCs w:val="18"/>
                <w:lang w:val="fr-FR"/>
              </w:rPr>
              <w:t>au</w:t>
            </w:r>
            <w:r w:rsidRPr="003A6643">
              <w:rPr>
                <w:rFonts w:ascii="Times New Roman" w:hAnsi="Times New Roman"/>
                <w:sz w:val="18"/>
                <w:szCs w:val="18"/>
                <w:lang w:val="fr-FR"/>
              </w:rPr>
              <w:t xml:space="preserve"> </w:t>
            </w:r>
            <w:r w:rsidR="00ED1CEC" w:rsidRPr="003A6643">
              <w:rPr>
                <w:rFonts w:ascii="Times New Roman" w:hAnsi="Times New Roman"/>
                <w:sz w:val="18"/>
                <w:szCs w:val="18"/>
                <w:lang w:val="fr-FR"/>
              </w:rPr>
              <w:t xml:space="preserve">Service national de gestion </w:t>
            </w:r>
          </w:p>
          <w:p w:rsidR="000B562B" w:rsidRPr="003A6643" w:rsidRDefault="00ED1CEC" w:rsidP="00C32C70">
            <w:pPr>
              <w:pStyle w:val="Text"/>
              <w:spacing w:before="40" w:after="40" w:line="220" w:lineRule="exact"/>
              <w:rPr>
                <w:rFonts w:ascii="Times New Roman" w:hAnsi="Times New Roman"/>
                <w:sz w:val="18"/>
                <w:szCs w:val="18"/>
                <w:lang w:val="fr-FR"/>
              </w:rPr>
            </w:pPr>
            <w:r w:rsidRPr="003A6643">
              <w:rPr>
                <w:rFonts w:ascii="Times New Roman" w:hAnsi="Times New Roman"/>
                <w:sz w:val="18"/>
                <w:szCs w:val="18"/>
                <w:lang w:val="fr-FR"/>
              </w:rPr>
              <w:t>des détenus</w:t>
            </w:r>
          </w:p>
        </w:tc>
        <w:tc>
          <w:tcPr>
            <w:tcW w:w="1275" w:type="dxa"/>
            <w:shd w:val="clear" w:color="auto" w:fill="auto"/>
            <w:vAlign w:val="bottom"/>
          </w:tcPr>
          <w:p w:rsidR="000B562B" w:rsidRPr="003A6643" w:rsidRDefault="000B562B" w:rsidP="00FF5250">
            <w:pPr>
              <w:pStyle w:val="Text"/>
              <w:spacing w:before="40" w:after="40" w:line="220" w:lineRule="exact"/>
              <w:ind w:right="57"/>
              <w:jc w:val="right"/>
              <w:rPr>
                <w:rFonts w:ascii="Times New Roman" w:hAnsi="Times New Roman"/>
                <w:sz w:val="18"/>
                <w:lang w:val="fr-FR"/>
              </w:rPr>
            </w:pPr>
            <w:r w:rsidRPr="003A6643">
              <w:rPr>
                <w:rFonts w:ascii="Times New Roman" w:hAnsi="Times New Roman"/>
                <w:sz w:val="18"/>
                <w:lang w:val="fr-FR"/>
              </w:rPr>
              <w:t>146</w:t>
            </w:r>
          </w:p>
        </w:tc>
        <w:tc>
          <w:tcPr>
            <w:tcW w:w="1081" w:type="dxa"/>
            <w:shd w:val="clear" w:color="auto" w:fill="auto"/>
            <w:vAlign w:val="bottom"/>
          </w:tcPr>
          <w:p w:rsidR="000B562B" w:rsidRPr="003A6643" w:rsidRDefault="000B562B" w:rsidP="00FF5250">
            <w:pPr>
              <w:pStyle w:val="Text"/>
              <w:spacing w:before="40" w:after="40" w:line="220" w:lineRule="exact"/>
              <w:ind w:right="57"/>
              <w:jc w:val="right"/>
              <w:rPr>
                <w:rFonts w:ascii="Times New Roman" w:hAnsi="Times New Roman"/>
                <w:sz w:val="18"/>
                <w:lang w:val="fr-FR"/>
              </w:rPr>
            </w:pPr>
            <w:r w:rsidRPr="003A6643">
              <w:rPr>
                <w:rFonts w:ascii="Times New Roman" w:hAnsi="Times New Roman"/>
                <w:sz w:val="18"/>
                <w:lang w:val="fr-FR"/>
              </w:rPr>
              <w:t>266</w:t>
            </w:r>
          </w:p>
        </w:tc>
      </w:tr>
      <w:tr w:rsidR="000B562B" w:rsidRPr="00A176EA" w:rsidTr="00532DD5">
        <w:tblPrEx>
          <w:tblCellMar>
            <w:top w:w="0" w:type="dxa"/>
            <w:bottom w:w="0" w:type="dxa"/>
          </w:tblCellMar>
        </w:tblPrEx>
        <w:trPr>
          <w:cantSplit/>
          <w:trHeight w:val="240"/>
        </w:trPr>
        <w:tc>
          <w:tcPr>
            <w:tcW w:w="4934" w:type="dxa"/>
            <w:tcBorders>
              <w:bottom w:val="single" w:sz="12" w:space="0" w:color="auto"/>
            </w:tcBorders>
            <w:shd w:val="clear" w:color="auto" w:fill="auto"/>
          </w:tcPr>
          <w:p w:rsidR="000B562B" w:rsidRPr="003A6643" w:rsidRDefault="000B562B" w:rsidP="00ED1CEC">
            <w:pPr>
              <w:pStyle w:val="Text"/>
              <w:spacing w:before="40" w:after="40" w:line="220" w:lineRule="exact"/>
              <w:rPr>
                <w:rFonts w:ascii="Times New Roman" w:hAnsi="Times New Roman"/>
                <w:sz w:val="18"/>
                <w:lang w:val="fr-FR"/>
              </w:rPr>
            </w:pPr>
            <w:r w:rsidRPr="003A6643">
              <w:rPr>
                <w:rFonts w:ascii="Times New Roman" w:hAnsi="Times New Roman"/>
                <w:sz w:val="18"/>
                <w:lang w:val="fr-FR"/>
              </w:rPr>
              <w:t>Recomm</w:t>
            </w:r>
            <w:r w:rsidR="00ED1CEC" w:rsidRPr="003A6643">
              <w:rPr>
                <w:rFonts w:ascii="Times New Roman" w:hAnsi="Times New Roman"/>
                <w:sz w:val="18"/>
                <w:lang w:val="fr-FR"/>
              </w:rPr>
              <w:t>a</w:t>
            </w:r>
            <w:r w:rsidRPr="003A6643">
              <w:rPr>
                <w:rFonts w:ascii="Times New Roman" w:hAnsi="Times New Roman"/>
                <w:sz w:val="18"/>
                <w:lang w:val="fr-FR"/>
              </w:rPr>
              <w:t>ndations reje</w:t>
            </w:r>
            <w:r w:rsidR="00ED1CEC" w:rsidRPr="003A6643">
              <w:rPr>
                <w:rFonts w:ascii="Times New Roman" w:hAnsi="Times New Roman"/>
                <w:sz w:val="18"/>
                <w:lang w:val="fr-FR"/>
              </w:rPr>
              <w:t>tées</w:t>
            </w:r>
          </w:p>
        </w:tc>
        <w:tc>
          <w:tcPr>
            <w:tcW w:w="1275" w:type="dxa"/>
            <w:tcBorders>
              <w:bottom w:val="single" w:sz="12" w:space="0" w:color="auto"/>
            </w:tcBorders>
            <w:shd w:val="clear" w:color="auto" w:fill="auto"/>
            <w:vAlign w:val="bottom"/>
          </w:tcPr>
          <w:p w:rsidR="000B562B" w:rsidRPr="003A6643" w:rsidRDefault="000B562B" w:rsidP="00FF5250">
            <w:pPr>
              <w:pStyle w:val="Text"/>
              <w:spacing w:before="40" w:after="40" w:line="220" w:lineRule="exact"/>
              <w:ind w:right="57"/>
              <w:jc w:val="right"/>
              <w:rPr>
                <w:rFonts w:ascii="Times New Roman" w:hAnsi="Times New Roman"/>
                <w:sz w:val="18"/>
                <w:lang w:val="fr-FR"/>
              </w:rPr>
            </w:pPr>
            <w:r w:rsidRPr="003A6643">
              <w:rPr>
                <w:rFonts w:ascii="Times New Roman" w:hAnsi="Times New Roman"/>
                <w:sz w:val="18"/>
                <w:lang w:val="fr-FR"/>
              </w:rPr>
              <w:t xml:space="preserve">0 </w:t>
            </w:r>
          </w:p>
        </w:tc>
        <w:tc>
          <w:tcPr>
            <w:tcW w:w="1081" w:type="dxa"/>
            <w:tcBorders>
              <w:bottom w:val="single" w:sz="12" w:space="0" w:color="auto"/>
            </w:tcBorders>
            <w:shd w:val="clear" w:color="auto" w:fill="auto"/>
            <w:vAlign w:val="bottom"/>
          </w:tcPr>
          <w:p w:rsidR="000B562B" w:rsidRPr="003A6643" w:rsidRDefault="000B562B" w:rsidP="00FF5250">
            <w:pPr>
              <w:pStyle w:val="Text"/>
              <w:spacing w:before="40" w:after="40" w:line="220" w:lineRule="exact"/>
              <w:ind w:right="57"/>
              <w:jc w:val="right"/>
              <w:rPr>
                <w:rFonts w:ascii="Times New Roman" w:hAnsi="Times New Roman"/>
                <w:sz w:val="18"/>
                <w:lang w:val="fr-FR"/>
              </w:rPr>
            </w:pPr>
            <w:r w:rsidRPr="003A6643">
              <w:rPr>
                <w:rFonts w:ascii="Times New Roman" w:hAnsi="Times New Roman"/>
                <w:sz w:val="18"/>
                <w:lang w:val="fr-FR"/>
              </w:rPr>
              <w:t>3</w:t>
            </w:r>
          </w:p>
        </w:tc>
      </w:tr>
    </w:tbl>
    <w:p w:rsidR="000B562B" w:rsidRPr="00A176EA" w:rsidRDefault="003A6643" w:rsidP="00C32C70">
      <w:pPr>
        <w:pStyle w:val="H23G"/>
        <w:rPr>
          <w:lang w:val="fr-FR"/>
        </w:rPr>
      </w:pPr>
      <w:r>
        <w:rPr>
          <w:lang w:val="fr-FR"/>
        </w:rPr>
        <w:t>Le Médiateur du Parlement et des services de santé</w:t>
      </w:r>
    </w:p>
    <w:p w:rsidR="000B562B" w:rsidRPr="00A176EA" w:rsidRDefault="002549A9" w:rsidP="00DB4951">
      <w:pPr>
        <w:pStyle w:val="SingleTxtG"/>
        <w:rPr>
          <w:lang w:val="fr-FR"/>
        </w:rPr>
      </w:pPr>
      <w:r w:rsidRPr="00A176EA">
        <w:rPr>
          <w:lang w:val="fr-FR"/>
        </w:rPr>
        <w:t>480.</w:t>
      </w:r>
      <w:r w:rsidRPr="00A176EA">
        <w:rPr>
          <w:lang w:val="fr-FR"/>
        </w:rPr>
        <w:tab/>
      </w:r>
      <w:r w:rsidR="003A6643" w:rsidRPr="003A6643">
        <w:rPr>
          <w:lang w:val="fr-FR"/>
        </w:rPr>
        <w:t>Le Médiateur du Parlement et des services de santé</w:t>
      </w:r>
      <w:r w:rsidR="003A6643">
        <w:rPr>
          <w:lang w:val="fr-FR"/>
        </w:rPr>
        <w:t xml:space="preserve"> allie le rôle de </w:t>
      </w:r>
      <w:r w:rsidR="00AB25A9" w:rsidRPr="00AB25A9">
        <w:rPr>
          <w:snapToGrid w:val="0"/>
          <w:lang w:val="fr-FR"/>
        </w:rPr>
        <w:t>Commissaire parlementaire à l’administration</w:t>
      </w:r>
      <w:r w:rsidR="003A6643" w:rsidRPr="00AB25A9">
        <w:rPr>
          <w:lang w:val="fr-FR"/>
        </w:rPr>
        <w:t xml:space="preserve"> </w:t>
      </w:r>
      <w:r w:rsidR="00D515FF">
        <w:rPr>
          <w:lang w:val="fr-FR"/>
        </w:rPr>
        <w:t>à</w:t>
      </w:r>
      <w:r w:rsidR="003A6643" w:rsidRPr="00AB25A9">
        <w:rPr>
          <w:lang w:val="fr-FR"/>
        </w:rPr>
        <w:t xml:space="preserve"> celui de </w:t>
      </w:r>
      <w:r w:rsidR="00DB4951" w:rsidRPr="00AB25A9">
        <w:rPr>
          <w:lang w:val="fr-FR"/>
        </w:rPr>
        <w:t>Conciliateur</w:t>
      </w:r>
      <w:r w:rsidR="003A6643" w:rsidRPr="00AB25A9">
        <w:rPr>
          <w:lang w:val="fr-FR"/>
        </w:rPr>
        <w:t xml:space="preserve"> des services de sa</w:t>
      </w:r>
      <w:r w:rsidR="003A6643">
        <w:rPr>
          <w:lang w:val="fr-FR"/>
        </w:rPr>
        <w:t xml:space="preserve">nté pour l’Angleterre. Ses fonctions sont énoncées dans la loi de 1967 sur le </w:t>
      </w:r>
      <w:r w:rsidR="00AB25A9" w:rsidRPr="00AB25A9">
        <w:rPr>
          <w:lang w:val="fr-FR"/>
        </w:rPr>
        <w:t xml:space="preserve">Commissaire parlementaire à l’administration </w:t>
      </w:r>
      <w:r w:rsidR="00DB4951">
        <w:rPr>
          <w:lang w:val="fr-FR"/>
        </w:rPr>
        <w:t>et la loi de 1993 sur le Conciliateur des services de santé, respectivement</w:t>
      </w:r>
      <w:r w:rsidR="000B562B" w:rsidRPr="00A176EA">
        <w:rPr>
          <w:lang w:val="fr-FR"/>
        </w:rPr>
        <w:t>.</w:t>
      </w:r>
    </w:p>
    <w:p w:rsidR="000B562B" w:rsidRPr="00A176EA" w:rsidRDefault="002549A9" w:rsidP="00DB4951">
      <w:pPr>
        <w:pStyle w:val="SingleTxtG"/>
        <w:rPr>
          <w:lang w:val="fr-FR"/>
        </w:rPr>
      </w:pPr>
      <w:r w:rsidRPr="00A176EA">
        <w:rPr>
          <w:lang w:val="fr-FR"/>
        </w:rPr>
        <w:t>481.</w:t>
      </w:r>
      <w:r w:rsidRPr="00A176EA">
        <w:rPr>
          <w:lang w:val="fr-FR"/>
        </w:rPr>
        <w:tab/>
      </w:r>
      <w:r w:rsidR="00DB4951">
        <w:rPr>
          <w:lang w:val="fr-FR"/>
        </w:rPr>
        <w:t>Le rôle du Médiateur est de servir le public en menant des enquêtes indépendantes sur les plaintes à l’encontre d’administrations, d’autres organismes publics britanniques et du Service national de santé d’Angleterre pour ne pas avoir agi correctement ou équitablement ou pour avoir fourni des services de piètre qualité</w:t>
      </w:r>
      <w:r w:rsidR="000B562B" w:rsidRPr="00A176EA">
        <w:rPr>
          <w:lang w:val="fr-FR"/>
        </w:rPr>
        <w:t>.</w:t>
      </w:r>
    </w:p>
    <w:p w:rsidR="008432D4" w:rsidRPr="00A176EA" w:rsidRDefault="008432D4" w:rsidP="008432D4">
      <w:pPr>
        <w:pStyle w:val="H23G"/>
        <w:rPr>
          <w:snapToGrid w:val="0"/>
          <w:lang w:val="fr-FR"/>
        </w:rPr>
      </w:pPr>
      <w:r w:rsidRPr="00DB4951">
        <w:rPr>
          <w:snapToGrid w:val="0"/>
          <w:lang w:val="fr-FR"/>
        </w:rPr>
        <w:t>Écosse</w:t>
      </w:r>
    </w:p>
    <w:p w:rsidR="000B562B" w:rsidRPr="00A176EA" w:rsidRDefault="002549A9" w:rsidP="00BE62A7">
      <w:pPr>
        <w:pStyle w:val="SingleTxtG"/>
        <w:rPr>
          <w:lang w:val="fr-FR"/>
        </w:rPr>
      </w:pPr>
      <w:r w:rsidRPr="00A176EA">
        <w:rPr>
          <w:lang w:val="fr-FR"/>
        </w:rPr>
        <w:t>482.</w:t>
      </w:r>
      <w:r w:rsidRPr="00A176EA">
        <w:rPr>
          <w:lang w:val="fr-FR"/>
        </w:rPr>
        <w:tab/>
      </w:r>
      <w:r w:rsidR="00BE62A7" w:rsidRPr="00BE62A7">
        <w:rPr>
          <w:lang w:val="fr-FR"/>
        </w:rPr>
        <w:t xml:space="preserve">Les dispositions applicables au règlement des plaintes contre des membres du personnel pénitentiaire et les procédures disciplinaires en vigueur en </w:t>
      </w:r>
      <w:r w:rsidR="00BE62A7">
        <w:rPr>
          <w:lang w:val="fr-FR"/>
        </w:rPr>
        <w:t>É</w:t>
      </w:r>
      <w:r w:rsidR="00BE62A7" w:rsidRPr="00BE62A7">
        <w:rPr>
          <w:lang w:val="fr-FR"/>
        </w:rPr>
        <w:t>cosse ont été définies aux paragraphes 97 à 101 du premier rapport périodique</w:t>
      </w:r>
      <w:r w:rsidR="00BE62A7">
        <w:rPr>
          <w:lang w:val="fr-FR"/>
        </w:rPr>
        <w:t xml:space="preserve"> et des informations supplémentaires ont été fournies aux paragraphes 238 à 240 du quatrième rapport du Royaume-Uni</w:t>
      </w:r>
      <w:r w:rsidR="000B562B" w:rsidRPr="00A176EA">
        <w:rPr>
          <w:lang w:val="fr-FR"/>
        </w:rPr>
        <w:t>.</w:t>
      </w:r>
    </w:p>
    <w:p w:rsidR="000B562B" w:rsidRPr="00A176EA" w:rsidRDefault="002549A9" w:rsidP="00C32C70">
      <w:pPr>
        <w:pStyle w:val="SingleTxtG"/>
        <w:rPr>
          <w:lang w:val="fr-FR"/>
        </w:rPr>
      </w:pPr>
      <w:r w:rsidRPr="00BE62A7">
        <w:rPr>
          <w:lang w:val="fr-FR"/>
        </w:rPr>
        <w:t>483.</w:t>
      </w:r>
      <w:r w:rsidRPr="00BE62A7">
        <w:rPr>
          <w:lang w:val="fr-FR"/>
        </w:rPr>
        <w:tab/>
      </w:r>
      <w:r w:rsidR="009C1B4F" w:rsidRPr="00BE62A7">
        <w:rPr>
          <w:lang w:val="fr-FR"/>
        </w:rPr>
        <w:t>Entre le 1</w:t>
      </w:r>
      <w:r w:rsidR="009C1B4F" w:rsidRPr="00BE62A7">
        <w:rPr>
          <w:vertAlign w:val="superscript"/>
          <w:lang w:val="fr-FR"/>
        </w:rPr>
        <w:t>er</w:t>
      </w:r>
      <w:r w:rsidR="009C1B4F" w:rsidRPr="00BE62A7">
        <w:rPr>
          <w:lang w:val="fr-FR"/>
        </w:rPr>
        <w:t xml:space="preserve"> avr</w:t>
      </w:r>
      <w:r w:rsidR="000B562B" w:rsidRPr="00BE62A7">
        <w:rPr>
          <w:lang w:val="fr-FR"/>
        </w:rPr>
        <w:t xml:space="preserve">il 2009 </w:t>
      </w:r>
      <w:r w:rsidR="009C1B4F" w:rsidRPr="00BE62A7">
        <w:rPr>
          <w:lang w:val="fr-FR"/>
        </w:rPr>
        <w:t>et le</w:t>
      </w:r>
      <w:r w:rsidR="000B562B" w:rsidRPr="00BE62A7">
        <w:rPr>
          <w:lang w:val="fr-FR"/>
        </w:rPr>
        <w:t xml:space="preserve"> 31 </w:t>
      </w:r>
      <w:r w:rsidR="009C1B4F" w:rsidRPr="00BE62A7">
        <w:rPr>
          <w:lang w:val="fr-FR"/>
        </w:rPr>
        <w:t>mars</w:t>
      </w:r>
      <w:r w:rsidR="000B562B" w:rsidRPr="00BE62A7">
        <w:rPr>
          <w:lang w:val="fr-FR"/>
        </w:rPr>
        <w:t xml:space="preserve"> 2010, </w:t>
      </w:r>
      <w:r w:rsidR="009C1B4F" w:rsidRPr="00BE62A7">
        <w:rPr>
          <w:lang w:val="fr-FR"/>
        </w:rPr>
        <w:t>l’</w:t>
      </w:r>
      <w:r w:rsidR="008E4932" w:rsidRPr="00BE62A7">
        <w:rPr>
          <w:lang w:val="fr-FR"/>
        </w:rPr>
        <w:t>Administration pénitentiaire</w:t>
      </w:r>
      <w:r w:rsidR="000B562B" w:rsidRPr="00BE62A7">
        <w:rPr>
          <w:lang w:val="fr-FR"/>
        </w:rPr>
        <w:t xml:space="preserve"> </w:t>
      </w:r>
      <w:r w:rsidR="009C1B4F" w:rsidRPr="00BE62A7">
        <w:rPr>
          <w:lang w:val="fr-FR"/>
        </w:rPr>
        <w:t>écossaise a reçu</w:t>
      </w:r>
      <w:r w:rsidR="000B562B" w:rsidRPr="00BE62A7">
        <w:rPr>
          <w:lang w:val="fr-FR"/>
        </w:rPr>
        <w:t xml:space="preserve"> 15</w:t>
      </w:r>
      <w:r w:rsidR="009C1B4F" w:rsidRPr="00BE62A7">
        <w:rPr>
          <w:lang w:val="fr-FR"/>
        </w:rPr>
        <w:t xml:space="preserve"> </w:t>
      </w:r>
      <w:r w:rsidR="000B562B" w:rsidRPr="00BE62A7">
        <w:rPr>
          <w:lang w:val="fr-FR"/>
        </w:rPr>
        <w:t xml:space="preserve">335 </w:t>
      </w:r>
      <w:r w:rsidR="009C1B4F" w:rsidRPr="00BE62A7">
        <w:rPr>
          <w:lang w:val="fr-FR"/>
        </w:rPr>
        <w:t>plaintes couvrant tous les aspects de la vie carcérale</w:t>
      </w:r>
      <w:r w:rsidR="000B562B" w:rsidRPr="00BE62A7">
        <w:rPr>
          <w:lang w:val="fr-FR"/>
        </w:rPr>
        <w:t>.</w:t>
      </w:r>
    </w:p>
    <w:p w:rsidR="000B562B" w:rsidRPr="00A176EA" w:rsidRDefault="002549A9" w:rsidP="00E21970">
      <w:pPr>
        <w:pStyle w:val="SingleTxtG"/>
        <w:rPr>
          <w:lang w:val="fr-FR"/>
        </w:rPr>
      </w:pPr>
      <w:r w:rsidRPr="00A176EA">
        <w:rPr>
          <w:lang w:val="fr-FR"/>
        </w:rPr>
        <w:t>484.</w:t>
      </w:r>
      <w:r w:rsidRPr="00A176EA">
        <w:rPr>
          <w:lang w:val="fr-FR"/>
        </w:rPr>
        <w:tab/>
      </w:r>
      <w:r w:rsidR="00E21970">
        <w:rPr>
          <w:lang w:val="fr-FR"/>
        </w:rPr>
        <w:t xml:space="preserve">Le tableau ci-dessous indique le nombre de  plaintes reçues au cours des quatre derniers exercices budgétaires et les recommandations formulées par le Commissaire </w:t>
      </w:r>
      <w:r w:rsidR="00E21970" w:rsidRPr="00261B10">
        <w:rPr>
          <w:lang w:val="fr-FR"/>
        </w:rPr>
        <w:t>chargé des plaintes contre l’Administration pénitentiaire</w:t>
      </w:r>
      <w:r w:rsidR="00E21970">
        <w:rPr>
          <w:lang w:val="fr-FR"/>
        </w:rPr>
        <w:t xml:space="preserve"> écossaise. </w:t>
      </w:r>
      <w:r w:rsidR="00E21970" w:rsidRPr="00E21970">
        <w:rPr>
          <w:lang w:val="fr-FR"/>
        </w:rPr>
        <w:t xml:space="preserve">La Commission a enquêté sur les plaintes de détenus qui n’ont pas été réglées par le système interne de </w:t>
      </w:r>
      <w:r w:rsidR="001A3D6D" w:rsidRPr="00E21970">
        <w:rPr>
          <w:lang w:val="fr-FR"/>
        </w:rPr>
        <w:t>traitement</w:t>
      </w:r>
      <w:r w:rsidR="00E21970" w:rsidRPr="00E21970">
        <w:rPr>
          <w:lang w:val="fr-FR"/>
        </w:rPr>
        <w:t xml:space="preserve"> des plaintes </w:t>
      </w:r>
      <w:r w:rsidR="009C1B4F" w:rsidRPr="00E21970">
        <w:rPr>
          <w:lang w:val="fr-FR"/>
        </w:rPr>
        <w:t>de l’</w:t>
      </w:r>
      <w:r w:rsidR="008E4932" w:rsidRPr="00E21970">
        <w:rPr>
          <w:lang w:val="fr-FR"/>
        </w:rPr>
        <w:t>Administration pénitentiaire</w:t>
      </w:r>
      <w:r w:rsidR="000B562B" w:rsidRPr="00E21970">
        <w:rPr>
          <w:lang w:val="fr-FR"/>
        </w:rPr>
        <w:t xml:space="preserve"> </w:t>
      </w:r>
      <w:r w:rsidR="009C1B4F" w:rsidRPr="00E21970">
        <w:rPr>
          <w:lang w:val="fr-FR"/>
        </w:rPr>
        <w:t>écossaise</w:t>
      </w:r>
      <w:r w:rsidR="000B562B" w:rsidRPr="00E21970">
        <w:rPr>
          <w:lang w:val="fr-FR"/>
        </w:rPr>
        <w:t>.</w:t>
      </w:r>
      <w:r w:rsidR="000B562B" w:rsidRPr="00A176EA">
        <w:rPr>
          <w:lang w:val="fr-FR"/>
        </w:rPr>
        <w:t xml:space="preserve"> </w:t>
      </w:r>
      <w:r w:rsidR="00E21970">
        <w:rPr>
          <w:lang w:val="fr-FR"/>
        </w:rPr>
        <w:t>Les fonctions de la Commission ont été transférées au Médiateur des services publics écossais à compter du 1</w:t>
      </w:r>
      <w:r w:rsidR="00E21970" w:rsidRPr="00E21970">
        <w:rPr>
          <w:vertAlign w:val="superscript"/>
          <w:lang w:val="fr-FR"/>
        </w:rPr>
        <w:t>er</w:t>
      </w:r>
      <w:r w:rsidR="00E21970">
        <w:rPr>
          <w:lang w:val="fr-FR"/>
        </w:rPr>
        <w:t xml:space="preserve"> octobre</w:t>
      </w:r>
      <w:r w:rsidR="000B562B" w:rsidRPr="00A176EA">
        <w:rPr>
          <w:lang w:val="fr-FR"/>
        </w:rPr>
        <w:t xml:space="preserve"> 2010.</w:t>
      </w:r>
    </w:p>
    <w:tbl>
      <w:tblPr>
        <w:tblW w:w="7293" w:type="dxa"/>
        <w:tblInd w:w="1134" w:type="dxa"/>
        <w:tblBorders>
          <w:top w:val="single" w:sz="4" w:space="0" w:color="auto"/>
        </w:tblBorders>
        <w:tblCellMar>
          <w:left w:w="0" w:type="dxa"/>
          <w:right w:w="0" w:type="dxa"/>
        </w:tblCellMar>
        <w:tblLook w:val="0000" w:firstRow="0" w:lastRow="0" w:firstColumn="0" w:lastColumn="0" w:noHBand="0" w:noVBand="0"/>
      </w:tblPr>
      <w:tblGrid>
        <w:gridCol w:w="2765"/>
        <w:gridCol w:w="1132"/>
        <w:gridCol w:w="1132"/>
        <w:gridCol w:w="1132"/>
        <w:gridCol w:w="1132"/>
      </w:tblGrid>
      <w:tr w:rsidR="000B562B" w:rsidRPr="00A176EA" w:rsidTr="00532DD5">
        <w:tblPrEx>
          <w:tblCellMar>
            <w:top w:w="0" w:type="dxa"/>
            <w:bottom w:w="0" w:type="dxa"/>
          </w:tblCellMar>
        </w:tblPrEx>
        <w:trPr>
          <w:cantSplit/>
          <w:trHeight w:val="240"/>
          <w:tblHeader/>
        </w:trPr>
        <w:tc>
          <w:tcPr>
            <w:tcW w:w="2765" w:type="dxa"/>
            <w:tcBorders>
              <w:top w:val="single" w:sz="4" w:space="0" w:color="auto"/>
              <w:bottom w:val="single" w:sz="12" w:space="0" w:color="auto"/>
            </w:tcBorders>
            <w:shd w:val="clear" w:color="auto" w:fill="auto"/>
            <w:vAlign w:val="bottom"/>
          </w:tcPr>
          <w:p w:rsidR="000B562B" w:rsidRPr="00A176EA" w:rsidRDefault="000B562B" w:rsidP="00C32C70">
            <w:pPr>
              <w:pStyle w:val="Text"/>
              <w:spacing w:before="80" w:after="80" w:line="200" w:lineRule="exact"/>
              <w:rPr>
                <w:rFonts w:ascii="Times New Roman" w:hAnsi="Times New Roman"/>
                <w:i/>
                <w:sz w:val="16"/>
                <w:lang w:val="fr-FR"/>
              </w:rPr>
            </w:pPr>
          </w:p>
        </w:tc>
        <w:tc>
          <w:tcPr>
            <w:tcW w:w="1132" w:type="dxa"/>
            <w:tcBorders>
              <w:top w:val="single" w:sz="4" w:space="0" w:color="auto"/>
              <w:bottom w:val="single" w:sz="12" w:space="0" w:color="auto"/>
            </w:tcBorders>
            <w:shd w:val="clear" w:color="auto" w:fill="auto"/>
            <w:vAlign w:val="bottom"/>
          </w:tcPr>
          <w:p w:rsidR="000B562B" w:rsidRPr="00A176EA" w:rsidRDefault="000B562B" w:rsidP="00745FF6">
            <w:pPr>
              <w:pStyle w:val="Text"/>
              <w:spacing w:before="80" w:after="80" w:line="200" w:lineRule="exact"/>
              <w:ind w:left="113" w:right="57"/>
              <w:jc w:val="right"/>
              <w:rPr>
                <w:rFonts w:ascii="Times New Roman" w:hAnsi="Times New Roman"/>
                <w:i/>
                <w:sz w:val="16"/>
                <w:lang w:val="fr-FR"/>
              </w:rPr>
            </w:pPr>
            <w:r w:rsidRPr="00A176EA">
              <w:rPr>
                <w:rFonts w:ascii="Times New Roman" w:hAnsi="Times New Roman"/>
                <w:i/>
                <w:sz w:val="16"/>
                <w:lang w:val="fr-FR"/>
              </w:rPr>
              <w:t>2004</w:t>
            </w:r>
            <w:r w:rsidR="00745FF6">
              <w:rPr>
                <w:rFonts w:ascii="Times New Roman" w:hAnsi="Times New Roman"/>
                <w:i/>
                <w:sz w:val="16"/>
                <w:lang w:val="fr-FR"/>
              </w:rPr>
              <w:t>-</w:t>
            </w:r>
            <w:r w:rsidR="009C1B4F">
              <w:rPr>
                <w:rFonts w:ascii="Times New Roman" w:hAnsi="Times New Roman"/>
                <w:i/>
                <w:sz w:val="16"/>
                <w:lang w:val="fr-FR"/>
              </w:rPr>
              <w:t>20</w:t>
            </w:r>
            <w:r w:rsidRPr="00A176EA">
              <w:rPr>
                <w:rFonts w:ascii="Times New Roman" w:hAnsi="Times New Roman"/>
                <w:i/>
                <w:sz w:val="16"/>
                <w:lang w:val="fr-FR"/>
              </w:rPr>
              <w:t xml:space="preserve">05 </w:t>
            </w:r>
          </w:p>
        </w:tc>
        <w:tc>
          <w:tcPr>
            <w:tcW w:w="1132" w:type="dxa"/>
            <w:tcBorders>
              <w:top w:val="single" w:sz="4" w:space="0" w:color="auto"/>
              <w:bottom w:val="single" w:sz="12" w:space="0" w:color="auto"/>
            </w:tcBorders>
            <w:shd w:val="clear" w:color="auto" w:fill="auto"/>
            <w:vAlign w:val="bottom"/>
          </w:tcPr>
          <w:p w:rsidR="000B562B" w:rsidRPr="00A176EA" w:rsidRDefault="000B562B" w:rsidP="00745FF6">
            <w:pPr>
              <w:pStyle w:val="Text"/>
              <w:spacing w:before="80" w:after="80" w:line="200" w:lineRule="exact"/>
              <w:ind w:left="113" w:right="57"/>
              <w:jc w:val="right"/>
              <w:rPr>
                <w:rFonts w:ascii="Times New Roman" w:hAnsi="Times New Roman"/>
                <w:i/>
                <w:sz w:val="16"/>
                <w:lang w:val="fr-FR"/>
              </w:rPr>
            </w:pPr>
            <w:r w:rsidRPr="00A176EA">
              <w:rPr>
                <w:rFonts w:ascii="Times New Roman" w:hAnsi="Times New Roman"/>
                <w:i/>
                <w:sz w:val="16"/>
                <w:lang w:val="fr-FR"/>
              </w:rPr>
              <w:t>2005</w:t>
            </w:r>
            <w:r w:rsidR="00745FF6">
              <w:rPr>
                <w:rFonts w:ascii="Times New Roman" w:hAnsi="Times New Roman"/>
                <w:i/>
                <w:sz w:val="16"/>
                <w:lang w:val="fr-FR"/>
              </w:rPr>
              <w:t>-</w:t>
            </w:r>
            <w:r w:rsidR="009C1B4F">
              <w:rPr>
                <w:rFonts w:ascii="Times New Roman" w:hAnsi="Times New Roman"/>
                <w:i/>
                <w:sz w:val="16"/>
                <w:lang w:val="fr-FR"/>
              </w:rPr>
              <w:t>20</w:t>
            </w:r>
            <w:r w:rsidRPr="00A176EA">
              <w:rPr>
                <w:rFonts w:ascii="Times New Roman" w:hAnsi="Times New Roman"/>
                <w:i/>
                <w:sz w:val="16"/>
                <w:lang w:val="fr-FR"/>
              </w:rPr>
              <w:t>06</w:t>
            </w:r>
          </w:p>
        </w:tc>
        <w:tc>
          <w:tcPr>
            <w:tcW w:w="1132" w:type="dxa"/>
            <w:tcBorders>
              <w:top w:val="single" w:sz="4" w:space="0" w:color="auto"/>
              <w:bottom w:val="single" w:sz="12" w:space="0" w:color="auto"/>
            </w:tcBorders>
            <w:shd w:val="clear" w:color="auto" w:fill="auto"/>
            <w:vAlign w:val="bottom"/>
          </w:tcPr>
          <w:p w:rsidR="000B562B" w:rsidRPr="00A176EA" w:rsidRDefault="000B562B" w:rsidP="00745FF6">
            <w:pPr>
              <w:pStyle w:val="Text"/>
              <w:spacing w:before="80" w:after="80" w:line="200" w:lineRule="exact"/>
              <w:ind w:left="113" w:right="57"/>
              <w:jc w:val="right"/>
              <w:rPr>
                <w:rFonts w:ascii="Times New Roman" w:hAnsi="Times New Roman"/>
                <w:i/>
                <w:sz w:val="16"/>
                <w:lang w:val="fr-FR"/>
              </w:rPr>
            </w:pPr>
            <w:r w:rsidRPr="00A176EA">
              <w:rPr>
                <w:rFonts w:ascii="Times New Roman" w:hAnsi="Times New Roman"/>
                <w:i/>
                <w:sz w:val="16"/>
                <w:lang w:val="fr-FR"/>
              </w:rPr>
              <w:t>2006</w:t>
            </w:r>
            <w:r w:rsidR="00745FF6">
              <w:rPr>
                <w:rFonts w:ascii="Times New Roman" w:hAnsi="Times New Roman"/>
                <w:i/>
                <w:sz w:val="16"/>
                <w:lang w:val="fr-FR"/>
              </w:rPr>
              <w:t>-</w:t>
            </w:r>
            <w:r w:rsidR="009C1B4F">
              <w:rPr>
                <w:rFonts w:ascii="Times New Roman" w:hAnsi="Times New Roman"/>
                <w:i/>
                <w:sz w:val="16"/>
                <w:lang w:val="fr-FR"/>
              </w:rPr>
              <w:t>20</w:t>
            </w:r>
            <w:r w:rsidRPr="00A176EA">
              <w:rPr>
                <w:rFonts w:ascii="Times New Roman" w:hAnsi="Times New Roman"/>
                <w:i/>
                <w:sz w:val="16"/>
                <w:lang w:val="fr-FR"/>
              </w:rPr>
              <w:t>07</w:t>
            </w:r>
          </w:p>
        </w:tc>
        <w:tc>
          <w:tcPr>
            <w:tcW w:w="1132" w:type="dxa"/>
            <w:tcBorders>
              <w:top w:val="single" w:sz="4" w:space="0" w:color="auto"/>
              <w:bottom w:val="single" w:sz="12" w:space="0" w:color="auto"/>
            </w:tcBorders>
            <w:shd w:val="clear" w:color="auto" w:fill="auto"/>
            <w:vAlign w:val="bottom"/>
          </w:tcPr>
          <w:p w:rsidR="000B562B" w:rsidRPr="00A176EA" w:rsidRDefault="000B562B" w:rsidP="00745FF6">
            <w:pPr>
              <w:pStyle w:val="Text"/>
              <w:spacing w:before="80" w:after="80" w:line="200" w:lineRule="exact"/>
              <w:ind w:left="113" w:right="57"/>
              <w:jc w:val="right"/>
              <w:rPr>
                <w:rFonts w:ascii="Times New Roman" w:hAnsi="Times New Roman"/>
                <w:i/>
                <w:sz w:val="16"/>
                <w:lang w:val="fr-FR"/>
              </w:rPr>
            </w:pPr>
            <w:r w:rsidRPr="00A176EA">
              <w:rPr>
                <w:rFonts w:ascii="Times New Roman" w:hAnsi="Times New Roman"/>
                <w:i/>
                <w:sz w:val="16"/>
                <w:lang w:val="fr-FR"/>
              </w:rPr>
              <w:t>2007</w:t>
            </w:r>
            <w:r w:rsidR="00745FF6">
              <w:rPr>
                <w:rFonts w:ascii="Times New Roman" w:hAnsi="Times New Roman"/>
                <w:i/>
                <w:sz w:val="16"/>
                <w:lang w:val="fr-FR"/>
              </w:rPr>
              <w:t>-</w:t>
            </w:r>
            <w:r w:rsidR="009C1B4F">
              <w:rPr>
                <w:rFonts w:ascii="Times New Roman" w:hAnsi="Times New Roman"/>
                <w:i/>
                <w:sz w:val="16"/>
                <w:lang w:val="fr-FR"/>
              </w:rPr>
              <w:t>20</w:t>
            </w:r>
            <w:r w:rsidRPr="00A176EA">
              <w:rPr>
                <w:rFonts w:ascii="Times New Roman" w:hAnsi="Times New Roman"/>
                <w:i/>
                <w:sz w:val="16"/>
                <w:lang w:val="fr-FR"/>
              </w:rPr>
              <w:t>08</w:t>
            </w:r>
          </w:p>
        </w:tc>
      </w:tr>
      <w:tr w:rsidR="000B562B" w:rsidRPr="00A176EA" w:rsidTr="00532DD5">
        <w:tblPrEx>
          <w:tblCellMar>
            <w:top w:w="0" w:type="dxa"/>
            <w:bottom w:w="0" w:type="dxa"/>
          </w:tblCellMar>
        </w:tblPrEx>
        <w:trPr>
          <w:cantSplit/>
          <w:trHeight w:val="240"/>
        </w:trPr>
        <w:tc>
          <w:tcPr>
            <w:tcW w:w="2765" w:type="dxa"/>
            <w:tcBorders>
              <w:top w:val="single" w:sz="12" w:space="0" w:color="auto"/>
            </w:tcBorders>
            <w:shd w:val="clear" w:color="auto" w:fill="auto"/>
          </w:tcPr>
          <w:p w:rsidR="000B562B" w:rsidRPr="00A176EA" w:rsidRDefault="00DB4951" w:rsidP="00C32C70">
            <w:pPr>
              <w:pStyle w:val="Text"/>
              <w:spacing w:before="40" w:after="40" w:line="220" w:lineRule="exact"/>
              <w:rPr>
                <w:rFonts w:ascii="Times New Roman" w:hAnsi="Times New Roman"/>
                <w:sz w:val="18"/>
                <w:lang w:val="fr-FR"/>
              </w:rPr>
            </w:pPr>
            <w:r w:rsidRPr="00E21970">
              <w:rPr>
                <w:rFonts w:ascii="Times New Roman" w:hAnsi="Times New Roman"/>
                <w:sz w:val="18"/>
                <w:lang w:val="fr-FR"/>
              </w:rPr>
              <w:t>Plaintes reçues</w:t>
            </w:r>
          </w:p>
        </w:tc>
        <w:tc>
          <w:tcPr>
            <w:tcW w:w="1132" w:type="dxa"/>
            <w:tcBorders>
              <w:top w:val="single" w:sz="12" w:space="0" w:color="auto"/>
            </w:tcBorders>
            <w:shd w:val="clear" w:color="auto" w:fill="auto"/>
            <w:vAlign w:val="bottom"/>
          </w:tcPr>
          <w:p w:rsidR="000B562B" w:rsidRPr="00A176EA" w:rsidRDefault="000B562B" w:rsidP="00392A6B">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388</w:t>
            </w:r>
          </w:p>
        </w:tc>
        <w:tc>
          <w:tcPr>
            <w:tcW w:w="1132" w:type="dxa"/>
            <w:tcBorders>
              <w:top w:val="single" w:sz="12" w:space="0" w:color="auto"/>
            </w:tcBorders>
            <w:shd w:val="clear" w:color="auto" w:fill="auto"/>
            <w:vAlign w:val="bottom"/>
          </w:tcPr>
          <w:p w:rsidR="000B562B" w:rsidRPr="00A176EA" w:rsidRDefault="000B562B" w:rsidP="00392A6B">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460</w:t>
            </w:r>
          </w:p>
        </w:tc>
        <w:tc>
          <w:tcPr>
            <w:tcW w:w="1132" w:type="dxa"/>
            <w:tcBorders>
              <w:top w:val="single" w:sz="12" w:space="0" w:color="auto"/>
            </w:tcBorders>
            <w:shd w:val="clear" w:color="auto" w:fill="auto"/>
            <w:vAlign w:val="bottom"/>
          </w:tcPr>
          <w:p w:rsidR="000B562B" w:rsidRPr="00A176EA" w:rsidRDefault="000B562B" w:rsidP="00392A6B">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403</w:t>
            </w:r>
          </w:p>
        </w:tc>
        <w:tc>
          <w:tcPr>
            <w:tcW w:w="1132" w:type="dxa"/>
            <w:tcBorders>
              <w:top w:val="single" w:sz="12" w:space="0" w:color="auto"/>
            </w:tcBorders>
            <w:shd w:val="clear" w:color="auto" w:fill="auto"/>
            <w:vAlign w:val="bottom"/>
          </w:tcPr>
          <w:p w:rsidR="000B562B" w:rsidRPr="00A176EA" w:rsidRDefault="000B562B" w:rsidP="00392A6B">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324</w:t>
            </w:r>
          </w:p>
        </w:tc>
      </w:tr>
      <w:tr w:rsidR="000B562B" w:rsidRPr="00A176EA" w:rsidTr="00532DD5">
        <w:tblPrEx>
          <w:tblCellMar>
            <w:top w:w="0" w:type="dxa"/>
            <w:bottom w:w="0" w:type="dxa"/>
          </w:tblCellMar>
        </w:tblPrEx>
        <w:trPr>
          <w:cantSplit/>
          <w:trHeight w:val="240"/>
        </w:trPr>
        <w:tc>
          <w:tcPr>
            <w:tcW w:w="2765" w:type="dxa"/>
            <w:shd w:val="clear" w:color="auto" w:fill="auto"/>
          </w:tcPr>
          <w:p w:rsidR="000B562B" w:rsidRPr="00A176EA" w:rsidRDefault="000B39A7" w:rsidP="00C32C70">
            <w:pPr>
              <w:pStyle w:val="Text"/>
              <w:spacing w:before="40" w:after="40" w:line="220" w:lineRule="exact"/>
              <w:rPr>
                <w:rFonts w:ascii="Times New Roman" w:hAnsi="Times New Roman"/>
                <w:sz w:val="18"/>
                <w:lang w:val="fr-FR"/>
              </w:rPr>
            </w:pPr>
            <w:r>
              <w:rPr>
                <w:rFonts w:ascii="Times New Roman" w:hAnsi="Times New Roman"/>
                <w:sz w:val="18"/>
                <w:lang w:val="fr-FR"/>
              </w:rPr>
              <w:t>Du ressort de la Commission</w:t>
            </w:r>
          </w:p>
        </w:tc>
        <w:tc>
          <w:tcPr>
            <w:tcW w:w="1132" w:type="dxa"/>
            <w:shd w:val="clear" w:color="auto" w:fill="auto"/>
            <w:vAlign w:val="bottom"/>
          </w:tcPr>
          <w:p w:rsidR="000B562B" w:rsidRPr="00A176EA" w:rsidRDefault="000B562B" w:rsidP="00392A6B">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259</w:t>
            </w:r>
          </w:p>
        </w:tc>
        <w:tc>
          <w:tcPr>
            <w:tcW w:w="1132" w:type="dxa"/>
            <w:shd w:val="clear" w:color="auto" w:fill="auto"/>
            <w:vAlign w:val="bottom"/>
          </w:tcPr>
          <w:p w:rsidR="000B562B" w:rsidRPr="00A176EA" w:rsidRDefault="000B562B" w:rsidP="00392A6B">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363</w:t>
            </w:r>
          </w:p>
        </w:tc>
        <w:tc>
          <w:tcPr>
            <w:tcW w:w="1132" w:type="dxa"/>
            <w:shd w:val="clear" w:color="auto" w:fill="auto"/>
            <w:vAlign w:val="bottom"/>
          </w:tcPr>
          <w:p w:rsidR="000B562B" w:rsidRPr="00A176EA" w:rsidRDefault="000B562B" w:rsidP="00392A6B">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298</w:t>
            </w:r>
          </w:p>
        </w:tc>
        <w:tc>
          <w:tcPr>
            <w:tcW w:w="1132" w:type="dxa"/>
            <w:shd w:val="clear" w:color="auto" w:fill="auto"/>
            <w:vAlign w:val="bottom"/>
          </w:tcPr>
          <w:p w:rsidR="000B562B" w:rsidRPr="00A176EA" w:rsidRDefault="000B562B" w:rsidP="00392A6B">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228</w:t>
            </w:r>
          </w:p>
        </w:tc>
      </w:tr>
      <w:tr w:rsidR="000B562B" w:rsidRPr="00A176EA" w:rsidTr="00532DD5">
        <w:tblPrEx>
          <w:tblCellMar>
            <w:top w:w="0" w:type="dxa"/>
            <w:bottom w:w="0" w:type="dxa"/>
          </w:tblCellMar>
        </w:tblPrEx>
        <w:trPr>
          <w:cantSplit/>
          <w:trHeight w:val="240"/>
        </w:trPr>
        <w:tc>
          <w:tcPr>
            <w:tcW w:w="2765" w:type="dxa"/>
            <w:shd w:val="clear" w:color="auto" w:fill="auto"/>
          </w:tcPr>
          <w:p w:rsidR="000B562B" w:rsidRPr="000B39A7" w:rsidRDefault="00DB4951" w:rsidP="00C32C70">
            <w:pPr>
              <w:pStyle w:val="Text"/>
              <w:spacing w:before="40" w:after="40" w:line="220" w:lineRule="exact"/>
              <w:rPr>
                <w:rFonts w:ascii="Times New Roman" w:hAnsi="Times New Roman"/>
                <w:sz w:val="18"/>
                <w:lang w:val="fr-FR"/>
              </w:rPr>
            </w:pPr>
            <w:r w:rsidRPr="000B39A7">
              <w:rPr>
                <w:rFonts w:ascii="Times New Roman" w:hAnsi="Times New Roman"/>
                <w:sz w:val="18"/>
                <w:lang w:val="fr-FR"/>
              </w:rPr>
              <w:t>Réglées à l’amiable</w:t>
            </w:r>
          </w:p>
        </w:tc>
        <w:tc>
          <w:tcPr>
            <w:tcW w:w="1132" w:type="dxa"/>
            <w:shd w:val="clear" w:color="auto" w:fill="auto"/>
            <w:vAlign w:val="bottom"/>
          </w:tcPr>
          <w:p w:rsidR="000B562B" w:rsidRPr="00A176EA" w:rsidRDefault="000B562B" w:rsidP="00392A6B">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58</w:t>
            </w:r>
          </w:p>
        </w:tc>
        <w:tc>
          <w:tcPr>
            <w:tcW w:w="1132" w:type="dxa"/>
            <w:shd w:val="clear" w:color="auto" w:fill="auto"/>
            <w:vAlign w:val="bottom"/>
          </w:tcPr>
          <w:p w:rsidR="000B562B" w:rsidRPr="00A176EA" w:rsidRDefault="000B562B" w:rsidP="00392A6B">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127</w:t>
            </w:r>
          </w:p>
        </w:tc>
        <w:tc>
          <w:tcPr>
            <w:tcW w:w="1132" w:type="dxa"/>
            <w:shd w:val="clear" w:color="auto" w:fill="auto"/>
            <w:vAlign w:val="bottom"/>
          </w:tcPr>
          <w:p w:rsidR="000B562B" w:rsidRPr="00A176EA" w:rsidRDefault="000B562B" w:rsidP="00392A6B">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145</w:t>
            </w:r>
          </w:p>
        </w:tc>
        <w:tc>
          <w:tcPr>
            <w:tcW w:w="1132" w:type="dxa"/>
            <w:shd w:val="clear" w:color="auto" w:fill="auto"/>
            <w:vAlign w:val="bottom"/>
          </w:tcPr>
          <w:p w:rsidR="000B562B" w:rsidRPr="00A176EA" w:rsidRDefault="000B562B" w:rsidP="00392A6B">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68</w:t>
            </w:r>
          </w:p>
        </w:tc>
      </w:tr>
      <w:tr w:rsidR="000B562B" w:rsidRPr="00A176EA" w:rsidTr="00532DD5">
        <w:tblPrEx>
          <w:tblCellMar>
            <w:top w:w="0" w:type="dxa"/>
            <w:bottom w:w="0" w:type="dxa"/>
          </w:tblCellMar>
        </w:tblPrEx>
        <w:trPr>
          <w:cantSplit/>
          <w:trHeight w:val="240"/>
        </w:trPr>
        <w:tc>
          <w:tcPr>
            <w:tcW w:w="2765" w:type="dxa"/>
            <w:shd w:val="clear" w:color="auto" w:fill="auto"/>
          </w:tcPr>
          <w:p w:rsidR="000B562B" w:rsidRPr="000B39A7" w:rsidRDefault="00DB4951" w:rsidP="00DB4951">
            <w:pPr>
              <w:pStyle w:val="Text"/>
              <w:spacing w:before="40" w:after="40" w:line="220" w:lineRule="exact"/>
              <w:rPr>
                <w:rFonts w:ascii="Times New Roman" w:hAnsi="Times New Roman"/>
                <w:sz w:val="18"/>
                <w:lang w:val="fr-FR"/>
              </w:rPr>
            </w:pPr>
            <w:r w:rsidRPr="000B39A7">
              <w:rPr>
                <w:rFonts w:ascii="Times New Roman" w:hAnsi="Times New Roman"/>
                <w:sz w:val="18"/>
                <w:lang w:val="fr-FR"/>
              </w:rPr>
              <w:t>Sans r</w:t>
            </w:r>
            <w:r w:rsidR="000B562B" w:rsidRPr="000B39A7">
              <w:rPr>
                <w:rFonts w:ascii="Times New Roman" w:hAnsi="Times New Roman"/>
                <w:sz w:val="18"/>
                <w:lang w:val="fr-FR"/>
              </w:rPr>
              <w:t>ecomm</w:t>
            </w:r>
            <w:r w:rsidRPr="000B39A7">
              <w:rPr>
                <w:rFonts w:ascii="Times New Roman" w:hAnsi="Times New Roman"/>
                <w:sz w:val="18"/>
                <w:lang w:val="fr-FR"/>
              </w:rPr>
              <w:t>a</w:t>
            </w:r>
            <w:r w:rsidR="000B562B" w:rsidRPr="000B39A7">
              <w:rPr>
                <w:rFonts w:ascii="Times New Roman" w:hAnsi="Times New Roman"/>
                <w:sz w:val="18"/>
                <w:lang w:val="fr-FR"/>
              </w:rPr>
              <w:t>ndation</w:t>
            </w:r>
          </w:p>
        </w:tc>
        <w:tc>
          <w:tcPr>
            <w:tcW w:w="1132" w:type="dxa"/>
            <w:shd w:val="clear" w:color="auto" w:fill="auto"/>
            <w:vAlign w:val="bottom"/>
          </w:tcPr>
          <w:p w:rsidR="000B562B" w:rsidRPr="00A176EA" w:rsidRDefault="000B562B" w:rsidP="00392A6B">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178</w:t>
            </w:r>
          </w:p>
        </w:tc>
        <w:tc>
          <w:tcPr>
            <w:tcW w:w="1132" w:type="dxa"/>
            <w:shd w:val="clear" w:color="auto" w:fill="auto"/>
            <w:vAlign w:val="bottom"/>
          </w:tcPr>
          <w:p w:rsidR="000B562B" w:rsidRPr="00A176EA" w:rsidRDefault="000B562B" w:rsidP="00392A6B">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189</w:t>
            </w:r>
          </w:p>
        </w:tc>
        <w:tc>
          <w:tcPr>
            <w:tcW w:w="1132" w:type="dxa"/>
            <w:shd w:val="clear" w:color="auto" w:fill="auto"/>
            <w:vAlign w:val="bottom"/>
          </w:tcPr>
          <w:p w:rsidR="000B562B" w:rsidRPr="00A176EA" w:rsidRDefault="000B562B" w:rsidP="00392A6B">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89</w:t>
            </w:r>
          </w:p>
        </w:tc>
        <w:tc>
          <w:tcPr>
            <w:tcW w:w="1132" w:type="dxa"/>
            <w:shd w:val="clear" w:color="auto" w:fill="auto"/>
            <w:vAlign w:val="bottom"/>
          </w:tcPr>
          <w:p w:rsidR="000B562B" w:rsidRPr="00A176EA" w:rsidRDefault="000B562B" w:rsidP="00392A6B">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89</w:t>
            </w:r>
          </w:p>
        </w:tc>
      </w:tr>
      <w:tr w:rsidR="000B562B" w:rsidRPr="00A176EA" w:rsidTr="00532DD5">
        <w:tblPrEx>
          <w:tblCellMar>
            <w:top w:w="0" w:type="dxa"/>
            <w:bottom w:w="0" w:type="dxa"/>
          </w:tblCellMar>
        </w:tblPrEx>
        <w:trPr>
          <w:cantSplit/>
          <w:trHeight w:val="240"/>
        </w:trPr>
        <w:tc>
          <w:tcPr>
            <w:tcW w:w="2765" w:type="dxa"/>
            <w:shd w:val="clear" w:color="auto" w:fill="auto"/>
          </w:tcPr>
          <w:p w:rsidR="000B562B" w:rsidRPr="000B39A7" w:rsidRDefault="00DB4951" w:rsidP="00DB4951">
            <w:pPr>
              <w:pStyle w:val="Text"/>
              <w:spacing w:before="40" w:after="40" w:line="220" w:lineRule="exact"/>
              <w:rPr>
                <w:rFonts w:ascii="Times New Roman" w:hAnsi="Times New Roman"/>
                <w:sz w:val="18"/>
                <w:lang w:val="fr-FR"/>
              </w:rPr>
            </w:pPr>
            <w:r w:rsidRPr="000B39A7">
              <w:rPr>
                <w:rFonts w:ascii="Times New Roman" w:hAnsi="Times New Roman"/>
                <w:sz w:val="18"/>
                <w:lang w:val="fr-FR"/>
              </w:rPr>
              <w:t>Avec recommandation f</w:t>
            </w:r>
            <w:r w:rsidR="000B562B" w:rsidRPr="000B39A7">
              <w:rPr>
                <w:rFonts w:ascii="Times New Roman" w:hAnsi="Times New Roman"/>
                <w:sz w:val="18"/>
                <w:lang w:val="fr-FR"/>
              </w:rPr>
              <w:t>orm</w:t>
            </w:r>
            <w:r w:rsidRPr="000B39A7">
              <w:rPr>
                <w:rFonts w:ascii="Times New Roman" w:hAnsi="Times New Roman"/>
                <w:sz w:val="18"/>
                <w:lang w:val="fr-FR"/>
              </w:rPr>
              <w:t>e</w:t>
            </w:r>
            <w:r w:rsidR="000B562B" w:rsidRPr="000B39A7">
              <w:rPr>
                <w:rFonts w:ascii="Times New Roman" w:hAnsi="Times New Roman"/>
                <w:sz w:val="18"/>
                <w:lang w:val="fr-FR"/>
              </w:rPr>
              <w:t>l</w:t>
            </w:r>
            <w:r w:rsidRPr="000B39A7">
              <w:rPr>
                <w:rFonts w:ascii="Times New Roman" w:hAnsi="Times New Roman"/>
                <w:sz w:val="18"/>
                <w:lang w:val="fr-FR"/>
              </w:rPr>
              <w:t>le</w:t>
            </w:r>
            <w:r w:rsidR="000B562B" w:rsidRPr="000B39A7">
              <w:rPr>
                <w:rFonts w:ascii="Times New Roman" w:hAnsi="Times New Roman"/>
                <w:sz w:val="18"/>
                <w:lang w:val="fr-FR"/>
              </w:rPr>
              <w:t xml:space="preserve"> </w:t>
            </w:r>
          </w:p>
        </w:tc>
        <w:tc>
          <w:tcPr>
            <w:tcW w:w="1132" w:type="dxa"/>
            <w:shd w:val="clear" w:color="auto" w:fill="auto"/>
            <w:vAlign w:val="bottom"/>
          </w:tcPr>
          <w:p w:rsidR="000B562B" w:rsidRPr="00A176EA" w:rsidRDefault="000B562B" w:rsidP="00392A6B">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16</w:t>
            </w:r>
          </w:p>
        </w:tc>
        <w:tc>
          <w:tcPr>
            <w:tcW w:w="1132" w:type="dxa"/>
            <w:shd w:val="clear" w:color="auto" w:fill="auto"/>
            <w:vAlign w:val="bottom"/>
          </w:tcPr>
          <w:p w:rsidR="000B562B" w:rsidRPr="00A176EA" w:rsidRDefault="000B562B" w:rsidP="00392A6B">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1</w:t>
            </w:r>
          </w:p>
        </w:tc>
        <w:tc>
          <w:tcPr>
            <w:tcW w:w="1132" w:type="dxa"/>
            <w:shd w:val="clear" w:color="auto" w:fill="auto"/>
            <w:vAlign w:val="bottom"/>
          </w:tcPr>
          <w:p w:rsidR="000B562B" w:rsidRPr="00A176EA" w:rsidRDefault="000B562B" w:rsidP="00392A6B">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0</w:t>
            </w:r>
          </w:p>
        </w:tc>
        <w:tc>
          <w:tcPr>
            <w:tcW w:w="1132" w:type="dxa"/>
            <w:shd w:val="clear" w:color="auto" w:fill="auto"/>
            <w:vAlign w:val="bottom"/>
          </w:tcPr>
          <w:p w:rsidR="000B562B" w:rsidRPr="00A176EA" w:rsidRDefault="000B562B" w:rsidP="00392A6B">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0</w:t>
            </w:r>
          </w:p>
        </w:tc>
      </w:tr>
      <w:tr w:rsidR="000B562B" w:rsidRPr="00A176EA" w:rsidTr="00532DD5">
        <w:tblPrEx>
          <w:tblCellMar>
            <w:top w:w="0" w:type="dxa"/>
            <w:bottom w:w="0" w:type="dxa"/>
          </w:tblCellMar>
        </w:tblPrEx>
        <w:trPr>
          <w:cantSplit/>
          <w:trHeight w:val="240"/>
        </w:trPr>
        <w:tc>
          <w:tcPr>
            <w:tcW w:w="2765" w:type="dxa"/>
            <w:shd w:val="clear" w:color="auto" w:fill="auto"/>
          </w:tcPr>
          <w:p w:rsidR="000B562B" w:rsidRPr="000B39A7" w:rsidRDefault="00DB4951" w:rsidP="00C32C70">
            <w:pPr>
              <w:pStyle w:val="Text"/>
              <w:spacing w:before="40" w:after="40" w:line="220" w:lineRule="exact"/>
              <w:rPr>
                <w:rFonts w:ascii="Times New Roman" w:hAnsi="Times New Roman"/>
                <w:sz w:val="18"/>
                <w:lang w:val="fr-FR"/>
              </w:rPr>
            </w:pPr>
            <w:r w:rsidRPr="000B39A7">
              <w:rPr>
                <w:rFonts w:ascii="Times New Roman" w:hAnsi="Times New Roman"/>
                <w:sz w:val="18"/>
                <w:lang w:val="fr-FR"/>
              </w:rPr>
              <w:t>Retirées</w:t>
            </w:r>
          </w:p>
        </w:tc>
        <w:tc>
          <w:tcPr>
            <w:tcW w:w="1132" w:type="dxa"/>
            <w:shd w:val="clear" w:color="auto" w:fill="auto"/>
            <w:vAlign w:val="bottom"/>
          </w:tcPr>
          <w:p w:rsidR="000B562B" w:rsidRPr="00A176EA" w:rsidRDefault="000B562B" w:rsidP="00392A6B">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2</w:t>
            </w:r>
          </w:p>
        </w:tc>
        <w:tc>
          <w:tcPr>
            <w:tcW w:w="1132" w:type="dxa"/>
            <w:shd w:val="clear" w:color="auto" w:fill="auto"/>
            <w:vAlign w:val="bottom"/>
          </w:tcPr>
          <w:p w:rsidR="000B562B" w:rsidRPr="00A176EA" w:rsidRDefault="000B562B" w:rsidP="00392A6B">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13</w:t>
            </w:r>
          </w:p>
        </w:tc>
        <w:tc>
          <w:tcPr>
            <w:tcW w:w="1132" w:type="dxa"/>
            <w:shd w:val="clear" w:color="auto" w:fill="auto"/>
            <w:vAlign w:val="bottom"/>
          </w:tcPr>
          <w:p w:rsidR="000B562B" w:rsidRPr="00A176EA" w:rsidRDefault="000B562B" w:rsidP="00392A6B">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32</w:t>
            </w:r>
          </w:p>
        </w:tc>
        <w:tc>
          <w:tcPr>
            <w:tcW w:w="1132" w:type="dxa"/>
            <w:shd w:val="clear" w:color="auto" w:fill="auto"/>
            <w:vAlign w:val="bottom"/>
          </w:tcPr>
          <w:p w:rsidR="000B562B" w:rsidRPr="00A176EA" w:rsidRDefault="000B562B" w:rsidP="00392A6B">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30</w:t>
            </w:r>
          </w:p>
        </w:tc>
      </w:tr>
      <w:tr w:rsidR="000B562B" w:rsidRPr="000B39A7" w:rsidTr="00532DD5">
        <w:tblPrEx>
          <w:tblCellMar>
            <w:top w:w="0" w:type="dxa"/>
            <w:bottom w:w="0" w:type="dxa"/>
          </w:tblCellMar>
        </w:tblPrEx>
        <w:trPr>
          <w:cantSplit/>
          <w:trHeight w:val="240"/>
        </w:trPr>
        <w:tc>
          <w:tcPr>
            <w:tcW w:w="2765" w:type="dxa"/>
            <w:tcBorders>
              <w:bottom w:val="single" w:sz="12" w:space="0" w:color="auto"/>
            </w:tcBorders>
            <w:shd w:val="clear" w:color="auto" w:fill="auto"/>
          </w:tcPr>
          <w:p w:rsidR="000B562B" w:rsidRPr="000B39A7" w:rsidRDefault="009C1B4F" w:rsidP="00C32C70">
            <w:pPr>
              <w:pStyle w:val="Text"/>
              <w:spacing w:before="40" w:after="40" w:line="220" w:lineRule="exact"/>
              <w:rPr>
                <w:rFonts w:ascii="Times New Roman" w:hAnsi="Times New Roman"/>
                <w:sz w:val="18"/>
                <w:lang w:val="fr-FR"/>
              </w:rPr>
            </w:pPr>
            <w:r w:rsidRPr="000B39A7">
              <w:rPr>
                <w:rFonts w:ascii="Times New Roman" w:hAnsi="Times New Roman"/>
                <w:sz w:val="18"/>
                <w:lang w:val="fr-FR"/>
              </w:rPr>
              <w:t>En attente de décision</w:t>
            </w:r>
          </w:p>
        </w:tc>
        <w:tc>
          <w:tcPr>
            <w:tcW w:w="1132" w:type="dxa"/>
            <w:tcBorders>
              <w:bottom w:val="single" w:sz="12" w:space="0" w:color="auto"/>
            </w:tcBorders>
            <w:shd w:val="clear" w:color="auto" w:fill="auto"/>
            <w:vAlign w:val="bottom"/>
          </w:tcPr>
          <w:p w:rsidR="000B562B" w:rsidRPr="000B39A7" w:rsidRDefault="000B562B" w:rsidP="00392A6B">
            <w:pPr>
              <w:pStyle w:val="Text"/>
              <w:spacing w:before="40" w:after="40" w:line="220" w:lineRule="exact"/>
              <w:ind w:left="113" w:right="57"/>
              <w:jc w:val="right"/>
              <w:rPr>
                <w:rFonts w:ascii="Times New Roman" w:hAnsi="Times New Roman"/>
                <w:sz w:val="18"/>
                <w:lang w:val="fr-FR"/>
              </w:rPr>
            </w:pPr>
            <w:r w:rsidRPr="000B39A7">
              <w:rPr>
                <w:rFonts w:ascii="Times New Roman" w:hAnsi="Times New Roman"/>
                <w:sz w:val="18"/>
                <w:lang w:val="fr-FR"/>
              </w:rPr>
              <w:t>5</w:t>
            </w:r>
          </w:p>
        </w:tc>
        <w:tc>
          <w:tcPr>
            <w:tcW w:w="1132" w:type="dxa"/>
            <w:tcBorders>
              <w:bottom w:val="single" w:sz="12" w:space="0" w:color="auto"/>
            </w:tcBorders>
            <w:shd w:val="clear" w:color="auto" w:fill="auto"/>
            <w:vAlign w:val="bottom"/>
          </w:tcPr>
          <w:p w:rsidR="000B562B" w:rsidRPr="000B39A7" w:rsidRDefault="000B562B" w:rsidP="00392A6B">
            <w:pPr>
              <w:pStyle w:val="Text"/>
              <w:spacing w:before="40" w:after="40" w:line="220" w:lineRule="exact"/>
              <w:ind w:left="113" w:right="57"/>
              <w:jc w:val="right"/>
              <w:rPr>
                <w:rFonts w:ascii="Times New Roman" w:hAnsi="Times New Roman"/>
                <w:sz w:val="18"/>
                <w:lang w:val="fr-FR"/>
              </w:rPr>
            </w:pPr>
            <w:r w:rsidRPr="000B39A7">
              <w:rPr>
                <w:rFonts w:ascii="Times New Roman" w:hAnsi="Times New Roman"/>
                <w:sz w:val="18"/>
                <w:lang w:val="fr-FR"/>
              </w:rPr>
              <w:t>37</w:t>
            </w:r>
          </w:p>
        </w:tc>
        <w:tc>
          <w:tcPr>
            <w:tcW w:w="1132" w:type="dxa"/>
            <w:tcBorders>
              <w:bottom w:val="single" w:sz="12" w:space="0" w:color="auto"/>
            </w:tcBorders>
            <w:shd w:val="clear" w:color="auto" w:fill="auto"/>
            <w:vAlign w:val="bottom"/>
          </w:tcPr>
          <w:p w:rsidR="000B562B" w:rsidRPr="000B39A7" w:rsidRDefault="000B562B" w:rsidP="00392A6B">
            <w:pPr>
              <w:pStyle w:val="Text"/>
              <w:spacing w:before="40" w:after="40" w:line="220" w:lineRule="exact"/>
              <w:ind w:left="113" w:right="57"/>
              <w:jc w:val="right"/>
              <w:rPr>
                <w:rFonts w:ascii="Times New Roman" w:hAnsi="Times New Roman"/>
                <w:sz w:val="18"/>
                <w:lang w:val="fr-FR"/>
              </w:rPr>
            </w:pPr>
            <w:r w:rsidRPr="000B39A7">
              <w:rPr>
                <w:rFonts w:ascii="Times New Roman" w:hAnsi="Times New Roman"/>
                <w:sz w:val="18"/>
                <w:lang w:val="fr-FR"/>
              </w:rPr>
              <w:t>32</w:t>
            </w:r>
          </w:p>
        </w:tc>
        <w:tc>
          <w:tcPr>
            <w:tcW w:w="1132" w:type="dxa"/>
            <w:tcBorders>
              <w:bottom w:val="single" w:sz="12" w:space="0" w:color="auto"/>
            </w:tcBorders>
            <w:shd w:val="clear" w:color="auto" w:fill="auto"/>
            <w:vAlign w:val="bottom"/>
          </w:tcPr>
          <w:p w:rsidR="000B562B" w:rsidRPr="000B39A7" w:rsidRDefault="000B562B" w:rsidP="00392A6B">
            <w:pPr>
              <w:pStyle w:val="Text"/>
              <w:spacing w:before="40" w:after="40" w:line="220" w:lineRule="exact"/>
              <w:ind w:left="113" w:right="57"/>
              <w:jc w:val="right"/>
              <w:rPr>
                <w:rFonts w:ascii="Times New Roman" w:hAnsi="Times New Roman"/>
                <w:sz w:val="18"/>
                <w:lang w:val="fr-FR"/>
              </w:rPr>
            </w:pPr>
            <w:r w:rsidRPr="000B39A7">
              <w:rPr>
                <w:rFonts w:ascii="Times New Roman" w:hAnsi="Times New Roman"/>
                <w:sz w:val="18"/>
                <w:lang w:val="fr-FR"/>
              </w:rPr>
              <w:t>41</w:t>
            </w:r>
          </w:p>
        </w:tc>
      </w:tr>
    </w:tbl>
    <w:p w:rsidR="000B562B" w:rsidRPr="000B39A7" w:rsidRDefault="00206280" w:rsidP="00DE1014">
      <w:pPr>
        <w:pStyle w:val="H23G"/>
        <w:rPr>
          <w:lang w:val="fr-FR"/>
        </w:rPr>
      </w:pPr>
      <w:r w:rsidRPr="000B39A7">
        <w:rPr>
          <w:lang w:val="fr-FR"/>
        </w:rPr>
        <w:t>Irlande du Nord</w:t>
      </w:r>
    </w:p>
    <w:p w:rsidR="000B562B" w:rsidRPr="00A176EA" w:rsidRDefault="002549A9" w:rsidP="000B39A7">
      <w:pPr>
        <w:pStyle w:val="SingleTxtG"/>
        <w:rPr>
          <w:lang w:val="fr-FR"/>
        </w:rPr>
      </w:pPr>
      <w:r w:rsidRPr="000B39A7">
        <w:rPr>
          <w:lang w:val="fr-FR"/>
        </w:rPr>
        <w:t>485.</w:t>
      </w:r>
      <w:r w:rsidRPr="000B39A7">
        <w:rPr>
          <w:lang w:val="fr-FR"/>
        </w:rPr>
        <w:tab/>
      </w:r>
      <w:r w:rsidR="00C94ACB" w:rsidRPr="000B39A7">
        <w:rPr>
          <w:lang w:val="fr-FR"/>
        </w:rPr>
        <w:t>E</w:t>
      </w:r>
      <w:r w:rsidR="000B562B" w:rsidRPr="000B39A7">
        <w:rPr>
          <w:lang w:val="fr-FR"/>
        </w:rPr>
        <w:t xml:space="preserve">n </w:t>
      </w:r>
      <w:r w:rsidR="008F3DA4" w:rsidRPr="000B39A7">
        <w:rPr>
          <w:lang w:val="fr-FR"/>
        </w:rPr>
        <w:t>Irlande du Nord</w:t>
      </w:r>
      <w:r w:rsidR="00C94ACB" w:rsidRPr="000B39A7">
        <w:rPr>
          <w:lang w:val="fr-FR"/>
        </w:rPr>
        <w:t>,</w:t>
      </w:r>
      <w:r w:rsidR="000B562B" w:rsidRPr="000B39A7">
        <w:rPr>
          <w:lang w:val="fr-FR"/>
        </w:rPr>
        <w:t xml:space="preserve"> </w:t>
      </w:r>
      <w:r w:rsidR="00C94ACB" w:rsidRPr="000B39A7">
        <w:rPr>
          <w:lang w:val="fr-FR"/>
        </w:rPr>
        <w:t>un Médiateur pénitentiaire a été nommé le 3 mai 2005</w:t>
      </w:r>
      <w:r w:rsidR="000B562B" w:rsidRPr="000B39A7">
        <w:rPr>
          <w:lang w:val="fr-FR"/>
        </w:rPr>
        <w:t>.</w:t>
      </w:r>
      <w:r w:rsidR="000B562B" w:rsidRPr="00A176EA">
        <w:rPr>
          <w:lang w:val="fr-FR"/>
        </w:rPr>
        <w:t xml:space="preserve"> </w:t>
      </w:r>
      <w:r w:rsidR="000B39A7">
        <w:rPr>
          <w:lang w:val="fr-FR"/>
        </w:rPr>
        <w:t xml:space="preserve">Les détenus qui n’ont pu obtenir satisfaction via la procédure interne de règlement </w:t>
      </w:r>
      <w:r w:rsidR="001A3D6D">
        <w:rPr>
          <w:lang w:val="fr-FR"/>
        </w:rPr>
        <w:t>des</w:t>
      </w:r>
      <w:r w:rsidR="000B39A7">
        <w:rPr>
          <w:lang w:val="fr-FR"/>
        </w:rPr>
        <w:t xml:space="preserve"> plaintes </w:t>
      </w:r>
      <w:r w:rsidR="00C94ACB" w:rsidRPr="000B39A7">
        <w:rPr>
          <w:lang w:val="fr-FR"/>
        </w:rPr>
        <w:t>peuvent désormais saisir le</w:t>
      </w:r>
      <w:r w:rsidR="000B562B" w:rsidRPr="000B39A7">
        <w:rPr>
          <w:lang w:val="fr-FR"/>
        </w:rPr>
        <w:t xml:space="preserve"> </w:t>
      </w:r>
      <w:r w:rsidR="00206280" w:rsidRPr="000B39A7">
        <w:rPr>
          <w:lang w:val="fr-FR"/>
        </w:rPr>
        <w:t>Médiateur</w:t>
      </w:r>
      <w:r w:rsidR="000B562B" w:rsidRPr="00A176EA">
        <w:rPr>
          <w:lang w:val="fr-FR"/>
        </w:rPr>
        <w:t xml:space="preserve">. </w:t>
      </w:r>
      <w:r w:rsidR="000B39A7">
        <w:rPr>
          <w:lang w:val="fr-FR"/>
        </w:rPr>
        <w:t>Depuis février</w:t>
      </w:r>
      <w:r w:rsidR="000B562B" w:rsidRPr="00A176EA">
        <w:rPr>
          <w:lang w:val="fr-FR"/>
        </w:rPr>
        <w:t xml:space="preserve"> 2010</w:t>
      </w:r>
      <w:r w:rsidR="000B39A7">
        <w:rPr>
          <w:lang w:val="fr-FR"/>
        </w:rPr>
        <w:t>,</w:t>
      </w:r>
      <w:r w:rsidR="000B562B" w:rsidRPr="00A176EA">
        <w:rPr>
          <w:lang w:val="fr-FR"/>
        </w:rPr>
        <w:t xml:space="preserve"> </w:t>
      </w:r>
      <w:r w:rsidR="000B39A7">
        <w:rPr>
          <w:lang w:val="fr-FR"/>
        </w:rPr>
        <w:t>l</w:t>
      </w:r>
      <w:r w:rsidR="000B562B" w:rsidRPr="00A176EA">
        <w:rPr>
          <w:lang w:val="fr-FR"/>
        </w:rPr>
        <w:t xml:space="preserve">e </w:t>
      </w:r>
      <w:r w:rsidR="000B39A7">
        <w:rPr>
          <w:lang w:val="fr-FR"/>
        </w:rPr>
        <w:t>Médiateur est également habilité à enquêter sur les plaintes des visiteurs extérieurs à l’établissement pénitentiaire une fois les recours internes épuisés</w:t>
      </w:r>
      <w:r w:rsidR="000B562B" w:rsidRPr="00A176EA">
        <w:rPr>
          <w:lang w:val="fr-FR"/>
        </w:rPr>
        <w:t>.</w:t>
      </w:r>
    </w:p>
    <w:p w:rsidR="000B562B" w:rsidRPr="00A176EA" w:rsidRDefault="002549A9" w:rsidP="00EE1719">
      <w:pPr>
        <w:pStyle w:val="SingleTxtG"/>
        <w:spacing w:after="240"/>
        <w:rPr>
          <w:lang w:val="fr-FR"/>
        </w:rPr>
      </w:pPr>
      <w:r w:rsidRPr="00A176EA">
        <w:rPr>
          <w:lang w:val="fr-FR"/>
        </w:rPr>
        <w:t>486.</w:t>
      </w:r>
      <w:r w:rsidRPr="00A176EA">
        <w:rPr>
          <w:lang w:val="fr-FR"/>
        </w:rPr>
        <w:tab/>
      </w:r>
      <w:r w:rsidR="000B39A7" w:rsidRPr="000B39A7">
        <w:rPr>
          <w:lang w:val="fr-FR"/>
        </w:rPr>
        <w:t>Le tableau ci-après indique</w:t>
      </w:r>
      <w:r w:rsidR="000B562B" w:rsidRPr="000B39A7">
        <w:rPr>
          <w:lang w:val="fr-FR"/>
        </w:rPr>
        <w:t xml:space="preserve"> </w:t>
      </w:r>
      <w:r w:rsidR="00206280" w:rsidRPr="000B39A7">
        <w:rPr>
          <w:lang w:val="fr-FR"/>
        </w:rPr>
        <w:t xml:space="preserve">le nombre de plaintes reçues par le Bureau du Médiateur pénitentiaire depuis la création de son poste en mai 2005 </w:t>
      </w:r>
      <w:r w:rsidR="000B39A7" w:rsidRPr="000B39A7">
        <w:rPr>
          <w:lang w:val="fr-FR"/>
        </w:rPr>
        <w:t>et la suite qui y a été donnée</w:t>
      </w:r>
      <w:r w:rsidR="000B562B" w:rsidRPr="000B39A7">
        <w:rPr>
          <w:lang w:val="fr-FR"/>
        </w:rPr>
        <w:t>.</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025"/>
        <w:gridCol w:w="1069"/>
        <w:gridCol w:w="1069"/>
        <w:gridCol w:w="1069"/>
        <w:gridCol w:w="1069"/>
        <w:gridCol w:w="1069"/>
      </w:tblGrid>
      <w:tr w:rsidR="000B562B" w:rsidRPr="00845456" w:rsidTr="00532DD5">
        <w:tblPrEx>
          <w:tblCellMar>
            <w:top w:w="0" w:type="dxa"/>
            <w:bottom w:w="0" w:type="dxa"/>
          </w:tblCellMar>
        </w:tblPrEx>
        <w:trPr>
          <w:cantSplit/>
          <w:trHeight w:val="240"/>
          <w:tblHeader/>
        </w:trPr>
        <w:tc>
          <w:tcPr>
            <w:tcW w:w="2381" w:type="dxa"/>
            <w:tcBorders>
              <w:top w:val="single" w:sz="4" w:space="0" w:color="auto"/>
              <w:bottom w:val="single" w:sz="12" w:space="0" w:color="auto"/>
            </w:tcBorders>
            <w:shd w:val="clear" w:color="auto" w:fill="auto"/>
            <w:vAlign w:val="bottom"/>
          </w:tcPr>
          <w:p w:rsidR="000B562B" w:rsidRPr="00A176EA" w:rsidRDefault="000B562B" w:rsidP="00C32C70">
            <w:pPr>
              <w:pStyle w:val="Text"/>
              <w:spacing w:before="80" w:after="80" w:line="200" w:lineRule="exact"/>
              <w:rPr>
                <w:rFonts w:ascii="Times New Roman" w:hAnsi="Times New Roman"/>
                <w:i/>
                <w:sz w:val="16"/>
                <w:lang w:val="fr-FR"/>
              </w:rPr>
            </w:pPr>
          </w:p>
        </w:tc>
        <w:tc>
          <w:tcPr>
            <w:tcW w:w="1219" w:type="dxa"/>
            <w:tcBorders>
              <w:top w:val="single" w:sz="4" w:space="0" w:color="auto"/>
              <w:bottom w:val="single" w:sz="12" w:space="0" w:color="auto"/>
            </w:tcBorders>
            <w:shd w:val="clear" w:color="auto" w:fill="auto"/>
            <w:vAlign w:val="bottom"/>
          </w:tcPr>
          <w:p w:rsidR="000B562B" w:rsidRPr="00845456" w:rsidRDefault="000B562B" w:rsidP="00745FF6">
            <w:pPr>
              <w:pStyle w:val="Text"/>
              <w:spacing w:before="80" w:after="80" w:line="200" w:lineRule="exact"/>
              <w:ind w:left="113" w:right="57"/>
              <w:jc w:val="right"/>
              <w:rPr>
                <w:rFonts w:ascii="Times New Roman" w:hAnsi="Times New Roman"/>
                <w:i/>
                <w:sz w:val="16"/>
                <w:lang w:val="fr-FR"/>
              </w:rPr>
            </w:pPr>
            <w:r w:rsidRPr="00845456">
              <w:rPr>
                <w:rFonts w:ascii="Times New Roman" w:hAnsi="Times New Roman"/>
                <w:i/>
                <w:sz w:val="16"/>
                <w:lang w:val="fr-FR"/>
              </w:rPr>
              <w:t>2005</w:t>
            </w:r>
            <w:r w:rsidR="00745FF6">
              <w:rPr>
                <w:rFonts w:ascii="Times New Roman" w:hAnsi="Times New Roman"/>
                <w:i/>
                <w:sz w:val="16"/>
                <w:lang w:val="fr-FR"/>
              </w:rPr>
              <w:t>-</w:t>
            </w:r>
            <w:r w:rsidRPr="00845456">
              <w:rPr>
                <w:rFonts w:ascii="Times New Roman" w:hAnsi="Times New Roman"/>
                <w:i/>
                <w:sz w:val="16"/>
                <w:lang w:val="fr-FR"/>
              </w:rPr>
              <w:t>2006</w:t>
            </w:r>
          </w:p>
        </w:tc>
        <w:tc>
          <w:tcPr>
            <w:tcW w:w="1219" w:type="dxa"/>
            <w:tcBorders>
              <w:top w:val="single" w:sz="4" w:space="0" w:color="auto"/>
              <w:bottom w:val="single" w:sz="12" w:space="0" w:color="auto"/>
            </w:tcBorders>
            <w:shd w:val="clear" w:color="auto" w:fill="auto"/>
            <w:vAlign w:val="bottom"/>
          </w:tcPr>
          <w:p w:rsidR="000B562B" w:rsidRPr="00845456" w:rsidRDefault="000B562B" w:rsidP="00745FF6">
            <w:pPr>
              <w:pStyle w:val="Text"/>
              <w:spacing w:before="80" w:after="80" w:line="200" w:lineRule="exact"/>
              <w:ind w:left="113" w:right="57"/>
              <w:jc w:val="right"/>
              <w:rPr>
                <w:rFonts w:ascii="Times New Roman" w:hAnsi="Times New Roman"/>
                <w:i/>
                <w:sz w:val="16"/>
                <w:lang w:val="fr-FR"/>
              </w:rPr>
            </w:pPr>
            <w:r w:rsidRPr="00845456">
              <w:rPr>
                <w:rFonts w:ascii="Times New Roman" w:hAnsi="Times New Roman"/>
                <w:i/>
                <w:sz w:val="16"/>
                <w:lang w:val="fr-FR"/>
              </w:rPr>
              <w:t>2006</w:t>
            </w:r>
            <w:r w:rsidR="00745FF6">
              <w:rPr>
                <w:rFonts w:ascii="Times New Roman" w:hAnsi="Times New Roman"/>
                <w:i/>
                <w:sz w:val="16"/>
                <w:lang w:val="fr-FR"/>
              </w:rPr>
              <w:t>-</w:t>
            </w:r>
            <w:r w:rsidRPr="00845456">
              <w:rPr>
                <w:rFonts w:ascii="Times New Roman" w:hAnsi="Times New Roman"/>
                <w:i/>
                <w:sz w:val="16"/>
                <w:lang w:val="fr-FR"/>
              </w:rPr>
              <w:t>2007</w:t>
            </w:r>
          </w:p>
        </w:tc>
        <w:tc>
          <w:tcPr>
            <w:tcW w:w="1219" w:type="dxa"/>
            <w:tcBorders>
              <w:top w:val="single" w:sz="4" w:space="0" w:color="auto"/>
              <w:bottom w:val="single" w:sz="12" w:space="0" w:color="auto"/>
            </w:tcBorders>
            <w:shd w:val="clear" w:color="auto" w:fill="auto"/>
            <w:vAlign w:val="bottom"/>
          </w:tcPr>
          <w:p w:rsidR="000B562B" w:rsidRPr="00845456" w:rsidRDefault="000B562B" w:rsidP="00745FF6">
            <w:pPr>
              <w:pStyle w:val="Text"/>
              <w:spacing w:before="80" w:after="80" w:line="200" w:lineRule="exact"/>
              <w:ind w:left="113" w:right="57"/>
              <w:jc w:val="right"/>
              <w:rPr>
                <w:rFonts w:ascii="Times New Roman" w:hAnsi="Times New Roman"/>
                <w:i/>
                <w:sz w:val="16"/>
                <w:lang w:val="fr-FR"/>
              </w:rPr>
            </w:pPr>
            <w:r w:rsidRPr="00845456">
              <w:rPr>
                <w:rFonts w:ascii="Times New Roman" w:hAnsi="Times New Roman"/>
                <w:i/>
                <w:sz w:val="16"/>
                <w:lang w:val="fr-FR"/>
              </w:rPr>
              <w:t>2007</w:t>
            </w:r>
            <w:r w:rsidR="00745FF6">
              <w:rPr>
                <w:rFonts w:ascii="Times New Roman" w:hAnsi="Times New Roman"/>
                <w:i/>
                <w:sz w:val="16"/>
                <w:lang w:val="fr-FR"/>
              </w:rPr>
              <w:t>-</w:t>
            </w:r>
            <w:r w:rsidRPr="00845456">
              <w:rPr>
                <w:rFonts w:ascii="Times New Roman" w:hAnsi="Times New Roman"/>
                <w:i/>
                <w:sz w:val="16"/>
                <w:lang w:val="fr-FR"/>
              </w:rPr>
              <w:t>2008</w:t>
            </w:r>
          </w:p>
        </w:tc>
        <w:tc>
          <w:tcPr>
            <w:tcW w:w="1219" w:type="dxa"/>
            <w:tcBorders>
              <w:top w:val="single" w:sz="4" w:space="0" w:color="auto"/>
              <w:bottom w:val="single" w:sz="12" w:space="0" w:color="auto"/>
            </w:tcBorders>
            <w:shd w:val="clear" w:color="auto" w:fill="auto"/>
            <w:vAlign w:val="bottom"/>
          </w:tcPr>
          <w:p w:rsidR="000B562B" w:rsidRPr="00845456" w:rsidRDefault="000B562B" w:rsidP="00745FF6">
            <w:pPr>
              <w:pStyle w:val="Text"/>
              <w:spacing w:before="80" w:after="80" w:line="200" w:lineRule="exact"/>
              <w:ind w:left="113" w:right="57"/>
              <w:jc w:val="right"/>
              <w:rPr>
                <w:rFonts w:ascii="Times New Roman" w:hAnsi="Times New Roman"/>
                <w:i/>
                <w:sz w:val="16"/>
                <w:lang w:val="fr-FR"/>
              </w:rPr>
            </w:pPr>
            <w:r w:rsidRPr="00845456">
              <w:rPr>
                <w:rFonts w:ascii="Times New Roman" w:hAnsi="Times New Roman"/>
                <w:i/>
                <w:sz w:val="16"/>
                <w:lang w:val="fr-FR"/>
              </w:rPr>
              <w:t>2008</w:t>
            </w:r>
            <w:r w:rsidR="00745FF6">
              <w:rPr>
                <w:rFonts w:ascii="Times New Roman" w:hAnsi="Times New Roman"/>
                <w:i/>
                <w:sz w:val="16"/>
                <w:lang w:val="fr-FR"/>
              </w:rPr>
              <w:t>-</w:t>
            </w:r>
            <w:r w:rsidRPr="00845456">
              <w:rPr>
                <w:rFonts w:ascii="Times New Roman" w:hAnsi="Times New Roman"/>
                <w:i/>
                <w:sz w:val="16"/>
                <w:lang w:val="fr-FR"/>
              </w:rPr>
              <w:t>2009</w:t>
            </w:r>
          </w:p>
        </w:tc>
        <w:tc>
          <w:tcPr>
            <w:tcW w:w="1219" w:type="dxa"/>
            <w:tcBorders>
              <w:top w:val="single" w:sz="4" w:space="0" w:color="auto"/>
              <w:bottom w:val="single" w:sz="12" w:space="0" w:color="auto"/>
            </w:tcBorders>
            <w:shd w:val="clear" w:color="auto" w:fill="auto"/>
            <w:vAlign w:val="bottom"/>
          </w:tcPr>
          <w:p w:rsidR="000B562B" w:rsidRPr="00845456" w:rsidRDefault="000B562B" w:rsidP="00745FF6">
            <w:pPr>
              <w:pStyle w:val="Text"/>
              <w:spacing w:before="80" w:after="80" w:line="200" w:lineRule="exact"/>
              <w:ind w:left="113" w:right="57"/>
              <w:jc w:val="right"/>
              <w:rPr>
                <w:rFonts w:ascii="Times New Roman" w:hAnsi="Times New Roman"/>
                <w:i/>
                <w:sz w:val="16"/>
                <w:lang w:val="fr-FR"/>
              </w:rPr>
            </w:pPr>
            <w:r w:rsidRPr="00845456">
              <w:rPr>
                <w:rFonts w:ascii="Times New Roman" w:hAnsi="Times New Roman"/>
                <w:i/>
                <w:sz w:val="16"/>
                <w:lang w:val="fr-FR"/>
              </w:rPr>
              <w:t>2009</w:t>
            </w:r>
            <w:r w:rsidR="00745FF6">
              <w:rPr>
                <w:rFonts w:ascii="Times New Roman" w:hAnsi="Times New Roman"/>
                <w:i/>
                <w:sz w:val="16"/>
                <w:lang w:val="fr-FR"/>
              </w:rPr>
              <w:t>-</w:t>
            </w:r>
            <w:r w:rsidRPr="00845456">
              <w:rPr>
                <w:rFonts w:ascii="Times New Roman" w:hAnsi="Times New Roman"/>
                <w:i/>
                <w:sz w:val="16"/>
                <w:lang w:val="fr-FR"/>
              </w:rPr>
              <w:t>2010</w:t>
            </w:r>
          </w:p>
        </w:tc>
      </w:tr>
      <w:tr w:rsidR="000B562B" w:rsidRPr="00845456" w:rsidTr="00532DD5">
        <w:tblPrEx>
          <w:tblCellMar>
            <w:top w:w="0" w:type="dxa"/>
            <w:bottom w:w="0" w:type="dxa"/>
          </w:tblCellMar>
        </w:tblPrEx>
        <w:trPr>
          <w:cantSplit/>
          <w:trHeight w:val="240"/>
        </w:trPr>
        <w:tc>
          <w:tcPr>
            <w:tcW w:w="2381" w:type="dxa"/>
            <w:tcBorders>
              <w:top w:val="single" w:sz="12" w:space="0" w:color="auto"/>
            </w:tcBorders>
            <w:shd w:val="clear" w:color="auto" w:fill="auto"/>
          </w:tcPr>
          <w:p w:rsidR="000B562B" w:rsidRPr="00845456" w:rsidRDefault="000B39A7" w:rsidP="00C32C70">
            <w:pPr>
              <w:pStyle w:val="Text"/>
              <w:spacing w:before="40" w:after="40" w:line="220" w:lineRule="exact"/>
              <w:rPr>
                <w:rFonts w:ascii="Times New Roman" w:hAnsi="Times New Roman"/>
                <w:sz w:val="18"/>
                <w:lang w:val="fr-FR"/>
              </w:rPr>
            </w:pPr>
            <w:r w:rsidRPr="00845456">
              <w:rPr>
                <w:rFonts w:ascii="Times New Roman" w:hAnsi="Times New Roman"/>
                <w:sz w:val="18"/>
                <w:lang w:val="fr-FR"/>
              </w:rPr>
              <w:t>Plaintes reçues</w:t>
            </w:r>
          </w:p>
        </w:tc>
        <w:tc>
          <w:tcPr>
            <w:tcW w:w="1219" w:type="dxa"/>
            <w:tcBorders>
              <w:top w:val="single" w:sz="12" w:space="0" w:color="auto"/>
            </w:tcBorders>
            <w:shd w:val="clear" w:color="auto" w:fill="auto"/>
            <w:vAlign w:val="bottom"/>
          </w:tcPr>
          <w:p w:rsidR="000B562B" w:rsidRPr="00845456" w:rsidRDefault="000B562B" w:rsidP="00EE1719">
            <w:pPr>
              <w:pStyle w:val="Text"/>
              <w:spacing w:before="40" w:after="40" w:line="220" w:lineRule="exact"/>
              <w:ind w:left="113" w:right="57"/>
              <w:jc w:val="right"/>
              <w:rPr>
                <w:rFonts w:ascii="Times New Roman" w:hAnsi="Times New Roman"/>
                <w:sz w:val="18"/>
                <w:lang w:val="fr-FR"/>
              </w:rPr>
            </w:pPr>
            <w:r w:rsidRPr="00845456">
              <w:rPr>
                <w:rFonts w:ascii="Times New Roman" w:hAnsi="Times New Roman"/>
                <w:sz w:val="18"/>
                <w:lang w:val="fr-FR"/>
              </w:rPr>
              <w:t>368</w:t>
            </w:r>
          </w:p>
        </w:tc>
        <w:tc>
          <w:tcPr>
            <w:tcW w:w="1219" w:type="dxa"/>
            <w:tcBorders>
              <w:top w:val="single" w:sz="12" w:space="0" w:color="auto"/>
            </w:tcBorders>
            <w:shd w:val="clear" w:color="auto" w:fill="auto"/>
            <w:vAlign w:val="bottom"/>
          </w:tcPr>
          <w:p w:rsidR="000B562B" w:rsidRPr="00845456" w:rsidRDefault="000B562B" w:rsidP="00EE1719">
            <w:pPr>
              <w:pStyle w:val="Text"/>
              <w:spacing w:before="40" w:after="40" w:line="220" w:lineRule="exact"/>
              <w:ind w:left="113" w:right="57"/>
              <w:jc w:val="right"/>
              <w:rPr>
                <w:rFonts w:ascii="Times New Roman" w:hAnsi="Times New Roman"/>
                <w:sz w:val="18"/>
                <w:lang w:val="fr-FR"/>
              </w:rPr>
            </w:pPr>
            <w:r w:rsidRPr="00845456">
              <w:rPr>
                <w:rFonts w:ascii="Times New Roman" w:hAnsi="Times New Roman"/>
                <w:sz w:val="18"/>
                <w:lang w:val="fr-FR"/>
              </w:rPr>
              <w:t>275</w:t>
            </w:r>
          </w:p>
        </w:tc>
        <w:tc>
          <w:tcPr>
            <w:tcW w:w="1219" w:type="dxa"/>
            <w:tcBorders>
              <w:top w:val="single" w:sz="12" w:space="0" w:color="auto"/>
            </w:tcBorders>
            <w:shd w:val="clear" w:color="auto" w:fill="auto"/>
            <w:vAlign w:val="bottom"/>
          </w:tcPr>
          <w:p w:rsidR="000B562B" w:rsidRPr="00845456" w:rsidRDefault="000B562B" w:rsidP="00EE1719">
            <w:pPr>
              <w:pStyle w:val="Text"/>
              <w:spacing w:before="40" w:after="40" w:line="220" w:lineRule="exact"/>
              <w:ind w:left="113" w:right="57"/>
              <w:jc w:val="right"/>
              <w:rPr>
                <w:rFonts w:ascii="Times New Roman" w:hAnsi="Times New Roman"/>
                <w:sz w:val="18"/>
                <w:lang w:val="fr-FR"/>
              </w:rPr>
            </w:pPr>
            <w:r w:rsidRPr="00845456">
              <w:rPr>
                <w:rFonts w:ascii="Times New Roman" w:hAnsi="Times New Roman"/>
                <w:sz w:val="18"/>
                <w:lang w:val="fr-FR"/>
              </w:rPr>
              <w:t>207</w:t>
            </w:r>
          </w:p>
        </w:tc>
        <w:tc>
          <w:tcPr>
            <w:tcW w:w="1219" w:type="dxa"/>
            <w:tcBorders>
              <w:top w:val="single" w:sz="12" w:space="0" w:color="auto"/>
            </w:tcBorders>
            <w:shd w:val="clear" w:color="auto" w:fill="auto"/>
            <w:vAlign w:val="bottom"/>
          </w:tcPr>
          <w:p w:rsidR="000B562B" w:rsidRPr="00845456" w:rsidRDefault="000B562B" w:rsidP="00EE1719">
            <w:pPr>
              <w:pStyle w:val="Text"/>
              <w:spacing w:before="40" w:after="40" w:line="220" w:lineRule="exact"/>
              <w:ind w:left="113" w:right="57"/>
              <w:jc w:val="right"/>
              <w:rPr>
                <w:rFonts w:ascii="Times New Roman" w:hAnsi="Times New Roman"/>
                <w:sz w:val="18"/>
                <w:lang w:val="fr-FR"/>
              </w:rPr>
            </w:pPr>
            <w:r w:rsidRPr="00845456">
              <w:rPr>
                <w:rFonts w:ascii="Times New Roman" w:hAnsi="Times New Roman"/>
                <w:sz w:val="18"/>
                <w:lang w:val="fr-FR"/>
              </w:rPr>
              <w:t>338</w:t>
            </w:r>
          </w:p>
        </w:tc>
        <w:tc>
          <w:tcPr>
            <w:tcW w:w="1219" w:type="dxa"/>
            <w:tcBorders>
              <w:top w:val="single" w:sz="12" w:space="0" w:color="auto"/>
            </w:tcBorders>
            <w:shd w:val="clear" w:color="auto" w:fill="auto"/>
            <w:vAlign w:val="bottom"/>
          </w:tcPr>
          <w:p w:rsidR="000B562B" w:rsidRPr="00845456" w:rsidRDefault="000B562B" w:rsidP="00EE1719">
            <w:pPr>
              <w:pStyle w:val="Text"/>
              <w:spacing w:before="40" w:after="40" w:line="220" w:lineRule="exact"/>
              <w:ind w:left="113" w:right="57"/>
              <w:jc w:val="right"/>
              <w:rPr>
                <w:rFonts w:ascii="Times New Roman" w:hAnsi="Times New Roman"/>
                <w:sz w:val="18"/>
                <w:lang w:val="fr-FR"/>
              </w:rPr>
            </w:pPr>
            <w:r w:rsidRPr="00845456">
              <w:rPr>
                <w:rFonts w:ascii="Times New Roman" w:hAnsi="Times New Roman"/>
                <w:sz w:val="18"/>
                <w:lang w:val="fr-FR"/>
              </w:rPr>
              <w:t>493</w:t>
            </w:r>
          </w:p>
        </w:tc>
      </w:tr>
      <w:tr w:rsidR="000B562B" w:rsidRPr="00845456" w:rsidTr="00532DD5">
        <w:tblPrEx>
          <w:tblCellMar>
            <w:top w:w="0" w:type="dxa"/>
            <w:bottom w:w="0" w:type="dxa"/>
          </w:tblCellMar>
        </w:tblPrEx>
        <w:trPr>
          <w:cantSplit/>
          <w:trHeight w:val="240"/>
        </w:trPr>
        <w:tc>
          <w:tcPr>
            <w:tcW w:w="2381" w:type="dxa"/>
            <w:shd w:val="clear" w:color="auto" w:fill="auto"/>
          </w:tcPr>
          <w:p w:rsidR="000B562B" w:rsidRPr="00845456" w:rsidRDefault="000B39A7" w:rsidP="001C1986">
            <w:pPr>
              <w:pStyle w:val="Text"/>
              <w:spacing w:before="40" w:after="40" w:line="220" w:lineRule="exact"/>
              <w:rPr>
                <w:rFonts w:ascii="Times New Roman" w:hAnsi="Times New Roman"/>
                <w:sz w:val="18"/>
                <w:lang w:val="fr-FR"/>
              </w:rPr>
            </w:pPr>
            <w:r w:rsidRPr="00845456">
              <w:rPr>
                <w:rFonts w:ascii="Times New Roman" w:hAnsi="Times New Roman"/>
                <w:sz w:val="18"/>
                <w:lang w:val="fr-FR"/>
              </w:rPr>
              <w:t xml:space="preserve">Plaintes </w:t>
            </w:r>
            <w:r w:rsidR="001C1986">
              <w:rPr>
                <w:rFonts w:ascii="Times New Roman" w:hAnsi="Times New Roman"/>
                <w:sz w:val="18"/>
                <w:lang w:val="fr-FR"/>
              </w:rPr>
              <w:t>déclarées</w:t>
            </w:r>
            <w:r w:rsidRPr="00845456">
              <w:rPr>
                <w:rFonts w:ascii="Times New Roman" w:hAnsi="Times New Roman"/>
                <w:sz w:val="18"/>
                <w:lang w:val="fr-FR"/>
              </w:rPr>
              <w:t xml:space="preserve"> recevables</w:t>
            </w:r>
          </w:p>
        </w:tc>
        <w:tc>
          <w:tcPr>
            <w:tcW w:w="1219" w:type="dxa"/>
            <w:shd w:val="clear" w:color="auto" w:fill="auto"/>
            <w:vAlign w:val="bottom"/>
          </w:tcPr>
          <w:p w:rsidR="000B562B" w:rsidRPr="00845456" w:rsidRDefault="000B562B" w:rsidP="00EE1719">
            <w:pPr>
              <w:pStyle w:val="Text"/>
              <w:spacing w:before="40" w:after="40" w:line="220" w:lineRule="exact"/>
              <w:ind w:left="113" w:right="57"/>
              <w:jc w:val="right"/>
              <w:rPr>
                <w:rFonts w:ascii="Times New Roman" w:hAnsi="Times New Roman"/>
                <w:sz w:val="18"/>
                <w:lang w:val="fr-FR"/>
              </w:rPr>
            </w:pPr>
            <w:r w:rsidRPr="00845456">
              <w:rPr>
                <w:rFonts w:ascii="Times New Roman" w:hAnsi="Times New Roman"/>
                <w:sz w:val="18"/>
                <w:lang w:val="fr-FR"/>
              </w:rPr>
              <w:t>50</w:t>
            </w:r>
            <w:r w:rsidR="00206280" w:rsidRPr="00845456">
              <w:rPr>
                <w:rFonts w:ascii="Times New Roman" w:hAnsi="Times New Roman"/>
                <w:sz w:val="18"/>
                <w:lang w:val="fr-FR"/>
              </w:rPr>
              <w:t xml:space="preserve"> </w:t>
            </w:r>
            <w:r w:rsidRPr="00845456">
              <w:rPr>
                <w:rFonts w:ascii="Times New Roman" w:hAnsi="Times New Roman"/>
                <w:sz w:val="18"/>
                <w:lang w:val="fr-FR"/>
              </w:rPr>
              <w:t>%</w:t>
            </w:r>
          </w:p>
        </w:tc>
        <w:tc>
          <w:tcPr>
            <w:tcW w:w="1219" w:type="dxa"/>
            <w:shd w:val="clear" w:color="auto" w:fill="auto"/>
            <w:vAlign w:val="bottom"/>
          </w:tcPr>
          <w:p w:rsidR="000B562B" w:rsidRPr="00845456" w:rsidRDefault="000B562B" w:rsidP="00EE1719">
            <w:pPr>
              <w:pStyle w:val="Text"/>
              <w:spacing w:before="40" w:after="40" w:line="220" w:lineRule="exact"/>
              <w:ind w:left="113" w:right="57"/>
              <w:jc w:val="right"/>
              <w:rPr>
                <w:rFonts w:ascii="Times New Roman" w:hAnsi="Times New Roman"/>
                <w:sz w:val="18"/>
                <w:lang w:val="fr-FR"/>
              </w:rPr>
            </w:pPr>
            <w:r w:rsidRPr="00845456">
              <w:rPr>
                <w:rFonts w:ascii="Times New Roman" w:hAnsi="Times New Roman"/>
                <w:sz w:val="18"/>
                <w:lang w:val="fr-FR"/>
              </w:rPr>
              <w:t>23</w:t>
            </w:r>
            <w:r w:rsidR="00206280" w:rsidRPr="00845456">
              <w:rPr>
                <w:rFonts w:ascii="Times New Roman" w:hAnsi="Times New Roman"/>
                <w:sz w:val="18"/>
                <w:lang w:val="fr-FR"/>
              </w:rPr>
              <w:t>,</w:t>
            </w:r>
            <w:r w:rsidRPr="00845456">
              <w:rPr>
                <w:rFonts w:ascii="Times New Roman" w:hAnsi="Times New Roman"/>
                <w:sz w:val="18"/>
                <w:lang w:val="fr-FR"/>
              </w:rPr>
              <w:t>4</w:t>
            </w:r>
            <w:r w:rsidR="00206280" w:rsidRPr="00845456">
              <w:rPr>
                <w:rFonts w:ascii="Times New Roman" w:hAnsi="Times New Roman"/>
                <w:sz w:val="18"/>
                <w:lang w:val="fr-FR"/>
              </w:rPr>
              <w:t xml:space="preserve"> </w:t>
            </w:r>
            <w:r w:rsidRPr="00845456">
              <w:rPr>
                <w:rFonts w:ascii="Times New Roman" w:hAnsi="Times New Roman"/>
                <w:sz w:val="18"/>
                <w:lang w:val="fr-FR"/>
              </w:rPr>
              <w:t>%</w:t>
            </w:r>
          </w:p>
        </w:tc>
        <w:tc>
          <w:tcPr>
            <w:tcW w:w="1219" w:type="dxa"/>
            <w:shd w:val="clear" w:color="auto" w:fill="auto"/>
            <w:vAlign w:val="bottom"/>
          </w:tcPr>
          <w:p w:rsidR="000B562B" w:rsidRPr="00845456" w:rsidRDefault="000B562B" w:rsidP="00EE1719">
            <w:pPr>
              <w:pStyle w:val="Text"/>
              <w:spacing w:before="40" w:after="40" w:line="220" w:lineRule="exact"/>
              <w:ind w:left="113" w:right="57"/>
              <w:jc w:val="right"/>
              <w:rPr>
                <w:rFonts w:ascii="Times New Roman" w:hAnsi="Times New Roman"/>
                <w:sz w:val="18"/>
                <w:lang w:val="fr-FR"/>
              </w:rPr>
            </w:pPr>
            <w:r w:rsidRPr="00845456">
              <w:rPr>
                <w:rFonts w:ascii="Times New Roman" w:hAnsi="Times New Roman"/>
                <w:sz w:val="18"/>
                <w:lang w:val="fr-FR"/>
              </w:rPr>
              <w:t>18</w:t>
            </w:r>
            <w:r w:rsidR="00206280" w:rsidRPr="00845456">
              <w:rPr>
                <w:rFonts w:ascii="Times New Roman" w:hAnsi="Times New Roman"/>
                <w:sz w:val="18"/>
                <w:lang w:val="fr-FR"/>
              </w:rPr>
              <w:t>,</w:t>
            </w:r>
            <w:r w:rsidRPr="00845456">
              <w:rPr>
                <w:rFonts w:ascii="Times New Roman" w:hAnsi="Times New Roman"/>
                <w:sz w:val="18"/>
                <w:lang w:val="fr-FR"/>
              </w:rPr>
              <w:t>7</w:t>
            </w:r>
            <w:r w:rsidR="00206280" w:rsidRPr="00845456">
              <w:rPr>
                <w:rFonts w:ascii="Times New Roman" w:hAnsi="Times New Roman"/>
                <w:sz w:val="18"/>
                <w:lang w:val="fr-FR"/>
              </w:rPr>
              <w:t xml:space="preserve"> </w:t>
            </w:r>
            <w:r w:rsidRPr="00845456">
              <w:rPr>
                <w:rFonts w:ascii="Times New Roman" w:hAnsi="Times New Roman"/>
                <w:sz w:val="18"/>
                <w:lang w:val="fr-FR"/>
              </w:rPr>
              <w:t>%</w:t>
            </w:r>
          </w:p>
        </w:tc>
        <w:tc>
          <w:tcPr>
            <w:tcW w:w="1219" w:type="dxa"/>
            <w:shd w:val="clear" w:color="auto" w:fill="auto"/>
            <w:vAlign w:val="bottom"/>
          </w:tcPr>
          <w:p w:rsidR="000B562B" w:rsidRPr="00845456" w:rsidRDefault="000B562B" w:rsidP="00EE1719">
            <w:pPr>
              <w:pStyle w:val="Text"/>
              <w:spacing w:before="40" w:after="40" w:line="220" w:lineRule="exact"/>
              <w:ind w:left="113" w:right="57"/>
              <w:jc w:val="right"/>
              <w:rPr>
                <w:rFonts w:ascii="Times New Roman" w:hAnsi="Times New Roman"/>
                <w:sz w:val="18"/>
                <w:lang w:val="fr-FR"/>
              </w:rPr>
            </w:pPr>
            <w:r w:rsidRPr="00845456">
              <w:rPr>
                <w:rFonts w:ascii="Times New Roman" w:hAnsi="Times New Roman"/>
                <w:sz w:val="18"/>
                <w:lang w:val="fr-FR"/>
              </w:rPr>
              <w:t>29</w:t>
            </w:r>
            <w:r w:rsidR="00206280" w:rsidRPr="00845456">
              <w:rPr>
                <w:rFonts w:ascii="Times New Roman" w:hAnsi="Times New Roman"/>
                <w:sz w:val="18"/>
                <w:lang w:val="fr-FR"/>
              </w:rPr>
              <w:t xml:space="preserve"> </w:t>
            </w:r>
            <w:r w:rsidRPr="00845456">
              <w:rPr>
                <w:rFonts w:ascii="Times New Roman" w:hAnsi="Times New Roman"/>
                <w:sz w:val="18"/>
                <w:lang w:val="fr-FR"/>
              </w:rPr>
              <w:t>%</w:t>
            </w:r>
          </w:p>
        </w:tc>
        <w:tc>
          <w:tcPr>
            <w:tcW w:w="1219" w:type="dxa"/>
            <w:shd w:val="clear" w:color="auto" w:fill="auto"/>
            <w:vAlign w:val="bottom"/>
          </w:tcPr>
          <w:p w:rsidR="000B562B" w:rsidRPr="00845456" w:rsidRDefault="000B562B" w:rsidP="00EE1719">
            <w:pPr>
              <w:pStyle w:val="Text"/>
              <w:spacing w:before="40" w:after="40" w:line="220" w:lineRule="exact"/>
              <w:ind w:left="113" w:right="57"/>
              <w:jc w:val="right"/>
              <w:rPr>
                <w:rFonts w:ascii="Times New Roman" w:hAnsi="Times New Roman"/>
                <w:sz w:val="18"/>
                <w:lang w:val="fr-FR"/>
              </w:rPr>
            </w:pPr>
            <w:r w:rsidRPr="00845456">
              <w:rPr>
                <w:rFonts w:ascii="Times New Roman" w:hAnsi="Times New Roman"/>
                <w:sz w:val="18"/>
                <w:lang w:val="fr-FR"/>
              </w:rPr>
              <w:t>62</w:t>
            </w:r>
            <w:r w:rsidR="00206280" w:rsidRPr="00845456">
              <w:rPr>
                <w:rFonts w:ascii="Times New Roman" w:hAnsi="Times New Roman"/>
                <w:sz w:val="18"/>
                <w:lang w:val="fr-FR"/>
              </w:rPr>
              <w:t xml:space="preserve"> </w:t>
            </w:r>
            <w:r w:rsidRPr="00845456">
              <w:rPr>
                <w:rFonts w:ascii="Times New Roman" w:hAnsi="Times New Roman"/>
                <w:sz w:val="18"/>
                <w:lang w:val="fr-FR"/>
              </w:rPr>
              <w:t>%</w:t>
            </w:r>
          </w:p>
        </w:tc>
      </w:tr>
      <w:tr w:rsidR="000B562B" w:rsidRPr="00845456" w:rsidTr="00532DD5">
        <w:tblPrEx>
          <w:tblCellMar>
            <w:top w:w="0" w:type="dxa"/>
            <w:bottom w:w="0" w:type="dxa"/>
          </w:tblCellMar>
        </w:tblPrEx>
        <w:trPr>
          <w:cantSplit/>
          <w:trHeight w:val="240"/>
        </w:trPr>
        <w:tc>
          <w:tcPr>
            <w:tcW w:w="2381" w:type="dxa"/>
            <w:shd w:val="clear" w:color="auto" w:fill="auto"/>
          </w:tcPr>
          <w:p w:rsidR="000B562B" w:rsidRPr="00845456" w:rsidRDefault="000B39A7" w:rsidP="00C32C70">
            <w:pPr>
              <w:pStyle w:val="Text"/>
              <w:spacing w:before="40" w:after="40" w:line="220" w:lineRule="exact"/>
              <w:rPr>
                <w:rFonts w:ascii="Times New Roman" w:hAnsi="Times New Roman"/>
                <w:sz w:val="18"/>
                <w:lang w:val="fr-FR"/>
              </w:rPr>
            </w:pPr>
            <w:r w:rsidRPr="00845456">
              <w:rPr>
                <w:rFonts w:ascii="Times New Roman" w:hAnsi="Times New Roman"/>
                <w:sz w:val="18"/>
                <w:lang w:val="fr-FR"/>
              </w:rPr>
              <w:t>Règlement local</w:t>
            </w:r>
          </w:p>
        </w:tc>
        <w:tc>
          <w:tcPr>
            <w:tcW w:w="1219" w:type="dxa"/>
            <w:shd w:val="clear" w:color="auto" w:fill="auto"/>
            <w:vAlign w:val="bottom"/>
          </w:tcPr>
          <w:p w:rsidR="000B562B" w:rsidRPr="00845456" w:rsidRDefault="000B562B" w:rsidP="00EE1719">
            <w:pPr>
              <w:pStyle w:val="Text"/>
              <w:spacing w:before="40" w:after="40" w:line="220" w:lineRule="exact"/>
              <w:ind w:left="113" w:right="57"/>
              <w:jc w:val="right"/>
              <w:rPr>
                <w:rFonts w:ascii="Times New Roman" w:hAnsi="Times New Roman"/>
                <w:sz w:val="18"/>
                <w:lang w:val="fr-FR"/>
              </w:rPr>
            </w:pPr>
            <w:r w:rsidRPr="00845456">
              <w:rPr>
                <w:rFonts w:ascii="Times New Roman" w:hAnsi="Times New Roman"/>
                <w:sz w:val="18"/>
                <w:lang w:val="fr-FR"/>
              </w:rPr>
              <w:t>-</w:t>
            </w:r>
          </w:p>
        </w:tc>
        <w:tc>
          <w:tcPr>
            <w:tcW w:w="1219" w:type="dxa"/>
            <w:shd w:val="clear" w:color="auto" w:fill="auto"/>
            <w:vAlign w:val="bottom"/>
          </w:tcPr>
          <w:p w:rsidR="000B562B" w:rsidRPr="00845456" w:rsidRDefault="000B562B" w:rsidP="00EE1719">
            <w:pPr>
              <w:pStyle w:val="Text"/>
              <w:spacing w:before="40" w:after="40" w:line="220" w:lineRule="exact"/>
              <w:ind w:left="113" w:right="57"/>
              <w:jc w:val="right"/>
              <w:rPr>
                <w:rFonts w:ascii="Times New Roman" w:hAnsi="Times New Roman"/>
                <w:sz w:val="18"/>
                <w:lang w:val="fr-FR"/>
              </w:rPr>
            </w:pPr>
            <w:r w:rsidRPr="00845456">
              <w:rPr>
                <w:rFonts w:ascii="Times New Roman" w:hAnsi="Times New Roman"/>
                <w:sz w:val="18"/>
                <w:lang w:val="fr-FR"/>
              </w:rPr>
              <w:t>16</w:t>
            </w:r>
            <w:r w:rsidR="00206280" w:rsidRPr="00845456">
              <w:rPr>
                <w:rFonts w:ascii="Times New Roman" w:hAnsi="Times New Roman"/>
                <w:sz w:val="18"/>
                <w:lang w:val="fr-FR"/>
              </w:rPr>
              <w:t>,</w:t>
            </w:r>
            <w:r w:rsidRPr="00845456">
              <w:rPr>
                <w:rFonts w:ascii="Times New Roman" w:hAnsi="Times New Roman"/>
                <w:sz w:val="18"/>
                <w:lang w:val="fr-FR"/>
              </w:rPr>
              <w:t>6</w:t>
            </w:r>
            <w:r w:rsidR="00206280" w:rsidRPr="00845456">
              <w:rPr>
                <w:rFonts w:ascii="Times New Roman" w:hAnsi="Times New Roman"/>
                <w:sz w:val="18"/>
                <w:lang w:val="fr-FR"/>
              </w:rPr>
              <w:t xml:space="preserve"> </w:t>
            </w:r>
            <w:r w:rsidRPr="00845456">
              <w:rPr>
                <w:rFonts w:ascii="Times New Roman" w:hAnsi="Times New Roman"/>
                <w:sz w:val="18"/>
                <w:lang w:val="fr-FR"/>
              </w:rPr>
              <w:t>%</w:t>
            </w:r>
          </w:p>
        </w:tc>
        <w:tc>
          <w:tcPr>
            <w:tcW w:w="1219" w:type="dxa"/>
            <w:shd w:val="clear" w:color="auto" w:fill="auto"/>
            <w:vAlign w:val="bottom"/>
          </w:tcPr>
          <w:p w:rsidR="000B562B" w:rsidRPr="00845456" w:rsidRDefault="000B562B" w:rsidP="00EE1719">
            <w:pPr>
              <w:pStyle w:val="Text"/>
              <w:spacing w:before="40" w:after="40" w:line="220" w:lineRule="exact"/>
              <w:ind w:left="113" w:right="57"/>
              <w:jc w:val="right"/>
              <w:rPr>
                <w:rFonts w:ascii="Times New Roman" w:hAnsi="Times New Roman"/>
                <w:sz w:val="18"/>
                <w:lang w:val="fr-FR"/>
              </w:rPr>
            </w:pPr>
            <w:r w:rsidRPr="00845456">
              <w:rPr>
                <w:rFonts w:ascii="Times New Roman" w:hAnsi="Times New Roman"/>
                <w:sz w:val="18"/>
                <w:lang w:val="fr-FR"/>
              </w:rPr>
              <w:t>43</w:t>
            </w:r>
            <w:r w:rsidR="00206280" w:rsidRPr="00845456">
              <w:rPr>
                <w:rFonts w:ascii="Times New Roman" w:hAnsi="Times New Roman"/>
                <w:sz w:val="18"/>
                <w:lang w:val="fr-FR"/>
              </w:rPr>
              <w:t xml:space="preserve"> </w:t>
            </w:r>
            <w:r w:rsidRPr="00845456">
              <w:rPr>
                <w:rFonts w:ascii="Times New Roman" w:hAnsi="Times New Roman"/>
                <w:sz w:val="18"/>
                <w:lang w:val="fr-FR"/>
              </w:rPr>
              <w:t>%</w:t>
            </w:r>
          </w:p>
        </w:tc>
        <w:tc>
          <w:tcPr>
            <w:tcW w:w="1219" w:type="dxa"/>
            <w:shd w:val="clear" w:color="auto" w:fill="auto"/>
            <w:vAlign w:val="bottom"/>
          </w:tcPr>
          <w:p w:rsidR="000B562B" w:rsidRPr="00845456" w:rsidRDefault="000B562B" w:rsidP="00EE1719">
            <w:pPr>
              <w:pStyle w:val="Text"/>
              <w:spacing w:before="40" w:after="40" w:line="220" w:lineRule="exact"/>
              <w:ind w:left="113" w:right="57"/>
              <w:jc w:val="right"/>
              <w:rPr>
                <w:rFonts w:ascii="Times New Roman" w:hAnsi="Times New Roman"/>
                <w:sz w:val="18"/>
                <w:lang w:val="fr-FR"/>
              </w:rPr>
            </w:pPr>
            <w:r w:rsidRPr="00845456">
              <w:rPr>
                <w:rFonts w:ascii="Times New Roman" w:hAnsi="Times New Roman"/>
                <w:sz w:val="18"/>
                <w:lang w:val="fr-FR"/>
              </w:rPr>
              <w:t>39</w:t>
            </w:r>
            <w:r w:rsidR="00206280" w:rsidRPr="00845456">
              <w:rPr>
                <w:rFonts w:ascii="Times New Roman" w:hAnsi="Times New Roman"/>
                <w:sz w:val="18"/>
                <w:lang w:val="fr-FR"/>
              </w:rPr>
              <w:t xml:space="preserve"> </w:t>
            </w:r>
            <w:r w:rsidRPr="00845456">
              <w:rPr>
                <w:rFonts w:ascii="Times New Roman" w:hAnsi="Times New Roman"/>
                <w:sz w:val="18"/>
                <w:lang w:val="fr-FR"/>
              </w:rPr>
              <w:t>%</w:t>
            </w:r>
          </w:p>
        </w:tc>
        <w:tc>
          <w:tcPr>
            <w:tcW w:w="1219" w:type="dxa"/>
            <w:shd w:val="clear" w:color="auto" w:fill="auto"/>
            <w:vAlign w:val="bottom"/>
          </w:tcPr>
          <w:p w:rsidR="000B562B" w:rsidRPr="00845456" w:rsidRDefault="000B562B" w:rsidP="00EE1719">
            <w:pPr>
              <w:pStyle w:val="Text"/>
              <w:spacing w:before="40" w:after="40" w:line="220" w:lineRule="exact"/>
              <w:ind w:left="113" w:right="57"/>
              <w:jc w:val="right"/>
              <w:rPr>
                <w:rFonts w:ascii="Times New Roman" w:hAnsi="Times New Roman"/>
                <w:sz w:val="18"/>
                <w:lang w:val="fr-FR"/>
              </w:rPr>
            </w:pPr>
            <w:r w:rsidRPr="00845456">
              <w:rPr>
                <w:rFonts w:ascii="Times New Roman" w:hAnsi="Times New Roman"/>
                <w:sz w:val="18"/>
                <w:lang w:val="fr-FR"/>
              </w:rPr>
              <w:t>16</w:t>
            </w:r>
            <w:r w:rsidR="00206280" w:rsidRPr="00845456">
              <w:rPr>
                <w:rFonts w:ascii="Times New Roman" w:hAnsi="Times New Roman"/>
                <w:sz w:val="18"/>
                <w:lang w:val="fr-FR"/>
              </w:rPr>
              <w:t xml:space="preserve"> </w:t>
            </w:r>
            <w:r w:rsidRPr="00845456">
              <w:rPr>
                <w:rFonts w:ascii="Times New Roman" w:hAnsi="Times New Roman"/>
                <w:sz w:val="18"/>
                <w:lang w:val="fr-FR"/>
              </w:rPr>
              <w:t>%</w:t>
            </w:r>
          </w:p>
        </w:tc>
      </w:tr>
      <w:tr w:rsidR="000B562B" w:rsidRPr="00845456" w:rsidTr="00532DD5">
        <w:tblPrEx>
          <w:tblCellMar>
            <w:top w:w="0" w:type="dxa"/>
            <w:bottom w:w="0" w:type="dxa"/>
          </w:tblCellMar>
        </w:tblPrEx>
        <w:trPr>
          <w:cantSplit/>
          <w:trHeight w:val="240"/>
        </w:trPr>
        <w:tc>
          <w:tcPr>
            <w:tcW w:w="2381" w:type="dxa"/>
            <w:tcBorders>
              <w:bottom w:val="single" w:sz="12" w:space="0" w:color="auto"/>
            </w:tcBorders>
            <w:shd w:val="clear" w:color="auto" w:fill="auto"/>
          </w:tcPr>
          <w:p w:rsidR="000B562B" w:rsidRPr="00845456" w:rsidRDefault="000B39A7" w:rsidP="00C32C70">
            <w:pPr>
              <w:pStyle w:val="Text"/>
              <w:spacing w:before="40" w:after="40" w:line="220" w:lineRule="exact"/>
              <w:rPr>
                <w:rFonts w:ascii="Times New Roman" w:hAnsi="Times New Roman"/>
                <w:sz w:val="18"/>
                <w:lang w:val="fr-FR"/>
              </w:rPr>
            </w:pPr>
            <w:r w:rsidRPr="00845456">
              <w:rPr>
                <w:rFonts w:ascii="Times New Roman" w:hAnsi="Times New Roman"/>
                <w:sz w:val="18"/>
                <w:lang w:val="fr-FR"/>
              </w:rPr>
              <w:t xml:space="preserve">Plaintes </w:t>
            </w:r>
            <w:r w:rsidR="001C1986">
              <w:rPr>
                <w:rFonts w:ascii="Times New Roman" w:hAnsi="Times New Roman"/>
                <w:sz w:val="18"/>
                <w:lang w:val="fr-FR"/>
              </w:rPr>
              <w:t>déclarées</w:t>
            </w:r>
            <w:r w:rsidRPr="00845456">
              <w:rPr>
                <w:rFonts w:ascii="Times New Roman" w:hAnsi="Times New Roman"/>
                <w:sz w:val="18"/>
                <w:lang w:val="fr-FR"/>
              </w:rPr>
              <w:t xml:space="preserve"> non recevables</w:t>
            </w:r>
          </w:p>
        </w:tc>
        <w:tc>
          <w:tcPr>
            <w:tcW w:w="1219" w:type="dxa"/>
            <w:tcBorders>
              <w:bottom w:val="single" w:sz="12" w:space="0" w:color="auto"/>
            </w:tcBorders>
            <w:shd w:val="clear" w:color="auto" w:fill="auto"/>
            <w:vAlign w:val="bottom"/>
          </w:tcPr>
          <w:p w:rsidR="000B562B" w:rsidRPr="00845456" w:rsidRDefault="000B562B" w:rsidP="00EE1719">
            <w:pPr>
              <w:pStyle w:val="Text"/>
              <w:spacing w:before="40" w:after="40" w:line="220" w:lineRule="exact"/>
              <w:ind w:left="113" w:right="57"/>
              <w:jc w:val="right"/>
              <w:rPr>
                <w:rFonts w:ascii="Times New Roman" w:hAnsi="Times New Roman"/>
                <w:sz w:val="18"/>
                <w:lang w:val="fr-FR"/>
              </w:rPr>
            </w:pPr>
            <w:r w:rsidRPr="00845456">
              <w:rPr>
                <w:rFonts w:ascii="Times New Roman" w:hAnsi="Times New Roman"/>
                <w:sz w:val="18"/>
                <w:lang w:val="fr-FR"/>
              </w:rPr>
              <w:t>50</w:t>
            </w:r>
            <w:r w:rsidR="00206280" w:rsidRPr="00845456">
              <w:rPr>
                <w:rFonts w:ascii="Times New Roman" w:hAnsi="Times New Roman"/>
                <w:sz w:val="18"/>
                <w:lang w:val="fr-FR"/>
              </w:rPr>
              <w:t xml:space="preserve"> </w:t>
            </w:r>
            <w:r w:rsidRPr="00845456">
              <w:rPr>
                <w:rFonts w:ascii="Times New Roman" w:hAnsi="Times New Roman"/>
                <w:sz w:val="18"/>
                <w:lang w:val="fr-FR"/>
              </w:rPr>
              <w:t>%</w:t>
            </w:r>
          </w:p>
        </w:tc>
        <w:tc>
          <w:tcPr>
            <w:tcW w:w="1219" w:type="dxa"/>
            <w:tcBorders>
              <w:bottom w:val="single" w:sz="12" w:space="0" w:color="auto"/>
            </w:tcBorders>
            <w:shd w:val="clear" w:color="auto" w:fill="auto"/>
            <w:vAlign w:val="bottom"/>
          </w:tcPr>
          <w:p w:rsidR="000B562B" w:rsidRPr="00845456" w:rsidRDefault="000B562B" w:rsidP="00EE1719">
            <w:pPr>
              <w:pStyle w:val="Text"/>
              <w:spacing w:before="40" w:after="40" w:line="220" w:lineRule="exact"/>
              <w:ind w:left="113" w:right="57"/>
              <w:jc w:val="right"/>
              <w:rPr>
                <w:rFonts w:ascii="Times New Roman" w:hAnsi="Times New Roman"/>
                <w:sz w:val="18"/>
                <w:lang w:val="fr-FR"/>
              </w:rPr>
            </w:pPr>
            <w:r w:rsidRPr="00845456">
              <w:rPr>
                <w:rFonts w:ascii="Times New Roman" w:hAnsi="Times New Roman"/>
                <w:sz w:val="18"/>
                <w:lang w:val="fr-FR"/>
              </w:rPr>
              <w:t>60</w:t>
            </w:r>
            <w:r w:rsidR="00206280" w:rsidRPr="00845456">
              <w:rPr>
                <w:rFonts w:ascii="Times New Roman" w:hAnsi="Times New Roman"/>
                <w:sz w:val="18"/>
                <w:lang w:val="fr-FR"/>
              </w:rPr>
              <w:t xml:space="preserve"> </w:t>
            </w:r>
            <w:r w:rsidRPr="00845456">
              <w:rPr>
                <w:rFonts w:ascii="Times New Roman" w:hAnsi="Times New Roman"/>
                <w:sz w:val="18"/>
                <w:lang w:val="fr-FR"/>
              </w:rPr>
              <w:t>%</w:t>
            </w:r>
          </w:p>
        </w:tc>
        <w:tc>
          <w:tcPr>
            <w:tcW w:w="1219" w:type="dxa"/>
            <w:tcBorders>
              <w:bottom w:val="single" w:sz="12" w:space="0" w:color="auto"/>
            </w:tcBorders>
            <w:shd w:val="clear" w:color="auto" w:fill="auto"/>
            <w:vAlign w:val="bottom"/>
          </w:tcPr>
          <w:p w:rsidR="000B562B" w:rsidRPr="00845456" w:rsidRDefault="000B562B" w:rsidP="00EE1719">
            <w:pPr>
              <w:pStyle w:val="Text"/>
              <w:spacing w:before="40" w:after="40" w:line="220" w:lineRule="exact"/>
              <w:ind w:left="113" w:right="57"/>
              <w:jc w:val="right"/>
              <w:rPr>
                <w:rFonts w:ascii="Times New Roman" w:hAnsi="Times New Roman"/>
                <w:sz w:val="18"/>
                <w:lang w:val="fr-FR"/>
              </w:rPr>
            </w:pPr>
            <w:r w:rsidRPr="00845456">
              <w:rPr>
                <w:rFonts w:ascii="Times New Roman" w:hAnsi="Times New Roman"/>
                <w:sz w:val="18"/>
                <w:lang w:val="fr-FR"/>
              </w:rPr>
              <w:t>38</w:t>
            </w:r>
            <w:r w:rsidR="00206280" w:rsidRPr="00845456">
              <w:rPr>
                <w:rFonts w:ascii="Times New Roman" w:hAnsi="Times New Roman"/>
                <w:sz w:val="18"/>
                <w:lang w:val="fr-FR"/>
              </w:rPr>
              <w:t>,</w:t>
            </w:r>
            <w:r w:rsidRPr="00845456">
              <w:rPr>
                <w:rFonts w:ascii="Times New Roman" w:hAnsi="Times New Roman"/>
                <w:sz w:val="18"/>
                <w:lang w:val="fr-FR"/>
              </w:rPr>
              <w:t>3</w:t>
            </w:r>
            <w:r w:rsidR="00206280" w:rsidRPr="00845456">
              <w:rPr>
                <w:rFonts w:ascii="Times New Roman" w:hAnsi="Times New Roman"/>
                <w:sz w:val="18"/>
                <w:lang w:val="fr-FR"/>
              </w:rPr>
              <w:t xml:space="preserve"> </w:t>
            </w:r>
            <w:r w:rsidRPr="00845456">
              <w:rPr>
                <w:rFonts w:ascii="Times New Roman" w:hAnsi="Times New Roman"/>
                <w:sz w:val="18"/>
                <w:lang w:val="fr-FR"/>
              </w:rPr>
              <w:t>%</w:t>
            </w:r>
          </w:p>
        </w:tc>
        <w:tc>
          <w:tcPr>
            <w:tcW w:w="1219" w:type="dxa"/>
            <w:tcBorders>
              <w:bottom w:val="single" w:sz="12" w:space="0" w:color="auto"/>
            </w:tcBorders>
            <w:shd w:val="clear" w:color="auto" w:fill="auto"/>
            <w:vAlign w:val="bottom"/>
          </w:tcPr>
          <w:p w:rsidR="000B562B" w:rsidRPr="00845456" w:rsidRDefault="000B562B" w:rsidP="00EE1719">
            <w:pPr>
              <w:pStyle w:val="Text"/>
              <w:spacing w:before="40" w:after="40" w:line="220" w:lineRule="exact"/>
              <w:ind w:left="113" w:right="57"/>
              <w:jc w:val="right"/>
              <w:rPr>
                <w:rFonts w:ascii="Times New Roman" w:hAnsi="Times New Roman"/>
                <w:sz w:val="18"/>
                <w:lang w:val="fr-FR"/>
              </w:rPr>
            </w:pPr>
            <w:r w:rsidRPr="00845456">
              <w:rPr>
                <w:rFonts w:ascii="Times New Roman" w:hAnsi="Times New Roman"/>
                <w:sz w:val="18"/>
                <w:lang w:val="fr-FR"/>
              </w:rPr>
              <w:t>32</w:t>
            </w:r>
            <w:r w:rsidR="00206280" w:rsidRPr="00845456">
              <w:rPr>
                <w:rFonts w:ascii="Times New Roman" w:hAnsi="Times New Roman"/>
                <w:sz w:val="18"/>
                <w:lang w:val="fr-FR"/>
              </w:rPr>
              <w:t xml:space="preserve"> </w:t>
            </w:r>
            <w:r w:rsidRPr="00845456">
              <w:rPr>
                <w:rFonts w:ascii="Times New Roman" w:hAnsi="Times New Roman"/>
                <w:sz w:val="18"/>
                <w:lang w:val="fr-FR"/>
              </w:rPr>
              <w:t>%</w:t>
            </w:r>
          </w:p>
        </w:tc>
        <w:tc>
          <w:tcPr>
            <w:tcW w:w="1219" w:type="dxa"/>
            <w:tcBorders>
              <w:bottom w:val="single" w:sz="12" w:space="0" w:color="auto"/>
            </w:tcBorders>
            <w:shd w:val="clear" w:color="auto" w:fill="auto"/>
            <w:vAlign w:val="bottom"/>
          </w:tcPr>
          <w:p w:rsidR="000B562B" w:rsidRPr="00845456" w:rsidRDefault="000B562B" w:rsidP="00EE1719">
            <w:pPr>
              <w:pStyle w:val="Text"/>
              <w:spacing w:before="40" w:after="40" w:line="220" w:lineRule="exact"/>
              <w:ind w:left="113" w:right="57"/>
              <w:jc w:val="right"/>
              <w:rPr>
                <w:rFonts w:ascii="Times New Roman" w:hAnsi="Times New Roman"/>
                <w:sz w:val="18"/>
                <w:lang w:val="fr-FR"/>
              </w:rPr>
            </w:pPr>
            <w:r w:rsidRPr="00845456">
              <w:rPr>
                <w:rFonts w:ascii="Times New Roman" w:hAnsi="Times New Roman"/>
                <w:sz w:val="18"/>
                <w:lang w:val="fr-FR"/>
              </w:rPr>
              <w:t>22</w:t>
            </w:r>
            <w:r w:rsidR="00206280" w:rsidRPr="00845456">
              <w:rPr>
                <w:rFonts w:ascii="Times New Roman" w:hAnsi="Times New Roman"/>
                <w:sz w:val="18"/>
                <w:lang w:val="fr-FR"/>
              </w:rPr>
              <w:t xml:space="preserve"> </w:t>
            </w:r>
            <w:r w:rsidRPr="00845456">
              <w:rPr>
                <w:rFonts w:ascii="Times New Roman" w:hAnsi="Times New Roman"/>
                <w:sz w:val="18"/>
                <w:lang w:val="fr-FR"/>
              </w:rPr>
              <w:t>%</w:t>
            </w:r>
          </w:p>
        </w:tc>
      </w:tr>
    </w:tbl>
    <w:p w:rsidR="000B562B" w:rsidRPr="00A176EA" w:rsidRDefault="002549A9" w:rsidP="00EE1719">
      <w:pPr>
        <w:pStyle w:val="SingleTxtG"/>
        <w:spacing w:before="240"/>
        <w:rPr>
          <w:lang w:val="fr-FR"/>
        </w:rPr>
      </w:pPr>
      <w:r w:rsidRPr="00845456">
        <w:rPr>
          <w:lang w:val="fr-FR"/>
        </w:rPr>
        <w:t>487.</w:t>
      </w:r>
      <w:r w:rsidRPr="00845456">
        <w:rPr>
          <w:lang w:val="fr-FR"/>
        </w:rPr>
        <w:tab/>
      </w:r>
      <w:r w:rsidR="00206280" w:rsidRPr="00845456">
        <w:rPr>
          <w:lang w:val="fr-FR"/>
        </w:rPr>
        <w:t>Depuis</w:t>
      </w:r>
      <w:r w:rsidR="000B562B" w:rsidRPr="00845456">
        <w:rPr>
          <w:lang w:val="fr-FR"/>
        </w:rPr>
        <w:t xml:space="preserve"> 2008</w:t>
      </w:r>
      <w:r w:rsidR="00206280" w:rsidRPr="00845456">
        <w:rPr>
          <w:lang w:val="fr-FR"/>
        </w:rPr>
        <w:t>-</w:t>
      </w:r>
      <w:r w:rsidR="000B562B" w:rsidRPr="00845456">
        <w:rPr>
          <w:lang w:val="fr-FR"/>
        </w:rPr>
        <w:t>2009</w:t>
      </w:r>
      <w:r w:rsidR="00206280" w:rsidRPr="00845456">
        <w:rPr>
          <w:lang w:val="fr-FR"/>
        </w:rPr>
        <w:t>, l</w:t>
      </w:r>
      <w:r w:rsidR="000B562B" w:rsidRPr="00845456">
        <w:rPr>
          <w:lang w:val="fr-FR"/>
        </w:rPr>
        <w:t xml:space="preserve">e </w:t>
      </w:r>
      <w:r w:rsidR="00206280" w:rsidRPr="00845456">
        <w:rPr>
          <w:lang w:val="fr-FR"/>
        </w:rPr>
        <w:t xml:space="preserve">Médiateur pénitentiaire </w:t>
      </w:r>
      <w:r w:rsidR="00845456">
        <w:rPr>
          <w:lang w:val="fr-FR"/>
        </w:rPr>
        <w:t xml:space="preserve">ne classe plus les plaintes dans les catégories recevable/non recevable/règlement local, </w:t>
      </w:r>
      <w:r w:rsidR="00845456" w:rsidRPr="0030618E">
        <w:rPr>
          <w:lang w:val="fr-FR"/>
        </w:rPr>
        <w:t xml:space="preserve">qui ne </w:t>
      </w:r>
      <w:r w:rsidR="0030618E" w:rsidRPr="0030618E">
        <w:rPr>
          <w:lang w:val="fr-FR"/>
        </w:rPr>
        <w:t>reflétaient</w:t>
      </w:r>
      <w:r w:rsidR="00845456" w:rsidRPr="0030618E">
        <w:rPr>
          <w:lang w:val="fr-FR"/>
        </w:rPr>
        <w:t xml:space="preserve"> souvent pas </w:t>
      </w:r>
      <w:r w:rsidR="0030618E" w:rsidRPr="0030618E">
        <w:rPr>
          <w:lang w:val="fr-FR"/>
        </w:rPr>
        <w:t>les</w:t>
      </w:r>
      <w:r w:rsidR="00845456">
        <w:rPr>
          <w:lang w:val="fr-FR"/>
        </w:rPr>
        <w:t xml:space="preserve"> conclusions de l’enquête. </w:t>
      </w:r>
      <w:r w:rsidR="0030618E">
        <w:rPr>
          <w:lang w:val="fr-FR"/>
        </w:rPr>
        <w:t xml:space="preserve">Depuis </w:t>
      </w:r>
      <w:r w:rsidR="00845456">
        <w:rPr>
          <w:lang w:val="fr-FR"/>
        </w:rPr>
        <w:t>2010-2011, il s’attache davantage aux  conclusions et aux recommandations constructives. Le Médiateur a reçu 717</w:t>
      </w:r>
      <w:r w:rsidR="00DA6F73">
        <w:rPr>
          <w:lang w:val="fr-FR"/>
        </w:rPr>
        <w:t xml:space="preserve"> plaintes</w:t>
      </w:r>
      <w:r w:rsidR="00FC2B97">
        <w:rPr>
          <w:lang w:val="fr-FR"/>
        </w:rPr>
        <w:t>:</w:t>
      </w:r>
      <w:r w:rsidR="00845456">
        <w:rPr>
          <w:lang w:val="fr-FR"/>
        </w:rPr>
        <w:t xml:space="preserve"> 285 enquêtes ont été achevées en 2010-2011 et 235 recommandat</w:t>
      </w:r>
      <w:r w:rsidR="00745FF6">
        <w:rPr>
          <w:lang w:val="fr-FR"/>
        </w:rPr>
        <w:t>ions ont été formulées, dont 90 </w:t>
      </w:r>
      <w:r w:rsidR="00845456">
        <w:rPr>
          <w:lang w:val="fr-FR"/>
        </w:rPr>
        <w:t>% ont été acceptées</w:t>
      </w:r>
      <w:r w:rsidR="000B562B" w:rsidRPr="00A176EA">
        <w:rPr>
          <w:lang w:val="fr-FR"/>
        </w:rPr>
        <w:t>.</w:t>
      </w:r>
    </w:p>
    <w:p w:rsidR="000B562B" w:rsidRPr="00A176EA" w:rsidRDefault="002549A9" w:rsidP="00045B44">
      <w:pPr>
        <w:pStyle w:val="SingleTxtG"/>
        <w:rPr>
          <w:lang w:val="fr-FR"/>
        </w:rPr>
      </w:pPr>
      <w:r w:rsidRPr="00A176EA">
        <w:rPr>
          <w:lang w:val="fr-FR"/>
        </w:rPr>
        <w:t>488.</w:t>
      </w:r>
      <w:r w:rsidRPr="00A176EA">
        <w:rPr>
          <w:lang w:val="fr-FR"/>
        </w:rPr>
        <w:tab/>
      </w:r>
      <w:r w:rsidR="00206280" w:rsidRPr="00845456">
        <w:rPr>
          <w:lang w:val="fr-FR"/>
        </w:rPr>
        <w:t xml:space="preserve">Depuis que le Bureau du Médiateur pénitentiaire a commencé à enquêter sur les décès en détention, en septembre </w:t>
      </w:r>
      <w:r w:rsidR="000B562B" w:rsidRPr="00845456">
        <w:rPr>
          <w:lang w:val="fr-FR"/>
        </w:rPr>
        <w:t>2005</w:t>
      </w:r>
      <w:r w:rsidR="00206280" w:rsidRPr="00845456">
        <w:rPr>
          <w:lang w:val="fr-FR"/>
        </w:rPr>
        <w:t>,</w:t>
      </w:r>
      <w:r w:rsidR="000B562B" w:rsidRPr="00845456">
        <w:rPr>
          <w:lang w:val="fr-FR"/>
        </w:rPr>
        <w:t xml:space="preserve"> </w:t>
      </w:r>
      <w:r w:rsidR="00845456" w:rsidRPr="00845456">
        <w:rPr>
          <w:lang w:val="fr-FR"/>
        </w:rPr>
        <w:t>un total de 29 décès a été enregistré, dont le plus récent s’est produit en mai</w:t>
      </w:r>
      <w:r w:rsidR="000B562B" w:rsidRPr="00845456">
        <w:rPr>
          <w:lang w:val="fr-FR"/>
        </w:rPr>
        <w:t xml:space="preserve"> 2011.</w:t>
      </w:r>
      <w:r w:rsidR="000B562B" w:rsidRPr="00A176EA">
        <w:rPr>
          <w:lang w:val="fr-FR"/>
        </w:rPr>
        <w:t xml:space="preserve"> </w:t>
      </w:r>
      <w:r w:rsidR="00845456">
        <w:rPr>
          <w:lang w:val="fr-FR"/>
        </w:rPr>
        <w:t xml:space="preserve">À l’issue de son enquête sur chaque décès, le Médiateur produit un rapport assorti de recommandations et généralement publié sur le site Internet de son Bureau. L’Administration pénitentiaire y donne suite en élaborant un plan d’action précisant les mesures qui seront prises pour mettre en œuvre ces recommandations. Le Médiateur </w:t>
      </w:r>
      <w:r w:rsidR="00045B44">
        <w:rPr>
          <w:lang w:val="fr-FR"/>
        </w:rPr>
        <w:t>supervise cette mise en œuvre</w:t>
      </w:r>
      <w:r w:rsidR="000B562B" w:rsidRPr="00A176EA">
        <w:rPr>
          <w:lang w:val="fr-FR"/>
        </w:rPr>
        <w:t>.</w:t>
      </w:r>
    </w:p>
    <w:p w:rsidR="007115EF" w:rsidRPr="00A176EA" w:rsidRDefault="007115EF" w:rsidP="007115EF">
      <w:pPr>
        <w:pStyle w:val="H23G"/>
        <w:rPr>
          <w:lang w:val="fr-FR"/>
        </w:rPr>
      </w:pPr>
      <w:r w:rsidRPr="00A176EA">
        <w:rPr>
          <w:lang w:val="fr-FR"/>
        </w:rPr>
        <w:t>Discipline</w:t>
      </w:r>
      <w:r>
        <w:rPr>
          <w:lang w:val="fr-FR"/>
        </w:rPr>
        <w:t xml:space="preserve"> militaire et plaintes contre l’armée</w:t>
      </w:r>
    </w:p>
    <w:p w:rsidR="000B562B" w:rsidRPr="00A176EA" w:rsidRDefault="002549A9" w:rsidP="005953B4">
      <w:pPr>
        <w:pStyle w:val="SingleTxtG"/>
        <w:rPr>
          <w:snapToGrid w:val="0"/>
          <w:lang w:val="fr-FR"/>
        </w:rPr>
      </w:pPr>
      <w:r w:rsidRPr="00A176EA">
        <w:rPr>
          <w:snapToGrid w:val="0"/>
          <w:lang w:val="fr-FR"/>
        </w:rPr>
        <w:t>489.</w:t>
      </w:r>
      <w:r w:rsidRPr="00A176EA">
        <w:rPr>
          <w:snapToGrid w:val="0"/>
          <w:lang w:val="fr-FR"/>
        </w:rPr>
        <w:tab/>
      </w:r>
      <w:r w:rsidR="00AB00A4">
        <w:rPr>
          <w:snapToGrid w:val="0"/>
          <w:lang w:val="fr-FR"/>
        </w:rPr>
        <w:t xml:space="preserve">Toute plainte pour mauvais traitement est prise très au sérieux et fait l’objet, en premier lieu, d’une enquête de la Police militaire royale. Le plaignant peut </w:t>
      </w:r>
      <w:r w:rsidR="005953B4">
        <w:rPr>
          <w:snapToGrid w:val="0"/>
          <w:lang w:val="fr-FR"/>
        </w:rPr>
        <w:t xml:space="preserve">faire une demande de réparation pour préjudice corporel. S’il est décidé de ne pas enquêter sur une affaire, le plaignant peut demander </w:t>
      </w:r>
      <w:r w:rsidR="007B563C">
        <w:rPr>
          <w:snapToGrid w:val="0"/>
          <w:lang w:val="fr-FR"/>
        </w:rPr>
        <w:t>à un</w:t>
      </w:r>
      <w:r w:rsidR="005953B4">
        <w:rPr>
          <w:snapToGrid w:val="0"/>
          <w:lang w:val="fr-FR"/>
        </w:rPr>
        <w:t xml:space="preserve"> tribuna</w:t>
      </w:r>
      <w:r w:rsidR="007B563C">
        <w:rPr>
          <w:snapToGrid w:val="0"/>
          <w:lang w:val="fr-FR"/>
        </w:rPr>
        <w:t>l britannique</w:t>
      </w:r>
      <w:r w:rsidR="005953B4">
        <w:rPr>
          <w:snapToGrid w:val="0"/>
          <w:lang w:val="fr-FR"/>
        </w:rPr>
        <w:t xml:space="preserve"> le contrôle juridictionnel de cette décision</w:t>
      </w:r>
      <w:r w:rsidR="000B562B" w:rsidRPr="00A176EA">
        <w:rPr>
          <w:snapToGrid w:val="0"/>
          <w:lang w:val="fr-FR"/>
        </w:rPr>
        <w:t>.</w:t>
      </w:r>
    </w:p>
    <w:p w:rsidR="000B562B" w:rsidRPr="005953B4" w:rsidRDefault="008F3DA4" w:rsidP="00DE1014">
      <w:pPr>
        <w:pStyle w:val="H23G"/>
        <w:rPr>
          <w:lang w:val="fr-FR"/>
        </w:rPr>
      </w:pPr>
      <w:r w:rsidRPr="005953B4">
        <w:rPr>
          <w:lang w:val="fr-FR"/>
        </w:rPr>
        <w:t>Irlande du Nord</w:t>
      </w:r>
    </w:p>
    <w:p w:rsidR="000B562B" w:rsidRPr="00A176EA" w:rsidRDefault="002549A9" w:rsidP="002F4825">
      <w:pPr>
        <w:pStyle w:val="SingleTxtG"/>
        <w:rPr>
          <w:lang w:val="fr-FR"/>
        </w:rPr>
      </w:pPr>
      <w:r w:rsidRPr="005953B4">
        <w:rPr>
          <w:lang w:val="fr-FR"/>
        </w:rPr>
        <w:t>490.</w:t>
      </w:r>
      <w:r w:rsidRPr="005953B4">
        <w:rPr>
          <w:lang w:val="fr-FR"/>
        </w:rPr>
        <w:tab/>
      </w:r>
      <w:r w:rsidR="00A91C09" w:rsidRPr="005953B4">
        <w:rPr>
          <w:lang w:val="fr-FR"/>
        </w:rPr>
        <w:t>Le</w:t>
      </w:r>
      <w:r w:rsidR="000B562B" w:rsidRPr="005953B4">
        <w:rPr>
          <w:lang w:val="fr-FR"/>
        </w:rPr>
        <w:t xml:space="preserve"> post</w:t>
      </w:r>
      <w:r w:rsidR="00A91C09" w:rsidRPr="005953B4">
        <w:rPr>
          <w:lang w:val="fr-FR"/>
        </w:rPr>
        <w:t>e</w:t>
      </w:r>
      <w:r w:rsidR="000B562B" w:rsidRPr="005953B4">
        <w:rPr>
          <w:lang w:val="fr-FR"/>
        </w:rPr>
        <w:t xml:space="preserve"> </w:t>
      </w:r>
      <w:r w:rsidR="00180B34" w:rsidRPr="005953B4">
        <w:rPr>
          <w:lang w:val="fr-FR"/>
        </w:rPr>
        <w:t>d’Expert indépendant en procédures de plaintes contre l’armée</w:t>
      </w:r>
      <w:r w:rsidR="000B562B" w:rsidRPr="005953B4">
        <w:rPr>
          <w:lang w:val="fr-FR"/>
        </w:rPr>
        <w:t xml:space="preserve"> </w:t>
      </w:r>
      <w:r w:rsidR="00180B34" w:rsidRPr="005953B4">
        <w:rPr>
          <w:lang w:val="fr-FR"/>
        </w:rPr>
        <w:t>a été supprimé en</w:t>
      </w:r>
      <w:r w:rsidR="000B562B" w:rsidRPr="005953B4">
        <w:rPr>
          <w:lang w:val="fr-FR"/>
        </w:rPr>
        <w:t xml:space="preserve"> 2007</w:t>
      </w:r>
      <w:r w:rsidR="00180B34" w:rsidRPr="005953B4">
        <w:rPr>
          <w:lang w:val="fr-FR"/>
        </w:rPr>
        <w:t xml:space="preserve"> par</w:t>
      </w:r>
      <w:r w:rsidR="000B562B" w:rsidRPr="005953B4">
        <w:rPr>
          <w:lang w:val="fr-FR"/>
        </w:rPr>
        <w:t xml:space="preserve"> </w:t>
      </w:r>
      <w:r w:rsidR="00180B34" w:rsidRPr="005953B4">
        <w:rPr>
          <w:lang w:val="fr-FR"/>
        </w:rPr>
        <w:t>l’</w:t>
      </w:r>
      <w:r w:rsidR="00A91C09" w:rsidRPr="005953B4">
        <w:rPr>
          <w:lang w:val="fr-FR"/>
        </w:rPr>
        <w:t>abrogation de la</w:t>
      </w:r>
      <w:r w:rsidR="000B562B" w:rsidRPr="005953B4">
        <w:rPr>
          <w:lang w:val="fr-FR"/>
        </w:rPr>
        <w:t xml:space="preserve"> </w:t>
      </w:r>
      <w:r w:rsidR="007B563C">
        <w:rPr>
          <w:lang w:val="fr-FR"/>
        </w:rPr>
        <w:t>p</w:t>
      </w:r>
      <w:r w:rsidR="000B562B" w:rsidRPr="005953B4">
        <w:rPr>
          <w:lang w:val="fr-FR"/>
        </w:rPr>
        <w:t>art</w:t>
      </w:r>
      <w:r w:rsidR="00A91C09" w:rsidRPr="005953B4">
        <w:rPr>
          <w:lang w:val="fr-FR"/>
        </w:rPr>
        <w:t>ie</w:t>
      </w:r>
      <w:r w:rsidR="000B562B" w:rsidRPr="005953B4">
        <w:rPr>
          <w:lang w:val="fr-FR"/>
        </w:rPr>
        <w:t xml:space="preserve"> VII </w:t>
      </w:r>
      <w:r w:rsidR="00A91C09" w:rsidRPr="005953B4">
        <w:rPr>
          <w:lang w:val="fr-FR"/>
        </w:rPr>
        <w:t>de la loi de 2000 sur le terrorisme</w:t>
      </w:r>
      <w:r w:rsidR="000B562B" w:rsidRPr="005953B4">
        <w:rPr>
          <w:lang w:val="fr-FR"/>
        </w:rPr>
        <w:t>.</w:t>
      </w:r>
      <w:r w:rsidR="000B562B" w:rsidRPr="00A176EA">
        <w:rPr>
          <w:lang w:val="fr-FR"/>
        </w:rPr>
        <w:t xml:space="preserve"> </w:t>
      </w:r>
      <w:r w:rsidR="002F4825">
        <w:rPr>
          <w:lang w:val="fr-FR"/>
        </w:rPr>
        <w:t xml:space="preserve">Cette suppression </w:t>
      </w:r>
      <w:r w:rsidR="007B563C">
        <w:rPr>
          <w:lang w:val="fr-FR"/>
        </w:rPr>
        <w:t>a fait</w:t>
      </w:r>
      <w:r w:rsidR="002F4825">
        <w:rPr>
          <w:lang w:val="fr-FR"/>
        </w:rPr>
        <w:t xml:space="preserve"> suite au vaste programme de normalisation mis en œuvre en Irlande du Nord. Le rapport final au Gouvernement</w:t>
      </w:r>
      <w:r w:rsidR="002F4825" w:rsidRPr="00A176EA">
        <w:rPr>
          <w:rStyle w:val="FootnoteReference"/>
          <w:szCs w:val="24"/>
        </w:rPr>
        <w:footnoteReference w:id="65"/>
      </w:r>
      <w:r w:rsidR="002F4825">
        <w:rPr>
          <w:lang w:val="fr-FR"/>
        </w:rPr>
        <w:t xml:space="preserve"> du dernier Expert, Jim McDonald, couvrait la période s’achevant en juillet </w:t>
      </w:r>
      <w:r w:rsidR="000B562B" w:rsidRPr="00A176EA">
        <w:rPr>
          <w:lang w:val="fr-FR"/>
        </w:rPr>
        <w:t>2007.</w:t>
      </w:r>
    </w:p>
    <w:p w:rsidR="000B562B" w:rsidRPr="009F5B80" w:rsidRDefault="002549A9" w:rsidP="00EE1719">
      <w:pPr>
        <w:pStyle w:val="SingleTxtG"/>
        <w:rPr>
          <w:lang w:val="fr-FR"/>
        </w:rPr>
      </w:pPr>
      <w:r w:rsidRPr="00A176EA">
        <w:rPr>
          <w:lang w:val="fr-FR"/>
        </w:rPr>
        <w:t>491.</w:t>
      </w:r>
      <w:r w:rsidRPr="00A176EA">
        <w:rPr>
          <w:lang w:val="fr-FR"/>
        </w:rPr>
        <w:tab/>
      </w:r>
      <w:r w:rsidR="002F4825">
        <w:rPr>
          <w:lang w:val="fr-FR"/>
        </w:rPr>
        <w:t xml:space="preserve">Ce poste a été remplacé par celui de </w:t>
      </w:r>
      <w:r w:rsidR="00400A32">
        <w:rPr>
          <w:lang w:val="fr-FR"/>
        </w:rPr>
        <w:t>Vérificateur indépendant créé par la loi de 2007 sur la justice et la sécurité (Irlande du Nord) et nommé en vertu de l’article 40 de ladite loi. Le Vérificateur a pour tâche d</w:t>
      </w:r>
      <w:r w:rsidR="00E57B83">
        <w:rPr>
          <w:lang w:val="fr-FR"/>
        </w:rPr>
        <w:t>’examiner l’exécution des pouvoirs conférés par la loi (art</w:t>
      </w:r>
      <w:r w:rsidR="00EE1719">
        <w:rPr>
          <w:lang w:val="fr-FR"/>
        </w:rPr>
        <w:t>.</w:t>
      </w:r>
      <w:r w:rsidR="00E57B83">
        <w:rPr>
          <w:lang w:val="fr-FR"/>
        </w:rPr>
        <w:t xml:space="preserve"> 21 à 32) et </w:t>
      </w:r>
      <w:r w:rsidR="007B563C">
        <w:rPr>
          <w:lang w:val="fr-FR"/>
        </w:rPr>
        <w:t>l</w:t>
      </w:r>
      <w:r w:rsidR="00E57B83">
        <w:rPr>
          <w:lang w:val="fr-FR"/>
        </w:rPr>
        <w:t xml:space="preserve">es procédures adoptées par </w:t>
      </w:r>
      <w:r w:rsidR="00017C1B">
        <w:rPr>
          <w:lang w:val="fr-FR"/>
        </w:rPr>
        <w:t>l’Officier général commandant d’Irlande du Nord</w:t>
      </w:r>
      <w:r w:rsidR="009F5B80">
        <w:rPr>
          <w:lang w:val="fr-FR"/>
        </w:rPr>
        <w:t xml:space="preserve"> pour recevoir les plaintes, procéder aux enquêtes et y donner suite. Le Vérificateur remet un rapport annuel au Ministre</w:t>
      </w:r>
      <w:r w:rsidR="00FC2B97">
        <w:rPr>
          <w:lang w:val="fr-FR"/>
        </w:rPr>
        <w:t>:</w:t>
      </w:r>
      <w:r w:rsidR="009F5B80">
        <w:rPr>
          <w:lang w:val="fr-FR"/>
        </w:rPr>
        <w:t xml:space="preserve"> il en a établi trois à ce jour</w:t>
      </w:r>
      <w:r w:rsidR="000B562B" w:rsidRPr="00A176EA">
        <w:rPr>
          <w:rStyle w:val="FootnoteReference"/>
          <w:szCs w:val="24"/>
        </w:rPr>
        <w:footnoteReference w:id="66"/>
      </w:r>
      <w:r w:rsidR="00AB00A4">
        <w:rPr>
          <w:lang w:val="fr-FR"/>
        </w:rPr>
        <w:t>.</w:t>
      </w:r>
      <w:r w:rsidR="000B562B" w:rsidRPr="00A176EA">
        <w:rPr>
          <w:lang w:val="fr-FR"/>
        </w:rPr>
        <w:t xml:space="preserve"> </w:t>
      </w:r>
      <w:r w:rsidR="009F5B80">
        <w:rPr>
          <w:lang w:val="fr-FR"/>
        </w:rPr>
        <w:t xml:space="preserve">Ces rapports jugent positives les procédures adoptées par les forces armées pour traiter les plaintes contre des militaires en Irlande du Nord. </w:t>
      </w:r>
      <w:r w:rsidR="00400A32" w:rsidRPr="009F5B80">
        <w:rPr>
          <w:lang w:val="fr-FR"/>
        </w:rPr>
        <w:t>Toutes les</w:t>
      </w:r>
      <w:r w:rsidR="000B562B" w:rsidRPr="009F5B80">
        <w:rPr>
          <w:lang w:val="fr-FR"/>
        </w:rPr>
        <w:t> recomm</w:t>
      </w:r>
      <w:r w:rsidR="00400A32" w:rsidRPr="009F5B80">
        <w:rPr>
          <w:lang w:val="fr-FR"/>
        </w:rPr>
        <w:t>a</w:t>
      </w:r>
      <w:r w:rsidR="000B562B" w:rsidRPr="009F5B80">
        <w:rPr>
          <w:lang w:val="fr-FR"/>
        </w:rPr>
        <w:t xml:space="preserve">ndations </w:t>
      </w:r>
      <w:r w:rsidR="00400A32" w:rsidRPr="009F5B80">
        <w:rPr>
          <w:lang w:val="fr-FR"/>
        </w:rPr>
        <w:t xml:space="preserve">formulées par le Vérificateur </w:t>
      </w:r>
      <w:r w:rsidR="009F5B80" w:rsidRPr="009F5B80">
        <w:rPr>
          <w:lang w:val="fr-FR"/>
        </w:rPr>
        <w:t>ont été acceptées et mises en œuvre</w:t>
      </w:r>
      <w:r w:rsidR="000B562B" w:rsidRPr="009F5B80">
        <w:rPr>
          <w:lang w:val="fr-FR"/>
        </w:rPr>
        <w:t>.</w:t>
      </w:r>
    </w:p>
    <w:p w:rsidR="000B562B" w:rsidRPr="00A176EA" w:rsidRDefault="003D5DFC" w:rsidP="00C32C70">
      <w:pPr>
        <w:pStyle w:val="H23G"/>
        <w:rPr>
          <w:lang w:val="fr-FR"/>
        </w:rPr>
      </w:pPr>
      <w:bookmarkStart w:id="59" w:name="_Toc299724745"/>
      <w:r w:rsidRPr="009F5B80">
        <w:rPr>
          <w:lang w:val="fr-FR"/>
        </w:rPr>
        <w:t>Services d’i</w:t>
      </w:r>
      <w:r w:rsidR="000B562B" w:rsidRPr="009F5B80">
        <w:rPr>
          <w:lang w:val="fr-FR"/>
        </w:rPr>
        <w:t>mmigration</w:t>
      </w:r>
      <w:r w:rsidR="000B562B" w:rsidRPr="00A176EA">
        <w:rPr>
          <w:lang w:val="fr-FR"/>
        </w:rPr>
        <w:t xml:space="preserve"> </w:t>
      </w:r>
      <w:bookmarkEnd w:id="59"/>
    </w:p>
    <w:p w:rsidR="000B562B" w:rsidRPr="00A176EA" w:rsidRDefault="002549A9" w:rsidP="004C30F0">
      <w:pPr>
        <w:pStyle w:val="SingleTxtG"/>
        <w:rPr>
          <w:lang w:val="fr-FR"/>
        </w:rPr>
      </w:pPr>
      <w:r w:rsidRPr="00A176EA">
        <w:rPr>
          <w:lang w:val="fr-FR"/>
        </w:rPr>
        <w:t>492.</w:t>
      </w:r>
      <w:r w:rsidRPr="00A176EA">
        <w:rPr>
          <w:lang w:val="fr-FR"/>
        </w:rPr>
        <w:tab/>
      </w:r>
      <w:r w:rsidR="001C1986">
        <w:rPr>
          <w:lang w:val="fr-FR"/>
        </w:rPr>
        <w:t>Les procédures de plainte formelle exposées aux paragraphes 125 à 127 du troisième rapport ont été révisées et toutes les plain</w:t>
      </w:r>
      <w:r w:rsidR="006A71C2">
        <w:rPr>
          <w:lang w:val="fr-FR"/>
        </w:rPr>
        <w:t>t</w:t>
      </w:r>
      <w:r w:rsidR="001C1986">
        <w:rPr>
          <w:lang w:val="fr-FR"/>
        </w:rPr>
        <w:t xml:space="preserve">es de cette nature sont désormais traitées par une équipe unique du </w:t>
      </w:r>
      <w:r w:rsidR="001C1986" w:rsidRPr="001C1986">
        <w:rPr>
          <w:lang w:val="fr-FR"/>
        </w:rPr>
        <w:t xml:space="preserve">Service de contrôle des frontières du </w:t>
      </w:r>
      <w:r w:rsidR="001C1986">
        <w:rPr>
          <w:lang w:val="fr-FR"/>
        </w:rPr>
        <w:t xml:space="preserve">Royaume-Uni. Les plaintes pour </w:t>
      </w:r>
      <w:r w:rsidR="006A71C2">
        <w:rPr>
          <w:lang w:val="fr-FR"/>
        </w:rPr>
        <w:t xml:space="preserve">faute grave (allégations de racisme, par exemple) sont traitées </w:t>
      </w:r>
      <w:r w:rsidR="00067E2C">
        <w:rPr>
          <w:lang w:val="fr-FR"/>
        </w:rPr>
        <w:t>conformément à</w:t>
      </w:r>
      <w:r w:rsidR="006A71C2">
        <w:rPr>
          <w:lang w:val="fr-FR"/>
        </w:rPr>
        <w:t xml:space="preserve"> ces procédures, mais les allégations de violence physique sont </w:t>
      </w:r>
      <w:r w:rsidR="004C30F0">
        <w:rPr>
          <w:lang w:val="fr-FR"/>
        </w:rPr>
        <w:t xml:space="preserve">transmises aux services de police, qui examinent s’il y a lieu de procéder à une enquête criminelle. Les individus détenus dans un </w:t>
      </w:r>
      <w:r w:rsidR="003744DC" w:rsidRPr="004C30F0">
        <w:rPr>
          <w:color w:val="000000"/>
          <w:lang w:val="fr-FR"/>
        </w:rPr>
        <w:t>Centre de rétention d</w:t>
      </w:r>
      <w:r w:rsidR="00975911" w:rsidRPr="004C30F0">
        <w:rPr>
          <w:color w:val="000000"/>
          <w:lang w:val="fr-FR"/>
        </w:rPr>
        <w:t>es</w:t>
      </w:r>
      <w:r w:rsidR="003744DC" w:rsidRPr="004C30F0">
        <w:rPr>
          <w:color w:val="000000"/>
          <w:lang w:val="fr-FR"/>
        </w:rPr>
        <w:t xml:space="preserve"> service</w:t>
      </w:r>
      <w:r w:rsidR="00975911" w:rsidRPr="004C30F0">
        <w:rPr>
          <w:color w:val="000000"/>
          <w:lang w:val="fr-FR"/>
        </w:rPr>
        <w:t>s d</w:t>
      </w:r>
      <w:r w:rsidR="003744DC" w:rsidRPr="004C30F0">
        <w:rPr>
          <w:color w:val="000000"/>
          <w:lang w:val="fr-FR"/>
        </w:rPr>
        <w:t>’immigration</w:t>
      </w:r>
      <w:r w:rsidR="003744DC" w:rsidRPr="004C30F0">
        <w:rPr>
          <w:lang w:val="fr-FR"/>
        </w:rPr>
        <w:t xml:space="preserve"> </w:t>
      </w:r>
      <w:r w:rsidR="004C30F0" w:rsidRPr="004C30F0">
        <w:rPr>
          <w:lang w:val="fr-FR"/>
        </w:rPr>
        <w:t>peuvent par ailleurs déposer plainte</w:t>
      </w:r>
      <w:r w:rsidR="004C30F0">
        <w:rPr>
          <w:lang w:val="fr-FR"/>
        </w:rPr>
        <w:t xml:space="preserve"> auprès des comités d’inspection appelés </w:t>
      </w:r>
      <w:r w:rsidR="00632BA9">
        <w:rPr>
          <w:lang w:val="fr-FR"/>
        </w:rPr>
        <w:t>Comités de surveillance indépendants</w:t>
      </w:r>
      <w:r w:rsidR="000B562B" w:rsidRPr="00A176EA">
        <w:rPr>
          <w:lang w:val="fr-FR"/>
        </w:rPr>
        <w:t xml:space="preserve">. </w:t>
      </w:r>
      <w:r w:rsidR="004C30F0">
        <w:rPr>
          <w:lang w:val="fr-FR"/>
        </w:rPr>
        <w:t xml:space="preserve">Les </w:t>
      </w:r>
      <w:r w:rsidR="007B563C">
        <w:rPr>
          <w:lang w:val="fr-FR"/>
        </w:rPr>
        <w:t>re</w:t>
      </w:r>
      <w:r w:rsidR="004C30F0">
        <w:rPr>
          <w:lang w:val="fr-FR"/>
        </w:rPr>
        <w:t xml:space="preserve">tenus ont également le droit de faire examiner leur plainte par le </w:t>
      </w:r>
      <w:r w:rsidR="002803A4" w:rsidRPr="004C30F0">
        <w:rPr>
          <w:snapToGrid w:val="0"/>
          <w:lang w:val="fr-FR"/>
        </w:rPr>
        <w:t xml:space="preserve">Médiateur </w:t>
      </w:r>
      <w:r w:rsidR="002803A4" w:rsidRPr="004C30F0">
        <w:rPr>
          <w:lang w:val="fr-FR"/>
        </w:rPr>
        <w:t>des établissements pénitentiaires et de la probation</w:t>
      </w:r>
      <w:r w:rsidR="000B562B" w:rsidRPr="004C30F0">
        <w:rPr>
          <w:lang w:val="fr-FR"/>
        </w:rPr>
        <w:t>.</w:t>
      </w:r>
    </w:p>
    <w:p w:rsidR="000B562B" w:rsidRPr="00A176EA" w:rsidRDefault="002549A9" w:rsidP="00C32C70">
      <w:pPr>
        <w:pStyle w:val="SingleTxtG"/>
        <w:rPr>
          <w:lang w:val="fr-FR"/>
        </w:rPr>
      </w:pPr>
      <w:r w:rsidRPr="00A176EA">
        <w:rPr>
          <w:lang w:val="fr-FR"/>
        </w:rPr>
        <w:t>493.</w:t>
      </w:r>
      <w:r w:rsidRPr="00A176EA">
        <w:rPr>
          <w:lang w:val="fr-FR"/>
        </w:rPr>
        <w:tab/>
      </w:r>
      <w:r w:rsidR="0089491D">
        <w:rPr>
          <w:lang w:val="fr-FR"/>
        </w:rPr>
        <w:t>Des brochures et des affiches informent les intéressés</w:t>
      </w:r>
      <w:r w:rsidR="004C30F0">
        <w:rPr>
          <w:lang w:val="fr-FR"/>
        </w:rPr>
        <w:t xml:space="preserve"> sur le processus de dépôt de plainte</w:t>
      </w:r>
      <w:r w:rsidR="0089491D">
        <w:rPr>
          <w:lang w:val="fr-FR"/>
        </w:rPr>
        <w:t xml:space="preserve">, informations figurant également sur le site Internet du </w:t>
      </w:r>
      <w:r w:rsidR="0089491D" w:rsidRPr="001C1986">
        <w:rPr>
          <w:lang w:val="fr-FR"/>
        </w:rPr>
        <w:t>Service de contrôle des frontières</w:t>
      </w:r>
      <w:r w:rsidR="0089491D">
        <w:rPr>
          <w:lang w:val="fr-FR"/>
        </w:rPr>
        <w:t xml:space="preserve">. </w:t>
      </w:r>
      <w:r w:rsidR="001B25F1" w:rsidRPr="001F712D">
        <w:rPr>
          <w:lang w:val="fr-FR"/>
        </w:rPr>
        <w:t>L</w:t>
      </w:r>
      <w:r w:rsidR="000B562B" w:rsidRPr="001F712D">
        <w:rPr>
          <w:lang w:val="fr-FR"/>
        </w:rPr>
        <w:t xml:space="preserve">e </w:t>
      </w:r>
      <w:r w:rsidR="001B25F1" w:rsidRPr="001F712D">
        <w:rPr>
          <w:lang w:val="fr-FR"/>
        </w:rPr>
        <w:t xml:space="preserve">Comité de vérification des plaintes </w:t>
      </w:r>
      <w:r w:rsidR="00632BA9" w:rsidRPr="001F712D">
        <w:rPr>
          <w:lang w:val="fr-FR"/>
        </w:rPr>
        <w:t>a été remplacé en</w:t>
      </w:r>
      <w:r w:rsidR="000B562B" w:rsidRPr="001F712D">
        <w:rPr>
          <w:lang w:val="fr-FR"/>
        </w:rPr>
        <w:t xml:space="preserve"> 2008 </w:t>
      </w:r>
      <w:r w:rsidR="0089491D" w:rsidRPr="001F712D">
        <w:rPr>
          <w:lang w:val="fr-FR"/>
        </w:rPr>
        <w:t>par un</w:t>
      </w:r>
      <w:r w:rsidR="000B562B" w:rsidRPr="001F712D">
        <w:rPr>
          <w:lang w:val="fr-FR"/>
        </w:rPr>
        <w:t xml:space="preserve"> </w:t>
      </w:r>
      <w:r w:rsidR="0089491D" w:rsidRPr="001F712D">
        <w:rPr>
          <w:lang w:val="fr-FR"/>
        </w:rPr>
        <w:t xml:space="preserve">Inspecteur </w:t>
      </w:r>
      <w:r w:rsidR="001F712D" w:rsidRPr="001F712D">
        <w:rPr>
          <w:lang w:val="fr-FR"/>
        </w:rPr>
        <w:t>général</w:t>
      </w:r>
      <w:r w:rsidR="0089491D" w:rsidRPr="001F712D">
        <w:rPr>
          <w:lang w:val="fr-FR"/>
        </w:rPr>
        <w:t xml:space="preserve"> </w:t>
      </w:r>
      <w:r w:rsidR="000B562B" w:rsidRPr="001F712D">
        <w:rPr>
          <w:lang w:val="fr-FR"/>
        </w:rPr>
        <w:t xml:space="preserve">permanent </w:t>
      </w:r>
      <w:r w:rsidR="0089491D" w:rsidRPr="001F712D">
        <w:rPr>
          <w:lang w:val="fr-FR"/>
        </w:rPr>
        <w:t>du Service de contrôle des frontières</w:t>
      </w:r>
      <w:r w:rsidR="001F712D" w:rsidRPr="001F712D">
        <w:rPr>
          <w:lang w:val="fr-FR"/>
        </w:rPr>
        <w:t xml:space="preserve"> du Royaume-Uni</w:t>
      </w:r>
      <w:r w:rsidR="000B562B" w:rsidRPr="001F712D">
        <w:rPr>
          <w:lang w:val="fr-FR"/>
        </w:rPr>
        <w:t>.</w:t>
      </w:r>
      <w:r w:rsidR="000B562B" w:rsidRPr="00A176EA">
        <w:rPr>
          <w:lang w:val="fr-FR"/>
        </w:rPr>
        <w:t xml:space="preserve"> </w:t>
      </w:r>
      <w:r w:rsidR="00DF7B7E">
        <w:rPr>
          <w:lang w:val="fr-FR"/>
        </w:rPr>
        <w:t>Ce bureau supervise le processus d’enquête sur les plaintes, par voie d’audit, de façon à relever la qualité d</w:t>
      </w:r>
      <w:r w:rsidR="00067E2C">
        <w:rPr>
          <w:lang w:val="fr-FR"/>
        </w:rPr>
        <w:t>es</w:t>
      </w:r>
      <w:r w:rsidR="00DF7B7E">
        <w:rPr>
          <w:lang w:val="fr-FR"/>
        </w:rPr>
        <w:t xml:space="preserve"> service</w:t>
      </w:r>
      <w:r w:rsidR="00067E2C">
        <w:rPr>
          <w:lang w:val="fr-FR"/>
        </w:rPr>
        <w:t>s</w:t>
      </w:r>
      <w:r w:rsidR="00DF7B7E">
        <w:rPr>
          <w:lang w:val="fr-FR"/>
        </w:rPr>
        <w:t xml:space="preserve">. </w:t>
      </w:r>
      <w:r w:rsidR="005916D3">
        <w:rPr>
          <w:lang w:val="fr-FR"/>
        </w:rPr>
        <w:t>Depuis</w:t>
      </w:r>
      <w:r w:rsidR="00DF7B7E">
        <w:rPr>
          <w:lang w:val="fr-FR"/>
        </w:rPr>
        <w:t xml:space="preserve"> 2008, la </w:t>
      </w:r>
      <w:r w:rsidR="00DF7B7E" w:rsidRPr="00DF7B7E">
        <w:rPr>
          <w:lang w:val="fr-FR"/>
        </w:rPr>
        <w:t>Commission indépendante des plaintes contre la police</w:t>
      </w:r>
      <w:r w:rsidR="00DF7B7E">
        <w:rPr>
          <w:lang w:val="fr-FR"/>
        </w:rPr>
        <w:t xml:space="preserve"> </w:t>
      </w:r>
      <w:r w:rsidR="005916D3">
        <w:rPr>
          <w:lang w:val="fr-FR"/>
        </w:rPr>
        <w:t xml:space="preserve">est compétente pour connaître des plaintes, incidents et exactions les plus graves impliquant des fonctionnaires du Service de contrôle des frontières exerçant des fonctions de police. Les plaintes pour mauvaise administration peuvent par ailleurs être déposées par l’intermédiaire d’un Député, qui saisit alors le </w:t>
      </w:r>
      <w:r w:rsidR="00AB25A9" w:rsidRPr="00AB25A9">
        <w:rPr>
          <w:lang w:val="fr-FR"/>
        </w:rPr>
        <w:t xml:space="preserve">Commissaire parlementaire à l’administration </w:t>
      </w:r>
      <w:r w:rsidR="005916D3">
        <w:rPr>
          <w:lang w:val="fr-FR"/>
        </w:rPr>
        <w:t>(Médiateur)</w:t>
      </w:r>
      <w:r w:rsidR="000B562B" w:rsidRPr="00A176EA">
        <w:rPr>
          <w:lang w:val="fr-FR"/>
        </w:rPr>
        <w:t>.</w:t>
      </w:r>
    </w:p>
    <w:p w:rsidR="000B562B" w:rsidRPr="00A176EA" w:rsidRDefault="002549A9" w:rsidP="00067E2C">
      <w:pPr>
        <w:pStyle w:val="SingleTxtG"/>
        <w:rPr>
          <w:lang w:val="fr-FR"/>
        </w:rPr>
      </w:pPr>
      <w:r w:rsidRPr="00A176EA">
        <w:rPr>
          <w:lang w:val="fr-FR"/>
        </w:rPr>
        <w:t>494.</w:t>
      </w:r>
      <w:r w:rsidRPr="00A176EA">
        <w:rPr>
          <w:lang w:val="fr-FR"/>
        </w:rPr>
        <w:tab/>
      </w:r>
      <w:r w:rsidR="00067E2C">
        <w:rPr>
          <w:lang w:val="fr-FR"/>
        </w:rPr>
        <w:t>La loi de 1998 sur les droits de l’homme permet de traiter les plaintes par voie judiciaire. La loi interdit en effet aux pouvoirs publics d’agir de façon incompatible avec les droits énoncés dans la convention</w:t>
      </w:r>
      <w:r w:rsidR="00FC2B97">
        <w:rPr>
          <w:lang w:val="fr-FR"/>
        </w:rPr>
        <w:t>:</w:t>
      </w:r>
      <w:r w:rsidR="00067E2C">
        <w:rPr>
          <w:lang w:val="fr-FR"/>
        </w:rPr>
        <w:t xml:space="preserve"> en cas d’infraction, la loi autorise à saisir la justice et à demander réparation</w:t>
      </w:r>
      <w:r w:rsidR="000B562B" w:rsidRPr="00A176EA">
        <w:rPr>
          <w:lang w:val="fr-FR"/>
        </w:rPr>
        <w:t>.</w:t>
      </w:r>
    </w:p>
    <w:p w:rsidR="000B562B" w:rsidRPr="00A176EA" w:rsidRDefault="002549A9" w:rsidP="005A2724">
      <w:pPr>
        <w:pStyle w:val="SingleTxtG"/>
        <w:rPr>
          <w:lang w:val="fr-FR"/>
        </w:rPr>
      </w:pPr>
      <w:r w:rsidRPr="00A176EA">
        <w:rPr>
          <w:lang w:val="fr-FR"/>
        </w:rPr>
        <w:t>495.</w:t>
      </w:r>
      <w:r w:rsidRPr="00A176EA">
        <w:rPr>
          <w:lang w:val="fr-FR"/>
        </w:rPr>
        <w:tab/>
      </w:r>
      <w:r w:rsidR="00067E2C">
        <w:rPr>
          <w:lang w:val="fr-FR"/>
        </w:rPr>
        <w:t>Une seule et même plainte peut porter sur plusieurs allégations et le Service de contrôle des frontières met actuellement en place une nouvelle base de données centralisée pour enregistrer les plaintes</w:t>
      </w:r>
      <w:r w:rsidR="005A2724">
        <w:rPr>
          <w:lang w:val="fr-FR"/>
        </w:rPr>
        <w:t xml:space="preserve"> afin d’avoir accès aux données et d’analyser les tendances. </w:t>
      </w:r>
      <w:r w:rsidR="005A2724" w:rsidRPr="005A2724">
        <w:rPr>
          <w:lang w:val="fr-FR"/>
        </w:rPr>
        <w:t xml:space="preserve">Le tableau ci-dessous indique les chiffres les plus récents enregistrés par le Groupe des normes professionnelles concernant les plaintes des individus détenus dans les Centres </w:t>
      </w:r>
      <w:r w:rsidR="00975911" w:rsidRPr="005A2724">
        <w:rPr>
          <w:color w:val="000000"/>
          <w:lang w:val="fr-FR"/>
        </w:rPr>
        <w:t>de rétention des services d’immigration</w:t>
      </w:r>
      <w:r w:rsidR="00975911" w:rsidRPr="005A2724">
        <w:rPr>
          <w:lang w:val="fr-FR"/>
        </w:rPr>
        <w:t xml:space="preserve"> </w:t>
      </w:r>
      <w:r w:rsidR="005A2724" w:rsidRPr="005A2724">
        <w:rPr>
          <w:lang w:val="fr-FR"/>
        </w:rPr>
        <w:t xml:space="preserve">et le </w:t>
      </w:r>
      <w:r w:rsidR="001A3D6D" w:rsidRPr="005A2724">
        <w:rPr>
          <w:lang w:val="fr-FR"/>
        </w:rPr>
        <w:t>ressortissants</w:t>
      </w:r>
      <w:r w:rsidR="005A2724" w:rsidRPr="005A2724">
        <w:rPr>
          <w:lang w:val="fr-FR"/>
        </w:rPr>
        <w:t xml:space="preserve"> étrangers expulsés du Royaume-Uni. Il s’agit du nombre total </w:t>
      </w:r>
      <w:r w:rsidR="006A71C2" w:rsidRPr="005A2724">
        <w:rPr>
          <w:lang w:val="fr-FR"/>
        </w:rPr>
        <w:t>de plaintes pour faute grave</w:t>
      </w:r>
      <w:r w:rsidR="000B562B" w:rsidRPr="005A2724">
        <w:rPr>
          <w:lang w:val="fr-FR"/>
        </w:rPr>
        <w:t>.</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456"/>
        <w:gridCol w:w="2457"/>
        <w:gridCol w:w="2457"/>
      </w:tblGrid>
      <w:tr w:rsidR="000B562B" w:rsidRPr="005A2724" w:rsidTr="00A9357A">
        <w:trPr>
          <w:cantSplit/>
          <w:trHeight w:val="240"/>
          <w:tblHeader/>
        </w:trPr>
        <w:tc>
          <w:tcPr>
            <w:tcW w:w="2456" w:type="dxa"/>
            <w:tcBorders>
              <w:top w:val="single" w:sz="4" w:space="0" w:color="auto"/>
              <w:bottom w:val="single" w:sz="12" w:space="0" w:color="auto"/>
            </w:tcBorders>
            <w:shd w:val="clear" w:color="auto" w:fill="auto"/>
            <w:vAlign w:val="bottom"/>
          </w:tcPr>
          <w:p w:rsidR="000B562B" w:rsidRPr="00A176EA" w:rsidRDefault="000B562B" w:rsidP="004F4765">
            <w:pPr>
              <w:pStyle w:val="Text"/>
              <w:spacing w:before="80" w:after="80" w:line="200" w:lineRule="exact"/>
              <w:rPr>
                <w:rFonts w:ascii="Times New Roman" w:hAnsi="Times New Roman"/>
                <w:i/>
                <w:sz w:val="16"/>
                <w:lang w:val="fr-FR"/>
              </w:rPr>
            </w:pPr>
          </w:p>
        </w:tc>
        <w:tc>
          <w:tcPr>
            <w:tcW w:w="2457" w:type="dxa"/>
            <w:tcBorders>
              <w:top w:val="single" w:sz="4" w:space="0" w:color="auto"/>
              <w:bottom w:val="single" w:sz="12" w:space="0" w:color="auto"/>
            </w:tcBorders>
            <w:shd w:val="clear" w:color="auto" w:fill="auto"/>
            <w:vAlign w:val="bottom"/>
          </w:tcPr>
          <w:p w:rsidR="000B562B" w:rsidRPr="005A2724" w:rsidRDefault="0066308C" w:rsidP="00A9357A">
            <w:pPr>
              <w:pStyle w:val="Text"/>
              <w:spacing w:before="80" w:after="80" w:line="200" w:lineRule="exact"/>
              <w:ind w:left="113" w:right="57"/>
              <w:jc w:val="right"/>
              <w:rPr>
                <w:rFonts w:ascii="Times New Roman" w:hAnsi="Times New Roman"/>
                <w:i/>
                <w:sz w:val="16"/>
                <w:lang w:val="fr-FR"/>
              </w:rPr>
            </w:pPr>
            <w:r w:rsidRPr="005A2724">
              <w:rPr>
                <w:rFonts w:ascii="Times New Roman" w:hAnsi="Times New Roman"/>
                <w:i/>
                <w:sz w:val="16"/>
                <w:lang w:val="fr-FR"/>
              </w:rPr>
              <w:t>Reçues</w:t>
            </w:r>
          </w:p>
        </w:tc>
        <w:tc>
          <w:tcPr>
            <w:tcW w:w="2457" w:type="dxa"/>
            <w:tcBorders>
              <w:top w:val="single" w:sz="4" w:space="0" w:color="auto"/>
              <w:bottom w:val="single" w:sz="12" w:space="0" w:color="auto"/>
            </w:tcBorders>
            <w:shd w:val="clear" w:color="auto" w:fill="auto"/>
            <w:vAlign w:val="bottom"/>
          </w:tcPr>
          <w:p w:rsidR="000B562B" w:rsidRPr="005A2724" w:rsidRDefault="00067E2C" w:rsidP="00A9357A">
            <w:pPr>
              <w:pStyle w:val="Text"/>
              <w:spacing w:before="80" w:after="80" w:line="200" w:lineRule="exact"/>
              <w:ind w:left="113" w:right="57"/>
              <w:jc w:val="right"/>
              <w:rPr>
                <w:rFonts w:ascii="Times New Roman" w:hAnsi="Times New Roman"/>
                <w:i/>
                <w:sz w:val="16"/>
                <w:lang w:val="fr-FR"/>
              </w:rPr>
            </w:pPr>
            <w:r w:rsidRPr="005A2724">
              <w:rPr>
                <w:rFonts w:ascii="Times New Roman" w:hAnsi="Times New Roman"/>
                <w:i/>
                <w:sz w:val="16"/>
                <w:lang w:val="fr-FR"/>
              </w:rPr>
              <w:t>Déclarées fondées</w:t>
            </w:r>
          </w:p>
        </w:tc>
      </w:tr>
      <w:tr w:rsidR="000B562B" w:rsidRPr="005A2724" w:rsidTr="00A9357A">
        <w:trPr>
          <w:cantSplit/>
          <w:trHeight w:val="240"/>
        </w:trPr>
        <w:tc>
          <w:tcPr>
            <w:tcW w:w="2456" w:type="dxa"/>
            <w:tcBorders>
              <w:top w:val="single" w:sz="12" w:space="0" w:color="auto"/>
            </w:tcBorders>
            <w:shd w:val="clear" w:color="auto" w:fill="auto"/>
          </w:tcPr>
          <w:p w:rsidR="000B562B" w:rsidRPr="005A2724" w:rsidRDefault="000B562B" w:rsidP="004F4765">
            <w:pPr>
              <w:pStyle w:val="Text"/>
              <w:spacing w:before="40" w:after="40" w:line="220" w:lineRule="exact"/>
              <w:rPr>
                <w:rFonts w:ascii="Times New Roman" w:hAnsi="Times New Roman"/>
                <w:sz w:val="18"/>
                <w:lang w:val="fr-FR"/>
              </w:rPr>
            </w:pPr>
            <w:r w:rsidRPr="005A2724">
              <w:rPr>
                <w:rFonts w:ascii="Times New Roman" w:hAnsi="Times New Roman"/>
                <w:sz w:val="18"/>
                <w:lang w:val="fr-FR"/>
              </w:rPr>
              <w:t>2009</w:t>
            </w:r>
          </w:p>
        </w:tc>
        <w:tc>
          <w:tcPr>
            <w:tcW w:w="2457" w:type="dxa"/>
            <w:tcBorders>
              <w:top w:val="single" w:sz="12" w:space="0" w:color="auto"/>
            </w:tcBorders>
            <w:shd w:val="clear" w:color="auto" w:fill="auto"/>
            <w:vAlign w:val="bottom"/>
          </w:tcPr>
          <w:p w:rsidR="000B562B" w:rsidRPr="005A2724" w:rsidRDefault="000B562B" w:rsidP="00A9357A">
            <w:pPr>
              <w:pStyle w:val="Text"/>
              <w:spacing w:before="40" w:after="40" w:line="220" w:lineRule="exact"/>
              <w:ind w:left="113" w:right="57"/>
              <w:jc w:val="right"/>
              <w:rPr>
                <w:rFonts w:ascii="Times New Roman" w:hAnsi="Times New Roman"/>
                <w:sz w:val="18"/>
                <w:lang w:val="fr-FR"/>
              </w:rPr>
            </w:pPr>
            <w:r w:rsidRPr="005A2724">
              <w:rPr>
                <w:rFonts w:ascii="Times New Roman" w:hAnsi="Times New Roman"/>
                <w:sz w:val="18"/>
                <w:lang w:val="fr-FR"/>
              </w:rPr>
              <w:t>152</w:t>
            </w:r>
          </w:p>
        </w:tc>
        <w:tc>
          <w:tcPr>
            <w:tcW w:w="2457" w:type="dxa"/>
            <w:tcBorders>
              <w:top w:val="single" w:sz="12" w:space="0" w:color="auto"/>
            </w:tcBorders>
            <w:shd w:val="clear" w:color="auto" w:fill="auto"/>
            <w:vAlign w:val="bottom"/>
          </w:tcPr>
          <w:p w:rsidR="000B562B" w:rsidRPr="005A2724" w:rsidRDefault="000B562B" w:rsidP="00A9357A">
            <w:pPr>
              <w:pStyle w:val="Text"/>
              <w:spacing w:before="40" w:after="40" w:line="220" w:lineRule="exact"/>
              <w:ind w:left="113" w:right="57"/>
              <w:jc w:val="right"/>
              <w:rPr>
                <w:rFonts w:ascii="Times New Roman" w:hAnsi="Times New Roman"/>
                <w:sz w:val="18"/>
                <w:lang w:val="fr-FR"/>
              </w:rPr>
            </w:pPr>
            <w:r w:rsidRPr="005A2724">
              <w:rPr>
                <w:rFonts w:ascii="Times New Roman" w:hAnsi="Times New Roman"/>
                <w:sz w:val="18"/>
                <w:lang w:val="fr-FR"/>
              </w:rPr>
              <w:t>20</w:t>
            </w:r>
          </w:p>
        </w:tc>
      </w:tr>
      <w:tr w:rsidR="000B562B" w:rsidRPr="005A2724" w:rsidTr="00A9357A">
        <w:trPr>
          <w:cantSplit/>
          <w:trHeight w:val="240"/>
        </w:trPr>
        <w:tc>
          <w:tcPr>
            <w:tcW w:w="2456" w:type="dxa"/>
            <w:tcBorders>
              <w:bottom w:val="single" w:sz="12" w:space="0" w:color="auto"/>
            </w:tcBorders>
            <w:shd w:val="clear" w:color="auto" w:fill="auto"/>
          </w:tcPr>
          <w:p w:rsidR="000B562B" w:rsidRPr="005A2724" w:rsidRDefault="000B562B" w:rsidP="004F4765">
            <w:pPr>
              <w:pStyle w:val="Text"/>
              <w:spacing w:before="40" w:after="40" w:line="220" w:lineRule="exact"/>
              <w:rPr>
                <w:rFonts w:ascii="Times New Roman" w:hAnsi="Times New Roman"/>
                <w:sz w:val="18"/>
                <w:lang w:val="fr-FR"/>
              </w:rPr>
            </w:pPr>
            <w:r w:rsidRPr="005A2724">
              <w:rPr>
                <w:rFonts w:ascii="Times New Roman" w:hAnsi="Times New Roman"/>
                <w:sz w:val="18"/>
                <w:lang w:val="fr-FR"/>
              </w:rPr>
              <w:t>2010</w:t>
            </w:r>
          </w:p>
        </w:tc>
        <w:tc>
          <w:tcPr>
            <w:tcW w:w="2457" w:type="dxa"/>
            <w:tcBorders>
              <w:bottom w:val="single" w:sz="12" w:space="0" w:color="auto"/>
            </w:tcBorders>
            <w:shd w:val="clear" w:color="auto" w:fill="auto"/>
            <w:vAlign w:val="bottom"/>
          </w:tcPr>
          <w:p w:rsidR="000B562B" w:rsidRPr="005A2724" w:rsidRDefault="000B562B" w:rsidP="00A9357A">
            <w:pPr>
              <w:pStyle w:val="Text"/>
              <w:spacing w:before="40" w:after="40" w:line="220" w:lineRule="exact"/>
              <w:ind w:left="113" w:right="57"/>
              <w:jc w:val="right"/>
              <w:rPr>
                <w:rFonts w:ascii="Times New Roman" w:hAnsi="Times New Roman"/>
                <w:sz w:val="18"/>
                <w:lang w:val="fr-FR"/>
              </w:rPr>
            </w:pPr>
            <w:r w:rsidRPr="005A2724">
              <w:rPr>
                <w:rFonts w:ascii="Times New Roman" w:hAnsi="Times New Roman"/>
                <w:sz w:val="18"/>
                <w:lang w:val="fr-FR"/>
              </w:rPr>
              <w:t>153</w:t>
            </w:r>
          </w:p>
        </w:tc>
        <w:tc>
          <w:tcPr>
            <w:tcW w:w="2457" w:type="dxa"/>
            <w:tcBorders>
              <w:bottom w:val="single" w:sz="12" w:space="0" w:color="auto"/>
            </w:tcBorders>
            <w:shd w:val="clear" w:color="auto" w:fill="auto"/>
            <w:vAlign w:val="bottom"/>
          </w:tcPr>
          <w:p w:rsidR="000B562B" w:rsidRPr="005A2724" w:rsidRDefault="000B562B" w:rsidP="00A9357A">
            <w:pPr>
              <w:pStyle w:val="Text"/>
              <w:spacing w:before="40" w:after="40" w:line="220" w:lineRule="exact"/>
              <w:ind w:left="113" w:right="57"/>
              <w:jc w:val="right"/>
              <w:rPr>
                <w:rFonts w:ascii="Times New Roman" w:hAnsi="Times New Roman"/>
                <w:sz w:val="18"/>
                <w:lang w:val="fr-FR"/>
              </w:rPr>
            </w:pPr>
            <w:r w:rsidRPr="005A2724">
              <w:rPr>
                <w:rFonts w:ascii="Times New Roman" w:hAnsi="Times New Roman"/>
                <w:sz w:val="18"/>
                <w:lang w:val="fr-FR"/>
              </w:rPr>
              <w:t>26</w:t>
            </w:r>
          </w:p>
        </w:tc>
      </w:tr>
    </w:tbl>
    <w:p w:rsidR="000B562B" w:rsidRPr="005A2724" w:rsidRDefault="008E3816" w:rsidP="001C135E">
      <w:pPr>
        <w:pStyle w:val="H1G"/>
      </w:pPr>
      <w:bookmarkStart w:id="60" w:name="_Toc299724746"/>
      <w:r>
        <w:tab/>
      </w:r>
      <w:r>
        <w:tab/>
      </w:r>
      <w:r w:rsidR="000B562B" w:rsidRPr="005A2724">
        <w:t>Article 14</w:t>
      </w:r>
      <w:r w:rsidR="00A9357A">
        <w:br/>
      </w:r>
      <w:r w:rsidR="0066308C" w:rsidRPr="005A2724">
        <w:t>Indemnisation et réadaptation des</w:t>
      </w:r>
      <w:r w:rsidR="000B562B" w:rsidRPr="005A2724">
        <w:t xml:space="preserve"> victim</w:t>
      </w:r>
      <w:r w:rsidR="0066308C" w:rsidRPr="005A2724">
        <w:t>e</w:t>
      </w:r>
      <w:r w:rsidR="000B562B" w:rsidRPr="005A2724">
        <w:t xml:space="preserve">s </w:t>
      </w:r>
      <w:r w:rsidR="0066308C" w:rsidRPr="005A2724">
        <w:t>de</w:t>
      </w:r>
      <w:r w:rsidR="000B562B" w:rsidRPr="005A2724">
        <w:t xml:space="preserve"> torture</w:t>
      </w:r>
      <w:bookmarkEnd w:id="60"/>
    </w:p>
    <w:p w:rsidR="000B562B" w:rsidRPr="00A176EA" w:rsidRDefault="000B562B" w:rsidP="00DE1014">
      <w:pPr>
        <w:pStyle w:val="H23G"/>
        <w:rPr>
          <w:lang w:val="fr-FR"/>
        </w:rPr>
      </w:pPr>
      <w:r w:rsidRPr="005A2724">
        <w:rPr>
          <w:lang w:val="fr-FR"/>
        </w:rPr>
        <w:t>Baha Mousa</w:t>
      </w:r>
    </w:p>
    <w:p w:rsidR="000B562B" w:rsidRPr="00A176EA" w:rsidRDefault="002549A9" w:rsidP="00A94A90">
      <w:pPr>
        <w:pStyle w:val="SingleTxtG"/>
        <w:rPr>
          <w:lang w:val="fr-FR"/>
        </w:rPr>
      </w:pPr>
      <w:r w:rsidRPr="00A176EA">
        <w:rPr>
          <w:lang w:val="fr-FR"/>
        </w:rPr>
        <w:t>496.</w:t>
      </w:r>
      <w:r w:rsidRPr="00A176EA">
        <w:rPr>
          <w:lang w:val="fr-FR"/>
        </w:rPr>
        <w:tab/>
      </w:r>
      <w:r w:rsidR="00A94A90" w:rsidRPr="00A94A90">
        <w:rPr>
          <w:lang w:val="fr-FR"/>
        </w:rPr>
        <w:t xml:space="preserve">Le 27 mars 2008, le Ministre de la défense a reconnu qu’il y avait eu </w:t>
      </w:r>
      <w:r w:rsidR="007B563C">
        <w:rPr>
          <w:lang w:val="fr-FR"/>
        </w:rPr>
        <w:t xml:space="preserve">de </w:t>
      </w:r>
      <w:r w:rsidR="00A94A90" w:rsidRPr="00A94A90">
        <w:rPr>
          <w:lang w:val="fr-FR"/>
        </w:rPr>
        <w:t xml:space="preserve">graves violations des articles 2 (Droit à la vie) et 3 (Interdiction de la torture) de la </w:t>
      </w:r>
      <w:r w:rsidR="00B669A3" w:rsidRPr="00A94A90">
        <w:rPr>
          <w:lang w:val="fr-FR"/>
        </w:rPr>
        <w:t>Convention européenne des droits de l’homme</w:t>
      </w:r>
      <w:r w:rsidR="000B562B" w:rsidRPr="00A94A90">
        <w:rPr>
          <w:lang w:val="fr-FR"/>
        </w:rPr>
        <w:t xml:space="preserve"> </w:t>
      </w:r>
      <w:r w:rsidR="00A94A90" w:rsidRPr="00A94A90">
        <w:rPr>
          <w:lang w:val="fr-FR"/>
        </w:rPr>
        <w:t>dans l’affaire</w:t>
      </w:r>
      <w:r w:rsidR="000B562B" w:rsidRPr="00A94A90">
        <w:rPr>
          <w:lang w:val="fr-FR"/>
        </w:rPr>
        <w:t xml:space="preserve"> Baha Mousa.</w:t>
      </w:r>
      <w:r w:rsidR="000B562B" w:rsidRPr="00A176EA">
        <w:rPr>
          <w:lang w:val="fr-FR"/>
        </w:rPr>
        <w:t xml:space="preserve"> </w:t>
      </w:r>
      <w:r w:rsidR="00A94A90">
        <w:rPr>
          <w:lang w:val="fr-FR"/>
        </w:rPr>
        <w:t xml:space="preserve">Le Ministre a également reconnu de graves violations de l’article 3 (Interdiction de la Torture) concernant neuf individus détenus </w:t>
      </w:r>
      <w:r w:rsidR="00BB1E56">
        <w:rPr>
          <w:lang w:val="fr-FR"/>
        </w:rPr>
        <w:t>avec</w:t>
      </w:r>
      <w:r w:rsidR="00A94A90">
        <w:rPr>
          <w:lang w:val="fr-FR"/>
        </w:rPr>
        <w:t xml:space="preserve"> Baha Mousa. Le Ministre des forces armées de l’époque, le </w:t>
      </w:r>
      <w:r w:rsidR="001A3D6D">
        <w:rPr>
          <w:lang w:val="fr-FR"/>
        </w:rPr>
        <w:t>député</w:t>
      </w:r>
      <w:r w:rsidR="00A94A90">
        <w:rPr>
          <w:lang w:val="fr-FR"/>
        </w:rPr>
        <w:t xml:space="preserve"> Bob Ainsworth, a présenté ses sincères excuses et exprimé </w:t>
      </w:r>
      <w:r w:rsidR="00D36AE0">
        <w:rPr>
          <w:lang w:val="fr-FR"/>
        </w:rPr>
        <w:t>sa sympathie aux familles de M. </w:t>
      </w:r>
      <w:r w:rsidR="00A94A90">
        <w:rPr>
          <w:lang w:val="fr-FR"/>
        </w:rPr>
        <w:t>Mousa et des neuf autres détenus</w:t>
      </w:r>
      <w:r w:rsidR="000B562B" w:rsidRPr="00A176EA">
        <w:rPr>
          <w:lang w:val="fr-FR"/>
        </w:rPr>
        <w:t>.</w:t>
      </w:r>
    </w:p>
    <w:p w:rsidR="000B562B" w:rsidRPr="00A176EA" w:rsidRDefault="002549A9" w:rsidP="00BB1E56">
      <w:pPr>
        <w:pStyle w:val="SingleTxtG"/>
        <w:rPr>
          <w:lang w:val="fr-FR"/>
        </w:rPr>
      </w:pPr>
      <w:r w:rsidRPr="00A176EA">
        <w:rPr>
          <w:lang w:val="fr-FR"/>
        </w:rPr>
        <w:t>497.</w:t>
      </w:r>
      <w:r w:rsidRPr="00A176EA">
        <w:rPr>
          <w:lang w:val="fr-FR"/>
        </w:rPr>
        <w:tab/>
      </w:r>
      <w:r w:rsidR="00BB1E56">
        <w:rPr>
          <w:lang w:val="fr-FR"/>
        </w:rPr>
        <w:t xml:space="preserve">En juillet 2008, il a été reconnu que ces graves violations de la Convention européenne des droits de l’homme devaient donner lieu à une indemnisation, qui a été fixée (par médiation) à 2,83 millions de livres sterling en juillet 2008. Cette somme a été </w:t>
      </w:r>
      <w:r w:rsidR="007B563C">
        <w:rPr>
          <w:lang w:val="fr-FR"/>
        </w:rPr>
        <w:t>vers</w:t>
      </w:r>
      <w:r w:rsidR="00BB1E56">
        <w:rPr>
          <w:lang w:val="fr-FR"/>
        </w:rPr>
        <w:t>ée peu après le règlement amiable</w:t>
      </w:r>
      <w:r w:rsidR="000B562B" w:rsidRPr="00A176EA">
        <w:rPr>
          <w:lang w:val="fr-FR"/>
        </w:rPr>
        <w:t>.</w:t>
      </w:r>
    </w:p>
    <w:p w:rsidR="000B562B" w:rsidRPr="00A176EA" w:rsidRDefault="002549A9" w:rsidP="00EE6D7E">
      <w:pPr>
        <w:pStyle w:val="SingleTxtG"/>
        <w:rPr>
          <w:lang w:val="fr-FR"/>
        </w:rPr>
      </w:pPr>
      <w:r w:rsidRPr="00A176EA">
        <w:rPr>
          <w:lang w:val="fr-FR"/>
        </w:rPr>
        <w:t>498.</w:t>
      </w:r>
      <w:r w:rsidRPr="00A176EA">
        <w:rPr>
          <w:lang w:val="fr-FR"/>
        </w:rPr>
        <w:tab/>
      </w:r>
      <w:r w:rsidR="00BB1E56">
        <w:rPr>
          <w:lang w:val="fr-FR"/>
        </w:rPr>
        <w:t xml:space="preserve">Le 14 mai 2008, le Ministre de la défense a ordonné l’ouverture d’une enquête publique sur le décès de Baha Mousa aux fins de tout mettre en œuvre pour comprendre de quelle façon M. Mousa avait perdu la vie et pour tirer les enseignements de ce drame. Le Ministre et l’armée continueront de coopérer pleinement à l’enquête, mais il est impossible de commenter plus avant des points sur lesquels l’enquête voudra </w:t>
      </w:r>
      <w:r w:rsidR="00EE6D7E">
        <w:rPr>
          <w:lang w:val="fr-FR"/>
        </w:rPr>
        <w:t>tirer</w:t>
      </w:r>
      <w:r w:rsidR="00BB1E56">
        <w:rPr>
          <w:lang w:val="fr-FR"/>
        </w:rPr>
        <w:t xml:space="preserve"> ses propres conclusions</w:t>
      </w:r>
      <w:r w:rsidR="000B562B" w:rsidRPr="00A176EA">
        <w:rPr>
          <w:lang w:val="fr-FR"/>
        </w:rPr>
        <w:t>.</w:t>
      </w:r>
    </w:p>
    <w:p w:rsidR="000B562B" w:rsidRPr="00A176EA" w:rsidRDefault="002549A9" w:rsidP="00C01A5A">
      <w:pPr>
        <w:pStyle w:val="SingleTxtG"/>
        <w:rPr>
          <w:lang w:val="fr-FR"/>
        </w:rPr>
      </w:pPr>
      <w:r w:rsidRPr="00A176EA">
        <w:rPr>
          <w:lang w:val="fr-FR"/>
        </w:rPr>
        <w:t>499.</w:t>
      </w:r>
      <w:r w:rsidRPr="00A176EA">
        <w:rPr>
          <w:lang w:val="fr-FR"/>
        </w:rPr>
        <w:tab/>
      </w:r>
      <w:r w:rsidR="00EE6D7E">
        <w:rPr>
          <w:lang w:val="fr-FR"/>
        </w:rPr>
        <w:t xml:space="preserve">Au sein du Royaume-Uni, le </w:t>
      </w:r>
      <w:r w:rsidR="00657DA1">
        <w:rPr>
          <w:lang w:val="fr-FR"/>
        </w:rPr>
        <w:t>Système</w:t>
      </w:r>
      <w:r w:rsidR="00EE6D7E">
        <w:rPr>
          <w:lang w:val="fr-FR"/>
        </w:rPr>
        <w:t xml:space="preserve"> d’indemnisation des victimes </w:t>
      </w:r>
      <w:r w:rsidR="00657DA1">
        <w:rPr>
          <w:lang w:val="fr-FR"/>
        </w:rPr>
        <w:t>d’actes criminels</w:t>
      </w:r>
      <w:r w:rsidR="00EE6D7E">
        <w:rPr>
          <w:lang w:val="fr-FR"/>
        </w:rPr>
        <w:t xml:space="preserve"> prévoit le dispositif relatif à l’indemnisation des victimes. Les dommages-intérêts sont calculés selon un </w:t>
      </w:r>
      <w:r w:rsidR="006D07AA">
        <w:rPr>
          <w:lang w:val="fr-FR"/>
        </w:rPr>
        <w:t>barème</w:t>
      </w:r>
      <w:r w:rsidR="00EE6D7E">
        <w:rPr>
          <w:lang w:val="fr-FR"/>
        </w:rPr>
        <w:t xml:space="preserve"> établi en fonction du degré de gravité des blessures subies. Cette indemnisation ne s’applique pas aux victimes de torture commise par un autre État dans une autre partie du monde si le Royaume-Uni n’est pas impliqué. L’article 14 stipule que </w:t>
      </w:r>
      <w:r w:rsidR="00C01A5A">
        <w:rPr>
          <w:lang w:val="fr-FR"/>
        </w:rPr>
        <w:t xml:space="preserve">tout </w:t>
      </w:r>
      <w:r w:rsidR="00C01A5A" w:rsidRPr="00C01A5A">
        <w:rPr>
          <w:lang w:val="fr-FR"/>
        </w:rPr>
        <w:t>État</w:t>
      </w:r>
      <w:r w:rsidR="00C01A5A">
        <w:rPr>
          <w:lang w:val="fr-FR"/>
        </w:rPr>
        <w:t xml:space="preserve"> partie garantit que les victimes de torture obtiennent réparation et soient indemnisées. Le Royaume-Uni interprète cette disposition comme un droit à réparation et à indemnisation pour les victimes de torture commise dans un lieu relevant de la compétence du Royaume-Uni</w:t>
      </w:r>
      <w:r w:rsidR="000B562B" w:rsidRPr="00A176EA">
        <w:rPr>
          <w:lang w:val="fr-FR"/>
        </w:rPr>
        <w:t>.</w:t>
      </w:r>
    </w:p>
    <w:p w:rsidR="000B562B" w:rsidRPr="00A176EA" w:rsidRDefault="002549A9" w:rsidP="00C01A5A">
      <w:pPr>
        <w:pStyle w:val="SingleTxtG"/>
        <w:rPr>
          <w:lang w:val="fr-FR"/>
        </w:rPr>
      </w:pPr>
      <w:r w:rsidRPr="00A176EA">
        <w:rPr>
          <w:lang w:val="fr-FR"/>
        </w:rPr>
        <w:t>500.</w:t>
      </w:r>
      <w:r w:rsidRPr="00A176EA">
        <w:rPr>
          <w:lang w:val="fr-FR"/>
        </w:rPr>
        <w:tab/>
      </w:r>
      <w:r w:rsidR="00C01A5A" w:rsidRPr="00C01A5A">
        <w:rPr>
          <w:lang w:val="fr-FR"/>
        </w:rPr>
        <w:t xml:space="preserve">Au Royaume-Uni, trois organismes </w:t>
      </w:r>
      <w:r w:rsidR="008010FA">
        <w:rPr>
          <w:lang w:val="fr-FR"/>
        </w:rPr>
        <w:t>viennent en aide</w:t>
      </w:r>
      <w:r w:rsidR="00C01A5A" w:rsidRPr="00C01A5A">
        <w:rPr>
          <w:lang w:val="fr-FR"/>
        </w:rPr>
        <w:t xml:space="preserve"> aux victimes </w:t>
      </w:r>
      <w:r w:rsidR="008010FA">
        <w:rPr>
          <w:lang w:val="fr-FR"/>
        </w:rPr>
        <w:t>d’actes criminels</w:t>
      </w:r>
      <w:r w:rsidR="00FC2B97">
        <w:rPr>
          <w:lang w:val="fr-FR"/>
        </w:rPr>
        <w:t>:</w:t>
      </w:r>
      <w:r w:rsidR="00C01A5A" w:rsidRPr="00C01A5A">
        <w:rPr>
          <w:lang w:val="fr-FR"/>
        </w:rPr>
        <w:t xml:space="preserve"> Victim Support Angleterre et pays de Galles, Victim Support </w:t>
      </w:r>
      <w:r w:rsidR="00FD2CE1" w:rsidRPr="00C01A5A">
        <w:rPr>
          <w:lang w:val="fr-FR"/>
        </w:rPr>
        <w:t>Écosse</w:t>
      </w:r>
      <w:r w:rsidR="000B562B" w:rsidRPr="00C01A5A">
        <w:rPr>
          <w:lang w:val="fr-FR"/>
        </w:rPr>
        <w:t xml:space="preserve"> </w:t>
      </w:r>
      <w:r w:rsidR="00C01A5A" w:rsidRPr="00C01A5A">
        <w:rPr>
          <w:lang w:val="fr-FR"/>
        </w:rPr>
        <w:t>et</w:t>
      </w:r>
      <w:r w:rsidR="000B562B" w:rsidRPr="00C01A5A">
        <w:rPr>
          <w:lang w:val="fr-FR"/>
        </w:rPr>
        <w:t xml:space="preserve"> Victim Support </w:t>
      </w:r>
      <w:r w:rsidR="008F3DA4" w:rsidRPr="00C01A5A">
        <w:rPr>
          <w:lang w:val="fr-FR"/>
        </w:rPr>
        <w:t>Irlande du Nord</w:t>
      </w:r>
      <w:r w:rsidR="000B562B" w:rsidRPr="00C01A5A">
        <w:rPr>
          <w:lang w:val="fr-FR"/>
        </w:rPr>
        <w:t>.</w:t>
      </w:r>
    </w:p>
    <w:p w:rsidR="000B562B" w:rsidRPr="00A176EA" w:rsidRDefault="00C01A5A" w:rsidP="00DE1014">
      <w:pPr>
        <w:pStyle w:val="H23G"/>
        <w:rPr>
          <w:lang w:val="fr-FR"/>
        </w:rPr>
      </w:pPr>
      <w:r>
        <w:rPr>
          <w:lang w:val="fr-FR"/>
        </w:rPr>
        <w:t>Angleterre et</w:t>
      </w:r>
      <w:r w:rsidR="000B562B" w:rsidRPr="00A176EA">
        <w:rPr>
          <w:lang w:val="fr-FR"/>
        </w:rPr>
        <w:t xml:space="preserve"> </w:t>
      </w:r>
      <w:r>
        <w:rPr>
          <w:lang w:val="fr-FR"/>
        </w:rPr>
        <w:t>p</w:t>
      </w:r>
      <w:r w:rsidR="005601A1">
        <w:rPr>
          <w:lang w:val="fr-FR"/>
        </w:rPr>
        <w:t>ays de Galles</w:t>
      </w:r>
    </w:p>
    <w:p w:rsidR="000B562B" w:rsidRPr="002762FE" w:rsidRDefault="002549A9" w:rsidP="002762FE">
      <w:pPr>
        <w:pStyle w:val="SingleTxtG"/>
        <w:rPr>
          <w:lang w:val="fr-FR"/>
        </w:rPr>
      </w:pPr>
      <w:r w:rsidRPr="00A176EA">
        <w:rPr>
          <w:lang w:val="fr-FR"/>
        </w:rPr>
        <w:t>501.</w:t>
      </w:r>
      <w:r w:rsidRPr="00A176EA">
        <w:rPr>
          <w:lang w:val="fr-FR"/>
        </w:rPr>
        <w:tab/>
      </w:r>
      <w:r w:rsidR="00C01A5A">
        <w:rPr>
          <w:lang w:val="fr-FR"/>
        </w:rPr>
        <w:t>En Angleterre et au</w:t>
      </w:r>
      <w:r w:rsidR="000B562B" w:rsidRPr="00A176EA">
        <w:rPr>
          <w:lang w:val="fr-FR"/>
        </w:rPr>
        <w:t xml:space="preserve"> </w:t>
      </w:r>
      <w:r w:rsidR="00C01A5A">
        <w:rPr>
          <w:lang w:val="fr-FR"/>
        </w:rPr>
        <w:t>p</w:t>
      </w:r>
      <w:r w:rsidR="005601A1">
        <w:rPr>
          <w:lang w:val="fr-FR"/>
        </w:rPr>
        <w:t>ays de Galles</w:t>
      </w:r>
      <w:r w:rsidR="00C01A5A">
        <w:rPr>
          <w:lang w:val="fr-FR"/>
        </w:rPr>
        <w:t xml:space="preserve">, le Gouvernement britannique finance Victim Support à hauteur de 30 millions de livres sterling annuelles. De plus, ces deux dernières années, il </w:t>
      </w:r>
      <w:r w:rsidR="00FC4DAB">
        <w:rPr>
          <w:lang w:val="fr-FR"/>
        </w:rPr>
        <w:t xml:space="preserve">a alloué 12,6 millions de livres sterling supplémentaires pour la création en Angleterre et au pays de Galles de </w:t>
      </w:r>
      <w:r w:rsidR="00FC4DAB" w:rsidRPr="004E276B">
        <w:rPr>
          <w:lang w:val="fr-FR"/>
        </w:rPr>
        <w:t>Victim Support Plus</w:t>
      </w:r>
      <w:r w:rsidR="00FC4DAB">
        <w:rPr>
          <w:lang w:val="fr-FR"/>
        </w:rPr>
        <w:t xml:space="preserve">, qui fournit des services renforcés aux victimes </w:t>
      </w:r>
      <w:r w:rsidR="008010FA">
        <w:rPr>
          <w:lang w:val="fr-FR"/>
        </w:rPr>
        <w:t>d’actes criminels</w:t>
      </w:r>
      <w:r w:rsidR="00FC4DAB">
        <w:rPr>
          <w:lang w:val="fr-FR"/>
        </w:rPr>
        <w:t xml:space="preserve">. </w:t>
      </w:r>
      <w:r w:rsidR="00FC4DAB" w:rsidRPr="007B563C">
        <w:rPr>
          <w:lang w:val="fr-FR"/>
        </w:rPr>
        <w:t xml:space="preserve">Grâce à ce programme, un Agent de prise en charge des victimes </w:t>
      </w:r>
      <w:r w:rsidR="002762FE" w:rsidRPr="007B563C">
        <w:rPr>
          <w:lang w:val="fr-FR"/>
        </w:rPr>
        <w:t xml:space="preserve">dûment formé </w:t>
      </w:r>
      <w:r w:rsidR="00FC4DAB" w:rsidRPr="007B563C">
        <w:rPr>
          <w:lang w:val="fr-FR"/>
        </w:rPr>
        <w:t xml:space="preserve">téléphone à la victime dans les 48 heures après avoir été </w:t>
      </w:r>
      <w:r w:rsidR="002762FE" w:rsidRPr="007B563C">
        <w:rPr>
          <w:lang w:val="fr-FR"/>
        </w:rPr>
        <w:t>averti</w:t>
      </w:r>
      <w:r w:rsidR="00FC4DAB" w:rsidRPr="007B563C">
        <w:rPr>
          <w:lang w:val="fr-FR"/>
        </w:rPr>
        <w:t xml:space="preserve"> par les services de police.</w:t>
      </w:r>
      <w:r w:rsidR="00FC4DAB">
        <w:rPr>
          <w:lang w:val="fr-FR"/>
        </w:rPr>
        <w:t xml:space="preserve"> </w:t>
      </w:r>
      <w:r w:rsidR="007B563C">
        <w:rPr>
          <w:lang w:val="fr-FR"/>
        </w:rPr>
        <w:t>Grâce à</w:t>
      </w:r>
      <w:r w:rsidR="00FC4DAB">
        <w:rPr>
          <w:lang w:val="fr-FR"/>
        </w:rPr>
        <w:t xml:space="preserve"> un </w:t>
      </w:r>
      <w:r w:rsidR="002762FE">
        <w:rPr>
          <w:lang w:val="fr-FR"/>
        </w:rPr>
        <w:t xml:space="preserve">nouvel arsenal de </w:t>
      </w:r>
      <w:r w:rsidR="001924D6">
        <w:rPr>
          <w:lang w:val="fr-FR"/>
        </w:rPr>
        <w:t>moyens</w:t>
      </w:r>
      <w:r w:rsidR="002762FE">
        <w:rPr>
          <w:lang w:val="fr-FR"/>
        </w:rPr>
        <w:t xml:space="preserve">, les besoins des victimes seront évalués avant que des dispositions ne soient prises pour leur fournir les services de soutien nécessaires. </w:t>
      </w:r>
      <w:r w:rsidR="002762FE" w:rsidRPr="002762FE">
        <w:rPr>
          <w:lang w:val="fr-FR"/>
        </w:rPr>
        <w:t xml:space="preserve">Cela prendra la forme de conseils et d’aide concrets, et d’un soutien psychologique par des bénévoles </w:t>
      </w:r>
      <w:r w:rsidR="00FC4DAB" w:rsidRPr="002762FE">
        <w:rPr>
          <w:lang w:val="fr-FR"/>
        </w:rPr>
        <w:t xml:space="preserve">spécialement formés pour aider les victimes </w:t>
      </w:r>
      <w:r w:rsidR="008010FA">
        <w:rPr>
          <w:lang w:val="fr-FR"/>
        </w:rPr>
        <w:t>d’actes criminels graves et violent</w:t>
      </w:r>
      <w:r w:rsidR="00FC4DAB" w:rsidRPr="002762FE">
        <w:rPr>
          <w:lang w:val="fr-FR"/>
        </w:rPr>
        <w:t>s</w:t>
      </w:r>
      <w:r w:rsidR="000B562B" w:rsidRPr="002762FE">
        <w:rPr>
          <w:lang w:val="fr-FR"/>
        </w:rPr>
        <w:t xml:space="preserve">. </w:t>
      </w:r>
      <w:r w:rsidR="002762FE" w:rsidRPr="002762FE">
        <w:rPr>
          <w:lang w:val="fr-FR"/>
        </w:rPr>
        <w:t>Les services d’aide aux victimes sont désormais plus rapides, faciles d’accès, cohérents et concrets, et adaptés aux besoins des victimes</w:t>
      </w:r>
      <w:r w:rsidR="000B562B" w:rsidRPr="002762FE">
        <w:rPr>
          <w:lang w:val="fr-FR"/>
        </w:rPr>
        <w:t>.</w:t>
      </w:r>
    </w:p>
    <w:p w:rsidR="000B562B" w:rsidRPr="00A176EA" w:rsidRDefault="00FD2CE1" w:rsidP="00DE1014">
      <w:pPr>
        <w:pStyle w:val="H23G"/>
        <w:rPr>
          <w:lang w:val="fr-FR"/>
        </w:rPr>
      </w:pPr>
      <w:r w:rsidRPr="002762FE">
        <w:rPr>
          <w:snapToGrid w:val="0"/>
          <w:lang w:val="fr-FR"/>
        </w:rPr>
        <w:t>Écosse</w:t>
      </w:r>
    </w:p>
    <w:p w:rsidR="000B562B" w:rsidRPr="00A176EA" w:rsidRDefault="002549A9" w:rsidP="00A801B9">
      <w:pPr>
        <w:pStyle w:val="SingleTxtG"/>
        <w:rPr>
          <w:lang w:val="fr-FR"/>
        </w:rPr>
      </w:pPr>
      <w:r w:rsidRPr="00A176EA">
        <w:rPr>
          <w:lang w:val="fr-FR"/>
        </w:rPr>
        <w:t>502.</w:t>
      </w:r>
      <w:r w:rsidRPr="00A176EA">
        <w:rPr>
          <w:lang w:val="fr-FR"/>
        </w:rPr>
        <w:tab/>
      </w:r>
      <w:r w:rsidR="002762FE">
        <w:rPr>
          <w:lang w:val="fr-FR"/>
        </w:rPr>
        <w:t>Le Gouvernement écossais</w:t>
      </w:r>
      <w:r w:rsidR="000B562B" w:rsidRPr="00A176EA">
        <w:rPr>
          <w:lang w:val="fr-FR"/>
        </w:rPr>
        <w:t xml:space="preserve"> </w:t>
      </w:r>
      <w:r w:rsidR="002762FE">
        <w:rPr>
          <w:lang w:val="fr-FR"/>
        </w:rPr>
        <w:t xml:space="preserve">a subventionné Victim Support </w:t>
      </w:r>
      <w:r w:rsidR="002762FE" w:rsidRPr="002762FE">
        <w:rPr>
          <w:lang w:val="fr-FR"/>
        </w:rPr>
        <w:t>Écosse</w:t>
      </w:r>
      <w:r w:rsidR="002762FE">
        <w:rPr>
          <w:lang w:val="fr-FR"/>
        </w:rPr>
        <w:t xml:space="preserve"> à hauteur de 4,2</w:t>
      </w:r>
      <w:r w:rsidR="00101830">
        <w:rPr>
          <w:lang w:val="fr-FR"/>
        </w:rPr>
        <w:t> </w:t>
      </w:r>
      <w:r w:rsidR="002762FE">
        <w:rPr>
          <w:lang w:val="fr-FR"/>
        </w:rPr>
        <w:t xml:space="preserve">millions de livres sterling en 2008-2009. Cela a permis à cet organisme de continuer à fournir un soutien psychologique et concret aux victimes et aux témoins, et de </w:t>
      </w:r>
      <w:r w:rsidR="001924D6">
        <w:rPr>
          <w:lang w:val="fr-FR"/>
        </w:rPr>
        <w:t>mettre en place un nouvel arsenal de moyens pour évaluer les besoins, ainsi qu’une enquête de satisfaction en ligne visant à améliorer les services d’aide aux victimes</w:t>
      </w:r>
      <w:r w:rsidR="000B562B" w:rsidRPr="00A176EA">
        <w:rPr>
          <w:lang w:val="fr-FR"/>
        </w:rPr>
        <w:t>.</w:t>
      </w:r>
    </w:p>
    <w:p w:rsidR="000B562B" w:rsidRPr="001924D6" w:rsidRDefault="008F3DA4" w:rsidP="00DE1014">
      <w:pPr>
        <w:pStyle w:val="H23G"/>
        <w:rPr>
          <w:lang w:val="fr-FR"/>
        </w:rPr>
      </w:pPr>
      <w:r w:rsidRPr="001924D6">
        <w:rPr>
          <w:lang w:val="fr-FR"/>
        </w:rPr>
        <w:t>Irlande du Nord</w:t>
      </w:r>
    </w:p>
    <w:p w:rsidR="000B562B" w:rsidRPr="00A176EA" w:rsidRDefault="002549A9" w:rsidP="001924D6">
      <w:pPr>
        <w:pStyle w:val="SingleTxtG"/>
        <w:rPr>
          <w:lang w:val="fr-FR"/>
        </w:rPr>
      </w:pPr>
      <w:r w:rsidRPr="001924D6">
        <w:rPr>
          <w:lang w:val="fr-FR"/>
        </w:rPr>
        <w:t>503.</w:t>
      </w:r>
      <w:r w:rsidRPr="001924D6">
        <w:rPr>
          <w:lang w:val="fr-FR"/>
        </w:rPr>
        <w:tab/>
      </w:r>
      <w:r w:rsidR="001924D6" w:rsidRPr="001924D6">
        <w:rPr>
          <w:lang w:val="fr-FR"/>
        </w:rPr>
        <w:t>Le Gouvernement</w:t>
      </w:r>
      <w:r w:rsidR="000B562B" w:rsidRPr="001924D6">
        <w:rPr>
          <w:lang w:val="fr-FR"/>
        </w:rPr>
        <w:t xml:space="preserve"> </w:t>
      </w:r>
      <w:r w:rsidR="001924D6" w:rsidRPr="001924D6">
        <w:rPr>
          <w:lang w:val="fr-FR"/>
        </w:rPr>
        <w:t>d’</w:t>
      </w:r>
      <w:r w:rsidR="008F3DA4" w:rsidRPr="001924D6">
        <w:rPr>
          <w:lang w:val="fr-FR"/>
        </w:rPr>
        <w:t>Irlande du Nord</w:t>
      </w:r>
      <w:r w:rsidR="000B562B" w:rsidRPr="00A176EA">
        <w:rPr>
          <w:lang w:val="fr-FR"/>
        </w:rPr>
        <w:t xml:space="preserve"> </w:t>
      </w:r>
      <w:r w:rsidR="001924D6">
        <w:rPr>
          <w:lang w:val="fr-FR"/>
        </w:rPr>
        <w:t xml:space="preserve">subventionne Victim Support Irlande du Nord à hauteur d’un peu plus de 2 millions de livres sterling pour fournir des services de soutien aux victimes </w:t>
      </w:r>
      <w:r w:rsidR="00657DA1">
        <w:rPr>
          <w:lang w:val="fr-FR"/>
        </w:rPr>
        <w:t>d’actes criminels</w:t>
      </w:r>
      <w:r w:rsidR="001924D6">
        <w:rPr>
          <w:lang w:val="fr-FR"/>
        </w:rPr>
        <w:t>, aider les victimes réclamant une indemnisation et aider les victimes et les témoins appelés à témoigner devant un tribunal</w:t>
      </w:r>
      <w:r w:rsidR="000B562B" w:rsidRPr="00A176EA">
        <w:rPr>
          <w:lang w:val="fr-FR"/>
        </w:rPr>
        <w:t>.</w:t>
      </w:r>
    </w:p>
    <w:p w:rsidR="000B562B" w:rsidRPr="001924D6" w:rsidRDefault="008E3816" w:rsidP="001C135E">
      <w:pPr>
        <w:pStyle w:val="H1G"/>
      </w:pPr>
      <w:bookmarkStart w:id="61" w:name="_Toc299724747"/>
      <w:r>
        <w:tab/>
      </w:r>
      <w:r>
        <w:tab/>
      </w:r>
      <w:r w:rsidR="000B562B" w:rsidRPr="001924D6">
        <w:t>Article 15</w:t>
      </w:r>
      <w:bookmarkEnd w:id="61"/>
      <w:r w:rsidR="00207656">
        <w:br/>
      </w:r>
      <w:r w:rsidR="002762FE" w:rsidRPr="001924D6">
        <w:t>Recevabilité d</w:t>
      </w:r>
      <w:r w:rsidR="00766830">
        <w:t xml:space="preserve">es </w:t>
      </w:r>
      <w:r w:rsidR="002762FE" w:rsidRPr="001924D6">
        <w:t>aveux en tant que preu</w:t>
      </w:r>
      <w:r w:rsidR="00766830">
        <w:t>v</w:t>
      </w:r>
      <w:r w:rsidR="002762FE" w:rsidRPr="001924D6">
        <w:t>e</w:t>
      </w:r>
    </w:p>
    <w:p w:rsidR="000B562B" w:rsidRPr="001924D6" w:rsidRDefault="002762FE" w:rsidP="00DE1014">
      <w:pPr>
        <w:pStyle w:val="H23G"/>
        <w:rPr>
          <w:lang w:val="fr-FR"/>
        </w:rPr>
      </w:pPr>
      <w:r w:rsidRPr="001924D6">
        <w:rPr>
          <w:lang w:val="fr-FR"/>
        </w:rPr>
        <w:t>Angleterre et p</w:t>
      </w:r>
      <w:r w:rsidR="005601A1" w:rsidRPr="001924D6">
        <w:rPr>
          <w:lang w:val="fr-FR"/>
        </w:rPr>
        <w:t>ays de Galles</w:t>
      </w:r>
    </w:p>
    <w:p w:rsidR="000B562B" w:rsidRPr="00A176EA" w:rsidRDefault="002549A9" w:rsidP="00311042">
      <w:pPr>
        <w:pStyle w:val="SingleTxtG"/>
        <w:rPr>
          <w:lang w:val="fr-FR"/>
        </w:rPr>
      </w:pPr>
      <w:r w:rsidRPr="001924D6">
        <w:rPr>
          <w:lang w:val="fr-FR"/>
        </w:rPr>
        <w:t>504.</w:t>
      </w:r>
      <w:r w:rsidRPr="001924D6">
        <w:rPr>
          <w:lang w:val="fr-FR"/>
        </w:rPr>
        <w:tab/>
      </w:r>
      <w:r w:rsidR="002762FE" w:rsidRPr="001924D6">
        <w:rPr>
          <w:lang w:val="fr-FR"/>
        </w:rPr>
        <w:t>Ainsi qu’il a été expliqué aux</w:t>
      </w:r>
      <w:r w:rsidR="000B562B" w:rsidRPr="001924D6">
        <w:rPr>
          <w:lang w:val="fr-FR"/>
        </w:rPr>
        <w:t xml:space="preserve"> paragraph</w:t>
      </w:r>
      <w:r w:rsidR="002762FE" w:rsidRPr="001924D6">
        <w:rPr>
          <w:lang w:val="fr-FR"/>
        </w:rPr>
        <w:t>e</w:t>
      </w:r>
      <w:r w:rsidR="000B562B" w:rsidRPr="001924D6">
        <w:rPr>
          <w:lang w:val="fr-FR"/>
        </w:rPr>
        <w:t>s 121</w:t>
      </w:r>
      <w:r w:rsidR="002762FE" w:rsidRPr="001924D6">
        <w:rPr>
          <w:lang w:val="fr-FR"/>
        </w:rPr>
        <w:t xml:space="preserve"> à </w:t>
      </w:r>
      <w:r w:rsidR="000B562B" w:rsidRPr="001924D6">
        <w:rPr>
          <w:lang w:val="fr-FR"/>
        </w:rPr>
        <w:t xml:space="preserve">123 </w:t>
      </w:r>
      <w:r w:rsidR="002762FE" w:rsidRPr="001924D6">
        <w:rPr>
          <w:lang w:val="fr-FR"/>
        </w:rPr>
        <w:t xml:space="preserve">du rapport </w:t>
      </w:r>
      <w:r w:rsidR="000B562B" w:rsidRPr="001924D6">
        <w:rPr>
          <w:lang w:val="fr-FR"/>
        </w:rPr>
        <w:t xml:space="preserve">initial, </w:t>
      </w:r>
      <w:r w:rsidR="002762FE" w:rsidRPr="001924D6">
        <w:rPr>
          <w:lang w:val="fr-FR"/>
        </w:rPr>
        <w:t xml:space="preserve">tant au titre des dispositions législatives que de la </w:t>
      </w:r>
      <w:r w:rsidR="002762FE" w:rsidRPr="001924D6">
        <w:rPr>
          <w:i/>
          <w:lang w:val="fr-FR"/>
        </w:rPr>
        <w:t>common law</w:t>
      </w:r>
      <w:r w:rsidR="002762FE" w:rsidRPr="001924D6">
        <w:rPr>
          <w:lang w:val="fr-FR"/>
        </w:rPr>
        <w:t xml:space="preserve">, les aveux susceptibles d’avoir été obtenus sous la contrainte ne sont pas recevables au Royaume-Uni en tant que preuve contre la personne qui </w:t>
      </w:r>
      <w:r w:rsidR="00A941C3">
        <w:rPr>
          <w:lang w:val="fr-FR"/>
        </w:rPr>
        <w:t>les a faits</w:t>
      </w:r>
      <w:r w:rsidR="000B562B" w:rsidRPr="001924D6">
        <w:rPr>
          <w:lang w:val="fr-FR"/>
        </w:rPr>
        <w:t>.</w:t>
      </w:r>
      <w:r w:rsidR="000B562B" w:rsidRPr="00A176EA">
        <w:rPr>
          <w:lang w:val="fr-FR"/>
        </w:rPr>
        <w:t xml:space="preserve"> </w:t>
      </w:r>
      <w:r w:rsidR="009508E6">
        <w:rPr>
          <w:lang w:val="fr-FR"/>
        </w:rPr>
        <w:t xml:space="preserve">Pour juger de la recevabilité d’aveux, le tribunal </w:t>
      </w:r>
      <w:r w:rsidR="00101830">
        <w:rPr>
          <w:lang w:val="fr-FR"/>
        </w:rPr>
        <w:t>d</w:t>
      </w:r>
      <w:r w:rsidR="009508E6">
        <w:rPr>
          <w:lang w:val="fr-FR"/>
        </w:rPr>
        <w:t>oit se référer aux articles 76 et 78 de la loi de 1984 sur la police et les preuves pénales. La législation relative aux droits de l’homme (art</w:t>
      </w:r>
      <w:r w:rsidR="00311042">
        <w:rPr>
          <w:lang w:val="fr-FR"/>
        </w:rPr>
        <w:t>.</w:t>
      </w:r>
      <w:r w:rsidR="009508E6">
        <w:rPr>
          <w:lang w:val="fr-FR"/>
        </w:rPr>
        <w:t xml:space="preserve"> 3 de la Convention européenne des droits de l’homme tel qu’il a été transposé dans ladite loi) prévoit également que le tribunal peut ne pas retenir des aveux obtenus</w:t>
      </w:r>
      <w:r w:rsidR="00A941C3">
        <w:rPr>
          <w:lang w:val="fr-FR"/>
        </w:rPr>
        <w:t xml:space="preserve"> en violation des droits visés dans la Convention</w:t>
      </w:r>
      <w:r w:rsidR="000B562B" w:rsidRPr="00A176EA">
        <w:rPr>
          <w:lang w:val="fr-FR"/>
        </w:rPr>
        <w:t>.</w:t>
      </w:r>
    </w:p>
    <w:p w:rsidR="000B562B" w:rsidRPr="00EF4795" w:rsidRDefault="002549A9" w:rsidP="00EF4795">
      <w:pPr>
        <w:pStyle w:val="SingleTxtG"/>
        <w:rPr>
          <w:lang w:val="fr-FR"/>
        </w:rPr>
      </w:pPr>
      <w:r w:rsidRPr="00A176EA">
        <w:rPr>
          <w:lang w:val="fr-FR"/>
        </w:rPr>
        <w:t>505.</w:t>
      </w:r>
      <w:r w:rsidRPr="00A176EA">
        <w:rPr>
          <w:lang w:val="fr-FR"/>
        </w:rPr>
        <w:tab/>
      </w:r>
      <w:r w:rsidR="00637857">
        <w:rPr>
          <w:lang w:val="fr-FR"/>
        </w:rPr>
        <w:t>Ce principe a été renforcé par l’affaire</w:t>
      </w:r>
      <w:r w:rsidR="007B4F34">
        <w:rPr>
          <w:lang w:val="fr-FR"/>
        </w:rPr>
        <w:t xml:space="preserve"> </w:t>
      </w:r>
      <w:r w:rsidR="007B4F34" w:rsidRPr="00D36AE0">
        <w:rPr>
          <w:i/>
          <w:iCs/>
          <w:lang w:val="fr-FR"/>
        </w:rPr>
        <w:t>A</w:t>
      </w:r>
      <w:r w:rsidR="007B4F34">
        <w:rPr>
          <w:lang w:val="fr-FR"/>
        </w:rPr>
        <w:t xml:space="preserve"> c. </w:t>
      </w:r>
      <w:r w:rsidR="007B4F34" w:rsidRPr="00D36AE0">
        <w:rPr>
          <w:i/>
          <w:iCs/>
          <w:lang w:val="fr-FR"/>
        </w:rPr>
        <w:t>Ministre de l’intérieur</w:t>
      </w:r>
      <w:r w:rsidR="00311042">
        <w:rPr>
          <w:lang w:val="fr-FR"/>
        </w:rPr>
        <w:t xml:space="preserve"> (n</w:t>
      </w:r>
      <w:r w:rsidR="007B4F34">
        <w:rPr>
          <w:lang w:val="fr-FR"/>
        </w:rPr>
        <w:t xml:space="preserve">° 2) </w:t>
      </w:r>
      <w:r w:rsidR="000B562B" w:rsidRPr="00A176EA">
        <w:rPr>
          <w:lang w:val="fr-FR"/>
        </w:rPr>
        <w:t xml:space="preserve">[2006]. </w:t>
      </w:r>
      <w:r w:rsidR="00DE1905">
        <w:rPr>
          <w:lang w:val="fr-FR"/>
        </w:rPr>
        <w:t>La Chambre des lords a</w:t>
      </w:r>
      <w:r w:rsidR="00EF4795">
        <w:rPr>
          <w:lang w:val="fr-FR"/>
        </w:rPr>
        <w:t xml:space="preserve"> indiqué clairement que les éléments de preuve obtenus par la torture n’étaient pas recevables dans les procédures judiciaires</w:t>
      </w:r>
      <w:r w:rsidR="00DE1905">
        <w:rPr>
          <w:lang w:val="fr-FR"/>
        </w:rPr>
        <w:t xml:space="preserve">. En outre, s’agissant des poursuites pénales en Angleterre et au </w:t>
      </w:r>
      <w:r w:rsidR="00A941C3">
        <w:rPr>
          <w:lang w:val="fr-FR"/>
        </w:rPr>
        <w:t>p</w:t>
      </w:r>
      <w:r w:rsidR="005601A1">
        <w:rPr>
          <w:lang w:val="fr-FR"/>
        </w:rPr>
        <w:t>ays de Galles</w:t>
      </w:r>
      <w:r w:rsidR="00DE1905">
        <w:rPr>
          <w:lang w:val="fr-FR"/>
        </w:rPr>
        <w:t>, l’article</w:t>
      </w:r>
      <w:r w:rsidR="000B562B" w:rsidRPr="00A176EA">
        <w:rPr>
          <w:lang w:val="fr-FR"/>
        </w:rPr>
        <w:t xml:space="preserve"> 76 </w:t>
      </w:r>
      <w:r w:rsidR="00DE1905">
        <w:rPr>
          <w:lang w:val="fr-FR"/>
        </w:rPr>
        <w:t xml:space="preserve">de la loi de 1984 sur la police et les preuves pénales stipule qu’un </w:t>
      </w:r>
      <w:r w:rsidR="00EF4795">
        <w:rPr>
          <w:lang w:val="fr-FR"/>
        </w:rPr>
        <w:t>tribunal ne saurait retenir des aveux comme élément de preuve contre un accusé si le ministère public n’a pas établi au-delà de tout doute raisonnable qu’ils n’ont pas été obtenus par la contrainte ou suite à des paroles ou des actes susceptibles d’entacher leur fiabilité. L</w:t>
      </w:r>
      <w:r w:rsidR="00C0693F">
        <w:rPr>
          <w:lang w:val="fr-FR"/>
        </w:rPr>
        <w:t>e paragraphe 8 de l</w:t>
      </w:r>
      <w:r w:rsidR="00EF4795" w:rsidRPr="009C00B9">
        <w:rPr>
          <w:lang w:val="fr-FR"/>
        </w:rPr>
        <w:t>’article</w:t>
      </w:r>
      <w:r w:rsidR="00EF4795">
        <w:rPr>
          <w:lang w:val="fr-FR"/>
        </w:rPr>
        <w:t xml:space="preserve"> 76 de la loi précise que l</w:t>
      </w:r>
      <w:r w:rsidR="00E50B21">
        <w:rPr>
          <w:lang w:val="fr-FR"/>
        </w:rPr>
        <w:t xml:space="preserve">a </w:t>
      </w:r>
      <w:r w:rsidR="00CD0110">
        <w:rPr>
          <w:lang w:val="fr-FR"/>
        </w:rPr>
        <w:t>«</w:t>
      </w:r>
      <w:r w:rsidR="00E50B21">
        <w:rPr>
          <w:lang w:val="fr-FR"/>
        </w:rPr>
        <w:t>contrainte</w:t>
      </w:r>
      <w:r w:rsidR="00CD0110">
        <w:rPr>
          <w:lang w:val="fr-FR"/>
        </w:rPr>
        <w:t>»</w:t>
      </w:r>
      <w:r w:rsidR="00EF4795">
        <w:rPr>
          <w:lang w:val="fr-FR"/>
        </w:rPr>
        <w:t xml:space="preserve"> inclut la torture. Aux termes de </w:t>
      </w:r>
      <w:r w:rsidR="00EF4795" w:rsidRPr="009C00B9">
        <w:rPr>
          <w:lang w:val="fr-FR"/>
        </w:rPr>
        <w:t>l’article</w:t>
      </w:r>
      <w:r w:rsidR="00EF4795">
        <w:rPr>
          <w:lang w:val="fr-FR"/>
        </w:rPr>
        <w:t xml:space="preserve"> 78 de la loi, un tribunal est habilité à écarter des aveux sur lesquels s’appuie le ministère public si les déclarer recevables en tant que preuve aurait pour effet de rendre la procédure inéquitable. Cela s’applique, en tout état de cause, aux aveux obtenus par la torture. Des dispositions similaires </w:t>
      </w:r>
      <w:r w:rsidR="00CB2353">
        <w:rPr>
          <w:lang w:val="fr-FR"/>
        </w:rPr>
        <w:t xml:space="preserve">existent </w:t>
      </w:r>
      <w:r w:rsidR="00EF4795" w:rsidRPr="00EF4795">
        <w:rPr>
          <w:lang w:val="fr-FR"/>
        </w:rPr>
        <w:t xml:space="preserve">en </w:t>
      </w:r>
      <w:r w:rsidR="00FD2CE1" w:rsidRPr="00EF4795">
        <w:rPr>
          <w:lang w:val="fr-FR"/>
        </w:rPr>
        <w:t>Écosse</w:t>
      </w:r>
      <w:r w:rsidR="000B562B" w:rsidRPr="00EF4795">
        <w:rPr>
          <w:lang w:val="fr-FR"/>
        </w:rPr>
        <w:t xml:space="preserve"> </w:t>
      </w:r>
      <w:r w:rsidR="00EF4795" w:rsidRPr="00EF4795">
        <w:rPr>
          <w:lang w:val="fr-FR"/>
        </w:rPr>
        <w:t>et en</w:t>
      </w:r>
      <w:r w:rsidR="000B562B" w:rsidRPr="00EF4795">
        <w:rPr>
          <w:lang w:val="fr-FR"/>
        </w:rPr>
        <w:t xml:space="preserve"> </w:t>
      </w:r>
      <w:r w:rsidR="008F3DA4" w:rsidRPr="00EF4795">
        <w:rPr>
          <w:lang w:val="fr-FR"/>
        </w:rPr>
        <w:t>Irlande du Nord</w:t>
      </w:r>
      <w:r w:rsidR="000B562B" w:rsidRPr="00EF4795">
        <w:rPr>
          <w:lang w:val="fr-FR"/>
        </w:rPr>
        <w:t>.</w:t>
      </w:r>
    </w:p>
    <w:p w:rsidR="000B562B" w:rsidRPr="00EF4795" w:rsidRDefault="00FD2CE1" w:rsidP="00DE1014">
      <w:pPr>
        <w:pStyle w:val="H23G"/>
        <w:rPr>
          <w:lang w:val="fr-FR"/>
        </w:rPr>
      </w:pPr>
      <w:r w:rsidRPr="00EF4795">
        <w:rPr>
          <w:lang w:val="fr-FR"/>
        </w:rPr>
        <w:t>Écosse</w:t>
      </w:r>
    </w:p>
    <w:p w:rsidR="000B562B" w:rsidRPr="00EF4795" w:rsidRDefault="002549A9" w:rsidP="00A801B9">
      <w:pPr>
        <w:pStyle w:val="SingleTxtG"/>
        <w:rPr>
          <w:lang w:val="fr-FR"/>
        </w:rPr>
      </w:pPr>
      <w:r w:rsidRPr="00EF4795">
        <w:rPr>
          <w:lang w:val="fr-FR"/>
        </w:rPr>
        <w:t>506.</w:t>
      </w:r>
      <w:r w:rsidRPr="00EF4795">
        <w:rPr>
          <w:lang w:val="fr-FR"/>
        </w:rPr>
        <w:tab/>
      </w:r>
      <w:r w:rsidR="00A941C3" w:rsidRPr="00EF4795">
        <w:rPr>
          <w:lang w:val="fr-FR"/>
        </w:rPr>
        <w:t xml:space="preserve">La loi de 1984 sur la police et les preuves </w:t>
      </w:r>
      <w:r w:rsidR="00EF4795" w:rsidRPr="00EF4795">
        <w:rPr>
          <w:lang w:val="fr-FR"/>
        </w:rPr>
        <w:t>pénales</w:t>
      </w:r>
      <w:r w:rsidR="00A941C3" w:rsidRPr="00EF4795">
        <w:rPr>
          <w:lang w:val="fr-FR"/>
        </w:rPr>
        <w:t xml:space="preserve"> ne s’applique pas à l’</w:t>
      </w:r>
      <w:r w:rsidR="00FD2CE1" w:rsidRPr="00EF4795">
        <w:rPr>
          <w:lang w:val="fr-FR"/>
        </w:rPr>
        <w:t>Écosse</w:t>
      </w:r>
      <w:r w:rsidR="00A941C3" w:rsidRPr="00EF4795">
        <w:rPr>
          <w:lang w:val="fr-FR"/>
        </w:rPr>
        <w:t xml:space="preserve"> mais le même principe, suivant lequel des aveux obtenus sous la contrainte sont irrecevables</w:t>
      </w:r>
      <w:r w:rsidR="000B562B" w:rsidRPr="00EF4795">
        <w:rPr>
          <w:lang w:val="fr-FR"/>
        </w:rPr>
        <w:t xml:space="preserve">, </w:t>
      </w:r>
      <w:r w:rsidR="00A941C3" w:rsidRPr="00EF4795">
        <w:rPr>
          <w:lang w:val="fr-FR"/>
        </w:rPr>
        <w:t>s’applique</w:t>
      </w:r>
      <w:r w:rsidR="000B562B" w:rsidRPr="00EF4795">
        <w:rPr>
          <w:lang w:val="fr-FR"/>
        </w:rPr>
        <w:t>.</w:t>
      </w:r>
    </w:p>
    <w:p w:rsidR="000B562B" w:rsidRPr="00EF4795" w:rsidRDefault="008F3DA4" w:rsidP="00DE1014">
      <w:pPr>
        <w:pStyle w:val="H23G"/>
        <w:rPr>
          <w:lang w:val="fr-FR"/>
        </w:rPr>
      </w:pPr>
      <w:r w:rsidRPr="00EF4795">
        <w:rPr>
          <w:lang w:val="fr-FR"/>
        </w:rPr>
        <w:t>Irlande du Nord</w:t>
      </w:r>
    </w:p>
    <w:p w:rsidR="000B562B" w:rsidRPr="00EF4795" w:rsidRDefault="002549A9" w:rsidP="00A801B9">
      <w:pPr>
        <w:pStyle w:val="SingleTxtG"/>
        <w:rPr>
          <w:lang w:val="fr-FR"/>
        </w:rPr>
      </w:pPr>
      <w:r w:rsidRPr="00EF4795">
        <w:rPr>
          <w:lang w:val="fr-FR"/>
        </w:rPr>
        <w:t>507.</w:t>
      </w:r>
      <w:r w:rsidRPr="00EF4795">
        <w:rPr>
          <w:lang w:val="fr-FR"/>
        </w:rPr>
        <w:tab/>
      </w:r>
      <w:r w:rsidR="00A941C3" w:rsidRPr="00EF4795">
        <w:rPr>
          <w:lang w:val="fr-FR"/>
        </w:rPr>
        <w:t>La situation pour l’</w:t>
      </w:r>
      <w:r w:rsidR="008F3DA4" w:rsidRPr="00EF4795">
        <w:rPr>
          <w:lang w:val="fr-FR"/>
        </w:rPr>
        <w:t>Irlande du Nord</w:t>
      </w:r>
      <w:r w:rsidR="000B562B" w:rsidRPr="00EF4795">
        <w:rPr>
          <w:lang w:val="fr-FR"/>
        </w:rPr>
        <w:t xml:space="preserve"> </w:t>
      </w:r>
      <w:r w:rsidR="00A941C3" w:rsidRPr="00EF4795">
        <w:rPr>
          <w:lang w:val="fr-FR"/>
        </w:rPr>
        <w:t xml:space="preserve">a été exposée au paragraphe </w:t>
      </w:r>
      <w:r w:rsidR="00A941C3" w:rsidRPr="00CC295F">
        <w:rPr>
          <w:lang w:val="fr-FR"/>
        </w:rPr>
        <w:t xml:space="preserve">280 </w:t>
      </w:r>
      <w:r w:rsidR="00A941C3" w:rsidRPr="00EF4795">
        <w:rPr>
          <w:lang w:val="fr-FR"/>
        </w:rPr>
        <w:t>du quatrième rapport du Royaume-Uni</w:t>
      </w:r>
      <w:r w:rsidR="000B562B" w:rsidRPr="00EF4795">
        <w:rPr>
          <w:lang w:val="fr-FR"/>
        </w:rPr>
        <w:t>.</w:t>
      </w:r>
    </w:p>
    <w:p w:rsidR="000B562B" w:rsidRPr="00EF4795" w:rsidRDefault="008E3816" w:rsidP="001C135E">
      <w:pPr>
        <w:pStyle w:val="H1G"/>
      </w:pPr>
      <w:bookmarkStart w:id="62" w:name="_Toc299724748"/>
      <w:r>
        <w:tab/>
      </w:r>
      <w:r>
        <w:tab/>
      </w:r>
      <w:r w:rsidR="000B562B" w:rsidRPr="00EF4795">
        <w:t>Article 16</w:t>
      </w:r>
      <w:r w:rsidR="00CC295F">
        <w:br/>
      </w:r>
      <w:r w:rsidR="00A941C3" w:rsidRPr="00EF4795">
        <w:t xml:space="preserve">Autres actes constitutifs de peines ou traitements cruels, inhumains ou dégradants qui ne sont pas des actes de </w:t>
      </w:r>
      <w:r w:rsidR="000B562B" w:rsidRPr="00EF4795">
        <w:t>torture</w:t>
      </w:r>
      <w:bookmarkEnd w:id="62"/>
    </w:p>
    <w:p w:rsidR="000B562B" w:rsidRPr="00EF4795" w:rsidRDefault="00A941C3" w:rsidP="00A801B9">
      <w:pPr>
        <w:pStyle w:val="H23G"/>
        <w:rPr>
          <w:lang w:val="fr-FR"/>
        </w:rPr>
      </w:pPr>
      <w:bookmarkStart w:id="63" w:name="_Toc299724749"/>
      <w:r w:rsidRPr="00EF4795">
        <w:rPr>
          <w:lang w:val="fr-FR"/>
        </w:rPr>
        <w:t>Population carcérale</w:t>
      </w:r>
      <w:r w:rsidR="000B562B" w:rsidRPr="00EF4795">
        <w:rPr>
          <w:lang w:val="fr-FR"/>
        </w:rPr>
        <w:t xml:space="preserve"> </w:t>
      </w:r>
      <w:bookmarkEnd w:id="63"/>
    </w:p>
    <w:p w:rsidR="000B562B" w:rsidRPr="00A176EA" w:rsidRDefault="00A941C3" w:rsidP="00DE1014">
      <w:pPr>
        <w:pStyle w:val="H23G"/>
        <w:rPr>
          <w:lang w:val="fr-FR"/>
        </w:rPr>
      </w:pPr>
      <w:r w:rsidRPr="00EF4795">
        <w:rPr>
          <w:lang w:val="fr-FR"/>
        </w:rPr>
        <w:t>Angleterre et</w:t>
      </w:r>
      <w:r w:rsidR="000B562B" w:rsidRPr="00EF4795">
        <w:rPr>
          <w:lang w:val="fr-FR"/>
        </w:rPr>
        <w:t xml:space="preserve"> </w:t>
      </w:r>
      <w:r w:rsidRPr="00EF4795">
        <w:rPr>
          <w:lang w:val="fr-FR"/>
        </w:rPr>
        <w:t>p</w:t>
      </w:r>
      <w:r w:rsidR="005601A1" w:rsidRPr="00EF4795">
        <w:rPr>
          <w:lang w:val="fr-FR"/>
        </w:rPr>
        <w:t>ays de Galles</w:t>
      </w:r>
    </w:p>
    <w:p w:rsidR="000B562B" w:rsidRPr="00A176EA" w:rsidRDefault="002549A9" w:rsidP="006B737F">
      <w:pPr>
        <w:pStyle w:val="SingleTxtG"/>
        <w:rPr>
          <w:lang w:val="fr-FR"/>
        </w:rPr>
      </w:pPr>
      <w:r w:rsidRPr="00A176EA">
        <w:rPr>
          <w:lang w:val="fr-FR"/>
        </w:rPr>
        <w:t>508.</w:t>
      </w:r>
      <w:r w:rsidRPr="00A176EA">
        <w:rPr>
          <w:lang w:val="fr-FR"/>
        </w:rPr>
        <w:tab/>
      </w:r>
      <w:r w:rsidR="006B737F">
        <w:rPr>
          <w:lang w:val="fr-FR"/>
        </w:rPr>
        <w:t>La population carcérale a nettement augmenté depuis le milieu des années 90, passant de 61 470 détenus en juin 1997 à 84 883 en avril 2011. Le chiffre le plus élevé connu était de 85 495 détenus au 1</w:t>
      </w:r>
      <w:r w:rsidR="006B737F" w:rsidRPr="006B737F">
        <w:rPr>
          <w:vertAlign w:val="superscript"/>
          <w:lang w:val="fr-FR"/>
        </w:rPr>
        <w:t>er</w:t>
      </w:r>
      <w:r w:rsidR="006B737F">
        <w:rPr>
          <w:lang w:val="fr-FR"/>
        </w:rPr>
        <w:t xml:space="preserve"> octobre </w:t>
      </w:r>
      <w:r w:rsidR="000B562B" w:rsidRPr="00A176EA">
        <w:rPr>
          <w:lang w:val="fr-FR"/>
        </w:rPr>
        <w:t>2010.</w:t>
      </w:r>
    </w:p>
    <w:p w:rsidR="000B562B" w:rsidRPr="00A176EA" w:rsidRDefault="002549A9" w:rsidP="006B737F">
      <w:pPr>
        <w:pStyle w:val="SingleTxtG"/>
        <w:rPr>
          <w:lang w:val="fr-FR"/>
        </w:rPr>
      </w:pPr>
      <w:r w:rsidRPr="00A176EA">
        <w:rPr>
          <w:lang w:val="fr-FR"/>
        </w:rPr>
        <w:t>509.</w:t>
      </w:r>
      <w:r w:rsidRPr="00A176EA">
        <w:rPr>
          <w:lang w:val="fr-FR"/>
        </w:rPr>
        <w:tab/>
      </w:r>
      <w:r w:rsidR="006B737F">
        <w:rPr>
          <w:lang w:val="fr-FR"/>
        </w:rPr>
        <w:t>Les dernières projections du Ministère de la justice relatives à la population carcérale (août 2010) indiquaient qu’elle pouvait passer à 92 000 détenus d’ici 2014. Des places d’hébergement supplémentaires ont été créées à cet effet et permettront de fermer celles qui, vétustes et inefficaces, ne conviennent plus</w:t>
      </w:r>
      <w:r w:rsidR="000B562B" w:rsidRPr="00A176EA">
        <w:rPr>
          <w:lang w:val="fr-FR"/>
        </w:rPr>
        <w:t>.</w:t>
      </w:r>
    </w:p>
    <w:p w:rsidR="000B562B" w:rsidRPr="00A176EA" w:rsidRDefault="002549A9" w:rsidP="00194B4E">
      <w:pPr>
        <w:pStyle w:val="SingleTxtG"/>
        <w:rPr>
          <w:lang w:val="fr-FR"/>
        </w:rPr>
      </w:pPr>
      <w:r w:rsidRPr="00A176EA">
        <w:rPr>
          <w:lang w:val="fr-FR"/>
        </w:rPr>
        <w:t>510.</w:t>
      </w:r>
      <w:r w:rsidRPr="00A176EA">
        <w:rPr>
          <w:lang w:val="fr-FR"/>
        </w:rPr>
        <w:tab/>
      </w:r>
      <w:r w:rsidR="000C4071">
        <w:rPr>
          <w:lang w:val="fr-FR"/>
        </w:rPr>
        <w:t xml:space="preserve">Cependant, deux facteurs ont modifié les perspectives. La croissance de la population carcérale a été plus lente que prévu et le Gouvernement a pris un certain nombre de mesures pour réformer la détermination de la peine dans son livre vert </w:t>
      </w:r>
      <w:r w:rsidR="00DE3FA1">
        <w:rPr>
          <w:lang w:val="fr-FR"/>
        </w:rPr>
        <w:t xml:space="preserve">intitulé </w:t>
      </w:r>
      <w:r w:rsidR="00CD0110">
        <w:rPr>
          <w:lang w:val="fr-FR"/>
        </w:rPr>
        <w:t>«</w:t>
      </w:r>
      <w:r w:rsidR="00DE3FA1">
        <w:rPr>
          <w:lang w:val="fr-FR"/>
        </w:rPr>
        <w:t>Sortir du cercle vicieux</w:t>
      </w:r>
      <w:r w:rsidR="00CD0110">
        <w:rPr>
          <w:lang w:val="fr-FR"/>
        </w:rPr>
        <w:t>»</w:t>
      </w:r>
      <w:r w:rsidR="00DE3FA1">
        <w:rPr>
          <w:lang w:val="fr-FR"/>
        </w:rPr>
        <w:t>. Si ces mesures fonctionnent, la demande de places d’</w:t>
      </w:r>
      <w:r w:rsidR="00194B4E">
        <w:rPr>
          <w:lang w:val="fr-FR"/>
        </w:rPr>
        <w:t>ici la fin de la période d’examen des dépenses publiques se réduira à environ 82 000, soit le niveau de 2008. Ces mesures comprennent</w:t>
      </w:r>
      <w:r w:rsidR="00FC2B97">
        <w:rPr>
          <w:lang w:val="fr-FR"/>
        </w:rPr>
        <w:t>:</w:t>
      </w:r>
    </w:p>
    <w:p w:rsidR="000B562B" w:rsidRPr="00A176EA" w:rsidRDefault="00194B4E" w:rsidP="00BC0033">
      <w:pPr>
        <w:pStyle w:val="Bullet1G"/>
      </w:pPr>
      <w:r>
        <w:t xml:space="preserve">la réduction du nombre de personnes placées en détention provisoire, fondée sur la part de celles qui ne seront </w:t>
      </w:r>
      <w:r w:rsidR="00813B97">
        <w:t xml:space="preserve">probablement </w:t>
      </w:r>
      <w:r>
        <w:t>pas condamnées à une peine privative de liberté si elles sont jugées coupables ou qui seront jugées non coupables</w:t>
      </w:r>
      <w:r w:rsidR="00813B97">
        <w:t xml:space="preserve">, et des mesures pour </w:t>
      </w:r>
      <w:r w:rsidR="0026676A">
        <w:t>réformer la procédure de réincarcération</w:t>
      </w:r>
      <w:r w:rsidR="00FC2B97">
        <w:t>;</w:t>
      </w:r>
    </w:p>
    <w:p w:rsidR="000B562B" w:rsidRPr="00A176EA" w:rsidRDefault="003318CC" w:rsidP="00BC0033">
      <w:pPr>
        <w:pStyle w:val="Bullet1G"/>
      </w:pPr>
      <w:r>
        <w:t>l’introduction de mises en garde conditionnelles pour certains détenus de nationalité étrangère</w:t>
      </w:r>
      <w:r w:rsidR="00FC2B97">
        <w:t>;</w:t>
      </w:r>
      <w:r>
        <w:t xml:space="preserve"> et</w:t>
      </w:r>
    </w:p>
    <w:p w:rsidR="000B562B" w:rsidRPr="00A176EA" w:rsidRDefault="002D6777" w:rsidP="00BC0033">
      <w:pPr>
        <w:pStyle w:val="Bullet1G"/>
      </w:pPr>
      <w:r>
        <w:t xml:space="preserve">des services de liaison et de déjudiciarisation pour que les délinquants </w:t>
      </w:r>
      <w:r w:rsidR="007F65BD">
        <w:t>ayant des problèmes de santé mentale ne soient pas incarcérés mais orientés vers des services de traitement communautaires</w:t>
      </w:r>
      <w:r w:rsidR="000B562B" w:rsidRPr="00A176EA">
        <w:t>.</w:t>
      </w:r>
    </w:p>
    <w:p w:rsidR="000B562B" w:rsidRPr="00A176EA" w:rsidRDefault="002549A9" w:rsidP="00E0792D">
      <w:pPr>
        <w:pStyle w:val="SingleTxtG"/>
        <w:rPr>
          <w:lang w:val="fr-FR"/>
        </w:rPr>
      </w:pPr>
      <w:r w:rsidRPr="00A176EA">
        <w:rPr>
          <w:lang w:val="fr-FR"/>
        </w:rPr>
        <w:t>511.</w:t>
      </w:r>
      <w:r w:rsidRPr="00A176EA">
        <w:rPr>
          <w:lang w:val="fr-FR"/>
        </w:rPr>
        <w:tab/>
      </w:r>
      <w:r w:rsidR="007F65BD">
        <w:rPr>
          <w:lang w:val="fr-FR"/>
        </w:rPr>
        <w:t xml:space="preserve">Le Gouvernement a déjà commencé à prendre des mesures pour mettre cette nouvelle perspective en pratique. Dans les cas où aucun contrat d’extension de capacité d’accueil n’a encore été signé, comme pour les projets de construction de prison à Runwell et Maghull, </w:t>
      </w:r>
      <w:r w:rsidR="00E0792D">
        <w:rPr>
          <w:lang w:val="fr-FR"/>
        </w:rPr>
        <w:t xml:space="preserve">il a été décidé de ne pas poursuivre les opérations. Et compte tenu du nombre de places qui se sont libérées au début de l’année, le Ministre de la justice a annoncé la fermeture pure et simple de deux établissements en janvier (Ashwell et Lancaster Castle) et le retrait d’un troisième (Morton Hall) du système pénitentiaire pour le transformer (ou le requalifier) en </w:t>
      </w:r>
      <w:r w:rsidR="00975911" w:rsidRPr="00E0792D">
        <w:rPr>
          <w:color w:val="000000"/>
          <w:lang w:val="fr-FR"/>
        </w:rPr>
        <w:t>Centre de rétention des services d’immigration</w:t>
      </w:r>
      <w:r w:rsidR="000B562B" w:rsidRPr="00E0792D">
        <w:rPr>
          <w:lang w:val="fr-FR"/>
        </w:rPr>
        <w:t>.</w:t>
      </w:r>
    </w:p>
    <w:p w:rsidR="000B562B" w:rsidRPr="00A176EA" w:rsidRDefault="002549A9" w:rsidP="007759A8">
      <w:pPr>
        <w:pStyle w:val="SingleTxtG"/>
        <w:rPr>
          <w:lang w:val="fr-FR"/>
        </w:rPr>
      </w:pPr>
      <w:r w:rsidRPr="00A176EA">
        <w:rPr>
          <w:lang w:val="fr-FR"/>
        </w:rPr>
        <w:t>512.</w:t>
      </w:r>
      <w:r w:rsidRPr="00A176EA">
        <w:rPr>
          <w:lang w:val="fr-FR"/>
        </w:rPr>
        <w:tab/>
      </w:r>
      <w:r w:rsidR="004D3884">
        <w:rPr>
          <w:lang w:val="fr-FR"/>
        </w:rPr>
        <w:t xml:space="preserve">Toutefois, le Gouvernement poursuit les projets de construction déjà signés. Les travaux ont commencé pour créer 900 nouvelles places à Belmarsh West (Londres) et construire </w:t>
      </w:r>
      <w:r w:rsidR="00B63519">
        <w:rPr>
          <w:lang w:val="fr-FR"/>
        </w:rPr>
        <w:t xml:space="preserve">Featherstone 2, </w:t>
      </w:r>
      <w:r w:rsidR="004D3884">
        <w:rPr>
          <w:lang w:val="fr-FR"/>
        </w:rPr>
        <w:t xml:space="preserve">un nouvel établissement de 1 600 places dans le Staffordshire. </w:t>
      </w:r>
      <w:r w:rsidR="004D3884" w:rsidRPr="007759A8">
        <w:rPr>
          <w:lang w:val="fr-FR"/>
        </w:rPr>
        <w:t xml:space="preserve">Cette nouvelle structure contribuera à moderniser le parc </w:t>
      </w:r>
      <w:r w:rsidR="00B63519" w:rsidRPr="007759A8">
        <w:rPr>
          <w:lang w:val="fr-FR"/>
        </w:rPr>
        <w:t>pénitentiaire</w:t>
      </w:r>
      <w:r w:rsidR="004D3884" w:rsidRPr="007759A8">
        <w:rPr>
          <w:lang w:val="fr-FR"/>
        </w:rPr>
        <w:t xml:space="preserve"> en permettant de fermer les </w:t>
      </w:r>
      <w:r w:rsidR="0026676A">
        <w:rPr>
          <w:lang w:val="fr-FR"/>
        </w:rPr>
        <w:t>locaux</w:t>
      </w:r>
      <w:r w:rsidR="004D3884" w:rsidRPr="007759A8">
        <w:rPr>
          <w:lang w:val="fr-FR"/>
        </w:rPr>
        <w:t xml:space="preserve"> obsolètes et inefficaces, et, par conséquent, </w:t>
      </w:r>
      <w:r w:rsidR="007759A8" w:rsidRPr="007759A8">
        <w:rPr>
          <w:lang w:val="fr-FR"/>
        </w:rPr>
        <w:t xml:space="preserve">d’améliorer le rapport coût/efficacité du système </w:t>
      </w:r>
      <w:r w:rsidR="008E4932" w:rsidRPr="007759A8">
        <w:rPr>
          <w:lang w:val="fr-FR"/>
        </w:rPr>
        <w:t>pénitentiaire</w:t>
      </w:r>
      <w:r w:rsidR="000B562B" w:rsidRPr="007759A8">
        <w:rPr>
          <w:lang w:val="fr-FR"/>
        </w:rPr>
        <w:t>.</w:t>
      </w:r>
    </w:p>
    <w:p w:rsidR="000B562B" w:rsidRPr="00A176EA" w:rsidRDefault="002549A9" w:rsidP="001B4070">
      <w:pPr>
        <w:pStyle w:val="SingleTxtG"/>
        <w:rPr>
          <w:lang w:val="fr-FR"/>
        </w:rPr>
      </w:pPr>
      <w:r w:rsidRPr="00A176EA">
        <w:rPr>
          <w:lang w:val="fr-FR"/>
        </w:rPr>
        <w:t>513.</w:t>
      </w:r>
      <w:r w:rsidRPr="00A176EA">
        <w:rPr>
          <w:lang w:val="fr-FR"/>
        </w:rPr>
        <w:tab/>
      </w:r>
      <w:r w:rsidR="008E7A41">
        <w:rPr>
          <w:lang w:val="fr-FR"/>
        </w:rPr>
        <w:t xml:space="preserve">Le Gouvernement continuera d’examiner les besoins futurs en termes de capacité et décidera de nouvelles fermetures </w:t>
      </w:r>
      <w:r w:rsidR="001B4070">
        <w:rPr>
          <w:lang w:val="fr-FR"/>
        </w:rPr>
        <w:t xml:space="preserve">si la baisse de la population carcérale </w:t>
      </w:r>
      <w:r w:rsidR="00651EA1">
        <w:rPr>
          <w:lang w:val="fr-FR"/>
        </w:rPr>
        <w:t xml:space="preserve">par rapport aux prévisions </w:t>
      </w:r>
      <w:r w:rsidR="001B4070">
        <w:rPr>
          <w:lang w:val="fr-FR"/>
        </w:rPr>
        <w:t>se confirme</w:t>
      </w:r>
      <w:r w:rsidR="000B562B" w:rsidRPr="00A176EA">
        <w:rPr>
          <w:lang w:val="fr-FR"/>
        </w:rPr>
        <w:t>.</w:t>
      </w:r>
    </w:p>
    <w:p w:rsidR="000B562B" w:rsidRPr="001B4070" w:rsidRDefault="00FD2CE1" w:rsidP="00DE1014">
      <w:pPr>
        <w:pStyle w:val="H23G"/>
        <w:rPr>
          <w:lang w:val="fr-FR"/>
        </w:rPr>
      </w:pPr>
      <w:r w:rsidRPr="001B4070">
        <w:rPr>
          <w:lang w:val="fr-FR"/>
        </w:rPr>
        <w:t>Écosse</w:t>
      </w:r>
    </w:p>
    <w:p w:rsidR="000B562B" w:rsidRPr="00A176EA" w:rsidRDefault="002549A9" w:rsidP="00F741FB">
      <w:pPr>
        <w:pStyle w:val="SingleTxtG"/>
        <w:rPr>
          <w:lang w:val="fr-FR"/>
        </w:rPr>
      </w:pPr>
      <w:r w:rsidRPr="001B4070">
        <w:rPr>
          <w:lang w:val="fr-FR"/>
        </w:rPr>
        <w:t>514.</w:t>
      </w:r>
      <w:r w:rsidRPr="001B4070">
        <w:rPr>
          <w:lang w:val="fr-FR"/>
        </w:rPr>
        <w:tab/>
      </w:r>
      <w:r w:rsidR="001B4070" w:rsidRPr="001B4070">
        <w:rPr>
          <w:lang w:val="fr-FR"/>
        </w:rPr>
        <w:t>La population carcérale d’</w:t>
      </w:r>
      <w:r w:rsidR="00FD2CE1" w:rsidRPr="001B4070">
        <w:rPr>
          <w:lang w:val="fr-FR"/>
        </w:rPr>
        <w:t>Écosse</w:t>
      </w:r>
      <w:r w:rsidR="000B562B" w:rsidRPr="001B4070">
        <w:rPr>
          <w:lang w:val="fr-FR"/>
        </w:rPr>
        <w:t xml:space="preserve"> </w:t>
      </w:r>
      <w:r w:rsidR="001B4070" w:rsidRPr="001B4070">
        <w:rPr>
          <w:lang w:val="fr-FR"/>
        </w:rPr>
        <w:t>a</w:t>
      </w:r>
      <w:r w:rsidR="001B4070">
        <w:rPr>
          <w:lang w:val="fr-FR"/>
        </w:rPr>
        <w:t xml:space="preserve"> atteint un niveau record de 8 251 détenus en juillet 2009. En 2009-2010, leur nombre était de 7 967 en moyenne journalière</w:t>
      </w:r>
      <w:r w:rsidR="00F741FB">
        <w:rPr>
          <w:lang w:val="fr-FR"/>
        </w:rPr>
        <w:t>, un chiffre qui, selon les estimations, devrait continuer d’augmenter</w:t>
      </w:r>
      <w:r w:rsidR="000B562B" w:rsidRPr="00A176EA">
        <w:rPr>
          <w:lang w:val="fr-FR"/>
        </w:rPr>
        <w:t>.</w:t>
      </w:r>
    </w:p>
    <w:p w:rsidR="000B562B" w:rsidRPr="00A176EA" w:rsidRDefault="002549A9" w:rsidP="00BC5EBE">
      <w:pPr>
        <w:pStyle w:val="SingleTxtG"/>
        <w:rPr>
          <w:lang w:val="fr-FR"/>
        </w:rPr>
      </w:pPr>
      <w:r w:rsidRPr="00A176EA">
        <w:rPr>
          <w:lang w:val="fr-FR"/>
        </w:rPr>
        <w:t>515.</w:t>
      </w:r>
      <w:r w:rsidRPr="00A176EA">
        <w:rPr>
          <w:lang w:val="fr-FR"/>
        </w:rPr>
        <w:tab/>
      </w:r>
      <w:r w:rsidR="00F741FB">
        <w:rPr>
          <w:lang w:val="fr-FR"/>
        </w:rPr>
        <w:t xml:space="preserve">La capacité d’accueil des établissements pénitentiaires </w:t>
      </w:r>
      <w:r w:rsidR="00F741FB" w:rsidRPr="00F741FB">
        <w:rPr>
          <w:lang w:val="fr-FR"/>
        </w:rPr>
        <w:t>d’</w:t>
      </w:r>
      <w:r w:rsidR="00FD2CE1" w:rsidRPr="00F741FB">
        <w:rPr>
          <w:lang w:val="fr-FR"/>
        </w:rPr>
        <w:t>Écosse</w:t>
      </w:r>
      <w:r w:rsidR="000B562B" w:rsidRPr="00A176EA">
        <w:rPr>
          <w:lang w:val="fr-FR"/>
        </w:rPr>
        <w:t xml:space="preserve"> </w:t>
      </w:r>
      <w:r w:rsidR="00F741FB">
        <w:rPr>
          <w:lang w:val="fr-FR"/>
        </w:rPr>
        <w:t>est de</w:t>
      </w:r>
      <w:r w:rsidR="000B562B" w:rsidRPr="00A176EA">
        <w:rPr>
          <w:lang w:val="fr-FR"/>
        </w:rPr>
        <w:t xml:space="preserve"> 7</w:t>
      </w:r>
      <w:r w:rsidR="00BC5EBE">
        <w:rPr>
          <w:lang w:val="fr-FR"/>
        </w:rPr>
        <w:t> </w:t>
      </w:r>
      <w:r w:rsidR="000B562B" w:rsidRPr="00A176EA">
        <w:rPr>
          <w:lang w:val="fr-FR"/>
        </w:rPr>
        <w:t xml:space="preserve">577 places. </w:t>
      </w:r>
      <w:r w:rsidR="00AB611E">
        <w:rPr>
          <w:lang w:val="fr-FR"/>
        </w:rPr>
        <w:t xml:space="preserve">De nouvelles installations ont été construites à </w:t>
      </w:r>
      <w:r w:rsidR="00F741FB">
        <w:rPr>
          <w:lang w:val="fr-FR"/>
        </w:rPr>
        <w:t>É</w:t>
      </w:r>
      <w:r w:rsidR="000B562B" w:rsidRPr="00A176EA">
        <w:rPr>
          <w:lang w:val="fr-FR"/>
        </w:rPr>
        <w:t>di</w:t>
      </w:r>
      <w:r w:rsidR="00F741FB">
        <w:rPr>
          <w:lang w:val="fr-FR"/>
        </w:rPr>
        <w:t>mbourg</w:t>
      </w:r>
      <w:r w:rsidR="000B562B" w:rsidRPr="00A176EA">
        <w:rPr>
          <w:lang w:val="fr-FR"/>
        </w:rPr>
        <w:t xml:space="preserve">, Polmont, Perth </w:t>
      </w:r>
      <w:r w:rsidR="00AB611E">
        <w:rPr>
          <w:lang w:val="fr-FR"/>
        </w:rPr>
        <w:t>et</w:t>
      </w:r>
      <w:r w:rsidR="000B562B" w:rsidRPr="00A176EA">
        <w:rPr>
          <w:lang w:val="fr-FR"/>
        </w:rPr>
        <w:t xml:space="preserve"> Glenochil </w:t>
      </w:r>
      <w:r w:rsidR="00AB611E">
        <w:rPr>
          <w:lang w:val="fr-FR"/>
        </w:rPr>
        <w:t xml:space="preserve">pour remplacer </w:t>
      </w:r>
      <w:r w:rsidR="007A694B">
        <w:rPr>
          <w:lang w:val="fr-FR"/>
        </w:rPr>
        <w:t xml:space="preserve">celles qui n’étaient plus adaptées. HMP Addiewell a ouvert en 2008 et le réaménagement de HMP Shotts est en cours. Deux nouveaux établissements ont été commandés, </w:t>
      </w:r>
      <w:r w:rsidR="000B562B" w:rsidRPr="00A176EA">
        <w:rPr>
          <w:lang w:val="fr-FR"/>
        </w:rPr>
        <w:t xml:space="preserve">HMP Low Moss </w:t>
      </w:r>
      <w:r w:rsidR="007A694B">
        <w:rPr>
          <w:lang w:val="fr-FR"/>
        </w:rPr>
        <w:t>et</w:t>
      </w:r>
      <w:r w:rsidR="000B562B" w:rsidRPr="00A176EA">
        <w:rPr>
          <w:lang w:val="fr-FR"/>
        </w:rPr>
        <w:t xml:space="preserve"> HMP Grampian</w:t>
      </w:r>
      <w:r w:rsidR="007A694B">
        <w:rPr>
          <w:lang w:val="fr-FR"/>
        </w:rPr>
        <w:t>, qui fourniront plus de 1</w:t>
      </w:r>
      <w:r w:rsidR="00BC5EBE">
        <w:rPr>
          <w:lang w:val="fr-FR"/>
        </w:rPr>
        <w:t> </w:t>
      </w:r>
      <w:r w:rsidR="007A694B">
        <w:rPr>
          <w:lang w:val="fr-FR"/>
        </w:rPr>
        <w:t>100 places supplémentaires</w:t>
      </w:r>
      <w:r w:rsidR="000B562B" w:rsidRPr="00A176EA">
        <w:rPr>
          <w:lang w:val="fr-FR"/>
        </w:rPr>
        <w:t>.</w:t>
      </w:r>
    </w:p>
    <w:p w:rsidR="000B562B" w:rsidRPr="007A694B" w:rsidRDefault="00FD2CE1" w:rsidP="00DE1014">
      <w:pPr>
        <w:pStyle w:val="H23G"/>
        <w:rPr>
          <w:lang w:val="fr-FR"/>
        </w:rPr>
      </w:pPr>
      <w:r w:rsidRPr="007A694B">
        <w:rPr>
          <w:lang w:val="fr-FR"/>
        </w:rPr>
        <w:t>Irlande du Nord</w:t>
      </w:r>
    </w:p>
    <w:p w:rsidR="000B562B" w:rsidRPr="007A694B" w:rsidRDefault="002549A9" w:rsidP="00BC5EBE">
      <w:pPr>
        <w:pStyle w:val="SingleTxtG"/>
        <w:spacing w:after="240"/>
        <w:rPr>
          <w:lang w:val="fr-FR"/>
        </w:rPr>
      </w:pPr>
      <w:r w:rsidRPr="007A694B">
        <w:rPr>
          <w:lang w:val="fr-FR"/>
        </w:rPr>
        <w:t>516.</w:t>
      </w:r>
      <w:r w:rsidRPr="007A694B">
        <w:rPr>
          <w:lang w:val="fr-FR"/>
        </w:rPr>
        <w:tab/>
      </w:r>
      <w:r w:rsidR="007759A8" w:rsidRPr="007A694B">
        <w:rPr>
          <w:lang w:val="fr-FR"/>
        </w:rPr>
        <w:t>Depuis mars</w:t>
      </w:r>
      <w:r w:rsidR="000B562B" w:rsidRPr="007A694B">
        <w:rPr>
          <w:lang w:val="fr-FR"/>
        </w:rPr>
        <w:t xml:space="preserve"> 2002</w:t>
      </w:r>
      <w:r w:rsidR="007759A8" w:rsidRPr="007A694B">
        <w:rPr>
          <w:lang w:val="fr-FR"/>
        </w:rPr>
        <w:t>,</w:t>
      </w:r>
      <w:r w:rsidR="000B562B" w:rsidRPr="007A694B">
        <w:rPr>
          <w:lang w:val="fr-FR"/>
        </w:rPr>
        <w:t xml:space="preserve"> </w:t>
      </w:r>
      <w:r w:rsidR="007759A8" w:rsidRPr="007A694B">
        <w:rPr>
          <w:lang w:val="fr-FR"/>
        </w:rPr>
        <w:t xml:space="preserve">la population carcérale n’a pas cessé d’augmenter, </w:t>
      </w:r>
      <w:r w:rsidR="008E7A41" w:rsidRPr="007A694B">
        <w:rPr>
          <w:lang w:val="fr-FR"/>
        </w:rPr>
        <w:t xml:space="preserve">pour culminer à 1 594 détenus le 26 septembre </w:t>
      </w:r>
      <w:r w:rsidR="000B562B" w:rsidRPr="007A694B">
        <w:rPr>
          <w:lang w:val="fr-FR"/>
        </w:rPr>
        <w:t xml:space="preserve">2008. </w:t>
      </w:r>
      <w:r w:rsidR="00B57F13" w:rsidRPr="007A694B">
        <w:rPr>
          <w:lang w:val="fr-FR"/>
        </w:rPr>
        <w:t xml:space="preserve">Le tableau ci-dessous indique le nombre maximal de détenus par an entre 2002 et juillet </w:t>
      </w:r>
      <w:r w:rsidR="000B562B" w:rsidRPr="007A694B">
        <w:rPr>
          <w:lang w:val="fr-FR"/>
        </w:rPr>
        <w:t>2010.</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103"/>
        <w:gridCol w:w="4267"/>
      </w:tblGrid>
      <w:tr w:rsidR="000B562B" w:rsidRPr="007A694B" w:rsidTr="00BC5EBE">
        <w:tblPrEx>
          <w:tblCellMar>
            <w:top w:w="0" w:type="dxa"/>
            <w:bottom w:w="0" w:type="dxa"/>
          </w:tblCellMar>
        </w:tblPrEx>
        <w:trPr>
          <w:cantSplit/>
          <w:trHeight w:val="240"/>
          <w:tblHeader/>
        </w:trPr>
        <w:tc>
          <w:tcPr>
            <w:tcW w:w="2268" w:type="dxa"/>
            <w:tcBorders>
              <w:top w:val="single" w:sz="4" w:space="0" w:color="auto"/>
              <w:bottom w:val="single" w:sz="12" w:space="0" w:color="auto"/>
            </w:tcBorders>
            <w:shd w:val="clear" w:color="auto" w:fill="auto"/>
            <w:vAlign w:val="bottom"/>
          </w:tcPr>
          <w:p w:rsidR="000B562B" w:rsidRPr="007A694B" w:rsidRDefault="007759A8" w:rsidP="00A801B9">
            <w:pPr>
              <w:pStyle w:val="Text"/>
              <w:spacing w:before="80" w:after="80" w:line="200" w:lineRule="exact"/>
              <w:rPr>
                <w:rFonts w:ascii="Times New Roman" w:hAnsi="Times New Roman"/>
                <w:i/>
                <w:sz w:val="16"/>
                <w:lang w:val="fr-FR"/>
              </w:rPr>
            </w:pPr>
            <w:r w:rsidRPr="007A694B">
              <w:rPr>
                <w:rFonts w:ascii="Times New Roman" w:hAnsi="Times New Roman"/>
                <w:i/>
                <w:sz w:val="16"/>
                <w:lang w:val="fr-FR"/>
              </w:rPr>
              <w:t>Année</w:t>
            </w:r>
          </w:p>
        </w:tc>
        <w:tc>
          <w:tcPr>
            <w:tcW w:w="3119" w:type="dxa"/>
            <w:tcBorders>
              <w:top w:val="single" w:sz="4" w:space="0" w:color="auto"/>
              <w:bottom w:val="single" w:sz="12" w:space="0" w:color="auto"/>
            </w:tcBorders>
            <w:shd w:val="clear" w:color="auto" w:fill="auto"/>
            <w:vAlign w:val="bottom"/>
          </w:tcPr>
          <w:p w:rsidR="000B562B" w:rsidRPr="007A694B" w:rsidRDefault="00D84DDB" w:rsidP="00BC5EBE">
            <w:pPr>
              <w:pStyle w:val="Text"/>
              <w:spacing w:before="80" w:after="80" w:line="200" w:lineRule="exact"/>
              <w:ind w:left="113" w:right="57"/>
              <w:jc w:val="right"/>
              <w:rPr>
                <w:rFonts w:ascii="Times New Roman" w:hAnsi="Times New Roman"/>
                <w:i/>
                <w:sz w:val="16"/>
                <w:lang w:val="fr-FR"/>
              </w:rPr>
            </w:pPr>
            <w:r>
              <w:rPr>
                <w:rFonts w:ascii="Times New Roman" w:hAnsi="Times New Roman"/>
                <w:i/>
                <w:sz w:val="16"/>
                <w:lang w:val="fr-FR"/>
              </w:rPr>
              <w:t>Population carcérale maximale</w:t>
            </w:r>
          </w:p>
        </w:tc>
      </w:tr>
      <w:tr w:rsidR="000B562B" w:rsidRPr="007A694B" w:rsidTr="00BC5EBE">
        <w:tblPrEx>
          <w:tblCellMar>
            <w:top w:w="0" w:type="dxa"/>
            <w:bottom w:w="0" w:type="dxa"/>
          </w:tblCellMar>
        </w:tblPrEx>
        <w:trPr>
          <w:cantSplit/>
          <w:trHeight w:val="240"/>
        </w:trPr>
        <w:tc>
          <w:tcPr>
            <w:tcW w:w="2268" w:type="dxa"/>
            <w:tcBorders>
              <w:top w:val="single" w:sz="12" w:space="0" w:color="auto"/>
            </w:tcBorders>
            <w:shd w:val="clear" w:color="auto" w:fill="auto"/>
          </w:tcPr>
          <w:p w:rsidR="000B562B" w:rsidRPr="007A694B" w:rsidRDefault="000B562B" w:rsidP="00A801B9">
            <w:pPr>
              <w:pStyle w:val="Text"/>
              <w:spacing w:before="40" w:after="40" w:line="220" w:lineRule="exact"/>
              <w:rPr>
                <w:rFonts w:ascii="Times New Roman" w:hAnsi="Times New Roman"/>
                <w:sz w:val="18"/>
                <w:lang w:val="fr-FR"/>
              </w:rPr>
            </w:pPr>
            <w:r w:rsidRPr="007A694B">
              <w:rPr>
                <w:rFonts w:ascii="Times New Roman" w:hAnsi="Times New Roman"/>
                <w:sz w:val="18"/>
                <w:lang w:val="fr-FR"/>
              </w:rPr>
              <w:t>2002</w:t>
            </w:r>
          </w:p>
        </w:tc>
        <w:tc>
          <w:tcPr>
            <w:tcW w:w="3119" w:type="dxa"/>
            <w:tcBorders>
              <w:top w:val="single" w:sz="12" w:space="0" w:color="auto"/>
            </w:tcBorders>
            <w:shd w:val="clear" w:color="auto" w:fill="auto"/>
            <w:vAlign w:val="bottom"/>
          </w:tcPr>
          <w:p w:rsidR="000B562B" w:rsidRPr="007A694B" w:rsidRDefault="000B562B" w:rsidP="00BC5EBE">
            <w:pPr>
              <w:pStyle w:val="Text"/>
              <w:spacing w:before="40" w:after="40" w:line="220" w:lineRule="exact"/>
              <w:ind w:left="113" w:right="57"/>
              <w:jc w:val="right"/>
              <w:rPr>
                <w:rFonts w:ascii="Times New Roman" w:hAnsi="Times New Roman"/>
                <w:sz w:val="18"/>
                <w:lang w:val="fr-FR"/>
              </w:rPr>
            </w:pPr>
            <w:r w:rsidRPr="007A694B">
              <w:rPr>
                <w:rFonts w:ascii="Times New Roman" w:hAnsi="Times New Roman"/>
                <w:sz w:val="18"/>
                <w:lang w:val="fr-FR"/>
              </w:rPr>
              <w:t>1</w:t>
            </w:r>
            <w:r w:rsidR="007759A8" w:rsidRPr="007A694B">
              <w:rPr>
                <w:rFonts w:ascii="Times New Roman" w:hAnsi="Times New Roman"/>
                <w:sz w:val="18"/>
                <w:lang w:val="fr-FR"/>
              </w:rPr>
              <w:t xml:space="preserve"> </w:t>
            </w:r>
            <w:r w:rsidRPr="007A694B">
              <w:rPr>
                <w:rFonts w:ascii="Times New Roman" w:hAnsi="Times New Roman"/>
                <w:sz w:val="18"/>
                <w:lang w:val="fr-FR"/>
              </w:rPr>
              <w:t>085</w:t>
            </w:r>
          </w:p>
        </w:tc>
      </w:tr>
      <w:tr w:rsidR="000B562B" w:rsidRPr="007A694B" w:rsidTr="00BC5EBE">
        <w:tblPrEx>
          <w:tblCellMar>
            <w:top w:w="0" w:type="dxa"/>
            <w:bottom w:w="0" w:type="dxa"/>
          </w:tblCellMar>
        </w:tblPrEx>
        <w:trPr>
          <w:cantSplit/>
          <w:trHeight w:val="240"/>
        </w:trPr>
        <w:tc>
          <w:tcPr>
            <w:tcW w:w="2268" w:type="dxa"/>
            <w:shd w:val="clear" w:color="auto" w:fill="auto"/>
          </w:tcPr>
          <w:p w:rsidR="000B562B" w:rsidRPr="007A694B" w:rsidRDefault="000B562B" w:rsidP="00A801B9">
            <w:pPr>
              <w:pStyle w:val="Text"/>
              <w:spacing w:before="40" w:after="40" w:line="220" w:lineRule="exact"/>
              <w:rPr>
                <w:rFonts w:ascii="Times New Roman" w:hAnsi="Times New Roman"/>
                <w:sz w:val="18"/>
                <w:lang w:val="fr-FR"/>
              </w:rPr>
            </w:pPr>
            <w:r w:rsidRPr="007A694B">
              <w:rPr>
                <w:rFonts w:ascii="Times New Roman" w:hAnsi="Times New Roman"/>
                <w:sz w:val="18"/>
                <w:lang w:val="fr-FR"/>
              </w:rPr>
              <w:t>2003</w:t>
            </w:r>
          </w:p>
        </w:tc>
        <w:tc>
          <w:tcPr>
            <w:tcW w:w="3119" w:type="dxa"/>
            <w:shd w:val="clear" w:color="auto" w:fill="auto"/>
            <w:vAlign w:val="bottom"/>
          </w:tcPr>
          <w:p w:rsidR="000B562B" w:rsidRPr="007A694B" w:rsidRDefault="000B562B" w:rsidP="00BC5EBE">
            <w:pPr>
              <w:pStyle w:val="Text"/>
              <w:spacing w:before="40" w:after="40" w:line="220" w:lineRule="exact"/>
              <w:ind w:left="113" w:right="57"/>
              <w:jc w:val="right"/>
              <w:rPr>
                <w:rFonts w:ascii="Times New Roman" w:hAnsi="Times New Roman"/>
                <w:sz w:val="18"/>
                <w:lang w:val="fr-FR"/>
              </w:rPr>
            </w:pPr>
            <w:r w:rsidRPr="007A694B">
              <w:rPr>
                <w:rFonts w:ascii="Times New Roman" w:hAnsi="Times New Roman"/>
                <w:sz w:val="18"/>
                <w:lang w:val="fr-FR"/>
              </w:rPr>
              <w:t>1</w:t>
            </w:r>
            <w:r w:rsidR="007759A8" w:rsidRPr="007A694B">
              <w:rPr>
                <w:rFonts w:ascii="Times New Roman" w:hAnsi="Times New Roman"/>
                <w:sz w:val="18"/>
                <w:lang w:val="fr-FR"/>
              </w:rPr>
              <w:t xml:space="preserve"> </w:t>
            </w:r>
            <w:r w:rsidRPr="007A694B">
              <w:rPr>
                <w:rFonts w:ascii="Times New Roman" w:hAnsi="Times New Roman"/>
                <w:sz w:val="18"/>
                <w:lang w:val="fr-FR"/>
              </w:rPr>
              <w:t>245</w:t>
            </w:r>
          </w:p>
        </w:tc>
      </w:tr>
      <w:tr w:rsidR="000B562B" w:rsidRPr="007A694B" w:rsidTr="00BC5EBE">
        <w:tblPrEx>
          <w:tblCellMar>
            <w:top w:w="0" w:type="dxa"/>
            <w:bottom w:w="0" w:type="dxa"/>
          </w:tblCellMar>
        </w:tblPrEx>
        <w:trPr>
          <w:cantSplit/>
          <w:trHeight w:val="240"/>
        </w:trPr>
        <w:tc>
          <w:tcPr>
            <w:tcW w:w="2268" w:type="dxa"/>
            <w:shd w:val="clear" w:color="auto" w:fill="auto"/>
          </w:tcPr>
          <w:p w:rsidR="000B562B" w:rsidRPr="007A694B" w:rsidRDefault="000B562B" w:rsidP="00A801B9">
            <w:pPr>
              <w:pStyle w:val="Text"/>
              <w:spacing w:before="40" w:after="40" w:line="220" w:lineRule="exact"/>
              <w:rPr>
                <w:rFonts w:ascii="Times New Roman" w:hAnsi="Times New Roman"/>
                <w:sz w:val="18"/>
                <w:lang w:val="fr-FR"/>
              </w:rPr>
            </w:pPr>
            <w:r w:rsidRPr="007A694B">
              <w:rPr>
                <w:rFonts w:ascii="Times New Roman" w:hAnsi="Times New Roman"/>
                <w:sz w:val="18"/>
                <w:lang w:val="fr-FR"/>
              </w:rPr>
              <w:t>2004</w:t>
            </w:r>
          </w:p>
        </w:tc>
        <w:tc>
          <w:tcPr>
            <w:tcW w:w="3119" w:type="dxa"/>
            <w:shd w:val="clear" w:color="auto" w:fill="auto"/>
            <w:vAlign w:val="bottom"/>
          </w:tcPr>
          <w:p w:rsidR="000B562B" w:rsidRPr="007A694B" w:rsidRDefault="000B562B" w:rsidP="00BC5EBE">
            <w:pPr>
              <w:pStyle w:val="Text"/>
              <w:spacing w:before="40" w:after="40" w:line="220" w:lineRule="exact"/>
              <w:ind w:left="113" w:right="57"/>
              <w:jc w:val="right"/>
              <w:rPr>
                <w:rFonts w:ascii="Times New Roman" w:hAnsi="Times New Roman"/>
                <w:sz w:val="18"/>
                <w:lang w:val="fr-FR"/>
              </w:rPr>
            </w:pPr>
            <w:r w:rsidRPr="007A694B">
              <w:rPr>
                <w:rFonts w:ascii="Times New Roman" w:hAnsi="Times New Roman"/>
                <w:sz w:val="18"/>
                <w:lang w:val="fr-FR"/>
              </w:rPr>
              <w:t>1</w:t>
            </w:r>
            <w:r w:rsidR="007759A8" w:rsidRPr="007A694B">
              <w:rPr>
                <w:rFonts w:ascii="Times New Roman" w:hAnsi="Times New Roman"/>
                <w:sz w:val="18"/>
                <w:lang w:val="fr-FR"/>
              </w:rPr>
              <w:t xml:space="preserve"> </w:t>
            </w:r>
            <w:r w:rsidRPr="007A694B">
              <w:rPr>
                <w:rFonts w:ascii="Times New Roman" w:hAnsi="Times New Roman"/>
                <w:sz w:val="18"/>
                <w:lang w:val="fr-FR"/>
              </w:rPr>
              <w:t>352</w:t>
            </w:r>
          </w:p>
        </w:tc>
      </w:tr>
      <w:tr w:rsidR="000B562B" w:rsidRPr="007A694B" w:rsidTr="00BC5EBE">
        <w:tblPrEx>
          <w:tblCellMar>
            <w:top w:w="0" w:type="dxa"/>
            <w:bottom w:w="0" w:type="dxa"/>
          </w:tblCellMar>
        </w:tblPrEx>
        <w:trPr>
          <w:cantSplit/>
          <w:trHeight w:val="240"/>
        </w:trPr>
        <w:tc>
          <w:tcPr>
            <w:tcW w:w="2268" w:type="dxa"/>
            <w:shd w:val="clear" w:color="auto" w:fill="auto"/>
          </w:tcPr>
          <w:p w:rsidR="000B562B" w:rsidRPr="007A694B" w:rsidRDefault="000B562B" w:rsidP="00A801B9">
            <w:pPr>
              <w:pStyle w:val="Text"/>
              <w:spacing w:before="40" w:after="40" w:line="220" w:lineRule="exact"/>
              <w:rPr>
                <w:rFonts w:ascii="Times New Roman" w:hAnsi="Times New Roman"/>
                <w:sz w:val="18"/>
                <w:lang w:val="fr-FR"/>
              </w:rPr>
            </w:pPr>
            <w:r w:rsidRPr="007A694B">
              <w:rPr>
                <w:rFonts w:ascii="Times New Roman" w:hAnsi="Times New Roman"/>
                <w:sz w:val="18"/>
                <w:lang w:val="fr-FR"/>
              </w:rPr>
              <w:t>2005</w:t>
            </w:r>
          </w:p>
        </w:tc>
        <w:tc>
          <w:tcPr>
            <w:tcW w:w="3119" w:type="dxa"/>
            <w:shd w:val="clear" w:color="auto" w:fill="auto"/>
            <w:vAlign w:val="bottom"/>
          </w:tcPr>
          <w:p w:rsidR="000B562B" w:rsidRPr="007A694B" w:rsidRDefault="000B562B" w:rsidP="00BC5EBE">
            <w:pPr>
              <w:pStyle w:val="Text"/>
              <w:spacing w:before="40" w:after="40" w:line="220" w:lineRule="exact"/>
              <w:ind w:left="113" w:right="57"/>
              <w:jc w:val="right"/>
              <w:rPr>
                <w:rFonts w:ascii="Times New Roman" w:hAnsi="Times New Roman"/>
                <w:sz w:val="18"/>
                <w:lang w:val="fr-FR"/>
              </w:rPr>
            </w:pPr>
            <w:r w:rsidRPr="007A694B">
              <w:rPr>
                <w:rFonts w:ascii="Times New Roman" w:hAnsi="Times New Roman"/>
                <w:sz w:val="18"/>
                <w:lang w:val="fr-FR"/>
              </w:rPr>
              <w:t>1</w:t>
            </w:r>
            <w:r w:rsidR="007759A8" w:rsidRPr="007A694B">
              <w:rPr>
                <w:rFonts w:ascii="Times New Roman" w:hAnsi="Times New Roman"/>
                <w:sz w:val="18"/>
                <w:lang w:val="fr-FR"/>
              </w:rPr>
              <w:t xml:space="preserve"> </w:t>
            </w:r>
            <w:r w:rsidRPr="007A694B">
              <w:rPr>
                <w:rFonts w:ascii="Times New Roman" w:hAnsi="Times New Roman"/>
                <w:sz w:val="18"/>
                <w:lang w:val="fr-FR"/>
              </w:rPr>
              <w:t>389</w:t>
            </w:r>
          </w:p>
        </w:tc>
      </w:tr>
      <w:tr w:rsidR="000B562B" w:rsidRPr="007A694B" w:rsidTr="00BC5EBE">
        <w:tblPrEx>
          <w:tblCellMar>
            <w:top w:w="0" w:type="dxa"/>
            <w:bottom w:w="0" w:type="dxa"/>
          </w:tblCellMar>
        </w:tblPrEx>
        <w:trPr>
          <w:cantSplit/>
          <w:trHeight w:val="240"/>
        </w:trPr>
        <w:tc>
          <w:tcPr>
            <w:tcW w:w="2268" w:type="dxa"/>
            <w:shd w:val="clear" w:color="auto" w:fill="auto"/>
          </w:tcPr>
          <w:p w:rsidR="000B562B" w:rsidRPr="007A694B" w:rsidRDefault="000B562B" w:rsidP="00A801B9">
            <w:pPr>
              <w:pStyle w:val="Text"/>
              <w:spacing w:before="40" w:after="40" w:line="220" w:lineRule="exact"/>
              <w:rPr>
                <w:rFonts w:ascii="Times New Roman" w:hAnsi="Times New Roman"/>
                <w:sz w:val="18"/>
                <w:lang w:val="fr-FR"/>
              </w:rPr>
            </w:pPr>
            <w:r w:rsidRPr="007A694B">
              <w:rPr>
                <w:rFonts w:ascii="Times New Roman" w:hAnsi="Times New Roman"/>
                <w:sz w:val="18"/>
                <w:lang w:val="fr-FR"/>
              </w:rPr>
              <w:t>2006</w:t>
            </w:r>
          </w:p>
        </w:tc>
        <w:tc>
          <w:tcPr>
            <w:tcW w:w="3119" w:type="dxa"/>
            <w:shd w:val="clear" w:color="auto" w:fill="auto"/>
            <w:vAlign w:val="bottom"/>
          </w:tcPr>
          <w:p w:rsidR="000B562B" w:rsidRPr="007A694B" w:rsidRDefault="000B562B" w:rsidP="00BC5EBE">
            <w:pPr>
              <w:pStyle w:val="Text"/>
              <w:spacing w:before="40" w:after="40" w:line="220" w:lineRule="exact"/>
              <w:ind w:left="113" w:right="57"/>
              <w:jc w:val="right"/>
              <w:rPr>
                <w:rFonts w:ascii="Times New Roman" w:hAnsi="Times New Roman"/>
                <w:sz w:val="18"/>
                <w:lang w:val="fr-FR"/>
              </w:rPr>
            </w:pPr>
            <w:r w:rsidRPr="007A694B">
              <w:rPr>
                <w:rFonts w:ascii="Times New Roman" w:hAnsi="Times New Roman"/>
                <w:sz w:val="18"/>
                <w:lang w:val="fr-FR"/>
              </w:rPr>
              <w:t>1</w:t>
            </w:r>
            <w:r w:rsidR="007759A8" w:rsidRPr="007A694B">
              <w:rPr>
                <w:rFonts w:ascii="Times New Roman" w:hAnsi="Times New Roman"/>
                <w:sz w:val="18"/>
                <w:lang w:val="fr-FR"/>
              </w:rPr>
              <w:t xml:space="preserve"> </w:t>
            </w:r>
            <w:r w:rsidRPr="007A694B">
              <w:rPr>
                <w:rFonts w:ascii="Times New Roman" w:hAnsi="Times New Roman"/>
                <w:sz w:val="18"/>
                <w:lang w:val="fr-FR"/>
              </w:rPr>
              <w:t>494</w:t>
            </w:r>
          </w:p>
        </w:tc>
      </w:tr>
      <w:tr w:rsidR="000B562B" w:rsidRPr="007A694B" w:rsidTr="00BC5EBE">
        <w:tblPrEx>
          <w:tblCellMar>
            <w:top w:w="0" w:type="dxa"/>
            <w:bottom w:w="0" w:type="dxa"/>
          </w:tblCellMar>
        </w:tblPrEx>
        <w:trPr>
          <w:cantSplit/>
          <w:trHeight w:val="240"/>
        </w:trPr>
        <w:tc>
          <w:tcPr>
            <w:tcW w:w="2268" w:type="dxa"/>
            <w:shd w:val="clear" w:color="auto" w:fill="auto"/>
          </w:tcPr>
          <w:p w:rsidR="000B562B" w:rsidRPr="007A694B" w:rsidRDefault="000B562B" w:rsidP="00A801B9">
            <w:pPr>
              <w:pStyle w:val="Text"/>
              <w:spacing w:before="40" w:after="40" w:line="220" w:lineRule="exact"/>
              <w:rPr>
                <w:rFonts w:ascii="Times New Roman" w:hAnsi="Times New Roman"/>
                <w:sz w:val="18"/>
                <w:lang w:val="fr-FR"/>
              </w:rPr>
            </w:pPr>
            <w:r w:rsidRPr="007A694B">
              <w:rPr>
                <w:rFonts w:ascii="Times New Roman" w:hAnsi="Times New Roman"/>
                <w:sz w:val="18"/>
                <w:lang w:val="fr-FR"/>
              </w:rPr>
              <w:t>2007</w:t>
            </w:r>
          </w:p>
        </w:tc>
        <w:tc>
          <w:tcPr>
            <w:tcW w:w="3119" w:type="dxa"/>
            <w:shd w:val="clear" w:color="auto" w:fill="auto"/>
            <w:vAlign w:val="bottom"/>
          </w:tcPr>
          <w:p w:rsidR="000B562B" w:rsidRPr="007A694B" w:rsidRDefault="000B562B" w:rsidP="00BC5EBE">
            <w:pPr>
              <w:pStyle w:val="Text"/>
              <w:spacing w:before="40" w:after="40" w:line="220" w:lineRule="exact"/>
              <w:ind w:left="113" w:right="57"/>
              <w:jc w:val="right"/>
              <w:rPr>
                <w:rFonts w:ascii="Times New Roman" w:hAnsi="Times New Roman"/>
                <w:sz w:val="18"/>
                <w:lang w:val="fr-FR"/>
              </w:rPr>
            </w:pPr>
            <w:r w:rsidRPr="007A694B">
              <w:rPr>
                <w:rFonts w:ascii="Times New Roman" w:hAnsi="Times New Roman"/>
                <w:sz w:val="18"/>
                <w:lang w:val="fr-FR"/>
              </w:rPr>
              <w:t>1</w:t>
            </w:r>
            <w:r w:rsidR="007759A8" w:rsidRPr="007A694B">
              <w:rPr>
                <w:rFonts w:ascii="Times New Roman" w:hAnsi="Times New Roman"/>
                <w:sz w:val="18"/>
                <w:lang w:val="fr-FR"/>
              </w:rPr>
              <w:t xml:space="preserve"> </w:t>
            </w:r>
            <w:r w:rsidRPr="007A694B">
              <w:rPr>
                <w:rFonts w:ascii="Times New Roman" w:hAnsi="Times New Roman"/>
                <w:sz w:val="18"/>
                <w:lang w:val="fr-FR"/>
              </w:rPr>
              <w:t>509</w:t>
            </w:r>
          </w:p>
        </w:tc>
      </w:tr>
      <w:tr w:rsidR="000B562B" w:rsidRPr="007A694B" w:rsidTr="00BC5EBE">
        <w:tblPrEx>
          <w:tblCellMar>
            <w:top w:w="0" w:type="dxa"/>
            <w:bottom w:w="0" w:type="dxa"/>
          </w:tblCellMar>
        </w:tblPrEx>
        <w:trPr>
          <w:cantSplit/>
          <w:trHeight w:val="240"/>
        </w:trPr>
        <w:tc>
          <w:tcPr>
            <w:tcW w:w="2268" w:type="dxa"/>
            <w:shd w:val="clear" w:color="auto" w:fill="auto"/>
          </w:tcPr>
          <w:p w:rsidR="000B562B" w:rsidRPr="007A694B" w:rsidRDefault="000B562B" w:rsidP="00A801B9">
            <w:pPr>
              <w:pStyle w:val="Text"/>
              <w:spacing w:before="40" w:after="40" w:line="220" w:lineRule="exact"/>
              <w:rPr>
                <w:rFonts w:ascii="Times New Roman" w:hAnsi="Times New Roman"/>
                <w:sz w:val="18"/>
                <w:lang w:val="fr-FR"/>
              </w:rPr>
            </w:pPr>
            <w:r w:rsidRPr="007A694B">
              <w:rPr>
                <w:rFonts w:ascii="Times New Roman" w:hAnsi="Times New Roman"/>
                <w:sz w:val="18"/>
                <w:lang w:val="fr-FR"/>
              </w:rPr>
              <w:t>2008</w:t>
            </w:r>
          </w:p>
        </w:tc>
        <w:tc>
          <w:tcPr>
            <w:tcW w:w="3119" w:type="dxa"/>
            <w:shd w:val="clear" w:color="auto" w:fill="auto"/>
            <w:vAlign w:val="bottom"/>
          </w:tcPr>
          <w:p w:rsidR="000B562B" w:rsidRPr="007A694B" w:rsidRDefault="000B562B" w:rsidP="00BC5EBE">
            <w:pPr>
              <w:pStyle w:val="Text"/>
              <w:spacing w:before="40" w:after="40" w:line="220" w:lineRule="exact"/>
              <w:ind w:left="113" w:right="57"/>
              <w:jc w:val="right"/>
              <w:rPr>
                <w:rFonts w:ascii="Times New Roman" w:hAnsi="Times New Roman"/>
                <w:sz w:val="18"/>
                <w:lang w:val="fr-FR"/>
              </w:rPr>
            </w:pPr>
            <w:r w:rsidRPr="007A694B">
              <w:rPr>
                <w:rFonts w:ascii="Times New Roman" w:hAnsi="Times New Roman"/>
                <w:sz w:val="18"/>
                <w:lang w:val="fr-FR"/>
              </w:rPr>
              <w:t>1</w:t>
            </w:r>
            <w:r w:rsidR="007759A8" w:rsidRPr="007A694B">
              <w:rPr>
                <w:rFonts w:ascii="Times New Roman" w:hAnsi="Times New Roman"/>
                <w:sz w:val="18"/>
                <w:lang w:val="fr-FR"/>
              </w:rPr>
              <w:t xml:space="preserve"> </w:t>
            </w:r>
            <w:r w:rsidRPr="007A694B">
              <w:rPr>
                <w:rFonts w:ascii="Times New Roman" w:hAnsi="Times New Roman"/>
                <w:sz w:val="18"/>
                <w:lang w:val="fr-FR"/>
              </w:rPr>
              <w:t>594</w:t>
            </w:r>
          </w:p>
        </w:tc>
      </w:tr>
      <w:tr w:rsidR="000B562B" w:rsidRPr="007A694B" w:rsidTr="00BC5EBE">
        <w:tblPrEx>
          <w:tblCellMar>
            <w:top w:w="0" w:type="dxa"/>
            <w:bottom w:w="0" w:type="dxa"/>
          </w:tblCellMar>
        </w:tblPrEx>
        <w:trPr>
          <w:cantSplit/>
          <w:trHeight w:val="240"/>
        </w:trPr>
        <w:tc>
          <w:tcPr>
            <w:tcW w:w="2268" w:type="dxa"/>
            <w:shd w:val="clear" w:color="auto" w:fill="auto"/>
          </w:tcPr>
          <w:p w:rsidR="000B562B" w:rsidRPr="007A694B" w:rsidRDefault="000B562B" w:rsidP="00A801B9">
            <w:pPr>
              <w:pStyle w:val="Text"/>
              <w:spacing w:before="40" w:after="40" w:line="220" w:lineRule="exact"/>
              <w:rPr>
                <w:rFonts w:ascii="Times New Roman" w:hAnsi="Times New Roman"/>
                <w:sz w:val="18"/>
                <w:lang w:val="fr-FR"/>
              </w:rPr>
            </w:pPr>
            <w:r w:rsidRPr="007A694B">
              <w:rPr>
                <w:rFonts w:ascii="Times New Roman" w:hAnsi="Times New Roman"/>
                <w:sz w:val="18"/>
                <w:lang w:val="fr-FR"/>
              </w:rPr>
              <w:t>2009</w:t>
            </w:r>
          </w:p>
        </w:tc>
        <w:tc>
          <w:tcPr>
            <w:tcW w:w="3119" w:type="dxa"/>
            <w:shd w:val="clear" w:color="auto" w:fill="auto"/>
            <w:vAlign w:val="bottom"/>
          </w:tcPr>
          <w:p w:rsidR="000B562B" w:rsidRPr="007A694B" w:rsidRDefault="000B562B" w:rsidP="00BC5EBE">
            <w:pPr>
              <w:pStyle w:val="Text"/>
              <w:spacing w:before="40" w:after="40" w:line="220" w:lineRule="exact"/>
              <w:ind w:left="113" w:right="57"/>
              <w:jc w:val="right"/>
              <w:rPr>
                <w:rFonts w:ascii="Times New Roman" w:hAnsi="Times New Roman"/>
                <w:sz w:val="18"/>
                <w:lang w:val="fr-FR"/>
              </w:rPr>
            </w:pPr>
            <w:r w:rsidRPr="007A694B">
              <w:rPr>
                <w:rFonts w:ascii="Times New Roman" w:hAnsi="Times New Roman"/>
                <w:sz w:val="18"/>
                <w:lang w:val="fr-FR"/>
              </w:rPr>
              <w:t>1</w:t>
            </w:r>
            <w:r w:rsidR="007759A8" w:rsidRPr="007A694B">
              <w:rPr>
                <w:rFonts w:ascii="Times New Roman" w:hAnsi="Times New Roman"/>
                <w:sz w:val="18"/>
                <w:lang w:val="fr-FR"/>
              </w:rPr>
              <w:t xml:space="preserve"> </w:t>
            </w:r>
            <w:r w:rsidRPr="007A694B">
              <w:rPr>
                <w:rFonts w:ascii="Times New Roman" w:hAnsi="Times New Roman"/>
                <w:sz w:val="18"/>
                <w:lang w:val="fr-FR"/>
              </w:rPr>
              <w:t>542</w:t>
            </w:r>
          </w:p>
        </w:tc>
      </w:tr>
      <w:tr w:rsidR="000B562B" w:rsidRPr="007A694B" w:rsidTr="00BC5EBE">
        <w:tblPrEx>
          <w:tblCellMar>
            <w:top w:w="0" w:type="dxa"/>
            <w:bottom w:w="0" w:type="dxa"/>
          </w:tblCellMar>
        </w:tblPrEx>
        <w:trPr>
          <w:cantSplit/>
          <w:trHeight w:val="240"/>
        </w:trPr>
        <w:tc>
          <w:tcPr>
            <w:tcW w:w="2268" w:type="dxa"/>
            <w:tcBorders>
              <w:bottom w:val="single" w:sz="12" w:space="0" w:color="auto"/>
            </w:tcBorders>
            <w:shd w:val="clear" w:color="auto" w:fill="auto"/>
          </w:tcPr>
          <w:p w:rsidR="000B562B" w:rsidRPr="007A694B" w:rsidRDefault="000B562B" w:rsidP="007759A8">
            <w:pPr>
              <w:pStyle w:val="Text"/>
              <w:spacing w:before="40" w:after="40" w:line="220" w:lineRule="exact"/>
              <w:rPr>
                <w:rFonts w:ascii="Times New Roman" w:hAnsi="Times New Roman"/>
                <w:sz w:val="18"/>
                <w:lang w:val="fr-FR"/>
              </w:rPr>
            </w:pPr>
            <w:r w:rsidRPr="007A694B">
              <w:rPr>
                <w:rFonts w:ascii="Times New Roman" w:hAnsi="Times New Roman"/>
                <w:sz w:val="18"/>
                <w:lang w:val="fr-FR"/>
              </w:rPr>
              <w:t>2010 (</w:t>
            </w:r>
            <w:r w:rsidR="007759A8" w:rsidRPr="007A694B">
              <w:rPr>
                <w:rFonts w:ascii="Times New Roman" w:hAnsi="Times New Roman"/>
                <w:sz w:val="18"/>
                <w:lang w:val="fr-FR"/>
              </w:rPr>
              <w:t>jusqu’en juillet</w:t>
            </w:r>
            <w:r w:rsidRPr="007A694B">
              <w:rPr>
                <w:rFonts w:ascii="Times New Roman" w:hAnsi="Times New Roman"/>
                <w:sz w:val="18"/>
                <w:lang w:val="fr-FR"/>
              </w:rPr>
              <w:t>)</w:t>
            </w:r>
          </w:p>
        </w:tc>
        <w:tc>
          <w:tcPr>
            <w:tcW w:w="3119" w:type="dxa"/>
            <w:tcBorders>
              <w:bottom w:val="single" w:sz="12" w:space="0" w:color="auto"/>
            </w:tcBorders>
            <w:shd w:val="clear" w:color="auto" w:fill="auto"/>
            <w:vAlign w:val="bottom"/>
          </w:tcPr>
          <w:p w:rsidR="000B562B" w:rsidRPr="007A694B" w:rsidRDefault="000B562B" w:rsidP="00BC5EBE">
            <w:pPr>
              <w:pStyle w:val="Text"/>
              <w:spacing w:before="40" w:after="40" w:line="220" w:lineRule="exact"/>
              <w:ind w:left="113" w:right="57"/>
              <w:jc w:val="right"/>
              <w:rPr>
                <w:rFonts w:ascii="Times New Roman" w:hAnsi="Times New Roman"/>
                <w:sz w:val="18"/>
                <w:lang w:val="fr-FR"/>
              </w:rPr>
            </w:pPr>
            <w:r w:rsidRPr="007A694B">
              <w:rPr>
                <w:rFonts w:ascii="Times New Roman" w:hAnsi="Times New Roman"/>
                <w:sz w:val="18"/>
                <w:lang w:val="fr-FR"/>
              </w:rPr>
              <w:t>1</w:t>
            </w:r>
            <w:r w:rsidR="007759A8" w:rsidRPr="007A694B">
              <w:rPr>
                <w:rFonts w:ascii="Times New Roman" w:hAnsi="Times New Roman"/>
                <w:sz w:val="18"/>
                <w:lang w:val="fr-FR"/>
              </w:rPr>
              <w:t xml:space="preserve"> </w:t>
            </w:r>
            <w:r w:rsidRPr="007A694B">
              <w:rPr>
                <w:rFonts w:ascii="Times New Roman" w:hAnsi="Times New Roman"/>
                <w:sz w:val="18"/>
                <w:lang w:val="fr-FR"/>
              </w:rPr>
              <w:t>502</w:t>
            </w:r>
          </w:p>
        </w:tc>
      </w:tr>
    </w:tbl>
    <w:p w:rsidR="000B562B" w:rsidRPr="00A176EA" w:rsidRDefault="002549A9" w:rsidP="00BC5EBE">
      <w:pPr>
        <w:pStyle w:val="SingleTxtG"/>
        <w:spacing w:before="240"/>
        <w:rPr>
          <w:lang w:val="fr-FR"/>
        </w:rPr>
      </w:pPr>
      <w:r w:rsidRPr="007A694B">
        <w:rPr>
          <w:lang w:val="fr-FR"/>
        </w:rPr>
        <w:t>517.</w:t>
      </w:r>
      <w:r w:rsidRPr="007A694B">
        <w:rPr>
          <w:lang w:val="fr-FR"/>
        </w:rPr>
        <w:tab/>
      </w:r>
      <w:r w:rsidR="008E7A41" w:rsidRPr="007A694B">
        <w:rPr>
          <w:lang w:val="fr-FR"/>
        </w:rPr>
        <w:t xml:space="preserve">Le parc pénitentiaire se compose actuellement de trois </w:t>
      </w:r>
      <w:r w:rsidR="00D84DDB">
        <w:rPr>
          <w:lang w:val="fr-FR"/>
        </w:rPr>
        <w:t>prisons, d’une unité d’évaluation des détenus distincte, d’une école de formation et du siège de l’Administration pénitentiaire. Ces structures comptent une population carcérale supérieure à ce qui était prévu initialement. Elles doivent donc accueillir de</w:t>
      </w:r>
      <w:r w:rsidR="00502AD5">
        <w:rPr>
          <w:lang w:val="fr-FR"/>
        </w:rPr>
        <w:t>s</w:t>
      </w:r>
      <w:r w:rsidR="00D84DDB">
        <w:rPr>
          <w:lang w:val="fr-FR"/>
        </w:rPr>
        <w:t xml:space="preserve"> catégories de détenus</w:t>
      </w:r>
      <w:r w:rsidR="00502AD5">
        <w:rPr>
          <w:lang w:val="fr-FR"/>
        </w:rPr>
        <w:t xml:space="preserve"> très différentes</w:t>
      </w:r>
      <w:r w:rsidR="00D84DDB">
        <w:rPr>
          <w:lang w:val="fr-FR"/>
        </w:rPr>
        <w:t xml:space="preserve">, dont la gestion est complexe, en particulier à </w:t>
      </w:r>
      <w:r w:rsidR="00D84DDB" w:rsidRPr="00A176EA">
        <w:rPr>
          <w:lang w:val="fr-FR"/>
        </w:rPr>
        <w:t>Maghaberry</w:t>
      </w:r>
      <w:r w:rsidR="000B562B" w:rsidRPr="00A176EA">
        <w:rPr>
          <w:lang w:val="fr-FR"/>
        </w:rPr>
        <w:t xml:space="preserve">. </w:t>
      </w:r>
      <w:r w:rsidR="00D84DDB">
        <w:rPr>
          <w:lang w:val="fr-FR"/>
        </w:rPr>
        <w:t xml:space="preserve">Des détails supplémentaires sur le parc carcéral d’Irlande du Nord sont donnés au paragraphe </w:t>
      </w:r>
      <w:r w:rsidR="00D84DDB" w:rsidRPr="00D45E4A">
        <w:rPr>
          <w:lang w:val="fr-FR"/>
        </w:rPr>
        <w:t>81</w:t>
      </w:r>
      <w:r w:rsidR="00D84DDB">
        <w:rPr>
          <w:lang w:val="fr-FR"/>
        </w:rPr>
        <w:t xml:space="preserve"> de la réponse du Royaume-Uni aux </w:t>
      </w:r>
      <w:r w:rsidR="00D04B85">
        <w:rPr>
          <w:lang w:val="fr-FR"/>
        </w:rPr>
        <w:t>recommandations du Comité</w:t>
      </w:r>
      <w:r w:rsidR="000B562B" w:rsidRPr="00A176EA">
        <w:rPr>
          <w:lang w:val="fr-FR"/>
        </w:rPr>
        <w:t>.</w:t>
      </w:r>
    </w:p>
    <w:p w:rsidR="000B562B" w:rsidRPr="00A176EA" w:rsidRDefault="00D04B85" w:rsidP="00A801B9">
      <w:pPr>
        <w:pStyle w:val="H23G"/>
        <w:rPr>
          <w:lang w:val="fr-FR"/>
        </w:rPr>
      </w:pPr>
      <w:r>
        <w:rPr>
          <w:lang w:val="fr-FR"/>
        </w:rPr>
        <w:t>Surpeuplement</w:t>
      </w:r>
    </w:p>
    <w:p w:rsidR="000B562B" w:rsidRPr="00A176EA" w:rsidRDefault="002549A9" w:rsidP="00067C17">
      <w:pPr>
        <w:pStyle w:val="SingleTxtG"/>
        <w:rPr>
          <w:lang w:val="fr-FR"/>
        </w:rPr>
      </w:pPr>
      <w:r w:rsidRPr="00A176EA">
        <w:rPr>
          <w:lang w:val="fr-FR"/>
        </w:rPr>
        <w:t>518.</w:t>
      </w:r>
      <w:r w:rsidRPr="00A176EA">
        <w:rPr>
          <w:lang w:val="fr-FR"/>
        </w:rPr>
        <w:tab/>
      </w:r>
      <w:r w:rsidR="00067C17">
        <w:rPr>
          <w:lang w:val="fr-FR"/>
        </w:rPr>
        <w:t>Nul doute que le surpeuplement exerce une pression considérable sur les établissements pénitentiaires. Le Gouvernement souhaite un réel changement d’approche de façon à placer la réadaptation des détenus au cœur des prisons qui s’y prêtent et sont économiquement viables</w:t>
      </w:r>
      <w:r w:rsidR="000B562B" w:rsidRPr="00A176EA">
        <w:rPr>
          <w:lang w:val="fr-FR"/>
        </w:rPr>
        <w:t>.</w:t>
      </w:r>
    </w:p>
    <w:p w:rsidR="000B562B" w:rsidRPr="00A176EA" w:rsidRDefault="002549A9" w:rsidP="000B60F8">
      <w:pPr>
        <w:pStyle w:val="SingleTxtG"/>
        <w:rPr>
          <w:lang w:val="fr-FR"/>
        </w:rPr>
      </w:pPr>
      <w:r w:rsidRPr="00A176EA">
        <w:rPr>
          <w:lang w:val="fr-FR"/>
        </w:rPr>
        <w:t>519.</w:t>
      </w:r>
      <w:r w:rsidRPr="00A176EA">
        <w:rPr>
          <w:lang w:val="fr-FR"/>
        </w:rPr>
        <w:tab/>
      </w:r>
      <w:r w:rsidR="000B60F8">
        <w:rPr>
          <w:lang w:val="fr-FR"/>
        </w:rPr>
        <w:t>Le taux d’occupation est géré avec attention. Les Responsables opérationnels doivent veiller à ce que chaque cellule soit correctement chauffée, éclairée et ventilée, et qu’elle présente la superficie adéquate pour le nombre de prisonniers qu’elle accueille</w:t>
      </w:r>
      <w:r w:rsidR="000B562B" w:rsidRPr="00A176EA">
        <w:rPr>
          <w:lang w:val="fr-FR"/>
        </w:rPr>
        <w:t>.</w:t>
      </w:r>
    </w:p>
    <w:p w:rsidR="000B562B" w:rsidRPr="00A176EA" w:rsidRDefault="002549A9" w:rsidP="000B60F8">
      <w:pPr>
        <w:pStyle w:val="SingleTxtG"/>
        <w:rPr>
          <w:lang w:val="fr-FR"/>
        </w:rPr>
      </w:pPr>
      <w:r w:rsidRPr="00A176EA">
        <w:rPr>
          <w:lang w:val="fr-FR"/>
        </w:rPr>
        <w:t>520.</w:t>
      </w:r>
      <w:r w:rsidRPr="00A176EA">
        <w:rPr>
          <w:lang w:val="fr-FR"/>
        </w:rPr>
        <w:tab/>
      </w:r>
      <w:r w:rsidR="000B60F8">
        <w:rPr>
          <w:lang w:val="fr-FR"/>
        </w:rPr>
        <w:t>Le Gouvernement a reconnu que même si les réformes portant sur la détermination de la peine et la réadaptation réussissent à réduire la population carcérale, il ne sera pas possible de créer suffisamment de places pour remédier totalement au problème</w:t>
      </w:r>
      <w:r w:rsidR="000B562B" w:rsidRPr="00A176EA">
        <w:rPr>
          <w:lang w:val="fr-FR"/>
        </w:rPr>
        <w:t>.</w:t>
      </w:r>
    </w:p>
    <w:p w:rsidR="000B562B" w:rsidRPr="00A176EA" w:rsidRDefault="002549A9" w:rsidP="000B60F8">
      <w:pPr>
        <w:pStyle w:val="SingleTxtG"/>
        <w:rPr>
          <w:lang w:val="fr-FR"/>
        </w:rPr>
      </w:pPr>
      <w:r w:rsidRPr="00A176EA">
        <w:rPr>
          <w:lang w:val="fr-FR"/>
        </w:rPr>
        <w:t>521.</w:t>
      </w:r>
      <w:r w:rsidRPr="00A176EA">
        <w:rPr>
          <w:lang w:val="fr-FR"/>
        </w:rPr>
        <w:tab/>
      </w:r>
      <w:r w:rsidR="000B60F8">
        <w:rPr>
          <w:lang w:val="fr-FR"/>
        </w:rPr>
        <w:t xml:space="preserve">Parallèlement, le Gouvernement a l’intention de gérer les questions de capacité d’hébergement de façon plus efficace pour optimiser l’utilisation de l’argent du contribuable et faire des économies pour réduire le déficit budgétaire. À la lumière des réponses formulées dans le livre vert </w:t>
      </w:r>
      <w:r w:rsidR="00CD0110">
        <w:rPr>
          <w:lang w:val="fr-FR"/>
        </w:rPr>
        <w:t>«</w:t>
      </w:r>
      <w:r w:rsidR="000B60F8">
        <w:rPr>
          <w:lang w:val="fr-FR"/>
        </w:rPr>
        <w:t>Sortir du cercle vicieux</w:t>
      </w:r>
      <w:r w:rsidR="00CD0110">
        <w:rPr>
          <w:lang w:val="fr-FR"/>
        </w:rPr>
        <w:t>»</w:t>
      </w:r>
      <w:r w:rsidR="000B60F8">
        <w:rPr>
          <w:lang w:val="fr-FR"/>
        </w:rPr>
        <w:t>, le Gouvernement examinera une stratégie à long terme pour la capacité d’accueil</w:t>
      </w:r>
      <w:r w:rsidR="000B562B" w:rsidRPr="00A176EA">
        <w:rPr>
          <w:lang w:val="fr-FR"/>
        </w:rPr>
        <w:t>.</w:t>
      </w:r>
    </w:p>
    <w:p w:rsidR="000B562B" w:rsidRPr="00A176EA" w:rsidRDefault="002549A9" w:rsidP="00801B56">
      <w:pPr>
        <w:pStyle w:val="SingleTxtG"/>
        <w:spacing w:after="240"/>
        <w:rPr>
          <w:lang w:val="fr-FR"/>
        </w:rPr>
      </w:pPr>
      <w:r w:rsidRPr="00A176EA">
        <w:rPr>
          <w:lang w:val="fr-FR"/>
        </w:rPr>
        <w:t>522.</w:t>
      </w:r>
      <w:r w:rsidRPr="00A176EA">
        <w:rPr>
          <w:lang w:val="fr-FR"/>
        </w:rPr>
        <w:tab/>
      </w:r>
      <w:r w:rsidR="000B60F8">
        <w:rPr>
          <w:lang w:val="fr-FR"/>
        </w:rPr>
        <w:t>L</w:t>
      </w:r>
      <w:r w:rsidR="000B562B" w:rsidRPr="00A176EA">
        <w:rPr>
          <w:lang w:val="fr-FR"/>
        </w:rPr>
        <w:t>e table</w:t>
      </w:r>
      <w:r w:rsidR="000B60F8">
        <w:rPr>
          <w:lang w:val="fr-FR"/>
        </w:rPr>
        <w:t>au ci-après indique les chiffres nationaux du surpeuplement carcéral</w:t>
      </w:r>
      <w:r w:rsidR="00FC2B97">
        <w:rPr>
          <w:lang w:val="fr-FR"/>
        </w:rPr>
        <w:t>:</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048"/>
        <w:gridCol w:w="3211"/>
        <w:gridCol w:w="3111"/>
      </w:tblGrid>
      <w:tr w:rsidR="000B562B" w:rsidRPr="00A176EA" w:rsidTr="00BC5EBE">
        <w:trPr>
          <w:cantSplit/>
          <w:trHeight w:val="240"/>
          <w:tblHeader/>
        </w:trPr>
        <w:tc>
          <w:tcPr>
            <w:tcW w:w="1134" w:type="dxa"/>
            <w:tcBorders>
              <w:top w:val="single" w:sz="4" w:space="0" w:color="auto"/>
              <w:bottom w:val="single" w:sz="12" w:space="0" w:color="auto"/>
            </w:tcBorders>
            <w:shd w:val="clear" w:color="auto" w:fill="auto"/>
            <w:vAlign w:val="bottom"/>
          </w:tcPr>
          <w:p w:rsidR="000B562B" w:rsidRPr="00A176EA" w:rsidRDefault="000B60F8" w:rsidP="00A801B9">
            <w:pPr>
              <w:pStyle w:val="Text"/>
              <w:spacing w:before="80" w:after="80" w:line="200" w:lineRule="exact"/>
              <w:rPr>
                <w:rFonts w:ascii="Times New Roman" w:hAnsi="Times New Roman"/>
                <w:i/>
                <w:sz w:val="16"/>
                <w:lang w:val="fr-FR"/>
              </w:rPr>
            </w:pPr>
            <w:r>
              <w:rPr>
                <w:rFonts w:ascii="Times New Roman" w:hAnsi="Times New Roman"/>
                <w:i/>
                <w:sz w:val="16"/>
                <w:lang w:val="fr-FR"/>
              </w:rPr>
              <w:t>Année</w:t>
            </w:r>
          </w:p>
        </w:tc>
        <w:tc>
          <w:tcPr>
            <w:tcW w:w="3515" w:type="dxa"/>
            <w:tcBorders>
              <w:top w:val="single" w:sz="4" w:space="0" w:color="auto"/>
              <w:bottom w:val="single" w:sz="12" w:space="0" w:color="auto"/>
            </w:tcBorders>
            <w:shd w:val="clear" w:color="auto" w:fill="auto"/>
            <w:vAlign w:val="bottom"/>
          </w:tcPr>
          <w:p w:rsidR="000B562B" w:rsidRPr="00A176EA" w:rsidRDefault="000B60F8" w:rsidP="00BC5EBE">
            <w:pPr>
              <w:pStyle w:val="Text"/>
              <w:spacing w:before="80" w:after="80" w:line="200" w:lineRule="exact"/>
              <w:ind w:left="113" w:right="57"/>
              <w:jc w:val="right"/>
              <w:rPr>
                <w:rFonts w:ascii="Times New Roman" w:hAnsi="Times New Roman"/>
                <w:i/>
                <w:sz w:val="16"/>
                <w:lang w:val="fr-FR"/>
              </w:rPr>
            </w:pPr>
            <w:r>
              <w:rPr>
                <w:rFonts w:ascii="Times New Roman" w:hAnsi="Times New Roman"/>
                <w:i/>
                <w:sz w:val="16"/>
                <w:lang w:val="fr-FR"/>
              </w:rPr>
              <w:t>Nombre moyen de détenus dans les établissements surpeuplés</w:t>
            </w:r>
          </w:p>
        </w:tc>
        <w:tc>
          <w:tcPr>
            <w:tcW w:w="3402" w:type="dxa"/>
            <w:tcBorders>
              <w:top w:val="single" w:sz="4" w:space="0" w:color="auto"/>
              <w:bottom w:val="single" w:sz="12" w:space="0" w:color="auto"/>
            </w:tcBorders>
            <w:shd w:val="clear" w:color="auto" w:fill="auto"/>
            <w:vAlign w:val="bottom"/>
          </w:tcPr>
          <w:p w:rsidR="000B562B" w:rsidRPr="00A176EA" w:rsidRDefault="000B60F8" w:rsidP="00BC5EBE">
            <w:pPr>
              <w:pStyle w:val="Text"/>
              <w:spacing w:before="80" w:after="80" w:line="200" w:lineRule="exact"/>
              <w:ind w:left="113" w:right="57"/>
              <w:jc w:val="right"/>
              <w:rPr>
                <w:rFonts w:ascii="Times New Roman" w:hAnsi="Times New Roman"/>
                <w:i/>
                <w:sz w:val="16"/>
                <w:lang w:val="fr-FR"/>
              </w:rPr>
            </w:pPr>
            <w:r>
              <w:rPr>
                <w:rFonts w:ascii="Times New Roman" w:hAnsi="Times New Roman"/>
                <w:i/>
                <w:sz w:val="16"/>
                <w:lang w:val="fr-FR"/>
              </w:rPr>
              <w:t>Pourcentage moyen de détenus dans les établissements surpeuplés</w:t>
            </w:r>
          </w:p>
        </w:tc>
      </w:tr>
      <w:tr w:rsidR="000B562B" w:rsidRPr="00A176EA" w:rsidTr="00BC5EBE">
        <w:trPr>
          <w:cantSplit/>
          <w:trHeight w:val="240"/>
        </w:trPr>
        <w:tc>
          <w:tcPr>
            <w:tcW w:w="1134" w:type="dxa"/>
            <w:tcBorders>
              <w:top w:val="single" w:sz="12" w:space="0" w:color="auto"/>
            </w:tcBorders>
            <w:shd w:val="clear" w:color="auto" w:fill="auto"/>
          </w:tcPr>
          <w:p w:rsidR="000B562B" w:rsidRPr="00A176EA" w:rsidRDefault="00BC5EBE" w:rsidP="00A801B9">
            <w:pPr>
              <w:pStyle w:val="Text"/>
              <w:spacing w:before="40" w:after="40" w:line="220" w:lineRule="exact"/>
              <w:rPr>
                <w:rFonts w:ascii="Times New Roman" w:hAnsi="Times New Roman"/>
                <w:sz w:val="18"/>
                <w:lang w:val="fr-FR"/>
              </w:rPr>
            </w:pPr>
            <w:r>
              <w:rPr>
                <w:rFonts w:ascii="Times New Roman" w:hAnsi="Times New Roman"/>
                <w:sz w:val="18"/>
                <w:lang w:val="fr-FR"/>
              </w:rPr>
              <w:t>2004-20</w:t>
            </w:r>
            <w:r w:rsidR="000B562B" w:rsidRPr="00A176EA">
              <w:rPr>
                <w:rFonts w:ascii="Times New Roman" w:hAnsi="Times New Roman"/>
                <w:sz w:val="18"/>
                <w:lang w:val="fr-FR"/>
              </w:rPr>
              <w:t>05</w:t>
            </w:r>
          </w:p>
        </w:tc>
        <w:tc>
          <w:tcPr>
            <w:tcW w:w="3515" w:type="dxa"/>
            <w:tcBorders>
              <w:top w:val="single" w:sz="12" w:space="0" w:color="auto"/>
            </w:tcBorders>
            <w:shd w:val="clear" w:color="auto" w:fill="auto"/>
            <w:vAlign w:val="bottom"/>
          </w:tcPr>
          <w:p w:rsidR="000B562B" w:rsidRPr="00A176EA" w:rsidRDefault="000B562B" w:rsidP="00BC5EBE">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18</w:t>
            </w:r>
            <w:r w:rsidR="000B60F8">
              <w:rPr>
                <w:rFonts w:ascii="Times New Roman" w:hAnsi="Times New Roman"/>
                <w:sz w:val="18"/>
                <w:lang w:val="fr-FR"/>
              </w:rPr>
              <w:t xml:space="preserve"> </w:t>
            </w:r>
            <w:r w:rsidRPr="00A176EA">
              <w:rPr>
                <w:rFonts w:ascii="Times New Roman" w:hAnsi="Times New Roman"/>
                <w:sz w:val="18"/>
                <w:lang w:val="fr-FR"/>
              </w:rPr>
              <w:t>214</w:t>
            </w:r>
          </w:p>
        </w:tc>
        <w:tc>
          <w:tcPr>
            <w:tcW w:w="3402" w:type="dxa"/>
            <w:tcBorders>
              <w:top w:val="single" w:sz="12" w:space="0" w:color="auto"/>
            </w:tcBorders>
            <w:shd w:val="clear" w:color="auto" w:fill="auto"/>
            <w:vAlign w:val="bottom"/>
          </w:tcPr>
          <w:p w:rsidR="000B562B" w:rsidRPr="00A176EA" w:rsidRDefault="000B562B" w:rsidP="00BC5EBE">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24</w:t>
            </w:r>
            <w:r w:rsidR="000B60F8">
              <w:rPr>
                <w:rFonts w:ascii="Times New Roman" w:hAnsi="Times New Roman"/>
                <w:sz w:val="18"/>
                <w:lang w:val="fr-FR"/>
              </w:rPr>
              <w:t>,</w:t>
            </w:r>
            <w:r w:rsidRPr="00A176EA">
              <w:rPr>
                <w:rFonts w:ascii="Times New Roman" w:hAnsi="Times New Roman"/>
                <w:sz w:val="18"/>
                <w:lang w:val="fr-FR"/>
              </w:rPr>
              <w:t>3</w:t>
            </w:r>
            <w:r w:rsidR="00BC5EBE">
              <w:rPr>
                <w:rFonts w:ascii="Times New Roman" w:hAnsi="Times New Roman"/>
                <w:sz w:val="18"/>
                <w:lang w:val="fr-FR"/>
              </w:rPr>
              <w:t> </w:t>
            </w:r>
            <w:r w:rsidRPr="00A176EA">
              <w:rPr>
                <w:rFonts w:ascii="Times New Roman" w:hAnsi="Times New Roman"/>
                <w:sz w:val="18"/>
                <w:lang w:val="fr-FR"/>
              </w:rPr>
              <w:t>%</w:t>
            </w:r>
          </w:p>
        </w:tc>
      </w:tr>
      <w:tr w:rsidR="000B562B" w:rsidRPr="00A176EA" w:rsidTr="00BC5EBE">
        <w:trPr>
          <w:cantSplit/>
          <w:trHeight w:val="240"/>
        </w:trPr>
        <w:tc>
          <w:tcPr>
            <w:tcW w:w="1134" w:type="dxa"/>
            <w:shd w:val="clear" w:color="auto" w:fill="auto"/>
          </w:tcPr>
          <w:p w:rsidR="000B562B" w:rsidRPr="00A176EA" w:rsidRDefault="00BC5EBE" w:rsidP="00A801B9">
            <w:pPr>
              <w:pStyle w:val="Text"/>
              <w:spacing w:before="40" w:after="40" w:line="220" w:lineRule="exact"/>
              <w:rPr>
                <w:rFonts w:ascii="Times New Roman" w:hAnsi="Times New Roman"/>
                <w:sz w:val="18"/>
                <w:lang w:val="fr-FR"/>
              </w:rPr>
            </w:pPr>
            <w:r>
              <w:rPr>
                <w:rFonts w:ascii="Times New Roman" w:hAnsi="Times New Roman"/>
                <w:sz w:val="18"/>
                <w:lang w:val="fr-FR"/>
              </w:rPr>
              <w:t>2005-20</w:t>
            </w:r>
            <w:r w:rsidR="000B562B" w:rsidRPr="00A176EA">
              <w:rPr>
                <w:rFonts w:ascii="Times New Roman" w:hAnsi="Times New Roman"/>
                <w:sz w:val="18"/>
                <w:lang w:val="fr-FR"/>
              </w:rPr>
              <w:t>06</w:t>
            </w:r>
          </w:p>
        </w:tc>
        <w:tc>
          <w:tcPr>
            <w:tcW w:w="3515" w:type="dxa"/>
            <w:shd w:val="clear" w:color="auto" w:fill="auto"/>
            <w:vAlign w:val="bottom"/>
          </w:tcPr>
          <w:p w:rsidR="000B562B" w:rsidRPr="00A176EA" w:rsidRDefault="000B562B" w:rsidP="00BC5EBE">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18</w:t>
            </w:r>
            <w:r w:rsidR="000B60F8">
              <w:rPr>
                <w:rFonts w:ascii="Times New Roman" w:hAnsi="Times New Roman"/>
                <w:sz w:val="18"/>
                <w:lang w:val="fr-FR"/>
              </w:rPr>
              <w:t xml:space="preserve"> </w:t>
            </w:r>
            <w:r w:rsidRPr="00A176EA">
              <w:rPr>
                <w:rFonts w:ascii="Times New Roman" w:hAnsi="Times New Roman"/>
                <w:sz w:val="18"/>
                <w:lang w:val="fr-FR"/>
              </w:rPr>
              <w:t>356</w:t>
            </w:r>
          </w:p>
        </w:tc>
        <w:tc>
          <w:tcPr>
            <w:tcW w:w="3402" w:type="dxa"/>
            <w:shd w:val="clear" w:color="auto" w:fill="auto"/>
            <w:vAlign w:val="bottom"/>
          </w:tcPr>
          <w:p w:rsidR="000B562B" w:rsidRPr="00A176EA" w:rsidRDefault="000B562B" w:rsidP="00BC5EBE">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24</w:t>
            </w:r>
            <w:r w:rsidR="000B60F8">
              <w:rPr>
                <w:rFonts w:ascii="Times New Roman" w:hAnsi="Times New Roman"/>
                <w:sz w:val="18"/>
                <w:lang w:val="fr-FR"/>
              </w:rPr>
              <w:t>,</w:t>
            </w:r>
            <w:r w:rsidRPr="00A176EA">
              <w:rPr>
                <w:rFonts w:ascii="Times New Roman" w:hAnsi="Times New Roman"/>
                <w:sz w:val="18"/>
                <w:lang w:val="fr-FR"/>
              </w:rPr>
              <w:t>0</w:t>
            </w:r>
            <w:r w:rsidR="00BC5EBE">
              <w:rPr>
                <w:rFonts w:ascii="Times New Roman" w:hAnsi="Times New Roman"/>
                <w:sz w:val="18"/>
                <w:lang w:val="fr-FR"/>
              </w:rPr>
              <w:t> </w:t>
            </w:r>
            <w:r w:rsidRPr="00A176EA">
              <w:rPr>
                <w:rFonts w:ascii="Times New Roman" w:hAnsi="Times New Roman"/>
                <w:sz w:val="18"/>
                <w:lang w:val="fr-FR"/>
              </w:rPr>
              <w:t>%</w:t>
            </w:r>
          </w:p>
        </w:tc>
      </w:tr>
      <w:tr w:rsidR="000B562B" w:rsidRPr="00A176EA" w:rsidTr="00BC5EBE">
        <w:trPr>
          <w:cantSplit/>
          <w:trHeight w:val="240"/>
        </w:trPr>
        <w:tc>
          <w:tcPr>
            <w:tcW w:w="1134" w:type="dxa"/>
            <w:shd w:val="clear" w:color="auto" w:fill="auto"/>
          </w:tcPr>
          <w:p w:rsidR="000B562B" w:rsidRPr="00A176EA" w:rsidRDefault="00BC5EBE" w:rsidP="00A801B9">
            <w:pPr>
              <w:pStyle w:val="Text"/>
              <w:spacing w:before="40" w:after="40" w:line="220" w:lineRule="exact"/>
              <w:rPr>
                <w:rFonts w:ascii="Times New Roman" w:hAnsi="Times New Roman"/>
                <w:sz w:val="18"/>
                <w:lang w:val="fr-FR"/>
              </w:rPr>
            </w:pPr>
            <w:r>
              <w:rPr>
                <w:rFonts w:ascii="Times New Roman" w:hAnsi="Times New Roman"/>
                <w:sz w:val="18"/>
                <w:lang w:val="fr-FR"/>
              </w:rPr>
              <w:t>2006-20</w:t>
            </w:r>
            <w:r w:rsidR="000B562B" w:rsidRPr="00A176EA">
              <w:rPr>
                <w:rFonts w:ascii="Times New Roman" w:hAnsi="Times New Roman"/>
                <w:sz w:val="18"/>
                <w:lang w:val="fr-FR"/>
              </w:rPr>
              <w:t>07</w:t>
            </w:r>
          </w:p>
        </w:tc>
        <w:tc>
          <w:tcPr>
            <w:tcW w:w="3515" w:type="dxa"/>
            <w:shd w:val="clear" w:color="auto" w:fill="auto"/>
            <w:vAlign w:val="bottom"/>
          </w:tcPr>
          <w:p w:rsidR="000B562B" w:rsidRPr="00A176EA" w:rsidRDefault="000B562B" w:rsidP="00BC5EBE">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19</w:t>
            </w:r>
            <w:r w:rsidR="000B60F8">
              <w:rPr>
                <w:rFonts w:ascii="Times New Roman" w:hAnsi="Times New Roman"/>
                <w:sz w:val="18"/>
                <w:lang w:val="fr-FR"/>
              </w:rPr>
              <w:t xml:space="preserve"> </w:t>
            </w:r>
            <w:r w:rsidRPr="00A176EA">
              <w:rPr>
                <w:rFonts w:ascii="Times New Roman" w:hAnsi="Times New Roman"/>
                <w:sz w:val="18"/>
                <w:lang w:val="fr-FR"/>
              </w:rPr>
              <w:t>438</w:t>
            </w:r>
          </w:p>
        </w:tc>
        <w:tc>
          <w:tcPr>
            <w:tcW w:w="3402" w:type="dxa"/>
            <w:shd w:val="clear" w:color="auto" w:fill="auto"/>
            <w:vAlign w:val="bottom"/>
          </w:tcPr>
          <w:p w:rsidR="000B562B" w:rsidRPr="00A176EA" w:rsidRDefault="000B562B" w:rsidP="00BC5EBE">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24</w:t>
            </w:r>
            <w:r w:rsidR="000B60F8">
              <w:rPr>
                <w:rFonts w:ascii="Times New Roman" w:hAnsi="Times New Roman"/>
                <w:sz w:val="18"/>
                <w:lang w:val="fr-FR"/>
              </w:rPr>
              <w:t>,</w:t>
            </w:r>
            <w:r w:rsidRPr="00A176EA">
              <w:rPr>
                <w:rFonts w:ascii="Times New Roman" w:hAnsi="Times New Roman"/>
                <w:sz w:val="18"/>
                <w:lang w:val="fr-FR"/>
              </w:rPr>
              <w:t>6</w:t>
            </w:r>
            <w:r w:rsidR="00BC5EBE">
              <w:rPr>
                <w:rFonts w:ascii="Times New Roman" w:hAnsi="Times New Roman"/>
                <w:sz w:val="18"/>
                <w:lang w:val="fr-FR"/>
              </w:rPr>
              <w:t> </w:t>
            </w:r>
            <w:r w:rsidRPr="00A176EA">
              <w:rPr>
                <w:rFonts w:ascii="Times New Roman" w:hAnsi="Times New Roman"/>
                <w:sz w:val="18"/>
                <w:lang w:val="fr-FR"/>
              </w:rPr>
              <w:t>%</w:t>
            </w:r>
          </w:p>
        </w:tc>
      </w:tr>
      <w:tr w:rsidR="000B562B" w:rsidRPr="00A176EA" w:rsidTr="00BC5EBE">
        <w:trPr>
          <w:cantSplit/>
          <w:trHeight w:val="240"/>
        </w:trPr>
        <w:tc>
          <w:tcPr>
            <w:tcW w:w="1134" w:type="dxa"/>
            <w:shd w:val="clear" w:color="auto" w:fill="auto"/>
          </w:tcPr>
          <w:p w:rsidR="000B562B" w:rsidRPr="00A176EA" w:rsidRDefault="00BC5EBE" w:rsidP="00A801B9">
            <w:pPr>
              <w:pStyle w:val="Text"/>
              <w:spacing w:before="40" w:after="40" w:line="220" w:lineRule="exact"/>
              <w:rPr>
                <w:rFonts w:ascii="Times New Roman" w:hAnsi="Times New Roman"/>
                <w:sz w:val="18"/>
                <w:lang w:val="fr-FR"/>
              </w:rPr>
            </w:pPr>
            <w:r>
              <w:rPr>
                <w:rFonts w:ascii="Times New Roman" w:hAnsi="Times New Roman"/>
                <w:sz w:val="18"/>
                <w:lang w:val="fr-FR"/>
              </w:rPr>
              <w:t>2007-20</w:t>
            </w:r>
            <w:r w:rsidR="000B562B" w:rsidRPr="00A176EA">
              <w:rPr>
                <w:rFonts w:ascii="Times New Roman" w:hAnsi="Times New Roman"/>
                <w:sz w:val="18"/>
                <w:lang w:val="fr-FR"/>
              </w:rPr>
              <w:t>08</w:t>
            </w:r>
          </w:p>
        </w:tc>
        <w:tc>
          <w:tcPr>
            <w:tcW w:w="3515" w:type="dxa"/>
            <w:shd w:val="clear" w:color="auto" w:fill="auto"/>
            <w:vAlign w:val="bottom"/>
          </w:tcPr>
          <w:p w:rsidR="000B562B" w:rsidRPr="00A176EA" w:rsidRDefault="000B562B" w:rsidP="00BC5EBE">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20</w:t>
            </w:r>
            <w:r w:rsidR="000B60F8">
              <w:rPr>
                <w:rFonts w:ascii="Times New Roman" w:hAnsi="Times New Roman"/>
                <w:sz w:val="18"/>
                <w:lang w:val="fr-FR"/>
              </w:rPr>
              <w:t xml:space="preserve"> </w:t>
            </w:r>
            <w:r w:rsidRPr="00A176EA">
              <w:rPr>
                <w:rFonts w:ascii="Times New Roman" w:hAnsi="Times New Roman"/>
                <w:sz w:val="18"/>
                <w:lang w:val="fr-FR"/>
              </w:rPr>
              <w:t>377</w:t>
            </w:r>
          </w:p>
        </w:tc>
        <w:tc>
          <w:tcPr>
            <w:tcW w:w="3402" w:type="dxa"/>
            <w:shd w:val="clear" w:color="auto" w:fill="auto"/>
            <w:vAlign w:val="bottom"/>
          </w:tcPr>
          <w:p w:rsidR="000B562B" w:rsidRPr="00A176EA" w:rsidRDefault="000B562B" w:rsidP="00BC5EBE">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25</w:t>
            </w:r>
            <w:r w:rsidR="000B60F8">
              <w:rPr>
                <w:rFonts w:ascii="Times New Roman" w:hAnsi="Times New Roman"/>
                <w:sz w:val="18"/>
                <w:lang w:val="fr-FR"/>
              </w:rPr>
              <w:t>,</w:t>
            </w:r>
            <w:r w:rsidRPr="00A176EA">
              <w:rPr>
                <w:rFonts w:ascii="Times New Roman" w:hAnsi="Times New Roman"/>
                <w:sz w:val="18"/>
                <w:lang w:val="fr-FR"/>
              </w:rPr>
              <w:t>3</w:t>
            </w:r>
            <w:r w:rsidR="00BC5EBE">
              <w:rPr>
                <w:rFonts w:ascii="Times New Roman" w:hAnsi="Times New Roman"/>
                <w:sz w:val="18"/>
                <w:lang w:val="fr-FR"/>
              </w:rPr>
              <w:t> </w:t>
            </w:r>
            <w:r w:rsidRPr="00A176EA">
              <w:rPr>
                <w:rFonts w:ascii="Times New Roman" w:hAnsi="Times New Roman"/>
                <w:sz w:val="18"/>
                <w:lang w:val="fr-FR"/>
              </w:rPr>
              <w:t>%</w:t>
            </w:r>
          </w:p>
        </w:tc>
      </w:tr>
      <w:tr w:rsidR="000B562B" w:rsidRPr="00A176EA" w:rsidTr="00BC5EBE">
        <w:trPr>
          <w:cantSplit/>
          <w:trHeight w:val="240"/>
        </w:trPr>
        <w:tc>
          <w:tcPr>
            <w:tcW w:w="1134" w:type="dxa"/>
            <w:shd w:val="clear" w:color="auto" w:fill="auto"/>
          </w:tcPr>
          <w:p w:rsidR="000B562B" w:rsidRPr="00A176EA" w:rsidRDefault="00BC5EBE" w:rsidP="00A801B9">
            <w:pPr>
              <w:pStyle w:val="Text"/>
              <w:spacing w:before="40" w:after="40" w:line="220" w:lineRule="exact"/>
              <w:rPr>
                <w:rFonts w:ascii="Times New Roman" w:hAnsi="Times New Roman"/>
                <w:sz w:val="18"/>
                <w:lang w:val="fr-FR"/>
              </w:rPr>
            </w:pPr>
            <w:r>
              <w:rPr>
                <w:rFonts w:ascii="Times New Roman" w:hAnsi="Times New Roman"/>
                <w:sz w:val="18"/>
                <w:lang w:val="fr-FR"/>
              </w:rPr>
              <w:t>2008-20</w:t>
            </w:r>
            <w:r w:rsidR="000B562B" w:rsidRPr="00A176EA">
              <w:rPr>
                <w:rFonts w:ascii="Times New Roman" w:hAnsi="Times New Roman"/>
                <w:sz w:val="18"/>
                <w:lang w:val="fr-FR"/>
              </w:rPr>
              <w:t>09</w:t>
            </w:r>
          </w:p>
        </w:tc>
        <w:tc>
          <w:tcPr>
            <w:tcW w:w="3515" w:type="dxa"/>
            <w:shd w:val="clear" w:color="auto" w:fill="auto"/>
            <w:vAlign w:val="bottom"/>
          </w:tcPr>
          <w:p w:rsidR="000B562B" w:rsidRPr="00A176EA" w:rsidRDefault="000B562B" w:rsidP="00BC5EBE">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20</w:t>
            </w:r>
            <w:r w:rsidR="000B60F8">
              <w:rPr>
                <w:rFonts w:ascii="Times New Roman" w:hAnsi="Times New Roman"/>
                <w:sz w:val="18"/>
                <w:lang w:val="fr-FR"/>
              </w:rPr>
              <w:t xml:space="preserve"> </w:t>
            </w:r>
            <w:r w:rsidRPr="00A176EA">
              <w:rPr>
                <w:rFonts w:ascii="Times New Roman" w:hAnsi="Times New Roman"/>
                <w:sz w:val="18"/>
                <w:lang w:val="fr-FR"/>
              </w:rPr>
              <w:t>452</w:t>
            </w:r>
          </w:p>
        </w:tc>
        <w:tc>
          <w:tcPr>
            <w:tcW w:w="3402" w:type="dxa"/>
            <w:shd w:val="clear" w:color="auto" w:fill="auto"/>
            <w:vAlign w:val="bottom"/>
          </w:tcPr>
          <w:p w:rsidR="000B562B" w:rsidRPr="00A176EA" w:rsidRDefault="000B562B" w:rsidP="00BC5EBE">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24.7</w:t>
            </w:r>
            <w:r w:rsidR="00BC5EBE">
              <w:rPr>
                <w:rFonts w:ascii="Times New Roman" w:hAnsi="Times New Roman"/>
                <w:sz w:val="18"/>
                <w:lang w:val="fr-FR"/>
              </w:rPr>
              <w:t> </w:t>
            </w:r>
            <w:r w:rsidRPr="00A176EA">
              <w:rPr>
                <w:rFonts w:ascii="Times New Roman" w:hAnsi="Times New Roman"/>
                <w:sz w:val="18"/>
                <w:lang w:val="fr-FR"/>
              </w:rPr>
              <w:t>%</w:t>
            </w:r>
          </w:p>
        </w:tc>
      </w:tr>
      <w:tr w:rsidR="000B562B" w:rsidRPr="00A176EA" w:rsidTr="00BC5EBE">
        <w:trPr>
          <w:cantSplit/>
          <w:trHeight w:val="240"/>
        </w:trPr>
        <w:tc>
          <w:tcPr>
            <w:tcW w:w="1134" w:type="dxa"/>
            <w:tcBorders>
              <w:bottom w:val="single" w:sz="12" w:space="0" w:color="auto"/>
            </w:tcBorders>
            <w:shd w:val="clear" w:color="auto" w:fill="auto"/>
          </w:tcPr>
          <w:p w:rsidR="000B562B" w:rsidRPr="00A176EA" w:rsidRDefault="00BC5EBE" w:rsidP="00A801B9">
            <w:pPr>
              <w:pStyle w:val="Text"/>
              <w:spacing w:before="40" w:after="40" w:line="220" w:lineRule="exact"/>
              <w:rPr>
                <w:rFonts w:ascii="Times New Roman" w:hAnsi="Times New Roman"/>
                <w:sz w:val="18"/>
                <w:lang w:val="fr-FR"/>
              </w:rPr>
            </w:pPr>
            <w:r>
              <w:rPr>
                <w:rFonts w:ascii="Times New Roman" w:hAnsi="Times New Roman"/>
                <w:sz w:val="18"/>
                <w:lang w:val="fr-FR"/>
              </w:rPr>
              <w:t>2009-20</w:t>
            </w:r>
            <w:r w:rsidR="000B562B" w:rsidRPr="00A176EA">
              <w:rPr>
                <w:rFonts w:ascii="Times New Roman" w:hAnsi="Times New Roman"/>
                <w:sz w:val="18"/>
                <w:lang w:val="fr-FR"/>
              </w:rPr>
              <w:t>10</w:t>
            </w:r>
          </w:p>
        </w:tc>
        <w:tc>
          <w:tcPr>
            <w:tcW w:w="3515" w:type="dxa"/>
            <w:tcBorders>
              <w:bottom w:val="single" w:sz="12" w:space="0" w:color="auto"/>
            </w:tcBorders>
            <w:shd w:val="clear" w:color="auto" w:fill="auto"/>
            <w:vAlign w:val="bottom"/>
          </w:tcPr>
          <w:p w:rsidR="000B562B" w:rsidRPr="00A176EA" w:rsidRDefault="000B562B" w:rsidP="00BC5EBE">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20</w:t>
            </w:r>
            <w:r w:rsidR="000B60F8">
              <w:rPr>
                <w:rFonts w:ascii="Times New Roman" w:hAnsi="Times New Roman"/>
                <w:sz w:val="18"/>
                <w:lang w:val="fr-FR"/>
              </w:rPr>
              <w:t xml:space="preserve"> </w:t>
            </w:r>
            <w:r w:rsidRPr="00A176EA">
              <w:rPr>
                <w:rFonts w:ascii="Times New Roman" w:hAnsi="Times New Roman"/>
                <w:sz w:val="18"/>
                <w:lang w:val="fr-FR"/>
              </w:rPr>
              <w:t>234</w:t>
            </w:r>
          </w:p>
        </w:tc>
        <w:tc>
          <w:tcPr>
            <w:tcW w:w="3402" w:type="dxa"/>
            <w:tcBorders>
              <w:bottom w:val="single" w:sz="12" w:space="0" w:color="auto"/>
            </w:tcBorders>
            <w:shd w:val="clear" w:color="auto" w:fill="auto"/>
            <w:vAlign w:val="bottom"/>
          </w:tcPr>
          <w:p w:rsidR="000B562B" w:rsidRPr="00A176EA" w:rsidRDefault="000B562B" w:rsidP="00BC5EBE">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24</w:t>
            </w:r>
            <w:r w:rsidR="000B60F8">
              <w:rPr>
                <w:rFonts w:ascii="Times New Roman" w:hAnsi="Times New Roman"/>
                <w:sz w:val="18"/>
                <w:lang w:val="fr-FR"/>
              </w:rPr>
              <w:t>,</w:t>
            </w:r>
            <w:r w:rsidRPr="00A176EA">
              <w:rPr>
                <w:rFonts w:ascii="Times New Roman" w:hAnsi="Times New Roman"/>
                <w:sz w:val="18"/>
                <w:lang w:val="fr-FR"/>
              </w:rPr>
              <w:t>1</w:t>
            </w:r>
            <w:r w:rsidR="00BC5EBE">
              <w:rPr>
                <w:rFonts w:ascii="Times New Roman" w:hAnsi="Times New Roman"/>
                <w:sz w:val="18"/>
                <w:lang w:val="fr-FR"/>
              </w:rPr>
              <w:t> </w:t>
            </w:r>
            <w:r w:rsidRPr="00A176EA">
              <w:rPr>
                <w:rFonts w:ascii="Times New Roman" w:hAnsi="Times New Roman"/>
                <w:sz w:val="18"/>
                <w:lang w:val="fr-FR"/>
              </w:rPr>
              <w:t>%</w:t>
            </w:r>
          </w:p>
        </w:tc>
      </w:tr>
    </w:tbl>
    <w:p w:rsidR="000B562B" w:rsidRPr="00A176EA" w:rsidRDefault="000B562B" w:rsidP="00A801B9">
      <w:pPr>
        <w:pStyle w:val="H23G"/>
        <w:rPr>
          <w:lang w:val="fr-FR"/>
        </w:rPr>
      </w:pPr>
      <w:bookmarkStart w:id="64" w:name="_Toc299724751"/>
      <w:r w:rsidRPr="00A176EA">
        <w:rPr>
          <w:lang w:val="fr-FR"/>
        </w:rPr>
        <w:t>D</w:t>
      </w:r>
      <w:r w:rsidR="00050A2C">
        <w:rPr>
          <w:lang w:val="fr-FR"/>
        </w:rPr>
        <w:t>écè</w:t>
      </w:r>
      <w:r w:rsidRPr="00A176EA">
        <w:rPr>
          <w:lang w:val="fr-FR"/>
        </w:rPr>
        <w:t xml:space="preserve">s, violence </w:t>
      </w:r>
      <w:r w:rsidR="00050A2C">
        <w:rPr>
          <w:lang w:val="fr-FR"/>
        </w:rPr>
        <w:t xml:space="preserve">et </w:t>
      </w:r>
      <w:r w:rsidR="00693898">
        <w:rPr>
          <w:lang w:val="fr-FR"/>
        </w:rPr>
        <w:t>brutalités</w:t>
      </w:r>
      <w:r w:rsidRPr="00A176EA">
        <w:rPr>
          <w:lang w:val="fr-FR"/>
        </w:rPr>
        <w:t xml:space="preserve"> </w:t>
      </w:r>
      <w:bookmarkEnd w:id="64"/>
      <w:r w:rsidR="00050A2C">
        <w:rPr>
          <w:lang w:val="fr-FR"/>
        </w:rPr>
        <w:t>en détention</w:t>
      </w:r>
    </w:p>
    <w:p w:rsidR="000B562B" w:rsidRPr="00050A2C" w:rsidRDefault="0024448E" w:rsidP="00DE1014">
      <w:pPr>
        <w:pStyle w:val="H23G"/>
        <w:rPr>
          <w:lang w:val="fr-FR"/>
        </w:rPr>
      </w:pPr>
      <w:r w:rsidRPr="00050A2C">
        <w:rPr>
          <w:lang w:val="fr-FR"/>
        </w:rPr>
        <w:t>Angleterre et</w:t>
      </w:r>
      <w:r w:rsidR="000B562B" w:rsidRPr="00050A2C">
        <w:rPr>
          <w:lang w:val="fr-FR"/>
        </w:rPr>
        <w:t xml:space="preserve"> </w:t>
      </w:r>
      <w:r w:rsidRPr="00050A2C">
        <w:rPr>
          <w:lang w:val="fr-FR"/>
        </w:rPr>
        <w:t>p</w:t>
      </w:r>
      <w:r w:rsidR="005601A1" w:rsidRPr="00050A2C">
        <w:rPr>
          <w:lang w:val="fr-FR"/>
        </w:rPr>
        <w:t>ays de Galles</w:t>
      </w:r>
    </w:p>
    <w:p w:rsidR="000B562B" w:rsidRPr="00A176EA" w:rsidRDefault="002549A9" w:rsidP="00801B56">
      <w:pPr>
        <w:pStyle w:val="SingleTxtG"/>
        <w:spacing w:after="240"/>
        <w:rPr>
          <w:lang w:val="fr-FR"/>
        </w:rPr>
      </w:pPr>
      <w:r w:rsidRPr="00050A2C">
        <w:rPr>
          <w:lang w:val="fr-FR"/>
        </w:rPr>
        <w:t>523.</w:t>
      </w:r>
      <w:r w:rsidRPr="00050A2C">
        <w:rPr>
          <w:lang w:val="fr-FR"/>
        </w:rPr>
        <w:tab/>
      </w:r>
      <w:r w:rsidR="0024448E" w:rsidRPr="00050A2C">
        <w:rPr>
          <w:lang w:val="fr-FR"/>
        </w:rPr>
        <w:t xml:space="preserve">Le tableau ci-dessous indique le nombre de décès en </w:t>
      </w:r>
      <w:r w:rsidR="00050A2C" w:rsidRPr="00050A2C">
        <w:rPr>
          <w:lang w:val="fr-FR"/>
        </w:rPr>
        <w:t>détention</w:t>
      </w:r>
      <w:r w:rsidR="0024448E" w:rsidRPr="00050A2C">
        <w:rPr>
          <w:lang w:val="fr-FR"/>
        </w:rPr>
        <w:t xml:space="preserve"> en Angleterre et au </w:t>
      </w:r>
      <w:r w:rsidR="00050A2C">
        <w:rPr>
          <w:lang w:val="fr-FR"/>
        </w:rPr>
        <w:t>p</w:t>
      </w:r>
      <w:r w:rsidR="0024448E" w:rsidRPr="00050A2C">
        <w:rPr>
          <w:lang w:val="fr-FR"/>
        </w:rPr>
        <w:t xml:space="preserve">ays de Galles depuis le quatrième rapport en </w:t>
      </w:r>
      <w:r w:rsidR="000B562B" w:rsidRPr="00050A2C">
        <w:rPr>
          <w:lang w:val="fr-FR"/>
        </w:rPr>
        <w:t>2003.</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896"/>
        <w:gridCol w:w="1610"/>
        <w:gridCol w:w="1022"/>
        <w:gridCol w:w="1329"/>
        <w:gridCol w:w="784"/>
        <w:gridCol w:w="1729"/>
      </w:tblGrid>
      <w:tr w:rsidR="00050A2C" w:rsidRPr="00A176EA" w:rsidTr="00263670">
        <w:tblPrEx>
          <w:tblCellMar>
            <w:top w:w="0" w:type="dxa"/>
            <w:bottom w:w="0" w:type="dxa"/>
          </w:tblCellMar>
        </w:tblPrEx>
        <w:trPr>
          <w:cantSplit/>
          <w:trHeight w:val="240"/>
          <w:tblHeader/>
        </w:trPr>
        <w:tc>
          <w:tcPr>
            <w:tcW w:w="896" w:type="dxa"/>
            <w:tcBorders>
              <w:top w:val="single" w:sz="4" w:space="0" w:color="auto"/>
              <w:bottom w:val="single" w:sz="12" w:space="0" w:color="auto"/>
            </w:tcBorders>
            <w:shd w:val="clear" w:color="auto" w:fill="auto"/>
            <w:vAlign w:val="bottom"/>
          </w:tcPr>
          <w:p w:rsidR="000B562B" w:rsidRPr="00A176EA" w:rsidRDefault="0024448E" w:rsidP="00263670">
            <w:pPr>
              <w:pStyle w:val="Text"/>
              <w:keepNext/>
              <w:keepLines/>
              <w:spacing w:before="80" w:after="80" w:line="200" w:lineRule="exact"/>
              <w:rPr>
                <w:rFonts w:ascii="Times New Roman" w:hAnsi="Times New Roman"/>
                <w:i/>
                <w:sz w:val="16"/>
                <w:lang w:val="fr-FR"/>
              </w:rPr>
            </w:pPr>
            <w:r w:rsidRPr="00050A2C">
              <w:rPr>
                <w:rFonts w:ascii="Times New Roman" w:hAnsi="Times New Roman"/>
                <w:i/>
                <w:sz w:val="16"/>
                <w:lang w:val="fr-FR"/>
              </w:rPr>
              <w:t>Année</w:t>
            </w:r>
          </w:p>
        </w:tc>
        <w:tc>
          <w:tcPr>
            <w:tcW w:w="1610" w:type="dxa"/>
            <w:tcBorders>
              <w:top w:val="single" w:sz="4" w:space="0" w:color="auto"/>
              <w:bottom w:val="single" w:sz="12" w:space="0" w:color="auto"/>
            </w:tcBorders>
            <w:shd w:val="clear" w:color="auto" w:fill="auto"/>
            <w:vAlign w:val="bottom"/>
          </w:tcPr>
          <w:p w:rsidR="000B562B" w:rsidRPr="00A176EA" w:rsidRDefault="000B562B" w:rsidP="00263670">
            <w:pPr>
              <w:pStyle w:val="Text"/>
              <w:keepNext/>
              <w:keepLines/>
              <w:spacing w:before="80" w:after="80" w:line="200" w:lineRule="exact"/>
              <w:ind w:left="113" w:right="57"/>
              <w:jc w:val="right"/>
              <w:rPr>
                <w:rFonts w:ascii="Times New Roman" w:hAnsi="Times New Roman"/>
                <w:i/>
                <w:sz w:val="16"/>
                <w:lang w:val="fr-FR"/>
              </w:rPr>
            </w:pPr>
            <w:r w:rsidRPr="00A176EA">
              <w:rPr>
                <w:rFonts w:ascii="Times New Roman" w:hAnsi="Times New Roman"/>
                <w:i/>
                <w:sz w:val="16"/>
                <w:lang w:val="fr-FR"/>
              </w:rPr>
              <w:t>Population</w:t>
            </w:r>
            <w:r w:rsidRPr="00967EB1">
              <w:rPr>
                <w:rFonts w:ascii="Times New Roman" w:hAnsi="Times New Roman"/>
                <w:i/>
                <w:sz w:val="18"/>
                <w:szCs w:val="18"/>
                <w:vertAlign w:val="superscript"/>
                <w:lang w:val="fr-FR"/>
              </w:rPr>
              <w:t>1</w:t>
            </w:r>
            <w:r w:rsidRPr="00A176EA">
              <w:rPr>
                <w:rFonts w:ascii="Times New Roman" w:hAnsi="Times New Roman"/>
                <w:i/>
                <w:sz w:val="16"/>
                <w:lang w:val="fr-FR"/>
              </w:rPr>
              <w:t xml:space="preserve"> (</w:t>
            </w:r>
            <w:r w:rsidR="00050A2C">
              <w:rPr>
                <w:rFonts w:ascii="Times New Roman" w:hAnsi="Times New Roman"/>
                <w:i/>
                <w:sz w:val="16"/>
                <w:lang w:val="fr-FR"/>
              </w:rPr>
              <w:t xml:space="preserve">milieu </w:t>
            </w:r>
            <w:r w:rsidR="00311042">
              <w:rPr>
                <w:rFonts w:ascii="Times New Roman" w:hAnsi="Times New Roman"/>
                <w:i/>
                <w:sz w:val="16"/>
                <w:lang w:val="fr-FR"/>
              </w:rPr>
              <w:br/>
            </w:r>
            <w:r w:rsidR="00050A2C">
              <w:rPr>
                <w:rFonts w:ascii="Times New Roman" w:hAnsi="Times New Roman"/>
                <w:i/>
                <w:sz w:val="16"/>
                <w:lang w:val="fr-FR"/>
              </w:rPr>
              <w:t>de l’année</w:t>
            </w:r>
            <w:r w:rsidRPr="00A176EA">
              <w:rPr>
                <w:rFonts w:ascii="Times New Roman" w:hAnsi="Times New Roman"/>
                <w:i/>
                <w:sz w:val="16"/>
                <w:lang w:val="fr-FR"/>
              </w:rPr>
              <w:t>)</w:t>
            </w:r>
          </w:p>
        </w:tc>
        <w:tc>
          <w:tcPr>
            <w:tcW w:w="1022" w:type="dxa"/>
            <w:tcBorders>
              <w:top w:val="single" w:sz="4" w:space="0" w:color="auto"/>
              <w:bottom w:val="single" w:sz="12" w:space="0" w:color="auto"/>
            </w:tcBorders>
            <w:shd w:val="clear" w:color="auto" w:fill="auto"/>
            <w:vAlign w:val="bottom"/>
          </w:tcPr>
          <w:p w:rsidR="000B562B" w:rsidRPr="00A176EA" w:rsidRDefault="00050A2C" w:rsidP="00263670">
            <w:pPr>
              <w:pStyle w:val="Text"/>
              <w:keepNext/>
              <w:keepLines/>
              <w:spacing w:before="80" w:after="80" w:line="200" w:lineRule="exact"/>
              <w:ind w:left="113" w:right="57"/>
              <w:jc w:val="right"/>
              <w:rPr>
                <w:rFonts w:ascii="Times New Roman" w:hAnsi="Times New Roman"/>
                <w:i/>
                <w:sz w:val="16"/>
                <w:lang w:val="fr-FR"/>
              </w:rPr>
            </w:pPr>
            <w:r>
              <w:rPr>
                <w:rFonts w:ascii="Times New Roman" w:hAnsi="Times New Roman"/>
                <w:i/>
                <w:sz w:val="16"/>
                <w:lang w:val="fr-FR"/>
              </w:rPr>
              <w:t>Suicides</w:t>
            </w:r>
            <w:r w:rsidR="000B562B" w:rsidRPr="00967EB1">
              <w:rPr>
                <w:rFonts w:ascii="Times New Roman" w:hAnsi="Times New Roman"/>
                <w:i/>
                <w:sz w:val="18"/>
                <w:szCs w:val="18"/>
                <w:vertAlign w:val="superscript"/>
                <w:lang w:val="fr-FR"/>
              </w:rPr>
              <w:t>2</w:t>
            </w:r>
          </w:p>
        </w:tc>
        <w:tc>
          <w:tcPr>
            <w:tcW w:w="1329" w:type="dxa"/>
            <w:tcBorders>
              <w:top w:val="single" w:sz="4" w:space="0" w:color="auto"/>
              <w:bottom w:val="single" w:sz="12" w:space="0" w:color="auto"/>
            </w:tcBorders>
            <w:shd w:val="clear" w:color="auto" w:fill="auto"/>
            <w:vAlign w:val="bottom"/>
          </w:tcPr>
          <w:p w:rsidR="000B562B" w:rsidRPr="00A176EA" w:rsidRDefault="00050A2C" w:rsidP="00263670">
            <w:pPr>
              <w:pStyle w:val="Text"/>
              <w:keepNext/>
              <w:keepLines/>
              <w:spacing w:before="80" w:after="80" w:line="200" w:lineRule="exact"/>
              <w:ind w:left="113" w:right="57"/>
              <w:jc w:val="right"/>
              <w:rPr>
                <w:rFonts w:ascii="Times New Roman" w:hAnsi="Times New Roman"/>
                <w:i/>
                <w:sz w:val="16"/>
                <w:lang w:val="fr-FR"/>
              </w:rPr>
            </w:pPr>
            <w:r>
              <w:rPr>
                <w:rFonts w:ascii="Times New Roman" w:hAnsi="Times New Roman"/>
                <w:i/>
                <w:sz w:val="16"/>
                <w:lang w:val="fr-FR"/>
              </w:rPr>
              <w:t>Décès nature</w:t>
            </w:r>
            <w:r w:rsidR="000B562B" w:rsidRPr="00A176EA">
              <w:rPr>
                <w:rFonts w:ascii="Times New Roman" w:hAnsi="Times New Roman"/>
                <w:i/>
                <w:sz w:val="16"/>
                <w:lang w:val="fr-FR"/>
              </w:rPr>
              <w:t>l</w:t>
            </w:r>
            <w:r>
              <w:rPr>
                <w:rFonts w:ascii="Times New Roman" w:hAnsi="Times New Roman"/>
                <w:i/>
                <w:sz w:val="16"/>
                <w:lang w:val="fr-FR"/>
              </w:rPr>
              <w:t>s</w:t>
            </w:r>
            <w:r w:rsidR="000B562B" w:rsidRPr="00A176EA">
              <w:rPr>
                <w:rFonts w:ascii="Times New Roman" w:hAnsi="Times New Roman"/>
                <w:i/>
                <w:sz w:val="16"/>
                <w:lang w:val="fr-FR"/>
              </w:rPr>
              <w:t>/</w:t>
            </w:r>
            <w:r w:rsidR="00311042">
              <w:rPr>
                <w:rFonts w:ascii="Times New Roman" w:hAnsi="Times New Roman"/>
                <w:i/>
                <w:sz w:val="16"/>
                <w:lang w:val="fr-FR"/>
              </w:rPr>
              <w:br/>
            </w:r>
            <w:r>
              <w:rPr>
                <w:rFonts w:ascii="Times New Roman" w:hAnsi="Times New Roman"/>
                <w:i/>
                <w:sz w:val="16"/>
                <w:lang w:val="fr-FR"/>
              </w:rPr>
              <w:t>autres</w:t>
            </w:r>
            <w:r w:rsidR="000B562B" w:rsidRPr="00A176EA">
              <w:rPr>
                <w:rFonts w:ascii="Times New Roman" w:hAnsi="Times New Roman"/>
                <w:i/>
                <w:sz w:val="16"/>
                <w:lang w:val="fr-FR"/>
              </w:rPr>
              <w:t xml:space="preserve"> causes</w:t>
            </w:r>
            <w:r w:rsidR="000B562B" w:rsidRPr="00207656">
              <w:rPr>
                <w:rFonts w:ascii="Times New Roman" w:hAnsi="Times New Roman"/>
                <w:i/>
                <w:sz w:val="16"/>
                <w:vertAlign w:val="superscript"/>
                <w:lang w:val="fr-FR"/>
              </w:rPr>
              <w:t>3</w:t>
            </w:r>
          </w:p>
        </w:tc>
        <w:tc>
          <w:tcPr>
            <w:tcW w:w="784" w:type="dxa"/>
            <w:tcBorders>
              <w:top w:val="single" w:sz="4" w:space="0" w:color="auto"/>
              <w:bottom w:val="single" w:sz="12" w:space="0" w:color="auto"/>
            </w:tcBorders>
            <w:shd w:val="clear" w:color="auto" w:fill="auto"/>
            <w:vAlign w:val="bottom"/>
          </w:tcPr>
          <w:p w:rsidR="000B562B" w:rsidRPr="00FE45D6" w:rsidRDefault="000B562B" w:rsidP="00263670">
            <w:pPr>
              <w:pStyle w:val="Text"/>
              <w:keepNext/>
              <w:keepLines/>
              <w:spacing w:before="80" w:after="80" w:line="200" w:lineRule="exact"/>
              <w:ind w:left="113" w:right="57"/>
              <w:jc w:val="right"/>
              <w:rPr>
                <w:rFonts w:ascii="Times New Roman" w:hAnsi="Times New Roman"/>
                <w:b/>
                <w:bCs/>
                <w:i/>
                <w:sz w:val="16"/>
                <w:lang w:val="fr-FR"/>
              </w:rPr>
            </w:pPr>
            <w:r w:rsidRPr="00FE45D6">
              <w:rPr>
                <w:rFonts w:ascii="Times New Roman" w:hAnsi="Times New Roman"/>
                <w:b/>
                <w:bCs/>
                <w:i/>
                <w:sz w:val="16"/>
                <w:lang w:val="fr-FR"/>
              </w:rPr>
              <w:t>Total</w:t>
            </w:r>
          </w:p>
        </w:tc>
        <w:tc>
          <w:tcPr>
            <w:tcW w:w="1729" w:type="dxa"/>
            <w:tcBorders>
              <w:top w:val="single" w:sz="4" w:space="0" w:color="auto"/>
              <w:bottom w:val="single" w:sz="12" w:space="0" w:color="auto"/>
            </w:tcBorders>
            <w:shd w:val="clear" w:color="auto" w:fill="auto"/>
            <w:vAlign w:val="bottom"/>
          </w:tcPr>
          <w:p w:rsidR="000B562B" w:rsidRPr="00A176EA" w:rsidRDefault="00050A2C" w:rsidP="00263670">
            <w:pPr>
              <w:pStyle w:val="Text"/>
              <w:keepNext/>
              <w:keepLines/>
              <w:spacing w:before="80" w:after="80" w:line="200" w:lineRule="exact"/>
              <w:ind w:left="113" w:right="57"/>
              <w:jc w:val="right"/>
              <w:rPr>
                <w:rFonts w:ascii="Times New Roman" w:hAnsi="Times New Roman"/>
                <w:i/>
                <w:sz w:val="16"/>
                <w:lang w:val="fr-FR"/>
              </w:rPr>
            </w:pPr>
            <w:r>
              <w:rPr>
                <w:rFonts w:ascii="Times New Roman" w:hAnsi="Times New Roman"/>
                <w:i/>
                <w:sz w:val="16"/>
                <w:lang w:val="fr-FR"/>
              </w:rPr>
              <w:t xml:space="preserve">Nombre de suicides </w:t>
            </w:r>
            <w:r w:rsidR="00311042">
              <w:rPr>
                <w:rFonts w:ascii="Times New Roman" w:hAnsi="Times New Roman"/>
                <w:i/>
                <w:sz w:val="16"/>
                <w:lang w:val="fr-FR"/>
              </w:rPr>
              <w:br/>
            </w:r>
            <w:r>
              <w:rPr>
                <w:rFonts w:ascii="Times New Roman" w:hAnsi="Times New Roman"/>
                <w:i/>
                <w:sz w:val="16"/>
                <w:lang w:val="fr-FR"/>
              </w:rPr>
              <w:t>pour</w:t>
            </w:r>
            <w:r w:rsidR="000B562B" w:rsidRPr="00A176EA">
              <w:rPr>
                <w:rFonts w:ascii="Times New Roman" w:hAnsi="Times New Roman"/>
                <w:i/>
                <w:sz w:val="16"/>
                <w:lang w:val="fr-FR"/>
              </w:rPr>
              <w:t xml:space="preserve"> 100</w:t>
            </w:r>
            <w:r>
              <w:rPr>
                <w:rFonts w:ascii="Times New Roman" w:hAnsi="Times New Roman"/>
                <w:i/>
                <w:sz w:val="16"/>
                <w:lang w:val="fr-FR"/>
              </w:rPr>
              <w:t> </w:t>
            </w:r>
            <w:r w:rsidR="000B562B" w:rsidRPr="00A176EA">
              <w:rPr>
                <w:rFonts w:ascii="Times New Roman" w:hAnsi="Times New Roman"/>
                <w:i/>
                <w:sz w:val="16"/>
                <w:lang w:val="fr-FR"/>
              </w:rPr>
              <w:t>000</w:t>
            </w:r>
            <w:r>
              <w:rPr>
                <w:rFonts w:ascii="Times New Roman" w:hAnsi="Times New Roman"/>
                <w:i/>
                <w:sz w:val="16"/>
                <w:lang w:val="fr-FR"/>
              </w:rPr>
              <w:t xml:space="preserve"> </w:t>
            </w:r>
            <w:r w:rsidR="00652E12">
              <w:rPr>
                <w:rFonts w:ascii="Times New Roman" w:hAnsi="Times New Roman"/>
                <w:i/>
                <w:sz w:val="16"/>
                <w:lang w:val="fr-FR"/>
              </w:rPr>
              <w:t>détenus</w:t>
            </w:r>
          </w:p>
        </w:tc>
      </w:tr>
      <w:tr w:rsidR="00050A2C" w:rsidRPr="00A176EA" w:rsidTr="00263670">
        <w:tblPrEx>
          <w:tblCellMar>
            <w:top w:w="0" w:type="dxa"/>
            <w:bottom w:w="0" w:type="dxa"/>
          </w:tblCellMar>
        </w:tblPrEx>
        <w:trPr>
          <w:cantSplit/>
          <w:trHeight w:val="240"/>
        </w:trPr>
        <w:tc>
          <w:tcPr>
            <w:tcW w:w="896" w:type="dxa"/>
            <w:tcBorders>
              <w:top w:val="single" w:sz="12" w:space="0" w:color="auto"/>
            </w:tcBorders>
            <w:shd w:val="clear" w:color="auto" w:fill="auto"/>
          </w:tcPr>
          <w:p w:rsidR="000B562B" w:rsidRPr="00A176EA" w:rsidRDefault="000B562B" w:rsidP="00263670">
            <w:pPr>
              <w:pStyle w:val="Text"/>
              <w:keepNext/>
              <w:keepLines/>
              <w:spacing w:before="40" w:after="40" w:line="220" w:lineRule="exact"/>
              <w:rPr>
                <w:rFonts w:ascii="Times New Roman" w:hAnsi="Times New Roman"/>
                <w:sz w:val="18"/>
                <w:lang w:val="fr-FR"/>
              </w:rPr>
            </w:pPr>
            <w:r w:rsidRPr="00A176EA">
              <w:rPr>
                <w:rFonts w:ascii="Times New Roman" w:hAnsi="Times New Roman"/>
                <w:sz w:val="18"/>
                <w:lang w:val="fr-FR"/>
              </w:rPr>
              <w:t>2004</w:t>
            </w:r>
          </w:p>
        </w:tc>
        <w:tc>
          <w:tcPr>
            <w:tcW w:w="1610" w:type="dxa"/>
            <w:tcBorders>
              <w:top w:val="single" w:sz="12" w:space="0" w:color="auto"/>
            </w:tcBorders>
            <w:shd w:val="clear" w:color="auto" w:fill="auto"/>
            <w:vAlign w:val="bottom"/>
          </w:tcPr>
          <w:p w:rsidR="000B562B" w:rsidRPr="00A176EA" w:rsidRDefault="000B562B" w:rsidP="00263670">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74</w:t>
            </w:r>
            <w:r w:rsidR="00050A2C">
              <w:rPr>
                <w:rFonts w:ascii="Times New Roman" w:hAnsi="Times New Roman"/>
                <w:sz w:val="18"/>
                <w:lang w:val="fr-FR"/>
              </w:rPr>
              <w:t xml:space="preserve"> </w:t>
            </w:r>
            <w:r w:rsidRPr="00A176EA">
              <w:rPr>
                <w:rFonts w:ascii="Times New Roman" w:hAnsi="Times New Roman"/>
                <w:sz w:val="18"/>
                <w:lang w:val="fr-FR"/>
              </w:rPr>
              <w:t>488</w:t>
            </w:r>
          </w:p>
        </w:tc>
        <w:tc>
          <w:tcPr>
            <w:tcW w:w="1022" w:type="dxa"/>
            <w:tcBorders>
              <w:top w:val="single" w:sz="12" w:space="0" w:color="auto"/>
            </w:tcBorders>
            <w:shd w:val="clear" w:color="auto" w:fill="auto"/>
            <w:vAlign w:val="bottom"/>
          </w:tcPr>
          <w:p w:rsidR="000B562B" w:rsidRPr="00A176EA" w:rsidRDefault="000B562B" w:rsidP="00263670">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95</w:t>
            </w:r>
          </w:p>
        </w:tc>
        <w:tc>
          <w:tcPr>
            <w:tcW w:w="1329" w:type="dxa"/>
            <w:tcBorders>
              <w:top w:val="single" w:sz="12" w:space="0" w:color="auto"/>
            </w:tcBorders>
            <w:shd w:val="clear" w:color="auto" w:fill="auto"/>
            <w:vAlign w:val="bottom"/>
          </w:tcPr>
          <w:p w:rsidR="000B562B" w:rsidRPr="00A176EA" w:rsidRDefault="000B562B" w:rsidP="00263670">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113</w:t>
            </w:r>
          </w:p>
        </w:tc>
        <w:tc>
          <w:tcPr>
            <w:tcW w:w="784" w:type="dxa"/>
            <w:tcBorders>
              <w:top w:val="single" w:sz="12" w:space="0" w:color="auto"/>
            </w:tcBorders>
            <w:shd w:val="clear" w:color="auto" w:fill="auto"/>
            <w:vAlign w:val="bottom"/>
          </w:tcPr>
          <w:p w:rsidR="000B562B" w:rsidRPr="00FE45D6" w:rsidRDefault="000B562B" w:rsidP="00263670">
            <w:pPr>
              <w:pStyle w:val="Text"/>
              <w:keepNext/>
              <w:keepLines/>
              <w:spacing w:before="40" w:after="40" w:line="220" w:lineRule="exact"/>
              <w:ind w:left="113" w:right="57"/>
              <w:jc w:val="right"/>
              <w:rPr>
                <w:rFonts w:ascii="Times New Roman" w:hAnsi="Times New Roman"/>
                <w:b/>
                <w:bCs/>
                <w:sz w:val="18"/>
                <w:lang w:val="fr-FR"/>
              </w:rPr>
            </w:pPr>
            <w:r w:rsidRPr="00FE45D6">
              <w:rPr>
                <w:rFonts w:ascii="Times New Roman" w:hAnsi="Times New Roman"/>
                <w:b/>
                <w:bCs/>
                <w:sz w:val="18"/>
                <w:lang w:val="fr-FR"/>
              </w:rPr>
              <w:t>208</w:t>
            </w:r>
          </w:p>
        </w:tc>
        <w:tc>
          <w:tcPr>
            <w:tcW w:w="1729" w:type="dxa"/>
            <w:tcBorders>
              <w:top w:val="single" w:sz="12" w:space="0" w:color="auto"/>
            </w:tcBorders>
            <w:shd w:val="clear" w:color="auto" w:fill="auto"/>
            <w:vAlign w:val="bottom"/>
          </w:tcPr>
          <w:p w:rsidR="000B562B" w:rsidRPr="00A176EA" w:rsidRDefault="000B562B" w:rsidP="00263670">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128</w:t>
            </w:r>
          </w:p>
        </w:tc>
      </w:tr>
      <w:tr w:rsidR="00050A2C" w:rsidRPr="00A176EA" w:rsidTr="00263670">
        <w:tblPrEx>
          <w:tblCellMar>
            <w:top w:w="0" w:type="dxa"/>
            <w:bottom w:w="0" w:type="dxa"/>
          </w:tblCellMar>
        </w:tblPrEx>
        <w:trPr>
          <w:cantSplit/>
          <w:trHeight w:val="240"/>
        </w:trPr>
        <w:tc>
          <w:tcPr>
            <w:tcW w:w="896" w:type="dxa"/>
            <w:shd w:val="clear" w:color="auto" w:fill="auto"/>
          </w:tcPr>
          <w:p w:rsidR="000B562B" w:rsidRPr="00A176EA" w:rsidRDefault="000B562B" w:rsidP="00263670">
            <w:pPr>
              <w:pStyle w:val="Text"/>
              <w:keepNext/>
              <w:keepLines/>
              <w:spacing w:before="40" w:after="40" w:line="220" w:lineRule="exact"/>
              <w:rPr>
                <w:rFonts w:ascii="Times New Roman" w:hAnsi="Times New Roman"/>
                <w:sz w:val="18"/>
                <w:lang w:val="fr-FR"/>
              </w:rPr>
            </w:pPr>
            <w:r w:rsidRPr="00A176EA">
              <w:rPr>
                <w:rFonts w:ascii="Times New Roman" w:hAnsi="Times New Roman"/>
                <w:sz w:val="18"/>
                <w:lang w:val="fr-FR"/>
              </w:rPr>
              <w:t>2005</w:t>
            </w:r>
          </w:p>
        </w:tc>
        <w:tc>
          <w:tcPr>
            <w:tcW w:w="1610" w:type="dxa"/>
            <w:shd w:val="clear" w:color="auto" w:fill="auto"/>
            <w:vAlign w:val="bottom"/>
          </w:tcPr>
          <w:p w:rsidR="000B562B" w:rsidRPr="00A176EA" w:rsidRDefault="000B562B" w:rsidP="00263670">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76</w:t>
            </w:r>
            <w:r w:rsidR="00050A2C">
              <w:rPr>
                <w:rFonts w:ascii="Times New Roman" w:hAnsi="Times New Roman"/>
                <w:sz w:val="18"/>
                <w:lang w:val="fr-FR"/>
              </w:rPr>
              <w:t xml:space="preserve"> </w:t>
            </w:r>
            <w:r w:rsidRPr="00A176EA">
              <w:rPr>
                <w:rFonts w:ascii="Times New Roman" w:hAnsi="Times New Roman"/>
                <w:sz w:val="18"/>
                <w:lang w:val="fr-FR"/>
              </w:rPr>
              <w:t>190</w:t>
            </w:r>
          </w:p>
        </w:tc>
        <w:tc>
          <w:tcPr>
            <w:tcW w:w="1022" w:type="dxa"/>
            <w:shd w:val="clear" w:color="auto" w:fill="auto"/>
            <w:vAlign w:val="bottom"/>
          </w:tcPr>
          <w:p w:rsidR="000B562B" w:rsidRPr="00A176EA" w:rsidRDefault="000B562B" w:rsidP="00263670">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78</w:t>
            </w:r>
          </w:p>
        </w:tc>
        <w:tc>
          <w:tcPr>
            <w:tcW w:w="1329" w:type="dxa"/>
            <w:shd w:val="clear" w:color="auto" w:fill="auto"/>
            <w:vAlign w:val="bottom"/>
          </w:tcPr>
          <w:p w:rsidR="000B562B" w:rsidRPr="00A176EA" w:rsidRDefault="000B562B" w:rsidP="00263670">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96</w:t>
            </w:r>
          </w:p>
        </w:tc>
        <w:tc>
          <w:tcPr>
            <w:tcW w:w="784" w:type="dxa"/>
            <w:shd w:val="clear" w:color="auto" w:fill="auto"/>
            <w:vAlign w:val="bottom"/>
          </w:tcPr>
          <w:p w:rsidR="000B562B" w:rsidRPr="00FE45D6" w:rsidRDefault="000B562B" w:rsidP="00263670">
            <w:pPr>
              <w:pStyle w:val="Text"/>
              <w:keepNext/>
              <w:keepLines/>
              <w:spacing w:before="40" w:after="40" w:line="220" w:lineRule="exact"/>
              <w:ind w:left="113" w:right="57"/>
              <w:jc w:val="right"/>
              <w:rPr>
                <w:rFonts w:ascii="Times New Roman" w:hAnsi="Times New Roman"/>
                <w:b/>
                <w:bCs/>
                <w:sz w:val="18"/>
                <w:lang w:val="fr-FR"/>
              </w:rPr>
            </w:pPr>
            <w:r w:rsidRPr="00FE45D6">
              <w:rPr>
                <w:rFonts w:ascii="Times New Roman" w:hAnsi="Times New Roman"/>
                <w:b/>
                <w:bCs/>
                <w:sz w:val="18"/>
                <w:lang w:val="fr-FR"/>
              </w:rPr>
              <w:t>174</w:t>
            </w:r>
          </w:p>
        </w:tc>
        <w:tc>
          <w:tcPr>
            <w:tcW w:w="1729" w:type="dxa"/>
            <w:shd w:val="clear" w:color="auto" w:fill="auto"/>
            <w:vAlign w:val="bottom"/>
          </w:tcPr>
          <w:p w:rsidR="000B562B" w:rsidRPr="00A176EA" w:rsidRDefault="000B562B" w:rsidP="00263670">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102</w:t>
            </w:r>
          </w:p>
        </w:tc>
      </w:tr>
      <w:tr w:rsidR="00050A2C" w:rsidRPr="00A176EA" w:rsidTr="00263670">
        <w:tblPrEx>
          <w:tblCellMar>
            <w:top w:w="0" w:type="dxa"/>
            <w:bottom w:w="0" w:type="dxa"/>
          </w:tblCellMar>
        </w:tblPrEx>
        <w:trPr>
          <w:cantSplit/>
          <w:trHeight w:val="240"/>
        </w:trPr>
        <w:tc>
          <w:tcPr>
            <w:tcW w:w="896" w:type="dxa"/>
            <w:shd w:val="clear" w:color="auto" w:fill="auto"/>
          </w:tcPr>
          <w:p w:rsidR="000B562B" w:rsidRPr="00A176EA" w:rsidRDefault="000B562B" w:rsidP="00263670">
            <w:pPr>
              <w:pStyle w:val="Text"/>
              <w:keepNext/>
              <w:keepLines/>
              <w:spacing w:before="40" w:after="40" w:line="220" w:lineRule="exact"/>
              <w:rPr>
                <w:rFonts w:ascii="Times New Roman" w:hAnsi="Times New Roman"/>
                <w:sz w:val="18"/>
                <w:lang w:val="fr-FR"/>
              </w:rPr>
            </w:pPr>
            <w:r w:rsidRPr="00A176EA">
              <w:rPr>
                <w:rFonts w:ascii="Times New Roman" w:hAnsi="Times New Roman"/>
                <w:sz w:val="18"/>
                <w:lang w:val="fr-FR"/>
              </w:rPr>
              <w:t>2006</w:t>
            </w:r>
          </w:p>
        </w:tc>
        <w:tc>
          <w:tcPr>
            <w:tcW w:w="1610" w:type="dxa"/>
            <w:shd w:val="clear" w:color="auto" w:fill="auto"/>
            <w:vAlign w:val="bottom"/>
          </w:tcPr>
          <w:p w:rsidR="000B562B" w:rsidRPr="00A176EA" w:rsidRDefault="000B562B" w:rsidP="00263670">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77</w:t>
            </w:r>
            <w:r w:rsidR="00050A2C">
              <w:rPr>
                <w:rFonts w:ascii="Times New Roman" w:hAnsi="Times New Roman"/>
                <w:sz w:val="18"/>
                <w:lang w:val="fr-FR"/>
              </w:rPr>
              <w:t xml:space="preserve"> </w:t>
            </w:r>
            <w:r w:rsidRPr="00A176EA">
              <w:rPr>
                <w:rFonts w:ascii="Times New Roman" w:hAnsi="Times New Roman"/>
                <w:sz w:val="18"/>
                <w:lang w:val="fr-FR"/>
              </w:rPr>
              <w:t>982</w:t>
            </w:r>
          </w:p>
        </w:tc>
        <w:tc>
          <w:tcPr>
            <w:tcW w:w="1022" w:type="dxa"/>
            <w:shd w:val="clear" w:color="auto" w:fill="auto"/>
            <w:vAlign w:val="bottom"/>
          </w:tcPr>
          <w:p w:rsidR="000B562B" w:rsidRPr="00A176EA" w:rsidRDefault="000B562B" w:rsidP="00263670">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67</w:t>
            </w:r>
          </w:p>
        </w:tc>
        <w:tc>
          <w:tcPr>
            <w:tcW w:w="1329" w:type="dxa"/>
            <w:shd w:val="clear" w:color="auto" w:fill="auto"/>
            <w:vAlign w:val="bottom"/>
          </w:tcPr>
          <w:p w:rsidR="000B562B" w:rsidRPr="00A176EA" w:rsidRDefault="000B562B" w:rsidP="00263670">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86</w:t>
            </w:r>
          </w:p>
        </w:tc>
        <w:tc>
          <w:tcPr>
            <w:tcW w:w="784" w:type="dxa"/>
            <w:shd w:val="clear" w:color="auto" w:fill="auto"/>
            <w:vAlign w:val="bottom"/>
          </w:tcPr>
          <w:p w:rsidR="000B562B" w:rsidRPr="00FE45D6" w:rsidRDefault="000B562B" w:rsidP="00263670">
            <w:pPr>
              <w:pStyle w:val="Text"/>
              <w:keepNext/>
              <w:keepLines/>
              <w:spacing w:before="40" w:after="40" w:line="220" w:lineRule="exact"/>
              <w:ind w:left="113" w:right="57"/>
              <w:jc w:val="right"/>
              <w:rPr>
                <w:rFonts w:ascii="Times New Roman" w:hAnsi="Times New Roman"/>
                <w:b/>
                <w:bCs/>
                <w:sz w:val="18"/>
                <w:lang w:val="fr-FR"/>
              </w:rPr>
            </w:pPr>
            <w:r w:rsidRPr="00FE45D6">
              <w:rPr>
                <w:rFonts w:ascii="Times New Roman" w:hAnsi="Times New Roman"/>
                <w:b/>
                <w:bCs/>
                <w:sz w:val="18"/>
                <w:lang w:val="fr-FR"/>
              </w:rPr>
              <w:t>153</w:t>
            </w:r>
          </w:p>
        </w:tc>
        <w:tc>
          <w:tcPr>
            <w:tcW w:w="1729" w:type="dxa"/>
            <w:shd w:val="clear" w:color="auto" w:fill="auto"/>
            <w:vAlign w:val="bottom"/>
          </w:tcPr>
          <w:p w:rsidR="000B562B" w:rsidRPr="00A176EA" w:rsidRDefault="000B562B" w:rsidP="00263670">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86</w:t>
            </w:r>
          </w:p>
        </w:tc>
      </w:tr>
      <w:tr w:rsidR="00050A2C" w:rsidRPr="00A176EA" w:rsidTr="00263670">
        <w:tblPrEx>
          <w:tblCellMar>
            <w:top w:w="0" w:type="dxa"/>
            <w:bottom w:w="0" w:type="dxa"/>
          </w:tblCellMar>
        </w:tblPrEx>
        <w:trPr>
          <w:cantSplit/>
          <w:trHeight w:val="240"/>
        </w:trPr>
        <w:tc>
          <w:tcPr>
            <w:tcW w:w="896" w:type="dxa"/>
            <w:shd w:val="clear" w:color="auto" w:fill="auto"/>
          </w:tcPr>
          <w:p w:rsidR="000B562B" w:rsidRPr="00A176EA" w:rsidRDefault="000B562B" w:rsidP="00263670">
            <w:pPr>
              <w:pStyle w:val="Text"/>
              <w:keepNext/>
              <w:keepLines/>
              <w:spacing w:before="40" w:after="40" w:line="220" w:lineRule="exact"/>
              <w:rPr>
                <w:rFonts w:ascii="Times New Roman" w:hAnsi="Times New Roman"/>
                <w:sz w:val="18"/>
                <w:lang w:val="fr-FR"/>
              </w:rPr>
            </w:pPr>
            <w:r w:rsidRPr="00A176EA">
              <w:rPr>
                <w:rFonts w:ascii="Times New Roman" w:hAnsi="Times New Roman"/>
                <w:sz w:val="18"/>
                <w:lang w:val="fr-FR"/>
              </w:rPr>
              <w:t>2007</w:t>
            </w:r>
          </w:p>
        </w:tc>
        <w:tc>
          <w:tcPr>
            <w:tcW w:w="1610" w:type="dxa"/>
            <w:shd w:val="clear" w:color="auto" w:fill="auto"/>
            <w:vAlign w:val="bottom"/>
          </w:tcPr>
          <w:p w:rsidR="000B562B" w:rsidRPr="00A176EA" w:rsidRDefault="000B562B" w:rsidP="00263670">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80</w:t>
            </w:r>
            <w:r w:rsidR="00050A2C">
              <w:rPr>
                <w:rFonts w:ascii="Times New Roman" w:hAnsi="Times New Roman"/>
                <w:sz w:val="18"/>
                <w:lang w:val="fr-FR"/>
              </w:rPr>
              <w:t xml:space="preserve"> </w:t>
            </w:r>
            <w:r w:rsidRPr="00A176EA">
              <w:rPr>
                <w:rFonts w:ascii="Times New Roman" w:hAnsi="Times New Roman"/>
                <w:sz w:val="18"/>
                <w:lang w:val="fr-FR"/>
              </w:rPr>
              <w:t>689</w:t>
            </w:r>
          </w:p>
        </w:tc>
        <w:tc>
          <w:tcPr>
            <w:tcW w:w="1022" w:type="dxa"/>
            <w:shd w:val="clear" w:color="auto" w:fill="auto"/>
            <w:vAlign w:val="bottom"/>
          </w:tcPr>
          <w:p w:rsidR="000B562B" w:rsidRPr="00A176EA" w:rsidRDefault="000B562B" w:rsidP="00263670">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92</w:t>
            </w:r>
          </w:p>
        </w:tc>
        <w:tc>
          <w:tcPr>
            <w:tcW w:w="1329" w:type="dxa"/>
            <w:shd w:val="clear" w:color="auto" w:fill="auto"/>
            <w:vAlign w:val="bottom"/>
          </w:tcPr>
          <w:p w:rsidR="000B562B" w:rsidRPr="00A176EA" w:rsidRDefault="000B562B" w:rsidP="00263670">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93</w:t>
            </w:r>
          </w:p>
        </w:tc>
        <w:tc>
          <w:tcPr>
            <w:tcW w:w="784" w:type="dxa"/>
            <w:shd w:val="clear" w:color="auto" w:fill="auto"/>
            <w:vAlign w:val="bottom"/>
          </w:tcPr>
          <w:p w:rsidR="000B562B" w:rsidRPr="00FE45D6" w:rsidRDefault="000B562B" w:rsidP="00263670">
            <w:pPr>
              <w:pStyle w:val="Text"/>
              <w:keepNext/>
              <w:keepLines/>
              <w:spacing w:before="40" w:after="40" w:line="220" w:lineRule="exact"/>
              <w:ind w:left="113" w:right="57"/>
              <w:jc w:val="right"/>
              <w:rPr>
                <w:rFonts w:ascii="Times New Roman" w:hAnsi="Times New Roman"/>
                <w:b/>
                <w:bCs/>
                <w:sz w:val="18"/>
                <w:lang w:val="fr-FR"/>
              </w:rPr>
            </w:pPr>
            <w:r w:rsidRPr="00FE45D6">
              <w:rPr>
                <w:rFonts w:ascii="Times New Roman" w:hAnsi="Times New Roman"/>
                <w:b/>
                <w:bCs/>
                <w:sz w:val="18"/>
                <w:lang w:val="fr-FR"/>
              </w:rPr>
              <w:t>185</w:t>
            </w:r>
          </w:p>
        </w:tc>
        <w:tc>
          <w:tcPr>
            <w:tcW w:w="1729" w:type="dxa"/>
            <w:shd w:val="clear" w:color="auto" w:fill="auto"/>
            <w:vAlign w:val="bottom"/>
          </w:tcPr>
          <w:p w:rsidR="000B562B" w:rsidRPr="00A176EA" w:rsidRDefault="000B562B" w:rsidP="00263670">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114</w:t>
            </w:r>
          </w:p>
        </w:tc>
      </w:tr>
      <w:tr w:rsidR="00050A2C" w:rsidRPr="00A176EA" w:rsidTr="00263670">
        <w:tblPrEx>
          <w:tblCellMar>
            <w:top w:w="0" w:type="dxa"/>
            <w:bottom w:w="0" w:type="dxa"/>
          </w:tblCellMar>
        </w:tblPrEx>
        <w:trPr>
          <w:cantSplit/>
          <w:trHeight w:val="240"/>
        </w:trPr>
        <w:tc>
          <w:tcPr>
            <w:tcW w:w="896" w:type="dxa"/>
            <w:shd w:val="clear" w:color="auto" w:fill="auto"/>
          </w:tcPr>
          <w:p w:rsidR="000B562B" w:rsidRPr="00A176EA" w:rsidRDefault="000B562B" w:rsidP="00263670">
            <w:pPr>
              <w:pStyle w:val="Text"/>
              <w:keepNext/>
              <w:keepLines/>
              <w:spacing w:before="40" w:after="40" w:line="220" w:lineRule="exact"/>
              <w:rPr>
                <w:rFonts w:ascii="Times New Roman" w:hAnsi="Times New Roman"/>
                <w:sz w:val="18"/>
                <w:lang w:val="fr-FR"/>
              </w:rPr>
            </w:pPr>
            <w:r w:rsidRPr="00A176EA">
              <w:rPr>
                <w:rFonts w:ascii="Times New Roman" w:hAnsi="Times New Roman"/>
                <w:sz w:val="18"/>
                <w:lang w:val="fr-FR"/>
              </w:rPr>
              <w:t>2008</w:t>
            </w:r>
          </w:p>
        </w:tc>
        <w:tc>
          <w:tcPr>
            <w:tcW w:w="1610" w:type="dxa"/>
            <w:shd w:val="clear" w:color="auto" w:fill="auto"/>
            <w:vAlign w:val="bottom"/>
          </w:tcPr>
          <w:p w:rsidR="000B562B" w:rsidRPr="00A176EA" w:rsidRDefault="000B562B" w:rsidP="00263670">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83</w:t>
            </w:r>
            <w:r w:rsidR="00050A2C">
              <w:rPr>
                <w:rFonts w:ascii="Times New Roman" w:hAnsi="Times New Roman"/>
                <w:sz w:val="18"/>
                <w:lang w:val="fr-FR"/>
              </w:rPr>
              <w:t xml:space="preserve"> </w:t>
            </w:r>
            <w:r w:rsidRPr="00A176EA">
              <w:rPr>
                <w:rFonts w:ascii="Times New Roman" w:hAnsi="Times New Roman"/>
                <w:sz w:val="18"/>
                <w:lang w:val="fr-FR"/>
              </w:rPr>
              <w:t>326</w:t>
            </w:r>
          </w:p>
        </w:tc>
        <w:tc>
          <w:tcPr>
            <w:tcW w:w="1022" w:type="dxa"/>
            <w:shd w:val="clear" w:color="auto" w:fill="auto"/>
            <w:vAlign w:val="bottom"/>
          </w:tcPr>
          <w:p w:rsidR="000B562B" w:rsidRPr="00A176EA" w:rsidRDefault="000B562B" w:rsidP="00263670">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60</w:t>
            </w:r>
          </w:p>
        </w:tc>
        <w:tc>
          <w:tcPr>
            <w:tcW w:w="1329" w:type="dxa"/>
            <w:shd w:val="clear" w:color="auto" w:fill="auto"/>
            <w:vAlign w:val="bottom"/>
          </w:tcPr>
          <w:p w:rsidR="000B562B" w:rsidRPr="00A176EA" w:rsidRDefault="000B562B" w:rsidP="00263670">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105</w:t>
            </w:r>
          </w:p>
        </w:tc>
        <w:tc>
          <w:tcPr>
            <w:tcW w:w="784" w:type="dxa"/>
            <w:shd w:val="clear" w:color="auto" w:fill="auto"/>
            <w:vAlign w:val="bottom"/>
          </w:tcPr>
          <w:p w:rsidR="000B562B" w:rsidRPr="00FE45D6" w:rsidRDefault="000B562B" w:rsidP="00263670">
            <w:pPr>
              <w:pStyle w:val="Text"/>
              <w:keepNext/>
              <w:keepLines/>
              <w:spacing w:before="40" w:after="40" w:line="220" w:lineRule="exact"/>
              <w:ind w:left="113" w:right="57"/>
              <w:jc w:val="right"/>
              <w:rPr>
                <w:rFonts w:ascii="Times New Roman" w:hAnsi="Times New Roman"/>
                <w:b/>
                <w:bCs/>
                <w:sz w:val="18"/>
                <w:lang w:val="fr-FR"/>
              </w:rPr>
            </w:pPr>
            <w:r w:rsidRPr="00FE45D6">
              <w:rPr>
                <w:rFonts w:ascii="Times New Roman" w:hAnsi="Times New Roman"/>
                <w:b/>
                <w:bCs/>
                <w:sz w:val="18"/>
                <w:lang w:val="fr-FR"/>
              </w:rPr>
              <w:t>165</w:t>
            </w:r>
          </w:p>
        </w:tc>
        <w:tc>
          <w:tcPr>
            <w:tcW w:w="1729" w:type="dxa"/>
            <w:shd w:val="clear" w:color="auto" w:fill="auto"/>
            <w:vAlign w:val="bottom"/>
          </w:tcPr>
          <w:p w:rsidR="000B562B" w:rsidRPr="00A176EA" w:rsidRDefault="000B562B" w:rsidP="00263670">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72</w:t>
            </w:r>
          </w:p>
        </w:tc>
      </w:tr>
      <w:tr w:rsidR="00050A2C" w:rsidRPr="00A176EA" w:rsidTr="00263670">
        <w:tblPrEx>
          <w:tblCellMar>
            <w:top w:w="0" w:type="dxa"/>
            <w:bottom w:w="0" w:type="dxa"/>
          </w:tblCellMar>
        </w:tblPrEx>
        <w:trPr>
          <w:cantSplit/>
          <w:trHeight w:val="240"/>
        </w:trPr>
        <w:tc>
          <w:tcPr>
            <w:tcW w:w="896" w:type="dxa"/>
            <w:tcBorders>
              <w:bottom w:val="single" w:sz="12" w:space="0" w:color="auto"/>
            </w:tcBorders>
            <w:shd w:val="clear" w:color="auto" w:fill="auto"/>
          </w:tcPr>
          <w:p w:rsidR="000B562B" w:rsidRPr="00A176EA" w:rsidRDefault="000B562B" w:rsidP="00263670">
            <w:pPr>
              <w:pStyle w:val="Text"/>
              <w:keepNext/>
              <w:keepLines/>
              <w:spacing w:before="40" w:after="40" w:line="220" w:lineRule="exact"/>
              <w:rPr>
                <w:rFonts w:ascii="Times New Roman" w:hAnsi="Times New Roman"/>
                <w:sz w:val="18"/>
                <w:szCs w:val="22"/>
                <w:lang w:val="fr-FR"/>
              </w:rPr>
            </w:pPr>
            <w:r w:rsidRPr="00A176EA">
              <w:rPr>
                <w:rFonts w:ascii="Times New Roman" w:hAnsi="Times New Roman"/>
                <w:sz w:val="18"/>
                <w:szCs w:val="22"/>
                <w:lang w:val="fr-FR"/>
              </w:rPr>
              <w:t>2009</w:t>
            </w:r>
          </w:p>
        </w:tc>
        <w:tc>
          <w:tcPr>
            <w:tcW w:w="1610" w:type="dxa"/>
            <w:tcBorders>
              <w:bottom w:val="single" w:sz="12" w:space="0" w:color="auto"/>
            </w:tcBorders>
            <w:shd w:val="clear" w:color="auto" w:fill="auto"/>
            <w:vAlign w:val="bottom"/>
          </w:tcPr>
          <w:p w:rsidR="000B562B" w:rsidRPr="00A176EA" w:rsidRDefault="000B562B" w:rsidP="00263670">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83</w:t>
            </w:r>
            <w:r w:rsidR="00050A2C">
              <w:rPr>
                <w:rFonts w:ascii="Times New Roman" w:hAnsi="Times New Roman"/>
                <w:sz w:val="18"/>
                <w:lang w:val="fr-FR"/>
              </w:rPr>
              <w:t xml:space="preserve"> </w:t>
            </w:r>
            <w:r w:rsidRPr="00A176EA">
              <w:rPr>
                <w:rFonts w:ascii="Times New Roman" w:hAnsi="Times New Roman"/>
                <w:sz w:val="18"/>
                <w:lang w:val="fr-FR"/>
              </w:rPr>
              <w:t>461</w:t>
            </w:r>
          </w:p>
        </w:tc>
        <w:tc>
          <w:tcPr>
            <w:tcW w:w="1022" w:type="dxa"/>
            <w:tcBorders>
              <w:bottom w:val="single" w:sz="12" w:space="0" w:color="auto"/>
            </w:tcBorders>
            <w:shd w:val="clear" w:color="auto" w:fill="auto"/>
            <w:vAlign w:val="bottom"/>
          </w:tcPr>
          <w:p w:rsidR="000B562B" w:rsidRPr="00A176EA" w:rsidRDefault="000B562B" w:rsidP="00263670">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61</w:t>
            </w:r>
          </w:p>
        </w:tc>
        <w:tc>
          <w:tcPr>
            <w:tcW w:w="1329" w:type="dxa"/>
            <w:tcBorders>
              <w:bottom w:val="single" w:sz="12" w:space="0" w:color="auto"/>
            </w:tcBorders>
            <w:shd w:val="clear" w:color="auto" w:fill="auto"/>
            <w:vAlign w:val="bottom"/>
          </w:tcPr>
          <w:p w:rsidR="000B562B" w:rsidRPr="00A176EA" w:rsidRDefault="000B562B" w:rsidP="00263670">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109</w:t>
            </w:r>
          </w:p>
        </w:tc>
        <w:tc>
          <w:tcPr>
            <w:tcW w:w="784" w:type="dxa"/>
            <w:tcBorders>
              <w:bottom w:val="single" w:sz="12" w:space="0" w:color="auto"/>
            </w:tcBorders>
            <w:shd w:val="clear" w:color="auto" w:fill="auto"/>
            <w:vAlign w:val="bottom"/>
          </w:tcPr>
          <w:p w:rsidR="000B562B" w:rsidRPr="00FE45D6" w:rsidRDefault="000B562B" w:rsidP="00263670">
            <w:pPr>
              <w:pStyle w:val="Text"/>
              <w:keepNext/>
              <w:keepLines/>
              <w:spacing w:before="40" w:after="40" w:line="220" w:lineRule="exact"/>
              <w:ind w:left="113" w:right="57"/>
              <w:jc w:val="right"/>
              <w:rPr>
                <w:rFonts w:ascii="Times New Roman" w:hAnsi="Times New Roman"/>
                <w:b/>
                <w:bCs/>
                <w:sz w:val="18"/>
                <w:lang w:val="fr-FR"/>
              </w:rPr>
            </w:pPr>
            <w:r w:rsidRPr="00FE45D6">
              <w:rPr>
                <w:rFonts w:ascii="Times New Roman" w:hAnsi="Times New Roman"/>
                <w:b/>
                <w:bCs/>
                <w:sz w:val="18"/>
                <w:lang w:val="fr-FR"/>
              </w:rPr>
              <w:t>169</w:t>
            </w:r>
          </w:p>
        </w:tc>
        <w:tc>
          <w:tcPr>
            <w:tcW w:w="1729" w:type="dxa"/>
            <w:tcBorders>
              <w:bottom w:val="single" w:sz="12" w:space="0" w:color="auto"/>
            </w:tcBorders>
            <w:shd w:val="clear" w:color="auto" w:fill="auto"/>
            <w:vAlign w:val="bottom"/>
          </w:tcPr>
          <w:p w:rsidR="000B562B" w:rsidRPr="00A176EA" w:rsidRDefault="000B562B" w:rsidP="00263670">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72</w:t>
            </w:r>
          </w:p>
        </w:tc>
      </w:tr>
    </w:tbl>
    <w:p w:rsidR="000B562B" w:rsidRPr="00801B56" w:rsidRDefault="000B562B" w:rsidP="00263670">
      <w:pPr>
        <w:pStyle w:val="SingleTxtG"/>
        <w:keepNext/>
        <w:keepLines/>
        <w:spacing w:before="120" w:after="0" w:line="220" w:lineRule="atLeast"/>
        <w:ind w:firstLine="170"/>
        <w:jc w:val="left"/>
        <w:rPr>
          <w:sz w:val="18"/>
          <w:szCs w:val="18"/>
          <w:lang w:val="fr-FR"/>
        </w:rPr>
      </w:pPr>
      <w:r w:rsidRPr="00967EB1">
        <w:rPr>
          <w:i/>
          <w:iCs/>
          <w:sz w:val="18"/>
          <w:szCs w:val="18"/>
          <w:vertAlign w:val="superscript"/>
          <w:lang w:val="fr-FR"/>
        </w:rPr>
        <w:t>1</w:t>
      </w:r>
      <w:r w:rsidR="00FE45D6">
        <w:rPr>
          <w:sz w:val="18"/>
          <w:szCs w:val="18"/>
          <w:lang w:val="fr-FR"/>
        </w:rPr>
        <w:t xml:space="preserve">  </w:t>
      </w:r>
      <w:r w:rsidRPr="007C6E8A">
        <w:rPr>
          <w:sz w:val="18"/>
          <w:szCs w:val="18"/>
          <w:lang w:val="fr-FR"/>
        </w:rPr>
        <w:t>Source</w:t>
      </w:r>
      <w:r w:rsidR="00FC2B97" w:rsidRPr="007C6E8A">
        <w:rPr>
          <w:sz w:val="18"/>
          <w:szCs w:val="18"/>
          <w:lang w:val="fr-FR"/>
        </w:rPr>
        <w:t>:</w:t>
      </w:r>
      <w:r w:rsidRPr="007C6E8A">
        <w:rPr>
          <w:sz w:val="18"/>
          <w:szCs w:val="18"/>
          <w:lang w:val="fr-FR"/>
        </w:rPr>
        <w:t xml:space="preserve"> </w:t>
      </w:r>
      <w:r w:rsidRPr="00801B56">
        <w:rPr>
          <w:sz w:val="18"/>
          <w:szCs w:val="18"/>
          <w:lang w:val="fr-FR"/>
        </w:rPr>
        <w:t>Minist</w:t>
      </w:r>
      <w:r w:rsidR="00050A2C" w:rsidRPr="00801B56">
        <w:rPr>
          <w:sz w:val="18"/>
          <w:szCs w:val="18"/>
          <w:lang w:val="fr-FR"/>
        </w:rPr>
        <w:t>ère de la j</w:t>
      </w:r>
      <w:r w:rsidRPr="00801B56">
        <w:rPr>
          <w:sz w:val="18"/>
          <w:szCs w:val="18"/>
          <w:lang w:val="fr-FR"/>
        </w:rPr>
        <w:t xml:space="preserve">ustice – </w:t>
      </w:r>
      <w:r w:rsidR="00050A2C" w:rsidRPr="00801B56">
        <w:rPr>
          <w:sz w:val="18"/>
          <w:szCs w:val="18"/>
          <w:lang w:val="fr-FR"/>
        </w:rPr>
        <w:t>Statistiques sur la sécurité en détention</w:t>
      </w:r>
      <w:r w:rsidRPr="00801B56">
        <w:rPr>
          <w:sz w:val="18"/>
          <w:szCs w:val="18"/>
          <w:lang w:val="fr-FR"/>
        </w:rPr>
        <w:t xml:space="preserve"> (D</w:t>
      </w:r>
      <w:r w:rsidR="00050A2C" w:rsidRPr="00801B56">
        <w:rPr>
          <w:sz w:val="18"/>
          <w:szCs w:val="18"/>
          <w:lang w:val="fr-FR"/>
        </w:rPr>
        <w:t>écè</w:t>
      </w:r>
      <w:r w:rsidRPr="00801B56">
        <w:rPr>
          <w:sz w:val="18"/>
          <w:szCs w:val="18"/>
          <w:lang w:val="fr-FR"/>
        </w:rPr>
        <w:t>s</w:t>
      </w:r>
      <w:r w:rsidR="00FC2B97" w:rsidRPr="00801B56">
        <w:rPr>
          <w:sz w:val="18"/>
          <w:szCs w:val="18"/>
          <w:lang w:val="fr-FR"/>
        </w:rPr>
        <w:t>:</w:t>
      </w:r>
      <w:r w:rsidRPr="00801B56">
        <w:rPr>
          <w:sz w:val="18"/>
          <w:szCs w:val="18"/>
          <w:lang w:val="fr-FR"/>
        </w:rPr>
        <w:t xml:space="preserve"> </w:t>
      </w:r>
      <w:r w:rsidR="00050A2C" w:rsidRPr="00801B56">
        <w:rPr>
          <w:sz w:val="18"/>
          <w:szCs w:val="18"/>
          <w:lang w:val="fr-FR"/>
        </w:rPr>
        <w:t>t</w:t>
      </w:r>
      <w:r w:rsidRPr="00801B56">
        <w:rPr>
          <w:sz w:val="18"/>
          <w:szCs w:val="18"/>
          <w:lang w:val="fr-FR"/>
        </w:rPr>
        <w:t>able</w:t>
      </w:r>
      <w:r w:rsidR="00050A2C" w:rsidRPr="00801B56">
        <w:rPr>
          <w:sz w:val="18"/>
          <w:szCs w:val="18"/>
          <w:lang w:val="fr-FR"/>
        </w:rPr>
        <w:t>au</w:t>
      </w:r>
      <w:r w:rsidRPr="00801B56">
        <w:rPr>
          <w:sz w:val="18"/>
          <w:szCs w:val="18"/>
          <w:lang w:val="fr-FR"/>
        </w:rPr>
        <w:t xml:space="preserve"> 1). </w:t>
      </w:r>
      <w:r w:rsidR="00050A2C" w:rsidRPr="00801B56">
        <w:rPr>
          <w:sz w:val="18"/>
          <w:szCs w:val="18"/>
          <w:lang w:val="fr-FR"/>
        </w:rPr>
        <w:t>C</w:t>
      </w:r>
      <w:r w:rsidRPr="00801B56">
        <w:rPr>
          <w:sz w:val="18"/>
          <w:szCs w:val="18"/>
          <w:lang w:val="fr-FR"/>
        </w:rPr>
        <w:t>e table</w:t>
      </w:r>
      <w:r w:rsidR="00050A2C" w:rsidRPr="00801B56">
        <w:rPr>
          <w:sz w:val="18"/>
          <w:szCs w:val="18"/>
          <w:lang w:val="fr-FR"/>
        </w:rPr>
        <w:t>au</w:t>
      </w:r>
      <w:r w:rsidRPr="00801B56">
        <w:rPr>
          <w:sz w:val="18"/>
          <w:szCs w:val="18"/>
          <w:lang w:val="fr-FR"/>
        </w:rPr>
        <w:t xml:space="preserve"> </w:t>
      </w:r>
      <w:r w:rsidR="00050A2C" w:rsidRPr="00801B56">
        <w:rPr>
          <w:sz w:val="18"/>
          <w:szCs w:val="18"/>
          <w:lang w:val="fr-FR"/>
        </w:rPr>
        <w:t>donne</w:t>
      </w:r>
      <w:r w:rsidRPr="00801B56">
        <w:rPr>
          <w:sz w:val="18"/>
          <w:szCs w:val="18"/>
          <w:lang w:val="fr-FR"/>
        </w:rPr>
        <w:t xml:space="preserve"> </w:t>
      </w:r>
      <w:r w:rsidR="00050A2C" w:rsidRPr="00801B56">
        <w:rPr>
          <w:sz w:val="18"/>
          <w:szCs w:val="18"/>
          <w:lang w:val="fr-FR"/>
        </w:rPr>
        <w:t>la situation</w:t>
      </w:r>
      <w:r w:rsidRPr="00801B56">
        <w:rPr>
          <w:sz w:val="18"/>
          <w:szCs w:val="18"/>
          <w:lang w:val="fr-FR"/>
        </w:rPr>
        <w:t xml:space="preserve"> a</w:t>
      </w:r>
      <w:r w:rsidR="00050A2C" w:rsidRPr="00801B56">
        <w:rPr>
          <w:sz w:val="18"/>
          <w:szCs w:val="18"/>
          <w:lang w:val="fr-FR"/>
        </w:rPr>
        <w:t>u</w:t>
      </w:r>
      <w:r w:rsidRPr="00801B56">
        <w:rPr>
          <w:sz w:val="18"/>
          <w:szCs w:val="18"/>
          <w:lang w:val="fr-FR"/>
        </w:rPr>
        <w:t xml:space="preserve"> 21/7/2010.</w:t>
      </w:r>
      <w:r w:rsidR="00050A2C" w:rsidRPr="00801B56">
        <w:rPr>
          <w:sz w:val="18"/>
          <w:szCs w:val="18"/>
          <w:lang w:val="fr-FR"/>
        </w:rPr>
        <w:t xml:space="preserve"> Il montre un décès naturel de plus en 2009 et un de moins en 2000 par rapport aux tableaux d’origine actualisés une fois par an</w:t>
      </w:r>
      <w:r w:rsidRPr="00801B56">
        <w:rPr>
          <w:sz w:val="18"/>
          <w:szCs w:val="18"/>
          <w:lang w:val="fr-FR"/>
        </w:rPr>
        <w:t>.</w:t>
      </w:r>
    </w:p>
    <w:p w:rsidR="000B562B" w:rsidRDefault="000B562B" w:rsidP="00FE45D6">
      <w:pPr>
        <w:pStyle w:val="SingleTxtG"/>
        <w:spacing w:after="240" w:line="220" w:lineRule="atLeast"/>
        <w:ind w:firstLine="170"/>
        <w:jc w:val="left"/>
        <w:rPr>
          <w:sz w:val="18"/>
          <w:szCs w:val="18"/>
          <w:lang w:val="fr-FR"/>
        </w:rPr>
      </w:pPr>
      <w:r w:rsidRPr="00967EB1">
        <w:rPr>
          <w:i/>
          <w:iCs/>
          <w:sz w:val="18"/>
          <w:szCs w:val="18"/>
          <w:vertAlign w:val="superscript"/>
          <w:lang w:val="fr-FR"/>
        </w:rPr>
        <w:t>2</w:t>
      </w:r>
      <w:r w:rsidR="00FE45D6">
        <w:rPr>
          <w:sz w:val="18"/>
          <w:szCs w:val="18"/>
          <w:lang w:val="fr-FR"/>
        </w:rPr>
        <w:t xml:space="preserve">  </w:t>
      </w:r>
      <w:r w:rsidR="00050A2C" w:rsidRPr="00801B56">
        <w:rPr>
          <w:sz w:val="18"/>
          <w:szCs w:val="18"/>
          <w:lang w:val="fr-FR"/>
        </w:rPr>
        <w:t xml:space="preserve">La catégorie </w:t>
      </w:r>
      <w:r w:rsidR="001F2881" w:rsidRPr="00801B56">
        <w:rPr>
          <w:sz w:val="18"/>
          <w:szCs w:val="18"/>
          <w:lang w:val="fr-FR"/>
        </w:rPr>
        <w:t>dans laquelle ces</w:t>
      </w:r>
      <w:r w:rsidR="00050A2C" w:rsidRPr="00801B56">
        <w:rPr>
          <w:sz w:val="18"/>
          <w:szCs w:val="18"/>
          <w:lang w:val="fr-FR"/>
        </w:rPr>
        <w:t xml:space="preserve"> décès </w:t>
      </w:r>
      <w:r w:rsidR="001F2881" w:rsidRPr="00801B56">
        <w:rPr>
          <w:sz w:val="18"/>
          <w:szCs w:val="18"/>
          <w:lang w:val="fr-FR"/>
        </w:rPr>
        <w:t>sont rangés devra</w:t>
      </w:r>
      <w:r w:rsidR="00637874" w:rsidRPr="00801B56">
        <w:rPr>
          <w:sz w:val="18"/>
          <w:szCs w:val="18"/>
          <w:lang w:val="fr-FR"/>
        </w:rPr>
        <w:t xml:space="preserve"> être confirmée après enquête. Cela peut modifier les chiffres indiqués pour les années précédentes</w:t>
      </w:r>
      <w:r w:rsidRPr="00801B56">
        <w:rPr>
          <w:sz w:val="18"/>
          <w:szCs w:val="18"/>
          <w:lang w:val="fr-FR"/>
        </w:rPr>
        <w:t>.</w:t>
      </w:r>
    </w:p>
    <w:p w:rsidR="000B562B" w:rsidRPr="00A176EA" w:rsidRDefault="002549A9" w:rsidP="00385E15">
      <w:pPr>
        <w:pStyle w:val="SingleTxtG"/>
        <w:rPr>
          <w:lang w:val="fr-FR"/>
        </w:rPr>
      </w:pPr>
      <w:r w:rsidRPr="00A176EA">
        <w:rPr>
          <w:lang w:val="fr-FR"/>
        </w:rPr>
        <w:t>524.</w:t>
      </w:r>
      <w:r w:rsidRPr="00A176EA">
        <w:rPr>
          <w:lang w:val="fr-FR"/>
        </w:rPr>
        <w:tab/>
      </w:r>
      <w:r w:rsidR="00637874">
        <w:rPr>
          <w:lang w:val="fr-FR"/>
        </w:rPr>
        <w:t xml:space="preserve">Les </w:t>
      </w:r>
      <w:r w:rsidR="000B562B" w:rsidRPr="00A176EA">
        <w:rPr>
          <w:lang w:val="fr-FR"/>
        </w:rPr>
        <w:t>Minist</w:t>
      </w:r>
      <w:r w:rsidR="00637874">
        <w:rPr>
          <w:lang w:val="fr-FR"/>
        </w:rPr>
        <w:t>re</w:t>
      </w:r>
      <w:r w:rsidR="000B562B" w:rsidRPr="00A176EA">
        <w:rPr>
          <w:lang w:val="fr-FR"/>
        </w:rPr>
        <w:t xml:space="preserve">s, </w:t>
      </w:r>
      <w:r w:rsidR="00637874">
        <w:rPr>
          <w:lang w:val="fr-FR"/>
        </w:rPr>
        <w:t>l</w:t>
      </w:r>
      <w:r w:rsidR="000B562B" w:rsidRPr="00A176EA">
        <w:rPr>
          <w:lang w:val="fr-FR"/>
        </w:rPr>
        <w:t>e Minist</w:t>
      </w:r>
      <w:r w:rsidR="00637874">
        <w:rPr>
          <w:lang w:val="fr-FR"/>
        </w:rPr>
        <w:t>ère de la j</w:t>
      </w:r>
      <w:r w:rsidR="000B562B" w:rsidRPr="00A176EA">
        <w:rPr>
          <w:lang w:val="fr-FR"/>
        </w:rPr>
        <w:t xml:space="preserve">ustice </w:t>
      </w:r>
      <w:r w:rsidR="00637874">
        <w:rPr>
          <w:lang w:val="fr-FR"/>
        </w:rPr>
        <w:t>et le</w:t>
      </w:r>
      <w:r w:rsidR="000B562B" w:rsidRPr="00A176EA">
        <w:rPr>
          <w:lang w:val="fr-FR"/>
        </w:rPr>
        <w:t xml:space="preserve"> </w:t>
      </w:r>
      <w:r w:rsidR="00ED1CEC" w:rsidRPr="00637874">
        <w:rPr>
          <w:lang w:val="fr-FR"/>
        </w:rPr>
        <w:t xml:space="preserve">Service national de gestion des </w:t>
      </w:r>
      <w:r w:rsidR="000423A5" w:rsidRPr="00637874">
        <w:rPr>
          <w:lang w:val="fr-FR"/>
        </w:rPr>
        <w:t>détenus</w:t>
      </w:r>
      <w:r w:rsidR="000B562B" w:rsidRPr="00A176EA">
        <w:rPr>
          <w:lang w:val="fr-FR"/>
        </w:rPr>
        <w:t xml:space="preserve"> </w:t>
      </w:r>
      <w:r w:rsidR="00637874">
        <w:rPr>
          <w:lang w:val="fr-FR"/>
        </w:rPr>
        <w:t xml:space="preserve">s’efforcent de réduire le nombre de décès en détention. </w:t>
      </w:r>
      <w:r w:rsidR="00683F93">
        <w:rPr>
          <w:lang w:val="fr-FR"/>
        </w:rPr>
        <w:t xml:space="preserve">Une prise en charge et un soutien de qualité de la part du personnel pénitentiaire sauvent de nombreuses vies, ce qui est rarement mentionné. Chaque mois, ce sont environ 1 500 détenus évalués comme à risque dont le personnel assure la sécurité. Le nombre et le pourcentage de suicides ont reculé ces dernières années et le personnel </w:t>
      </w:r>
      <w:r w:rsidR="00385E15">
        <w:rPr>
          <w:lang w:val="fr-FR"/>
        </w:rPr>
        <w:t>ne ménage pas ses</w:t>
      </w:r>
      <w:r w:rsidR="00683F93">
        <w:rPr>
          <w:lang w:val="fr-FR"/>
        </w:rPr>
        <w:t xml:space="preserve"> efforts pour </w:t>
      </w:r>
      <w:r w:rsidR="00385E15">
        <w:rPr>
          <w:lang w:val="fr-FR"/>
        </w:rPr>
        <w:t>apporter les améliorations mises en évidence dans le tableau</w:t>
      </w:r>
      <w:r w:rsidR="000B562B" w:rsidRPr="00A176EA">
        <w:rPr>
          <w:lang w:val="fr-FR"/>
        </w:rPr>
        <w:t>.</w:t>
      </w:r>
    </w:p>
    <w:p w:rsidR="000B562B" w:rsidRPr="00A176EA" w:rsidRDefault="002549A9" w:rsidP="00A801B9">
      <w:pPr>
        <w:pStyle w:val="SingleTxtG"/>
        <w:rPr>
          <w:lang w:val="fr-FR"/>
        </w:rPr>
      </w:pPr>
      <w:r w:rsidRPr="00A176EA">
        <w:rPr>
          <w:lang w:val="fr-FR"/>
        </w:rPr>
        <w:t>525.</w:t>
      </w:r>
      <w:r w:rsidRPr="00A176EA">
        <w:rPr>
          <w:lang w:val="fr-FR"/>
        </w:rPr>
        <w:tab/>
      </w:r>
      <w:r w:rsidR="00385E15">
        <w:rPr>
          <w:lang w:val="fr-FR"/>
        </w:rPr>
        <w:t xml:space="preserve">Près de la moitié des décès en détention sont </w:t>
      </w:r>
      <w:r w:rsidR="006D07AA">
        <w:rPr>
          <w:lang w:val="fr-FR"/>
        </w:rPr>
        <w:t>dus</w:t>
      </w:r>
      <w:r w:rsidR="00385E15">
        <w:rPr>
          <w:lang w:val="fr-FR"/>
        </w:rPr>
        <w:t xml:space="preserve"> à des causes naturelles. </w:t>
      </w:r>
      <w:r w:rsidR="00596C3D">
        <w:rPr>
          <w:lang w:val="fr-FR"/>
        </w:rPr>
        <w:t xml:space="preserve">Le fait que les soins de santé dispensés aux détenus aient été confiés aux </w:t>
      </w:r>
      <w:r w:rsidR="00547DF1">
        <w:rPr>
          <w:lang w:val="fr-FR"/>
        </w:rPr>
        <w:t>Structures</w:t>
      </w:r>
      <w:r w:rsidR="00596C3D">
        <w:rPr>
          <w:lang w:val="fr-FR"/>
        </w:rPr>
        <w:t xml:space="preserve"> de soins primaires locales a permis d’améliorer les services pour répondre aux besoins de la population </w:t>
      </w:r>
      <w:r w:rsidR="00652E12">
        <w:rPr>
          <w:lang w:val="fr-FR"/>
        </w:rPr>
        <w:t>pénale</w:t>
      </w:r>
      <w:r w:rsidR="00596C3D">
        <w:rPr>
          <w:lang w:val="fr-FR"/>
        </w:rPr>
        <w:t xml:space="preserve"> et, ainsi, de prévenir les décès de cause naturelle. Depuis 1995, </w:t>
      </w:r>
      <w:r w:rsidR="00652E12">
        <w:rPr>
          <w:lang w:val="fr-FR"/>
        </w:rPr>
        <w:t xml:space="preserve">il y a eu un décès lié à l’utilisation de moyens de contrainte physique, en </w:t>
      </w:r>
      <w:r w:rsidR="000B562B" w:rsidRPr="00A176EA">
        <w:rPr>
          <w:lang w:val="fr-FR"/>
        </w:rPr>
        <w:t>2005.</w:t>
      </w:r>
    </w:p>
    <w:p w:rsidR="000B562B" w:rsidRPr="00A176EA" w:rsidRDefault="002549A9" w:rsidP="00123DE7">
      <w:pPr>
        <w:pStyle w:val="SingleTxtG"/>
        <w:rPr>
          <w:lang w:val="fr-FR"/>
        </w:rPr>
      </w:pPr>
      <w:r w:rsidRPr="00A176EA">
        <w:rPr>
          <w:lang w:val="fr-FR"/>
        </w:rPr>
        <w:t>526.</w:t>
      </w:r>
      <w:r w:rsidRPr="00A176EA">
        <w:rPr>
          <w:lang w:val="fr-FR"/>
        </w:rPr>
        <w:tab/>
      </w:r>
      <w:r w:rsidR="00652E12">
        <w:rPr>
          <w:lang w:val="fr-FR"/>
        </w:rPr>
        <w:t>Entre le 1</w:t>
      </w:r>
      <w:r w:rsidR="00652E12" w:rsidRPr="00652E12">
        <w:rPr>
          <w:vertAlign w:val="superscript"/>
          <w:lang w:val="fr-FR"/>
        </w:rPr>
        <w:t>er</w:t>
      </w:r>
      <w:r w:rsidR="00652E12">
        <w:rPr>
          <w:lang w:val="fr-FR"/>
        </w:rPr>
        <w:t xml:space="preserve"> janvier 2000 et décembre 2009, on a recensé 14 homicides présumés (</w:t>
      </w:r>
      <w:r w:rsidR="00123DE7">
        <w:rPr>
          <w:lang w:val="fr-FR"/>
        </w:rPr>
        <w:t xml:space="preserve">des condamnations pour </w:t>
      </w:r>
      <w:r w:rsidR="00CD0110">
        <w:rPr>
          <w:lang w:val="fr-FR"/>
        </w:rPr>
        <w:t>«</w:t>
      </w:r>
      <w:r w:rsidR="00123DE7">
        <w:rPr>
          <w:lang w:val="fr-FR"/>
        </w:rPr>
        <w:t>homicide</w:t>
      </w:r>
      <w:r w:rsidR="00CD0110">
        <w:rPr>
          <w:lang w:val="fr-FR"/>
        </w:rPr>
        <w:t>»</w:t>
      </w:r>
      <w:r w:rsidR="00123DE7">
        <w:rPr>
          <w:lang w:val="fr-FR"/>
        </w:rPr>
        <w:t xml:space="preserve"> ont été prononcées pour 13 de ces décès et une personne a été acquittée). Les homicides en détention sont relativement rares en Angleterre et au pays de Galles</w:t>
      </w:r>
      <w:r w:rsidR="00FC2B97">
        <w:rPr>
          <w:lang w:val="fr-FR"/>
        </w:rPr>
        <w:t>:</w:t>
      </w:r>
      <w:r w:rsidR="00123DE7">
        <w:rPr>
          <w:lang w:val="fr-FR"/>
        </w:rPr>
        <w:t xml:space="preserve"> depuis 1978, ils sont en moyenne de 1,7 par an</w:t>
      </w:r>
      <w:r w:rsidR="000B562B" w:rsidRPr="00A176EA">
        <w:rPr>
          <w:lang w:val="fr-FR"/>
        </w:rPr>
        <w:t>.</w:t>
      </w:r>
    </w:p>
    <w:p w:rsidR="000B562B" w:rsidRPr="00A176EA" w:rsidRDefault="002549A9" w:rsidP="00526FDF">
      <w:pPr>
        <w:pStyle w:val="SingleTxtG"/>
        <w:rPr>
          <w:lang w:val="fr-FR"/>
        </w:rPr>
      </w:pPr>
      <w:r w:rsidRPr="00A176EA">
        <w:rPr>
          <w:lang w:val="fr-FR"/>
        </w:rPr>
        <w:t>527.</w:t>
      </w:r>
      <w:r w:rsidRPr="00A176EA">
        <w:rPr>
          <w:lang w:val="fr-FR"/>
        </w:rPr>
        <w:tab/>
      </w:r>
      <w:r w:rsidR="00123DE7">
        <w:rPr>
          <w:lang w:val="fr-FR"/>
        </w:rPr>
        <w:t>Depuis</w:t>
      </w:r>
      <w:r w:rsidR="000B562B" w:rsidRPr="00A176EA">
        <w:rPr>
          <w:lang w:val="fr-FR"/>
        </w:rPr>
        <w:t xml:space="preserve"> 2004</w:t>
      </w:r>
      <w:r w:rsidR="00123DE7">
        <w:rPr>
          <w:lang w:val="fr-FR"/>
        </w:rPr>
        <w:t xml:space="preserve">, les enquêtes sur les décès en détention dans les établissements </w:t>
      </w:r>
      <w:r w:rsidR="006D07AA">
        <w:rPr>
          <w:lang w:val="fr-FR"/>
        </w:rPr>
        <w:t>pénitentiaires</w:t>
      </w:r>
      <w:r w:rsidR="00123DE7">
        <w:rPr>
          <w:lang w:val="fr-FR"/>
        </w:rPr>
        <w:t xml:space="preserve"> et autres locaux agréés sont menées en toute indépendance par le </w:t>
      </w:r>
      <w:r w:rsidR="00123DE7" w:rsidRPr="00123DE7">
        <w:rPr>
          <w:snapToGrid w:val="0"/>
          <w:lang w:val="fr-FR"/>
        </w:rPr>
        <w:t xml:space="preserve">Médiateur </w:t>
      </w:r>
      <w:r w:rsidR="00123DE7" w:rsidRPr="00123DE7">
        <w:rPr>
          <w:lang w:val="fr-FR"/>
        </w:rPr>
        <w:t>des établissements pénitentiaires et de la probation.</w:t>
      </w:r>
      <w:r w:rsidR="00123DE7">
        <w:rPr>
          <w:lang w:val="fr-FR"/>
        </w:rPr>
        <w:t xml:space="preserve"> Le Gouvernement s’efforce de tirer les enseignements de chaque décès en détention, ainsi </w:t>
      </w:r>
      <w:r w:rsidR="00123DE7" w:rsidRPr="00526FDF">
        <w:rPr>
          <w:lang w:val="fr-FR"/>
        </w:rPr>
        <w:t xml:space="preserve">que des enquêtes, des rapports des </w:t>
      </w:r>
      <w:r w:rsidR="00123DE7" w:rsidRPr="001F2881">
        <w:rPr>
          <w:i/>
          <w:lang w:val="fr-FR"/>
        </w:rPr>
        <w:t>coroners</w:t>
      </w:r>
      <w:r w:rsidR="00123DE7" w:rsidRPr="00526FDF">
        <w:rPr>
          <w:lang w:val="fr-FR"/>
        </w:rPr>
        <w:t xml:space="preserve"> </w:t>
      </w:r>
      <w:r w:rsidR="00526FDF" w:rsidRPr="00526FDF">
        <w:rPr>
          <w:lang w:val="fr-FR"/>
        </w:rPr>
        <w:t>au titre de la Règle 43, et des rapports de l’</w:t>
      </w:r>
      <w:r w:rsidR="00123DE7" w:rsidRPr="00526FDF">
        <w:rPr>
          <w:lang w:val="fr-FR"/>
        </w:rPr>
        <w:t>Inspecteur général des prisons de Sa Majesté</w:t>
      </w:r>
      <w:r w:rsidR="000B562B" w:rsidRPr="00526FDF">
        <w:rPr>
          <w:lang w:val="fr-FR"/>
        </w:rPr>
        <w:t xml:space="preserve"> </w:t>
      </w:r>
      <w:r w:rsidR="00526FDF" w:rsidRPr="00526FDF">
        <w:rPr>
          <w:lang w:val="fr-FR"/>
        </w:rPr>
        <w:t>et du</w:t>
      </w:r>
      <w:r w:rsidR="000B562B" w:rsidRPr="00526FDF">
        <w:rPr>
          <w:lang w:val="fr-FR"/>
        </w:rPr>
        <w:t xml:space="preserve"> </w:t>
      </w:r>
      <w:r w:rsidR="00123DE7" w:rsidRPr="00526FDF">
        <w:rPr>
          <w:lang w:val="fr-FR"/>
        </w:rPr>
        <w:t>Comité de surveillance indépendant</w:t>
      </w:r>
      <w:r w:rsidR="000B562B" w:rsidRPr="00526FDF">
        <w:rPr>
          <w:lang w:val="fr-FR"/>
        </w:rPr>
        <w:t>.</w:t>
      </w:r>
    </w:p>
    <w:p w:rsidR="000B562B" w:rsidRPr="00A176EA" w:rsidRDefault="002549A9" w:rsidP="00A801B9">
      <w:pPr>
        <w:pStyle w:val="SingleTxtG"/>
        <w:rPr>
          <w:lang w:val="fr-FR"/>
        </w:rPr>
      </w:pPr>
      <w:r w:rsidRPr="00A176EA">
        <w:rPr>
          <w:lang w:val="fr-FR"/>
        </w:rPr>
        <w:t>528.</w:t>
      </w:r>
      <w:r w:rsidRPr="00A176EA">
        <w:rPr>
          <w:lang w:val="fr-FR"/>
        </w:rPr>
        <w:tab/>
      </w:r>
      <w:r w:rsidR="004E1193">
        <w:rPr>
          <w:lang w:val="fr-FR"/>
        </w:rPr>
        <w:t xml:space="preserve">Le processus d’Évaluation </w:t>
      </w:r>
      <w:r w:rsidR="00B356DC">
        <w:rPr>
          <w:lang w:val="fr-FR"/>
        </w:rPr>
        <w:t xml:space="preserve">des risques liés au partage </w:t>
      </w:r>
      <w:r w:rsidR="00CA3489">
        <w:rPr>
          <w:lang w:val="fr-FR"/>
        </w:rPr>
        <w:t>de la</w:t>
      </w:r>
      <w:r w:rsidR="00B356DC">
        <w:rPr>
          <w:lang w:val="fr-FR"/>
        </w:rPr>
        <w:t xml:space="preserve"> cellule a été engagé à l’échelon national en 2002 suite au meurtre</w:t>
      </w:r>
      <w:r w:rsidR="00B356DC" w:rsidRPr="00B356DC">
        <w:rPr>
          <w:lang w:val="fr-FR"/>
        </w:rPr>
        <w:t xml:space="preserve"> </w:t>
      </w:r>
      <w:r w:rsidR="00B356DC">
        <w:rPr>
          <w:lang w:val="fr-FR"/>
        </w:rPr>
        <w:t xml:space="preserve">de Zahid Mubarek, en 2000, à l’Institut pour jeunes délinquants de Feltham. Des améliorations lui ont été apportées en 2005 et 2008 </w:t>
      </w:r>
      <w:r w:rsidR="00850B8C">
        <w:rPr>
          <w:lang w:val="fr-FR"/>
        </w:rPr>
        <w:t xml:space="preserve">grâce à l’expérience et à la compréhension acquises suite à des cas spécifiques. Une stratégie nationale de réduction de la violence a été introduite en 2004 et révisée en 2007. </w:t>
      </w:r>
      <w:r w:rsidR="004177E9">
        <w:rPr>
          <w:lang w:val="fr-FR"/>
        </w:rPr>
        <w:t xml:space="preserve">L’ordonnance </w:t>
      </w:r>
      <w:r w:rsidR="00494F52">
        <w:rPr>
          <w:lang w:val="fr-FR"/>
        </w:rPr>
        <w:t>relative à</w:t>
      </w:r>
      <w:r w:rsidR="004177E9">
        <w:rPr>
          <w:lang w:val="fr-FR"/>
        </w:rPr>
        <w:t xml:space="preserve"> l’Administration pénitentiaire </w:t>
      </w:r>
      <w:r w:rsidR="000B562B" w:rsidRPr="00A176EA">
        <w:rPr>
          <w:lang w:val="fr-FR"/>
        </w:rPr>
        <w:t>PSO 2750</w:t>
      </w:r>
      <w:r w:rsidR="004177E9">
        <w:rPr>
          <w:lang w:val="fr-FR"/>
        </w:rPr>
        <w:t xml:space="preserve"> (</w:t>
      </w:r>
      <w:r w:rsidR="000B562B" w:rsidRPr="00A176EA">
        <w:rPr>
          <w:lang w:val="fr-FR"/>
        </w:rPr>
        <w:t>R</w:t>
      </w:r>
      <w:r w:rsidR="004177E9">
        <w:rPr>
          <w:lang w:val="fr-FR"/>
        </w:rPr>
        <w:t>é</w:t>
      </w:r>
      <w:r w:rsidR="000B562B" w:rsidRPr="00A176EA">
        <w:rPr>
          <w:lang w:val="fr-FR"/>
        </w:rPr>
        <w:t>duction</w:t>
      </w:r>
      <w:r w:rsidR="004177E9" w:rsidRPr="004177E9">
        <w:rPr>
          <w:lang w:val="fr-FR"/>
        </w:rPr>
        <w:t xml:space="preserve"> </w:t>
      </w:r>
      <w:r w:rsidR="004177E9">
        <w:rPr>
          <w:lang w:val="fr-FR"/>
        </w:rPr>
        <w:t>de la v</w:t>
      </w:r>
      <w:r w:rsidR="004177E9" w:rsidRPr="00A176EA">
        <w:rPr>
          <w:lang w:val="fr-FR"/>
        </w:rPr>
        <w:t>iolence</w:t>
      </w:r>
      <w:r w:rsidR="000B562B" w:rsidRPr="00A176EA">
        <w:rPr>
          <w:lang w:val="fr-FR"/>
        </w:rPr>
        <w:t xml:space="preserve">) </w:t>
      </w:r>
      <w:r w:rsidR="004177E9">
        <w:rPr>
          <w:lang w:val="fr-FR"/>
        </w:rPr>
        <w:t xml:space="preserve">intègre le processus d’Évaluation des risques liés au partage </w:t>
      </w:r>
      <w:r w:rsidR="00CA3489">
        <w:rPr>
          <w:lang w:val="fr-FR"/>
        </w:rPr>
        <w:t>de la</w:t>
      </w:r>
      <w:r w:rsidR="004177E9">
        <w:rPr>
          <w:lang w:val="fr-FR"/>
        </w:rPr>
        <w:t xml:space="preserve"> cellule </w:t>
      </w:r>
      <w:r w:rsidR="00D073FF">
        <w:rPr>
          <w:lang w:val="fr-FR"/>
        </w:rPr>
        <w:t xml:space="preserve">et certaines recommandations formulées à l’issue de l’enquête Mubarek. Cela renforce le processus, qui demeure le dispositif national </w:t>
      </w:r>
      <w:r w:rsidR="00CA3489">
        <w:rPr>
          <w:lang w:val="fr-FR"/>
        </w:rPr>
        <w:t>permettant</w:t>
      </w:r>
      <w:r w:rsidR="00D073FF">
        <w:rPr>
          <w:lang w:val="fr-FR"/>
        </w:rPr>
        <w:t xml:space="preserve"> d’évaluer, pour chaque détenu, s’il </w:t>
      </w:r>
      <w:r w:rsidR="00CA3489">
        <w:rPr>
          <w:lang w:val="fr-FR"/>
        </w:rPr>
        <w:t>peut partager une cellule dès son  entrée en prison et suite à des événements importants survenus en détention</w:t>
      </w:r>
      <w:r w:rsidR="00C61EBB">
        <w:rPr>
          <w:lang w:val="fr-FR"/>
        </w:rPr>
        <w:t xml:space="preserve">. Le processus a été révisé récemment. Son introduction a amélioré la sensibilisation du personnel à la gestion des risques en cellule partagée. Tous les détenus en milieu fermé </w:t>
      </w:r>
      <w:r w:rsidR="006D07AA">
        <w:rPr>
          <w:lang w:val="fr-FR"/>
        </w:rPr>
        <w:t>passent</w:t>
      </w:r>
      <w:r w:rsidR="00C61EBB">
        <w:rPr>
          <w:lang w:val="fr-FR"/>
        </w:rPr>
        <w:t xml:space="preserve"> cette évaluation, dont il est tenu compte avant de les affecter en toute sécurité à une cellule partagée</w:t>
      </w:r>
      <w:r w:rsidR="000B562B" w:rsidRPr="00A176EA">
        <w:rPr>
          <w:lang w:val="fr-FR"/>
        </w:rPr>
        <w:t>.</w:t>
      </w:r>
    </w:p>
    <w:p w:rsidR="000B562B" w:rsidRPr="00A176EA" w:rsidRDefault="002549A9" w:rsidP="0037394F">
      <w:pPr>
        <w:pStyle w:val="SingleTxtG"/>
        <w:rPr>
          <w:lang w:val="fr-FR"/>
        </w:rPr>
      </w:pPr>
      <w:r w:rsidRPr="00A176EA">
        <w:rPr>
          <w:lang w:val="fr-FR"/>
        </w:rPr>
        <w:t>529.</w:t>
      </w:r>
      <w:r w:rsidRPr="00A176EA">
        <w:rPr>
          <w:lang w:val="fr-FR"/>
        </w:rPr>
        <w:tab/>
      </w:r>
      <w:r w:rsidR="00C61EBB">
        <w:rPr>
          <w:lang w:val="fr-FR"/>
        </w:rPr>
        <w:t xml:space="preserve">En place depuis 2004, la Stratégie de réduction de la violence impose à chaque établissement </w:t>
      </w:r>
      <w:r w:rsidR="006D07AA">
        <w:rPr>
          <w:lang w:val="fr-FR"/>
        </w:rPr>
        <w:t>pénitentiaire</w:t>
      </w:r>
      <w:r w:rsidR="00C61EBB">
        <w:rPr>
          <w:lang w:val="fr-FR"/>
        </w:rPr>
        <w:t xml:space="preserve"> du secteur public de mettre en œuvre </w:t>
      </w:r>
      <w:r w:rsidR="00A5185C">
        <w:rPr>
          <w:lang w:val="fr-FR"/>
        </w:rPr>
        <w:t xml:space="preserve">une stratégie </w:t>
      </w:r>
      <w:r w:rsidR="00C61EBB">
        <w:rPr>
          <w:lang w:val="fr-FR"/>
        </w:rPr>
        <w:t xml:space="preserve">à l’échelon local. </w:t>
      </w:r>
      <w:r w:rsidR="00020A33">
        <w:rPr>
          <w:lang w:val="fr-FR"/>
        </w:rPr>
        <w:t xml:space="preserve">Une approche globale au niveau de l’établissement est préconisée pour engager tous les personnels et les détenus à lutter contre les comportements inacceptables, à résoudre les problèmes et à garantir la sécurité personnelle. Cette stratégie a été affinée en 2007 pour tenir compte des bonnes pratiques identifiées, </w:t>
      </w:r>
      <w:r w:rsidR="00020A33" w:rsidRPr="00A5185C">
        <w:rPr>
          <w:lang w:val="fr-FR"/>
        </w:rPr>
        <w:t>d’un</w:t>
      </w:r>
      <w:r w:rsidR="00020A33">
        <w:rPr>
          <w:lang w:val="fr-FR"/>
        </w:rPr>
        <w:t xml:space="preserve"> examen </w:t>
      </w:r>
      <w:r w:rsidR="00A5185C">
        <w:rPr>
          <w:lang w:val="fr-FR"/>
        </w:rPr>
        <w:t>de fonctionnement</w:t>
      </w:r>
      <w:r w:rsidR="00020A33">
        <w:rPr>
          <w:lang w:val="fr-FR"/>
        </w:rPr>
        <w:t xml:space="preserve"> (incluant les préconisations de l’Unité de vérification des normes</w:t>
      </w:r>
      <w:r w:rsidR="0078353A">
        <w:rPr>
          <w:lang w:val="fr-FR"/>
        </w:rPr>
        <w:t xml:space="preserve"> et les rapports</w:t>
      </w:r>
      <w:r w:rsidR="00020A33">
        <w:rPr>
          <w:lang w:val="fr-FR"/>
        </w:rPr>
        <w:t xml:space="preserve"> du </w:t>
      </w:r>
      <w:r w:rsidR="002803A4" w:rsidRPr="0078353A">
        <w:rPr>
          <w:snapToGrid w:val="0"/>
          <w:lang w:val="fr-FR"/>
        </w:rPr>
        <w:t xml:space="preserve">Médiateur </w:t>
      </w:r>
      <w:r w:rsidR="002803A4" w:rsidRPr="0078353A">
        <w:rPr>
          <w:lang w:val="fr-FR"/>
        </w:rPr>
        <w:t>des établissements pénitentiaires et de la probation</w:t>
      </w:r>
      <w:r w:rsidR="000B562B" w:rsidRPr="0078353A">
        <w:rPr>
          <w:lang w:val="fr-FR"/>
        </w:rPr>
        <w:t xml:space="preserve">, </w:t>
      </w:r>
      <w:r w:rsidR="00020A33" w:rsidRPr="0078353A">
        <w:rPr>
          <w:lang w:val="fr-FR"/>
        </w:rPr>
        <w:t xml:space="preserve">du </w:t>
      </w:r>
      <w:r w:rsidR="00632BA9" w:rsidRPr="0078353A">
        <w:rPr>
          <w:lang w:val="fr-FR"/>
        </w:rPr>
        <w:t>Comité de surveillance indépendant et</w:t>
      </w:r>
      <w:r w:rsidR="000B562B" w:rsidRPr="0078353A">
        <w:rPr>
          <w:lang w:val="fr-FR"/>
        </w:rPr>
        <w:t xml:space="preserve"> </w:t>
      </w:r>
      <w:r w:rsidR="0078353A" w:rsidRPr="0078353A">
        <w:rPr>
          <w:lang w:val="fr-FR"/>
        </w:rPr>
        <w:t xml:space="preserve">de l’Inspecteur général des prisons de Sa Majesté) et du rapport d’enquête sur le décès de Zahid Mubarek. </w:t>
      </w:r>
      <w:r w:rsidR="004177E9" w:rsidRPr="0078353A">
        <w:rPr>
          <w:lang w:val="fr-FR"/>
        </w:rPr>
        <w:t xml:space="preserve">L’ordonnance </w:t>
      </w:r>
      <w:r w:rsidR="00A5185C" w:rsidRPr="0078353A">
        <w:rPr>
          <w:lang w:val="fr-FR"/>
        </w:rPr>
        <w:t>révisée</w:t>
      </w:r>
      <w:r w:rsidR="00A5185C">
        <w:rPr>
          <w:lang w:val="fr-FR"/>
        </w:rPr>
        <w:t xml:space="preserve"> </w:t>
      </w:r>
      <w:r w:rsidR="00494F52">
        <w:rPr>
          <w:lang w:val="fr-FR"/>
        </w:rPr>
        <w:t>relative à</w:t>
      </w:r>
      <w:r w:rsidR="004177E9" w:rsidRPr="0078353A">
        <w:rPr>
          <w:lang w:val="fr-FR"/>
        </w:rPr>
        <w:t xml:space="preserve"> l’Administration pénitentiaire</w:t>
      </w:r>
      <w:r w:rsidR="00494F52">
        <w:rPr>
          <w:lang w:val="fr-FR"/>
        </w:rPr>
        <w:t>, qui est</w:t>
      </w:r>
      <w:r w:rsidR="004177E9" w:rsidRPr="0078353A">
        <w:rPr>
          <w:lang w:val="fr-FR"/>
        </w:rPr>
        <w:t xml:space="preserve"> entrée en vigueur en juin 2007</w:t>
      </w:r>
      <w:r w:rsidR="00494F52">
        <w:rPr>
          <w:lang w:val="fr-FR"/>
        </w:rPr>
        <w:t>,</w:t>
      </w:r>
      <w:r w:rsidR="0078353A">
        <w:rPr>
          <w:lang w:val="fr-FR"/>
        </w:rPr>
        <w:t xml:space="preserve"> réun</w:t>
      </w:r>
      <w:r w:rsidR="008B2096">
        <w:rPr>
          <w:lang w:val="fr-FR"/>
        </w:rPr>
        <w:t>it la précédente stratégie anti</w:t>
      </w:r>
      <w:r w:rsidR="00693898">
        <w:rPr>
          <w:lang w:val="fr-FR"/>
        </w:rPr>
        <w:t>brutalités</w:t>
      </w:r>
      <w:r w:rsidR="0078353A">
        <w:rPr>
          <w:lang w:val="fr-FR"/>
        </w:rPr>
        <w:t xml:space="preserve"> et l’évaluation des risques liés au partage de la cellule en une politique unique plus simple et claire pour le personnel. Depuis juin 2007, la stratégie est applicable aux établissements </w:t>
      </w:r>
      <w:r w:rsidR="0037394F">
        <w:rPr>
          <w:lang w:val="fr-FR"/>
        </w:rPr>
        <w:t>confiés au secteur privé</w:t>
      </w:r>
      <w:r w:rsidR="0078353A">
        <w:rPr>
          <w:lang w:val="fr-FR"/>
        </w:rPr>
        <w:t xml:space="preserve"> comme aux établissements publics.</w:t>
      </w:r>
      <w:r w:rsidR="00693898">
        <w:rPr>
          <w:lang w:val="fr-FR"/>
        </w:rPr>
        <w:t xml:space="preserve"> </w:t>
      </w:r>
      <w:r w:rsidR="0037394F">
        <w:rPr>
          <w:lang w:val="fr-FR"/>
        </w:rPr>
        <w:t xml:space="preserve">Un nouvel examen de la stratégie a </w:t>
      </w:r>
      <w:r w:rsidR="006D07AA">
        <w:rPr>
          <w:lang w:val="fr-FR"/>
        </w:rPr>
        <w:t>débuté</w:t>
      </w:r>
      <w:r w:rsidR="0037394F">
        <w:rPr>
          <w:lang w:val="fr-FR"/>
        </w:rPr>
        <w:t xml:space="preserve"> en 2009 pour garantir le perfectionnement permanent des politiques de réduction de la violence, tant à l’échelon national que local</w:t>
      </w:r>
      <w:r w:rsidR="000B562B" w:rsidRPr="00A176EA">
        <w:rPr>
          <w:lang w:val="fr-FR"/>
        </w:rPr>
        <w:t>.</w:t>
      </w:r>
    </w:p>
    <w:p w:rsidR="000B562B" w:rsidRPr="00A176EA" w:rsidRDefault="002549A9" w:rsidP="000C1B46">
      <w:pPr>
        <w:pStyle w:val="SingleTxtG"/>
        <w:rPr>
          <w:lang w:val="fr-FR"/>
        </w:rPr>
      </w:pPr>
      <w:r w:rsidRPr="00A176EA">
        <w:rPr>
          <w:lang w:val="fr-FR"/>
        </w:rPr>
        <w:t>530.</w:t>
      </w:r>
      <w:r w:rsidRPr="00A176EA">
        <w:rPr>
          <w:lang w:val="fr-FR"/>
        </w:rPr>
        <w:tab/>
      </w:r>
      <w:r w:rsidR="0037394F">
        <w:rPr>
          <w:lang w:val="fr-FR"/>
        </w:rPr>
        <w:t xml:space="preserve">La stratégie nationale sur la réduction de la violence impose à chaque établissement d’avoir sa propre stratégie pour promouvoir la sécurité des détenus, des personnels et des tiers. Ces stratégies locales visent à réduire les risques de violence </w:t>
      </w:r>
      <w:r w:rsidR="000C1B46">
        <w:rPr>
          <w:lang w:val="fr-FR"/>
        </w:rPr>
        <w:t>par la résolution des conflits, le règlement des problèmes et une gestion efficace des risques pour chaque individu. Des indicateurs et des objectifs de performance clés sont en place pour suivre l’évolution de ce type de violence dans l’ensemble du parc carcéral</w:t>
      </w:r>
      <w:r w:rsidR="000B562B" w:rsidRPr="00A176EA">
        <w:rPr>
          <w:lang w:val="fr-FR"/>
        </w:rPr>
        <w:t>.</w:t>
      </w:r>
    </w:p>
    <w:p w:rsidR="000B562B" w:rsidRPr="00A176EA" w:rsidRDefault="002549A9" w:rsidP="000C1B46">
      <w:pPr>
        <w:pStyle w:val="SingleTxtG"/>
        <w:rPr>
          <w:lang w:val="fr-FR"/>
        </w:rPr>
      </w:pPr>
      <w:r w:rsidRPr="00A176EA">
        <w:rPr>
          <w:lang w:val="fr-FR"/>
        </w:rPr>
        <w:t>531.</w:t>
      </w:r>
      <w:r w:rsidRPr="00A176EA">
        <w:rPr>
          <w:lang w:val="fr-FR"/>
        </w:rPr>
        <w:tab/>
      </w:r>
      <w:r w:rsidR="000C1B46" w:rsidRPr="000C1B46">
        <w:rPr>
          <w:lang w:val="fr-FR"/>
        </w:rPr>
        <w:t>Les établissements continuent de mettre en pratique des mesures visant les auteurs de comportements antisociaux</w:t>
      </w:r>
      <w:r w:rsidR="00A5185C">
        <w:rPr>
          <w:lang w:val="fr-FR"/>
        </w:rPr>
        <w:t xml:space="preserve"> et </w:t>
      </w:r>
      <w:r w:rsidR="000C1B46">
        <w:rPr>
          <w:lang w:val="fr-FR"/>
        </w:rPr>
        <w:t xml:space="preserve">reconnaissent la nécessité de protéger et de soutenir les victimes. Les principaux objectifs du Groupe de réduction de la </w:t>
      </w:r>
      <w:r w:rsidR="000C1B46" w:rsidRPr="000C1B46">
        <w:rPr>
          <w:lang w:val="fr-FR"/>
        </w:rPr>
        <w:t xml:space="preserve">violence du </w:t>
      </w:r>
      <w:r w:rsidR="00ED1CEC" w:rsidRPr="000C1B46">
        <w:rPr>
          <w:lang w:val="fr-FR"/>
        </w:rPr>
        <w:t xml:space="preserve">Service national de gestion des </w:t>
      </w:r>
      <w:r w:rsidR="000423A5" w:rsidRPr="000C1B46">
        <w:rPr>
          <w:lang w:val="fr-FR"/>
        </w:rPr>
        <w:t>détenus</w:t>
      </w:r>
      <w:r w:rsidR="000B562B" w:rsidRPr="000C1B46">
        <w:rPr>
          <w:lang w:val="fr-FR"/>
        </w:rPr>
        <w:t xml:space="preserve"> </w:t>
      </w:r>
      <w:r w:rsidR="000C1B46" w:rsidRPr="000C1B46">
        <w:rPr>
          <w:lang w:val="fr-FR"/>
        </w:rPr>
        <w:t>sont de renforcer la stratégie de réduction de la violence.</w:t>
      </w:r>
      <w:r w:rsidR="000C1B46">
        <w:rPr>
          <w:lang w:val="fr-FR"/>
        </w:rPr>
        <w:t xml:space="preserve"> Cela inclut l’élaboration d’indicateurs et d’objectifs de performance clés concernant les agressions</w:t>
      </w:r>
      <w:r w:rsidR="000B562B" w:rsidRPr="00A176EA">
        <w:rPr>
          <w:lang w:val="fr-FR"/>
        </w:rPr>
        <w:t>.</w:t>
      </w:r>
    </w:p>
    <w:p w:rsidR="000B562B" w:rsidRPr="00A176EA" w:rsidRDefault="00FD2CE1" w:rsidP="000A701B">
      <w:pPr>
        <w:pStyle w:val="H23G"/>
        <w:rPr>
          <w:lang w:val="fr-FR"/>
        </w:rPr>
      </w:pPr>
      <w:r w:rsidRPr="000C1B46">
        <w:rPr>
          <w:lang w:val="fr-FR"/>
        </w:rPr>
        <w:t>Écosse</w:t>
      </w:r>
    </w:p>
    <w:p w:rsidR="000B562B" w:rsidRPr="00A176EA" w:rsidRDefault="002549A9" w:rsidP="00FE45D6">
      <w:pPr>
        <w:pStyle w:val="SingleTxtG"/>
        <w:spacing w:after="240"/>
        <w:rPr>
          <w:lang w:val="fr-FR"/>
        </w:rPr>
      </w:pPr>
      <w:r w:rsidRPr="00A176EA">
        <w:rPr>
          <w:lang w:val="fr-FR"/>
        </w:rPr>
        <w:t>532.</w:t>
      </w:r>
      <w:r w:rsidRPr="00A176EA">
        <w:rPr>
          <w:lang w:val="fr-FR"/>
        </w:rPr>
        <w:tab/>
      </w:r>
      <w:r w:rsidR="000C1B46">
        <w:rPr>
          <w:lang w:val="fr-FR"/>
        </w:rPr>
        <w:t xml:space="preserve">Le tableau ci-dessous indique le nombre de décès enregistrés dans les </w:t>
      </w:r>
      <w:r w:rsidR="006D07AA">
        <w:rPr>
          <w:lang w:val="fr-FR"/>
        </w:rPr>
        <w:t>établissements</w:t>
      </w:r>
      <w:r w:rsidR="000C1B46">
        <w:rPr>
          <w:lang w:val="fr-FR"/>
        </w:rPr>
        <w:t xml:space="preserve"> pénitentiaires écossais depuis le quatrième rapport</w:t>
      </w:r>
      <w:r w:rsidR="000B562B" w:rsidRPr="00A176EA">
        <w:rPr>
          <w:lang w:val="fr-FR"/>
        </w:rPr>
        <w:t>.</w:t>
      </w:r>
    </w:p>
    <w:tbl>
      <w:tblPr>
        <w:tblW w:w="7370" w:type="dxa"/>
        <w:tblInd w:w="1134" w:type="dxa"/>
        <w:tblBorders>
          <w:top w:val="single" w:sz="4" w:space="0" w:color="auto"/>
        </w:tblBorders>
        <w:tblCellMar>
          <w:left w:w="0" w:type="dxa"/>
          <w:right w:w="0" w:type="dxa"/>
        </w:tblCellMar>
        <w:tblLook w:val="00BF" w:firstRow="1" w:lastRow="0" w:firstColumn="1" w:lastColumn="0" w:noHBand="0" w:noVBand="0"/>
      </w:tblPr>
      <w:tblGrid>
        <w:gridCol w:w="938"/>
        <w:gridCol w:w="1974"/>
        <w:gridCol w:w="896"/>
        <w:gridCol w:w="1245"/>
        <w:gridCol w:w="700"/>
        <w:gridCol w:w="1617"/>
      </w:tblGrid>
      <w:tr w:rsidR="00F023C6" w:rsidRPr="00A176EA" w:rsidTr="008055E0">
        <w:tblPrEx>
          <w:tblCellMar>
            <w:top w:w="0" w:type="dxa"/>
            <w:bottom w:w="0" w:type="dxa"/>
          </w:tblCellMar>
        </w:tblPrEx>
        <w:trPr>
          <w:cantSplit/>
          <w:trHeight w:val="240"/>
          <w:tblHeader/>
        </w:trPr>
        <w:tc>
          <w:tcPr>
            <w:tcW w:w="938" w:type="dxa"/>
            <w:tcBorders>
              <w:top w:val="single" w:sz="4" w:space="0" w:color="auto"/>
              <w:bottom w:val="single" w:sz="12" w:space="0" w:color="auto"/>
            </w:tcBorders>
            <w:shd w:val="clear" w:color="auto" w:fill="auto"/>
            <w:vAlign w:val="bottom"/>
          </w:tcPr>
          <w:p w:rsidR="000B562B" w:rsidRPr="00A176EA" w:rsidRDefault="00F023C6" w:rsidP="00A801B9">
            <w:pPr>
              <w:pStyle w:val="Text"/>
              <w:spacing w:before="80" w:after="80" w:line="200" w:lineRule="exact"/>
              <w:rPr>
                <w:rFonts w:ascii="Times New Roman" w:hAnsi="Times New Roman"/>
                <w:i/>
                <w:sz w:val="16"/>
                <w:lang w:val="fr-FR"/>
              </w:rPr>
            </w:pPr>
            <w:r>
              <w:rPr>
                <w:rFonts w:ascii="Times New Roman" w:hAnsi="Times New Roman"/>
                <w:i/>
                <w:sz w:val="16"/>
                <w:lang w:val="fr-FR"/>
              </w:rPr>
              <w:t>Année</w:t>
            </w:r>
          </w:p>
        </w:tc>
        <w:tc>
          <w:tcPr>
            <w:tcW w:w="1974" w:type="dxa"/>
            <w:tcBorders>
              <w:top w:val="single" w:sz="4" w:space="0" w:color="auto"/>
              <w:bottom w:val="single" w:sz="12" w:space="0" w:color="auto"/>
            </w:tcBorders>
            <w:shd w:val="clear" w:color="auto" w:fill="auto"/>
            <w:vAlign w:val="bottom"/>
          </w:tcPr>
          <w:p w:rsidR="000B562B" w:rsidRPr="00A176EA" w:rsidRDefault="00F023C6" w:rsidP="00764AE1">
            <w:pPr>
              <w:pStyle w:val="Text"/>
              <w:spacing w:before="80" w:after="80" w:line="200" w:lineRule="exact"/>
              <w:ind w:left="113" w:right="57"/>
              <w:jc w:val="right"/>
              <w:rPr>
                <w:rFonts w:ascii="Times New Roman" w:hAnsi="Times New Roman"/>
                <w:i/>
                <w:sz w:val="16"/>
                <w:lang w:val="fr-FR"/>
              </w:rPr>
            </w:pPr>
            <w:r w:rsidRPr="00F023C6">
              <w:rPr>
                <w:rFonts w:ascii="Times New Roman" w:hAnsi="Times New Roman"/>
                <w:i/>
                <w:sz w:val="16"/>
                <w:lang w:val="fr-FR"/>
              </w:rPr>
              <w:t>Effectif quotidien moyen de la population carcérale</w:t>
            </w:r>
          </w:p>
        </w:tc>
        <w:tc>
          <w:tcPr>
            <w:tcW w:w="896" w:type="dxa"/>
            <w:tcBorders>
              <w:top w:val="single" w:sz="4" w:space="0" w:color="auto"/>
              <w:bottom w:val="single" w:sz="12" w:space="0" w:color="auto"/>
            </w:tcBorders>
            <w:shd w:val="clear" w:color="auto" w:fill="auto"/>
            <w:vAlign w:val="bottom"/>
          </w:tcPr>
          <w:p w:rsidR="000B562B" w:rsidRPr="00A176EA" w:rsidRDefault="00F023C6" w:rsidP="00764AE1">
            <w:pPr>
              <w:pStyle w:val="Text"/>
              <w:spacing w:before="80" w:after="80" w:line="200" w:lineRule="exact"/>
              <w:ind w:left="113" w:right="57"/>
              <w:jc w:val="right"/>
              <w:rPr>
                <w:rFonts w:ascii="Times New Roman" w:hAnsi="Times New Roman"/>
                <w:i/>
                <w:sz w:val="16"/>
                <w:lang w:val="fr-FR"/>
              </w:rPr>
            </w:pPr>
            <w:r>
              <w:rPr>
                <w:rFonts w:ascii="Times New Roman" w:hAnsi="Times New Roman"/>
                <w:i/>
                <w:sz w:val="16"/>
                <w:lang w:val="fr-FR"/>
              </w:rPr>
              <w:t>Suicides</w:t>
            </w:r>
          </w:p>
        </w:tc>
        <w:tc>
          <w:tcPr>
            <w:tcW w:w="1245" w:type="dxa"/>
            <w:tcBorders>
              <w:top w:val="single" w:sz="4" w:space="0" w:color="auto"/>
              <w:bottom w:val="single" w:sz="12" w:space="0" w:color="auto"/>
            </w:tcBorders>
            <w:shd w:val="clear" w:color="auto" w:fill="auto"/>
            <w:vAlign w:val="bottom"/>
          </w:tcPr>
          <w:p w:rsidR="000B562B" w:rsidRPr="00A176EA" w:rsidRDefault="00F023C6" w:rsidP="00764AE1">
            <w:pPr>
              <w:pStyle w:val="Text"/>
              <w:spacing w:before="80" w:after="80" w:line="200" w:lineRule="exact"/>
              <w:ind w:left="113" w:right="57"/>
              <w:jc w:val="right"/>
              <w:rPr>
                <w:rFonts w:ascii="Times New Roman" w:hAnsi="Times New Roman"/>
                <w:i/>
                <w:sz w:val="16"/>
                <w:lang w:val="fr-FR"/>
              </w:rPr>
            </w:pPr>
            <w:r>
              <w:rPr>
                <w:rFonts w:ascii="Times New Roman" w:hAnsi="Times New Roman"/>
                <w:i/>
                <w:sz w:val="16"/>
                <w:lang w:val="fr-FR"/>
              </w:rPr>
              <w:t xml:space="preserve">Autres causes </w:t>
            </w:r>
            <w:r w:rsidR="00074B7C">
              <w:rPr>
                <w:rFonts w:ascii="Times New Roman" w:hAnsi="Times New Roman"/>
                <w:i/>
                <w:sz w:val="16"/>
                <w:lang w:val="fr-FR"/>
              </w:rPr>
              <w:br/>
            </w:r>
            <w:r>
              <w:rPr>
                <w:rFonts w:ascii="Times New Roman" w:hAnsi="Times New Roman"/>
                <w:i/>
                <w:sz w:val="16"/>
                <w:lang w:val="fr-FR"/>
              </w:rPr>
              <w:t>de décès</w:t>
            </w:r>
          </w:p>
        </w:tc>
        <w:tc>
          <w:tcPr>
            <w:tcW w:w="700" w:type="dxa"/>
            <w:tcBorders>
              <w:top w:val="single" w:sz="4" w:space="0" w:color="auto"/>
              <w:bottom w:val="single" w:sz="12" w:space="0" w:color="auto"/>
            </w:tcBorders>
            <w:shd w:val="clear" w:color="auto" w:fill="auto"/>
            <w:vAlign w:val="bottom"/>
          </w:tcPr>
          <w:p w:rsidR="000B562B" w:rsidRPr="00074B7C" w:rsidRDefault="000B562B" w:rsidP="00764AE1">
            <w:pPr>
              <w:pStyle w:val="Text"/>
              <w:spacing w:before="80" w:after="80" w:line="200" w:lineRule="exact"/>
              <w:ind w:left="113" w:right="57"/>
              <w:jc w:val="right"/>
              <w:rPr>
                <w:rFonts w:ascii="Times New Roman" w:hAnsi="Times New Roman"/>
                <w:b/>
                <w:bCs/>
                <w:i/>
                <w:sz w:val="16"/>
                <w:lang w:val="fr-FR"/>
              </w:rPr>
            </w:pPr>
            <w:r w:rsidRPr="00074B7C">
              <w:rPr>
                <w:rFonts w:ascii="Times New Roman" w:hAnsi="Times New Roman"/>
                <w:b/>
                <w:bCs/>
                <w:i/>
                <w:sz w:val="16"/>
                <w:lang w:val="fr-FR"/>
              </w:rPr>
              <w:t>Total</w:t>
            </w:r>
          </w:p>
        </w:tc>
        <w:tc>
          <w:tcPr>
            <w:tcW w:w="1617" w:type="dxa"/>
            <w:tcBorders>
              <w:top w:val="single" w:sz="4" w:space="0" w:color="auto"/>
              <w:bottom w:val="single" w:sz="12" w:space="0" w:color="auto"/>
            </w:tcBorders>
            <w:shd w:val="clear" w:color="auto" w:fill="auto"/>
            <w:vAlign w:val="bottom"/>
          </w:tcPr>
          <w:p w:rsidR="000B562B" w:rsidRPr="00A176EA" w:rsidRDefault="00F023C6" w:rsidP="00764AE1">
            <w:pPr>
              <w:pStyle w:val="Text"/>
              <w:spacing w:before="80" w:after="80" w:line="200" w:lineRule="exact"/>
              <w:ind w:left="113" w:right="57"/>
              <w:jc w:val="right"/>
              <w:rPr>
                <w:rFonts w:ascii="Times New Roman" w:hAnsi="Times New Roman"/>
                <w:i/>
                <w:sz w:val="16"/>
                <w:lang w:val="fr-FR"/>
              </w:rPr>
            </w:pPr>
            <w:r>
              <w:rPr>
                <w:rFonts w:ascii="Times New Roman" w:hAnsi="Times New Roman"/>
                <w:i/>
                <w:sz w:val="16"/>
                <w:lang w:val="fr-FR"/>
              </w:rPr>
              <w:t>Nombre de suicides pour</w:t>
            </w:r>
            <w:r w:rsidR="000B562B" w:rsidRPr="00A176EA">
              <w:rPr>
                <w:rFonts w:ascii="Times New Roman" w:hAnsi="Times New Roman"/>
                <w:i/>
                <w:sz w:val="16"/>
                <w:lang w:val="fr-FR"/>
              </w:rPr>
              <w:t xml:space="preserve"> 10</w:t>
            </w:r>
            <w:r>
              <w:rPr>
                <w:rFonts w:ascii="Times New Roman" w:hAnsi="Times New Roman"/>
                <w:i/>
                <w:sz w:val="16"/>
                <w:lang w:val="fr-FR"/>
              </w:rPr>
              <w:t> </w:t>
            </w:r>
            <w:r w:rsidR="000B562B" w:rsidRPr="00A176EA">
              <w:rPr>
                <w:rFonts w:ascii="Times New Roman" w:hAnsi="Times New Roman"/>
                <w:i/>
                <w:sz w:val="16"/>
                <w:lang w:val="fr-FR"/>
              </w:rPr>
              <w:t>000</w:t>
            </w:r>
            <w:r>
              <w:rPr>
                <w:rFonts w:ascii="Times New Roman" w:hAnsi="Times New Roman"/>
                <w:i/>
                <w:sz w:val="16"/>
                <w:lang w:val="fr-FR"/>
              </w:rPr>
              <w:t xml:space="preserve"> détenus</w:t>
            </w:r>
          </w:p>
        </w:tc>
      </w:tr>
      <w:tr w:rsidR="00F023C6" w:rsidRPr="00A176EA" w:rsidTr="008055E0">
        <w:tblPrEx>
          <w:tblCellMar>
            <w:top w:w="0" w:type="dxa"/>
            <w:bottom w:w="0" w:type="dxa"/>
          </w:tblCellMar>
        </w:tblPrEx>
        <w:trPr>
          <w:cantSplit/>
          <w:trHeight w:val="240"/>
        </w:trPr>
        <w:tc>
          <w:tcPr>
            <w:tcW w:w="938" w:type="dxa"/>
            <w:tcBorders>
              <w:top w:val="single" w:sz="12" w:space="0" w:color="auto"/>
            </w:tcBorders>
            <w:shd w:val="clear" w:color="auto" w:fill="auto"/>
          </w:tcPr>
          <w:p w:rsidR="000B562B" w:rsidRPr="00A176EA" w:rsidRDefault="000B562B" w:rsidP="00F023C6">
            <w:pPr>
              <w:pStyle w:val="Text"/>
              <w:spacing w:before="40" w:after="40" w:line="220" w:lineRule="exact"/>
              <w:rPr>
                <w:rFonts w:ascii="Times New Roman" w:hAnsi="Times New Roman"/>
                <w:sz w:val="18"/>
                <w:lang w:val="fr-FR"/>
              </w:rPr>
            </w:pPr>
            <w:r w:rsidRPr="00A176EA">
              <w:rPr>
                <w:rFonts w:ascii="Times New Roman" w:hAnsi="Times New Roman"/>
                <w:sz w:val="18"/>
                <w:lang w:val="fr-FR"/>
              </w:rPr>
              <w:t>2004</w:t>
            </w:r>
            <w:r w:rsidR="00F023C6">
              <w:rPr>
                <w:rFonts w:ascii="Times New Roman" w:hAnsi="Times New Roman"/>
                <w:sz w:val="18"/>
                <w:lang w:val="fr-FR"/>
              </w:rPr>
              <w:t>-20</w:t>
            </w:r>
            <w:r w:rsidRPr="00A176EA">
              <w:rPr>
                <w:rFonts w:ascii="Times New Roman" w:hAnsi="Times New Roman"/>
                <w:sz w:val="18"/>
                <w:lang w:val="fr-FR"/>
              </w:rPr>
              <w:t>05</w:t>
            </w:r>
          </w:p>
        </w:tc>
        <w:tc>
          <w:tcPr>
            <w:tcW w:w="1974" w:type="dxa"/>
            <w:tcBorders>
              <w:top w:val="single" w:sz="12" w:space="0" w:color="auto"/>
            </w:tcBorders>
            <w:shd w:val="clear" w:color="auto" w:fill="auto"/>
            <w:vAlign w:val="bottom"/>
          </w:tcPr>
          <w:p w:rsidR="000B562B" w:rsidRPr="00A176EA" w:rsidRDefault="000B562B" w:rsidP="00764AE1">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6</w:t>
            </w:r>
            <w:r w:rsidR="00F023C6">
              <w:rPr>
                <w:rFonts w:ascii="Times New Roman" w:hAnsi="Times New Roman"/>
                <w:sz w:val="18"/>
                <w:lang w:val="fr-FR"/>
              </w:rPr>
              <w:t xml:space="preserve"> </w:t>
            </w:r>
            <w:r w:rsidRPr="00A176EA">
              <w:rPr>
                <w:rFonts w:ascii="Times New Roman" w:hAnsi="Times New Roman"/>
                <w:sz w:val="18"/>
                <w:lang w:val="fr-FR"/>
              </w:rPr>
              <w:t>779</w:t>
            </w:r>
          </w:p>
        </w:tc>
        <w:tc>
          <w:tcPr>
            <w:tcW w:w="896" w:type="dxa"/>
            <w:tcBorders>
              <w:top w:val="single" w:sz="12" w:space="0" w:color="auto"/>
            </w:tcBorders>
            <w:shd w:val="clear" w:color="auto" w:fill="auto"/>
            <w:vAlign w:val="bottom"/>
          </w:tcPr>
          <w:p w:rsidR="000B562B" w:rsidRPr="00A176EA" w:rsidRDefault="000B562B" w:rsidP="00764AE1">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9</w:t>
            </w:r>
          </w:p>
        </w:tc>
        <w:tc>
          <w:tcPr>
            <w:tcW w:w="1245" w:type="dxa"/>
            <w:tcBorders>
              <w:top w:val="single" w:sz="12" w:space="0" w:color="auto"/>
            </w:tcBorders>
            <w:shd w:val="clear" w:color="auto" w:fill="auto"/>
            <w:vAlign w:val="bottom"/>
          </w:tcPr>
          <w:p w:rsidR="000B562B" w:rsidRPr="00A176EA" w:rsidRDefault="000B562B" w:rsidP="00764AE1">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9</w:t>
            </w:r>
          </w:p>
        </w:tc>
        <w:tc>
          <w:tcPr>
            <w:tcW w:w="700" w:type="dxa"/>
            <w:tcBorders>
              <w:top w:val="single" w:sz="12" w:space="0" w:color="auto"/>
            </w:tcBorders>
            <w:shd w:val="clear" w:color="auto" w:fill="auto"/>
            <w:vAlign w:val="bottom"/>
          </w:tcPr>
          <w:p w:rsidR="000B562B" w:rsidRPr="00074B7C" w:rsidRDefault="000B562B" w:rsidP="00764AE1">
            <w:pPr>
              <w:pStyle w:val="Text"/>
              <w:spacing w:before="40" w:after="40" w:line="220" w:lineRule="exact"/>
              <w:ind w:left="113" w:right="57"/>
              <w:jc w:val="right"/>
              <w:rPr>
                <w:rFonts w:ascii="Times New Roman" w:hAnsi="Times New Roman"/>
                <w:b/>
                <w:bCs/>
                <w:sz w:val="18"/>
                <w:lang w:val="fr-FR"/>
              </w:rPr>
            </w:pPr>
            <w:r w:rsidRPr="00074B7C">
              <w:rPr>
                <w:rFonts w:ascii="Times New Roman" w:hAnsi="Times New Roman"/>
                <w:b/>
                <w:bCs/>
                <w:sz w:val="18"/>
                <w:lang w:val="fr-FR"/>
              </w:rPr>
              <w:t>18</w:t>
            </w:r>
          </w:p>
        </w:tc>
        <w:tc>
          <w:tcPr>
            <w:tcW w:w="1617" w:type="dxa"/>
            <w:tcBorders>
              <w:top w:val="single" w:sz="12" w:space="0" w:color="auto"/>
            </w:tcBorders>
            <w:shd w:val="clear" w:color="auto" w:fill="auto"/>
            <w:vAlign w:val="bottom"/>
          </w:tcPr>
          <w:p w:rsidR="000B562B" w:rsidRPr="00A176EA" w:rsidRDefault="000B562B" w:rsidP="00764AE1">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13</w:t>
            </w:r>
            <w:r w:rsidR="00F023C6">
              <w:rPr>
                <w:rFonts w:ascii="Times New Roman" w:hAnsi="Times New Roman"/>
                <w:sz w:val="18"/>
                <w:lang w:val="fr-FR"/>
              </w:rPr>
              <w:t>,</w:t>
            </w:r>
            <w:r w:rsidRPr="00A176EA">
              <w:rPr>
                <w:rFonts w:ascii="Times New Roman" w:hAnsi="Times New Roman"/>
                <w:sz w:val="18"/>
                <w:lang w:val="fr-FR"/>
              </w:rPr>
              <w:t>3</w:t>
            </w:r>
          </w:p>
        </w:tc>
      </w:tr>
      <w:tr w:rsidR="00F023C6" w:rsidRPr="00A176EA" w:rsidTr="008055E0">
        <w:tblPrEx>
          <w:tblCellMar>
            <w:top w:w="0" w:type="dxa"/>
            <w:bottom w:w="0" w:type="dxa"/>
          </w:tblCellMar>
        </w:tblPrEx>
        <w:trPr>
          <w:cantSplit/>
          <w:trHeight w:val="240"/>
        </w:trPr>
        <w:tc>
          <w:tcPr>
            <w:tcW w:w="938" w:type="dxa"/>
            <w:shd w:val="clear" w:color="auto" w:fill="auto"/>
          </w:tcPr>
          <w:p w:rsidR="000B562B" w:rsidRPr="00A176EA" w:rsidRDefault="000B562B" w:rsidP="00A801B9">
            <w:pPr>
              <w:pStyle w:val="Text"/>
              <w:spacing w:before="40" w:after="40" w:line="220" w:lineRule="exact"/>
              <w:rPr>
                <w:rFonts w:ascii="Times New Roman" w:hAnsi="Times New Roman"/>
                <w:sz w:val="18"/>
                <w:lang w:val="fr-FR"/>
              </w:rPr>
            </w:pPr>
            <w:r w:rsidRPr="00A176EA">
              <w:rPr>
                <w:rFonts w:ascii="Times New Roman" w:hAnsi="Times New Roman"/>
                <w:sz w:val="18"/>
                <w:lang w:val="fr-FR"/>
              </w:rPr>
              <w:t>2005</w:t>
            </w:r>
            <w:r w:rsidR="00F023C6">
              <w:rPr>
                <w:rFonts w:ascii="Times New Roman" w:hAnsi="Times New Roman"/>
                <w:sz w:val="18"/>
                <w:lang w:val="fr-FR"/>
              </w:rPr>
              <w:t>-20</w:t>
            </w:r>
            <w:r w:rsidRPr="00A176EA">
              <w:rPr>
                <w:rFonts w:ascii="Times New Roman" w:hAnsi="Times New Roman"/>
                <w:sz w:val="18"/>
                <w:lang w:val="fr-FR"/>
              </w:rPr>
              <w:t>06</w:t>
            </w:r>
          </w:p>
        </w:tc>
        <w:tc>
          <w:tcPr>
            <w:tcW w:w="1974" w:type="dxa"/>
            <w:shd w:val="clear" w:color="auto" w:fill="auto"/>
            <w:vAlign w:val="bottom"/>
          </w:tcPr>
          <w:p w:rsidR="000B562B" w:rsidRPr="00A176EA" w:rsidRDefault="000B562B" w:rsidP="00764AE1">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6</w:t>
            </w:r>
            <w:r w:rsidR="00F023C6">
              <w:rPr>
                <w:rFonts w:ascii="Times New Roman" w:hAnsi="Times New Roman"/>
                <w:sz w:val="18"/>
                <w:lang w:val="fr-FR"/>
              </w:rPr>
              <w:t xml:space="preserve"> </w:t>
            </w:r>
            <w:r w:rsidRPr="00A176EA">
              <w:rPr>
                <w:rFonts w:ascii="Times New Roman" w:hAnsi="Times New Roman"/>
                <w:sz w:val="18"/>
                <w:lang w:val="fr-FR"/>
              </w:rPr>
              <w:t>857</w:t>
            </w:r>
          </w:p>
        </w:tc>
        <w:tc>
          <w:tcPr>
            <w:tcW w:w="896" w:type="dxa"/>
            <w:shd w:val="clear" w:color="auto" w:fill="auto"/>
            <w:vAlign w:val="bottom"/>
          </w:tcPr>
          <w:p w:rsidR="000B562B" w:rsidRPr="00A176EA" w:rsidRDefault="000B562B" w:rsidP="00764AE1">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10</w:t>
            </w:r>
          </w:p>
        </w:tc>
        <w:tc>
          <w:tcPr>
            <w:tcW w:w="1245" w:type="dxa"/>
            <w:shd w:val="clear" w:color="auto" w:fill="auto"/>
            <w:vAlign w:val="bottom"/>
          </w:tcPr>
          <w:p w:rsidR="000B562B" w:rsidRPr="00A176EA" w:rsidRDefault="000B562B" w:rsidP="00764AE1">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9</w:t>
            </w:r>
          </w:p>
        </w:tc>
        <w:tc>
          <w:tcPr>
            <w:tcW w:w="700" w:type="dxa"/>
            <w:shd w:val="clear" w:color="auto" w:fill="auto"/>
            <w:vAlign w:val="bottom"/>
          </w:tcPr>
          <w:p w:rsidR="000B562B" w:rsidRPr="00074B7C" w:rsidRDefault="000B562B" w:rsidP="00764AE1">
            <w:pPr>
              <w:pStyle w:val="Text"/>
              <w:spacing w:before="40" w:after="40" w:line="220" w:lineRule="exact"/>
              <w:ind w:left="113" w:right="57"/>
              <w:jc w:val="right"/>
              <w:rPr>
                <w:rFonts w:ascii="Times New Roman" w:hAnsi="Times New Roman"/>
                <w:b/>
                <w:bCs/>
                <w:sz w:val="18"/>
                <w:lang w:val="fr-FR"/>
              </w:rPr>
            </w:pPr>
            <w:r w:rsidRPr="00074B7C">
              <w:rPr>
                <w:rFonts w:ascii="Times New Roman" w:hAnsi="Times New Roman"/>
                <w:b/>
                <w:bCs/>
                <w:sz w:val="18"/>
                <w:lang w:val="fr-FR"/>
              </w:rPr>
              <w:t>19</w:t>
            </w:r>
          </w:p>
        </w:tc>
        <w:tc>
          <w:tcPr>
            <w:tcW w:w="1617" w:type="dxa"/>
            <w:shd w:val="clear" w:color="auto" w:fill="auto"/>
            <w:vAlign w:val="bottom"/>
          </w:tcPr>
          <w:p w:rsidR="000B562B" w:rsidRPr="00A176EA" w:rsidRDefault="000B562B" w:rsidP="00764AE1">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14</w:t>
            </w:r>
            <w:r w:rsidR="00F023C6">
              <w:rPr>
                <w:rFonts w:ascii="Times New Roman" w:hAnsi="Times New Roman"/>
                <w:sz w:val="18"/>
                <w:lang w:val="fr-FR"/>
              </w:rPr>
              <w:t>,</w:t>
            </w:r>
            <w:r w:rsidRPr="00A176EA">
              <w:rPr>
                <w:rFonts w:ascii="Times New Roman" w:hAnsi="Times New Roman"/>
                <w:sz w:val="18"/>
                <w:lang w:val="fr-FR"/>
              </w:rPr>
              <w:t>6</w:t>
            </w:r>
          </w:p>
        </w:tc>
      </w:tr>
      <w:tr w:rsidR="00F023C6" w:rsidRPr="00A176EA" w:rsidTr="008055E0">
        <w:tblPrEx>
          <w:tblCellMar>
            <w:top w:w="0" w:type="dxa"/>
            <w:bottom w:w="0" w:type="dxa"/>
          </w:tblCellMar>
        </w:tblPrEx>
        <w:trPr>
          <w:cantSplit/>
          <w:trHeight w:val="240"/>
        </w:trPr>
        <w:tc>
          <w:tcPr>
            <w:tcW w:w="938" w:type="dxa"/>
            <w:shd w:val="clear" w:color="auto" w:fill="auto"/>
          </w:tcPr>
          <w:p w:rsidR="000B562B" w:rsidRPr="00A176EA" w:rsidRDefault="000B562B" w:rsidP="00A801B9">
            <w:pPr>
              <w:pStyle w:val="Text"/>
              <w:spacing w:before="40" w:after="40" w:line="220" w:lineRule="exact"/>
              <w:rPr>
                <w:rFonts w:ascii="Times New Roman" w:hAnsi="Times New Roman"/>
                <w:sz w:val="18"/>
                <w:lang w:val="fr-FR"/>
              </w:rPr>
            </w:pPr>
            <w:r w:rsidRPr="00A176EA">
              <w:rPr>
                <w:rFonts w:ascii="Times New Roman" w:hAnsi="Times New Roman"/>
                <w:sz w:val="18"/>
                <w:lang w:val="fr-FR"/>
              </w:rPr>
              <w:t>2006</w:t>
            </w:r>
            <w:r w:rsidR="00F023C6">
              <w:rPr>
                <w:rFonts w:ascii="Times New Roman" w:hAnsi="Times New Roman"/>
                <w:sz w:val="18"/>
                <w:lang w:val="fr-FR"/>
              </w:rPr>
              <w:t>-20</w:t>
            </w:r>
            <w:r w:rsidRPr="00A176EA">
              <w:rPr>
                <w:rFonts w:ascii="Times New Roman" w:hAnsi="Times New Roman"/>
                <w:sz w:val="18"/>
                <w:lang w:val="fr-FR"/>
              </w:rPr>
              <w:t>07</w:t>
            </w:r>
          </w:p>
        </w:tc>
        <w:tc>
          <w:tcPr>
            <w:tcW w:w="1974" w:type="dxa"/>
            <w:shd w:val="clear" w:color="auto" w:fill="auto"/>
            <w:vAlign w:val="bottom"/>
          </w:tcPr>
          <w:p w:rsidR="000B562B" w:rsidRPr="00A176EA" w:rsidRDefault="000B562B" w:rsidP="00764AE1">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7</w:t>
            </w:r>
            <w:r w:rsidR="00F023C6">
              <w:rPr>
                <w:rFonts w:ascii="Times New Roman" w:hAnsi="Times New Roman"/>
                <w:sz w:val="18"/>
                <w:lang w:val="fr-FR"/>
              </w:rPr>
              <w:t xml:space="preserve"> </w:t>
            </w:r>
            <w:r w:rsidRPr="00A176EA">
              <w:rPr>
                <w:rFonts w:ascii="Times New Roman" w:hAnsi="Times New Roman"/>
                <w:sz w:val="18"/>
                <w:lang w:val="fr-FR"/>
              </w:rPr>
              <w:t>183</w:t>
            </w:r>
          </w:p>
        </w:tc>
        <w:tc>
          <w:tcPr>
            <w:tcW w:w="896" w:type="dxa"/>
            <w:shd w:val="clear" w:color="auto" w:fill="auto"/>
            <w:vAlign w:val="bottom"/>
          </w:tcPr>
          <w:p w:rsidR="000B562B" w:rsidRPr="00A176EA" w:rsidRDefault="000B562B" w:rsidP="00764AE1">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10</w:t>
            </w:r>
          </w:p>
        </w:tc>
        <w:tc>
          <w:tcPr>
            <w:tcW w:w="1245" w:type="dxa"/>
            <w:shd w:val="clear" w:color="auto" w:fill="auto"/>
            <w:vAlign w:val="bottom"/>
          </w:tcPr>
          <w:p w:rsidR="000B562B" w:rsidRPr="00A176EA" w:rsidRDefault="000B562B" w:rsidP="00764AE1">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17</w:t>
            </w:r>
          </w:p>
        </w:tc>
        <w:tc>
          <w:tcPr>
            <w:tcW w:w="700" w:type="dxa"/>
            <w:shd w:val="clear" w:color="auto" w:fill="auto"/>
            <w:vAlign w:val="bottom"/>
          </w:tcPr>
          <w:p w:rsidR="000B562B" w:rsidRPr="00074B7C" w:rsidRDefault="000B562B" w:rsidP="00764AE1">
            <w:pPr>
              <w:pStyle w:val="Text"/>
              <w:spacing w:before="40" w:after="40" w:line="220" w:lineRule="exact"/>
              <w:ind w:left="113" w:right="57"/>
              <w:jc w:val="right"/>
              <w:rPr>
                <w:rFonts w:ascii="Times New Roman" w:hAnsi="Times New Roman"/>
                <w:b/>
                <w:bCs/>
                <w:sz w:val="18"/>
                <w:lang w:val="fr-FR"/>
              </w:rPr>
            </w:pPr>
            <w:r w:rsidRPr="00074B7C">
              <w:rPr>
                <w:rFonts w:ascii="Times New Roman" w:hAnsi="Times New Roman"/>
                <w:b/>
                <w:bCs/>
                <w:sz w:val="18"/>
                <w:lang w:val="fr-FR"/>
              </w:rPr>
              <w:t>27</w:t>
            </w:r>
          </w:p>
        </w:tc>
        <w:tc>
          <w:tcPr>
            <w:tcW w:w="1617" w:type="dxa"/>
            <w:shd w:val="clear" w:color="auto" w:fill="auto"/>
            <w:vAlign w:val="bottom"/>
          </w:tcPr>
          <w:p w:rsidR="000B562B" w:rsidRPr="00A176EA" w:rsidRDefault="000B562B" w:rsidP="00764AE1">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13</w:t>
            </w:r>
            <w:r w:rsidR="00F023C6">
              <w:rPr>
                <w:rFonts w:ascii="Times New Roman" w:hAnsi="Times New Roman"/>
                <w:sz w:val="18"/>
                <w:lang w:val="fr-FR"/>
              </w:rPr>
              <w:t>,</w:t>
            </w:r>
            <w:r w:rsidRPr="00A176EA">
              <w:rPr>
                <w:rFonts w:ascii="Times New Roman" w:hAnsi="Times New Roman"/>
                <w:sz w:val="18"/>
                <w:lang w:val="fr-FR"/>
              </w:rPr>
              <w:t>9</w:t>
            </w:r>
          </w:p>
        </w:tc>
      </w:tr>
      <w:tr w:rsidR="00F023C6" w:rsidRPr="00A176EA" w:rsidTr="008055E0">
        <w:tblPrEx>
          <w:tblCellMar>
            <w:top w:w="0" w:type="dxa"/>
            <w:bottom w:w="0" w:type="dxa"/>
          </w:tblCellMar>
        </w:tblPrEx>
        <w:trPr>
          <w:cantSplit/>
          <w:trHeight w:val="240"/>
        </w:trPr>
        <w:tc>
          <w:tcPr>
            <w:tcW w:w="938" w:type="dxa"/>
            <w:shd w:val="clear" w:color="auto" w:fill="auto"/>
          </w:tcPr>
          <w:p w:rsidR="000B562B" w:rsidRPr="00A176EA" w:rsidRDefault="000B562B" w:rsidP="00F023C6">
            <w:pPr>
              <w:pStyle w:val="Text"/>
              <w:spacing w:before="40" w:after="40" w:line="220" w:lineRule="exact"/>
              <w:rPr>
                <w:rFonts w:ascii="Times New Roman" w:hAnsi="Times New Roman"/>
                <w:sz w:val="18"/>
                <w:lang w:val="fr-FR"/>
              </w:rPr>
            </w:pPr>
            <w:r w:rsidRPr="00A176EA">
              <w:rPr>
                <w:rFonts w:ascii="Times New Roman" w:hAnsi="Times New Roman"/>
                <w:sz w:val="18"/>
                <w:lang w:val="fr-FR"/>
              </w:rPr>
              <w:t>2007</w:t>
            </w:r>
            <w:r w:rsidR="00F023C6">
              <w:rPr>
                <w:rFonts w:ascii="Times New Roman" w:hAnsi="Times New Roman"/>
                <w:sz w:val="18"/>
                <w:lang w:val="fr-FR"/>
              </w:rPr>
              <w:t>-20</w:t>
            </w:r>
            <w:r w:rsidRPr="00A176EA">
              <w:rPr>
                <w:rFonts w:ascii="Times New Roman" w:hAnsi="Times New Roman"/>
                <w:sz w:val="18"/>
                <w:lang w:val="fr-FR"/>
              </w:rPr>
              <w:t>08</w:t>
            </w:r>
          </w:p>
        </w:tc>
        <w:tc>
          <w:tcPr>
            <w:tcW w:w="1974" w:type="dxa"/>
            <w:shd w:val="clear" w:color="auto" w:fill="auto"/>
            <w:vAlign w:val="bottom"/>
          </w:tcPr>
          <w:p w:rsidR="000B562B" w:rsidRPr="00A176EA" w:rsidRDefault="000B562B" w:rsidP="00764AE1">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7</w:t>
            </w:r>
            <w:r w:rsidR="00F023C6">
              <w:rPr>
                <w:rFonts w:ascii="Times New Roman" w:hAnsi="Times New Roman"/>
                <w:sz w:val="18"/>
                <w:lang w:val="fr-FR"/>
              </w:rPr>
              <w:t xml:space="preserve"> </w:t>
            </w:r>
            <w:r w:rsidRPr="00A176EA">
              <w:rPr>
                <w:rFonts w:ascii="Times New Roman" w:hAnsi="Times New Roman"/>
                <w:sz w:val="18"/>
                <w:lang w:val="fr-FR"/>
              </w:rPr>
              <w:t>376</w:t>
            </w:r>
          </w:p>
        </w:tc>
        <w:tc>
          <w:tcPr>
            <w:tcW w:w="896" w:type="dxa"/>
            <w:shd w:val="clear" w:color="auto" w:fill="auto"/>
            <w:vAlign w:val="bottom"/>
          </w:tcPr>
          <w:p w:rsidR="000B562B" w:rsidRPr="00A176EA" w:rsidRDefault="000B562B" w:rsidP="00764AE1">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11</w:t>
            </w:r>
          </w:p>
        </w:tc>
        <w:tc>
          <w:tcPr>
            <w:tcW w:w="1245" w:type="dxa"/>
            <w:shd w:val="clear" w:color="auto" w:fill="auto"/>
            <w:vAlign w:val="bottom"/>
          </w:tcPr>
          <w:p w:rsidR="000B562B" w:rsidRPr="00A176EA" w:rsidRDefault="000B562B" w:rsidP="00764AE1">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9</w:t>
            </w:r>
          </w:p>
        </w:tc>
        <w:tc>
          <w:tcPr>
            <w:tcW w:w="700" w:type="dxa"/>
            <w:shd w:val="clear" w:color="auto" w:fill="auto"/>
            <w:vAlign w:val="bottom"/>
          </w:tcPr>
          <w:p w:rsidR="000B562B" w:rsidRPr="00074B7C" w:rsidRDefault="000B562B" w:rsidP="00764AE1">
            <w:pPr>
              <w:pStyle w:val="Text"/>
              <w:spacing w:before="40" w:after="40" w:line="220" w:lineRule="exact"/>
              <w:ind w:left="113" w:right="57"/>
              <w:jc w:val="right"/>
              <w:rPr>
                <w:rFonts w:ascii="Times New Roman" w:hAnsi="Times New Roman"/>
                <w:b/>
                <w:bCs/>
                <w:sz w:val="18"/>
                <w:lang w:val="fr-FR"/>
              </w:rPr>
            </w:pPr>
            <w:r w:rsidRPr="00074B7C">
              <w:rPr>
                <w:rFonts w:ascii="Times New Roman" w:hAnsi="Times New Roman"/>
                <w:b/>
                <w:bCs/>
                <w:sz w:val="18"/>
                <w:lang w:val="fr-FR"/>
              </w:rPr>
              <w:t>20</w:t>
            </w:r>
          </w:p>
        </w:tc>
        <w:tc>
          <w:tcPr>
            <w:tcW w:w="1617" w:type="dxa"/>
            <w:shd w:val="clear" w:color="auto" w:fill="auto"/>
            <w:vAlign w:val="bottom"/>
          </w:tcPr>
          <w:p w:rsidR="000B562B" w:rsidRPr="00A176EA" w:rsidRDefault="000B562B" w:rsidP="00764AE1">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14</w:t>
            </w:r>
            <w:r w:rsidR="00F023C6">
              <w:rPr>
                <w:rFonts w:ascii="Times New Roman" w:hAnsi="Times New Roman"/>
                <w:sz w:val="18"/>
                <w:lang w:val="fr-FR"/>
              </w:rPr>
              <w:t>,</w:t>
            </w:r>
            <w:r w:rsidRPr="00A176EA">
              <w:rPr>
                <w:rFonts w:ascii="Times New Roman" w:hAnsi="Times New Roman"/>
                <w:sz w:val="18"/>
                <w:lang w:val="fr-FR"/>
              </w:rPr>
              <w:t>9</w:t>
            </w:r>
          </w:p>
        </w:tc>
      </w:tr>
      <w:tr w:rsidR="00F023C6" w:rsidRPr="00A176EA" w:rsidTr="008055E0">
        <w:tblPrEx>
          <w:tblCellMar>
            <w:top w:w="0" w:type="dxa"/>
            <w:bottom w:w="0" w:type="dxa"/>
          </w:tblCellMar>
        </w:tblPrEx>
        <w:trPr>
          <w:cantSplit/>
          <w:trHeight w:val="240"/>
        </w:trPr>
        <w:tc>
          <w:tcPr>
            <w:tcW w:w="938" w:type="dxa"/>
            <w:shd w:val="clear" w:color="auto" w:fill="auto"/>
          </w:tcPr>
          <w:p w:rsidR="000B562B" w:rsidRPr="00A176EA" w:rsidRDefault="000B562B" w:rsidP="00A801B9">
            <w:pPr>
              <w:pStyle w:val="Text"/>
              <w:spacing w:before="40" w:after="40" w:line="220" w:lineRule="exact"/>
              <w:rPr>
                <w:rFonts w:ascii="Times New Roman" w:hAnsi="Times New Roman"/>
                <w:sz w:val="18"/>
                <w:lang w:val="fr-FR"/>
              </w:rPr>
            </w:pPr>
            <w:r w:rsidRPr="00A176EA">
              <w:rPr>
                <w:rFonts w:ascii="Times New Roman" w:hAnsi="Times New Roman"/>
                <w:sz w:val="18"/>
                <w:lang w:val="fr-FR"/>
              </w:rPr>
              <w:t>2008</w:t>
            </w:r>
            <w:r w:rsidR="00F023C6">
              <w:rPr>
                <w:rFonts w:ascii="Times New Roman" w:hAnsi="Times New Roman"/>
                <w:sz w:val="18"/>
                <w:lang w:val="fr-FR"/>
              </w:rPr>
              <w:t>-20</w:t>
            </w:r>
            <w:r w:rsidRPr="00A176EA">
              <w:rPr>
                <w:rFonts w:ascii="Times New Roman" w:hAnsi="Times New Roman"/>
                <w:sz w:val="18"/>
                <w:lang w:val="fr-FR"/>
              </w:rPr>
              <w:t>09</w:t>
            </w:r>
          </w:p>
        </w:tc>
        <w:tc>
          <w:tcPr>
            <w:tcW w:w="1974" w:type="dxa"/>
            <w:shd w:val="clear" w:color="auto" w:fill="auto"/>
            <w:vAlign w:val="bottom"/>
          </w:tcPr>
          <w:p w:rsidR="000B562B" w:rsidRPr="00A176EA" w:rsidRDefault="000B562B" w:rsidP="00764AE1">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7</w:t>
            </w:r>
            <w:r w:rsidR="00F023C6">
              <w:rPr>
                <w:rFonts w:ascii="Times New Roman" w:hAnsi="Times New Roman"/>
                <w:sz w:val="18"/>
                <w:lang w:val="fr-FR"/>
              </w:rPr>
              <w:t xml:space="preserve"> </w:t>
            </w:r>
            <w:r w:rsidRPr="00A176EA">
              <w:rPr>
                <w:rFonts w:ascii="Times New Roman" w:hAnsi="Times New Roman"/>
                <w:sz w:val="18"/>
                <w:lang w:val="fr-FR"/>
              </w:rPr>
              <w:t>835</w:t>
            </w:r>
          </w:p>
        </w:tc>
        <w:tc>
          <w:tcPr>
            <w:tcW w:w="896" w:type="dxa"/>
            <w:shd w:val="clear" w:color="auto" w:fill="auto"/>
            <w:vAlign w:val="bottom"/>
          </w:tcPr>
          <w:p w:rsidR="000B562B" w:rsidRPr="00A176EA" w:rsidRDefault="000B562B" w:rsidP="00764AE1">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3</w:t>
            </w:r>
          </w:p>
        </w:tc>
        <w:tc>
          <w:tcPr>
            <w:tcW w:w="1245" w:type="dxa"/>
            <w:shd w:val="clear" w:color="auto" w:fill="auto"/>
            <w:vAlign w:val="bottom"/>
          </w:tcPr>
          <w:p w:rsidR="000B562B" w:rsidRPr="00A176EA" w:rsidRDefault="000B562B" w:rsidP="00764AE1">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14</w:t>
            </w:r>
          </w:p>
        </w:tc>
        <w:tc>
          <w:tcPr>
            <w:tcW w:w="700" w:type="dxa"/>
            <w:shd w:val="clear" w:color="auto" w:fill="auto"/>
            <w:vAlign w:val="bottom"/>
          </w:tcPr>
          <w:p w:rsidR="000B562B" w:rsidRPr="00074B7C" w:rsidRDefault="000B562B" w:rsidP="00764AE1">
            <w:pPr>
              <w:pStyle w:val="Text"/>
              <w:spacing w:before="40" w:after="40" w:line="220" w:lineRule="exact"/>
              <w:ind w:left="113" w:right="57"/>
              <w:jc w:val="right"/>
              <w:rPr>
                <w:rFonts w:ascii="Times New Roman" w:hAnsi="Times New Roman"/>
                <w:b/>
                <w:bCs/>
                <w:sz w:val="18"/>
                <w:lang w:val="fr-FR"/>
              </w:rPr>
            </w:pPr>
            <w:r w:rsidRPr="00074B7C">
              <w:rPr>
                <w:rFonts w:ascii="Times New Roman" w:hAnsi="Times New Roman"/>
                <w:b/>
                <w:bCs/>
                <w:sz w:val="18"/>
                <w:lang w:val="fr-FR"/>
              </w:rPr>
              <w:t>17</w:t>
            </w:r>
          </w:p>
        </w:tc>
        <w:tc>
          <w:tcPr>
            <w:tcW w:w="1617" w:type="dxa"/>
            <w:shd w:val="clear" w:color="auto" w:fill="auto"/>
            <w:vAlign w:val="bottom"/>
          </w:tcPr>
          <w:p w:rsidR="000B562B" w:rsidRPr="00A176EA" w:rsidRDefault="000B562B" w:rsidP="00764AE1">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3</w:t>
            </w:r>
            <w:r w:rsidR="00F023C6">
              <w:rPr>
                <w:rFonts w:ascii="Times New Roman" w:hAnsi="Times New Roman"/>
                <w:sz w:val="18"/>
                <w:lang w:val="fr-FR"/>
              </w:rPr>
              <w:t>,</w:t>
            </w:r>
            <w:r w:rsidRPr="00A176EA">
              <w:rPr>
                <w:rFonts w:ascii="Times New Roman" w:hAnsi="Times New Roman"/>
                <w:sz w:val="18"/>
                <w:lang w:val="fr-FR"/>
              </w:rPr>
              <w:t>8</w:t>
            </w:r>
          </w:p>
        </w:tc>
      </w:tr>
      <w:tr w:rsidR="00F023C6" w:rsidRPr="00A176EA" w:rsidTr="008055E0">
        <w:tblPrEx>
          <w:tblCellMar>
            <w:top w:w="0" w:type="dxa"/>
            <w:bottom w:w="0" w:type="dxa"/>
          </w:tblCellMar>
        </w:tblPrEx>
        <w:trPr>
          <w:cantSplit/>
          <w:trHeight w:val="240"/>
        </w:trPr>
        <w:tc>
          <w:tcPr>
            <w:tcW w:w="938" w:type="dxa"/>
            <w:tcBorders>
              <w:bottom w:val="single" w:sz="12" w:space="0" w:color="auto"/>
            </w:tcBorders>
            <w:shd w:val="clear" w:color="auto" w:fill="auto"/>
          </w:tcPr>
          <w:p w:rsidR="000B562B" w:rsidRPr="00A176EA" w:rsidRDefault="000B562B" w:rsidP="00A801B9">
            <w:pPr>
              <w:pStyle w:val="Text"/>
              <w:spacing w:before="40" w:after="40" w:line="220" w:lineRule="exact"/>
              <w:rPr>
                <w:rFonts w:ascii="Times New Roman" w:hAnsi="Times New Roman"/>
                <w:sz w:val="18"/>
                <w:lang w:val="fr-FR"/>
              </w:rPr>
            </w:pPr>
            <w:r w:rsidRPr="00A176EA">
              <w:rPr>
                <w:rFonts w:ascii="Times New Roman" w:hAnsi="Times New Roman"/>
                <w:sz w:val="18"/>
                <w:lang w:val="fr-FR"/>
              </w:rPr>
              <w:t>2009</w:t>
            </w:r>
            <w:r w:rsidR="00F023C6">
              <w:rPr>
                <w:rFonts w:ascii="Times New Roman" w:hAnsi="Times New Roman"/>
                <w:sz w:val="18"/>
                <w:lang w:val="fr-FR"/>
              </w:rPr>
              <w:t>-20</w:t>
            </w:r>
            <w:r w:rsidRPr="00A176EA">
              <w:rPr>
                <w:rFonts w:ascii="Times New Roman" w:hAnsi="Times New Roman"/>
                <w:sz w:val="18"/>
                <w:lang w:val="fr-FR"/>
              </w:rPr>
              <w:t>10</w:t>
            </w:r>
          </w:p>
        </w:tc>
        <w:tc>
          <w:tcPr>
            <w:tcW w:w="1974" w:type="dxa"/>
            <w:tcBorders>
              <w:bottom w:val="single" w:sz="12" w:space="0" w:color="auto"/>
            </w:tcBorders>
            <w:shd w:val="clear" w:color="auto" w:fill="auto"/>
            <w:vAlign w:val="bottom"/>
          </w:tcPr>
          <w:p w:rsidR="000B562B" w:rsidRPr="00A176EA" w:rsidRDefault="000B562B" w:rsidP="00764AE1">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7</w:t>
            </w:r>
            <w:r w:rsidR="00F023C6">
              <w:rPr>
                <w:rFonts w:ascii="Times New Roman" w:hAnsi="Times New Roman"/>
                <w:sz w:val="18"/>
                <w:lang w:val="fr-FR"/>
              </w:rPr>
              <w:t xml:space="preserve"> </w:t>
            </w:r>
            <w:r w:rsidRPr="00A176EA">
              <w:rPr>
                <w:rFonts w:ascii="Times New Roman" w:hAnsi="Times New Roman"/>
                <w:sz w:val="18"/>
                <w:lang w:val="fr-FR"/>
              </w:rPr>
              <w:t>967</w:t>
            </w:r>
          </w:p>
        </w:tc>
        <w:tc>
          <w:tcPr>
            <w:tcW w:w="896" w:type="dxa"/>
            <w:tcBorders>
              <w:bottom w:val="single" w:sz="12" w:space="0" w:color="auto"/>
            </w:tcBorders>
            <w:shd w:val="clear" w:color="auto" w:fill="auto"/>
            <w:vAlign w:val="bottom"/>
          </w:tcPr>
          <w:p w:rsidR="000B562B" w:rsidRPr="00A176EA" w:rsidRDefault="000B562B" w:rsidP="00764AE1">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5</w:t>
            </w:r>
          </w:p>
        </w:tc>
        <w:tc>
          <w:tcPr>
            <w:tcW w:w="1245" w:type="dxa"/>
            <w:tcBorders>
              <w:bottom w:val="single" w:sz="12" w:space="0" w:color="auto"/>
            </w:tcBorders>
            <w:shd w:val="clear" w:color="auto" w:fill="auto"/>
            <w:vAlign w:val="bottom"/>
          </w:tcPr>
          <w:p w:rsidR="000B562B" w:rsidRPr="00A176EA" w:rsidRDefault="000B562B" w:rsidP="00764AE1">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14</w:t>
            </w:r>
          </w:p>
        </w:tc>
        <w:tc>
          <w:tcPr>
            <w:tcW w:w="700" w:type="dxa"/>
            <w:tcBorders>
              <w:bottom w:val="single" w:sz="12" w:space="0" w:color="auto"/>
            </w:tcBorders>
            <w:shd w:val="clear" w:color="auto" w:fill="auto"/>
            <w:vAlign w:val="bottom"/>
          </w:tcPr>
          <w:p w:rsidR="000B562B" w:rsidRPr="00074B7C" w:rsidRDefault="000B562B" w:rsidP="00764AE1">
            <w:pPr>
              <w:pStyle w:val="Text"/>
              <w:spacing w:before="40" w:after="40" w:line="220" w:lineRule="exact"/>
              <w:ind w:left="113" w:right="57"/>
              <w:jc w:val="right"/>
              <w:rPr>
                <w:rFonts w:ascii="Times New Roman" w:hAnsi="Times New Roman"/>
                <w:b/>
                <w:bCs/>
                <w:sz w:val="18"/>
                <w:lang w:val="fr-FR"/>
              </w:rPr>
            </w:pPr>
            <w:r w:rsidRPr="00074B7C">
              <w:rPr>
                <w:rFonts w:ascii="Times New Roman" w:hAnsi="Times New Roman"/>
                <w:b/>
                <w:bCs/>
                <w:sz w:val="18"/>
                <w:lang w:val="fr-FR"/>
              </w:rPr>
              <w:t>19</w:t>
            </w:r>
          </w:p>
        </w:tc>
        <w:tc>
          <w:tcPr>
            <w:tcW w:w="1617" w:type="dxa"/>
            <w:tcBorders>
              <w:bottom w:val="single" w:sz="12" w:space="0" w:color="auto"/>
            </w:tcBorders>
            <w:shd w:val="clear" w:color="auto" w:fill="auto"/>
            <w:vAlign w:val="bottom"/>
          </w:tcPr>
          <w:p w:rsidR="000B562B" w:rsidRPr="00A176EA" w:rsidRDefault="000B562B" w:rsidP="00764AE1">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6</w:t>
            </w:r>
            <w:r w:rsidR="00F023C6">
              <w:rPr>
                <w:rFonts w:ascii="Times New Roman" w:hAnsi="Times New Roman"/>
                <w:sz w:val="18"/>
                <w:lang w:val="fr-FR"/>
              </w:rPr>
              <w:t>,</w:t>
            </w:r>
            <w:r w:rsidRPr="00A176EA">
              <w:rPr>
                <w:rFonts w:ascii="Times New Roman" w:hAnsi="Times New Roman"/>
                <w:sz w:val="18"/>
                <w:lang w:val="fr-FR"/>
              </w:rPr>
              <w:t>3</w:t>
            </w:r>
          </w:p>
        </w:tc>
      </w:tr>
    </w:tbl>
    <w:p w:rsidR="000B562B" w:rsidRPr="0083340D" w:rsidRDefault="002549A9" w:rsidP="00FE45D6">
      <w:pPr>
        <w:pStyle w:val="SingleTxtG"/>
        <w:spacing w:before="240"/>
        <w:rPr>
          <w:lang w:val="fr-FR"/>
        </w:rPr>
      </w:pPr>
      <w:r w:rsidRPr="00A176EA">
        <w:rPr>
          <w:lang w:val="fr-FR"/>
        </w:rPr>
        <w:t>533.</w:t>
      </w:r>
      <w:r w:rsidRPr="00A176EA">
        <w:rPr>
          <w:lang w:val="fr-FR"/>
        </w:rPr>
        <w:tab/>
      </w:r>
      <w:r w:rsidR="00F023C6" w:rsidRPr="00693898">
        <w:rPr>
          <w:lang w:val="fr-FR"/>
        </w:rPr>
        <w:t>E</w:t>
      </w:r>
      <w:r w:rsidR="000B562B" w:rsidRPr="00693898">
        <w:rPr>
          <w:lang w:val="fr-FR"/>
        </w:rPr>
        <w:t>n 2000</w:t>
      </w:r>
      <w:r w:rsidR="00F023C6" w:rsidRPr="00693898">
        <w:rPr>
          <w:lang w:val="fr-FR"/>
        </w:rPr>
        <w:t>,</w:t>
      </w:r>
      <w:r w:rsidR="000B562B" w:rsidRPr="00693898">
        <w:rPr>
          <w:lang w:val="fr-FR"/>
        </w:rPr>
        <w:t xml:space="preserve"> </w:t>
      </w:r>
      <w:r w:rsidR="00F023C6" w:rsidRPr="00693898">
        <w:rPr>
          <w:lang w:val="fr-FR"/>
        </w:rPr>
        <w:t>l’</w:t>
      </w:r>
      <w:r w:rsidR="008E4932" w:rsidRPr="00693898">
        <w:rPr>
          <w:lang w:val="fr-FR"/>
        </w:rPr>
        <w:t>Administration pénitentiaire</w:t>
      </w:r>
      <w:r w:rsidR="000B562B" w:rsidRPr="00693898">
        <w:rPr>
          <w:lang w:val="fr-FR"/>
        </w:rPr>
        <w:t xml:space="preserve"> </w:t>
      </w:r>
      <w:r w:rsidR="00F023C6" w:rsidRPr="00693898">
        <w:rPr>
          <w:lang w:val="fr-FR"/>
        </w:rPr>
        <w:t>écossaise</w:t>
      </w:r>
      <w:r w:rsidR="00F023C6" w:rsidRPr="00A176EA">
        <w:rPr>
          <w:lang w:val="fr-FR"/>
        </w:rPr>
        <w:t xml:space="preserve"> </w:t>
      </w:r>
      <w:r w:rsidR="00693898">
        <w:rPr>
          <w:lang w:val="fr-FR"/>
        </w:rPr>
        <w:t xml:space="preserve">a instauré une nouvelle stratégie pour lutter contre les </w:t>
      </w:r>
      <w:r w:rsidR="008B2096">
        <w:rPr>
          <w:lang w:val="fr-FR"/>
        </w:rPr>
        <w:t>violences</w:t>
      </w:r>
      <w:r w:rsidR="00693898">
        <w:rPr>
          <w:lang w:val="fr-FR"/>
        </w:rPr>
        <w:t xml:space="preserve"> entre codétenus. </w:t>
      </w:r>
      <w:r w:rsidR="008B2096">
        <w:rPr>
          <w:lang w:val="fr-FR"/>
        </w:rPr>
        <w:t>Elle consiste à</w:t>
      </w:r>
      <w:r w:rsidR="000C76B9" w:rsidRPr="000C76B9">
        <w:rPr>
          <w:lang w:val="fr-FR"/>
        </w:rPr>
        <w:t xml:space="preserve"> instaur</w:t>
      </w:r>
      <w:r w:rsidR="008B2096">
        <w:rPr>
          <w:lang w:val="fr-FR"/>
        </w:rPr>
        <w:t>er</w:t>
      </w:r>
      <w:r w:rsidR="000C76B9" w:rsidRPr="000C76B9">
        <w:rPr>
          <w:lang w:val="fr-FR"/>
        </w:rPr>
        <w:t xml:space="preserve"> </w:t>
      </w:r>
      <w:r w:rsidR="0071643C">
        <w:rPr>
          <w:lang w:val="fr-FR"/>
        </w:rPr>
        <w:t>des échanges directs</w:t>
      </w:r>
      <w:r w:rsidR="000C76B9" w:rsidRPr="000C76B9">
        <w:rPr>
          <w:lang w:val="fr-FR"/>
        </w:rPr>
        <w:t xml:space="preserve"> entre le personnel et l’agresseur</w:t>
      </w:r>
      <w:r w:rsidR="000B562B" w:rsidRPr="000C76B9">
        <w:rPr>
          <w:lang w:val="fr-FR"/>
        </w:rPr>
        <w:t xml:space="preserve">. </w:t>
      </w:r>
      <w:r w:rsidR="0083340D" w:rsidRPr="000C76B9">
        <w:rPr>
          <w:lang w:val="fr-FR"/>
        </w:rPr>
        <w:t>Cette implication directe devr</w:t>
      </w:r>
      <w:r w:rsidR="0083340D">
        <w:rPr>
          <w:lang w:val="fr-FR"/>
        </w:rPr>
        <w:t xml:space="preserve">ait permettre aux agresseurs comme au personnel de mieux comprendre le problème et, par conséquent, de réduire les violences. </w:t>
      </w:r>
      <w:r w:rsidR="00F023C6" w:rsidRPr="0083340D">
        <w:rPr>
          <w:lang w:val="fr-FR"/>
        </w:rPr>
        <w:t>E</w:t>
      </w:r>
      <w:r w:rsidR="000B562B" w:rsidRPr="0083340D">
        <w:rPr>
          <w:lang w:val="fr-FR"/>
        </w:rPr>
        <w:t>n 2009</w:t>
      </w:r>
      <w:r w:rsidR="00F023C6" w:rsidRPr="0083340D">
        <w:rPr>
          <w:lang w:val="fr-FR"/>
        </w:rPr>
        <w:t>,</w:t>
      </w:r>
      <w:r w:rsidR="000B562B" w:rsidRPr="0083340D">
        <w:rPr>
          <w:lang w:val="fr-FR"/>
        </w:rPr>
        <w:t xml:space="preserve"> </w:t>
      </w:r>
      <w:r w:rsidR="00F023C6" w:rsidRPr="0083340D">
        <w:rPr>
          <w:lang w:val="fr-FR"/>
        </w:rPr>
        <w:t xml:space="preserve">l’Administration pénitentiaire écossaise </w:t>
      </w:r>
      <w:r w:rsidR="00243C34" w:rsidRPr="0083340D">
        <w:rPr>
          <w:lang w:val="fr-FR"/>
        </w:rPr>
        <w:t>a élaboré une politique de lutte contre la violence qui vise également à remédier au problème des brutalités en prison</w:t>
      </w:r>
      <w:r w:rsidR="000B562B" w:rsidRPr="0083340D">
        <w:rPr>
          <w:lang w:val="fr-FR"/>
        </w:rPr>
        <w:t>.</w:t>
      </w:r>
    </w:p>
    <w:p w:rsidR="000B562B" w:rsidRPr="0083340D" w:rsidRDefault="008F3DA4" w:rsidP="000A701B">
      <w:pPr>
        <w:pStyle w:val="H23G"/>
        <w:rPr>
          <w:lang w:val="fr-FR"/>
        </w:rPr>
      </w:pPr>
      <w:r w:rsidRPr="0083340D">
        <w:rPr>
          <w:lang w:val="fr-FR"/>
        </w:rPr>
        <w:t>Irlande du Nord</w:t>
      </w:r>
    </w:p>
    <w:p w:rsidR="000B562B" w:rsidRPr="0083340D" w:rsidRDefault="002549A9" w:rsidP="00A801B9">
      <w:pPr>
        <w:pStyle w:val="SingleTxtG"/>
        <w:spacing w:after="240"/>
        <w:rPr>
          <w:lang w:val="fr-FR"/>
        </w:rPr>
      </w:pPr>
      <w:r w:rsidRPr="0083340D">
        <w:rPr>
          <w:lang w:val="fr-FR"/>
        </w:rPr>
        <w:t>534.</w:t>
      </w:r>
      <w:r w:rsidRPr="0083340D">
        <w:rPr>
          <w:lang w:val="fr-FR"/>
        </w:rPr>
        <w:tab/>
      </w:r>
      <w:r w:rsidR="00F023C6" w:rsidRPr="0083340D">
        <w:rPr>
          <w:lang w:val="fr-FR"/>
        </w:rPr>
        <w:t xml:space="preserve">Le tableau ci-dessous indique le nombre de décès enregistrés dans les </w:t>
      </w:r>
      <w:r w:rsidR="006D07AA" w:rsidRPr="0083340D">
        <w:rPr>
          <w:lang w:val="fr-FR"/>
        </w:rPr>
        <w:t>établissements</w:t>
      </w:r>
      <w:r w:rsidR="00F023C6" w:rsidRPr="0083340D">
        <w:rPr>
          <w:lang w:val="fr-FR"/>
        </w:rPr>
        <w:t xml:space="preserve"> pénitentiaires d’</w:t>
      </w:r>
      <w:r w:rsidR="008F3DA4" w:rsidRPr="0083340D">
        <w:rPr>
          <w:lang w:val="fr-FR"/>
        </w:rPr>
        <w:t>Irlande du Nord</w:t>
      </w:r>
      <w:r w:rsidR="000B562B" w:rsidRPr="0083340D">
        <w:rPr>
          <w:lang w:val="fr-FR"/>
        </w:rPr>
        <w:t xml:space="preserve"> </w:t>
      </w:r>
      <w:r w:rsidR="00F023C6" w:rsidRPr="0083340D">
        <w:rPr>
          <w:lang w:val="fr-FR"/>
        </w:rPr>
        <w:t>depuis</w:t>
      </w:r>
      <w:r w:rsidR="000B562B" w:rsidRPr="0083340D">
        <w:rPr>
          <w:lang w:val="fr-FR"/>
        </w:rPr>
        <w:t xml:space="preserve"> 2004.</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652"/>
        <w:gridCol w:w="1582"/>
        <w:gridCol w:w="798"/>
        <w:gridCol w:w="1147"/>
        <w:gridCol w:w="588"/>
        <w:gridCol w:w="1603"/>
      </w:tblGrid>
      <w:tr w:rsidR="00F023C6" w:rsidRPr="0083340D" w:rsidTr="00CF1CC1">
        <w:tblPrEx>
          <w:tblCellMar>
            <w:top w:w="0" w:type="dxa"/>
            <w:bottom w:w="0" w:type="dxa"/>
          </w:tblCellMar>
        </w:tblPrEx>
        <w:trPr>
          <w:cantSplit/>
          <w:trHeight w:val="240"/>
          <w:tblHeader/>
        </w:trPr>
        <w:tc>
          <w:tcPr>
            <w:tcW w:w="1652" w:type="dxa"/>
            <w:tcBorders>
              <w:top w:val="single" w:sz="4" w:space="0" w:color="auto"/>
              <w:bottom w:val="single" w:sz="12" w:space="0" w:color="auto"/>
            </w:tcBorders>
            <w:shd w:val="clear" w:color="auto" w:fill="auto"/>
            <w:vAlign w:val="bottom"/>
          </w:tcPr>
          <w:p w:rsidR="000B562B" w:rsidRPr="0083340D" w:rsidRDefault="00F023C6" w:rsidP="00A801B9">
            <w:pPr>
              <w:pStyle w:val="Text"/>
              <w:spacing w:before="80" w:after="80" w:line="200" w:lineRule="exact"/>
              <w:rPr>
                <w:rFonts w:ascii="Times New Roman" w:hAnsi="Times New Roman"/>
                <w:i/>
                <w:sz w:val="16"/>
                <w:lang w:val="fr-FR"/>
              </w:rPr>
            </w:pPr>
            <w:r w:rsidRPr="0083340D">
              <w:rPr>
                <w:rFonts w:ascii="Times New Roman" w:hAnsi="Times New Roman"/>
                <w:i/>
                <w:sz w:val="16"/>
                <w:lang w:val="fr-FR"/>
              </w:rPr>
              <w:t>Année</w:t>
            </w:r>
          </w:p>
        </w:tc>
        <w:tc>
          <w:tcPr>
            <w:tcW w:w="1582" w:type="dxa"/>
            <w:tcBorders>
              <w:top w:val="single" w:sz="4" w:space="0" w:color="auto"/>
              <w:bottom w:val="single" w:sz="12" w:space="0" w:color="auto"/>
            </w:tcBorders>
            <w:shd w:val="clear" w:color="auto" w:fill="auto"/>
            <w:vAlign w:val="bottom"/>
          </w:tcPr>
          <w:p w:rsidR="000B562B" w:rsidRPr="0083340D" w:rsidRDefault="00F023C6" w:rsidP="00CF1CC1">
            <w:pPr>
              <w:pStyle w:val="Text"/>
              <w:spacing w:before="80" w:after="80" w:line="200" w:lineRule="exact"/>
              <w:ind w:left="113" w:right="57"/>
              <w:jc w:val="right"/>
              <w:rPr>
                <w:rFonts w:ascii="Times New Roman" w:hAnsi="Times New Roman"/>
                <w:i/>
                <w:sz w:val="16"/>
                <w:lang w:val="fr-FR"/>
              </w:rPr>
            </w:pPr>
            <w:r w:rsidRPr="0083340D">
              <w:rPr>
                <w:rFonts w:ascii="Times New Roman" w:hAnsi="Times New Roman"/>
                <w:i/>
                <w:sz w:val="16"/>
                <w:lang w:val="fr-FR"/>
              </w:rPr>
              <w:t xml:space="preserve">Effectif quotidien </w:t>
            </w:r>
            <w:r w:rsidR="0075581A">
              <w:rPr>
                <w:rFonts w:ascii="Times New Roman" w:hAnsi="Times New Roman"/>
                <w:i/>
                <w:sz w:val="16"/>
                <w:lang w:val="fr-FR"/>
              </w:rPr>
              <w:br/>
            </w:r>
            <w:r w:rsidRPr="0083340D">
              <w:rPr>
                <w:rFonts w:ascii="Times New Roman" w:hAnsi="Times New Roman"/>
                <w:i/>
                <w:sz w:val="16"/>
                <w:lang w:val="fr-FR"/>
              </w:rPr>
              <w:t>moyen de</w:t>
            </w:r>
            <w:r w:rsidR="00CF1CC1">
              <w:rPr>
                <w:rFonts w:ascii="Times New Roman" w:hAnsi="Times New Roman"/>
                <w:i/>
                <w:sz w:val="16"/>
                <w:lang w:val="fr-FR"/>
              </w:rPr>
              <w:t xml:space="preserve"> </w:t>
            </w:r>
            <w:r w:rsidRPr="0083340D">
              <w:rPr>
                <w:rFonts w:ascii="Times New Roman" w:hAnsi="Times New Roman"/>
                <w:i/>
                <w:sz w:val="16"/>
                <w:lang w:val="fr-FR"/>
              </w:rPr>
              <w:t>la</w:t>
            </w:r>
            <w:r w:rsidR="0075581A">
              <w:rPr>
                <w:rFonts w:ascii="Times New Roman" w:hAnsi="Times New Roman"/>
                <w:i/>
                <w:sz w:val="16"/>
                <w:lang w:val="fr-FR"/>
              </w:rPr>
              <w:br/>
            </w:r>
            <w:r w:rsidRPr="0083340D">
              <w:rPr>
                <w:rFonts w:ascii="Times New Roman" w:hAnsi="Times New Roman"/>
                <w:i/>
                <w:sz w:val="16"/>
                <w:lang w:val="fr-FR"/>
              </w:rPr>
              <w:t>population carcérale</w:t>
            </w:r>
          </w:p>
        </w:tc>
        <w:tc>
          <w:tcPr>
            <w:tcW w:w="798" w:type="dxa"/>
            <w:tcBorders>
              <w:top w:val="single" w:sz="4" w:space="0" w:color="auto"/>
              <w:bottom w:val="single" w:sz="12" w:space="0" w:color="auto"/>
            </w:tcBorders>
            <w:shd w:val="clear" w:color="auto" w:fill="auto"/>
            <w:vAlign w:val="bottom"/>
          </w:tcPr>
          <w:p w:rsidR="000B562B" w:rsidRPr="0083340D" w:rsidRDefault="00F023C6" w:rsidP="00CF1CC1">
            <w:pPr>
              <w:pStyle w:val="Text"/>
              <w:spacing w:before="80" w:after="80" w:line="200" w:lineRule="exact"/>
              <w:ind w:left="113" w:right="57"/>
              <w:jc w:val="right"/>
              <w:rPr>
                <w:rFonts w:ascii="Times New Roman" w:hAnsi="Times New Roman"/>
                <w:i/>
                <w:sz w:val="16"/>
                <w:lang w:val="fr-FR"/>
              </w:rPr>
            </w:pPr>
            <w:r w:rsidRPr="0083340D">
              <w:rPr>
                <w:rFonts w:ascii="Times New Roman" w:hAnsi="Times New Roman"/>
                <w:i/>
                <w:sz w:val="16"/>
                <w:lang w:val="fr-FR"/>
              </w:rPr>
              <w:t>Suicides</w:t>
            </w:r>
          </w:p>
        </w:tc>
        <w:tc>
          <w:tcPr>
            <w:tcW w:w="1147" w:type="dxa"/>
            <w:tcBorders>
              <w:top w:val="single" w:sz="4" w:space="0" w:color="auto"/>
              <w:bottom w:val="single" w:sz="12" w:space="0" w:color="auto"/>
            </w:tcBorders>
            <w:shd w:val="clear" w:color="auto" w:fill="auto"/>
            <w:vAlign w:val="bottom"/>
          </w:tcPr>
          <w:p w:rsidR="000B562B" w:rsidRPr="0083340D" w:rsidRDefault="00F023C6" w:rsidP="00CF1CC1">
            <w:pPr>
              <w:pStyle w:val="Text"/>
              <w:spacing w:before="80" w:after="80" w:line="200" w:lineRule="exact"/>
              <w:ind w:left="113" w:right="57"/>
              <w:jc w:val="right"/>
              <w:rPr>
                <w:rFonts w:ascii="Times New Roman" w:hAnsi="Times New Roman"/>
                <w:i/>
                <w:sz w:val="16"/>
                <w:lang w:val="fr-FR"/>
              </w:rPr>
            </w:pPr>
            <w:r w:rsidRPr="0083340D">
              <w:rPr>
                <w:rFonts w:ascii="Times New Roman" w:hAnsi="Times New Roman"/>
                <w:i/>
                <w:sz w:val="16"/>
                <w:lang w:val="fr-FR"/>
              </w:rPr>
              <w:t>Autres causes de décès</w:t>
            </w:r>
          </w:p>
        </w:tc>
        <w:tc>
          <w:tcPr>
            <w:tcW w:w="588" w:type="dxa"/>
            <w:tcBorders>
              <w:top w:val="single" w:sz="4" w:space="0" w:color="auto"/>
              <w:bottom w:val="single" w:sz="12" w:space="0" w:color="auto"/>
            </w:tcBorders>
            <w:shd w:val="clear" w:color="auto" w:fill="auto"/>
            <w:vAlign w:val="bottom"/>
          </w:tcPr>
          <w:p w:rsidR="000B562B" w:rsidRPr="006237E4" w:rsidRDefault="000B562B" w:rsidP="00CF1CC1">
            <w:pPr>
              <w:pStyle w:val="Text"/>
              <w:spacing w:before="80" w:after="80" w:line="200" w:lineRule="exact"/>
              <w:ind w:left="113" w:right="57"/>
              <w:jc w:val="right"/>
              <w:rPr>
                <w:rFonts w:ascii="Times New Roman" w:hAnsi="Times New Roman"/>
                <w:b/>
                <w:bCs/>
                <w:i/>
                <w:sz w:val="16"/>
                <w:lang w:val="fr-FR"/>
              </w:rPr>
            </w:pPr>
            <w:r w:rsidRPr="006237E4">
              <w:rPr>
                <w:rFonts w:ascii="Times New Roman" w:hAnsi="Times New Roman"/>
                <w:b/>
                <w:bCs/>
                <w:i/>
                <w:sz w:val="16"/>
                <w:lang w:val="fr-FR"/>
              </w:rPr>
              <w:t>Total</w:t>
            </w:r>
          </w:p>
        </w:tc>
        <w:tc>
          <w:tcPr>
            <w:tcW w:w="1603" w:type="dxa"/>
            <w:tcBorders>
              <w:top w:val="single" w:sz="4" w:space="0" w:color="auto"/>
              <w:bottom w:val="single" w:sz="12" w:space="0" w:color="auto"/>
            </w:tcBorders>
            <w:shd w:val="clear" w:color="auto" w:fill="auto"/>
            <w:vAlign w:val="bottom"/>
          </w:tcPr>
          <w:p w:rsidR="000B562B" w:rsidRPr="0083340D" w:rsidRDefault="00F023C6" w:rsidP="00CF1CC1">
            <w:pPr>
              <w:pStyle w:val="Text"/>
              <w:spacing w:before="80" w:after="80" w:line="200" w:lineRule="exact"/>
              <w:ind w:left="113" w:right="57"/>
              <w:jc w:val="right"/>
              <w:rPr>
                <w:rFonts w:ascii="Times New Roman" w:hAnsi="Times New Roman"/>
                <w:i/>
                <w:sz w:val="16"/>
                <w:lang w:val="fr-FR"/>
              </w:rPr>
            </w:pPr>
            <w:r w:rsidRPr="0083340D">
              <w:rPr>
                <w:rFonts w:ascii="Times New Roman" w:hAnsi="Times New Roman"/>
                <w:i/>
                <w:sz w:val="16"/>
                <w:lang w:val="fr-FR"/>
              </w:rPr>
              <w:t>Nombre de suicides pour 10 000 détenus</w:t>
            </w:r>
          </w:p>
        </w:tc>
      </w:tr>
      <w:tr w:rsidR="00F023C6" w:rsidRPr="0083340D" w:rsidTr="00CF1CC1">
        <w:tblPrEx>
          <w:tblCellMar>
            <w:top w:w="0" w:type="dxa"/>
            <w:bottom w:w="0" w:type="dxa"/>
          </w:tblCellMar>
        </w:tblPrEx>
        <w:trPr>
          <w:cantSplit/>
          <w:trHeight w:val="240"/>
        </w:trPr>
        <w:tc>
          <w:tcPr>
            <w:tcW w:w="1652" w:type="dxa"/>
            <w:tcBorders>
              <w:top w:val="single" w:sz="12" w:space="0" w:color="auto"/>
            </w:tcBorders>
            <w:shd w:val="clear" w:color="auto" w:fill="auto"/>
          </w:tcPr>
          <w:p w:rsidR="000B562B" w:rsidRPr="0083340D" w:rsidRDefault="000B562B" w:rsidP="00A801B9">
            <w:pPr>
              <w:pStyle w:val="Text"/>
              <w:spacing w:before="40" w:after="40" w:line="220" w:lineRule="exact"/>
              <w:rPr>
                <w:rFonts w:ascii="Times New Roman" w:hAnsi="Times New Roman"/>
                <w:sz w:val="18"/>
                <w:lang w:val="fr-FR"/>
              </w:rPr>
            </w:pPr>
            <w:r w:rsidRPr="0083340D">
              <w:rPr>
                <w:rFonts w:ascii="Times New Roman" w:hAnsi="Times New Roman"/>
                <w:sz w:val="18"/>
                <w:lang w:val="fr-FR"/>
              </w:rPr>
              <w:t>2004</w:t>
            </w:r>
            <w:r w:rsidR="00F023C6" w:rsidRPr="0083340D">
              <w:rPr>
                <w:rFonts w:ascii="Times New Roman" w:hAnsi="Times New Roman"/>
                <w:sz w:val="18"/>
                <w:lang w:val="fr-FR"/>
              </w:rPr>
              <w:t>-20</w:t>
            </w:r>
            <w:r w:rsidRPr="0083340D">
              <w:rPr>
                <w:rFonts w:ascii="Times New Roman" w:hAnsi="Times New Roman"/>
                <w:sz w:val="18"/>
                <w:lang w:val="fr-FR"/>
              </w:rPr>
              <w:t>05</w:t>
            </w:r>
          </w:p>
        </w:tc>
        <w:tc>
          <w:tcPr>
            <w:tcW w:w="1582" w:type="dxa"/>
            <w:tcBorders>
              <w:top w:val="single" w:sz="12" w:space="0" w:color="auto"/>
            </w:tcBorders>
            <w:shd w:val="clear" w:color="auto" w:fill="auto"/>
            <w:vAlign w:val="bottom"/>
          </w:tcPr>
          <w:p w:rsidR="000B562B" w:rsidRPr="0083340D" w:rsidRDefault="000B562B" w:rsidP="00CF1CC1">
            <w:pPr>
              <w:pStyle w:val="Text"/>
              <w:spacing w:before="40" w:after="40" w:line="220" w:lineRule="exact"/>
              <w:ind w:left="113" w:right="57"/>
              <w:jc w:val="right"/>
              <w:rPr>
                <w:rFonts w:ascii="Times New Roman" w:hAnsi="Times New Roman"/>
                <w:sz w:val="18"/>
                <w:lang w:val="fr-FR"/>
              </w:rPr>
            </w:pPr>
            <w:r w:rsidRPr="0083340D">
              <w:rPr>
                <w:rFonts w:ascii="Times New Roman" w:hAnsi="Times New Roman"/>
                <w:sz w:val="18"/>
                <w:lang w:val="fr-FR"/>
              </w:rPr>
              <w:t>1</w:t>
            </w:r>
            <w:r w:rsidR="00F023C6" w:rsidRPr="0083340D">
              <w:rPr>
                <w:rFonts w:ascii="Times New Roman" w:hAnsi="Times New Roman"/>
                <w:sz w:val="18"/>
                <w:lang w:val="fr-FR"/>
              </w:rPr>
              <w:t xml:space="preserve"> </w:t>
            </w:r>
            <w:r w:rsidRPr="0083340D">
              <w:rPr>
                <w:rFonts w:ascii="Times New Roman" w:hAnsi="Times New Roman"/>
                <w:sz w:val="18"/>
                <w:lang w:val="fr-FR"/>
              </w:rPr>
              <w:t>277</w:t>
            </w:r>
          </w:p>
        </w:tc>
        <w:tc>
          <w:tcPr>
            <w:tcW w:w="798" w:type="dxa"/>
            <w:tcBorders>
              <w:top w:val="single" w:sz="12" w:space="0" w:color="auto"/>
            </w:tcBorders>
            <w:shd w:val="clear" w:color="auto" w:fill="auto"/>
            <w:vAlign w:val="bottom"/>
          </w:tcPr>
          <w:p w:rsidR="000B562B" w:rsidRPr="0083340D" w:rsidRDefault="000B562B" w:rsidP="00CF1CC1">
            <w:pPr>
              <w:pStyle w:val="Text"/>
              <w:spacing w:before="40" w:after="40" w:line="220" w:lineRule="exact"/>
              <w:ind w:left="113" w:right="57"/>
              <w:jc w:val="right"/>
              <w:rPr>
                <w:rFonts w:ascii="Times New Roman" w:hAnsi="Times New Roman"/>
                <w:sz w:val="18"/>
                <w:lang w:val="fr-FR"/>
              </w:rPr>
            </w:pPr>
            <w:r w:rsidRPr="0083340D">
              <w:rPr>
                <w:rFonts w:ascii="Times New Roman" w:hAnsi="Times New Roman"/>
                <w:sz w:val="18"/>
                <w:lang w:val="fr-FR"/>
              </w:rPr>
              <w:t>1</w:t>
            </w:r>
          </w:p>
        </w:tc>
        <w:tc>
          <w:tcPr>
            <w:tcW w:w="1147" w:type="dxa"/>
            <w:tcBorders>
              <w:top w:val="single" w:sz="12" w:space="0" w:color="auto"/>
            </w:tcBorders>
            <w:shd w:val="clear" w:color="auto" w:fill="auto"/>
            <w:vAlign w:val="bottom"/>
          </w:tcPr>
          <w:p w:rsidR="000B562B" w:rsidRPr="0083340D" w:rsidRDefault="000B562B" w:rsidP="00CF1CC1">
            <w:pPr>
              <w:pStyle w:val="Text"/>
              <w:spacing w:before="40" w:after="40" w:line="220" w:lineRule="exact"/>
              <w:ind w:left="113" w:right="57"/>
              <w:jc w:val="right"/>
              <w:rPr>
                <w:rFonts w:ascii="Times New Roman" w:hAnsi="Times New Roman"/>
                <w:sz w:val="18"/>
                <w:lang w:val="fr-FR"/>
              </w:rPr>
            </w:pPr>
            <w:r w:rsidRPr="0083340D">
              <w:rPr>
                <w:rFonts w:ascii="Times New Roman" w:hAnsi="Times New Roman"/>
                <w:sz w:val="18"/>
                <w:lang w:val="fr-FR"/>
              </w:rPr>
              <w:t>3</w:t>
            </w:r>
          </w:p>
        </w:tc>
        <w:tc>
          <w:tcPr>
            <w:tcW w:w="588" w:type="dxa"/>
            <w:tcBorders>
              <w:top w:val="single" w:sz="12" w:space="0" w:color="auto"/>
            </w:tcBorders>
            <w:shd w:val="clear" w:color="auto" w:fill="auto"/>
            <w:vAlign w:val="bottom"/>
          </w:tcPr>
          <w:p w:rsidR="000B562B" w:rsidRPr="006237E4" w:rsidRDefault="000B562B" w:rsidP="00CF1CC1">
            <w:pPr>
              <w:pStyle w:val="Text"/>
              <w:spacing w:before="40" w:after="40" w:line="220" w:lineRule="exact"/>
              <w:ind w:left="113" w:right="57"/>
              <w:jc w:val="right"/>
              <w:rPr>
                <w:rFonts w:ascii="Times New Roman" w:hAnsi="Times New Roman"/>
                <w:b/>
                <w:bCs/>
                <w:sz w:val="18"/>
                <w:lang w:val="fr-FR"/>
              </w:rPr>
            </w:pPr>
            <w:r w:rsidRPr="006237E4">
              <w:rPr>
                <w:rFonts w:ascii="Times New Roman" w:hAnsi="Times New Roman"/>
                <w:b/>
                <w:bCs/>
                <w:sz w:val="18"/>
                <w:lang w:val="fr-FR"/>
              </w:rPr>
              <w:t>4</w:t>
            </w:r>
          </w:p>
        </w:tc>
        <w:tc>
          <w:tcPr>
            <w:tcW w:w="1603" w:type="dxa"/>
            <w:tcBorders>
              <w:top w:val="single" w:sz="12" w:space="0" w:color="auto"/>
            </w:tcBorders>
            <w:shd w:val="clear" w:color="auto" w:fill="auto"/>
            <w:vAlign w:val="bottom"/>
          </w:tcPr>
          <w:p w:rsidR="000B562B" w:rsidRPr="0083340D" w:rsidRDefault="000B562B" w:rsidP="00CF1CC1">
            <w:pPr>
              <w:pStyle w:val="Text"/>
              <w:spacing w:before="40" w:after="40" w:line="220" w:lineRule="exact"/>
              <w:ind w:left="113" w:right="57"/>
              <w:jc w:val="right"/>
              <w:rPr>
                <w:rFonts w:ascii="Times New Roman" w:hAnsi="Times New Roman"/>
                <w:sz w:val="18"/>
                <w:lang w:val="fr-FR"/>
              </w:rPr>
            </w:pPr>
            <w:r w:rsidRPr="0083340D">
              <w:rPr>
                <w:rFonts w:ascii="Times New Roman" w:hAnsi="Times New Roman"/>
                <w:sz w:val="18"/>
                <w:lang w:val="fr-FR"/>
              </w:rPr>
              <w:t>7</w:t>
            </w:r>
            <w:r w:rsidR="00F023C6" w:rsidRPr="0083340D">
              <w:rPr>
                <w:rFonts w:ascii="Times New Roman" w:hAnsi="Times New Roman"/>
                <w:sz w:val="18"/>
                <w:lang w:val="fr-FR"/>
              </w:rPr>
              <w:t>,</w:t>
            </w:r>
            <w:r w:rsidRPr="0083340D">
              <w:rPr>
                <w:rFonts w:ascii="Times New Roman" w:hAnsi="Times New Roman"/>
                <w:sz w:val="18"/>
                <w:lang w:val="fr-FR"/>
              </w:rPr>
              <w:t>83</w:t>
            </w:r>
          </w:p>
        </w:tc>
      </w:tr>
      <w:tr w:rsidR="00F023C6" w:rsidRPr="0083340D" w:rsidTr="00CF1CC1">
        <w:tblPrEx>
          <w:tblCellMar>
            <w:top w:w="0" w:type="dxa"/>
            <w:bottom w:w="0" w:type="dxa"/>
          </w:tblCellMar>
        </w:tblPrEx>
        <w:trPr>
          <w:cantSplit/>
          <w:trHeight w:val="240"/>
        </w:trPr>
        <w:tc>
          <w:tcPr>
            <w:tcW w:w="1652" w:type="dxa"/>
            <w:shd w:val="clear" w:color="auto" w:fill="auto"/>
          </w:tcPr>
          <w:p w:rsidR="000B562B" w:rsidRPr="0083340D" w:rsidRDefault="000B562B" w:rsidP="00A801B9">
            <w:pPr>
              <w:pStyle w:val="Text"/>
              <w:spacing w:before="40" w:after="40" w:line="220" w:lineRule="exact"/>
              <w:rPr>
                <w:rFonts w:ascii="Times New Roman" w:hAnsi="Times New Roman"/>
                <w:sz w:val="18"/>
                <w:lang w:val="fr-FR"/>
              </w:rPr>
            </w:pPr>
            <w:r w:rsidRPr="0083340D">
              <w:rPr>
                <w:rFonts w:ascii="Times New Roman" w:hAnsi="Times New Roman"/>
                <w:sz w:val="18"/>
                <w:lang w:val="fr-FR"/>
              </w:rPr>
              <w:t>2005</w:t>
            </w:r>
            <w:r w:rsidR="00F023C6" w:rsidRPr="0083340D">
              <w:rPr>
                <w:rFonts w:ascii="Times New Roman" w:hAnsi="Times New Roman"/>
                <w:sz w:val="18"/>
                <w:lang w:val="fr-FR"/>
              </w:rPr>
              <w:t>-20</w:t>
            </w:r>
            <w:r w:rsidRPr="0083340D">
              <w:rPr>
                <w:rFonts w:ascii="Times New Roman" w:hAnsi="Times New Roman"/>
                <w:sz w:val="18"/>
                <w:lang w:val="fr-FR"/>
              </w:rPr>
              <w:t>06</w:t>
            </w:r>
          </w:p>
        </w:tc>
        <w:tc>
          <w:tcPr>
            <w:tcW w:w="1582" w:type="dxa"/>
            <w:shd w:val="clear" w:color="auto" w:fill="auto"/>
            <w:vAlign w:val="bottom"/>
          </w:tcPr>
          <w:p w:rsidR="000B562B" w:rsidRPr="0083340D" w:rsidRDefault="000B562B" w:rsidP="00CF1CC1">
            <w:pPr>
              <w:pStyle w:val="Text"/>
              <w:spacing w:before="40" w:after="40" w:line="220" w:lineRule="exact"/>
              <w:ind w:left="113" w:right="57"/>
              <w:jc w:val="right"/>
              <w:rPr>
                <w:rFonts w:ascii="Times New Roman" w:hAnsi="Times New Roman"/>
                <w:sz w:val="18"/>
                <w:lang w:val="fr-FR"/>
              </w:rPr>
            </w:pPr>
            <w:r w:rsidRPr="0083340D">
              <w:rPr>
                <w:rFonts w:ascii="Times New Roman" w:hAnsi="Times New Roman"/>
                <w:sz w:val="18"/>
                <w:lang w:val="fr-FR"/>
              </w:rPr>
              <w:t>1</w:t>
            </w:r>
            <w:r w:rsidR="00F023C6" w:rsidRPr="0083340D">
              <w:rPr>
                <w:rFonts w:ascii="Times New Roman" w:hAnsi="Times New Roman"/>
                <w:sz w:val="18"/>
                <w:lang w:val="fr-FR"/>
              </w:rPr>
              <w:t xml:space="preserve"> </w:t>
            </w:r>
            <w:r w:rsidRPr="0083340D">
              <w:rPr>
                <w:rFonts w:ascii="Times New Roman" w:hAnsi="Times New Roman"/>
                <w:sz w:val="18"/>
                <w:lang w:val="fr-FR"/>
              </w:rPr>
              <w:t>328</w:t>
            </w:r>
          </w:p>
        </w:tc>
        <w:tc>
          <w:tcPr>
            <w:tcW w:w="798" w:type="dxa"/>
            <w:shd w:val="clear" w:color="auto" w:fill="auto"/>
            <w:vAlign w:val="bottom"/>
          </w:tcPr>
          <w:p w:rsidR="000B562B" w:rsidRPr="0083340D" w:rsidRDefault="000B562B" w:rsidP="00CF1CC1">
            <w:pPr>
              <w:pStyle w:val="Text"/>
              <w:spacing w:before="40" w:after="40" w:line="220" w:lineRule="exact"/>
              <w:ind w:left="113" w:right="57"/>
              <w:jc w:val="right"/>
              <w:rPr>
                <w:rFonts w:ascii="Times New Roman" w:hAnsi="Times New Roman"/>
                <w:sz w:val="18"/>
                <w:lang w:val="fr-FR"/>
              </w:rPr>
            </w:pPr>
            <w:r w:rsidRPr="0083340D">
              <w:rPr>
                <w:rFonts w:ascii="Times New Roman" w:hAnsi="Times New Roman"/>
                <w:sz w:val="18"/>
                <w:lang w:val="fr-FR"/>
              </w:rPr>
              <w:t>-</w:t>
            </w:r>
          </w:p>
        </w:tc>
        <w:tc>
          <w:tcPr>
            <w:tcW w:w="1147" w:type="dxa"/>
            <w:shd w:val="clear" w:color="auto" w:fill="auto"/>
            <w:vAlign w:val="bottom"/>
          </w:tcPr>
          <w:p w:rsidR="000B562B" w:rsidRPr="0083340D" w:rsidRDefault="000B562B" w:rsidP="00CF1CC1">
            <w:pPr>
              <w:pStyle w:val="Text"/>
              <w:spacing w:before="40" w:after="40" w:line="220" w:lineRule="exact"/>
              <w:ind w:left="113" w:right="57"/>
              <w:jc w:val="right"/>
              <w:rPr>
                <w:rFonts w:ascii="Times New Roman" w:hAnsi="Times New Roman"/>
                <w:sz w:val="18"/>
                <w:lang w:val="fr-FR"/>
              </w:rPr>
            </w:pPr>
            <w:r w:rsidRPr="0083340D">
              <w:rPr>
                <w:rFonts w:ascii="Times New Roman" w:hAnsi="Times New Roman"/>
                <w:sz w:val="18"/>
                <w:lang w:val="fr-FR"/>
              </w:rPr>
              <w:t>4</w:t>
            </w:r>
          </w:p>
        </w:tc>
        <w:tc>
          <w:tcPr>
            <w:tcW w:w="588" w:type="dxa"/>
            <w:shd w:val="clear" w:color="auto" w:fill="auto"/>
            <w:vAlign w:val="bottom"/>
          </w:tcPr>
          <w:p w:rsidR="000B562B" w:rsidRPr="006237E4" w:rsidRDefault="000B562B" w:rsidP="00CF1CC1">
            <w:pPr>
              <w:pStyle w:val="Text"/>
              <w:spacing w:before="40" w:after="40" w:line="220" w:lineRule="exact"/>
              <w:ind w:left="113" w:right="57"/>
              <w:jc w:val="right"/>
              <w:rPr>
                <w:rFonts w:ascii="Times New Roman" w:hAnsi="Times New Roman"/>
                <w:b/>
                <w:bCs/>
                <w:sz w:val="18"/>
                <w:lang w:val="fr-FR"/>
              </w:rPr>
            </w:pPr>
            <w:r w:rsidRPr="006237E4">
              <w:rPr>
                <w:rFonts w:ascii="Times New Roman" w:hAnsi="Times New Roman"/>
                <w:b/>
                <w:bCs/>
                <w:sz w:val="18"/>
                <w:lang w:val="fr-FR"/>
              </w:rPr>
              <w:t>4</w:t>
            </w:r>
          </w:p>
        </w:tc>
        <w:tc>
          <w:tcPr>
            <w:tcW w:w="1603" w:type="dxa"/>
            <w:shd w:val="clear" w:color="auto" w:fill="auto"/>
            <w:vAlign w:val="bottom"/>
          </w:tcPr>
          <w:p w:rsidR="000B562B" w:rsidRPr="0083340D" w:rsidRDefault="000B562B" w:rsidP="00CF1CC1">
            <w:pPr>
              <w:pStyle w:val="Text"/>
              <w:spacing w:before="40" w:after="40" w:line="220" w:lineRule="exact"/>
              <w:ind w:left="113" w:right="57"/>
              <w:jc w:val="right"/>
              <w:rPr>
                <w:rFonts w:ascii="Times New Roman" w:hAnsi="Times New Roman"/>
                <w:sz w:val="18"/>
                <w:lang w:val="fr-FR"/>
              </w:rPr>
            </w:pPr>
            <w:r w:rsidRPr="0083340D">
              <w:rPr>
                <w:rFonts w:ascii="Times New Roman" w:hAnsi="Times New Roman"/>
                <w:sz w:val="18"/>
                <w:lang w:val="fr-FR"/>
              </w:rPr>
              <w:t>0</w:t>
            </w:r>
          </w:p>
        </w:tc>
      </w:tr>
      <w:tr w:rsidR="00F023C6" w:rsidRPr="0083340D" w:rsidTr="00CF1CC1">
        <w:tblPrEx>
          <w:tblCellMar>
            <w:top w:w="0" w:type="dxa"/>
            <w:bottom w:w="0" w:type="dxa"/>
          </w:tblCellMar>
        </w:tblPrEx>
        <w:trPr>
          <w:cantSplit/>
          <w:trHeight w:val="240"/>
        </w:trPr>
        <w:tc>
          <w:tcPr>
            <w:tcW w:w="1652" w:type="dxa"/>
            <w:shd w:val="clear" w:color="auto" w:fill="auto"/>
          </w:tcPr>
          <w:p w:rsidR="000B562B" w:rsidRPr="0083340D" w:rsidRDefault="000B562B" w:rsidP="00A801B9">
            <w:pPr>
              <w:pStyle w:val="Text"/>
              <w:spacing w:before="40" w:after="40" w:line="220" w:lineRule="exact"/>
              <w:rPr>
                <w:rFonts w:ascii="Times New Roman" w:hAnsi="Times New Roman"/>
                <w:sz w:val="18"/>
                <w:lang w:val="fr-FR"/>
              </w:rPr>
            </w:pPr>
            <w:r w:rsidRPr="0083340D">
              <w:rPr>
                <w:rFonts w:ascii="Times New Roman" w:hAnsi="Times New Roman"/>
                <w:sz w:val="18"/>
                <w:lang w:val="fr-FR"/>
              </w:rPr>
              <w:t>2006</w:t>
            </w:r>
            <w:r w:rsidR="00F023C6" w:rsidRPr="0083340D">
              <w:rPr>
                <w:rFonts w:ascii="Times New Roman" w:hAnsi="Times New Roman"/>
                <w:sz w:val="18"/>
                <w:lang w:val="fr-FR"/>
              </w:rPr>
              <w:t>-20</w:t>
            </w:r>
            <w:r w:rsidRPr="0083340D">
              <w:rPr>
                <w:rFonts w:ascii="Times New Roman" w:hAnsi="Times New Roman"/>
                <w:sz w:val="18"/>
                <w:lang w:val="fr-FR"/>
              </w:rPr>
              <w:t>07</w:t>
            </w:r>
          </w:p>
        </w:tc>
        <w:tc>
          <w:tcPr>
            <w:tcW w:w="1582" w:type="dxa"/>
            <w:shd w:val="clear" w:color="auto" w:fill="auto"/>
            <w:vAlign w:val="bottom"/>
          </w:tcPr>
          <w:p w:rsidR="000B562B" w:rsidRPr="0083340D" w:rsidRDefault="000B562B" w:rsidP="00CF1CC1">
            <w:pPr>
              <w:pStyle w:val="Text"/>
              <w:spacing w:before="40" w:after="40" w:line="220" w:lineRule="exact"/>
              <w:ind w:left="113" w:right="57"/>
              <w:jc w:val="right"/>
              <w:rPr>
                <w:rFonts w:ascii="Times New Roman" w:hAnsi="Times New Roman"/>
                <w:sz w:val="18"/>
                <w:lang w:val="fr-FR"/>
              </w:rPr>
            </w:pPr>
            <w:r w:rsidRPr="0083340D">
              <w:rPr>
                <w:rFonts w:ascii="Times New Roman" w:hAnsi="Times New Roman"/>
                <w:sz w:val="18"/>
                <w:lang w:val="fr-FR"/>
              </w:rPr>
              <w:t>1</w:t>
            </w:r>
            <w:r w:rsidR="00F023C6" w:rsidRPr="0083340D">
              <w:rPr>
                <w:rFonts w:ascii="Times New Roman" w:hAnsi="Times New Roman"/>
                <w:sz w:val="18"/>
                <w:lang w:val="fr-FR"/>
              </w:rPr>
              <w:t xml:space="preserve"> </w:t>
            </w:r>
            <w:r w:rsidRPr="0083340D">
              <w:rPr>
                <w:rFonts w:ascii="Times New Roman" w:hAnsi="Times New Roman"/>
                <w:sz w:val="18"/>
                <w:lang w:val="fr-FR"/>
              </w:rPr>
              <w:t>455</w:t>
            </w:r>
          </w:p>
        </w:tc>
        <w:tc>
          <w:tcPr>
            <w:tcW w:w="798" w:type="dxa"/>
            <w:shd w:val="clear" w:color="auto" w:fill="auto"/>
            <w:vAlign w:val="bottom"/>
          </w:tcPr>
          <w:p w:rsidR="000B562B" w:rsidRPr="0083340D" w:rsidRDefault="000B562B" w:rsidP="00CF1CC1">
            <w:pPr>
              <w:pStyle w:val="Text"/>
              <w:spacing w:before="40" w:after="40" w:line="220" w:lineRule="exact"/>
              <w:ind w:left="113" w:right="57"/>
              <w:jc w:val="right"/>
              <w:rPr>
                <w:rFonts w:ascii="Times New Roman" w:hAnsi="Times New Roman"/>
                <w:sz w:val="18"/>
                <w:lang w:val="fr-FR"/>
              </w:rPr>
            </w:pPr>
            <w:r w:rsidRPr="0083340D">
              <w:rPr>
                <w:rFonts w:ascii="Times New Roman" w:hAnsi="Times New Roman"/>
                <w:sz w:val="18"/>
                <w:lang w:val="fr-FR"/>
              </w:rPr>
              <w:t>1</w:t>
            </w:r>
          </w:p>
        </w:tc>
        <w:tc>
          <w:tcPr>
            <w:tcW w:w="1147" w:type="dxa"/>
            <w:shd w:val="clear" w:color="auto" w:fill="auto"/>
            <w:vAlign w:val="bottom"/>
          </w:tcPr>
          <w:p w:rsidR="000B562B" w:rsidRPr="0083340D" w:rsidRDefault="000B562B" w:rsidP="00CF1CC1">
            <w:pPr>
              <w:pStyle w:val="Text"/>
              <w:spacing w:before="40" w:after="40" w:line="220" w:lineRule="exact"/>
              <w:ind w:left="113" w:right="57"/>
              <w:jc w:val="right"/>
              <w:rPr>
                <w:rFonts w:ascii="Times New Roman" w:hAnsi="Times New Roman"/>
                <w:sz w:val="18"/>
                <w:lang w:val="fr-FR"/>
              </w:rPr>
            </w:pPr>
            <w:r w:rsidRPr="0083340D">
              <w:rPr>
                <w:rFonts w:ascii="Times New Roman" w:hAnsi="Times New Roman"/>
                <w:sz w:val="18"/>
                <w:lang w:val="fr-FR"/>
              </w:rPr>
              <w:t>4</w:t>
            </w:r>
            <w:r w:rsidRPr="008A4260">
              <w:rPr>
                <w:rFonts w:ascii="Times New Roman" w:hAnsi="Times New Roman"/>
                <w:sz w:val="20"/>
                <w:lang w:val="fr-FR"/>
              </w:rPr>
              <w:t>*</w:t>
            </w:r>
          </w:p>
        </w:tc>
        <w:tc>
          <w:tcPr>
            <w:tcW w:w="588" w:type="dxa"/>
            <w:shd w:val="clear" w:color="auto" w:fill="auto"/>
            <w:vAlign w:val="bottom"/>
          </w:tcPr>
          <w:p w:rsidR="000B562B" w:rsidRPr="006237E4" w:rsidRDefault="000B562B" w:rsidP="00CF1CC1">
            <w:pPr>
              <w:pStyle w:val="Text"/>
              <w:spacing w:before="40" w:after="40" w:line="220" w:lineRule="exact"/>
              <w:ind w:left="113" w:right="57"/>
              <w:jc w:val="right"/>
              <w:rPr>
                <w:rFonts w:ascii="Times New Roman" w:hAnsi="Times New Roman"/>
                <w:b/>
                <w:bCs/>
                <w:sz w:val="18"/>
                <w:lang w:val="fr-FR"/>
              </w:rPr>
            </w:pPr>
            <w:r w:rsidRPr="006237E4">
              <w:rPr>
                <w:rFonts w:ascii="Times New Roman" w:hAnsi="Times New Roman"/>
                <w:b/>
                <w:bCs/>
                <w:sz w:val="18"/>
                <w:lang w:val="fr-FR"/>
              </w:rPr>
              <w:t>5</w:t>
            </w:r>
          </w:p>
        </w:tc>
        <w:tc>
          <w:tcPr>
            <w:tcW w:w="1603" w:type="dxa"/>
            <w:shd w:val="clear" w:color="auto" w:fill="auto"/>
            <w:vAlign w:val="bottom"/>
          </w:tcPr>
          <w:p w:rsidR="000B562B" w:rsidRPr="0083340D" w:rsidRDefault="000B562B" w:rsidP="00CF1CC1">
            <w:pPr>
              <w:pStyle w:val="Text"/>
              <w:spacing w:before="40" w:after="40" w:line="220" w:lineRule="exact"/>
              <w:ind w:left="113" w:right="57"/>
              <w:jc w:val="right"/>
              <w:rPr>
                <w:rFonts w:ascii="Times New Roman" w:hAnsi="Times New Roman"/>
                <w:sz w:val="18"/>
                <w:lang w:val="fr-FR"/>
              </w:rPr>
            </w:pPr>
            <w:r w:rsidRPr="0083340D">
              <w:rPr>
                <w:rFonts w:ascii="Times New Roman" w:hAnsi="Times New Roman"/>
                <w:sz w:val="18"/>
                <w:lang w:val="fr-FR"/>
              </w:rPr>
              <w:t>6</w:t>
            </w:r>
            <w:r w:rsidR="00F023C6" w:rsidRPr="0083340D">
              <w:rPr>
                <w:rFonts w:ascii="Times New Roman" w:hAnsi="Times New Roman"/>
                <w:sz w:val="18"/>
                <w:lang w:val="fr-FR"/>
              </w:rPr>
              <w:t>,</w:t>
            </w:r>
            <w:r w:rsidRPr="0083340D">
              <w:rPr>
                <w:rFonts w:ascii="Times New Roman" w:hAnsi="Times New Roman"/>
                <w:sz w:val="18"/>
                <w:lang w:val="fr-FR"/>
              </w:rPr>
              <w:t>8</w:t>
            </w:r>
          </w:p>
        </w:tc>
      </w:tr>
      <w:tr w:rsidR="00F023C6" w:rsidRPr="0083340D" w:rsidTr="00CF1CC1">
        <w:tblPrEx>
          <w:tblCellMar>
            <w:top w:w="0" w:type="dxa"/>
            <w:bottom w:w="0" w:type="dxa"/>
          </w:tblCellMar>
        </w:tblPrEx>
        <w:trPr>
          <w:cantSplit/>
          <w:trHeight w:val="240"/>
        </w:trPr>
        <w:tc>
          <w:tcPr>
            <w:tcW w:w="1652" w:type="dxa"/>
            <w:shd w:val="clear" w:color="auto" w:fill="auto"/>
          </w:tcPr>
          <w:p w:rsidR="000B562B" w:rsidRPr="0083340D" w:rsidRDefault="000B562B" w:rsidP="00A801B9">
            <w:pPr>
              <w:pStyle w:val="Text"/>
              <w:spacing w:before="40" w:after="40" w:line="220" w:lineRule="exact"/>
              <w:rPr>
                <w:rFonts w:ascii="Times New Roman" w:hAnsi="Times New Roman"/>
                <w:sz w:val="18"/>
                <w:lang w:val="fr-FR"/>
              </w:rPr>
            </w:pPr>
            <w:r w:rsidRPr="0083340D">
              <w:rPr>
                <w:rFonts w:ascii="Times New Roman" w:hAnsi="Times New Roman"/>
                <w:sz w:val="18"/>
                <w:lang w:val="fr-FR"/>
              </w:rPr>
              <w:t>2007</w:t>
            </w:r>
            <w:r w:rsidR="00F023C6" w:rsidRPr="0083340D">
              <w:rPr>
                <w:rFonts w:ascii="Times New Roman" w:hAnsi="Times New Roman"/>
                <w:sz w:val="18"/>
                <w:lang w:val="fr-FR"/>
              </w:rPr>
              <w:t>-20</w:t>
            </w:r>
            <w:r w:rsidRPr="0083340D">
              <w:rPr>
                <w:rFonts w:ascii="Times New Roman" w:hAnsi="Times New Roman"/>
                <w:sz w:val="18"/>
                <w:lang w:val="fr-FR"/>
              </w:rPr>
              <w:t>08</w:t>
            </w:r>
          </w:p>
        </w:tc>
        <w:tc>
          <w:tcPr>
            <w:tcW w:w="1582" w:type="dxa"/>
            <w:shd w:val="clear" w:color="auto" w:fill="auto"/>
            <w:vAlign w:val="bottom"/>
          </w:tcPr>
          <w:p w:rsidR="000B562B" w:rsidRPr="0083340D" w:rsidRDefault="000B562B" w:rsidP="00CF1CC1">
            <w:pPr>
              <w:pStyle w:val="Text"/>
              <w:spacing w:before="40" w:after="40" w:line="220" w:lineRule="exact"/>
              <w:ind w:left="113" w:right="57"/>
              <w:jc w:val="right"/>
              <w:rPr>
                <w:rFonts w:ascii="Times New Roman" w:hAnsi="Times New Roman"/>
                <w:sz w:val="18"/>
                <w:lang w:val="fr-FR"/>
              </w:rPr>
            </w:pPr>
            <w:r w:rsidRPr="0083340D">
              <w:rPr>
                <w:rFonts w:ascii="Times New Roman" w:hAnsi="Times New Roman"/>
                <w:sz w:val="18"/>
                <w:lang w:val="fr-FR"/>
              </w:rPr>
              <w:t>1</w:t>
            </w:r>
            <w:r w:rsidR="00F023C6" w:rsidRPr="0083340D">
              <w:rPr>
                <w:rFonts w:ascii="Times New Roman" w:hAnsi="Times New Roman"/>
                <w:sz w:val="18"/>
                <w:lang w:val="fr-FR"/>
              </w:rPr>
              <w:t xml:space="preserve"> </w:t>
            </w:r>
            <w:r w:rsidRPr="0083340D">
              <w:rPr>
                <w:rFonts w:ascii="Times New Roman" w:hAnsi="Times New Roman"/>
                <w:sz w:val="18"/>
                <w:lang w:val="fr-FR"/>
              </w:rPr>
              <w:t>473</w:t>
            </w:r>
          </w:p>
        </w:tc>
        <w:tc>
          <w:tcPr>
            <w:tcW w:w="798" w:type="dxa"/>
            <w:shd w:val="clear" w:color="auto" w:fill="auto"/>
            <w:vAlign w:val="bottom"/>
          </w:tcPr>
          <w:p w:rsidR="000B562B" w:rsidRPr="0083340D" w:rsidRDefault="000B562B" w:rsidP="00CF1CC1">
            <w:pPr>
              <w:pStyle w:val="Text"/>
              <w:spacing w:before="40" w:after="40" w:line="220" w:lineRule="exact"/>
              <w:ind w:left="113" w:right="57"/>
              <w:jc w:val="right"/>
              <w:rPr>
                <w:rFonts w:ascii="Times New Roman" w:hAnsi="Times New Roman"/>
                <w:sz w:val="18"/>
                <w:lang w:val="fr-FR"/>
              </w:rPr>
            </w:pPr>
            <w:r w:rsidRPr="0083340D">
              <w:rPr>
                <w:rFonts w:ascii="Times New Roman" w:hAnsi="Times New Roman"/>
                <w:sz w:val="18"/>
                <w:lang w:val="fr-FR"/>
              </w:rPr>
              <w:t>1</w:t>
            </w:r>
          </w:p>
        </w:tc>
        <w:tc>
          <w:tcPr>
            <w:tcW w:w="1147" w:type="dxa"/>
            <w:shd w:val="clear" w:color="auto" w:fill="auto"/>
            <w:vAlign w:val="bottom"/>
          </w:tcPr>
          <w:p w:rsidR="000B562B" w:rsidRPr="0083340D" w:rsidRDefault="000B562B" w:rsidP="00CF1CC1">
            <w:pPr>
              <w:pStyle w:val="Text"/>
              <w:spacing w:before="40" w:after="40" w:line="220" w:lineRule="exact"/>
              <w:ind w:left="113" w:right="57"/>
              <w:jc w:val="right"/>
              <w:rPr>
                <w:rFonts w:ascii="Times New Roman" w:hAnsi="Times New Roman"/>
                <w:sz w:val="18"/>
                <w:lang w:val="fr-FR"/>
              </w:rPr>
            </w:pPr>
            <w:r w:rsidRPr="0083340D">
              <w:rPr>
                <w:rFonts w:ascii="Times New Roman" w:hAnsi="Times New Roman"/>
                <w:sz w:val="18"/>
                <w:lang w:val="fr-FR"/>
              </w:rPr>
              <w:t>3</w:t>
            </w:r>
          </w:p>
        </w:tc>
        <w:tc>
          <w:tcPr>
            <w:tcW w:w="588" w:type="dxa"/>
            <w:shd w:val="clear" w:color="auto" w:fill="auto"/>
            <w:vAlign w:val="bottom"/>
          </w:tcPr>
          <w:p w:rsidR="000B562B" w:rsidRPr="006237E4" w:rsidRDefault="000B562B" w:rsidP="00CF1CC1">
            <w:pPr>
              <w:pStyle w:val="Text"/>
              <w:spacing w:before="40" w:after="40" w:line="220" w:lineRule="exact"/>
              <w:ind w:left="113" w:right="57"/>
              <w:jc w:val="right"/>
              <w:rPr>
                <w:rFonts w:ascii="Times New Roman" w:hAnsi="Times New Roman"/>
                <w:b/>
                <w:bCs/>
                <w:sz w:val="18"/>
                <w:lang w:val="fr-FR"/>
              </w:rPr>
            </w:pPr>
            <w:r w:rsidRPr="006237E4">
              <w:rPr>
                <w:rFonts w:ascii="Times New Roman" w:hAnsi="Times New Roman"/>
                <w:b/>
                <w:bCs/>
                <w:sz w:val="18"/>
                <w:lang w:val="fr-FR"/>
              </w:rPr>
              <w:t>4</w:t>
            </w:r>
          </w:p>
        </w:tc>
        <w:tc>
          <w:tcPr>
            <w:tcW w:w="1603" w:type="dxa"/>
            <w:shd w:val="clear" w:color="auto" w:fill="auto"/>
            <w:vAlign w:val="bottom"/>
          </w:tcPr>
          <w:p w:rsidR="000B562B" w:rsidRPr="0083340D" w:rsidRDefault="000B562B" w:rsidP="00CF1CC1">
            <w:pPr>
              <w:pStyle w:val="Text"/>
              <w:spacing w:before="40" w:after="40" w:line="220" w:lineRule="exact"/>
              <w:ind w:left="113" w:right="57"/>
              <w:jc w:val="right"/>
              <w:rPr>
                <w:rFonts w:ascii="Times New Roman" w:hAnsi="Times New Roman"/>
                <w:sz w:val="18"/>
                <w:lang w:val="fr-FR"/>
              </w:rPr>
            </w:pPr>
            <w:r w:rsidRPr="0083340D">
              <w:rPr>
                <w:rFonts w:ascii="Times New Roman" w:hAnsi="Times New Roman"/>
                <w:sz w:val="18"/>
                <w:lang w:val="fr-FR"/>
              </w:rPr>
              <w:t>6</w:t>
            </w:r>
            <w:r w:rsidR="00F023C6" w:rsidRPr="0083340D">
              <w:rPr>
                <w:rFonts w:ascii="Times New Roman" w:hAnsi="Times New Roman"/>
                <w:sz w:val="18"/>
                <w:lang w:val="fr-FR"/>
              </w:rPr>
              <w:t>,</w:t>
            </w:r>
            <w:r w:rsidRPr="0083340D">
              <w:rPr>
                <w:rFonts w:ascii="Times New Roman" w:hAnsi="Times New Roman"/>
                <w:sz w:val="18"/>
                <w:lang w:val="fr-FR"/>
              </w:rPr>
              <w:t>8</w:t>
            </w:r>
          </w:p>
        </w:tc>
      </w:tr>
      <w:tr w:rsidR="00F023C6" w:rsidRPr="0083340D" w:rsidTr="00CF1CC1">
        <w:tblPrEx>
          <w:tblCellMar>
            <w:top w:w="0" w:type="dxa"/>
            <w:bottom w:w="0" w:type="dxa"/>
          </w:tblCellMar>
        </w:tblPrEx>
        <w:trPr>
          <w:cantSplit/>
          <w:trHeight w:val="240"/>
        </w:trPr>
        <w:tc>
          <w:tcPr>
            <w:tcW w:w="1652" w:type="dxa"/>
            <w:shd w:val="clear" w:color="auto" w:fill="auto"/>
          </w:tcPr>
          <w:p w:rsidR="000B562B" w:rsidRPr="0083340D" w:rsidRDefault="000B562B" w:rsidP="00A801B9">
            <w:pPr>
              <w:pStyle w:val="Text"/>
              <w:spacing w:before="40" w:after="40" w:line="220" w:lineRule="exact"/>
              <w:rPr>
                <w:rFonts w:ascii="Times New Roman" w:hAnsi="Times New Roman"/>
                <w:sz w:val="18"/>
                <w:lang w:val="fr-FR"/>
              </w:rPr>
            </w:pPr>
            <w:r w:rsidRPr="0083340D">
              <w:rPr>
                <w:rFonts w:ascii="Times New Roman" w:hAnsi="Times New Roman"/>
                <w:sz w:val="18"/>
                <w:lang w:val="fr-FR"/>
              </w:rPr>
              <w:t>2008</w:t>
            </w:r>
            <w:r w:rsidR="00F023C6" w:rsidRPr="0083340D">
              <w:rPr>
                <w:rFonts w:ascii="Times New Roman" w:hAnsi="Times New Roman"/>
                <w:sz w:val="18"/>
                <w:lang w:val="fr-FR"/>
              </w:rPr>
              <w:t>-20</w:t>
            </w:r>
            <w:r w:rsidRPr="0083340D">
              <w:rPr>
                <w:rFonts w:ascii="Times New Roman" w:hAnsi="Times New Roman"/>
                <w:sz w:val="18"/>
                <w:lang w:val="fr-FR"/>
              </w:rPr>
              <w:t>09</w:t>
            </w:r>
          </w:p>
        </w:tc>
        <w:tc>
          <w:tcPr>
            <w:tcW w:w="1582" w:type="dxa"/>
            <w:shd w:val="clear" w:color="auto" w:fill="auto"/>
            <w:vAlign w:val="bottom"/>
          </w:tcPr>
          <w:p w:rsidR="000B562B" w:rsidRPr="0083340D" w:rsidRDefault="000B562B" w:rsidP="00CF1CC1">
            <w:pPr>
              <w:pStyle w:val="Text"/>
              <w:spacing w:before="40" w:after="40" w:line="220" w:lineRule="exact"/>
              <w:ind w:left="113" w:right="57"/>
              <w:jc w:val="right"/>
              <w:rPr>
                <w:rFonts w:ascii="Times New Roman" w:hAnsi="Times New Roman"/>
                <w:sz w:val="18"/>
                <w:lang w:val="fr-FR"/>
              </w:rPr>
            </w:pPr>
            <w:r w:rsidRPr="0083340D">
              <w:rPr>
                <w:rFonts w:ascii="Times New Roman" w:hAnsi="Times New Roman"/>
                <w:sz w:val="18"/>
                <w:lang w:val="fr-FR"/>
              </w:rPr>
              <w:t>1</w:t>
            </w:r>
            <w:r w:rsidR="00F023C6" w:rsidRPr="0083340D">
              <w:rPr>
                <w:rFonts w:ascii="Times New Roman" w:hAnsi="Times New Roman"/>
                <w:sz w:val="18"/>
                <w:lang w:val="fr-FR"/>
              </w:rPr>
              <w:t xml:space="preserve"> </w:t>
            </w:r>
            <w:r w:rsidRPr="0083340D">
              <w:rPr>
                <w:rFonts w:ascii="Times New Roman" w:hAnsi="Times New Roman"/>
                <w:sz w:val="18"/>
                <w:lang w:val="fr-FR"/>
              </w:rPr>
              <w:t>492</w:t>
            </w:r>
          </w:p>
        </w:tc>
        <w:tc>
          <w:tcPr>
            <w:tcW w:w="798" w:type="dxa"/>
            <w:shd w:val="clear" w:color="auto" w:fill="auto"/>
            <w:vAlign w:val="bottom"/>
          </w:tcPr>
          <w:p w:rsidR="000B562B" w:rsidRPr="0083340D" w:rsidRDefault="000B562B" w:rsidP="00CF1CC1">
            <w:pPr>
              <w:pStyle w:val="Text"/>
              <w:spacing w:before="40" w:after="40" w:line="220" w:lineRule="exact"/>
              <w:ind w:left="113" w:right="57"/>
              <w:jc w:val="right"/>
              <w:rPr>
                <w:rFonts w:ascii="Times New Roman" w:hAnsi="Times New Roman"/>
                <w:sz w:val="18"/>
                <w:lang w:val="fr-FR"/>
              </w:rPr>
            </w:pPr>
            <w:r w:rsidRPr="0083340D">
              <w:rPr>
                <w:rFonts w:ascii="Times New Roman" w:hAnsi="Times New Roman"/>
                <w:sz w:val="18"/>
                <w:lang w:val="fr-FR"/>
              </w:rPr>
              <w:t>1</w:t>
            </w:r>
          </w:p>
        </w:tc>
        <w:tc>
          <w:tcPr>
            <w:tcW w:w="1147" w:type="dxa"/>
            <w:shd w:val="clear" w:color="auto" w:fill="auto"/>
            <w:vAlign w:val="bottom"/>
          </w:tcPr>
          <w:p w:rsidR="000B562B" w:rsidRPr="0083340D" w:rsidRDefault="000B562B" w:rsidP="00CF1CC1">
            <w:pPr>
              <w:pStyle w:val="Text"/>
              <w:spacing w:before="40" w:after="40" w:line="220" w:lineRule="exact"/>
              <w:ind w:left="113" w:right="57"/>
              <w:jc w:val="right"/>
              <w:rPr>
                <w:rFonts w:ascii="Times New Roman" w:hAnsi="Times New Roman"/>
                <w:sz w:val="18"/>
                <w:lang w:val="fr-FR"/>
              </w:rPr>
            </w:pPr>
            <w:r w:rsidRPr="0083340D">
              <w:rPr>
                <w:rFonts w:ascii="Times New Roman" w:hAnsi="Times New Roman"/>
                <w:sz w:val="18"/>
                <w:lang w:val="fr-FR"/>
              </w:rPr>
              <w:t>6</w:t>
            </w:r>
          </w:p>
        </w:tc>
        <w:tc>
          <w:tcPr>
            <w:tcW w:w="588" w:type="dxa"/>
            <w:shd w:val="clear" w:color="auto" w:fill="auto"/>
            <w:vAlign w:val="bottom"/>
          </w:tcPr>
          <w:p w:rsidR="000B562B" w:rsidRPr="006237E4" w:rsidRDefault="000B562B" w:rsidP="00CF1CC1">
            <w:pPr>
              <w:pStyle w:val="Text"/>
              <w:spacing w:before="40" w:after="40" w:line="220" w:lineRule="exact"/>
              <w:ind w:left="113" w:right="57"/>
              <w:jc w:val="right"/>
              <w:rPr>
                <w:rFonts w:ascii="Times New Roman" w:hAnsi="Times New Roman"/>
                <w:b/>
                <w:bCs/>
                <w:sz w:val="18"/>
                <w:lang w:val="fr-FR"/>
              </w:rPr>
            </w:pPr>
            <w:r w:rsidRPr="006237E4">
              <w:rPr>
                <w:rFonts w:ascii="Times New Roman" w:hAnsi="Times New Roman"/>
                <w:b/>
                <w:bCs/>
                <w:sz w:val="18"/>
                <w:lang w:val="fr-FR"/>
              </w:rPr>
              <w:t>7</w:t>
            </w:r>
          </w:p>
        </w:tc>
        <w:tc>
          <w:tcPr>
            <w:tcW w:w="1603" w:type="dxa"/>
            <w:shd w:val="clear" w:color="auto" w:fill="auto"/>
            <w:vAlign w:val="bottom"/>
          </w:tcPr>
          <w:p w:rsidR="000B562B" w:rsidRPr="0083340D" w:rsidRDefault="000B562B" w:rsidP="00CF1CC1">
            <w:pPr>
              <w:pStyle w:val="Text"/>
              <w:spacing w:before="40" w:after="40" w:line="220" w:lineRule="exact"/>
              <w:ind w:left="113" w:right="57"/>
              <w:jc w:val="right"/>
              <w:rPr>
                <w:rFonts w:ascii="Times New Roman" w:hAnsi="Times New Roman"/>
                <w:sz w:val="18"/>
                <w:lang w:val="fr-FR"/>
              </w:rPr>
            </w:pPr>
            <w:r w:rsidRPr="0083340D">
              <w:rPr>
                <w:rFonts w:ascii="Times New Roman" w:hAnsi="Times New Roman"/>
                <w:sz w:val="18"/>
                <w:lang w:val="fr-FR"/>
              </w:rPr>
              <w:t>6</w:t>
            </w:r>
            <w:r w:rsidR="00F023C6" w:rsidRPr="0083340D">
              <w:rPr>
                <w:rFonts w:ascii="Times New Roman" w:hAnsi="Times New Roman"/>
                <w:sz w:val="18"/>
                <w:lang w:val="fr-FR"/>
              </w:rPr>
              <w:t>,</w:t>
            </w:r>
            <w:r w:rsidRPr="0083340D">
              <w:rPr>
                <w:rFonts w:ascii="Times New Roman" w:hAnsi="Times New Roman"/>
                <w:sz w:val="18"/>
                <w:lang w:val="fr-FR"/>
              </w:rPr>
              <w:t>6</w:t>
            </w:r>
          </w:p>
        </w:tc>
      </w:tr>
      <w:tr w:rsidR="00F023C6" w:rsidRPr="0083340D" w:rsidTr="00CF1CC1">
        <w:tblPrEx>
          <w:tblCellMar>
            <w:top w:w="0" w:type="dxa"/>
            <w:bottom w:w="0" w:type="dxa"/>
          </w:tblCellMar>
        </w:tblPrEx>
        <w:trPr>
          <w:cantSplit/>
          <w:trHeight w:val="240"/>
        </w:trPr>
        <w:tc>
          <w:tcPr>
            <w:tcW w:w="1652" w:type="dxa"/>
            <w:shd w:val="clear" w:color="auto" w:fill="auto"/>
          </w:tcPr>
          <w:p w:rsidR="000B562B" w:rsidRPr="0083340D" w:rsidRDefault="000B562B" w:rsidP="00693898">
            <w:pPr>
              <w:pStyle w:val="Text"/>
              <w:spacing w:before="40" w:after="40" w:line="220" w:lineRule="exact"/>
              <w:rPr>
                <w:rFonts w:ascii="Times New Roman" w:hAnsi="Times New Roman"/>
                <w:sz w:val="18"/>
                <w:lang w:val="fr-FR"/>
              </w:rPr>
            </w:pPr>
            <w:r w:rsidRPr="0083340D">
              <w:rPr>
                <w:rFonts w:ascii="Times New Roman" w:hAnsi="Times New Roman"/>
                <w:sz w:val="18"/>
                <w:lang w:val="fr-FR"/>
              </w:rPr>
              <w:t>2009</w:t>
            </w:r>
            <w:r w:rsidR="00F023C6" w:rsidRPr="0083340D">
              <w:rPr>
                <w:rFonts w:ascii="Times New Roman" w:hAnsi="Times New Roman"/>
                <w:sz w:val="18"/>
                <w:lang w:val="fr-FR"/>
              </w:rPr>
              <w:t>-20</w:t>
            </w:r>
            <w:r w:rsidR="00693898" w:rsidRPr="0083340D">
              <w:rPr>
                <w:rFonts w:ascii="Times New Roman" w:hAnsi="Times New Roman"/>
                <w:sz w:val="18"/>
                <w:lang w:val="fr-FR"/>
              </w:rPr>
              <w:t>10</w:t>
            </w:r>
          </w:p>
        </w:tc>
        <w:tc>
          <w:tcPr>
            <w:tcW w:w="1582" w:type="dxa"/>
            <w:shd w:val="clear" w:color="auto" w:fill="auto"/>
            <w:vAlign w:val="bottom"/>
          </w:tcPr>
          <w:p w:rsidR="000B562B" w:rsidRPr="0083340D" w:rsidRDefault="000B562B" w:rsidP="00CF1CC1">
            <w:pPr>
              <w:pStyle w:val="Text"/>
              <w:spacing w:before="40" w:after="40" w:line="220" w:lineRule="exact"/>
              <w:ind w:left="113" w:right="57"/>
              <w:jc w:val="right"/>
              <w:rPr>
                <w:rFonts w:ascii="Times New Roman" w:hAnsi="Times New Roman"/>
                <w:sz w:val="18"/>
                <w:lang w:val="fr-FR"/>
              </w:rPr>
            </w:pPr>
            <w:r w:rsidRPr="0083340D">
              <w:rPr>
                <w:rFonts w:ascii="Times New Roman" w:hAnsi="Times New Roman"/>
                <w:sz w:val="18"/>
                <w:lang w:val="fr-FR"/>
              </w:rPr>
              <w:t>1</w:t>
            </w:r>
            <w:r w:rsidR="00F023C6" w:rsidRPr="0083340D">
              <w:rPr>
                <w:rFonts w:ascii="Times New Roman" w:hAnsi="Times New Roman"/>
                <w:sz w:val="18"/>
                <w:lang w:val="fr-FR"/>
              </w:rPr>
              <w:t xml:space="preserve"> </w:t>
            </w:r>
            <w:r w:rsidRPr="0083340D">
              <w:rPr>
                <w:rFonts w:ascii="Times New Roman" w:hAnsi="Times New Roman"/>
                <w:sz w:val="18"/>
                <w:lang w:val="fr-FR"/>
              </w:rPr>
              <w:t>449</w:t>
            </w:r>
          </w:p>
        </w:tc>
        <w:tc>
          <w:tcPr>
            <w:tcW w:w="798" w:type="dxa"/>
            <w:shd w:val="clear" w:color="auto" w:fill="auto"/>
            <w:vAlign w:val="bottom"/>
          </w:tcPr>
          <w:p w:rsidR="000B562B" w:rsidRPr="0083340D" w:rsidRDefault="000B562B" w:rsidP="00CF1CC1">
            <w:pPr>
              <w:pStyle w:val="Text"/>
              <w:spacing w:before="40" w:after="40" w:line="220" w:lineRule="exact"/>
              <w:ind w:left="113" w:right="57"/>
              <w:jc w:val="right"/>
              <w:rPr>
                <w:rFonts w:ascii="Times New Roman" w:hAnsi="Times New Roman"/>
                <w:sz w:val="18"/>
                <w:lang w:val="fr-FR"/>
              </w:rPr>
            </w:pPr>
            <w:r w:rsidRPr="0083340D">
              <w:rPr>
                <w:rFonts w:ascii="Times New Roman" w:hAnsi="Times New Roman"/>
                <w:sz w:val="18"/>
                <w:lang w:val="fr-FR"/>
              </w:rPr>
              <w:t>1</w:t>
            </w:r>
          </w:p>
        </w:tc>
        <w:tc>
          <w:tcPr>
            <w:tcW w:w="1147" w:type="dxa"/>
            <w:shd w:val="clear" w:color="auto" w:fill="auto"/>
            <w:vAlign w:val="bottom"/>
          </w:tcPr>
          <w:p w:rsidR="000B562B" w:rsidRPr="0083340D" w:rsidRDefault="000B562B" w:rsidP="00CF1CC1">
            <w:pPr>
              <w:pStyle w:val="Text"/>
              <w:spacing w:before="40" w:after="40" w:line="220" w:lineRule="exact"/>
              <w:ind w:left="113" w:right="57"/>
              <w:jc w:val="right"/>
              <w:rPr>
                <w:rFonts w:ascii="Times New Roman" w:hAnsi="Times New Roman"/>
                <w:sz w:val="18"/>
                <w:lang w:val="fr-FR"/>
              </w:rPr>
            </w:pPr>
            <w:r w:rsidRPr="0083340D">
              <w:rPr>
                <w:rFonts w:ascii="Times New Roman" w:hAnsi="Times New Roman"/>
                <w:sz w:val="18"/>
                <w:lang w:val="fr-FR"/>
              </w:rPr>
              <w:t>3</w:t>
            </w:r>
          </w:p>
        </w:tc>
        <w:tc>
          <w:tcPr>
            <w:tcW w:w="588" w:type="dxa"/>
            <w:shd w:val="clear" w:color="auto" w:fill="auto"/>
            <w:vAlign w:val="bottom"/>
          </w:tcPr>
          <w:p w:rsidR="000B562B" w:rsidRPr="006237E4" w:rsidRDefault="000B562B" w:rsidP="00CF1CC1">
            <w:pPr>
              <w:pStyle w:val="Text"/>
              <w:spacing w:before="40" w:after="40" w:line="220" w:lineRule="exact"/>
              <w:ind w:left="113" w:right="57"/>
              <w:jc w:val="right"/>
              <w:rPr>
                <w:rFonts w:ascii="Times New Roman" w:hAnsi="Times New Roman"/>
                <w:b/>
                <w:bCs/>
                <w:sz w:val="18"/>
                <w:lang w:val="fr-FR"/>
              </w:rPr>
            </w:pPr>
            <w:r w:rsidRPr="006237E4">
              <w:rPr>
                <w:rFonts w:ascii="Times New Roman" w:hAnsi="Times New Roman"/>
                <w:b/>
                <w:bCs/>
                <w:sz w:val="18"/>
                <w:lang w:val="fr-FR"/>
              </w:rPr>
              <w:t>4</w:t>
            </w:r>
          </w:p>
        </w:tc>
        <w:tc>
          <w:tcPr>
            <w:tcW w:w="1603" w:type="dxa"/>
            <w:shd w:val="clear" w:color="auto" w:fill="auto"/>
            <w:vAlign w:val="bottom"/>
          </w:tcPr>
          <w:p w:rsidR="000B562B" w:rsidRPr="0083340D" w:rsidRDefault="000B562B" w:rsidP="00CF1CC1">
            <w:pPr>
              <w:pStyle w:val="Text"/>
              <w:spacing w:before="40" w:after="40" w:line="220" w:lineRule="exact"/>
              <w:ind w:left="113" w:right="57"/>
              <w:jc w:val="right"/>
              <w:rPr>
                <w:rFonts w:ascii="Times New Roman" w:hAnsi="Times New Roman"/>
                <w:sz w:val="18"/>
                <w:lang w:val="fr-FR"/>
              </w:rPr>
            </w:pPr>
            <w:r w:rsidRPr="0083340D">
              <w:rPr>
                <w:rFonts w:ascii="Times New Roman" w:hAnsi="Times New Roman"/>
                <w:sz w:val="18"/>
                <w:lang w:val="fr-FR"/>
              </w:rPr>
              <w:t>6</w:t>
            </w:r>
            <w:r w:rsidR="00F023C6" w:rsidRPr="0083340D">
              <w:rPr>
                <w:rFonts w:ascii="Times New Roman" w:hAnsi="Times New Roman"/>
                <w:sz w:val="18"/>
                <w:lang w:val="fr-FR"/>
              </w:rPr>
              <w:t>,</w:t>
            </w:r>
            <w:r w:rsidRPr="0083340D">
              <w:rPr>
                <w:rFonts w:ascii="Times New Roman" w:hAnsi="Times New Roman"/>
                <w:sz w:val="18"/>
                <w:lang w:val="fr-FR"/>
              </w:rPr>
              <w:t>9</w:t>
            </w:r>
          </w:p>
        </w:tc>
      </w:tr>
      <w:tr w:rsidR="00F023C6" w:rsidRPr="0083340D" w:rsidTr="00CF1CC1">
        <w:tblPrEx>
          <w:tblCellMar>
            <w:top w:w="0" w:type="dxa"/>
            <w:bottom w:w="0" w:type="dxa"/>
          </w:tblCellMar>
        </w:tblPrEx>
        <w:trPr>
          <w:cantSplit/>
          <w:trHeight w:val="240"/>
        </w:trPr>
        <w:tc>
          <w:tcPr>
            <w:tcW w:w="1652" w:type="dxa"/>
            <w:shd w:val="clear" w:color="auto" w:fill="auto"/>
          </w:tcPr>
          <w:p w:rsidR="000B562B" w:rsidRPr="0083340D" w:rsidRDefault="000B562B" w:rsidP="00A801B9">
            <w:pPr>
              <w:pStyle w:val="Text"/>
              <w:spacing w:before="40" w:after="40" w:line="220" w:lineRule="exact"/>
              <w:rPr>
                <w:rFonts w:ascii="Times New Roman" w:hAnsi="Times New Roman"/>
                <w:sz w:val="18"/>
                <w:lang w:val="fr-FR"/>
              </w:rPr>
            </w:pPr>
            <w:r w:rsidRPr="0083340D">
              <w:rPr>
                <w:rFonts w:ascii="Times New Roman" w:hAnsi="Times New Roman"/>
                <w:sz w:val="18"/>
                <w:lang w:val="fr-FR"/>
              </w:rPr>
              <w:t>2010</w:t>
            </w:r>
            <w:r w:rsidR="00F023C6" w:rsidRPr="0083340D">
              <w:rPr>
                <w:rFonts w:ascii="Times New Roman" w:hAnsi="Times New Roman"/>
                <w:sz w:val="18"/>
                <w:lang w:val="fr-FR"/>
              </w:rPr>
              <w:t>-20</w:t>
            </w:r>
            <w:r w:rsidRPr="0083340D">
              <w:rPr>
                <w:rFonts w:ascii="Times New Roman" w:hAnsi="Times New Roman"/>
                <w:sz w:val="18"/>
                <w:lang w:val="fr-FR"/>
              </w:rPr>
              <w:t>11</w:t>
            </w:r>
          </w:p>
        </w:tc>
        <w:tc>
          <w:tcPr>
            <w:tcW w:w="1582" w:type="dxa"/>
            <w:shd w:val="clear" w:color="auto" w:fill="auto"/>
            <w:vAlign w:val="bottom"/>
          </w:tcPr>
          <w:p w:rsidR="000B562B" w:rsidRPr="0083340D" w:rsidRDefault="000B562B" w:rsidP="00CF1CC1">
            <w:pPr>
              <w:pStyle w:val="Text"/>
              <w:spacing w:before="40" w:after="40" w:line="220" w:lineRule="exact"/>
              <w:ind w:left="113" w:right="57"/>
              <w:jc w:val="right"/>
              <w:rPr>
                <w:rFonts w:ascii="Times New Roman" w:hAnsi="Times New Roman"/>
                <w:sz w:val="18"/>
                <w:lang w:val="fr-FR"/>
              </w:rPr>
            </w:pPr>
            <w:r w:rsidRPr="0083340D">
              <w:rPr>
                <w:rFonts w:ascii="Times New Roman" w:hAnsi="Times New Roman"/>
                <w:sz w:val="18"/>
                <w:lang w:val="fr-FR"/>
              </w:rPr>
              <w:t>1</w:t>
            </w:r>
            <w:r w:rsidR="00F023C6" w:rsidRPr="0083340D">
              <w:rPr>
                <w:rFonts w:ascii="Times New Roman" w:hAnsi="Times New Roman"/>
                <w:sz w:val="18"/>
                <w:lang w:val="fr-FR"/>
              </w:rPr>
              <w:t xml:space="preserve"> </w:t>
            </w:r>
            <w:r w:rsidRPr="0083340D">
              <w:rPr>
                <w:rFonts w:ascii="Times New Roman" w:hAnsi="Times New Roman"/>
                <w:sz w:val="18"/>
                <w:lang w:val="fr-FR"/>
              </w:rPr>
              <w:t>497</w:t>
            </w:r>
          </w:p>
        </w:tc>
        <w:tc>
          <w:tcPr>
            <w:tcW w:w="798" w:type="dxa"/>
            <w:shd w:val="clear" w:color="auto" w:fill="auto"/>
            <w:vAlign w:val="bottom"/>
          </w:tcPr>
          <w:p w:rsidR="000B562B" w:rsidRPr="0083340D" w:rsidRDefault="000B562B" w:rsidP="00CF1CC1">
            <w:pPr>
              <w:pStyle w:val="Text"/>
              <w:spacing w:before="40" w:after="40" w:line="220" w:lineRule="exact"/>
              <w:ind w:left="113" w:right="57"/>
              <w:jc w:val="right"/>
              <w:rPr>
                <w:rFonts w:ascii="Times New Roman" w:hAnsi="Times New Roman"/>
                <w:sz w:val="18"/>
                <w:lang w:val="fr-FR"/>
              </w:rPr>
            </w:pPr>
            <w:r w:rsidRPr="0083340D">
              <w:rPr>
                <w:rFonts w:ascii="Times New Roman" w:hAnsi="Times New Roman"/>
                <w:sz w:val="18"/>
                <w:lang w:val="fr-FR"/>
              </w:rPr>
              <w:t>2</w:t>
            </w:r>
          </w:p>
        </w:tc>
        <w:tc>
          <w:tcPr>
            <w:tcW w:w="1147" w:type="dxa"/>
            <w:shd w:val="clear" w:color="auto" w:fill="auto"/>
            <w:vAlign w:val="bottom"/>
          </w:tcPr>
          <w:p w:rsidR="000B562B" w:rsidRPr="0083340D" w:rsidRDefault="000B562B" w:rsidP="00CF1CC1">
            <w:pPr>
              <w:pStyle w:val="Text"/>
              <w:spacing w:before="40" w:after="40" w:line="220" w:lineRule="exact"/>
              <w:ind w:left="113" w:right="57"/>
              <w:jc w:val="right"/>
              <w:rPr>
                <w:rFonts w:ascii="Times New Roman" w:hAnsi="Times New Roman"/>
                <w:sz w:val="18"/>
                <w:lang w:val="fr-FR"/>
              </w:rPr>
            </w:pPr>
            <w:r w:rsidRPr="0083340D">
              <w:rPr>
                <w:rFonts w:ascii="Times New Roman" w:hAnsi="Times New Roman"/>
                <w:sz w:val="18"/>
                <w:lang w:val="fr-FR"/>
              </w:rPr>
              <w:t>2</w:t>
            </w:r>
          </w:p>
        </w:tc>
        <w:tc>
          <w:tcPr>
            <w:tcW w:w="588" w:type="dxa"/>
            <w:shd w:val="clear" w:color="auto" w:fill="auto"/>
            <w:vAlign w:val="bottom"/>
          </w:tcPr>
          <w:p w:rsidR="000B562B" w:rsidRPr="006237E4" w:rsidRDefault="000B562B" w:rsidP="00CF1CC1">
            <w:pPr>
              <w:pStyle w:val="Text"/>
              <w:spacing w:before="40" w:after="40" w:line="220" w:lineRule="exact"/>
              <w:ind w:left="113" w:right="57"/>
              <w:jc w:val="right"/>
              <w:rPr>
                <w:rFonts w:ascii="Times New Roman" w:hAnsi="Times New Roman"/>
                <w:b/>
                <w:bCs/>
                <w:sz w:val="18"/>
                <w:lang w:val="fr-FR"/>
              </w:rPr>
            </w:pPr>
            <w:r w:rsidRPr="006237E4">
              <w:rPr>
                <w:rFonts w:ascii="Times New Roman" w:hAnsi="Times New Roman"/>
                <w:b/>
                <w:bCs/>
                <w:sz w:val="18"/>
                <w:lang w:val="fr-FR"/>
              </w:rPr>
              <w:t>4</w:t>
            </w:r>
          </w:p>
        </w:tc>
        <w:tc>
          <w:tcPr>
            <w:tcW w:w="1603" w:type="dxa"/>
            <w:shd w:val="clear" w:color="auto" w:fill="auto"/>
            <w:vAlign w:val="bottom"/>
          </w:tcPr>
          <w:p w:rsidR="000B562B" w:rsidRPr="0083340D" w:rsidRDefault="000B562B" w:rsidP="00CF1CC1">
            <w:pPr>
              <w:pStyle w:val="Text"/>
              <w:spacing w:before="40" w:after="40" w:line="220" w:lineRule="exact"/>
              <w:ind w:left="113" w:right="57"/>
              <w:jc w:val="right"/>
              <w:rPr>
                <w:rFonts w:ascii="Times New Roman" w:hAnsi="Times New Roman"/>
                <w:sz w:val="18"/>
                <w:lang w:val="fr-FR"/>
              </w:rPr>
            </w:pPr>
            <w:r w:rsidRPr="0083340D">
              <w:rPr>
                <w:rFonts w:ascii="Times New Roman" w:hAnsi="Times New Roman"/>
                <w:sz w:val="18"/>
                <w:lang w:val="fr-FR"/>
              </w:rPr>
              <w:t>13</w:t>
            </w:r>
            <w:r w:rsidR="00F023C6" w:rsidRPr="0083340D">
              <w:rPr>
                <w:rFonts w:ascii="Times New Roman" w:hAnsi="Times New Roman"/>
                <w:sz w:val="18"/>
                <w:lang w:val="fr-FR"/>
              </w:rPr>
              <w:t>,</w:t>
            </w:r>
            <w:r w:rsidRPr="0083340D">
              <w:rPr>
                <w:rFonts w:ascii="Times New Roman" w:hAnsi="Times New Roman"/>
                <w:sz w:val="18"/>
                <w:lang w:val="fr-FR"/>
              </w:rPr>
              <w:t>4</w:t>
            </w:r>
          </w:p>
        </w:tc>
      </w:tr>
      <w:tr w:rsidR="00F023C6" w:rsidRPr="0083340D" w:rsidTr="006237E4">
        <w:tblPrEx>
          <w:tblCellMar>
            <w:top w:w="0" w:type="dxa"/>
            <w:bottom w:w="0" w:type="dxa"/>
          </w:tblCellMar>
        </w:tblPrEx>
        <w:trPr>
          <w:cantSplit/>
          <w:trHeight w:val="240"/>
        </w:trPr>
        <w:tc>
          <w:tcPr>
            <w:tcW w:w="1652" w:type="dxa"/>
            <w:tcBorders>
              <w:bottom w:val="single" w:sz="4" w:space="0" w:color="auto"/>
            </w:tcBorders>
            <w:shd w:val="clear" w:color="auto" w:fill="auto"/>
          </w:tcPr>
          <w:p w:rsidR="000B562B" w:rsidRPr="0083340D" w:rsidRDefault="000B562B" w:rsidP="00A801B9">
            <w:pPr>
              <w:pStyle w:val="Text"/>
              <w:spacing w:before="40" w:after="40" w:line="220" w:lineRule="exact"/>
              <w:rPr>
                <w:rFonts w:ascii="Times New Roman" w:hAnsi="Times New Roman"/>
                <w:sz w:val="18"/>
                <w:lang w:val="fr-FR"/>
              </w:rPr>
            </w:pPr>
            <w:r w:rsidRPr="0083340D">
              <w:rPr>
                <w:rFonts w:ascii="Times New Roman" w:hAnsi="Times New Roman"/>
                <w:sz w:val="18"/>
                <w:lang w:val="fr-FR"/>
              </w:rPr>
              <w:t>2011</w:t>
            </w:r>
            <w:r w:rsidR="00F023C6" w:rsidRPr="0083340D">
              <w:rPr>
                <w:rFonts w:ascii="Times New Roman" w:hAnsi="Times New Roman"/>
                <w:sz w:val="18"/>
                <w:lang w:val="fr-FR"/>
              </w:rPr>
              <w:t>-20</w:t>
            </w:r>
            <w:r w:rsidRPr="0083340D">
              <w:rPr>
                <w:rFonts w:ascii="Times New Roman" w:hAnsi="Times New Roman"/>
                <w:sz w:val="18"/>
                <w:lang w:val="fr-FR"/>
              </w:rPr>
              <w:t>12 (</w:t>
            </w:r>
            <w:r w:rsidR="00F52569" w:rsidRPr="0083340D">
              <w:rPr>
                <w:rFonts w:ascii="Times New Roman" w:hAnsi="Times New Roman"/>
                <w:sz w:val="18"/>
                <w:lang w:val="fr-FR"/>
              </w:rPr>
              <w:t>à ce jour</w:t>
            </w:r>
            <w:r w:rsidRPr="0083340D">
              <w:rPr>
                <w:rFonts w:ascii="Times New Roman" w:hAnsi="Times New Roman"/>
                <w:sz w:val="18"/>
                <w:lang w:val="fr-FR"/>
              </w:rPr>
              <w:t>)</w:t>
            </w:r>
          </w:p>
        </w:tc>
        <w:tc>
          <w:tcPr>
            <w:tcW w:w="1582" w:type="dxa"/>
            <w:tcBorders>
              <w:bottom w:val="single" w:sz="4" w:space="0" w:color="auto"/>
            </w:tcBorders>
            <w:shd w:val="clear" w:color="auto" w:fill="auto"/>
            <w:vAlign w:val="bottom"/>
          </w:tcPr>
          <w:p w:rsidR="000B562B" w:rsidRPr="0083340D" w:rsidRDefault="000B562B" w:rsidP="00CF1CC1">
            <w:pPr>
              <w:pStyle w:val="Text"/>
              <w:spacing w:before="40" w:after="40" w:line="220" w:lineRule="exact"/>
              <w:ind w:left="113" w:right="57"/>
              <w:jc w:val="right"/>
              <w:rPr>
                <w:rFonts w:ascii="Times New Roman" w:hAnsi="Times New Roman"/>
                <w:sz w:val="18"/>
                <w:lang w:val="fr-FR"/>
              </w:rPr>
            </w:pPr>
            <w:r w:rsidRPr="0083340D">
              <w:rPr>
                <w:rFonts w:ascii="Times New Roman" w:hAnsi="Times New Roman"/>
                <w:sz w:val="18"/>
                <w:lang w:val="fr-FR"/>
              </w:rPr>
              <w:t>1</w:t>
            </w:r>
            <w:r w:rsidR="00F023C6" w:rsidRPr="0083340D">
              <w:rPr>
                <w:rFonts w:ascii="Times New Roman" w:hAnsi="Times New Roman"/>
                <w:sz w:val="18"/>
                <w:lang w:val="fr-FR"/>
              </w:rPr>
              <w:t xml:space="preserve"> </w:t>
            </w:r>
            <w:r w:rsidRPr="0083340D">
              <w:rPr>
                <w:rFonts w:ascii="Times New Roman" w:hAnsi="Times New Roman"/>
                <w:sz w:val="18"/>
                <w:lang w:val="fr-FR"/>
              </w:rPr>
              <w:t>662</w:t>
            </w:r>
          </w:p>
        </w:tc>
        <w:tc>
          <w:tcPr>
            <w:tcW w:w="798" w:type="dxa"/>
            <w:tcBorders>
              <w:bottom w:val="single" w:sz="4" w:space="0" w:color="auto"/>
            </w:tcBorders>
            <w:shd w:val="clear" w:color="auto" w:fill="auto"/>
            <w:vAlign w:val="bottom"/>
          </w:tcPr>
          <w:p w:rsidR="000B562B" w:rsidRPr="0083340D" w:rsidRDefault="000B562B" w:rsidP="00CF1CC1">
            <w:pPr>
              <w:pStyle w:val="Text"/>
              <w:spacing w:before="40" w:after="40" w:line="220" w:lineRule="exact"/>
              <w:ind w:left="113" w:right="57"/>
              <w:jc w:val="right"/>
              <w:rPr>
                <w:rFonts w:ascii="Times New Roman" w:hAnsi="Times New Roman"/>
                <w:sz w:val="18"/>
                <w:lang w:val="fr-FR"/>
              </w:rPr>
            </w:pPr>
            <w:r w:rsidRPr="0083340D">
              <w:rPr>
                <w:rFonts w:ascii="Times New Roman" w:hAnsi="Times New Roman"/>
                <w:sz w:val="18"/>
                <w:lang w:val="fr-FR"/>
              </w:rPr>
              <w:t>3</w:t>
            </w:r>
          </w:p>
        </w:tc>
        <w:tc>
          <w:tcPr>
            <w:tcW w:w="1147" w:type="dxa"/>
            <w:tcBorders>
              <w:bottom w:val="single" w:sz="4" w:space="0" w:color="auto"/>
            </w:tcBorders>
            <w:shd w:val="clear" w:color="auto" w:fill="auto"/>
            <w:vAlign w:val="bottom"/>
          </w:tcPr>
          <w:p w:rsidR="000B562B" w:rsidRPr="0083340D" w:rsidRDefault="000B562B" w:rsidP="00CF1CC1">
            <w:pPr>
              <w:pStyle w:val="Text"/>
              <w:spacing w:before="40" w:after="40" w:line="220" w:lineRule="exact"/>
              <w:ind w:left="113" w:right="57"/>
              <w:jc w:val="right"/>
              <w:rPr>
                <w:rFonts w:ascii="Times New Roman" w:hAnsi="Times New Roman"/>
                <w:sz w:val="18"/>
                <w:lang w:val="fr-FR"/>
              </w:rPr>
            </w:pPr>
            <w:r w:rsidRPr="0083340D">
              <w:rPr>
                <w:rFonts w:ascii="Times New Roman" w:hAnsi="Times New Roman"/>
                <w:sz w:val="18"/>
                <w:lang w:val="fr-FR"/>
              </w:rPr>
              <w:t>0</w:t>
            </w:r>
          </w:p>
        </w:tc>
        <w:tc>
          <w:tcPr>
            <w:tcW w:w="588" w:type="dxa"/>
            <w:tcBorders>
              <w:bottom w:val="single" w:sz="4" w:space="0" w:color="auto"/>
            </w:tcBorders>
            <w:shd w:val="clear" w:color="auto" w:fill="auto"/>
            <w:vAlign w:val="bottom"/>
          </w:tcPr>
          <w:p w:rsidR="000B562B" w:rsidRPr="006237E4" w:rsidRDefault="000B562B" w:rsidP="00CF1CC1">
            <w:pPr>
              <w:pStyle w:val="Text"/>
              <w:spacing w:before="40" w:after="40" w:line="220" w:lineRule="exact"/>
              <w:ind w:left="113" w:right="57"/>
              <w:jc w:val="right"/>
              <w:rPr>
                <w:rFonts w:ascii="Times New Roman" w:hAnsi="Times New Roman"/>
                <w:b/>
                <w:bCs/>
                <w:sz w:val="18"/>
                <w:lang w:val="fr-FR"/>
              </w:rPr>
            </w:pPr>
            <w:r w:rsidRPr="006237E4">
              <w:rPr>
                <w:rFonts w:ascii="Times New Roman" w:hAnsi="Times New Roman"/>
                <w:b/>
                <w:bCs/>
                <w:sz w:val="18"/>
                <w:lang w:val="fr-FR"/>
              </w:rPr>
              <w:t>3</w:t>
            </w:r>
          </w:p>
        </w:tc>
        <w:tc>
          <w:tcPr>
            <w:tcW w:w="1603" w:type="dxa"/>
            <w:tcBorders>
              <w:bottom w:val="single" w:sz="4" w:space="0" w:color="auto"/>
            </w:tcBorders>
            <w:shd w:val="clear" w:color="auto" w:fill="auto"/>
            <w:vAlign w:val="bottom"/>
          </w:tcPr>
          <w:p w:rsidR="000B562B" w:rsidRPr="0083340D" w:rsidRDefault="000B562B" w:rsidP="00CF1CC1">
            <w:pPr>
              <w:pStyle w:val="Text"/>
              <w:spacing w:before="40" w:after="40" w:line="220" w:lineRule="exact"/>
              <w:ind w:left="113" w:right="57"/>
              <w:jc w:val="right"/>
              <w:rPr>
                <w:rFonts w:ascii="Times New Roman" w:hAnsi="Times New Roman"/>
                <w:sz w:val="18"/>
                <w:lang w:val="fr-FR"/>
              </w:rPr>
            </w:pPr>
            <w:r w:rsidRPr="0083340D">
              <w:rPr>
                <w:rFonts w:ascii="Times New Roman" w:hAnsi="Times New Roman"/>
                <w:sz w:val="18"/>
                <w:lang w:val="fr-FR"/>
              </w:rPr>
              <w:t>18</w:t>
            </w:r>
            <w:r w:rsidR="00F023C6" w:rsidRPr="0083340D">
              <w:rPr>
                <w:rFonts w:ascii="Times New Roman" w:hAnsi="Times New Roman"/>
                <w:sz w:val="18"/>
                <w:lang w:val="fr-FR"/>
              </w:rPr>
              <w:t>,</w:t>
            </w:r>
            <w:r w:rsidRPr="0083340D">
              <w:rPr>
                <w:rFonts w:ascii="Times New Roman" w:hAnsi="Times New Roman"/>
                <w:sz w:val="18"/>
                <w:lang w:val="fr-FR"/>
              </w:rPr>
              <w:t>1</w:t>
            </w:r>
          </w:p>
        </w:tc>
      </w:tr>
      <w:tr w:rsidR="00F023C6" w:rsidRPr="006237E4" w:rsidTr="006237E4">
        <w:tblPrEx>
          <w:tblCellMar>
            <w:top w:w="0" w:type="dxa"/>
            <w:bottom w:w="0" w:type="dxa"/>
          </w:tblCellMar>
        </w:tblPrEx>
        <w:trPr>
          <w:cantSplit/>
          <w:trHeight w:val="240"/>
        </w:trPr>
        <w:tc>
          <w:tcPr>
            <w:tcW w:w="1652" w:type="dxa"/>
            <w:tcBorders>
              <w:top w:val="single" w:sz="4" w:space="0" w:color="auto"/>
              <w:bottom w:val="single" w:sz="12" w:space="0" w:color="auto"/>
            </w:tcBorders>
            <w:shd w:val="clear" w:color="auto" w:fill="auto"/>
          </w:tcPr>
          <w:p w:rsidR="000B562B" w:rsidRPr="006237E4" w:rsidRDefault="00F023C6" w:rsidP="006237E4">
            <w:pPr>
              <w:pStyle w:val="Text"/>
              <w:spacing w:before="80" w:after="80" w:line="220" w:lineRule="exact"/>
              <w:ind w:left="283"/>
              <w:rPr>
                <w:rFonts w:ascii="Times New Roman" w:hAnsi="Times New Roman"/>
                <w:b/>
                <w:bCs/>
                <w:sz w:val="18"/>
                <w:lang w:val="fr-FR"/>
              </w:rPr>
            </w:pPr>
            <w:r w:rsidRPr="006237E4">
              <w:rPr>
                <w:rFonts w:ascii="Times New Roman" w:hAnsi="Times New Roman"/>
                <w:b/>
                <w:bCs/>
                <w:sz w:val="18"/>
                <w:lang w:val="fr-FR"/>
              </w:rPr>
              <w:t>Totaux</w:t>
            </w:r>
          </w:p>
        </w:tc>
        <w:tc>
          <w:tcPr>
            <w:tcW w:w="1582" w:type="dxa"/>
            <w:tcBorders>
              <w:top w:val="single" w:sz="4" w:space="0" w:color="auto"/>
              <w:bottom w:val="single" w:sz="12" w:space="0" w:color="auto"/>
            </w:tcBorders>
            <w:shd w:val="clear" w:color="auto" w:fill="auto"/>
            <w:vAlign w:val="bottom"/>
          </w:tcPr>
          <w:p w:rsidR="000B562B" w:rsidRPr="006237E4" w:rsidRDefault="000B562B" w:rsidP="006237E4">
            <w:pPr>
              <w:pStyle w:val="Text"/>
              <w:spacing w:before="80" w:after="80" w:line="220" w:lineRule="exact"/>
              <w:ind w:left="113" w:right="57"/>
              <w:jc w:val="right"/>
              <w:rPr>
                <w:rFonts w:ascii="Times New Roman" w:hAnsi="Times New Roman"/>
                <w:b/>
                <w:bCs/>
                <w:sz w:val="18"/>
                <w:lang w:val="fr-FR"/>
              </w:rPr>
            </w:pPr>
          </w:p>
        </w:tc>
        <w:tc>
          <w:tcPr>
            <w:tcW w:w="798" w:type="dxa"/>
            <w:tcBorders>
              <w:top w:val="single" w:sz="4" w:space="0" w:color="auto"/>
              <w:bottom w:val="single" w:sz="12" w:space="0" w:color="auto"/>
            </w:tcBorders>
            <w:shd w:val="clear" w:color="auto" w:fill="auto"/>
            <w:vAlign w:val="bottom"/>
          </w:tcPr>
          <w:p w:rsidR="000B562B" w:rsidRPr="006237E4" w:rsidRDefault="000B562B" w:rsidP="006237E4">
            <w:pPr>
              <w:pStyle w:val="Text"/>
              <w:spacing w:before="80" w:after="80" w:line="220" w:lineRule="exact"/>
              <w:ind w:left="113" w:right="57"/>
              <w:jc w:val="right"/>
              <w:rPr>
                <w:rFonts w:ascii="Times New Roman" w:hAnsi="Times New Roman"/>
                <w:b/>
                <w:bCs/>
                <w:sz w:val="18"/>
                <w:lang w:val="fr-FR"/>
              </w:rPr>
            </w:pPr>
            <w:r w:rsidRPr="006237E4">
              <w:rPr>
                <w:rFonts w:ascii="Times New Roman" w:hAnsi="Times New Roman"/>
                <w:b/>
                <w:bCs/>
                <w:sz w:val="18"/>
                <w:lang w:val="fr-FR"/>
              </w:rPr>
              <w:t>10</w:t>
            </w:r>
          </w:p>
        </w:tc>
        <w:tc>
          <w:tcPr>
            <w:tcW w:w="1147" w:type="dxa"/>
            <w:tcBorders>
              <w:top w:val="single" w:sz="4" w:space="0" w:color="auto"/>
              <w:bottom w:val="single" w:sz="12" w:space="0" w:color="auto"/>
            </w:tcBorders>
            <w:shd w:val="clear" w:color="auto" w:fill="auto"/>
            <w:vAlign w:val="bottom"/>
          </w:tcPr>
          <w:p w:rsidR="000B562B" w:rsidRPr="006237E4" w:rsidRDefault="000B562B" w:rsidP="006237E4">
            <w:pPr>
              <w:pStyle w:val="Text"/>
              <w:spacing w:before="80" w:after="80" w:line="220" w:lineRule="exact"/>
              <w:ind w:left="113" w:right="57"/>
              <w:jc w:val="right"/>
              <w:rPr>
                <w:rFonts w:ascii="Times New Roman" w:hAnsi="Times New Roman"/>
                <w:b/>
                <w:bCs/>
                <w:sz w:val="18"/>
                <w:lang w:val="fr-FR"/>
              </w:rPr>
            </w:pPr>
            <w:r w:rsidRPr="006237E4">
              <w:rPr>
                <w:rFonts w:ascii="Times New Roman" w:hAnsi="Times New Roman"/>
                <w:b/>
                <w:bCs/>
                <w:sz w:val="18"/>
                <w:lang w:val="fr-FR"/>
              </w:rPr>
              <w:t>25</w:t>
            </w:r>
          </w:p>
        </w:tc>
        <w:tc>
          <w:tcPr>
            <w:tcW w:w="588" w:type="dxa"/>
            <w:tcBorders>
              <w:top w:val="single" w:sz="4" w:space="0" w:color="auto"/>
              <w:bottom w:val="single" w:sz="12" w:space="0" w:color="auto"/>
            </w:tcBorders>
            <w:shd w:val="clear" w:color="auto" w:fill="auto"/>
            <w:vAlign w:val="bottom"/>
          </w:tcPr>
          <w:p w:rsidR="000B562B" w:rsidRPr="006237E4" w:rsidRDefault="000B562B" w:rsidP="006237E4">
            <w:pPr>
              <w:pStyle w:val="Text"/>
              <w:spacing w:before="80" w:after="80" w:line="220" w:lineRule="exact"/>
              <w:ind w:left="113" w:right="57"/>
              <w:jc w:val="right"/>
              <w:rPr>
                <w:rFonts w:ascii="Times New Roman" w:hAnsi="Times New Roman"/>
                <w:b/>
                <w:bCs/>
                <w:sz w:val="18"/>
                <w:lang w:val="fr-FR"/>
              </w:rPr>
            </w:pPr>
            <w:r w:rsidRPr="006237E4">
              <w:rPr>
                <w:rFonts w:ascii="Times New Roman" w:hAnsi="Times New Roman"/>
                <w:b/>
                <w:bCs/>
                <w:sz w:val="18"/>
                <w:lang w:val="fr-FR"/>
              </w:rPr>
              <w:t>36</w:t>
            </w:r>
          </w:p>
        </w:tc>
        <w:tc>
          <w:tcPr>
            <w:tcW w:w="1603" w:type="dxa"/>
            <w:tcBorders>
              <w:top w:val="single" w:sz="4" w:space="0" w:color="auto"/>
              <w:bottom w:val="single" w:sz="12" w:space="0" w:color="auto"/>
            </w:tcBorders>
            <w:shd w:val="clear" w:color="auto" w:fill="auto"/>
            <w:vAlign w:val="bottom"/>
          </w:tcPr>
          <w:p w:rsidR="000B562B" w:rsidRPr="006237E4" w:rsidRDefault="000B562B" w:rsidP="006237E4">
            <w:pPr>
              <w:pStyle w:val="Text"/>
              <w:spacing w:before="80" w:after="80" w:line="220" w:lineRule="exact"/>
              <w:ind w:left="113" w:right="57"/>
              <w:jc w:val="right"/>
              <w:rPr>
                <w:rFonts w:ascii="Times New Roman" w:hAnsi="Times New Roman"/>
                <w:b/>
                <w:bCs/>
                <w:sz w:val="18"/>
                <w:lang w:val="fr-FR"/>
              </w:rPr>
            </w:pPr>
          </w:p>
        </w:tc>
      </w:tr>
    </w:tbl>
    <w:p w:rsidR="000B562B" w:rsidRPr="00B11959" w:rsidRDefault="00BA2851" w:rsidP="00C01359">
      <w:pPr>
        <w:pStyle w:val="SingleTxtG"/>
        <w:spacing w:before="120" w:after="240" w:line="220" w:lineRule="atLeast"/>
        <w:ind w:firstLine="170"/>
        <w:jc w:val="left"/>
        <w:rPr>
          <w:sz w:val="18"/>
          <w:szCs w:val="18"/>
          <w:lang w:val="fr-FR"/>
        </w:rPr>
      </w:pPr>
      <w:r w:rsidRPr="00B11959">
        <w:rPr>
          <w:sz w:val="18"/>
          <w:szCs w:val="18"/>
          <w:lang w:val="fr-FR"/>
        </w:rPr>
        <w:t>À noter</w:t>
      </w:r>
      <w:r w:rsidR="00FC2B97" w:rsidRPr="00B11959">
        <w:rPr>
          <w:sz w:val="18"/>
          <w:szCs w:val="18"/>
          <w:lang w:val="fr-FR"/>
        </w:rPr>
        <w:t>:</w:t>
      </w:r>
      <w:r w:rsidRPr="00B11959">
        <w:rPr>
          <w:sz w:val="18"/>
          <w:szCs w:val="18"/>
          <w:lang w:val="fr-FR"/>
        </w:rPr>
        <w:t xml:space="preserve"> Les décès </w:t>
      </w:r>
      <w:r w:rsidR="006D07AA" w:rsidRPr="00B11959">
        <w:rPr>
          <w:sz w:val="18"/>
          <w:szCs w:val="18"/>
          <w:lang w:val="fr-FR"/>
        </w:rPr>
        <w:t>dus</w:t>
      </w:r>
      <w:r w:rsidRPr="00B11959">
        <w:rPr>
          <w:sz w:val="18"/>
          <w:szCs w:val="18"/>
          <w:lang w:val="fr-FR"/>
        </w:rPr>
        <w:t xml:space="preserve"> à une probable overdose de drogue ont été placés dans la catégorie </w:t>
      </w:r>
      <w:r w:rsidR="00CD0110" w:rsidRPr="00B11959">
        <w:rPr>
          <w:sz w:val="18"/>
          <w:szCs w:val="18"/>
          <w:lang w:val="fr-FR"/>
        </w:rPr>
        <w:t>«</w:t>
      </w:r>
      <w:r w:rsidRPr="00B11959">
        <w:rPr>
          <w:sz w:val="18"/>
          <w:szCs w:val="18"/>
          <w:lang w:val="fr-FR"/>
        </w:rPr>
        <w:t>autres causes de décès</w:t>
      </w:r>
      <w:r w:rsidR="00CD0110" w:rsidRPr="00B11959">
        <w:rPr>
          <w:sz w:val="18"/>
          <w:szCs w:val="18"/>
          <w:lang w:val="fr-FR"/>
        </w:rPr>
        <w:t>»</w:t>
      </w:r>
      <w:r w:rsidRPr="00B11959">
        <w:rPr>
          <w:sz w:val="18"/>
          <w:szCs w:val="18"/>
          <w:lang w:val="fr-FR"/>
        </w:rPr>
        <w:t xml:space="preserve"> sauf si </w:t>
      </w:r>
      <w:r w:rsidR="0041002E" w:rsidRPr="00B11959">
        <w:rPr>
          <w:sz w:val="18"/>
          <w:szCs w:val="18"/>
          <w:lang w:val="fr-FR"/>
        </w:rPr>
        <w:t xml:space="preserve">un tribunal du </w:t>
      </w:r>
      <w:r w:rsidR="0041002E" w:rsidRPr="00B11959">
        <w:rPr>
          <w:i/>
          <w:iCs/>
          <w:sz w:val="18"/>
          <w:szCs w:val="18"/>
          <w:lang w:val="fr-FR"/>
        </w:rPr>
        <w:t>coroner</w:t>
      </w:r>
      <w:r w:rsidR="0041002E" w:rsidRPr="00B11959">
        <w:rPr>
          <w:sz w:val="18"/>
          <w:szCs w:val="18"/>
          <w:lang w:val="fr-FR"/>
        </w:rPr>
        <w:t xml:space="preserve"> a conclu au suicide</w:t>
      </w:r>
      <w:r w:rsidR="000B562B" w:rsidRPr="00B11959">
        <w:rPr>
          <w:sz w:val="18"/>
          <w:szCs w:val="18"/>
          <w:lang w:val="fr-FR"/>
        </w:rPr>
        <w:t xml:space="preserve">. </w:t>
      </w:r>
      <w:r w:rsidR="000B562B" w:rsidRPr="008A4260">
        <w:rPr>
          <w:lang w:val="fr-FR"/>
        </w:rPr>
        <w:t>*</w:t>
      </w:r>
      <w:r w:rsidR="00EB10E0" w:rsidRPr="00B11959">
        <w:rPr>
          <w:sz w:val="18"/>
          <w:szCs w:val="18"/>
          <w:lang w:val="fr-FR"/>
        </w:rPr>
        <w:t xml:space="preserve">Dont deux décès de détenus </w:t>
      </w:r>
      <w:r w:rsidR="00CD0110" w:rsidRPr="00B11959">
        <w:rPr>
          <w:sz w:val="18"/>
          <w:szCs w:val="18"/>
          <w:lang w:val="fr-FR"/>
        </w:rPr>
        <w:t>«</w:t>
      </w:r>
      <w:r w:rsidR="00EB10E0" w:rsidRPr="00B11959">
        <w:rPr>
          <w:sz w:val="18"/>
          <w:szCs w:val="18"/>
          <w:lang w:val="fr-FR"/>
        </w:rPr>
        <w:t>illégalement en liberté</w:t>
      </w:r>
      <w:r w:rsidR="00CD0110" w:rsidRPr="00B11959">
        <w:rPr>
          <w:sz w:val="18"/>
          <w:szCs w:val="18"/>
          <w:lang w:val="fr-FR"/>
        </w:rPr>
        <w:t>»</w:t>
      </w:r>
      <w:r w:rsidR="00EB10E0" w:rsidRPr="00B11959">
        <w:rPr>
          <w:sz w:val="18"/>
          <w:szCs w:val="18"/>
          <w:lang w:val="fr-FR"/>
        </w:rPr>
        <w:t>.</w:t>
      </w:r>
    </w:p>
    <w:p w:rsidR="000B562B" w:rsidRPr="00A176EA" w:rsidRDefault="002549A9" w:rsidP="00802959">
      <w:pPr>
        <w:pStyle w:val="SingleTxtG"/>
        <w:rPr>
          <w:lang w:val="fr-FR"/>
        </w:rPr>
      </w:pPr>
      <w:r w:rsidRPr="00A176EA">
        <w:rPr>
          <w:lang w:val="fr-FR"/>
        </w:rPr>
        <w:t>535.</w:t>
      </w:r>
      <w:r w:rsidRPr="00A176EA">
        <w:rPr>
          <w:lang w:val="fr-FR"/>
        </w:rPr>
        <w:tab/>
      </w:r>
      <w:r w:rsidR="00EB10E0" w:rsidRPr="0083340D">
        <w:rPr>
          <w:lang w:val="fr-FR"/>
        </w:rPr>
        <w:t>Des politiques de lutte contre la violence sont en place dans tous les établissements d’</w:t>
      </w:r>
      <w:r w:rsidR="008F3DA4" w:rsidRPr="0083340D">
        <w:rPr>
          <w:lang w:val="fr-FR"/>
        </w:rPr>
        <w:t>Irlande du Nord</w:t>
      </w:r>
      <w:r w:rsidR="000B562B" w:rsidRPr="0083340D">
        <w:rPr>
          <w:lang w:val="fr-FR"/>
        </w:rPr>
        <w:t>.</w:t>
      </w:r>
      <w:r w:rsidR="000B562B" w:rsidRPr="00A176EA">
        <w:rPr>
          <w:lang w:val="fr-FR"/>
        </w:rPr>
        <w:t xml:space="preserve"> </w:t>
      </w:r>
      <w:r w:rsidR="0083340D">
        <w:rPr>
          <w:lang w:val="fr-FR"/>
        </w:rPr>
        <w:t xml:space="preserve">Elles visent à garantir une approche cohérente, équitable et proportionnée pour prévenir toute forme de comportement antisocial envers le personnel, les détenus, les visiteurs et les tiers, et d’y remédier, à contribuer à réduire la récidive parmi les détenus libérés et, ainsi, protéger la population, à </w:t>
      </w:r>
      <w:r w:rsidR="00802959">
        <w:rPr>
          <w:lang w:val="fr-FR"/>
        </w:rPr>
        <w:t>prendre en</w:t>
      </w:r>
      <w:r w:rsidR="0083340D">
        <w:rPr>
          <w:lang w:val="fr-FR"/>
        </w:rPr>
        <w:t xml:space="preserve"> compte l’opinion des détenus, du personnel et des partenaires stratégiques</w:t>
      </w:r>
      <w:r w:rsidR="00802959">
        <w:rPr>
          <w:lang w:val="fr-FR"/>
        </w:rPr>
        <w:t xml:space="preserve"> sur les avantages et les effets de cette politique et de cette procédure, et à y donner suite, et à faire en sorte que l’Administration pénitentiaire d’Irlande du Nord s’acquitte de ses obligations découlant de la loi sur les droits de l’homme </w:t>
      </w:r>
      <w:r w:rsidR="000B562B" w:rsidRPr="00A176EA">
        <w:rPr>
          <w:lang w:val="fr-FR"/>
        </w:rPr>
        <w:t xml:space="preserve">(1998) </w:t>
      </w:r>
      <w:r w:rsidR="00802959">
        <w:rPr>
          <w:lang w:val="fr-FR"/>
        </w:rPr>
        <w:t>et de l’article</w:t>
      </w:r>
      <w:r w:rsidR="000B562B" w:rsidRPr="00A176EA">
        <w:rPr>
          <w:lang w:val="fr-FR"/>
        </w:rPr>
        <w:t xml:space="preserve"> 75 </w:t>
      </w:r>
      <w:r w:rsidR="00802959">
        <w:rPr>
          <w:lang w:val="fr-FR"/>
        </w:rPr>
        <w:t xml:space="preserve">de la loi sur </w:t>
      </w:r>
      <w:r w:rsidR="00802959" w:rsidRPr="00802959">
        <w:rPr>
          <w:lang w:val="fr-FR"/>
        </w:rPr>
        <w:t>l’</w:t>
      </w:r>
      <w:r w:rsidR="008F3DA4" w:rsidRPr="00802959">
        <w:rPr>
          <w:lang w:val="fr-FR"/>
        </w:rPr>
        <w:t>Irlande du Nord</w:t>
      </w:r>
      <w:r w:rsidR="000B562B" w:rsidRPr="00A176EA">
        <w:rPr>
          <w:lang w:val="fr-FR"/>
        </w:rPr>
        <w:t xml:space="preserve"> Act (1998).</w:t>
      </w:r>
    </w:p>
    <w:p w:rsidR="000B562B" w:rsidRPr="00A176EA" w:rsidRDefault="004C27D2" w:rsidP="00A801B9">
      <w:pPr>
        <w:pStyle w:val="H23G"/>
        <w:rPr>
          <w:lang w:val="fr-FR"/>
        </w:rPr>
      </w:pPr>
      <w:r>
        <w:rPr>
          <w:lang w:val="fr-FR"/>
        </w:rPr>
        <w:t>Santé des délinquants, dont les services de santé mentale</w:t>
      </w:r>
    </w:p>
    <w:p w:rsidR="000B562B" w:rsidRPr="00A176EA" w:rsidRDefault="002549A9" w:rsidP="006C45E9">
      <w:pPr>
        <w:pStyle w:val="SingleTxtG"/>
        <w:rPr>
          <w:lang w:val="fr-FR"/>
        </w:rPr>
      </w:pPr>
      <w:r w:rsidRPr="00A176EA">
        <w:rPr>
          <w:lang w:val="fr-FR"/>
        </w:rPr>
        <w:t>536.</w:t>
      </w:r>
      <w:r w:rsidRPr="00A176EA">
        <w:rPr>
          <w:lang w:val="fr-FR"/>
        </w:rPr>
        <w:tab/>
      </w:r>
      <w:r w:rsidR="004C27D2">
        <w:rPr>
          <w:lang w:val="fr-FR"/>
        </w:rPr>
        <w:t>Le</w:t>
      </w:r>
      <w:r w:rsidR="000B562B" w:rsidRPr="00A176EA">
        <w:rPr>
          <w:lang w:val="fr-FR"/>
        </w:rPr>
        <w:t xml:space="preserve"> Go</w:t>
      </w:r>
      <w:r w:rsidR="004C27D2">
        <w:rPr>
          <w:lang w:val="fr-FR"/>
        </w:rPr>
        <w:t>u</w:t>
      </w:r>
      <w:r w:rsidR="000B562B" w:rsidRPr="00A176EA">
        <w:rPr>
          <w:lang w:val="fr-FR"/>
        </w:rPr>
        <w:t>vern</w:t>
      </w:r>
      <w:r w:rsidR="004C27D2">
        <w:rPr>
          <w:lang w:val="fr-FR"/>
        </w:rPr>
        <w:t>e</w:t>
      </w:r>
      <w:r w:rsidR="000B562B" w:rsidRPr="00A176EA">
        <w:rPr>
          <w:lang w:val="fr-FR"/>
        </w:rPr>
        <w:t xml:space="preserve">ment </w:t>
      </w:r>
      <w:r w:rsidR="004C27D2">
        <w:rPr>
          <w:lang w:val="fr-FR"/>
        </w:rPr>
        <w:t xml:space="preserve">s’efforce d’améliorer l’accès des délinquants aux traitements </w:t>
      </w:r>
      <w:r w:rsidR="004C13DA">
        <w:rPr>
          <w:lang w:val="fr-FR"/>
        </w:rPr>
        <w:t xml:space="preserve">médicaux </w:t>
      </w:r>
      <w:r w:rsidR="004C27D2">
        <w:rPr>
          <w:lang w:val="fr-FR"/>
        </w:rPr>
        <w:t>et à la réadaptation. Suite au rapport de Lord Keith Bradley</w:t>
      </w:r>
      <w:r w:rsidR="000B562B" w:rsidRPr="00A176EA">
        <w:rPr>
          <w:rStyle w:val="FootnoteReference"/>
          <w:szCs w:val="24"/>
        </w:rPr>
        <w:footnoteReference w:id="67"/>
      </w:r>
      <w:r w:rsidR="004C27D2">
        <w:rPr>
          <w:lang w:val="fr-FR"/>
        </w:rPr>
        <w:t xml:space="preserve">, en 2009, le Programme interministériel relatif à la santé et à la justice pénale a été mis en place. Il  </w:t>
      </w:r>
      <w:r w:rsidR="006C45E9">
        <w:rPr>
          <w:lang w:val="fr-FR"/>
        </w:rPr>
        <w:t>met actuellement en œuvre des programmes de travail sur le sujet</w:t>
      </w:r>
      <w:r w:rsidR="000B562B" w:rsidRPr="00A176EA">
        <w:rPr>
          <w:lang w:val="fr-FR"/>
        </w:rPr>
        <w:t>.</w:t>
      </w:r>
    </w:p>
    <w:p w:rsidR="000B562B" w:rsidRPr="00A176EA" w:rsidRDefault="002549A9" w:rsidP="00396411">
      <w:pPr>
        <w:pStyle w:val="SingleTxtG"/>
        <w:rPr>
          <w:szCs w:val="24"/>
          <w:lang w:val="fr-FR"/>
        </w:rPr>
      </w:pPr>
      <w:r w:rsidRPr="00A176EA">
        <w:rPr>
          <w:szCs w:val="24"/>
          <w:lang w:val="fr-FR"/>
        </w:rPr>
        <w:t>537.</w:t>
      </w:r>
      <w:r w:rsidRPr="00A176EA">
        <w:rPr>
          <w:szCs w:val="24"/>
          <w:lang w:val="fr-FR"/>
        </w:rPr>
        <w:tab/>
      </w:r>
      <w:r w:rsidR="00EB10E0" w:rsidRPr="006C45E9">
        <w:rPr>
          <w:lang w:val="fr-FR"/>
        </w:rPr>
        <w:t>Le Ministère de la santé</w:t>
      </w:r>
      <w:r w:rsidR="000B562B" w:rsidRPr="00A176EA">
        <w:rPr>
          <w:lang w:val="fr-FR"/>
        </w:rPr>
        <w:t xml:space="preserve"> </w:t>
      </w:r>
      <w:r w:rsidR="006C45E9">
        <w:rPr>
          <w:lang w:val="fr-FR"/>
        </w:rPr>
        <w:t xml:space="preserve">s’emploie à tenir compte des besoins des délinquants dans les </w:t>
      </w:r>
      <w:r w:rsidR="00A6688B">
        <w:rPr>
          <w:lang w:val="fr-FR"/>
        </w:rPr>
        <w:t xml:space="preserve">dispositions prises pour le Service national de santé par le biais du projet de loi sur le Service national de santé. Les besoins des délinquants en termes de santé mentale seront également traités </w:t>
      </w:r>
      <w:r w:rsidR="00EF4165">
        <w:rPr>
          <w:lang w:val="fr-FR"/>
        </w:rPr>
        <w:t>par</w:t>
      </w:r>
      <w:r w:rsidR="00A6688B">
        <w:rPr>
          <w:lang w:val="fr-FR"/>
        </w:rPr>
        <w:t xml:space="preserve"> la Stratégie </w:t>
      </w:r>
      <w:r w:rsidR="007C4E85">
        <w:rPr>
          <w:lang w:val="fr-FR"/>
        </w:rPr>
        <w:t>sur la santé mentale, qui se concentre sur l’amélioration de</w:t>
      </w:r>
      <w:r w:rsidR="00396411">
        <w:rPr>
          <w:lang w:val="fr-FR"/>
        </w:rPr>
        <w:t>s résultats dans ce domaine</w:t>
      </w:r>
      <w:r w:rsidR="007C4E85">
        <w:rPr>
          <w:lang w:val="fr-FR"/>
        </w:rPr>
        <w:t xml:space="preserve">. </w:t>
      </w:r>
      <w:r w:rsidR="00396411">
        <w:rPr>
          <w:lang w:val="fr-FR"/>
        </w:rPr>
        <w:t>L’élaboration de dispositions efficaces dans le modèle du Comité de mise en service du Service national de santé sera essentielle pour améliorer les services concernant la drogue, l’alcool et la santé mentale des délinquants</w:t>
      </w:r>
      <w:r w:rsidR="000B562B" w:rsidRPr="00A176EA">
        <w:rPr>
          <w:lang w:val="fr-FR"/>
        </w:rPr>
        <w:t>.</w:t>
      </w:r>
    </w:p>
    <w:p w:rsidR="000B562B" w:rsidRPr="00A176EA" w:rsidRDefault="002549A9" w:rsidP="00A801B9">
      <w:pPr>
        <w:pStyle w:val="SingleTxtG"/>
        <w:rPr>
          <w:szCs w:val="24"/>
          <w:lang w:val="fr-FR"/>
        </w:rPr>
      </w:pPr>
      <w:r w:rsidRPr="00A176EA">
        <w:rPr>
          <w:szCs w:val="24"/>
          <w:lang w:val="fr-FR"/>
        </w:rPr>
        <w:t>538.</w:t>
      </w:r>
      <w:r w:rsidRPr="00A176EA">
        <w:rPr>
          <w:szCs w:val="24"/>
          <w:lang w:val="fr-FR"/>
        </w:rPr>
        <w:tab/>
      </w:r>
      <w:r w:rsidR="00396411">
        <w:rPr>
          <w:lang w:val="fr-FR"/>
        </w:rPr>
        <w:t>L</w:t>
      </w:r>
      <w:r w:rsidR="000B562B" w:rsidRPr="00A176EA">
        <w:rPr>
          <w:lang w:val="fr-FR"/>
        </w:rPr>
        <w:t>e Go</w:t>
      </w:r>
      <w:r w:rsidR="00396411">
        <w:rPr>
          <w:lang w:val="fr-FR"/>
        </w:rPr>
        <w:t>u</w:t>
      </w:r>
      <w:r w:rsidR="000B562B" w:rsidRPr="00A176EA">
        <w:rPr>
          <w:lang w:val="fr-FR"/>
        </w:rPr>
        <w:t>vern</w:t>
      </w:r>
      <w:r w:rsidR="00396411">
        <w:rPr>
          <w:lang w:val="fr-FR"/>
        </w:rPr>
        <w:t>e</w:t>
      </w:r>
      <w:r w:rsidR="000B562B" w:rsidRPr="00A176EA">
        <w:rPr>
          <w:lang w:val="fr-FR"/>
        </w:rPr>
        <w:t xml:space="preserve">ment </w:t>
      </w:r>
      <w:r w:rsidR="00396411">
        <w:rPr>
          <w:lang w:val="fr-FR"/>
        </w:rPr>
        <w:t>est conscient qu’il est important d</w:t>
      </w:r>
      <w:r w:rsidR="00997EB1">
        <w:rPr>
          <w:lang w:val="fr-FR"/>
        </w:rPr>
        <w:t xml:space="preserve">’élaborer, pour certains délinquants, des mesures </w:t>
      </w:r>
      <w:r w:rsidR="00431C36">
        <w:rPr>
          <w:lang w:val="fr-FR"/>
        </w:rPr>
        <w:t xml:space="preserve">médicales </w:t>
      </w:r>
      <w:r w:rsidR="00997EB1">
        <w:rPr>
          <w:lang w:val="fr-FR"/>
        </w:rPr>
        <w:t xml:space="preserve">de substitution à l’incarcération, par exemple pour les délinquants souffrant à la fois </w:t>
      </w:r>
      <w:r w:rsidR="00431C36">
        <w:rPr>
          <w:lang w:val="fr-FR"/>
        </w:rPr>
        <w:t>de troubles mentaux</w:t>
      </w:r>
      <w:r w:rsidR="00997EB1">
        <w:rPr>
          <w:lang w:val="fr-FR"/>
        </w:rPr>
        <w:t xml:space="preserve"> et de toxicomanie. </w:t>
      </w:r>
      <w:r w:rsidR="00924329">
        <w:rPr>
          <w:lang w:val="fr-FR"/>
        </w:rPr>
        <w:t xml:space="preserve">Démontrer l’efficacité de telles mesures </w:t>
      </w:r>
      <w:r w:rsidR="00EF4165">
        <w:rPr>
          <w:lang w:val="fr-FR"/>
        </w:rPr>
        <w:t>permettant de déjudiciariser certains délinquants ouvrira la voie vers une meilleure santé mentale et réduira</w:t>
      </w:r>
      <w:r w:rsidR="00924329">
        <w:rPr>
          <w:lang w:val="fr-FR"/>
        </w:rPr>
        <w:t xml:space="preserve"> </w:t>
      </w:r>
      <w:r w:rsidR="00EF4165">
        <w:rPr>
          <w:lang w:val="fr-FR"/>
        </w:rPr>
        <w:t xml:space="preserve">la récidive chez ceux qui en auront bénéficié. Le Gouvernement espère annoncer prochainement </w:t>
      </w:r>
      <w:r w:rsidR="00BA746E">
        <w:rPr>
          <w:lang w:val="fr-FR"/>
        </w:rPr>
        <w:t xml:space="preserve">un programme de développement </w:t>
      </w:r>
      <w:r w:rsidR="00D83507">
        <w:rPr>
          <w:lang w:val="fr-FR"/>
        </w:rPr>
        <w:t>pour</w:t>
      </w:r>
      <w:r w:rsidR="00BA746E">
        <w:rPr>
          <w:lang w:val="fr-FR"/>
        </w:rPr>
        <w:t xml:space="preserve"> ces </w:t>
      </w:r>
      <w:r w:rsidR="00D83507">
        <w:rPr>
          <w:lang w:val="fr-FR"/>
        </w:rPr>
        <w:t xml:space="preserve">mesures </w:t>
      </w:r>
      <w:r w:rsidR="00BA746E">
        <w:rPr>
          <w:lang w:val="fr-FR"/>
        </w:rPr>
        <w:t xml:space="preserve">alternatives. Il s’emploie également à déployer des services </w:t>
      </w:r>
      <w:r w:rsidR="00D83507">
        <w:rPr>
          <w:lang w:val="fr-FR"/>
        </w:rPr>
        <w:t>de déjudiciarisation dans tous les locaux de garde à vue et les tribunaux pénaux d’ici 2014</w:t>
      </w:r>
      <w:r w:rsidR="00B934ED">
        <w:rPr>
          <w:lang w:val="fr-FR"/>
        </w:rPr>
        <w:t>,</w:t>
      </w:r>
      <w:r w:rsidR="00D83507">
        <w:rPr>
          <w:lang w:val="fr-FR"/>
        </w:rPr>
        <w:t xml:space="preserve"> afin d’écarter </w:t>
      </w:r>
      <w:r w:rsidR="00B934ED">
        <w:rPr>
          <w:lang w:val="fr-FR"/>
        </w:rPr>
        <w:t xml:space="preserve">des lieux de détention </w:t>
      </w:r>
      <w:r w:rsidR="00D83507">
        <w:rPr>
          <w:lang w:val="fr-FR"/>
        </w:rPr>
        <w:t>les délinquants souffrant de troubles mentaux ou d’apprentissage et de les orienter vers des unités psychiatriques sécurisées</w:t>
      </w:r>
      <w:r w:rsidR="000B562B" w:rsidRPr="00A176EA">
        <w:rPr>
          <w:lang w:val="fr-FR"/>
        </w:rPr>
        <w:t>.</w:t>
      </w:r>
    </w:p>
    <w:p w:rsidR="000B562B" w:rsidRPr="00A176EA" w:rsidRDefault="002549A9" w:rsidP="00A801B9">
      <w:pPr>
        <w:pStyle w:val="SingleTxtG"/>
        <w:rPr>
          <w:szCs w:val="24"/>
          <w:lang w:val="fr-FR"/>
        </w:rPr>
      </w:pPr>
      <w:r w:rsidRPr="00A176EA">
        <w:rPr>
          <w:szCs w:val="24"/>
          <w:lang w:val="fr-FR"/>
        </w:rPr>
        <w:t>539.</w:t>
      </w:r>
      <w:r w:rsidRPr="00A176EA">
        <w:rPr>
          <w:szCs w:val="24"/>
          <w:lang w:val="fr-FR"/>
        </w:rPr>
        <w:tab/>
      </w:r>
      <w:r w:rsidR="00EB10E0" w:rsidRPr="00D83507">
        <w:rPr>
          <w:lang w:val="fr-FR"/>
        </w:rPr>
        <w:t>L</w:t>
      </w:r>
      <w:r w:rsidR="000B562B" w:rsidRPr="00D83507">
        <w:rPr>
          <w:lang w:val="fr-FR"/>
        </w:rPr>
        <w:t xml:space="preserve">e </w:t>
      </w:r>
      <w:r w:rsidR="00EB10E0" w:rsidRPr="00D83507">
        <w:rPr>
          <w:lang w:val="fr-FR"/>
        </w:rPr>
        <w:t>Service national de santé</w:t>
      </w:r>
      <w:r w:rsidR="00EB10E0" w:rsidRPr="00A176EA">
        <w:rPr>
          <w:lang w:val="fr-FR"/>
        </w:rPr>
        <w:t xml:space="preserve"> </w:t>
      </w:r>
      <w:r w:rsidR="00CF5D4D">
        <w:rPr>
          <w:lang w:val="fr-FR"/>
        </w:rPr>
        <w:t xml:space="preserve">est chargé de la mise en place des services de santé dans les établissements pénitentiaires publics d’Angleterre depuis 2006, en partenariat avec l’Administration pénitentiaire, de façon à ce que les détenus bénéficient de services </w:t>
      </w:r>
      <w:r w:rsidR="00B934ED">
        <w:rPr>
          <w:lang w:val="fr-FR"/>
        </w:rPr>
        <w:t>analogues</w:t>
      </w:r>
      <w:r w:rsidR="00CF5D4D">
        <w:rPr>
          <w:lang w:val="fr-FR"/>
        </w:rPr>
        <w:t xml:space="preserve"> à ceux qu’ils recevraient s’ils vivaient au sein de la communauté</w:t>
      </w:r>
      <w:r w:rsidR="000B562B" w:rsidRPr="00A176EA">
        <w:rPr>
          <w:lang w:val="fr-FR"/>
        </w:rPr>
        <w:t>.</w:t>
      </w:r>
    </w:p>
    <w:p w:rsidR="000B562B" w:rsidRPr="00A176EA" w:rsidRDefault="002549A9" w:rsidP="00CA5B78">
      <w:pPr>
        <w:pStyle w:val="SingleTxtG"/>
        <w:rPr>
          <w:szCs w:val="24"/>
          <w:lang w:val="fr-FR"/>
        </w:rPr>
      </w:pPr>
      <w:r w:rsidRPr="00A176EA">
        <w:rPr>
          <w:szCs w:val="24"/>
          <w:lang w:val="fr-FR"/>
        </w:rPr>
        <w:t>540.</w:t>
      </w:r>
      <w:r w:rsidRPr="00A176EA">
        <w:rPr>
          <w:szCs w:val="24"/>
          <w:lang w:val="fr-FR"/>
        </w:rPr>
        <w:tab/>
      </w:r>
      <w:r w:rsidR="00CF5D4D">
        <w:rPr>
          <w:szCs w:val="24"/>
          <w:lang w:val="fr-FR"/>
        </w:rPr>
        <w:t xml:space="preserve">Tous les délinquants </w:t>
      </w:r>
      <w:r w:rsidR="007A06C7">
        <w:rPr>
          <w:szCs w:val="24"/>
          <w:lang w:val="fr-FR"/>
        </w:rPr>
        <w:t xml:space="preserve">primaires </w:t>
      </w:r>
      <w:r w:rsidR="00CA5B78">
        <w:rPr>
          <w:szCs w:val="24"/>
          <w:lang w:val="fr-FR"/>
        </w:rPr>
        <w:t xml:space="preserve">arrivant en détention provisoire ou après condamnation subissent une première évaluation médicale par une infirmière ou un agent formé à cet effet. Il s’agit de veiller à ce que tous les besoins de santé immédiats soient identifiés dès la première nuit, une évaluation complète étant ensuite effectuée dans les cinq jours suivant leur </w:t>
      </w:r>
      <w:r w:rsidR="000B562B" w:rsidRPr="00A176EA">
        <w:rPr>
          <w:lang w:val="fr-FR"/>
        </w:rPr>
        <w:t xml:space="preserve">admission. </w:t>
      </w:r>
      <w:r w:rsidR="00CA5B78">
        <w:rPr>
          <w:lang w:val="fr-FR"/>
        </w:rPr>
        <w:t>Les personnes considérées comme présentant un risque lié à un problème de santé mentale ou vulnérables au suicide sont orientées vers une évaluation de leur état de santé mentale</w:t>
      </w:r>
      <w:r w:rsidR="000B562B" w:rsidRPr="00A176EA">
        <w:rPr>
          <w:lang w:val="fr-FR"/>
        </w:rPr>
        <w:t>.</w:t>
      </w:r>
    </w:p>
    <w:p w:rsidR="000B562B" w:rsidRPr="00A176EA" w:rsidRDefault="002549A9" w:rsidP="008A085A">
      <w:pPr>
        <w:pStyle w:val="SingleTxtG"/>
        <w:rPr>
          <w:lang w:val="fr-FR"/>
        </w:rPr>
      </w:pPr>
      <w:r w:rsidRPr="00A176EA">
        <w:rPr>
          <w:lang w:val="fr-FR"/>
        </w:rPr>
        <w:t>541.</w:t>
      </w:r>
      <w:r w:rsidRPr="00A176EA">
        <w:rPr>
          <w:lang w:val="fr-FR"/>
        </w:rPr>
        <w:tab/>
      </w:r>
      <w:r w:rsidR="00CA5B78">
        <w:rPr>
          <w:lang w:val="fr-FR"/>
        </w:rPr>
        <w:t xml:space="preserve">Tous les établissements pénitentiaires disposent d’une équipe médicale interne qui saura traiter la plupart des problèmes de santé. Si un problème ne peut être traité dans l’établissement où le détenu a été affecté, </w:t>
      </w:r>
      <w:r w:rsidR="00B934ED">
        <w:rPr>
          <w:lang w:val="fr-FR"/>
        </w:rPr>
        <w:t>ce dernier</w:t>
      </w:r>
      <w:r w:rsidR="00CA5B78">
        <w:rPr>
          <w:lang w:val="fr-FR"/>
        </w:rPr>
        <w:t xml:space="preserve"> peut être transféré dans un autre établissement disposant </w:t>
      </w:r>
      <w:r w:rsidR="00A325DB">
        <w:rPr>
          <w:lang w:val="fr-FR"/>
        </w:rPr>
        <w:t>de l’unité de soins</w:t>
      </w:r>
      <w:r w:rsidR="00CA5B78">
        <w:rPr>
          <w:lang w:val="fr-FR"/>
        </w:rPr>
        <w:t xml:space="preserve"> adéquate. </w:t>
      </w:r>
      <w:r w:rsidR="008A085A">
        <w:rPr>
          <w:lang w:val="fr-FR"/>
        </w:rPr>
        <w:t xml:space="preserve">On peut également faire appel à un spécialiste ou emmener le détenu dans un hôpital du Service national de santé. </w:t>
      </w:r>
      <w:r w:rsidR="008A085A" w:rsidRPr="008A085A">
        <w:rPr>
          <w:lang w:val="fr-FR"/>
        </w:rPr>
        <w:t>Un détenu transféré dans un hôpital public reste sous la garde de l’</w:t>
      </w:r>
      <w:r w:rsidR="008E4932" w:rsidRPr="008A085A">
        <w:rPr>
          <w:lang w:val="fr-FR"/>
        </w:rPr>
        <w:t>Administration pénitentiaire</w:t>
      </w:r>
      <w:r w:rsidR="000B562B" w:rsidRPr="008A085A">
        <w:rPr>
          <w:lang w:val="fr-FR"/>
        </w:rPr>
        <w:t>.</w:t>
      </w:r>
    </w:p>
    <w:p w:rsidR="000B562B" w:rsidRPr="00A176EA" w:rsidRDefault="002549A9" w:rsidP="00A63AF7">
      <w:pPr>
        <w:pStyle w:val="SingleTxtG"/>
        <w:rPr>
          <w:lang w:val="fr-FR"/>
        </w:rPr>
      </w:pPr>
      <w:r w:rsidRPr="00A176EA">
        <w:rPr>
          <w:lang w:val="fr-FR"/>
        </w:rPr>
        <w:t>542.</w:t>
      </w:r>
      <w:r w:rsidRPr="00A176EA">
        <w:rPr>
          <w:lang w:val="fr-FR"/>
        </w:rPr>
        <w:tab/>
      </w:r>
      <w:r w:rsidR="008A085A">
        <w:rPr>
          <w:lang w:val="fr-FR"/>
        </w:rPr>
        <w:t xml:space="preserve">Dans les établissements pénitentiaires, les services de santé mentale sont assurés par des équipes de </w:t>
      </w:r>
      <w:r w:rsidR="00675F91">
        <w:rPr>
          <w:lang w:val="fr-FR"/>
        </w:rPr>
        <w:t>proximité</w:t>
      </w:r>
      <w:r w:rsidR="008A085A">
        <w:rPr>
          <w:lang w:val="fr-FR"/>
        </w:rPr>
        <w:t xml:space="preserve">. La plupart des traitements et des soins de santé mentale sont dispensés dans </w:t>
      </w:r>
      <w:r w:rsidR="00786384">
        <w:rPr>
          <w:lang w:val="fr-FR"/>
        </w:rPr>
        <w:t>l’infirmerie</w:t>
      </w:r>
      <w:r w:rsidR="008A085A">
        <w:rPr>
          <w:lang w:val="fr-FR"/>
        </w:rPr>
        <w:t xml:space="preserve"> de l’établissement, comme les autres traitements du Service national de santé (par exemple, pour les détenus souffrant de diabète ou de maladie cardiaque)</w:t>
      </w:r>
      <w:r w:rsidR="00A63AF7">
        <w:rPr>
          <w:lang w:val="fr-FR"/>
        </w:rPr>
        <w:t xml:space="preserve">, sauf si un traitement urgent est nécessaire et que le détenu peut être transféré vers une structure sécurisée du Service national de santé qui ne relève pas de l’Administration pénitentiaire afin d’y être traité en vertu de la loi sur la </w:t>
      </w:r>
      <w:r w:rsidR="00A63AF7" w:rsidRPr="00A63AF7">
        <w:rPr>
          <w:lang w:val="fr-FR"/>
        </w:rPr>
        <w:t xml:space="preserve">santé </w:t>
      </w:r>
      <w:r w:rsidR="000E629E" w:rsidRPr="00A63AF7">
        <w:rPr>
          <w:lang w:val="fr-FR"/>
        </w:rPr>
        <w:t>mentale</w:t>
      </w:r>
      <w:r w:rsidR="00A63AF7" w:rsidRPr="00A63AF7">
        <w:rPr>
          <w:lang w:val="fr-FR"/>
        </w:rPr>
        <w:t>.</w:t>
      </w:r>
    </w:p>
    <w:p w:rsidR="000B562B" w:rsidRPr="00A63AF7" w:rsidRDefault="000E629E" w:rsidP="00A801B9">
      <w:pPr>
        <w:pStyle w:val="H23G"/>
        <w:rPr>
          <w:lang w:val="fr-FR"/>
        </w:rPr>
      </w:pPr>
      <w:bookmarkStart w:id="65" w:name="_Toc299724752"/>
      <w:r w:rsidRPr="00A63AF7">
        <w:rPr>
          <w:lang w:val="fr-FR"/>
        </w:rPr>
        <w:t>Prévention du s</w:t>
      </w:r>
      <w:r w:rsidR="000B562B" w:rsidRPr="00A63AF7">
        <w:rPr>
          <w:lang w:val="fr-FR"/>
        </w:rPr>
        <w:t xml:space="preserve">uicide </w:t>
      </w:r>
      <w:bookmarkEnd w:id="65"/>
    </w:p>
    <w:p w:rsidR="000B562B" w:rsidRPr="00A176EA" w:rsidRDefault="000E629E" w:rsidP="00410A02">
      <w:pPr>
        <w:pStyle w:val="H23G"/>
        <w:rPr>
          <w:szCs w:val="24"/>
          <w:lang w:val="fr-FR"/>
        </w:rPr>
      </w:pPr>
      <w:r w:rsidRPr="00A63AF7">
        <w:rPr>
          <w:lang w:val="fr-FR"/>
        </w:rPr>
        <w:t xml:space="preserve">Angleterre et </w:t>
      </w:r>
      <w:r w:rsidR="00A63AF7" w:rsidRPr="00A63AF7">
        <w:rPr>
          <w:lang w:val="fr-FR"/>
        </w:rPr>
        <w:t>p</w:t>
      </w:r>
      <w:r w:rsidR="005601A1" w:rsidRPr="00A63AF7">
        <w:rPr>
          <w:lang w:val="fr-FR"/>
        </w:rPr>
        <w:t>ays de Galles</w:t>
      </w:r>
    </w:p>
    <w:p w:rsidR="000B562B" w:rsidRPr="00A176EA" w:rsidRDefault="002549A9" w:rsidP="00F04BE2">
      <w:pPr>
        <w:pStyle w:val="SingleTxtG"/>
        <w:rPr>
          <w:lang w:val="fr-FR"/>
        </w:rPr>
      </w:pPr>
      <w:r w:rsidRPr="00A176EA">
        <w:rPr>
          <w:lang w:val="fr-FR"/>
        </w:rPr>
        <w:t>543.</w:t>
      </w:r>
      <w:r w:rsidRPr="00A176EA">
        <w:rPr>
          <w:lang w:val="fr-FR"/>
        </w:rPr>
        <w:tab/>
      </w:r>
      <w:r w:rsidR="00A037F6">
        <w:rPr>
          <w:lang w:val="fr-FR"/>
        </w:rPr>
        <w:t>Évaluation, soins en détention et travail d’équipe est un système</w:t>
      </w:r>
      <w:r w:rsidR="00A037F6" w:rsidRPr="00A037F6">
        <w:rPr>
          <w:lang w:val="fr-FR"/>
        </w:rPr>
        <w:t xml:space="preserve"> </w:t>
      </w:r>
      <w:r w:rsidR="00A037F6">
        <w:rPr>
          <w:lang w:val="fr-FR"/>
        </w:rPr>
        <w:t xml:space="preserve">de planification des soins </w:t>
      </w:r>
      <w:r w:rsidR="00B7490E">
        <w:rPr>
          <w:lang w:val="fr-FR"/>
        </w:rPr>
        <w:t xml:space="preserve">vaste, intégré et fondé sur la pratique </w:t>
      </w:r>
      <w:r w:rsidR="00A037F6">
        <w:rPr>
          <w:lang w:val="fr-FR"/>
        </w:rPr>
        <w:t xml:space="preserve">destiné aux détenus </w:t>
      </w:r>
      <w:r w:rsidR="00B7490E">
        <w:rPr>
          <w:lang w:val="fr-FR"/>
        </w:rPr>
        <w:t>qui présentent un risque de</w:t>
      </w:r>
      <w:r w:rsidR="00A037F6">
        <w:rPr>
          <w:lang w:val="fr-FR"/>
        </w:rPr>
        <w:t xml:space="preserve"> suicide ou d’automutil</w:t>
      </w:r>
      <w:r w:rsidR="00B7490E">
        <w:rPr>
          <w:lang w:val="fr-FR"/>
        </w:rPr>
        <w:t>ation</w:t>
      </w:r>
      <w:r w:rsidR="00A037F6">
        <w:rPr>
          <w:lang w:val="fr-FR"/>
        </w:rPr>
        <w:t xml:space="preserve">. </w:t>
      </w:r>
      <w:r w:rsidR="00F04BE2">
        <w:rPr>
          <w:lang w:val="fr-FR"/>
        </w:rPr>
        <w:t>Ce système a été introduit dans l’ensemble du parc carcéral en 2005-2007, en partenariat avec le Ministère de la santé</w:t>
      </w:r>
      <w:r w:rsidR="000B562B" w:rsidRPr="00A176EA">
        <w:rPr>
          <w:lang w:val="fr-FR"/>
        </w:rPr>
        <w:t>.</w:t>
      </w:r>
    </w:p>
    <w:p w:rsidR="000B562B" w:rsidRPr="00A176EA" w:rsidRDefault="002549A9" w:rsidP="00B21057">
      <w:pPr>
        <w:pStyle w:val="SingleTxtG"/>
        <w:rPr>
          <w:lang w:val="fr-FR"/>
        </w:rPr>
      </w:pPr>
      <w:r w:rsidRPr="00A176EA">
        <w:rPr>
          <w:lang w:val="fr-FR"/>
        </w:rPr>
        <w:t>544.</w:t>
      </w:r>
      <w:r w:rsidRPr="00A176EA">
        <w:rPr>
          <w:lang w:val="fr-FR"/>
        </w:rPr>
        <w:tab/>
      </w:r>
      <w:r w:rsidR="00ED1CEC" w:rsidRPr="00F04BE2">
        <w:rPr>
          <w:lang w:val="fr-FR"/>
        </w:rPr>
        <w:t>E</w:t>
      </w:r>
      <w:r w:rsidR="000B562B" w:rsidRPr="00F04BE2">
        <w:rPr>
          <w:lang w:val="fr-FR"/>
        </w:rPr>
        <w:t>n 2005</w:t>
      </w:r>
      <w:r w:rsidR="00ED1CEC" w:rsidRPr="00F04BE2">
        <w:rPr>
          <w:lang w:val="fr-FR"/>
        </w:rPr>
        <w:t>, le</w:t>
      </w:r>
      <w:r w:rsidR="000B562B" w:rsidRPr="00F04BE2">
        <w:rPr>
          <w:lang w:val="fr-FR"/>
        </w:rPr>
        <w:t xml:space="preserve"> </w:t>
      </w:r>
      <w:r w:rsidR="00ED1CEC" w:rsidRPr="00F04BE2">
        <w:rPr>
          <w:lang w:val="fr-FR"/>
        </w:rPr>
        <w:t xml:space="preserve">Service national de gestion des </w:t>
      </w:r>
      <w:r w:rsidR="000423A5" w:rsidRPr="00F04BE2">
        <w:rPr>
          <w:lang w:val="fr-FR"/>
        </w:rPr>
        <w:t>détenus</w:t>
      </w:r>
      <w:r w:rsidR="000B562B" w:rsidRPr="00F04BE2">
        <w:rPr>
          <w:lang w:val="fr-FR"/>
        </w:rPr>
        <w:t xml:space="preserve"> </w:t>
      </w:r>
      <w:r w:rsidR="00F04BE2" w:rsidRPr="00F04BE2">
        <w:rPr>
          <w:lang w:val="fr-FR"/>
        </w:rPr>
        <w:t>s’est engagé à réexaminer ce système</w:t>
      </w:r>
      <w:r w:rsidR="00F04BE2">
        <w:rPr>
          <w:lang w:val="fr-FR"/>
        </w:rPr>
        <w:t xml:space="preserve"> </w:t>
      </w:r>
      <w:r w:rsidR="00D45E4A">
        <w:rPr>
          <w:lang w:val="fr-FR"/>
        </w:rPr>
        <w:t>lorsqu’il aura</w:t>
      </w:r>
      <w:r w:rsidR="00A47128">
        <w:rPr>
          <w:lang w:val="fr-FR"/>
        </w:rPr>
        <w:t xml:space="preserve"> pu observer son fonctionnement dans l’ensemble du parc pénitentiaire </w:t>
      </w:r>
      <w:r w:rsidR="00A241E2">
        <w:rPr>
          <w:lang w:val="fr-FR"/>
        </w:rPr>
        <w:t>(</w:t>
      </w:r>
      <w:r w:rsidR="00256641">
        <w:rPr>
          <w:lang w:val="fr-FR"/>
        </w:rPr>
        <w:t>et a adopté en même temps</w:t>
      </w:r>
      <w:r w:rsidR="00A241E2" w:rsidRPr="00B21057">
        <w:rPr>
          <w:lang w:val="fr-FR"/>
        </w:rPr>
        <w:t xml:space="preserve"> l’</w:t>
      </w:r>
      <w:r w:rsidR="00786384">
        <w:rPr>
          <w:lang w:val="fr-FR"/>
        </w:rPr>
        <w:t>i</w:t>
      </w:r>
      <w:r w:rsidR="00A241E2" w:rsidRPr="00B21057">
        <w:rPr>
          <w:lang w:val="fr-FR"/>
        </w:rPr>
        <w:t xml:space="preserve">nstruction </w:t>
      </w:r>
      <w:r w:rsidR="008E4932" w:rsidRPr="00B21057">
        <w:rPr>
          <w:lang w:val="fr-FR"/>
        </w:rPr>
        <w:t>pénitentiaire</w:t>
      </w:r>
      <w:r w:rsidR="000B562B" w:rsidRPr="00B21057">
        <w:rPr>
          <w:lang w:val="fr-FR"/>
        </w:rPr>
        <w:t xml:space="preserve"> </w:t>
      </w:r>
      <w:r w:rsidR="00786384">
        <w:rPr>
          <w:lang w:val="fr-FR"/>
        </w:rPr>
        <w:t xml:space="preserve">PSI </w:t>
      </w:r>
      <w:r w:rsidR="000B562B" w:rsidRPr="00B21057">
        <w:rPr>
          <w:lang w:val="fr-FR"/>
        </w:rPr>
        <w:t xml:space="preserve">18/2005 </w:t>
      </w:r>
      <w:r w:rsidR="00B21057" w:rsidRPr="00B21057">
        <w:rPr>
          <w:lang w:val="fr-FR"/>
        </w:rPr>
        <w:t>portant création du système</w:t>
      </w:r>
      <w:r w:rsidR="000B562B" w:rsidRPr="00B21057">
        <w:rPr>
          <w:lang w:val="fr-FR"/>
        </w:rPr>
        <w:t xml:space="preserve"> </w:t>
      </w:r>
      <w:r w:rsidR="00B21057" w:rsidRPr="00B21057">
        <w:rPr>
          <w:lang w:val="fr-FR"/>
        </w:rPr>
        <w:t>Évaluation, soins en détention et travail d’équipe</w:t>
      </w:r>
      <w:r w:rsidR="000B562B" w:rsidRPr="00B21057">
        <w:rPr>
          <w:lang w:val="fr-FR"/>
        </w:rPr>
        <w:t>).</w:t>
      </w:r>
      <w:r w:rsidR="000B562B" w:rsidRPr="00A176EA">
        <w:rPr>
          <w:lang w:val="fr-FR"/>
        </w:rPr>
        <w:t xml:space="preserve"> </w:t>
      </w:r>
      <w:r w:rsidR="00B21057">
        <w:rPr>
          <w:lang w:val="fr-FR"/>
        </w:rPr>
        <w:t xml:space="preserve">Le dernier établissement à avoir introduit le système l’a fait le 16 avril 2007. Le réexamen du système a été réalisé en 2008 au moyen d’un large éventail de consultations et le rapport a été publié fin 2009. Le </w:t>
      </w:r>
      <w:r w:rsidR="00B21057" w:rsidRPr="00B21057">
        <w:rPr>
          <w:lang w:val="fr-FR"/>
        </w:rPr>
        <w:t xml:space="preserve">Service national de gestion des détenus met actuellement en œuvre les recommandations </w:t>
      </w:r>
      <w:r w:rsidR="000504BD">
        <w:rPr>
          <w:lang w:val="fr-FR"/>
        </w:rPr>
        <w:t>qui y sont formulées</w:t>
      </w:r>
      <w:r w:rsidR="000B562B" w:rsidRPr="00B21057">
        <w:rPr>
          <w:lang w:val="fr-FR"/>
        </w:rPr>
        <w:t>.</w:t>
      </w:r>
    </w:p>
    <w:p w:rsidR="000B562B" w:rsidRPr="00A176EA" w:rsidRDefault="002549A9" w:rsidP="00FA7592">
      <w:pPr>
        <w:pStyle w:val="SingleTxtG"/>
        <w:rPr>
          <w:lang w:val="fr-FR"/>
        </w:rPr>
      </w:pPr>
      <w:r w:rsidRPr="00A176EA">
        <w:rPr>
          <w:lang w:val="fr-FR"/>
        </w:rPr>
        <w:t>545.</w:t>
      </w:r>
      <w:r w:rsidRPr="00A176EA">
        <w:rPr>
          <w:lang w:val="fr-FR"/>
        </w:rPr>
        <w:tab/>
      </w:r>
      <w:r w:rsidR="00B21057">
        <w:rPr>
          <w:lang w:val="fr-FR"/>
        </w:rPr>
        <w:t>Les</w:t>
      </w:r>
      <w:r w:rsidR="000B562B" w:rsidRPr="00A176EA">
        <w:rPr>
          <w:lang w:val="fr-FR"/>
        </w:rPr>
        <w:t xml:space="preserve"> instructions </w:t>
      </w:r>
      <w:r w:rsidR="00B21057">
        <w:rPr>
          <w:lang w:val="fr-FR"/>
        </w:rPr>
        <w:t>relatives</w:t>
      </w:r>
      <w:r w:rsidR="00B21057" w:rsidRPr="00B21057">
        <w:rPr>
          <w:lang w:val="fr-FR"/>
        </w:rPr>
        <w:t xml:space="preserve"> </w:t>
      </w:r>
      <w:r w:rsidR="000504BD">
        <w:rPr>
          <w:lang w:val="fr-FR"/>
        </w:rPr>
        <w:t xml:space="preserve">au recours à un hébergement spécial ont été renforcées par </w:t>
      </w:r>
      <w:r w:rsidR="004177E9" w:rsidRPr="000504BD">
        <w:rPr>
          <w:lang w:val="fr-FR"/>
        </w:rPr>
        <w:t xml:space="preserve">l’ordonnance </w:t>
      </w:r>
      <w:r w:rsidR="00EE4C75">
        <w:rPr>
          <w:lang w:val="fr-FR"/>
        </w:rPr>
        <w:t>relative à</w:t>
      </w:r>
      <w:r w:rsidR="004177E9" w:rsidRPr="000504BD">
        <w:rPr>
          <w:lang w:val="fr-FR"/>
        </w:rPr>
        <w:t xml:space="preserve"> l’</w:t>
      </w:r>
      <w:r w:rsidR="008E4932" w:rsidRPr="000504BD">
        <w:rPr>
          <w:lang w:val="fr-FR"/>
        </w:rPr>
        <w:t>Administration pénitentiaire</w:t>
      </w:r>
      <w:r w:rsidR="000B562B" w:rsidRPr="000504BD">
        <w:rPr>
          <w:lang w:val="fr-FR"/>
        </w:rPr>
        <w:t xml:space="preserve"> </w:t>
      </w:r>
      <w:r w:rsidR="004177E9" w:rsidRPr="000504BD">
        <w:rPr>
          <w:lang w:val="fr-FR"/>
        </w:rPr>
        <w:t xml:space="preserve">PSO </w:t>
      </w:r>
      <w:r w:rsidR="000B562B" w:rsidRPr="000504BD">
        <w:rPr>
          <w:lang w:val="fr-FR"/>
        </w:rPr>
        <w:t>2700</w:t>
      </w:r>
      <w:r w:rsidR="000B562B" w:rsidRPr="000504BD">
        <w:rPr>
          <w:rStyle w:val="FootnoteReference"/>
          <w:bCs/>
          <w:szCs w:val="24"/>
        </w:rPr>
        <w:footnoteReference w:id="68"/>
      </w:r>
      <w:r w:rsidR="000B562B" w:rsidRPr="000504BD">
        <w:rPr>
          <w:lang w:val="fr-FR"/>
        </w:rPr>
        <w:t xml:space="preserve"> (</w:t>
      </w:r>
      <w:r w:rsidR="00B21057" w:rsidRPr="000504BD">
        <w:rPr>
          <w:lang w:val="fr-FR"/>
        </w:rPr>
        <w:t>Prévention du s</w:t>
      </w:r>
      <w:r w:rsidR="000B562B" w:rsidRPr="000504BD">
        <w:rPr>
          <w:lang w:val="fr-FR"/>
        </w:rPr>
        <w:t xml:space="preserve">uicide </w:t>
      </w:r>
      <w:r w:rsidR="00B21057" w:rsidRPr="000504BD">
        <w:rPr>
          <w:lang w:val="fr-FR"/>
        </w:rPr>
        <w:t>et de l’automutilation</w:t>
      </w:r>
      <w:r w:rsidR="000B562B" w:rsidRPr="000504BD">
        <w:rPr>
          <w:lang w:val="fr-FR"/>
        </w:rPr>
        <w:t>)</w:t>
      </w:r>
      <w:r w:rsidR="00DA369B">
        <w:rPr>
          <w:lang w:val="fr-FR"/>
        </w:rPr>
        <w:t>,</w:t>
      </w:r>
      <w:r w:rsidR="000B562B" w:rsidRPr="000504BD">
        <w:rPr>
          <w:lang w:val="fr-FR"/>
        </w:rPr>
        <w:t xml:space="preserve"> </w:t>
      </w:r>
      <w:r w:rsidR="000504BD" w:rsidRPr="000504BD">
        <w:rPr>
          <w:lang w:val="fr-FR"/>
        </w:rPr>
        <w:t>le</w:t>
      </w:r>
      <w:r w:rsidR="000B562B" w:rsidRPr="000504BD">
        <w:rPr>
          <w:lang w:val="fr-FR"/>
        </w:rPr>
        <w:t xml:space="preserve"> 26 </w:t>
      </w:r>
      <w:r w:rsidR="000504BD" w:rsidRPr="000504BD">
        <w:rPr>
          <w:lang w:val="fr-FR"/>
        </w:rPr>
        <w:t>octobre</w:t>
      </w:r>
      <w:r w:rsidR="000B562B" w:rsidRPr="000504BD">
        <w:rPr>
          <w:lang w:val="fr-FR"/>
        </w:rPr>
        <w:t xml:space="preserve"> 2007</w:t>
      </w:r>
      <w:r w:rsidR="00DA369B">
        <w:rPr>
          <w:lang w:val="fr-FR"/>
        </w:rPr>
        <w:t>,</w:t>
      </w:r>
      <w:r w:rsidR="000B562B" w:rsidRPr="000504BD">
        <w:rPr>
          <w:lang w:val="fr-FR"/>
        </w:rPr>
        <w:t xml:space="preserve"> </w:t>
      </w:r>
      <w:r w:rsidR="000504BD" w:rsidRPr="000504BD">
        <w:rPr>
          <w:lang w:val="fr-FR"/>
        </w:rPr>
        <w:t xml:space="preserve">et les modifications correspondantes de </w:t>
      </w:r>
      <w:r w:rsidR="004177E9" w:rsidRPr="000504BD">
        <w:rPr>
          <w:lang w:val="fr-FR"/>
        </w:rPr>
        <w:t>l’ordonnance</w:t>
      </w:r>
      <w:r w:rsidR="000B562B" w:rsidRPr="000504BD">
        <w:rPr>
          <w:lang w:val="fr-FR"/>
        </w:rPr>
        <w:t xml:space="preserve"> PSO 1700 annonc</w:t>
      </w:r>
      <w:r w:rsidR="000504BD" w:rsidRPr="000504BD">
        <w:rPr>
          <w:lang w:val="fr-FR"/>
        </w:rPr>
        <w:t>ées par l’</w:t>
      </w:r>
      <w:r w:rsidR="00786384">
        <w:rPr>
          <w:lang w:val="fr-FR"/>
        </w:rPr>
        <w:t>I</w:t>
      </w:r>
      <w:r w:rsidR="000504BD" w:rsidRPr="000504BD">
        <w:rPr>
          <w:lang w:val="fr-FR"/>
        </w:rPr>
        <w:t>nstruction</w:t>
      </w:r>
      <w:r w:rsidR="000B562B" w:rsidRPr="000504BD">
        <w:rPr>
          <w:lang w:val="fr-FR"/>
        </w:rPr>
        <w:t xml:space="preserve"> </w:t>
      </w:r>
      <w:r w:rsidR="008E4932" w:rsidRPr="000504BD">
        <w:rPr>
          <w:lang w:val="fr-FR"/>
        </w:rPr>
        <w:t>pénitentiaire</w:t>
      </w:r>
      <w:r w:rsidR="000B562B" w:rsidRPr="000504BD">
        <w:rPr>
          <w:lang w:val="fr-FR"/>
        </w:rPr>
        <w:t xml:space="preserve"> PSI</w:t>
      </w:r>
      <w:r w:rsidR="000504BD" w:rsidRPr="000504BD">
        <w:rPr>
          <w:lang w:val="fr-FR"/>
        </w:rPr>
        <w:t xml:space="preserve"> </w:t>
      </w:r>
      <w:r w:rsidR="000B562B" w:rsidRPr="000504BD">
        <w:rPr>
          <w:lang w:val="fr-FR"/>
        </w:rPr>
        <w:t>26/2009</w:t>
      </w:r>
      <w:r w:rsidR="000B562B" w:rsidRPr="000504BD">
        <w:rPr>
          <w:rStyle w:val="FootnoteReference"/>
          <w:bCs/>
          <w:szCs w:val="24"/>
        </w:rPr>
        <w:footnoteReference w:id="69"/>
      </w:r>
      <w:r w:rsidR="000B562B" w:rsidRPr="000504BD">
        <w:rPr>
          <w:lang w:val="fr-FR"/>
        </w:rPr>
        <w:t xml:space="preserve"> </w:t>
      </w:r>
      <w:r w:rsidR="000504BD">
        <w:rPr>
          <w:lang w:val="fr-FR"/>
        </w:rPr>
        <w:t>sont entrées en vigueur en</w:t>
      </w:r>
      <w:r w:rsidR="000B562B" w:rsidRPr="000504BD">
        <w:rPr>
          <w:lang w:val="fr-FR"/>
        </w:rPr>
        <w:t xml:space="preserve"> </w:t>
      </w:r>
      <w:r w:rsidR="000504BD">
        <w:rPr>
          <w:lang w:val="fr-FR"/>
        </w:rPr>
        <w:t>s</w:t>
      </w:r>
      <w:r w:rsidR="000B562B" w:rsidRPr="000504BD">
        <w:rPr>
          <w:lang w:val="fr-FR"/>
        </w:rPr>
        <w:t>eptemb</w:t>
      </w:r>
      <w:r w:rsidR="000504BD">
        <w:rPr>
          <w:lang w:val="fr-FR"/>
        </w:rPr>
        <w:t>re</w:t>
      </w:r>
      <w:r w:rsidR="000B562B" w:rsidRPr="000504BD">
        <w:rPr>
          <w:lang w:val="fr-FR"/>
        </w:rPr>
        <w:t xml:space="preserve"> 2009. </w:t>
      </w:r>
      <w:r w:rsidR="000504BD">
        <w:rPr>
          <w:lang w:val="fr-FR"/>
        </w:rPr>
        <w:t xml:space="preserve">Le </w:t>
      </w:r>
      <w:r w:rsidR="00B21057" w:rsidRPr="000504BD">
        <w:rPr>
          <w:lang w:val="fr-FR"/>
        </w:rPr>
        <w:t>Service national de gestion des détenus</w:t>
      </w:r>
      <w:r w:rsidR="000B562B" w:rsidRPr="00A176EA">
        <w:rPr>
          <w:lang w:val="fr-FR"/>
        </w:rPr>
        <w:t xml:space="preserve"> </w:t>
      </w:r>
      <w:r w:rsidR="00FA7592">
        <w:rPr>
          <w:lang w:val="fr-FR"/>
        </w:rPr>
        <w:t xml:space="preserve">procède actuellement à une évaluation plus stricte tant du recours à un tel hébergement que de chaque détenu. L’accent est par ailleurs mis sur le retour le plus rapide possible des détenus dans des locaux </w:t>
      </w:r>
      <w:r w:rsidR="001A1CC5" w:rsidRPr="001A1CC5">
        <w:rPr>
          <w:lang w:val="fr-FR"/>
        </w:rPr>
        <w:t>normaux</w:t>
      </w:r>
      <w:r w:rsidR="001A1CC5">
        <w:rPr>
          <w:lang w:val="fr-FR"/>
        </w:rPr>
        <w:t xml:space="preserve"> </w:t>
      </w:r>
      <w:r w:rsidR="00FA7592">
        <w:rPr>
          <w:lang w:val="fr-FR"/>
        </w:rPr>
        <w:t>et à des conditions</w:t>
      </w:r>
      <w:r w:rsidR="001A1CC5">
        <w:rPr>
          <w:lang w:val="fr-FR"/>
        </w:rPr>
        <w:t xml:space="preserve"> normales</w:t>
      </w:r>
      <w:r w:rsidR="000B562B" w:rsidRPr="00A176EA">
        <w:rPr>
          <w:lang w:val="fr-FR"/>
        </w:rPr>
        <w:t>.</w:t>
      </w:r>
    </w:p>
    <w:p w:rsidR="000B562B" w:rsidRPr="00A176EA" w:rsidRDefault="00FD2CE1" w:rsidP="00A801B9">
      <w:pPr>
        <w:pStyle w:val="SingleTxtG"/>
        <w:rPr>
          <w:lang w:val="fr-FR"/>
        </w:rPr>
      </w:pPr>
      <w:r w:rsidRPr="00FA7592">
        <w:rPr>
          <w:b/>
          <w:lang w:val="fr-FR"/>
        </w:rPr>
        <w:t>Écosse</w:t>
      </w:r>
    </w:p>
    <w:p w:rsidR="000B562B" w:rsidRPr="00A176EA" w:rsidRDefault="002549A9" w:rsidP="004C5C8A">
      <w:pPr>
        <w:pStyle w:val="SingleTxtG"/>
        <w:rPr>
          <w:lang w:val="fr-FR"/>
        </w:rPr>
      </w:pPr>
      <w:r w:rsidRPr="00A176EA">
        <w:rPr>
          <w:lang w:val="fr-FR"/>
        </w:rPr>
        <w:t>546.</w:t>
      </w:r>
      <w:r w:rsidRPr="00A176EA">
        <w:rPr>
          <w:lang w:val="fr-FR"/>
        </w:rPr>
        <w:tab/>
      </w:r>
      <w:r w:rsidR="00675F91">
        <w:rPr>
          <w:lang w:val="fr-FR"/>
        </w:rPr>
        <w:t>Si le pourcentage de suicides a globalement augmenté dans l’ensemble de l’</w:t>
      </w:r>
      <w:r w:rsidR="00675F91" w:rsidRPr="00675F91">
        <w:rPr>
          <w:lang w:val="fr-FR"/>
        </w:rPr>
        <w:t>Écosse</w:t>
      </w:r>
      <w:r w:rsidR="00675F91">
        <w:rPr>
          <w:lang w:val="fr-FR"/>
        </w:rPr>
        <w:t xml:space="preserve"> ces dix dernières années, </w:t>
      </w:r>
      <w:r w:rsidR="00675F91" w:rsidRPr="00675F91">
        <w:rPr>
          <w:lang w:val="fr-FR"/>
        </w:rPr>
        <w:t>l’Administration pénitentiaire écossaise</w:t>
      </w:r>
      <w:r w:rsidR="00675F91">
        <w:rPr>
          <w:lang w:val="fr-FR"/>
        </w:rPr>
        <w:t xml:space="preserve"> a relevé une baisse depuis le pic atteint à la fin des années 90. </w:t>
      </w:r>
      <w:r w:rsidR="00675F91" w:rsidRPr="004C5C8A">
        <w:rPr>
          <w:lang w:val="fr-FR"/>
        </w:rPr>
        <w:t>Ce taux s’est stabilisé depuis 2004</w:t>
      </w:r>
      <w:r w:rsidR="00D45E4A">
        <w:rPr>
          <w:lang w:val="fr-FR"/>
        </w:rPr>
        <w:t>-</w:t>
      </w:r>
      <w:r w:rsidR="00675F91" w:rsidRPr="004C5C8A">
        <w:rPr>
          <w:lang w:val="fr-FR"/>
        </w:rPr>
        <w:t xml:space="preserve">2005, période qui coïncide avec la révision de la stratégie de gestion du risque de suicide </w:t>
      </w:r>
      <w:r w:rsidR="00CD0110">
        <w:rPr>
          <w:lang w:val="fr-FR"/>
        </w:rPr>
        <w:t>«</w:t>
      </w:r>
      <w:r w:rsidR="000B562B" w:rsidRPr="004C5C8A">
        <w:rPr>
          <w:lang w:val="fr-FR"/>
        </w:rPr>
        <w:t>ACT2Care</w:t>
      </w:r>
      <w:r w:rsidR="00CD0110">
        <w:rPr>
          <w:lang w:val="fr-FR"/>
        </w:rPr>
        <w:t>»</w:t>
      </w:r>
      <w:r w:rsidR="00675F91" w:rsidRPr="004C5C8A">
        <w:rPr>
          <w:lang w:val="fr-FR"/>
        </w:rPr>
        <w:t xml:space="preserve"> (</w:t>
      </w:r>
      <w:r w:rsidR="00CD0110">
        <w:rPr>
          <w:lang w:val="fr-FR"/>
        </w:rPr>
        <w:t>«</w:t>
      </w:r>
      <w:r w:rsidR="00675F91" w:rsidRPr="004C5C8A">
        <w:rPr>
          <w:lang w:val="fr-FR"/>
        </w:rPr>
        <w:t>Agir pour protéger</w:t>
      </w:r>
      <w:r w:rsidR="00CD0110">
        <w:rPr>
          <w:lang w:val="fr-FR"/>
        </w:rPr>
        <w:t>»</w:t>
      </w:r>
      <w:r w:rsidR="00675F91" w:rsidRPr="004C5C8A">
        <w:rPr>
          <w:lang w:val="fr-FR"/>
        </w:rPr>
        <w:t>)</w:t>
      </w:r>
      <w:r w:rsidR="000B562B" w:rsidRPr="004C5C8A">
        <w:rPr>
          <w:lang w:val="fr-FR"/>
        </w:rPr>
        <w:t xml:space="preserve">, </w:t>
      </w:r>
      <w:r w:rsidR="00751D6E" w:rsidRPr="004C5C8A">
        <w:rPr>
          <w:lang w:val="fr-FR"/>
        </w:rPr>
        <w:t>e</w:t>
      </w:r>
      <w:r w:rsidR="000B562B" w:rsidRPr="004C5C8A">
        <w:rPr>
          <w:lang w:val="fr-FR"/>
        </w:rPr>
        <w:t xml:space="preserve">n </w:t>
      </w:r>
      <w:r w:rsidR="00751D6E" w:rsidRPr="004C5C8A">
        <w:rPr>
          <w:lang w:val="fr-FR"/>
        </w:rPr>
        <w:t>s</w:t>
      </w:r>
      <w:r w:rsidR="000B562B" w:rsidRPr="004C5C8A">
        <w:rPr>
          <w:lang w:val="fr-FR"/>
        </w:rPr>
        <w:t>eptemb</w:t>
      </w:r>
      <w:r w:rsidR="00751D6E" w:rsidRPr="004C5C8A">
        <w:rPr>
          <w:lang w:val="fr-FR"/>
        </w:rPr>
        <w:t>re</w:t>
      </w:r>
      <w:r w:rsidR="000B562B" w:rsidRPr="004C5C8A">
        <w:rPr>
          <w:lang w:val="fr-FR"/>
        </w:rPr>
        <w:t xml:space="preserve"> 2005.</w:t>
      </w:r>
    </w:p>
    <w:p w:rsidR="000B562B" w:rsidRPr="00A176EA" w:rsidRDefault="002549A9" w:rsidP="00BB3173">
      <w:pPr>
        <w:pStyle w:val="SingleTxtG"/>
        <w:rPr>
          <w:lang w:val="fr-FR"/>
        </w:rPr>
      </w:pPr>
      <w:r w:rsidRPr="00A176EA">
        <w:rPr>
          <w:lang w:val="fr-FR"/>
        </w:rPr>
        <w:t>547.</w:t>
      </w:r>
      <w:r w:rsidRPr="00A176EA">
        <w:rPr>
          <w:lang w:val="fr-FR"/>
        </w:rPr>
        <w:tab/>
      </w:r>
      <w:r w:rsidR="004C5C8A">
        <w:rPr>
          <w:lang w:val="fr-FR"/>
        </w:rPr>
        <w:t>L</w:t>
      </w:r>
      <w:r w:rsidR="004C5C8A" w:rsidRPr="004C5C8A">
        <w:rPr>
          <w:lang w:val="fr-FR"/>
        </w:rPr>
        <w:t>’Administration pénitentiaire écossaise</w:t>
      </w:r>
      <w:r w:rsidR="004C5C8A">
        <w:rPr>
          <w:lang w:val="fr-FR"/>
        </w:rPr>
        <w:t xml:space="preserve"> s’emploie à réduire le nombre de suicides de détenus et à améliorer la prise en charge des détenus à risque. </w:t>
      </w:r>
      <w:r w:rsidR="00E64D5C">
        <w:rPr>
          <w:lang w:val="fr-FR"/>
        </w:rPr>
        <w:t>Sa stratégie de gestion du risque de suicide adoptée en 1992 et révisée en 1998 et 2005 reconnaît la nécessité de modifier la culture et l’environnement pénitentiaires de façon à ce que les détenus puissent sans crainte et en toute sécurité</w:t>
      </w:r>
      <w:r w:rsidR="00E64D5C" w:rsidRPr="00E64D5C">
        <w:rPr>
          <w:lang w:val="fr-FR"/>
        </w:rPr>
        <w:t xml:space="preserve"> </w:t>
      </w:r>
      <w:r w:rsidR="00E64D5C">
        <w:rPr>
          <w:lang w:val="fr-FR"/>
        </w:rPr>
        <w:t xml:space="preserve">demander de l’aide en cas de crise. </w:t>
      </w:r>
      <w:r w:rsidR="00BB3173">
        <w:rPr>
          <w:lang w:val="fr-FR"/>
        </w:rPr>
        <w:t xml:space="preserve">La stratégie fait appel à un travail d’équipe pluridisciplinaire, à une planification de la prise en charge </w:t>
      </w:r>
      <w:r w:rsidR="00D334FA">
        <w:rPr>
          <w:lang w:val="fr-FR"/>
        </w:rPr>
        <w:t>après</w:t>
      </w:r>
      <w:r w:rsidR="00BB3173">
        <w:rPr>
          <w:lang w:val="fr-FR"/>
        </w:rPr>
        <w:t xml:space="preserve"> analyse </w:t>
      </w:r>
      <w:r w:rsidR="00D334FA">
        <w:rPr>
          <w:lang w:val="fr-FR"/>
        </w:rPr>
        <w:t>collégiale</w:t>
      </w:r>
      <w:r w:rsidR="00BB3173">
        <w:rPr>
          <w:lang w:val="fr-FR"/>
        </w:rPr>
        <w:t xml:space="preserve"> au cas par cas, à l’identification des risques et à un soutien et des interventions axés sur la prise en charge. Tout le personnel pénitentiaire est formé à la mise en œuvre de la stratégie et au repérage des indicateurs de risque. Il bénéficie par ailleurs d’un</w:t>
      </w:r>
      <w:r w:rsidR="002812F2">
        <w:rPr>
          <w:lang w:val="fr-FR"/>
        </w:rPr>
        <w:t>e</w:t>
      </w:r>
      <w:r w:rsidR="00BB3173">
        <w:rPr>
          <w:lang w:val="fr-FR"/>
        </w:rPr>
        <w:t xml:space="preserve"> </w:t>
      </w:r>
      <w:r w:rsidR="002812F2">
        <w:rPr>
          <w:lang w:val="fr-FR"/>
        </w:rPr>
        <w:t>mise à niveau</w:t>
      </w:r>
      <w:r w:rsidR="00BB3173">
        <w:rPr>
          <w:lang w:val="fr-FR"/>
        </w:rPr>
        <w:t xml:space="preserve"> annuel</w:t>
      </w:r>
      <w:r w:rsidR="002812F2">
        <w:rPr>
          <w:lang w:val="fr-FR"/>
        </w:rPr>
        <w:t>le</w:t>
      </w:r>
      <w:r w:rsidR="000B562B" w:rsidRPr="00A176EA">
        <w:rPr>
          <w:lang w:val="fr-FR"/>
        </w:rPr>
        <w:t>.</w:t>
      </w:r>
    </w:p>
    <w:p w:rsidR="000B562B" w:rsidRPr="00A176EA" w:rsidRDefault="002549A9" w:rsidP="00A801B9">
      <w:pPr>
        <w:pStyle w:val="SingleTxtG"/>
        <w:rPr>
          <w:lang w:val="fr-FR"/>
        </w:rPr>
      </w:pPr>
      <w:r w:rsidRPr="00A176EA">
        <w:rPr>
          <w:lang w:val="fr-FR"/>
        </w:rPr>
        <w:t>548.</w:t>
      </w:r>
      <w:r w:rsidRPr="00A176EA">
        <w:rPr>
          <w:lang w:val="fr-FR"/>
        </w:rPr>
        <w:tab/>
      </w:r>
      <w:r w:rsidR="004C5C8A" w:rsidRPr="00BB3173">
        <w:rPr>
          <w:lang w:val="fr-FR"/>
        </w:rPr>
        <w:t>L’Administration pénitentiaire écossaise</w:t>
      </w:r>
      <w:r w:rsidR="004C5C8A">
        <w:rPr>
          <w:lang w:val="fr-FR"/>
        </w:rPr>
        <w:t xml:space="preserve"> </w:t>
      </w:r>
      <w:r w:rsidR="00BB3173">
        <w:rPr>
          <w:lang w:val="fr-FR"/>
        </w:rPr>
        <w:t xml:space="preserve">a révisé sa stratégie en tenant compte des conclusions des recherches menées et de sa propre expérience sur le terrain. Introduite en septembre 2005, la stratégie </w:t>
      </w:r>
      <w:r w:rsidR="00CD0110">
        <w:rPr>
          <w:lang w:val="fr-FR"/>
        </w:rPr>
        <w:t>«</w:t>
      </w:r>
      <w:r w:rsidR="00BB3173">
        <w:rPr>
          <w:lang w:val="fr-FR"/>
        </w:rPr>
        <w:t>ACT2Care</w:t>
      </w:r>
      <w:r w:rsidR="00CD0110">
        <w:rPr>
          <w:lang w:val="fr-FR"/>
        </w:rPr>
        <w:t>»</w:t>
      </w:r>
      <w:r w:rsidR="00BB3173">
        <w:rPr>
          <w:lang w:val="fr-FR"/>
        </w:rPr>
        <w:t xml:space="preserve"> </w:t>
      </w:r>
      <w:r w:rsidR="00DB0343">
        <w:rPr>
          <w:lang w:val="fr-FR"/>
        </w:rPr>
        <w:t>s’appuie sur les succès obtenus par l’approche pluridisciplinaire et la planification de la prise en charge</w:t>
      </w:r>
      <w:r w:rsidR="00BB3173">
        <w:rPr>
          <w:lang w:val="fr-FR"/>
        </w:rPr>
        <w:t xml:space="preserve"> </w:t>
      </w:r>
      <w:r w:rsidR="00280DAA">
        <w:rPr>
          <w:lang w:val="fr-FR"/>
        </w:rPr>
        <w:t xml:space="preserve">pour permettre à l’Administration pénitentiaire d’améliorer l’approche individualisée en renforçant l’implication de la famille, la planification de la prise en charge et la communication, </w:t>
      </w:r>
      <w:r w:rsidR="003E22F4">
        <w:rPr>
          <w:lang w:val="fr-FR"/>
        </w:rPr>
        <w:t xml:space="preserve">en recourant moins aux </w:t>
      </w:r>
      <w:r w:rsidR="00CD0110">
        <w:rPr>
          <w:lang w:val="fr-FR"/>
        </w:rPr>
        <w:t>«</w:t>
      </w:r>
      <w:r w:rsidR="00357B7B">
        <w:rPr>
          <w:lang w:val="fr-FR"/>
        </w:rPr>
        <w:t xml:space="preserve">trousseaux </w:t>
      </w:r>
      <w:r w:rsidR="0071643C">
        <w:rPr>
          <w:lang w:val="fr-FR"/>
        </w:rPr>
        <w:t>antisuicide</w:t>
      </w:r>
      <w:r w:rsidR="00CD0110">
        <w:rPr>
          <w:lang w:val="fr-FR"/>
        </w:rPr>
        <w:t>»</w:t>
      </w:r>
      <w:r w:rsidR="00357B7B">
        <w:rPr>
          <w:lang w:val="fr-FR"/>
        </w:rPr>
        <w:t xml:space="preserve">, en reconnaissant la nécessité d’un </w:t>
      </w:r>
      <w:r w:rsidR="00CD0110">
        <w:rPr>
          <w:lang w:val="fr-FR"/>
        </w:rPr>
        <w:t>«</w:t>
      </w:r>
      <w:r w:rsidR="00357B7B">
        <w:rPr>
          <w:lang w:val="fr-FR"/>
        </w:rPr>
        <w:t>environnement sûr</w:t>
      </w:r>
      <w:r w:rsidR="00CD0110">
        <w:rPr>
          <w:lang w:val="fr-FR"/>
        </w:rPr>
        <w:t>»</w:t>
      </w:r>
      <w:r w:rsidR="00357B7B">
        <w:rPr>
          <w:lang w:val="fr-FR"/>
        </w:rPr>
        <w:t xml:space="preserve">, </w:t>
      </w:r>
      <w:r w:rsidR="0071643C">
        <w:rPr>
          <w:lang w:val="fr-FR"/>
        </w:rPr>
        <w:t xml:space="preserve">en recourant davantage aux soins ambulatoires et à la thérapeutique, et en améliorant la culture du contact et du soutien. L’Administration pénitentiaire a par ailleurs introduit une nouvelle dimension dans la </w:t>
      </w:r>
      <w:r w:rsidR="002812F2">
        <w:rPr>
          <w:lang w:val="fr-FR"/>
        </w:rPr>
        <w:t>mise à niveau</w:t>
      </w:r>
      <w:r w:rsidR="0071643C">
        <w:rPr>
          <w:lang w:val="fr-FR"/>
        </w:rPr>
        <w:t xml:space="preserve"> annuelle en instaurant un programme d’apprentissage en ligne axé sur les compétences et soutenu par un apprentissage commun en salle de cours</w:t>
      </w:r>
      <w:r w:rsidR="000B562B" w:rsidRPr="00A176EA">
        <w:rPr>
          <w:lang w:val="fr-FR"/>
        </w:rPr>
        <w:t>.</w:t>
      </w:r>
    </w:p>
    <w:p w:rsidR="000B562B" w:rsidRPr="00A176EA" w:rsidRDefault="008F3DA4" w:rsidP="00410A02">
      <w:pPr>
        <w:pStyle w:val="H23G"/>
        <w:rPr>
          <w:lang w:val="fr-FR"/>
        </w:rPr>
      </w:pPr>
      <w:r w:rsidRPr="0071643C">
        <w:rPr>
          <w:lang w:val="fr-FR"/>
        </w:rPr>
        <w:t>Irlande du Nord</w:t>
      </w:r>
    </w:p>
    <w:p w:rsidR="000B562B" w:rsidRPr="00A176EA" w:rsidRDefault="002549A9" w:rsidP="0045245F">
      <w:pPr>
        <w:pStyle w:val="SingleTxtG"/>
        <w:rPr>
          <w:lang w:val="fr-FR"/>
        </w:rPr>
      </w:pPr>
      <w:r w:rsidRPr="00A176EA">
        <w:rPr>
          <w:lang w:val="fr-FR"/>
        </w:rPr>
        <w:t>549.</w:t>
      </w:r>
      <w:r w:rsidRPr="00A176EA">
        <w:rPr>
          <w:lang w:val="fr-FR"/>
        </w:rPr>
        <w:tab/>
      </w:r>
      <w:r w:rsidR="004B72E4">
        <w:rPr>
          <w:lang w:val="fr-FR"/>
        </w:rPr>
        <w:t>S</w:t>
      </w:r>
      <w:r w:rsidR="0045245F" w:rsidRPr="0045245F">
        <w:rPr>
          <w:lang w:val="fr-FR"/>
        </w:rPr>
        <w:t xml:space="preserve">uite </w:t>
      </w:r>
      <w:r w:rsidR="004B72E4">
        <w:rPr>
          <w:lang w:val="fr-FR"/>
        </w:rPr>
        <w:t xml:space="preserve">à </w:t>
      </w:r>
      <w:r w:rsidR="0045245F" w:rsidRPr="0045245F">
        <w:rPr>
          <w:lang w:val="fr-FR"/>
        </w:rPr>
        <w:t>un certain nombre de décès de cause non naturelle dans ses établissements, l’</w:t>
      </w:r>
      <w:r w:rsidR="008F3DA4" w:rsidRPr="0045245F">
        <w:rPr>
          <w:lang w:val="fr-FR"/>
        </w:rPr>
        <w:t>Administration pénitentiaire d’Irlande du Nord</w:t>
      </w:r>
      <w:r w:rsidR="000B562B" w:rsidRPr="00A176EA">
        <w:rPr>
          <w:lang w:val="fr-FR"/>
        </w:rPr>
        <w:t xml:space="preserve"> </w:t>
      </w:r>
      <w:r w:rsidR="0045245F">
        <w:rPr>
          <w:lang w:val="fr-FR"/>
        </w:rPr>
        <w:t>a demandé au professeur Roy McClelland de procéder à une étude des décès en détention</w:t>
      </w:r>
      <w:r w:rsidR="000B562B" w:rsidRPr="00A176EA">
        <w:rPr>
          <w:rStyle w:val="FootnoteReference"/>
          <w:bCs/>
          <w:szCs w:val="24"/>
        </w:rPr>
        <w:footnoteReference w:id="70"/>
      </w:r>
      <w:r w:rsidR="0045245F">
        <w:rPr>
          <w:lang w:val="fr-FR"/>
        </w:rPr>
        <w:t>. L’une des principales recommandations formulées suite à cette étude était que l’Administration pénitentiaire réexamine ses procédures de gestion des détenus considérés comme à risque. Celle-ci a donc introduit des procédures de soutien des détenus à risque en décembre 2009. Il s’agit d’une approche pluridisciplinaire des problèmes identifiés pour chaque cas individuel</w:t>
      </w:r>
      <w:r w:rsidR="00D334FA">
        <w:rPr>
          <w:lang w:val="fr-FR"/>
        </w:rPr>
        <w:t>, laquelle</w:t>
      </w:r>
      <w:r w:rsidR="0045245F">
        <w:rPr>
          <w:lang w:val="fr-FR"/>
        </w:rPr>
        <w:t xml:space="preserve"> permet d’élaborer un plan de prise en charge visant à réduire les risques au moyen de mesures de soutien personnalisées. Chaque cas est analysé lors de réunions régulières, ce qui permet de réexaminer et</w:t>
      </w:r>
      <w:r w:rsidR="00D334FA" w:rsidRPr="00D334FA">
        <w:rPr>
          <w:lang w:val="fr-FR"/>
        </w:rPr>
        <w:t xml:space="preserve"> </w:t>
      </w:r>
      <w:r w:rsidR="00D334FA">
        <w:rPr>
          <w:lang w:val="fr-FR"/>
        </w:rPr>
        <w:t>de modifier</w:t>
      </w:r>
      <w:r w:rsidR="0045245F">
        <w:rPr>
          <w:lang w:val="fr-FR"/>
        </w:rPr>
        <w:t>, le cas échéant, le plan de prise en charge au moyen d’un processus auquel participent le détenu, le personnel pénitentiaire, le personnel infirmier, d’autres professionnels travaillant dans l’établissement et, s’il y a lieu, la famille du détenu</w:t>
      </w:r>
      <w:r w:rsidR="000B562B" w:rsidRPr="00A176EA">
        <w:rPr>
          <w:lang w:val="fr-FR"/>
        </w:rPr>
        <w:t>.</w:t>
      </w:r>
    </w:p>
    <w:p w:rsidR="000B562B" w:rsidRPr="00A176EA" w:rsidRDefault="002549A9" w:rsidP="007E50B4">
      <w:pPr>
        <w:pStyle w:val="SingleTxtG"/>
        <w:rPr>
          <w:lang w:val="fr-FR"/>
        </w:rPr>
      </w:pPr>
      <w:r w:rsidRPr="00A176EA">
        <w:rPr>
          <w:lang w:val="fr-FR"/>
        </w:rPr>
        <w:t>550.</w:t>
      </w:r>
      <w:r w:rsidRPr="00A176EA">
        <w:rPr>
          <w:lang w:val="fr-FR"/>
        </w:rPr>
        <w:tab/>
      </w:r>
      <w:r w:rsidR="0045245F" w:rsidRPr="004B72E4">
        <w:rPr>
          <w:lang w:val="fr-FR"/>
        </w:rPr>
        <w:t>L’</w:t>
      </w:r>
      <w:r w:rsidR="008F3DA4" w:rsidRPr="004B72E4">
        <w:rPr>
          <w:lang w:val="fr-FR"/>
        </w:rPr>
        <w:t>Administration pénitentiaire d’Irlande du Nord</w:t>
      </w:r>
      <w:r w:rsidR="000B562B" w:rsidRPr="00A176EA">
        <w:rPr>
          <w:lang w:val="fr-FR"/>
        </w:rPr>
        <w:t xml:space="preserve"> </w:t>
      </w:r>
      <w:r w:rsidR="0045245F">
        <w:rPr>
          <w:lang w:val="fr-FR"/>
        </w:rPr>
        <w:t xml:space="preserve">entretient des relations étroites avec </w:t>
      </w:r>
      <w:r w:rsidR="00726C3D">
        <w:rPr>
          <w:lang w:val="fr-FR"/>
        </w:rPr>
        <w:t xml:space="preserve">l’association </w:t>
      </w:r>
      <w:r w:rsidR="004B72E4">
        <w:rPr>
          <w:lang w:val="fr-FR"/>
        </w:rPr>
        <w:t>Samaritans (</w:t>
      </w:r>
      <w:r w:rsidR="00CD0110">
        <w:rPr>
          <w:lang w:val="fr-FR"/>
        </w:rPr>
        <w:t>«</w:t>
      </w:r>
      <w:r w:rsidR="004B72E4">
        <w:rPr>
          <w:lang w:val="fr-FR"/>
        </w:rPr>
        <w:t>Samaritains</w:t>
      </w:r>
      <w:r w:rsidR="00CD0110">
        <w:rPr>
          <w:lang w:val="fr-FR"/>
        </w:rPr>
        <w:t>»</w:t>
      </w:r>
      <w:r w:rsidR="004B72E4">
        <w:rPr>
          <w:lang w:val="fr-FR"/>
        </w:rPr>
        <w:t>), qui gère un programme de soutien par les pairs, les Confidents. Les Confidents sont des détenus formés par les Samaritans à l’éco</w:t>
      </w:r>
      <w:r w:rsidR="007E50B4">
        <w:rPr>
          <w:lang w:val="fr-FR"/>
        </w:rPr>
        <w:t>ute de leurs codétenus pour apporter un soutien psychologique confidentiel à ceux qui souhaitent parler de leurs problèmes à une personne n’appartenant pas au personnel pénitentiaire</w:t>
      </w:r>
      <w:r w:rsidR="000B562B" w:rsidRPr="00A176EA">
        <w:rPr>
          <w:lang w:val="fr-FR"/>
        </w:rPr>
        <w:t>.</w:t>
      </w:r>
    </w:p>
    <w:p w:rsidR="000B562B" w:rsidRPr="00A176EA" w:rsidRDefault="002549A9" w:rsidP="00A801B9">
      <w:pPr>
        <w:pStyle w:val="SingleTxtG"/>
        <w:rPr>
          <w:lang w:val="fr-FR"/>
        </w:rPr>
      </w:pPr>
      <w:r w:rsidRPr="00A176EA">
        <w:rPr>
          <w:lang w:val="fr-FR"/>
        </w:rPr>
        <w:t>551.</w:t>
      </w:r>
      <w:r w:rsidRPr="00A176EA">
        <w:rPr>
          <w:lang w:val="fr-FR"/>
        </w:rPr>
        <w:tab/>
      </w:r>
      <w:r w:rsidR="0045245F" w:rsidRPr="007E50B4">
        <w:rPr>
          <w:lang w:val="fr-FR"/>
        </w:rPr>
        <w:t>Le 10 février</w:t>
      </w:r>
      <w:r w:rsidR="000B562B" w:rsidRPr="007E50B4">
        <w:rPr>
          <w:lang w:val="fr-FR"/>
        </w:rPr>
        <w:t xml:space="preserve"> 2011</w:t>
      </w:r>
      <w:r w:rsidR="0045245F" w:rsidRPr="007E50B4">
        <w:rPr>
          <w:lang w:val="fr-FR"/>
        </w:rPr>
        <w:t>,</w:t>
      </w:r>
      <w:r w:rsidR="000B562B" w:rsidRPr="007E50B4">
        <w:rPr>
          <w:lang w:val="fr-FR"/>
        </w:rPr>
        <w:t xml:space="preserve"> </w:t>
      </w:r>
      <w:r w:rsidR="000A1211">
        <w:rPr>
          <w:lang w:val="fr-FR"/>
        </w:rPr>
        <w:t xml:space="preserve">suite à un examen approfondi des processus appuyant les nouvelles procédures de soutien des détenus à risque, </w:t>
      </w:r>
      <w:r w:rsidR="0045245F" w:rsidRPr="007E50B4">
        <w:rPr>
          <w:lang w:val="fr-FR"/>
        </w:rPr>
        <w:t>l’</w:t>
      </w:r>
      <w:r w:rsidR="008F3DA4" w:rsidRPr="007E50B4">
        <w:rPr>
          <w:lang w:val="fr-FR"/>
        </w:rPr>
        <w:t>Administration pénitentiaire d’Irlande du Nord</w:t>
      </w:r>
      <w:r w:rsidR="000B562B" w:rsidRPr="00A176EA">
        <w:rPr>
          <w:lang w:val="fr-FR"/>
        </w:rPr>
        <w:t xml:space="preserve"> </w:t>
      </w:r>
      <w:r w:rsidR="00D73FDD">
        <w:rPr>
          <w:lang w:val="fr-FR"/>
        </w:rPr>
        <w:t>a réexaminé ses Politique et modes opératoires normalisés en matière de prévention du suicide et de l’automutilation</w:t>
      </w:r>
      <w:r w:rsidR="000B562B" w:rsidRPr="00A176EA">
        <w:rPr>
          <w:lang w:val="fr-FR"/>
        </w:rPr>
        <w:t>.</w:t>
      </w:r>
    </w:p>
    <w:p w:rsidR="000B562B" w:rsidRPr="00A176EA" w:rsidRDefault="000A1211" w:rsidP="00A801B9">
      <w:pPr>
        <w:pStyle w:val="H23G"/>
        <w:rPr>
          <w:lang w:val="fr-FR"/>
        </w:rPr>
      </w:pPr>
      <w:bookmarkStart w:id="66" w:name="_Toc299724753"/>
      <w:r>
        <w:rPr>
          <w:lang w:val="fr-FR"/>
        </w:rPr>
        <w:t>É</w:t>
      </w:r>
      <w:r w:rsidR="000B562B" w:rsidRPr="00A176EA">
        <w:rPr>
          <w:lang w:val="fr-FR"/>
        </w:rPr>
        <w:t xml:space="preserve">ducation </w:t>
      </w:r>
      <w:bookmarkEnd w:id="66"/>
      <w:r>
        <w:rPr>
          <w:lang w:val="fr-FR"/>
        </w:rPr>
        <w:t>en détention</w:t>
      </w:r>
    </w:p>
    <w:p w:rsidR="000B562B" w:rsidRPr="00A176EA" w:rsidRDefault="002549A9" w:rsidP="003C36A4">
      <w:pPr>
        <w:pStyle w:val="SingleTxtG"/>
        <w:rPr>
          <w:lang w:val="fr-FR"/>
        </w:rPr>
      </w:pPr>
      <w:r w:rsidRPr="00A176EA">
        <w:rPr>
          <w:lang w:val="fr-FR"/>
        </w:rPr>
        <w:t>552.</w:t>
      </w:r>
      <w:r w:rsidRPr="00A176EA">
        <w:rPr>
          <w:lang w:val="fr-FR"/>
        </w:rPr>
        <w:tab/>
      </w:r>
      <w:r w:rsidR="000E0429">
        <w:rPr>
          <w:lang w:val="fr-FR"/>
        </w:rPr>
        <w:t xml:space="preserve">Le Ministère des entreprises, de l’innovation et des compétences finance l’éducation des </w:t>
      </w:r>
      <w:r w:rsidR="00D334FA">
        <w:rPr>
          <w:lang w:val="fr-FR"/>
        </w:rPr>
        <w:t xml:space="preserve">adultes </w:t>
      </w:r>
      <w:r w:rsidR="000E0429">
        <w:rPr>
          <w:lang w:val="fr-FR"/>
        </w:rPr>
        <w:t xml:space="preserve">détenus dans les établissements pénitentiaires publics d’Angleterre. La majeure partie de ce financement est allouée </w:t>
      </w:r>
      <w:r w:rsidR="002F2DB8">
        <w:rPr>
          <w:lang w:val="fr-FR"/>
        </w:rPr>
        <w:t xml:space="preserve">à l’Organisme de financement des compétences, qui veille à ce qu’un programme de base soit dispensé dans tous les établissements au titre du Service d’apprentissage et d’acquisition de compétences pour les délinquants. En 2006, </w:t>
      </w:r>
      <w:r w:rsidR="00ED54EC">
        <w:rPr>
          <w:lang w:val="fr-FR"/>
        </w:rPr>
        <w:t xml:space="preserve">un nouveau dispositif a vu le jour en Angleterre et la qualité de l’offre d’apprentissage et d’acquisition de compétences s’est nettement améliorée, ainsi que l’ont observé des inspections indépendantes (d’abord par l’Inspection générale de la formation des adultes, puis par l’Ofsted, l’Organisme de surveillance de la qualité de l’enseignement). </w:t>
      </w:r>
      <w:r w:rsidR="00D334FA">
        <w:rPr>
          <w:lang w:val="fr-FR"/>
        </w:rPr>
        <w:t>Pour</w:t>
      </w:r>
      <w:r w:rsidR="00ED54EC">
        <w:rPr>
          <w:lang w:val="fr-FR"/>
        </w:rPr>
        <w:t xml:space="preserve"> 2002-2003, un peu plus des trois quarts (78 %) de</w:t>
      </w:r>
      <w:r w:rsidR="00005BD3">
        <w:rPr>
          <w:lang w:val="fr-FR"/>
        </w:rPr>
        <w:t>s</w:t>
      </w:r>
      <w:r w:rsidR="00ED54EC">
        <w:rPr>
          <w:lang w:val="fr-FR"/>
        </w:rPr>
        <w:t xml:space="preserve"> </w:t>
      </w:r>
      <w:r w:rsidR="00005BD3">
        <w:rPr>
          <w:lang w:val="fr-FR"/>
        </w:rPr>
        <w:t>formations</w:t>
      </w:r>
      <w:r w:rsidR="00ED54EC">
        <w:rPr>
          <w:lang w:val="fr-FR"/>
        </w:rPr>
        <w:t xml:space="preserve"> dispensé</w:t>
      </w:r>
      <w:r w:rsidR="00005BD3">
        <w:rPr>
          <w:lang w:val="fr-FR"/>
        </w:rPr>
        <w:t>es</w:t>
      </w:r>
      <w:r w:rsidR="00ED54EC">
        <w:rPr>
          <w:lang w:val="fr-FR"/>
        </w:rPr>
        <w:t xml:space="preserve"> en prison </w:t>
      </w:r>
      <w:r w:rsidR="00D334FA">
        <w:rPr>
          <w:lang w:val="fr-FR"/>
        </w:rPr>
        <w:t>avaie</w:t>
      </w:r>
      <w:r w:rsidR="00005BD3">
        <w:rPr>
          <w:lang w:val="fr-FR"/>
        </w:rPr>
        <w:t>nt</w:t>
      </w:r>
      <w:r w:rsidR="007D3919">
        <w:rPr>
          <w:lang w:val="fr-FR"/>
        </w:rPr>
        <w:t xml:space="preserve"> été évalué</w:t>
      </w:r>
      <w:r w:rsidR="00005BD3">
        <w:rPr>
          <w:lang w:val="fr-FR"/>
        </w:rPr>
        <w:t>s</w:t>
      </w:r>
      <w:r w:rsidR="007D3919">
        <w:rPr>
          <w:lang w:val="fr-FR"/>
        </w:rPr>
        <w:t xml:space="preserve"> comme inadéquat</w:t>
      </w:r>
      <w:r w:rsidR="00005BD3">
        <w:rPr>
          <w:lang w:val="fr-FR"/>
        </w:rPr>
        <w:t>s</w:t>
      </w:r>
      <w:r w:rsidR="007D3919">
        <w:rPr>
          <w:lang w:val="fr-FR"/>
        </w:rPr>
        <w:t xml:space="preserve">. En 2008-2009, ce pourcentage n’était plus que de 6 %, </w:t>
      </w:r>
      <w:r w:rsidR="00005BD3">
        <w:rPr>
          <w:lang w:val="fr-FR"/>
        </w:rPr>
        <w:t xml:space="preserve">la prison d’Askham Grange étant le tout premier établissement </w:t>
      </w:r>
      <w:r w:rsidR="009B0C21">
        <w:rPr>
          <w:lang w:val="fr-FR"/>
        </w:rPr>
        <w:t>à avoir</w:t>
      </w:r>
      <w:r w:rsidR="00005BD3">
        <w:rPr>
          <w:lang w:val="fr-FR"/>
        </w:rPr>
        <w:t xml:space="preserve"> reçu la mention excellent pour la qualité de la formation qu’elle fournit en </w:t>
      </w:r>
      <w:r w:rsidR="00D334FA">
        <w:rPr>
          <w:lang w:val="fr-FR"/>
        </w:rPr>
        <w:t>partenariat</w:t>
      </w:r>
      <w:r w:rsidR="00005BD3">
        <w:rPr>
          <w:lang w:val="fr-FR"/>
        </w:rPr>
        <w:t xml:space="preserve"> avec le Manchester </w:t>
      </w:r>
      <w:r w:rsidR="000B562B" w:rsidRPr="00A176EA">
        <w:rPr>
          <w:lang w:val="fr-FR"/>
        </w:rPr>
        <w:t xml:space="preserve">College. </w:t>
      </w:r>
      <w:r w:rsidR="009B0C21">
        <w:rPr>
          <w:lang w:val="fr-FR"/>
        </w:rPr>
        <w:t xml:space="preserve">Une nouvelle coopération a été </w:t>
      </w:r>
      <w:r w:rsidR="000C204F">
        <w:rPr>
          <w:lang w:val="fr-FR"/>
        </w:rPr>
        <w:t>convenue</w:t>
      </w:r>
      <w:r w:rsidR="009B0C21">
        <w:rPr>
          <w:lang w:val="fr-FR"/>
        </w:rPr>
        <w:t xml:space="preserve"> entre l’Organisme de financement des compétences et le Service national de gestion des détenus pour la mise en œuvre du Service d’apprentissage et d’acquisition de compétences pour les délinquants. Un </w:t>
      </w:r>
      <w:r w:rsidR="009B0C21" w:rsidRPr="000C204F">
        <w:rPr>
          <w:lang w:val="fr-FR"/>
        </w:rPr>
        <w:t>programme</w:t>
      </w:r>
      <w:r w:rsidR="009B0C21">
        <w:rPr>
          <w:lang w:val="fr-FR"/>
        </w:rPr>
        <w:t xml:space="preserve"> de base largement concentré sur </w:t>
      </w:r>
      <w:r w:rsidR="003C36A4">
        <w:rPr>
          <w:lang w:val="fr-FR"/>
        </w:rPr>
        <w:t xml:space="preserve">l’aptitude à l’emploi a été mis en place pour contribuer à réduire la récidive </w:t>
      </w:r>
      <w:r w:rsidR="000C204F">
        <w:rPr>
          <w:lang w:val="fr-FR"/>
        </w:rPr>
        <w:t>par</w:t>
      </w:r>
      <w:r w:rsidR="003C36A4">
        <w:rPr>
          <w:lang w:val="fr-FR"/>
        </w:rPr>
        <w:t xml:space="preserve"> l’emploi et l’acquisition de compétences</w:t>
      </w:r>
      <w:r w:rsidR="000B562B" w:rsidRPr="00A176EA">
        <w:rPr>
          <w:lang w:val="fr-FR"/>
        </w:rPr>
        <w:t>.</w:t>
      </w:r>
    </w:p>
    <w:p w:rsidR="000B562B" w:rsidRPr="00A176EA" w:rsidRDefault="002549A9" w:rsidP="00D54BDC">
      <w:pPr>
        <w:pStyle w:val="SingleTxtG"/>
        <w:rPr>
          <w:lang w:val="fr-FR"/>
        </w:rPr>
      </w:pPr>
      <w:r w:rsidRPr="00A176EA">
        <w:rPr>
          <w:lang w:val="fr-FR"/>
        </w:rPr>
        <w:t>553.</w:t>
      </w:r>
      <w:r w:rsidRPr="00A176EA">
        <w:rPr>
          <w:lang w:val="fr-FR"/>
        </w:rPr>
        <w:tab/>
      </w:r>
      <w:r w:rsidR="003C36A4">
        <w:rPr>
          <w:lang w:val="fr-FR"/>
        </w:rPr>
        <w:t>Bien qu</w:t>
      </w:r>
      <w:r w:rsidR="00E968A5">
        <w:rPr>
          <w:lang w:val="fr-FR"/>
        </w:rPr>
        <w:t>’ils</w:t>
      </w:r>
      <w:r w:rsidR="003C36A4">
        <w:rPr>
          <w:lang w:val="fr-FR"/>
        </w:rPr>
        <w:t xml:space="preserve"> ne soient pas concernés par le Service d’apprentissage et d’acquisition des compétences, </w:t>
      </w:r>
      <w:r w:rsidR="00E968A5">
        <w:rPr>
          <w:lang w:val="fr-FR"/>
        </w:rPr>
        <w:t>les établissements pénitentiaires privés s’efforcent, à des fins de financement,</w:t>
      </w:r>
      <w:r w:rsidR="003C36A4">
        <w:rPr>
          <w:lang w:val="fr-FR"/>
        </w:rPr>
        <w:t xml:space="preserve"> </w:t>
      </w:r>
      <w:r w:rsidR="00E968A5">
        <w:rPr>
          <w:lang w:val="fr-FR"/>
        </w:rPr>
        <w:t>d’offrir un service d’apprentissage conforme aux exigences du Parcours d’apprentissage du délinquant</w:t>
      </w:r>
      <w:r w:rsidR="000B562B" w:rsidRPr="00A176EA">
        <w:rPr>
          <w:rStyle w:val="FootnoteReference"/>
          <w:bCs/>
          <w:szCs w:val="24"/>
        </w:rPr>
        <w:footnoteReference w:id="71"/>
      </w:r>
      <w:r w:rsidR="000B562B" w:rsidRPr="00A176EA">
        <w:rPr>
          <w:lang w:val="fr-FR"/>
        </w:rPr>
        <w:t xml:space="preserve"> </w:t>
      </w:r>
      <w:r w:rsidR="00D54BDC">
        <w:rPr>
          <w:lang w:val="fr-FR"/>
        </w:rPr>
        <w:t>et d’associer leur activité d’apprentissage à celle pratiquée dans les établissements vers lesquels ou en provenance desquels les détenus sont transférés</w:t>
      </w:r>
      <w:r w:rsidR="000B562B" w:rsidRPr="00A176EA">
        <w:rPr>
          <w:lang w:val="fr-FR"/>
        </w:rPr>
        <w:t>.</w:t>
      </w:r>
    </w:p>
    <w:p w:rsidR="000B562B" w:rsidRPr="00A176EA" w:rsidRDefault="002549A9" w:rsidP="00105BAA">
      <w:pPr>
        <w:pStyle w:val="SingleTxtG"/>
        <w:rPr>
          <w:lang w:val="fr-FR"/>
        </w:rPr>
      </w:pPr>
      <w:r w:rsidRPr="00A176EA">
        <w:rPr>
          <w:lang w:val="fr-FR"/>
        </w:rPr>
        <w:t>554.</w:t>
      </w:r>
      <w:r w:rsidRPr="00A176EA">
        <w:rPr>
          <w:lang w:val="fr-FR"/>
        </w:rPr>
        <w:tab/>
      </w:r>
      <w:r w:rsidR="00D54BDC">
        <w:rPr>
          <w:lang w:val="fr-FR"/>
        </w:rPr>
        <w:t xml:space="preserve">Le Ministère de la justice finance désormais la totalité de l’enseignement dispensé </w:t>
      </w:r>
      <w:r w:rsidR="000C204F">
        <w:rPr>
          <w:lang w:val="fr-FR"/>
        </w:rPr>
        <w:t>dans l</w:t>
      </w:r>
      <w:r w:rsidR="00D54BDC">
        <w:rPr>
          <w:lang w:val="fr-FR"/>
        </w:rPr>
        <w:t xml:space="preserve">es </w:t>
      </w:r>
      <w:r w:rsidR="00226E7E">
        <w:rPr>
          <w:lang w:val="fr-FR"/>
        </w:rPr>
        <w:t>centres</w:t>
      </w:r>
      <w:r w:rsidR="00D54BDC">
        <w:rPr>
          <w:lang w:val="fr-FR"/>
        </w:rPr>
        <w:t xml:space="preserve"> de détention pour mineurs. Cette dotation passe par l’Organisme d’apprentissage pour les jeunes</w:t>
      </w:r>
      <w:r w:rsidR="00105BAA">
        <w:rPr>
          <w:lang w:val="fr-FR"/>
        </w:rPr>
        <w:t xml:space="preserve">, qui gère les contrats avec les prestataires de services d’enseignement en détention. Depuis l’adoption de la loi sur l’apprentissage, l’acquisition des compétences, </w:t>
      </w:r>
      <w:r w:rsidR="000C204F">
        <w:rPr>
          <w:lang w:val="fr-FR"/>
        </w:rPr>
        <w:t>l’enfance</w:t>
      </w:r>
      <w:r w:rsidR="00105BAA">
        <w:rPr>
          <w:lang w:val="fr-FR"/>
        </w:rPr>
        <w:t xml:space="preserve"> et l’enseignement, en 2009, il incombe aux autorités locales de fournir un enseignement et une formation appropriés aux détenus des </w:t>
      </w:r>
      <w:r w:rsidR="00226E7E">
        <w:rPr>
          <w:lang w:val="fr-FR"/>
        </w:rPr>
        <w:t>centres</w:t>
      </w:r>
      <w:r w:rsidR="00105BAA">
        <w:rPr>
          <w:lang w:val="fr-FR"/>
        </w:rPr>
        <w:t xml:space="preserve"> pour mineurs</w:t>
      </w:r>
      <w:r w:rsidR="000B562B" w:rsidRPr="00A176EA">
        <w:rPr>
          <w:lang w:val="fr-FR"/>
        </w:rPr>
        <w:t>.</w:t>
      </w:r>
    </w:p>
    <w:p w:rsidR="000B562B" w:rsidRPr="00A176EA" w:rsidRDefault="002549A9" w:rsidP="00B128A2">
      <w:pPr>
        <w:pStyle w:val="SingleTxtG"/>
        <w:tabs>
          <w:tab w:val="left" w:pos="567"/>
          <w:tab w:val="left" w:pos="1134"/>
          <w:tab w:val="left" w:pos="1701"/>
          <w:tab w:val="left" w:pos="2268"/>
          <w:tab w:val="left" w:pos="2835"/>
          <w:tab w:val="left" w:pos="3449"/>
        </w:tabs>
        <w:rPr>
          <w:lang w:val="fr-FR"/>
        </w:rPr>
      </w:pPr>
      <w:r w:rsidRPr="00A176EA">
        <w:rPr>
          <w:lang w:val="fr-FR"/>
        </w:rPr>
        <w:t>555.</w:t>
      </w:r>
      <w:r w:rsidRPr="00A176EA">
        <w:rPr>
          <w:lang w:val="fr-FR"/>
        </w:rPr>
        <w:tab/>
      </w:r>
      <w:r w:rsidR="003D6BAB">
        <w:rPr>
          <w:lang w:val="fr-FR"/>
        </w:rPr>
        <w:t>Depuis</w:t>
      </w:r>
      <w:r w:rsidR="000B562B" w:rsidRPr="00A176EA">
        <w:rPr>
          <w:lang w:val="fr-FR"/>
        </w:rPr>
        <w:t xml:space="preserve"> </w:t>
      </w:r>
      <w:r w:rsidR="00105BAA">
        <w:rPr>
          <w:lang w:val="fr-FR"/>
        </w:rPr>
        <w:t>av</w:t>
      </w:r>
      <w:r w:rsidR="000B562B" w:rsidRPr="00A176EA">
        <w:rPr>
          <w:lang w:val="fr-FR"/>
        </w:rPr>
        <w:t>ril 2009</w:t>
      </w:r>
      <w:r w:rsidR="00105BAA">
        <w:rPr>
          <w:lang w:val="fr-FR"/>
        </w:rPr>
        <w:t xml:space="preserve">, </w:t>
      </w:r>
      <w:r w:rsidR="003D6BAB">
        <w:rPr>
          <w:lang w:val="fr-FR"/>
        </w:rPr>
        <w:t xml:space="preserve">le Gouvernement de l’Assemblée galloise est chargé du financement </w:t>
      </w:r>
      <w:r w:rsidR="00B128A2">
        <w:rPr>
          <w:lang w:val="fr-FR"/>
        </w:rPr>
        <w:t xml:space="preserve">de la formation des adultes dans les établissements pénitentiaires publics du pays de Galles. Pour l’exercice budgétaire en cours, il a alloué la somme de 2,6 millions de livres sterling à la formation et à l’acquisition de compétences destinées aux détenus adultes. Le Service national de gestion des détenus a </w:t>
      </w:r>
      <w:r w:rsidR="000C204F">
        <w:rPr>
          <w:lang w:val="fr-FR"/>
        </w:rPr>
        <w:t xml:space="preserve">signé avec Cymru un protocole d’accord lui </w:t>
      </w:r>
      <w:r w:rsidR="00B128A2">
        <w:rPr>
          <w:lang w:val="fr-FR"/>
        </w:rPr>
        <w:t>confi</w:t>
      </w:r>
      <w:r w:rsidR="000C204F">
        <w:rPr>
          <w:lang w:val="fr-FR"/>
        </w:rPr>
        <w:t>ant</w:t>
      </w:r>
      <w:r w:rsidR="00B128A2">
        <w:rPr>
          <w:lang w:val="fr-FR"/>
        </w:rPr>
        <w:t xml:space="preserve"> l’organisation des formations. </w:t>
      </w:r>
      <w:r w:rsidR="000C204F">
        <w:rPr>
          <w:lang w:val="fr-FR"/>
        </w:rPr>
        <w:t>E</w:t>
      </w:r>
      <w:r w:rsidR="00B128A2">
        <w:rPr>
          <w:lang w:val="fr-FR"/>
        </w:rPr>
        <w:t>n cours d’élaboration</w:t>
      </w:r>
      <w:r w:rsidR="000C204F">
        <w:rPr>
          <w:lang w:val="fr-FR"/>
        </w:rPr>
        <w:t>,</w:t>
      </w:r>
      <w:r w:rsidR="00B128A2">
        <w:rPr>
          <w:lang w:val="fr-FR"/>
        </w:rPr>
        <w:t xml:space="preserve"> </w:t>
      </w:r>
      <w:r w:rsidR="000C204F">
        <w:rPr>
          <w:lang w:val="fr-FR"/>
        </w:rPr>
        <w:t xml:space="preserve">le programme de base </w:t>
      </w:r>
      <w:r w:rsidR="00B128A2">
        <w:rPr>
          <w:lang w:val="fr-FR"/>
        </w:rPr>
        <w:t>se concentre sur l’alphabétisation, l’apprentissage du calcul et l’aptitude à l’emploi</w:t>
      </w:r>
      <w:r w:rsidR="000B562B" w:rsidRPr="00A176EA">
        <w:rPr>
          <w:lang w:val="fr-FR"/>
        </w:rPr>
        <w:t>.</w:t>
      </w:r>
    </w:p>
    <w:p w:rsidR="000B562B" w:rsidRPr="00A176EA" w:rsidRDefault="002549A9" w:rsidP="00835DF8">
      <w:pPr>
        <w:pStyle w:val="SingleTxtG"/>
        <w:rPr>
          <w:lang w:val="fr-FR"/>
        </w:rPr>
      </w:pPr>
      <w:r w:rsidRPr="00A176EA">
        <w:rPr>
          <w:lang w:val="fr-FR"/>
        </w:rPr>
        <w:t>556.</w:t>
      </w:r>
      <w:r w:rsidRPr="00A176EA">
        <w:rPr>
          <w:lang w:val="fr-FR"/>
        </w:rPr>
        <w:tab/>
      </w:r>
      <w:r w:rsidR="00835DF8">
        <w:rPr>
          <w:lang w:val="fr-FR"/>
        </w:rPr>
        <w:t>Jusqu’aux</w:t>
      </w:r>
      <w:r w:rsidR="00C536B6">
        <w:rPr>
          <w:lang w:val="fr-FR"/>
        </w:rPr>
        <w:t xml:space="preserve"> changements récents, le budget consacré à la formation des détenus mineurs, jeunes et adultes en Angleterre et au pays de Galles </w:t>
      </w:r>
      <w:r w:rsidR="00251E63">
        <w:rPr>
          <w:lang w:val="fr-FR"/>
        </w:rPr>
        <w:t>a</w:t>
      </w:r>
      <w:r w:rsidR="007D1FBF">
        <w:rPr>
          <w:lang w:val="fr-FR"/>
        </w:rPr>
        <w:t>vait</w:t>
      </w:r>
      <w:r w:rsidR="00C536B6">
        <w:rPr>
          <w:lang w:val="fr-FR"/>
        </w:rPr>
        <w:t xml:space="preserve"> presque triplé </w:t>
      </w:r>
      <w:r w:rsidR="00251E63">
        <w:rPr>
          <w:lang w:val="fr-FR"/>
        </w:rPr>
        <w:t>par rapport à</w:t>
      </w:r>
      <w:r w:rsidR="00C536B6">
        <w:rPr>
          <w:lang w:val="fr-FR"/>
        </w:rPr>
        <w:t xml:space="preserve"> 2001, atteignant plus de 175 millions de livres sterling pour </w:t>
      </w:r>
      <w:r w:rsidR="000B562B" w:rsidRPr="00A176EA">
        <w:rPr>
          <w:lang w:val="fr-FR"/>
        </w:rPr>
        <w:t>2009</w:t>
      </w:r>
      <w:r w:rsidR="00C536B6">
        <w:rPr>
          <w:lang w:val="fr-FR"/>
        </w:rPr>
        <w:t>-20</w:t>
      </w:r>
      <w:r w:rsidR="000B562B" w:rsidRPr="00A176EA">
        <w:rPr>
          <w:lang w:val="fr-FR"/>
        </w:rPr>
        <w:t xml:space="preserve">10. </w:t>
      </w:r>
      <w:r w:rsidR="00251E63">
        <w:rPr>
          <w:lang w:val="fr-FR"/>
        </w:rPr>
        <w:t xml:space="preserve">Depuis la mise en œuvre des nouvelles dispositions en Angleterre, en juillet 2006, le pourcentage de détenus participant </w:t>
      </w:r>
      <w:r w:rsidR="007E3CC8">
        <w:rPr>
          <w:lang w:val="fr-FR"/>
        </w:rPr>
        <w:t>à une formation est passé de 30 </w:t>
      </w:r>
      <w:r w:rsidR="002C254A">
        <w:rPr>
          <w:lang w:val="fr-FR"/>
        </w:rPr>
        <w:t xml:space="preserve">% à plus de 42 %. </w:t>
      </w:r>
      <w:r w:rsidR="00835DF8">
        <w:rPr>
          <w:lang w:val="fr-FR"/>
        </w:rPr>
        <w:t xml:space="preserve">En 2006-2007, 82 290 d’entre eux, soit 52 % de la population pénale de l’époque, ont </w:t>
      </w:r>
      <w:r w:rsidR="001B6CD9">
        <w:rPr>
          <w:lang w:val="fr-FR"/>
        </w:rPr>
        <w:t>suivi</w:t>
      </w:r>
      <w:r w:rsidR="00835DF8">
        <w:rPr>
          <w:lang w:val="fr-FR"/>
        </w:rPr>
        <w:t xml:space="preserve"> une formation. Pour 2007-2008, ils ont été un peu moins de 34 000, soit près de 40 %, à suivre des études ou une formation, où à trouver un emploi à leur sortie de prison</w:t>
      </w:r>
      <w:r w:rsidR="000B562B" w:rsidRPr="00A176EA">
        <w:rPr>
          <w:lang w:val="fr-FR"/>
        </w:rPr>
        <w:t>.</w:t>
      </w:r>
    </w:p>
    <w:p w:rsidR="000B562B" w:rsidRPr="00A176EA" w:rsidRDefault="002549A9" w:rsidP="00E54490">
      <w:pPr>
        <w:pStyle w:val="SingleTxtG"/>
        <w:rPr>
          <w:lang w:val="fr-FR"/>
        </w:rPr>
      </w:pPr>
      <w:r w:rsidRPr="00A176EA">
        <w:rPr>
          <w:lang w:val="fr-FR"/>
        </w:rPr>
        <w:t>557.</w:t>
      </w:r>
      <w:r w:rsidRPr="00A176EA">
        <w:rPr>
          <w:lang w:val="fr-FR"/>
        </w:rPr>
        <w:tab/>
      </w:r>
      <w:r w:rsidR="00835DF8">
        <w:rPr>
          <w:lang w:val="fr-FR"/>
        </w:rPr>
        <w:t>E</w:t>
      </w:r>
      <w:r w:rsidR="000B562B" w:rsidRPr="00A176EA">
        <w:rPr>
          <w:lang w:val="fr-FR"/>
        </w:rPr>
        <w:t>n 2006</w:t>
      </w:r>
      <w:r w:rsidR="00835DF8">
        <w:rPr>
          <w:lang w:val="fr-FR"/>
        </w:rPr>
        <w:t xml:space="preserve">, </w:t>
      </w:r>
      <w:r w:rsidR="000740F5">
        <w:rPr>
          <w:lang w:val="fr-FR"/>
        </w:rPr>
        <w:t xml:space="preserve">les 14,5 millions </w:t>
      </w:r>
      <w:r w:rsidR="001B6CD9">
        <w:rPr>
          <w:lang w:val="fr-FR"/>
        </w:rPr>
        <w:t xml:space="preserve">de livres sterling </w:t>
      </w:r>
      <w:r w:rsidR="00150F52">
        <w:rPr>
          <w:lang w:val="fr-FR"/>
        </w:rPr>
        <w:t>consacrés à l’initiative Custody to Work (</w:t>
      </w:r>
      <w:r w:rsidR="00CD0110">
        <w:rPr>
          <w:lang w:val="fr-FR"/>
        </w:rPr>
        <w:t>«</w:t>
      </w:r>
      <w:r w:rsidR="00150F52">
        <w:rPr>
          <w:lang w:val="fr-FR"/>
        </w:rPr>
        <w:t>De la détention au travail</w:t>
      </w:r>
      <w:r w:rsidR="00CD0110">
        <w:rPr>
          <w:lang w:val="fr-FR"/>
        </w:rPr>
        <w:t>»</w:t>
      </w:r>
      <w:r w:rsidR="00150F52">
        <w:rPr>
          <w:lang w:val="fr-FR"/>
        </w:rPr>
        <w:t xml:space="preserve">) ont été </w:t>
      </w:r>
      <w:r w:rsidR="001B6CD9">
        <w:rPr>
          <w:lang w:val="fr-FR"/>
        </w:rPr>
        <w:t>dis</w:t>
      </w:r>
      <w:r w:rsidR="00150F52">
        <w:rPr>
          <w:lang w:val="fr-FR"/>
        </w:rPr>
        <w:t>tribués aux établissements et intégrés dans leur budget de financement d</w:t>
      </w:r>
      <w:r w:rsidR="001B6CD9">
        <w:rPr>
          <w:lang w:val="fr-FR"/>
        </w:rPr>
        <w:t>’</w:t>
      </w:r>
      <w:r w:rsidR="00150F52">
        <w:rPr>
          <w:lang w:val="fr-FR"/>
        </w:rPr>
        <w:t xml:space="preserve">activités de réinsertion, </w:t>
      </w:r>
      <w:r w:rsidR="007B22BE">
        <w:rPr>
          <w:lang w:val="fr-FR"/>
        </w:rPr>
        <w:t xml:space="preserve">dont </w:t>
      </w:r>
      <w:r w:rsidR="001B6CD9">
        <w:rPr>
          <w:lang w:val="fr-FR"/>
        </w:rPr>
        <w:t>les</w:t>
      </w:r>
      <w:r w:rsidR="00150F52">
        <w:rPr>
          <w:lang w:val="fr-FR"/>
        </w:rPr>
        <w:t xml:space="preserve"> conseils en matière d’hébergement et de logement. </w:t>
      </w:r>
      <w:r w:rsidR="00E54490">
        <w:rPr>
          <w:lang w:val="fr-FR"/>
        </w:rPr>
        <w:t xml:space="preserve">Cela </w:t>
      </w:r>
      <w:r w:rsidR="001B6CD9">
        <w:rPr>
          <w:lang w:val="fr-FR"/>
        </w:rPr>
        <w:t>s’est</w:t>
      </w:r>
      <w:r w:rsidR="00E54490">
        <w:rPr>
          <w:lang w:val="fr-FR"/>
        </w:rPr>
        <w:t xml:space="preserve"> fait </w:t>
      </w:r>
      <w:r w:rsidR="001B6CD9">
        <w:rPr>
          <w:lang w:val="fr-FR"/>
        </w:rPr>
        <w:t>pendant</w:t>
      </w:r>
      <w:r w:rsidR="00E54490">
        <w:rPr>
          <w:lang w:val="fr-FR"/>
        </w:rPr>
        <w:t xml:space="preserve"> l’intégration des projets de Custody to Work et une fois achevé le travail de l’unité qui en était chargée</w:t>
      </w:r>
      <w:r w:rsidR="000B562B" w:rsidRPr="00A176EA">
        <w:rPr>
          <w:lang w:val="fr-FR"/>
        </w:rPr>
        <w:t>.</w:t>
      </w:r>
    </w:p>
    <w:p w:rsidR="000B562B" w:rsidRPr="00A176EA" w:rsidRDefault="002549A9" w:rsidP="006D2AF3">
      <w:pPr>
        <w:pStyle w:val="SingleTxtG"/>
        <w:rPr>
          <w:lang w:val="fr-FR"/>
        </w:rPr>
      </w:pPr>
      <w:r w:rsidRPr="00A176EA">
        <w:rPr>
          <w:lang w:val="fr-FR"/>
        </w:rPr>
        <w:t>558.</w:t>
      </w:r>
      <w:r w:rsidRPr="00A176EA">
        <w:rPr>
          <w:lang w:val="fr-FR"/>
        </w:rPr>
        <w:tab/>
      </w:r>
      <w:r w:rsidR="00E54490">
        <w:rPr>
          <w:lang w:val="fr-FR"/>
        </w:rPr>
        <w:t xml:space="preserve">La participation aux formations a manifestement augmenté. Pour l’année scolaire 2007/08, les détenus ont participé à près de 148 000  cours </w:t>
      </w:r>
      <w:r w:rsidR="006D2AF3">
        <w:rPr>
          <w:lang w:val="fr-FR"/>
        </w:rPr>
        <w:t xml:space="preserve">d’acquisition de compétences pratiques et la part de ceux qui ont suivi des cours de niveau supérieur (Niveau 1 et Niveau 2) est passée de 52 % l’année précédente à 55 %. Près de 39 000 détenus ont obtenu une qualification. Outre le Service </w:t>
      </w:r>
      <w:r w:rsidR="006D2AF3" w:rsidRPr="006D2AF3">
        <w:rPr>
          <w:lang w:val="fr-FR"/>
        </w:rPr>
        <w:t>d’apprentissage et d’acquisition des compétences,</w:t>
      </w:r>
      <w:r w:rsidR="006D2AF3">
        <w:rPr>
          <w:lang w:val="fr-FR"/>
        </w:rPr>
        <w:t xml:space="preserve"> une série de qualifications professionnelles a été proposée aux délinquants pour leur permettre </w:t>
      </w:r>
      <w:r w:rsidR="001B6CD9">
        <w:rPr>
          <w:lang w:val="fr-FR"/>
        </w:rPr>
        <w:t>d’apprendre un métier</w:t>
      </w:r>
      <w:r w:rsidR="006D2AF3">
        <w:rPr>
          <w:lang w:val="fr-FR"/>
        </w:rPr>
        <w:t xml:space="preserve"> au sein de l</w:t>
      </w:r>
      <w:r w:rsidR="001B6CD9">
        <w:rPr>
          <w:lang w:val="fr-FR"/>
        </w:rPr>
        <w:t>’</w:t>
      </w:r>
      <w:r w:rsidR="006D2AF3">
        <w:rPr>
          <w:lang w:val="fr-FR"/>
        </w:rPr>
        <w:t xml:space="preserve">établissement pénitentiaire, dans divers secteurs </w:t>
      </w:r>
      <w:r w:rsidR="001B6CD9">
        <w:rPr>
          <w:lang w:val="fr-FR"/>
        </w:rPr>
        <w:t>comme</w:t>
      </w:r>
      <w:r w:rsidR="006D2AF3">
        <w:rPr>
          <w:lang w:val="fr-FR"/>
        </w:rPr>
        <w:t xml:space="preserve"> la menuiserie, la mécanique et la restauration</w:t>
      </w:r>
      <w:r w:rsidR="000B562B" w:rsidRPr="00A176EA">
        <w:rPr>
          <w:lang w:val="fr-FR"/>
        </w:rPr>
        <w:t>.</w:t>
      </w:r>
    </w:p>
    <w:p w:rsidR="000B562B" w:rsidRPr="00A176EA" w:rsidRDefault="002549A9" w:rsidP="00A801B9">
      <w:pPr>
        <w:pStyle w:val="SingleTxtG"/>
        <w:rPr>
          <w:lang w:val="fr-FR"/>
        </w:rPr>
      </w:pPr>
      <w:r w:rsidRPr="00A176EA">
        <w:rPr>
          <w:lang w:val="fr-FR"/>
        </w:rPr>
        <w:t>559.</w:t>
      </w:r>
      <w:r w:rsidRPr="00A176EA">
        <w:rPr>
          <w:lang w:val="fr-FR"/>
        </w:rPr>
        <w:tab/>
      </w:r>
      <w:r w:rsidR="006D2AF3">
        <w:rPr>
          <w:lang w:val="fr-FR"/>
        </w:rPr>
        <w:t xml:space="preserve">En Irlande du Nord, les pouvoirs de police et de justice, dont ceux s’appliquant aux prisons, </w:t>
      </w:r>
      <w:r w:rsidR="00F550BE">
        <w:rPr>
          <w:lang w:val="fr-FR"/>
        </w:rPr>
        <w:t xml:space="preserve">n’appartiennent plus à </w:t>
      </w:r>
      <w:r w:rsidR="00EB445A">
        <w:rPr>
          <w:lang w:val="fr-FR"/>
        </w:rPr>
        <w:t xml:space="preserve">Westminster </w:t>
      </w:r>
      <w:r w:rsidR="00F550BE">
        <w:rPr>
          <w:lang w:val="fr-FR"/>
        </w:rPr>
        <w:t xml:space="preserve">mais ont été dévolus </w:t>
      </w:r>
      <w:r w:rsidR="00EB445A">
        <w:rPr>
          <w:lang w:val="fr-FR"/>
        </w:rPr>
        <w:t xml:space="preserve">à l’Assemblée d’Irlande du Nord en avril 2010. Il incombe désormais au Ministre de la justice d’assurer les services d’apprentissage et d’acquisition de compétences dans les établissements pénitentiaires d’Irlande </w:t>
      </w:r>
      <w:r w:rsidR="00F550BE">
        <w:rPr>
          <w:lang w:val="fr-FR"/>
        </w:rPr>
        <w:t>du Nord. L’essentiel de son budget, qui représente environ 5,5 millio</w:t>
      </w:r>
      <w:r w:rsidR="00A4279A">
        <w:rPr>
          <w:lang w:val="fr-FR"/>
        </w:rPr>
        <w:t>ns de livres sterling pour 2011-20</w:t>
      </w:r>
      <w:r w:rsidR="00F550BE">
        <w:rPr>
          <w:lang w:val="fr-FR"/>
        </w:rPr>
        <w:t xml:space="preserve">12, est consacré à l’éducation et à la formation professionnelle. Un Plan stratégique d’apprentissage et d’acquisition de compétences a été élaboré pour la période 2010-2013 </w:t>
      </w:r>
      <w:r w:rsidR="00CA4C6C">
        <w:rPr>
          <w:lang w:val="fr-FR"/>
        </w:rPr>
        <w:t xml:space="preserve">afin </w:t>
      </w:r>
      <w:r w:rsidR="00F550BE">
        <w:rPr>
          <w:lang w:val="fr-FR"/>
        </w:rPr>
        <w:t xml:space="preserve">que ces services soient </w:t>
      </w:r>
      <w:r w:rsidR="00CA4C6C">
        <w:rPr>
          <w:lang w:val="fr-FR"/>
        </w:rPr>
        <w:t xml:space="preserve">réellement </w:t>
      </w:r>
      <w:r w:rsidR="00F550BE">
        <w:rPr>
          <w:lang w:val="fr-FR"/>
        </w:rPr>
        <w:t>conçus pour atteindre les objectifs stratégiques de l’</w:t>
      </w:r>
      <w:r w:rsidR="00CA4C6C">
        <w:rPr>
          <w:lang w:val="fr-FR"/>
        </w:rPr>
        <w:t xml:space="preserve">Administration </w:t>
      </w:r>
      <w:r w:rsidR="006D07AA">
        <w:rPr>
          <w:lang w:val="fr-FR"/>
        </w:rPr>
        <w:t>pénitentiaire</w:t>
      </w:r>
      <w:r w:rsidR="00CA4C6C">
        <w:rPr>
          <w:lang w:val="fr-FR"/>
        </w:rPr>
        <w:t>, à savoir préparer les détenus à leur réinsertion dans la société et à réduire les risques de récidive</w:t>
      </w:r>
      <w:r w:rsidR="000B562B" w:rsidRPr="00A176EA">
        <w:rPr>
          <w:lang w:val="fr-FR"/>
        </w:rPr>
        <w:t>.</w:t>
      </w:r>
    </w:p>
    <w:p w:rsidR="000B562B" w:rsidRPr="00A176EA" w:rsidRDefault="00CA4C6C" w:rsidP="00A801B9">
      <w:pPr>
        <w:pStyle w:val="H23G"/>
        <w:rPr>
          <w:lang w:val="fr-FR"/>
        </w:rPr>
      </w:pPr>
      <w:bookmarkStart w:id="67" w:name="_Toc299724754"/>
      <w:r w:rsidRPr="00A176EA">
        <w:rPr>
          <w:lang w:val="fr-FR"/>
        </w:rPr>
        <w:t xml:space="preserve">Justice </w:t>
      </w:r>
      <w:r>
        <w:rPr>
          <w:lang w:val="fr-FR"/>
        </w:rPr>
        <w:t>pour mineurs</w:t>
      </w:r>
      <w:r w:rsidR="000B562B" w:rsidRPr="00A176EA">
        <w:rPr>
          <w:lang w:val="fr-FR"/>
        </w:rPr>
        <w:t xml:space="preserve"> </w:t>
      </w:r>
      <w:bookmarkEnd w:id="67"/>
    </w:p>
    <w:p w:rsidR="000B562B" w:rsidRPr="00A176EA" w:rsidRDefault="00F45F49" w:rsidP="00410A02">
      <w:pPr>
        <w:pStyle w:val="H23G"/>
        <w:rPr>
          <w:lang w:val="fr-FR"/>
        </w:rPr>
      </w:pPr>
      <w:r w:rsidRPr="00CA4C6C">
        <w:rPr>
          <w:lang w:val="fr-FR"/>
        </w:rPr>
        <w:t xml:space="preserve">Angleterre et </w:t>
      </w:r>
      <w:r w:rsidR="00CA4C6C" w:rsidRPr="00CA4C6C">
        <w:rPr>
          <w:lang w:val="fr-FR"/>
        </w:rPr>
        <w:t>p</w:t>
      </w:r>
      <w:r w:rsidR="005601A1" w:rsidRPr="00CA4C6C">
        <w:rPr>
          <w:lang w:val="fr-FR"/>
        </w:rPr>
        <w:t>ays de Galles</w:t>
      </w:r>
    </w:p>
    <w:p w:rsidR="000B562B" w:rsidRPr="00A176EA" w:rsidRDefault="002549A9" w:rsidP="0008090D">
      <w:pPr>
        <w:pStyle w:val="SingleTxtG"/>
        <w:rPr>
          <w:lang w:val="fr-FR"/>
        </w:rPr>
      </w:pPr>
      <w:r w:rsidRPr="00A176EA">
        <w:rPr>
          <w:lang w:val="fr-FR"/>
        </w:rPr>
        <w:t>560.</w:t>
      </w:r>
      <w:r w:rsidRPr="00A176EA">
        <w:rPr>
          <w:lang w:val="fr-FR"/>
        </w:rPr>
        <w:tab/>
      </w:r>
      <w:r w:rsidR="0008090D">
        <w:rPr>
          <w:lang w:val="fr-FR"/>
        </w:rPr>
        <w:t xml:space="preserve">Dès sa prise de fonctions, le Gouvernement de coalition a entrepris de passer en revue tous les organismes indépendants pour respecter son engagement </w:t>
      </w:r>
      <w:r w:rsidR="00070F93">
        <w:rPr>
          <w:lang w:val="fr-FR"/>
        </w:rPr>
        <w:t>d’</w:t>
      </w:r>
      <w:r w:rsidR="0008090D">
        <w:rPr>
          <w:lang w:val="fr-FR"/>
        </w:rPr>
        <w:t xml:space="preserve">en réduire le nombre et le coût, et </w:t>
      </w:r>
      <w:r w:rsidR="00070F93">
        <w:rPr>
          <w:lang w:val="fr-FR"/>
        </w:rPr>
        <w:t>de les responsabiliser davantage</w:t>
      </w:r>
      <w:r w:rsidR="0008090D">
        <w:rPr>
          <w:lang w:val="fr-FR"/>
        </w:rPr>
        <w:t>. C’est ainsi qu’il a été décidé de conférer au Ministère de la justice la direction de la justice pour mineurs et les fonctions du Conseil de la justice pour mineurs</w:t>
      </w:r>
      <w:r w:rsidR="000B562B" w:rsidRPr="00A176EA">
        <w:rPr>
          <w:lang w:val="fr-FR"/>
        </w:rPr>
        <w:t>.</w:t>
      </w:r>
    </w:p>
    <w:p w:rsidR="000B562B" w:rsidRPr="00A176EA" w:rsidRDefault="002549A9" w:rsidP="00070F93">
      <w:pPr>
        <w:pStyle w:val="SingleTxtG"/>
        <w:rPr>
          <w:lang w:val="fr-FR"/>
        </w:rPr>
      </w:pPr>
      <w:r w:rsidRPr="00A176EA">
        <w:rPr>
          <w:lang w:val="fr-FR"/>
        </w:rPr>
        <w:t>561.</w:t>
      </w:r>
      <w:r w:rsidRPr="00A176EA">
        <w:rPr>
          <w:lang w:val="fr-FR"/>
        </w:rPr>
        <w:tab/>
      </w:r>
      <w:r w:rsidR="0008090D">
        <w:rPr>
          <w:lang w:val="fr-FR"/>
        </w:rPr>
        <w:t xml:space="preserve">L’opinion des jeunes est très importante. Ils doivent participer à l’élaboration de solutions locales d’une façon valorisante pour eux. Le Gouvernement veut en particulier offrir un meilleur soutien à toutes les victimes </w:t>
      </w:r>
      <w:r w:rsidR="00070F93">
        <w:rPr>
          <w:lang w:val="fr-FR"/>
        </w:rPr>
        <w:t>de la délinquance juvénile, notamment les jeunes victimes, qui sont les plus vulnérables</w:t>
      </w:r>
      <w:r w:rsidR="000B562B" w:rsidRPr="00A176EA">
        <w:rPr>
          <w:lang w:val="fr-FR"/>
        </w:rPr>
        <w:t>.</w:t>
      </w:r>
    </w:p>
    <w:p w:rsidR="000B562B" w:rsidRPr="00A176EA" w:rsidRDefault="002549A9" w:rsidP="00A801B9">
      <w:pPr>
        <w:pStyle w:val="SingleTxtG"/>
        <w:rPr>
          <w:lang w:val="fr-FR"/>
        </w:rPr>
      </w:pPr>
      <w:r w:rsidRPr="00A176EA">
        <w:rPr>
          <w:lang w:val="fr-FR"/>
        </w:rPr>
        <w:t>562.</w:t>
      </w:r>
      <w:r w:rsidRPr="00A176EA">
        <w:rPr>
          <w:lang w:val="fr-FR"/>
        </w:rPr>
        <w:tab/>
      </w:r>
      <w:r w:rsidR="00070F93">
        <w:rPr>
          <w:lang w:val="fr-FR"/>
        </w:rPr>
        <w:t xml:space="preserve">Le Gouvernement tient à accroître la participation des jeunes au système de justice pour mineurs et élabore actuellement </w:t>
      </w:r>
      <w:r w:rsidR="00051D7A">
        <w:rPr>
          <w:lang w:val="fr-FR"/>
        </w:rPr>
        <w:t xml:space="preserve">à cet effet </w:t>
      </w:r>
      <w:r w:rsidR="00070F93">
        <w:rPr>
          <w:lang w:val="fr-FR"/>
        </w:rPr>
        <w:t xml:space="preserve">un programme </w:t>
      </w:r>
      <w:r w:rsidR="00051D7A">
        <w:rPr>
          <w:lang w:val="fr-FR"/>
        </w:rPr>
        <w:t>en trois volets</w:t>
      </w:r>
      <w:r w:rsidR="00FC2B97">
        <w:rPr>
          <w:lang w:val="fr-FR"/>
        </w:rPr>
        <w:t>:</w:t>
      </w:r>
      <w:r w:rsidR="00051D7A">
        <w:rPr>
          <w:lang w:val="fr-FR"/>
        </w:rPr>
        <w:t xml:space="preserve"> l’amélioration du matériel didactique à la disposition des praticiens de la justice pour mineurs, l’intégration des questions de participation dans l’élaboration d’un nouveau cadre d’évaluation et d’intervention, et l’amélioration de la communication avec les praticiens pour les sensibiliser aux avantages d’une approche plus participative. </w:t>
      </w:r>
      <w:r w:rsidR="00EB6DCB">
        <w:rPr>
          <w:lang w:val="fr-FR"/>
        </w:rPr>
        <w:t>Fondé sur le travail déjà réalisé au pays de Galles, c</w:t>
      </w:r>
      <w:r w:rsidR="00051D7A">
        <w:rPr>
          <w:lang w:val="fr-FR"/>
        </w:rPr>
        <w:t>e programme mettr</w:t>
      </w:r>
      <w:r w:rsidR="00EB6DCB">
        <w:rPr>
          <w:lang w:val="fr-FR"/>
        </w:rPr>
        <w:t>a</w:t>
      </w:r>
      <w:r w:rsidR="00051D7A">
        <w:rPr>
          <w:lang w:val="fr-FR"/>
        </w:rPr>
        <w:t xml:space="preserve"> au point une approche participative à la fois au sein des centres de détention et des Équipes chargées de la délinquance juvénile</w:t>
      </w:r>
      <w:r w:rsidR="000B562B" w:rsidRPr="00A176EA">
        <w:rPr>
          <w:lang w:val="fr-FR"/>
        </w:rPr>
        <w:t>.</w:t>
      </w:r>
    </w:p>
    <w:p w:rsidR="000B562B" w:rsidRPr="00A176EA" w:rsidRDefault="002549A9" w:rsidP="004D7801">
      <w:pPr>
        <w:pStyle w:val="SingleTxtG"/>
        <w:rPr>
          <w:lang w:val="fr-FR"/>
        </w:rPr>
      </w:pPr>
      <w:r w:rsidRPr="00A176EA">
        <w:rPr>
          <w:lang w:val="fr-FR"/>
        </w:rPr>
        <w:t>563.</w:t>
      </w:r>
      <w:r w:rsidRPr="00A176EA">
        <w:rPr>
          <w:lang w:val="fr-FR"/>
        </w:rPr>
        <w:tab/>
      </w:r>
      <w:r w:rsidR="00EB6DCB">
        <w:rPr>
          <w:lang w:val="fr-FR"/>
        </w:rPr>
        <w:t xml:space="preserve">L’ordonnance relative à la réadaptation des jeunes, entrée en vigueur en novembre 2009, porte création </w:t>
      </w:r>
      <w:r w:rsidR="004D7801">
        <w:rPr>
          <w:lang w:val="fr-FR"/>
        </w:rPr>
        <w:t>d’une</w:t>
      </w:r>
      <w:r w:rsidR="00EB6DCB">
        <w:rPr>
          <w:lang w:val="fr-FR"/>
        </w:rPr>
        <w:t xml:space="preserve"> nouvelle peine d’intérêt général pour les moins de 18 ans. Cette ordonnance </w:t>
      </w:r>
      <w:r w:rsidR="004D7801">
        <w:rPr>
          <w:lang w:val="fr-FR"/>
        </w:rPr>
        <w:t xml:space="preserve">prescrit une nouvelle peine </w:t>
      </w:r>
      <w:r w:rsidR="00CD0110">
        <w:rPr>
          <w:lang w:val="fr-FR"/>
        </w:rPr>
        <w:t>«</w:t>
      </w:r>
      <w:r w:rsidR="004D7801">
        <w:rPr>
          <w:lang w:val="fr-FR"/>
        </w:rPr>
        <w:t>générique</w:t>
      </w:r>
      <w:r w:rsidR="00CD0110">
        <w:rPr>
          <w:lang w:val="fr-FR"/>
        </w:rPr>
        <w:t>»</w:t>
      </w:r>
      <w:r w:rsidR="004D7801">
        <w:rPr>
          <w:lang w:val="fr-FR"/>
        </w:rPr>
        <w:t xml:space="preserve"> pouvant combiner</w:t>
      </w:r>
      <w:r w:rsidR="00EB6DCB">
        <w:rPr>
          <w:lang w:val="fr-FR"/>
        </w:rPr>
        <w:t xml:space="preserve"> les neuf </w:t>
      </w:r>
      <w:r w:rsidR="004D7801">
        <w:rPr>
          <w:lang w:val="fr-FR"/>
        </w:rPr>
        <w:t>sanctions</w:t>
      </w:r>
      <w:r w:rsidR="00EB6DCB">
        <w:rPr>
          <w:lang w:val="fr-FR"/>
        </w:rPr>
        <w:t xml:space="preserve"> d’intérêt gén</w:t>
      </w:r>
      <w:r w:rsidR="004D7801">
        <w:rPr>
          <w:lang w:val="fr-FR"/>
        </w:rPr>
        <w:t>éral qui existaient auparavant, ce qui apporte une plus grande flexibilité et permet d’adapter la peine en fonction de l’intéressé</w:t>
      </w:r>
      <w:r w:rsidR="000B562B" w:rsidRPr="00A176EA">
        <w:rPr>
          <w:lang w:val="fr-FR"/>
        </w:rPr>
        <w:t>.</w:t>
      </w:r>
    </w:p>
    <w:p w:rsidR="000B562B" w:rsidRPr="00A176EA" w:rsidRDefault="002549A9" w:rsidP="002812F2">
      <w:pPr>
        <w:pStyle w:val="SingleTxtG"/>
        <w:rPr>
          <w:lang w:val="fr-FR"/>
        </w:rPr>
      </w:pPr>
      <w:r w:rsidRPr="00A176EA">
        <w:rPr>
          <w:lang w:val="fr-FR"/>
        </w:rPr>
        <w:t>564.</w:t>
      </w:r>
      <w:r w:rsidRPr="00A176EA">
        <w:rPr>
          <w:lang w:val="fr-FR"/>
        </w:rPr>
        <w:tab/>
      </w:r>
      <w:r w:rsidR="004D7801">
        <w:rPr>
          <w:lang w:val="fr-FR"/>
        </w:rPr>
        <w:t>Le nombre de jeunes placés en détention a nettement reculé ces dernières années. En 2009-2010, il y avait en moyenne 2 418 jeunes de moins de 18 ans en prison, contre 3</w:t>
      </w:r>
      <w:r w:rsidR="002812F2">
        <w:rPr>
          <w:lang w:val="fr-FR"/>
        </w:rPr>
        <w:t> </w:t>
      </w:r>
      <w:r w:rsidR="004D7801">
        <w:rPr>
          <w:lang w:val="fr-FR"/>
        </w:rPr>
        <w:t>029</w:t>
      </w:r>
      <w:r w:rsidR="002812F2">
        <w:rPr>
          <w:lang w:val="fr-FR"/>
        </w:rPr>
        <w:t> </w:t>
      </w:r>
      <w:r w:rsidR="004D7801">
        <w:rPr>
          <w:lang w:val="fr-FR"/>
        </w:rPr>
        <w:t xml:space="preserve">en 2002-2003. Le Gouvernement s’emploie actuellement </w:t>
      </w:r>
      <w:r w:rsidR="002812F2">
        <w:rPr>
          <w:lang w:val="fr-FR"/>
        </w:rPr>
        <w:t xml:space="preserve">à mettre au point une stratégie pour les centres fermés pour les années qui viennent. L’objectif est de garantir </w:t>
      </w:r>
      <w:r w:rsidR="00FE4706">
        <w:rPr>
          <w:lang w:val="fr-FR"/>
        </w:rPr>
        <w:t xml:space="preserve">aux enfants et aux jeunes </w:t>
      </w:r>
      <w:r w:rsidR="002812F2">
        <w:rPr>
          <w:lang w:val="fr-FR"/>
        </w:rPr>
        <w:t>un lieu protégé, sain, sûr et favorable, quelle que soit la durée de leur séjour en détention. Des centres de détention pour les moins de 18 ans, séparés des adultes, ont été créés et d’autres améliorations ont été apportées, dont</w:t>
      </w:r>
      <w:r w:rsidR="00FC2B97">
        <w:rPr>
          <w:lang w:val="fr-FR"/>
        </w:rPr>
        <w:t>:</w:t>
      </w:r>
    </w:p>
    <w:p w:rsidR="00070F93" w:rsidRPr="00226E7E" w:rsidRDefault="002812F2" w:rsidP="00BC0033">
      <w:pPr>
        <w:pStyle w:val="Bullet1G"/>
      </w:pPr>
      <w:r w:rsidRPr="00226E7E">
        <w:t xml:space="preserve">La hausse du pourcentage de jeunes détenus dans des sites distincts </w:t>
      </w:r>
      <w:r w:rsidR="00226E7E" w:rsidRPr="00226E7E">
        <w:t>de ceux des</w:t>
      </w:r>
      <w:r w:rsidR="00070F93" w:rsidRPr="00226E7E">
        <w:t xml:space="preserve"> adult</w:t>
      </w:r>
      <w:r w:rsidR="00226E7E" w:rsidRPr="00226E7E">
        <w:t>es</w:t>
      </w:r>
      <w:r w:rsidR="00070F93" w:rsidRPr="00226E7E">
        <w:t xml:space="preserve"> (</w:t>
      </w:r>
      <w:r w:rsidR="00226E7E" w:rsidRPr="00226E7E">
        <w:t>e</w:t>
      </w:r>
      <w:r w:rsidR="00070F93" w:rsidRPr="00226E7E">
        <w:t>n 2000</w:t>
      </w:r>
      <w:r w:rsidR="00226E7E" w:rsidRPr="00226E7E">
        <w:t>, seuls</w:t>
      </w:r>
      <w:r w:rsidR="00070F93" w:rsidRPr="00226E7E">
        <w:t xml:space="preserve"> 20</w:t>
      </w:r>
      <w:r w:rsidR="00226E7E" w:rsidRPr="00226E7E">
        <w:t xml:space="preserve"> </w:t>
      </w:r>
      <w:r w:rsidR="00070F93" w:rsidRPr="00226E7E">
        <w:t xml:space="preserve">% </w:t>
      </w:r>
      <w:r w:rsidR="00226E7E" w:rsidRPr="00226E7E">
        <w:t>des jeunes détenus étaient plac</w:t>
      </w:r>
      <w:r w:rsidR="00226E7E">
        <w:t>é</w:t>
      </w:r>
      <w:r w:rsidR="00226E7E" w:rsidRPr="00226E7E">
        <w:t xml:space="preserve">s dans </w:t>
      </w:r>
      <w:r w:rsidR="00226E7E">
        <w:t>un quartier séparé</w:t>
      </w:r>
      <w:r w:rsidR="00226E7E" w:rsidRPr="00226E7E">
        <w:t xml:space="preserve"> en milieu fermé, </w:t>
      </w:r>
      <w:r w:rsidR="00226E7E">
        <w:t>pourcentage qui est passé à 80 % en 2011</w:t>
      </w:r>
      <w:r w:rsidR="00070F93" w:rsidRPr="00226E7E">
        <w:t>)</w:t>
      </w:r>
      <w:r w:rsidR="00FC2B97">
        <w:t>;</w:t>
      </w:r>
    </w:p>
    <w:p w:rsidR="00070F93" w:rsidRPr="00226E7E" w:rsidRDefault="00226E7E" w:rsidP="00BC0033">
      <w:pPr>
        <w:pStyle w:val="Bullet1G"/>
      </w:pPr>
      <w:r>
        <w:t xml:space="preserve">La création et le développement de plusieurs unités spécialisées au sein des Institutions pour jeunes délinquants pour les jeunes évalués comme présentant des risques ou </w:t>
      </w:r>
      <w:r w:rsidR="00FE4706">
        <w:t>dont les</w:t>
      </w:r>
      <w:r>
        <w:t xml:space="preserve"> besoins nécessit</w:t>
      </w:r>
      <w:r w:rsidR="00FE4706">
        <w:t>e</w:t>
      </w:r>
      <w:r>
        <w:t>nt un soutien plus intensif</w:t>
      </w:r>
      <w:r w:rsidR="00FC2B97">
        <w:t>;</w:t>
      </w:r>
    </w:p>
    <w:p w:rsidR="00070F93" w:rsidRPr="00226E7E" w:rsidRDefault="00227504" w:rsidP="00BC0033">
      <w:pPr>
        <w:pStyle w:val="Bullet1G"/>
      </w:pPr>
      <w:r>
        <w:t xml:space="preserve">Des lieux dédiés aux délinquantes de 17 ans, de </w:t>
      </w:r>
      <w:r w:rsidR="00FE4706">
        <w:t>façon à ce</w:t>
      </w:r>
      <w:r>
        <w:t xml:space="preserve"> que toutes les jeunes filles soient placées dans des unités dédiées au lieu d’être réparties entre les prisons pour femmes</w:t>
      </w:r>
      <w:r w:rsidR="00FC2B97">
        <w:t>;</w:t>
      </w:r>
    </w:p>
    <w:p w:rsidR="00070F93" w:rsidRPr="00226E7E" w:rsidRDefault="00227504" w:rsidP="00BC0033">
      <w:pPr>
        <w:pStyle w:val="Bullet1G"/>
      </w:pPr>
      <w:r>
        <w:t xml:space="preserve">De nouveaux lieux dédiés aux jeunes filles dans les centres </w:t>
      </w:r>
      <w:r w:rsidR="00CF57D0">
        <w:t>éducatifs</w:t>
      </w:r>
      <w:r>
        <w:t xml:space="preserve"> fermés, dont des lits pour les mères et leur bébé ou les femmes enceintes</w:t>
      </w:r>
      <w:r w:rsidR="00FC2B97">
        <w:t>;</w:t>
      </w:r>
    </w:p>
    <w:p w:rsidR="00070F93" w:rsidRPr="00226E7E" w:rsidRDefault="003F1B50" w:rsidP="00BC0033">
      <w:pPr>
        <w:pStyle w:val="Bullet1G"/>
      </w:pPr>
      <w:r>
        <w:t xml:space="preserve">Des unités dédiées aux toxicomanes dans les </w:t>
      </w:r>
      <w:r w:rsidR="00226E7E" w:rsidRPr="003F1B50">
        <w:t>Institutions pour jeunes délinquants</w:t>
      </w:r>
      <w:r w:rsidRPr="003F1B50">
        <w:t>, chacune disposant de</w:t>
      </w:r>
      <w:r w:rsidR="00226E7E" w:rsidRPr="003F1B50">
        <w:t xml:space="preserve"> </w:t>
      </w:r>
      <w:r>
        <w:t xml:space="preserve">salles d’entretien </w:t>
      </w:r>
      <w:r w:rsidR="00930670">
        <w:t>confidentiel</w:t>
      </w:r>
      <w:r>
        <w:t>, d’installations de dépistage volontaire et d’un hébergement pour le personnel</w:t>
      </w:r>
      <w:r w:rsidR="00070F93" w:rsidRPr="003F1B50">
        <w:t xml:space="preserve"> </w:t>
      </w:r>
      <w:r w:rsidR="008862F9">
        <w:t>spécialisé</w:t>
      </w:r>
      <w:r w:rsidR="00FC2B97">
        <w:t>;</w:t>
      </w:r>
    </w:p>
    <w:p w:rsidR="00070F93" w:rsidRPr="00226E7E" w:rsidRDefault="008862F9" w:rsidP="00BC0033">
      <w:pPr>
        <w:pStyle w:val="Bullet1G"/>
      </w:pPr>
      <w:r>
        <w:t xml:space="preserve">Une dotation de plus de 10 millions de livres sterling aux </w:t>
      </w:r>
      <w:r w:rsidR="0049384F" w:rsidRPr="008721D9">
        <w:t xml:space="preserve">Institutions pour jeunes délinquants </w:t>
      </w:r>
      <w:r w:rsidRPr="008721D9">
        <w:t xml:space="preserve">afin </w:t>
      </w:r>
      <w:r w:rsidR="00BD23B4">
        <w:t>de renforcer</w:t>
      </w:r>
      <w:r w:rsidRPr="008721D9">
        <w:t xml:space="preserve"> leur protection, d’aménager des pièces</w:t>
      </w:r>
      <w:r>
        <w:t xml:space="preserve"> </w:t>
      </w:r>
      <w:r w:rsidR="008721D9">
        <w:t>à</w:t>
      </w:r>
      <w:r>
        <w:t xml:space="preserve"> risques </w:t>
      </w:r>
      <w:r w:rsidR="008721D9">
        <w:t>réduits, de mettre en place des protocoles de télévision en circuit fermé et de stockage des données, et d’installer des cabines de douche</w:t>
      </w:r>
      <w:r w:rsidR="00FC2B97">
        <w:t>;</w:t>
      </w:r>
    </w:p>
    <w:p w:rsidR="00070F93" w:rsidRPr="00226E7E" w:rsidRDefault="00CF7B25" w:rsidP="00BC0033">
      <w:pPr>
        <w:pStyle w:val="Bullet1G"/>
      </w:pPr>
      <w:r>
        <w:t xml:space="preserve">La création au sein des </w:t>
      </w:r>
      <w:r w:rsidR="0049384F" w:rsidRPr="00CF7B25">
        <w:t xml:space="preserve">Institutions pour jeunes délinquants </w:t>
      </w:r>
      <w:r>
        <w:t xml:space="preserve">de tuteurs chargés de coordonner et de </w:t>
      </w:r>
      <w:r w:rsidR="00930670">
        <w:t>faciliter les pratiques et la stratégie</w:t>
      </w:r>
      <w:r w:rsidR="00070F93" w:rsidRPr="00226E7E">
        <w:t xml:space="preserve"> </w:t>
      </w:r>
      <w:r>
        <w:t>de protection</w:t>
      </w:r>
      <w:r w:rsidR="00FC2B97">
        <w:t>;</w:t>
      </w:r>
    </w:p>
    <w:p w:rsidR="00070F93" w:rsidRPr="00226E7E" w:rsidRDefault="00CF7B25" w:rsidP="00BC0033">
      <w:pPr>
        <w:pStyle w:val="Bullet1G"/>
      </w:pPr>
      <w:r>
        <w:t>Le financement d’un service de défense indépendant pour aider les enfants et les jeunes souhaitant déposer une plainte ou ayant besoin de conseils</w:t>
      </w:r>
      <w:r w:rsidR="00FC2B97">
        <w:t>;</w:t>
      </w:r>
    </w:p>
    <w:p w:rsidR="00070F93" w:rsidRPr="00226E7E" w:rsidRDefault="00CF7B25" w:rsidP="00BC0033">
      <w:pPr>
        <w:pStyle w:val="Bullet1G"/>
      </w:pPr>
      <w:r>
        <w:t>L’élaboration de politiques et de recommandations, en partenariat avec des</w:t>
      </w:r>
      <w:r w:rsidR="00070F93" w:rsidRPr="00226E7E">
        <w:t xml:space="preserve"> </w:t>
      </w:r>
      <w:r w:rsidR="008856C2">
        <w:t xml:space="preserve">prestataires sûrs, pour répondre aux besoins spécifiques des jeunes, </w:t>
      </w:r>
      <w:r w:rsidR="008856C2" w:rsidRPr="00BE72BB">
        <w:t xml:space="preserve">par exemple </w:t>
      </w:r>
      <w:r w:rsidR="00BE72BB">
        <w:t>réduire</w:t>
      </w:r>
      <w:r w:rsidR="008856C2">
        <w:t xml:space="preserve"> </w:t>
      </w:r>
      <w:r w:rsidR="00BE72BB">
        <w:t>l</w:t>
      </w:r>
      <w:r w:rsidR="008856C2">
        <w:t xml:space="preserve">es brutalités et </w:t>
      </w:r>
      <w:r w:rsidR="00BE72BB">
        <w:t>l</w:t>
      </w:r>
      <w:r w:rsidR="008856C2">
        <w:t>es violences</w:t>
      </w:r>
      <w:r w:rsidR="00FC2B97">
        <w:t>;</w:t>
      </w:r>
    </w:p>
    <w:p w:rsidR="00070F93" w:rsidRPr="00226E7E" w:rsidRDefault="008856C2" w:rsidP="00BC0033">
      <w:pPr>
        <w:pStyle w:val="Bullet1G"/>
      </w:pPr>
      <w:r>
        <w:t xml:space="preserve">Un travail de collaboration avec les </w:t>
      </w:r>
      <w:r w:rsidR="0049384F" w:rsidRPr="008856C2">
        <w:t>Institutions pour jeunes délinquants</w:t>
      </w:r>
      <w:r>
        <w:t xml:space="preserve"> pour créer de nouveaux postes dédiés aux jeunes, dont des coordinateurs de protection de l’enfance, des coordinateurs antiviolence et des coordinateurs antisuicide et antiautomutilation, qui aident les tuteurs</w:t>
      </w:r>
      <w:r w:rsidR="00070F93" w:rsidRPr="00226E7E">
        <w:t xml:space="preserve"> </w:t>
      </w:r>
      <w:r>
        <w:t>à améliorer la visibilité de leur travail</w:t>
      </w:r>
      <w:r w:rsidR="00FC2B97">
        <w:t>;</w:t>
      </w:r>
    </w:p>
    <w:p w:rsidR="00070F93" w:rsidRPr="00226E7E" w:rsidRDefault="008856C2" w:rsidP="00BC0033">
      <w:pPr>
        <w:pStyle w:val="Bullet1G"/>
      </w:pPr>
      <w:r>
        <w:t>Un travail de collaboration pour am</w:t>
      </w:r>
      <w:r w:rsidR="00A75D04">
        <w:t>éliorer les outils et les conseils aidant le personnel à gérer les jeunes.</w:t>
      </w:r>
      <w:r w:rsidR="00070F93" w:rsidRPr="00226E7E">
        <w:t xml:space="preserve"> </w:t>
      </w:r>
      <w:r w:rsidR="00A75D04">
        <w:t xml:space="preserve">Cela </w:t>
      </w:r>
      <w:r w:rsidR="007355A1">
        <w:t>inclut</w:t>
      </w:r>
      <w:r w:rsidR="00A75D04">
        <w:t xml:space="preserve"> la rédaction d’un </w:t>
      </w:r>
      <w:r w:rsidR="00070F93" w:rsidRPr="00A75D04">
        <w:t xml:space="preserve">Code de bonnes pratiques </w:t>
      </w:r>
      <w:r w:rsidR="00A75D04">
        <w:t xml:space="preserve">sur la gestion des comportements en détention, </w:t>
      </w:r>
      <w:r w:rsidR="007355A1">
        <w:t xml:space="preserve">qui constituera la </w:t>
      </w:r>
      <w:r w:rsidR="00A75D04">
        <w:t xml:space="preserve">toute première déclaration </w:t>
      </w:r>
      <w:r w:rsidR="007355A1">
        <w:t xml:space="preserve">intersectorielle </w:t>
      </w:r>
      <w:r w:rsidR="00A75D04">
        <w:t>de pratiques et de normes pour la gestion des comportements</w:t>
      </w:r>
      <w:r w:rsidR="00FC2B97">
        <w:t>;</w:t>
      </w:r>
    </w:p>
    <w:p w:rsidR="00070F93" w:rsidRPr="008D5A3B" w:rsidRDefault="008D5A3B" w:rsidP="00BC0033">
      <w:pPr>
        <w:pStyle w:val="Bullet1G"/>
      </w:pPr>
      <w:r>
        <w:t xml:space="preserve">La </w:t>
      </w:r>
      <w:r w:rsidR="007355A1">
        <w:t>définition</w:t>
      </w:r>
      <w:r>
        <w:t xml:space="preserve"> de conditions et d’objectifs pour l’éducation et la formation des jeunes en détention et pour renforcer l’offre d’éducation, de formation et de développement aux jeunes placés en </w:t>
      </w:r>
      <w:r w:rsidR="0049384F" w:rsidRPr="008D5A3B">
        <w:t>Institution pour jeunes délinquants</w:t>
      </w:r>
      <w:r w:rsidR="00FC2B97">
        <w:t>;</w:t>
      </w:r>
    </w:p>
    <w:p w:rsidR="00070F93" w:rsidRPr="00226E7E" w:rsidRDefault="008D5A3B" w:rsidP="00BC0033">
      <w:pPr>
        <w:pStyle w:val="Bullet1G"/>
      </w:pPr>
      <w:r>
        <w:t>L’introduction de principes révisés pour le recours aux fouilles dans tous les établissements fermés</w:t>
      </w:r>
      <w:r w:rsidR="00FC2B97">
        <w:t>;</w:t>
      </w:r>
    </w:p>
    <w:p w:rsidR="00070F93" w:rsidRPr="00226E7E" w:rsidRDefault="008D5A3B" w:rsidP="00BC0033">
      <w:pPr>
        <w:pStyle w:val="Bullet1G"/>
      </w:pPr>
      <w:r>
        <w:t>Un travail de collaboration avec les autorités locales et autres pour développer de nouveaux services d’aide à la réinsertion des jeunes</w:t>
      </w:r>
      <w:r w:rsidR="00070F93" w:rsidRPr="00226E7E">
        <w:t>.</w:t>
      </w:r>
    </w:p>
    <w:p w:rsidR="000B562B" w:rsidRPr="00A176EA" w:rsidRDefault="00D02D59" w:rsidP="000F0266">
      <w:pPr>
        <w:pStyle w:val="H23G"/>
        <w:rPr>
          <w:lang w:val="fr-FR"/>
        </w:rPr>
      </w:pPr>
      <w:r>
        <w:rPr>
          <w:lang w:val="fr-FR"/>
        </w:rPr>
        <w:t>Protection et gestion des comportements</w:t>
      </w:r>
    </w:p>
    <w:p w:rsidR="000B562B" w:rsidRPr="00A176EA" w:rsidRDefault="002549A9" w:rsidP="00EF51BC">
      <w:pPr>
        <w:pStyle w:val="SingleTxtG"/>
        <w:rPr>
          <w:lang w:val="fr-FR"/>
        </w:rPr>
      </w:pPr>
      <w:r w:rsidRPr="00A176EA">
        <w:rPr>
          <w:lang w:val="fr-FR"/>
        </w:rPr>
        <w:t>565.</w:t>
      </w:r>
      <w:r w:rsidRPr="00A176EA">
        <w:rPr>
          <w:lang w:val="fr-FR"/>
        </w:rPr>
        <w:tab/>
      </w:r>
      <w:r w:rsidR="00D02D59">
        <w:rPr>
          <w:lang w:val="fr-FR"/>
        </w:rPr>
        <w:t xml:space="preserve">Il est un fait reconnu </w:t>
      </w:r>
      <w:r w:rsidR="00EF51BC">
        <w:rPr>
          <w:lang w:val="fr-FR"/>
        </w:rPr>
        <w:t xml:space="preserve">que </w:t>
      </w:r>
      <w:r w:rsidR="00A85914">
        <w:rPr>
          <w:lang w:val="fr-FR"/>
        </w:rPr>
        <w:t xml:space="preserve">la préoccupation </w:t>
      </w:r>
      <w:r w:rsidR="004F148A">
        <w:rPr>
          <w:lang w:val="fr-FR"/>
        </w:rPr>
        <w:t>majeure</w:t>
      </w:r>
      <w:r w:rsidR="00EF51BC">
        <w:rPr>
          <w:lang w:val="fr-FR"/>
        </w:rPr>
        <w:t xml:space="preserve">, </w:t>
      </w:r>
      <w:r w:rsidR="004F148A">
        <w:rPr>
          <w:lang w:val="fr-FR"/>
        </w:rPr>
        <w:t>lorsqu’</w:t>
      </w:r>
      <w:r w:rsidR="00EF51BC">
        <w:rPr>
          <w:lang w:val="fr-FR"/>
        </w:rPr>
        <w:t xml:space="preserve">un enfant ou un jeune </w:t>
      </w:r>
      <w:r w:rsidR="004F148A">
        <w:rPr>
          <w:lang w:val="fr-FR"/>
        </w:rPr>
        <w:t xml:space="preserve">est placé </w:t>
      </w:r>
      <w:r w:rsidR="00EF51BC">
        <w:rPr>
          <w:lang w:val="fr-FR"/>
        </w:rPr>
        <w:t>en détention, est qu’il se sente en sécurité. La sécurité et la protection des enfants sont vitales en soi, mais également essentielles pour que toute période en détention donne les résultats escomptés en termes de comportement délinquant et de travail constructif avec les jeunes</w:t>
      </w:r>
      <w:r w:rsidR="000B562B" w:rsidRPr="00A176EA">
        <w:rPr>
          <w:lang w:val="fr-FR"/>
        </w:rPr>
        <w:t>.</w:t>
      </w:r>
    </w:p>
    <w:p w:rsidR="000B562B" w:rsidRPr="00A176EA" w:rsidRDefault="002549A9" w:rsidP="00093F3E">
      <w:pPr>
        <w:pStyle w:val="SingleTxtG"/>
        <w:rPr>
          <w:lang w:val="fr-FR"/>
        </w:rPr>
      </w:pPr>
      <w:r w:rsidRPr="00A176EA">
        <w:rPr>
          <w:lang w:val="fr-FR"/>
        </w:rPr>
        <w:t>566.</w:t>
      </w:r>
      <w:r w:rsidRPr="00A176EA">
        <w:rPr>
          <w:lang w:val="fr-FR"/>
        </w:rPr>
        <w:tab/>
      </w:r>
      <w:r w:rsidR="00CB188C">
        <w:rPr>
          <w:lang w:val="fr-FR"/>
        </w:rPr>
        <w:t>Le Gouvernement s’efforce en permanence d’améliorer la gestion des comportements en milieu fermé. Il s’emploie actuellement à mettre en œuvre les recommandations formulées dans l’</w:t>
      </w:r>
      <w:r w:rsidR="004F148A" w:rsidRPr="008A4260">
        <w:rPr>
          <w:i/>
          <w:iCs/>
          <w:lang w:val="fr-FR"/>
        </w:rPr>
        <w:t>Étude</w:t>
      </w:r>
      <w:r w:rsidR="00CB188C" w:rsidRPr="008A4260">
        <w:rPr>
          <w:i/>
          <w:iCs/>
          <w:lang w:val="fr-FR"/>
        </w:rPr>
        <w:t xml:space="preserve"> indépendant</w:t>
      </w:r>
      <w:r w:rsidR="004F148A" w:rsidRPr="008A4260">
        <w:rPr>
          <w:i/>
          <w:iCs/>
          <w:lang w:val="fr-FR"/>
        </w:rPr>
        <w:t>e</w:t>
      </w:r>
      <w:r w:rsidR="00CB188C" w:rsidRPr="008A4260">
        <w:rPr>
          <w:i/>
          <w:iCs/>
          <w:lang w:val="fr-FR"/>
        </w:rPr>
        <w:t xml:space="preserve"> </w:t>
      </w:r>
      <w:r w:rsidR="00093F3E" w:rsidRPr="008A4260">
        <w:rPr>
          <w:i/>
          <w:iCs/>
          <w:lang w:val="fr-FR"/>
        </w:rPr>
        <w:t>des moyens de contrainte physique dans les centres fermés pour mineurs</w:t>
      </w:r>
      <w:r w:rsidR="000B562B" w:rsidRPr="00A176EA">
        <w:rPr>
          <w:rStyle w:val="FootnoteReference"/>
          <w:szCs w:val="22"/>
        </w:rPr>
        <w:footnoteReference w:id="72"/>
      </w:r>
      <w:r w:rsidR="000B562B" w:rsidRPr="00A176EA">
        <w:rPr>
          <w:lang w:val="fr-FR"/>
        </w:rPr>
        <w:t xml:space="preserve"> </w:t>
      </w:r>
      <w:r w:rsidR="00093F3E">
        <w:rPr>
          <w:lang w:val="fr-FR"/>
        </w:rPr>
        <w:t>de</w:t>
      </w:r>
      <w:r w:rsidR="000B562B" w:rsidRPr="00A176EA">
        <w:rPr>
          <w:lang w:val="fr-FR"/>
        </w:rPr>
        <w:t xml:space="preserve"> 2008.</w:t>
      </w:r>
    </w:p>
    <w:p w:rsidR="000B562B" w:rsidRPr="00A176EA" w:rsidRDefault="002549A9" w:rsidP="00C30D05">
      <w:pPr>
        <w:pStyle w:val="SingleTxtG"/>
        <w:rPr>
          <w:lang w:val="fr-FR"/>
        </w:rPr>
      </w:pPr>
      <w:r w:rsidRPr="00A176EA">
        <w:rPr>
          <w:lang w:val="fr-FR"/>
        </w:rPr>
        <w:t>567.</w:t>
      </w:r>
      <w:r w:rsidRPr="00A176EA">
        <w:rPr>
          <w:lang w:val="fr-FR"/>
        </w:rPr>
        <w:tab/>
      </w:r>
      <w:r w:rsidR="00093F3E">
        <w:rPr>
          <w:lang w:val="fr-FR"/>
        </w:rPr>
        <w:t xml:space="preserve">Pour les coprésidents de </w:t>
      </w:r>
      <w:r w:rsidR="004F148A">
        <w:rPr>
          <w:lang w:val="fr-FR"/>
        </w:rPr>
        <w:t>cette étude</w:t>
      </w:r>
      <w:r w:rsidR="00093F3E">
        <w:rPr>
          <w:lang w:val="fr-FR"/>
        </w:rPr>
        <w:t xml:space="preserve">, la sécurité était la préoccupation première. </w:t>
      </w:r>
      <w:r w:rsidR="001C3354">
        <w:rPr>
          <w:lang w:val="fr-FR"/>
        </w:rPr>
        <w:t xml:space="preserve">Ils étaient également soucieux de limiter au strict minimum le recours à la contrainte physique en veillant à ce que le personnel soit parfaitement formé à des méthodes efficaces pour </w:t>
      </w:r>
      <w:r w:rsidR="006D07AA">
        <w:rPr>
          <w:lang w:val="fr-FR"/>
        </w:rPr>
        <w:t>désamorcer</w:t>
      </w:r>
      <w:r w:rsidR="001C3354">
        <w:rPr>
          <w:lang w:val="fr-FR"/>
        </w:rPr>
        <w:t xml:space="preserve"> les conflits potentiels. Ils ont néanmoins admis que, </w:t>
      </w:r>
      <w:r w:rsidR="008721CE">
        <w:rPr>
          <w:lang w:val="fr-FR"/>
        </w:rPr>
        <w:t>compte tenu du</w:t>
      </w:r>
      <w:r w:rsidR="001C3354">
        <w:rPr>
          <w:lang w:val="fr-FR"/>
        </w:rPr>
        <w:t xml:space="preserve"> comportement </w:t>
      </w:r>
      <w:r w:rsidR="008721CE">
        <w:rPr>
          <w:lang w:val="fr-FR"/>
        </w:rPr>
        <w:t xml:space="preserve">souvent difficile et potentiellement dangereux </w:t>
      </w:r>
      <w:r w:rsidR="001C3354">
        <w:rPr>
          <w:lang w:val="fr-FR"/>
        </w:rPr>
        <w:t>des jeunes détenus</w:t>
      </w:r>
      <w:r w:rsidR="00C30D05">
        <w:rPr>
          <w:lang w:val="fr-FR"/>
        </w:rPr>
        <w:t xml:space="preserve">, la contrainte physique </w:t>
      </w:r>
      <w:r w:rsidR="004F148A">
        <w:rPr>
          <w:lang w:val="fr-FR"/>
        </w:rPr>
        <w:t>était</w:t>
      </w:r>
      <w:r w:rsidR="00C30D05">
        <w:rPr>
          <w:lang w:val="fr-FR"/>
        </w:rPr>
        <w:t xml:space="preserve"> inévitable dans certaines circonstances</w:t>
      </w:r>
      <w:r w:rsidR="000B562B" w:rsidRPr="00A176EA">
        <w:rPr>
          <w:lang w:val="fr-FR"/>
        </w:rPr>
        <w:t>.</w:t>
      </w:r>
    </w:p>
    <w:p w:rsidR="000B562B" w:rsidRPr="00A176EA" w:rsidRDefault="002549A9" w:rsidP="00134313">
      <w:pPr>
        <w:pStyle w:val="SingleTxtG"/>
        <w:rPr>
          <w:lang w:val="fr-FR"/>
        </w:rPr>
      </w:pPr>
      <w:r w:rsidRPr="00A176EA">
        <w:rPr>
          <w:lang w:val="fr-FR"/>
        </w:rPr>
        <w:t>568.</w:t>
      </w:r>
      <w:r w:rsidRPr="00A176EA">
        <w:rPr>
          <w:lang w:val="fr-FR"/>
        </w:rPr>
        <w:tab/>
      </w:r>
      <w:r w:rsidR="00C30D05">
        <w:rPr>
          <w:lang w:val="fr-FR"/>
        </w:rPr>
        <w:t>Les coprésidents ont ég</w:t>
      </w:r>
      <w:r w:rsidR="00655A99">
        <w:rPr>
          <w:lang w:val="fr-FR"/>
        </w:rPr>
        <w:t xml:space="preserve">alement conclu qu’une certaine forme de </w:t>
      </w:r>
      <w:r w:rsidR="00500D8B">
        <w:rPr>
          <w:lang w:val="fr-FR"/>
        </w:rPr>
        <w:t>contention</w:t>
      </w:r>
      <w:r w:rsidR="00655A99">
        <w:rPr>
          <w:lang w:val="fr-FR"/>
        </w:rPr>
        <w:t xml:space="preserve"> par la douleur pouvait être nécessaire à titre exceptionnel. Le Gouvernement a accepté cette </w:t>
      </w:r>
      <w:r w:rsidR="00A87DD7">
        <w:rPr>
          <w:lang w:val="fr-FR"/>
        </w:rPr>
        <w:t xml:space="preserve">observation selon laquelle le recours à la douleur physique ne peut être qu’exceptionnel, lorsque tous les autres moyens ont été épuisés ou ont </w:t>
      </w:r>
      <w:r w:rsidR="00A85914">
        <w:rPr>
          <w:lang w:val="fr-FR"/>
        </w:rPr>
        <w:t>échoué</w:t>
      </w:r>
      <w:r w:rsidR="00A87DD7">
        <w:rPr>
          <w:lang w:val="fr-FR"/>
        </w:rPr>
        <w:t xml:space="preserve">. Dans leur rapport intérimaire de mars 2011, les coprésidents ont réaffirmé cette conclusion en indiquant que </w:t>
      </w:r>
      <w:r w:rsidR="00CD0110">
        <w:rPr>
          <w:lang w:val="fr-FR"/>
        </w:rPr>
        <w:t>«</w:t>
      </w:r>
      <w:r w:rsidR="00A87DD7">
        <w:rPr>
          <w:lang w:val="fr-FR"/>
        </w:rPr>
        <w:t xml:space="preserve">en effet, les techniques de </w:t>
      </w:r>
      <w:r w:rsidR="00500D8B">
        <w:rPr>
          <w:lang w:val="fr-FR"/>
        </w:rPr>
        <w:t>contention</w:t>
      </w:r>
      <w:r w:rsidR="00B86CE9">
        <w:rPr>
          <w:lang w:val="fr-FR"/>
        </w:rPr>
        <w:t xml:space="preserve"> par la douleur</w:t>
      </w:r>
      <w:r w:rsidR="00134313">
        <w:rPr>
          <w:lang w:val="fr-FR"/>
        </w:rPr>
        <w:t xml:space="preserve"> permettent rapidement et en toute sécurité </w:t>
      </w:r>
      <w:r w:rsidR="008721CE">
        <w:rPr>
          <w:lang w:val="fr-FR"/>
        </w:rPr>
        <w:t>d’éviter</w:t>
      </w:r>
      <w:r w:rsidR="00134313">
        <w:rPr>
          <w:lang w:val="fr-FR"/>
        </w:rPr>
        <w:t xml:space="preserve"> l’utilisation </w:t>
      </w:r>
      <w:r w:rsidR="00134313" w:rsidRPr="008721CE">
        <w:rPr>
          <w:lang w:val="fr-FR"/>
        </w:rPr>
        <w:t>prolongée</w:t>
      </w:r>
      <w:r w:rsidR="00134313">
        <w:rPr>
          <w:lang w:val="fr-FR"/>
        </w:rPr>
        <w:t xml:space="preserve"> de techniques de contrainte</w:t>
      </w:r>
      <w:r w:rsidR="00CD0110">
        <w:rPr>
          <w:lang w:val="fr-FR"/>
        </w:rPr>
        <w:t>»</w:t>
      </w:r>
      <w:r w:rsidR="00134313">
        <w:rPr>
          <w:lang w:val="fr-FR"/>
        </w:rPr>
        <w:t xml:space="preserve">. Ces techniques douloureuses, comme toute autre technique de contrainte, doivent </w:t>
      </w:r>
      <w:r w:rsidR="00500D8B">
        <w:rPr>
          <w:lang w:val="fr-FR"/>
        </w:rPr>
        <w:t>justifier d’</w:t>
      </w:r>
      <w:r w:rsidR="00134313">
        <w:rPr>
          <w:lang w:val="fr-FR"/>
        </w:rPr>
        <w:t>un caractère nécessaire, raisonnable et proportionné</w:t>
      </w:r>
      <w:r w:rsidR="000B562B" w:rsidRPr="00A176EA">
        <w:rPr>
          <w:lang w:val="fr-FR"/>
        </w:rPr>
        <w:t>.</w:t>
      </w:r>
    </w:p>
    <w:p w:rsidR="000B562B" w:rsidRPr="00A176EA" w:rsidRDefault="002549A9" w:rsidP="00395F19">
      <w:pPr>
        <w:pStyle w:val="SingleTxtG"/>
        <w:rPr>
          <w:lang w:val="fr-FR"/>
        </w:rPr>
      </w:pPr>
      <w:r w:rsidRPr="00A176EA">
        <w:rPr>
          <w:lang w:val="fr-FR"/>
        </w:rPr>
        <w:t>569.</w:t>
      </w:r>
      <w:r w:rsidRPr="00A176EA">
        <w:rPr>
          <w:lang w:val="fr-FR"/>
        </w:rPr>
        <w:tab/>
      </w:r>
      <w:r w:rsidR="00A85914">
        <w:rPr>
          <w:lang w:val="fr-FR"/>
        </w:rPr>
        <w:t>L’</w:t>
      </w:r>
      <w:r w:rsidR="004F148A">
        <w:rPr>
          <w:lang w:val="fr-FR"/>
        </w:rPr>
        <w:t>étude</w:t>
      </w:r>
      <w:r w:rsidR="00A85914">
        <w:rPr>
          <w:lang w:val="fr-FR"/>
        </w:rPr>
        <w:t xml:space="preserve"> </w:t>
      </w:r>
      <w:r w:rsidR="004F148A">
        <w:rPr>
          <w:lang w:val="fr-FR"/>
        </w:rPr>
        <w:t xml:space="preserve">a formulé une série de recommandations, notamment que le Gouvernement devrait concevoir un nouveau système de contrainte plus simple, plus sûr et plus efficace pour remplacer la méthode </w:t>
      </w:r>
      <w:r w:rsidR="00826E60">
        <w:rPr>
          <w:lang w:val="fr-FR"/>
        </w:rPr>
        <w:t>de</w:t>
      </w:r>
      <w:r w:rsidR="004F148A">
        <w:rPr>
          <w:lang w:val="fr-FR"/>
        </w:rPr>
        <w:t xml:space="preserve"> </w:t>
      </w:r>
      <w:r w:rsidR="00CD0110">
        <w:rPr>
          <w:lang w:val="fr-FR"/>
        </w:rPr>
        <w:t>«</w:t>
      </w:r>
      <w:r w:rsidR="00134313" w:rsidRPr="00E24EB4">
        <w:rPr>
          <w:lang w:val="fr-FR"/>
        </w:rPr>
        <w:t>contrôle physique dans la prise en charge</w:t>
      </w:r>
      <w:r w:rsidR="00CD0110">
        <w:rPr>
          <w:lang w:val="fr-FR"/>
        </w:rPr>
        <w:t>»</w:t>
      </w:r>
      <w:r w:rsidR="000B562B" w:rsidRPr="00E24EB4">
        <w:rPr>
          <w:lang w:val="fr-FR"/>
        </w:rPr>
        <w:t xml:space="preserve">. </w:t>
      </w:r>
      <w:r w:rsidR="004F148A" w:rsidRPr="00E24EB4">
        <w:rPr>
          <w:lang w:val="fr-FR"/>
        </w:rPr>
        <w:t xml:space="preserve">Le nouveau système est actuellement évalué par le récent </w:t>
      </w:r>
      <w:r w:rsidR="00B86CE9" w:rsidRPr="00E24EB4">
        <w:rPr>
          <w:lang w:val="fr-FR"/>
        </w:rPr>
        <w:t>Conseil d’accréditation pour les mesures de contrainte</w:t>
      </w:r>
      <w:r w:rsidR="00826E60">
        <w:rPr>
          <w:lang w:val="fr-FR"/>
        </w:rPr>
        <w:t>, qui se</w:t>
      </w:r>
      <w:r w:rsidR="004F148A" w:rsidRPr="00E24EB4">
        <w:rPr>
          <w:lang w:val="fr-FR"/>
        </w:rPr>
        <w:t xml:space="preserve"> compos</w:t>
      </w:r>
      <w:r w:rsidR="00826E60">
        <w:rPr>
          <w:lang w:val="fr-FR"/>
        </w:rPr>
        <w:t>e</w:t>
      </w:r>
      <w:r w:rsidR="004F148A" w:rsidRPr="00E24EB4">
        <w:rPr>
          <w:lang w:val="fr-FR"/>
        </w:rPr>
        <w:t xml:space="preserve"> d’</w:t>
      </w:r>
      <w:r w:rsidR="00E24EB4">
        <w:rPr>
          <w:lang w:val="fr-FR"/>
        </w:rPr>
        <w:t xml:space="preserve">éminents </w:t>
      </w:r>
      <w:r w:rsidR="004F148A" w:rsidRPr="00E24EB4">
        <w:rPr>
          <w:lang w:val="fr-FR"/>
        </w:rPr>
        <w:t xml:space="preserve">experts </w:t>
      </w:r>
      <w:r w:rsidR="00E24EB4">
        <w:rPr>
          <w:lang w:val="fr-FR"/>
        </w:rPr>
        <w:t xml:space="preserve">en médecine et en gestion du comportement. Le rôle du Conseil est de formuler des recommandations aux ministres concernant la sécurité et la pertinence </w:t>
      </w:r>
      <w:r w:rsidR="00826E60">
        <w:rPr>
          <w:lang w:val="fr-FR"/>
        </w:rPr>
        <w:t xml:space="preserve">des techniques de contraintes proposées pour les centres fermés accueillant des mineurs de moins de 18 ans. Tous les centres fermés sont désormais dotés d’une stratégie de </w:t>
      </w:r>
      <w:r w:rsidR="00395F19">
        <w:rPr>
          <w:lang w:val="fr-FR"/>
        </w:rPr>
        <w:t>minimisation des moyens de contrainte et les pouvoirs publics ont mis en place un important programme de travail pour appliquer les recommandations formulées dans l’étude. À ce jour, près des deux tiers des 56 recommandations acceptées ont été mises en œuvre et l’application des autres est en bonne voie</w:t>
      </w:r>
      <w:r w:rsidR="000B562B" w:rsidRPr="00A176EA">
        <w:rPr>
          <w:lang w:val="fr-FR"/>
        </w:rPr>
        <w:t>.</w:t>
      </w:r>
    </w:p>
    <w:p w:rsidR="000B562B" w:rsidRPr="00A176EA" w:rsidRDefault="00051D7A" w:rsidP="000F0266">
      <w:pPr>
        <w:pStyle w:val="H23G"/>
        <w:rPr>
          <w:lang w:val="fr-FR"/>
        </w:rPr>
      </w:pPr>
      <w:r w:rsidRPr="00395F19">
        <w:rPr>
          <w:lang w:val="fr-FR"/>
        </w:rPr>
        <w:t>Âge de la responsabilité pénale</w:t>
      </w:r>
    </w:p>
    <w:p w:rsidR="000B562B" w:rsidRPr="00A176EA" w:rsidRDefault="002549A9" w:rsidP="00395F19">
      <w:pPr>
        <w:pStyle w:val="SingleTxtG"/>
        <w:rPr>
          <w:color w:val="000000"/>
          <w:lang w:val="fr-FR"/>
        </w:rPr>
      </w:pPr>
      <w:r w:rsidRPr="00A176EA">
        <w:rPr>
          <w:color w:val="000000"/>
          <w:lang w:val="fr-FR"/>
        </w:rPr>
        <w:t>570.</w:t>
      </w:r>
      <w:r w:rsidRPr="00A176EA">
        <w:rPr>
          <w:color w:val="000000"/>
          <w:lang w:val="fr-FR"/>
        </w:rPr>
        <w:tab/>
      </w:r>
      <w:r w:rsidR="00395F19">
        <w:rPr>
          <w:color w:val="000000"/>
          <w:lang w:val="fr-FR"/>
        </w:rPr>
        <w:t xml:space="preserve">L’âge de la responsabilité pénale en Angleterre et au </w:t>
      </w:r>
      <w:r w:rsidR="00395F19">
        <w:rPr>
          <w:lang w:val="fr-FR"/>
        </w:rPr>
        <w:t>p</w:t>
      </w:r>
      <w:r w:rsidR="005601A1">
        <w:rPr>
          <w:lang w:val="fr-FR"/>
        </w:rPr>
        <w:t>ays de Galles</w:t>
      </w:r>
      <w:r w:rsidR="000B562B" w:rsidRPr="00A176EA">
        <w:rPr>
          <w:lang w:val="fr-FR"/>
        </w:rPr>
        <w:t xml:space="preserve"> </w:t>
      </w:r>
      <w:r w:rsidR="00395F19">
        <w:rPr>
          <w:lang w:val="fr-FR"/>
        </w:rPr>
        <w:t xml:space="preserve">est </w:t>
      </w:r>
      <w:r w:rsidR="00D623EF">
        <w:rPr>
          <w:lang w:val="fr-FR"/>
        </w:rPr>
        <w:t xml:space="preserve">de </w:t>
      </w:r>
      <w:r w:rsidR="00395F19">
        <w:rPr>
          <w:lang w:val="fr-FR"/>
        </w:rPr>
        <w:t>10 ans</w:t>
      </w:r>
      <w:r w:rsidR="003C7A06">
        <w:rPr>
          <w:lang w:val="fr-FR"/>
        </w:rPr>
        <w:t>, depuis la loi de 1963 sur les enfants et les jeunes qui l’a relevé de 8 à 10 ans</w:t>
      </w:r>
      <w:r w:rsidR="000B562B" w:rsidRPr="00A176EA">
        <w:rPr>
          <w:lang w:val="fr-FR"/>
        </w:rPr>
        <w:t xml:space="preserve">. </w:t>
      </w:r>
      <w:r w:rsidR="003C7A06">
        <w:rPr>
          <w:lang w:val="fr-FR"/>
        </w:rPr>
        <w:t xml:space="preserve">Cela signifie que </w:t>
      </w:r>
      <w:r w:rsidR="00D623EF">
        <w:rPr>
          <w:lang w:val="fr-FR"/>
        </w:rPr>
        <w:t xml:space="preserve">toute personne âgée de plus de 10 ans peut être poursuivie pour une infraction pénale. Le Gouvernement tient à ce que les enfants et les jeunes ne soient pas poursuivis </w:t>
      </w:r>
      <w:r w:rsidR="009A4174">
        <w:rPr>
          <w:lang w:val="fr-FR"/>
        </w:rPr>
        <w:t xml:space="preserve">quand on peut trouver une autre solution. Les </w:t>
      </w:r>
      <w:r w:rsidR="009A4174" w:rsidRPr="009A4174">
        <w:rPr>
          <w:lang w:val="fr-FR"/>
        </w:rPr>
        <w:t xml:space="preserve">Équipes </w:t>
      </w:r>
      <w:r w:rsidR="002B093B" w:rsidRPr="009A4174">
        <w:rPr>
          <w:lang w:val="fr-FR"/>
        </w:rPr>
        <w:t>interinstitutions locales</w:t>
      </w:r>
      <w:r w:rsidR="002B093B">
        <w:rPr>
          <w:lang w:val="fr-FR"/>
        </w:rPr>
        <w:t xml:space="preserve"> </w:t>
      </w:r>
      <w:r w:rsidR="009A4174" w:rsidRPr="009A4174">
        <w:rPr>
          <w:lang w:val="fr-FR"/>
        </w:rPr>
        <w:t xml:space="preserve">chargées de la délinquance juvénile </w:t>
      </w:r>
      <w:r w:rsidR="009A4174">
        <w:rPr>
          <w:lang w:val="fr-FR"/>
        </w:rPr>
        <w:t>fournissent des services sociaux et disposent de professionnels de santé qui peuvent orienter les enfants vers d’autres services officiels pour évaluation et, le cas échéant, les aider. Il s’agit par exemple des Services de santé mentale pour enfants et adolescents. La plupart des jeunes qui comparaissent devant un tribunal</w:t>
      </w:r>
      <w:r w:rsidR="00941519">
        <w:rPr>
          <w:lang w:val="fr-FR"/>
        </w:rPr>
        <w:t xml:space="preserve"> font l’objet d’une ordonnance de renvoi, le premier niveau de sanction d’intérêt général</w:t>
      </w:r>
      <w:r w:rsidR="00462CA3">
        <w:rPr>
          <w:lang w:val="fr-FR"/>
        </w:rPr>
        <w:t>,</w:t>
      </w:r>
      <w:r w:rsidR="00941519">
        <w:rPr>
          <w:lang w:val="fr-FR"/>
        </w:rPr>
        <w:t xml:space="preserve"> fondée sur les principes de la justice réparatrice</w:t>
      </w:r>
      <w:r w:rsidR="00FC2B97">
        <w:rPr>
          <w:lang w:val="fr-FR"/>
        </w:rPr>
        <w:t>:</w:t>
      </w:r>
      <w:r w:rsidR="00941519">
        <w:rPr>
          <w:lang w:val="fr-FR"/>
        </w:rPr>
        <w:t xml:space="preserve"> le délinquant est renvoyé vers un groupe spécialisé dans la délinquance juvénile</w:t>
      </w:r>
      <w:r w:rsidR="00462CA3">
        <w:rPr>
          <w:lang w:val="fr-FR"/>
        </w:rPr>
        <w:t xml:space="preserve"> avec lequel il conclut un accord </w:t>
      </w:r>
      <w:r w:rsidR="002B093B">
        <w:rPr>
          <w:lang w:val="fr-FR"/>
        </w:rPr>
        <w:t>portant notamment sur la</w:t>
      </w:r>
      <w:r w:rsidR="00462CA3">
        <w:rPr>
          <w:lang w:val="fr-FR"/>
        </w:rPr>
        <w:t xml:space="preserve"> réparation et </w:t>
      </w:r>
      <w:r w:rsidR="002B093B">
        <w:rPr>
          <w:lang w:val="fr-FR"/>
        </w:rPr>
        <w:t>la</w:t>
      </w:r>
      <w:r w:rsidR="00462CA3">
        <w:rPr>
          <w:lang w:val="fr-FR"/>
        </w:rPr>
        <w:t xml:space="preserve"> réinsertion</w:t>
      </w:r>
      <w:r w:rsidR="000B562B" w:rsidRPr="00A176EA">
        <w:rPr>
          <w:color w:val="000000"/>
          <w:szCs w:val="22"/>
          <w:lang w:val="fr-FR"/>
        </w:rPr>
        <w:t>.</w:t>
      </w:r>
    </w:p>
    <w:p w:rsidR="000B562B" w:rsidRPr="00A176EA" w:rsidRDefault="002549A9" w:rsidP="0099359F">
      <w:pPr>
        <w:pStyle w:val="SingleTxtG"/>
        <w:rPr>
          <w:sz w:val="24"/>
          <w:szCs w:val="24"/>
          <w:lang w:val="fr-FR"/>
        </w:rPr>
      </w:pPr>
      <w:r w:rsidRPr="00462CA3">
        <w:rPr>
          <w:lang w:val="fr-FR"/>
        </w:rPr>
        <w:t>571.</w:t>
      </w:r>
      <w:r w:rsidRPr="00462CA3">
        <w:rPr>
          <w:lang w:val="fr-FR"/>
        </w:rPr>
        <w:tab/>
      </w:r>
      <w:r w:rsidR="002B093B">
        <w:rPr>
          <w:lang w:val="fr-FR"/>
        </w:rPr>
        <w:t>D’</w:t>
      </w:r>
      <w:r w:rsidR="00462CA3" w:rsidRPr="00462CA3">
        <w:rPr>
          <w:lang w:val="fr-FR"/>
        </w:rPr>
        <w:t>autres</w:t>
      </w:r>
      <w:r w:rsidR="00462CA3">
        <w:rPr>
          <w:lang w:val="fr-FR"/>
        </w:rPr>
        <w:t xml:space="preserve"> délinquants </w:t>
      </w:r>
      <w:r w:rsidR="00154A0F">
        <w:rPr>
          <w:lang w:val="fr-FR"/>
        </w:rPr>
        <w:t xml:space="preserve">ne sont pas traduits devant la justice pénale ou font l’objet d’une mesure </w:t>
      </w:r>
      <w:r w:rsidR="00BB766E">
        <w:rPr>
          <w:lang w:val="fr-FR"/>
        </w:rPr>
        <w:t>extrajudiciaire, généralement un blâme ou un dernier avertissement</w:t>
      </w:r>
      <w:r w:rsidR="00E41CD1">
        <w:rPr>
          <w:lang w:val="fr-FR"/>
        </w:rPr>
        <w:t xml:space="preserve">, </w:t>
      </w:r>
      <w:r w:rsidR="00292393">
        <w:rPr>
          <w:lang w:val="fr-FR"/>
        </w:rPr>
        <w:t xml:space="preserve">solution la plus fréquente pour les infractions commises par ce groupe d’âge, l’avertissement pouvant donner lieu à des interventions visant à traiter les comportements délinquants et les problèmes sous-jacents. Pour les enfants de cet âge, les interventions sont axées non sur la répression mais sur la réadaptation. </w:t>
      </w:r>
      <w:r w:rsidR="0099359F">
        <w:rPr>
          <w:lang w:val="fr-FR"/>
        </w:rPr>
        <w:t>Le fait que l’âge de la responsabilité pénale soit fixé à 10 ans permet d’intervenir de façon précoce pour prévenir d’autres infractions et aider les jeunes à se sentir personnellement responsables de leurs actes. Au 1</w:t>
      </w:r>
      <w:r w:rsidR="0099359F" w:rsidRPr="0099359F">
        <w:rPr>
          <w:vertAlign w:val="superscript"/>
          <w:lang w:val="fr-FR"/>
        </w:rPr>
        <w:t>er</w:t>
      </w:r>
      <w:r w:rsidR="0099359F">
        <w:rPr>
          <w:lang w:val="fr-FR"/>
        </w:rPr>
        <w:t xml:space="preserve"> mai 2011, il n’y avait aucun enfant de moins de 12 ans dans les centres fermés d’Angleterre ou du pays </w:t>
      </w:r>
      <w:r w:rsidR="005601A1">
        <w:rPr>
          <w:lang w:val="fr-FR"/>
        </w:rPr>
        <w:t>de Galles</w:t>
      </w:r>
      <w:r w:rsidR="000B562B" w:rsidRPr="00A176EA">
        <w:rPr>
          <w:lang w:val="fr-FR"/>
        </w:rPr>
        <w:t>.</w:t>
      </w:r>
    </w:p>
    <w:p w:rsidR="000B562B" w:rsidRPr="0099359F" w:rsidRDefault="008F3DA4" w:rsidP="00410A02">
      <w:pPr>
        <w:pStyle w:val="H23G"/>
        <w:rPr>
          <w:lang w:val="fr-FR"/>
        </w:rPr>
      </w:pPr>
      <w:r w:rsidRPr="0099359F">
        <w:rPr>
          <w:lang w:val="fr-FR"/>
        </w:rPr>
        <w:t>Irlande du Nord</w:t>
      </w:r>
    </w:p>
    <w:p w:rsidR="000B562B" w:rsidRPr="00A176EA" w:rsidRDefault="002549A9" w:rsidP="000F0266">
      <w:pPr>
        <w:pStyle w:val="SingleTxtG"/>
        <w:rPr>
          <w:lang w:val="fr-FR"/>
        </w:rPr>
      </w:pPr>
      <w:r w:rsidRPr="0099359F">
        <w:rPr>
          <w:lang w:val="fr-FR"/>
        </w:rPr>
        <w:t>572.</w:t>
      </w:r>
      <w:r w:rsidRPr="0099359F">
        <w:rPr>
          <w:lang w:val="fr-FR"/>
        </w:rPr>
        <w:tab/>
      </w:r>
      <w:r w:rsidR="00EB6DCB" w:rsidRPr="0099359F">
        <w:rPr>
          <w:lang w:val="fr-FR"/>
        </w:rPr>
        <w:t>Jusqu’en</w:t>
      </w:r>
      <w:r w:rsidR="000B562B" w:rsidRPr="0099359F">
        <w:rPr>
          <w:lang w:val="fr-FR"/>
        </w:rPr>
        <w:t xml:space="preserve"> 2005</w:t>
      </w:r>
      <w:r w:rsidR="00EB6DCB" w:rsidRPr="0099359F">
        <w:rPr>
          <w:lang w:val="fr-FR"/>
        </w:rPr>
        <w:t>, le système de justice pour mineurs d’</w:t>
      </w:r>
      <w:r w:rsidR="008F3DA4" w:rsidRPr="0099359F">
        <w:rPr>
          <w:lang w:val="fr-FR"/>
        </w:rPr>
        <w:t>Irlande du Nord</w:t>
      </w:r>
      <w:r w:rsidR="000B562B" w:rsidRPr="0099359F">
        <w:rPr>
          <w:lang w:val="fr-FR"/>
        </w:rPr>
        <w:t xml:space="preserve"> </w:t>
      </w:r>
      <w:r w:rsidR="00183E65">
        <w:rPr>
          <w:lang w:val="fr-FR"/>
        </w:rPr>
        <w:t xml:space="preserve">s’appliquait aux enfants de 10 à 16 ans mais, à compter du mois d’août de la même année, la législation issue du Réexamen du système de justice pénale a porté cet âge à 17 ans. D’importantes modifications ont été introduites dans le système de justice pour mineurs ces 10 dernières années pour détourner davantage les jeunes de la criminalité et réduire le recours à la détention. Désormais, </w:t>
      </w:r>
      <w:r w:rsidR="00362509">
        <w:rPr>
          <w:lang w:val="fr-FR"/>
        </w:rPr>
        <w:t>le placement en détention</w:t>
      </w:r>
      <w:r w:rsidR="00183E65">
        <w:rPr>
          <w:lang w:val="fr-FR"/>
        </w:rPr>
        <w:t xml:space="preserve"> </w:t>
      </w:r>
      <w:r w:rsidR="00362509">
        <w:rPr>
          <w:lang w:val="fr-FR"/>
        </w:rPr>
        <w:t xml:space="preserve">est réservé aux infractions les plus graves et aux récidivistes, et des limites ont été imposées à la détention provisoire. </w:t>
      </w:r>
      <w:r w:rsidR="00A42C4C">
        <w:rPr>
          <w:lang w:val="fr-FR"/>
        </w:rPr>
        <w:t>L</w:t>
      </w:r>
      <w:r w:rsidR="00362509">
        <w:rPr>
          <w:lang w:val="fr-FR"/>
        </w:rPr>
        <w:t xml:space="preserve">es programmes et </w:t>
      </w:r>
      <w:r w:rsidR="00A42C4C">
        <w:rPr>
          <w:lang w:val="fr-FR"/>
        </w:rPr>
        <w:t>l</w:t>
      </w:r>
      <w:r w:rsidR="00362509">
        <w:rPr>
          <w:lang w:val="fr-FR"/>
        </w:rPr>
        <w:t xml:space="preserve">es partenariats interinstitutions </w:t>
      </w:r>
      <w:r w:rsidR="00A42C4C">
        <w:rPr>
          <w:lang w:val="fr-FR"/>
        </w:rPr>
        <w:t xml:space="preserve">continuent de travailler en étroite collaboration pour </w:t>
      </w:r>
      <w:r w:rsidR="008752E4">
        <w:rPr>
          <w:lang w:val="fr-FR"/>
        </w:rPr>
        <w:t>garder</w:t>
      </w:r>
      <w:r w:rsidR="00A42C4C">
        <w:rPr>
          <w:lang w:val="fr-FR"/>
        </w:rPr>
        <w:t xml:space="preserve"> les jeunes dans la communauté</w:t>
      </w:r>
      <w:r w:rsidR="008752E4" w:rsidRPr="008752E4">
        <w:rPr>
          <w:lang w:val="fr-FR"/>
        </w:rPr>
        <w:t xml:space="preserve"> </w:t>
      </w:r>
      <w:r w:rsidR="008752E4">
        <w:rPr>
          <w:lang w:val="fr-FR"/>
        </w:rPr>
        <w:t>et les soutenir</w:t>
      </w:r>
      <w:r w:rsidR="00A42C4C">
        <w:rPr>
          <w:lang w:val="fr-FR"/>
        </w:rPr>
        <w:t xml:space="preserve">, et une série de peines d’intérêt général ont été développées pour étendre l’éventail des sanctions que les tribunaux peuvent imposer. </w:t>
      </w:r>
      <w:r w:rsidR="00B37AAB">
        <w:rPr>
          <w:lang w:val="fr-FR"/>
        </w:rPr>
        <w:t xml:space="preserve">En particulier, l’introduction d’un système de confrontation s’appuyant sur les principes de la justice réparatrice </w:t>
      </w:r>
      <w:r w:rsidR="000653CF">
        <w:rPr>
          <w:lang w:val="fr-FR"/>
        </w:rPr>
        <w:t>fournit un processus participatif dans lequel les jeunes peuvent assumer la responsabilité de leurs actes, des interventions peuvent être organisées en fonction de leurs besoins et les victimes peuvent s’exprimer</w:t>
      </w:r>
      <w:r w:rsidR="000B562B" w:rsidRPr="00A176EA">
        <w:rPr>
          <w:lang w:val="fr-FR"/>
        </w:rPr>
        <w:t>.</w:t>
      </w:r>
    </w:p>
    <w:p w:rsidR="000B562B" w:rsidRPr="00A176EA" w:rsidRDefault="002549A9" w:rsidP="00102AAE">
      <w:pPr>
        <w:pStyle w:val="SingleTxtG"/>
        <w:rPr>
          <w:lang w:val="fr-FR"/>
        </w:rPr>
      </w:pPr>
      <w:r w:rsidRPr="00A176EA">
        <w:rPr>
          <w:lang w:val="fr-FR"/>
        </w:rPr>
        <w:t>573.</w:t>
      </w:r>
      <w:r w:rsidRPr="00A176EA">
        <w:rPr>
          <w:lang w:val="fr-FR"/>
        </w:rPr>
        <w:tab/>
      </w:r>
      <w:r w:rsidR="001F3182">
        <w:rPr>
          <w:lang w:val="fr-FR"/>
        </w:rPr>
        <w:t xml:space="preserve">Les </w:t>
      </w:r>
      <w:r w:rsidR="008752E4">
        <w:rPr>
          <w:lang w:val="fr-FR"/>
        </w:rPr>
        <w:t>modalités</w:t>
      </w:r>
      <w:r w:rsidR="001F3182">
        <w:rPr>
          <w:lang w:val="fr-FR"/>
        </w:rPr>
        <w:t xml:space="preserve"> de détention ont par ailleurs été réformé</w:t>
      </w:r>
      <w:r w:rsidR="008752E4">
        <w:rPr>
          <w:lang w:val="fr-FR"/>
        </w:rPr>
        <w:t>e</w:t>
      </w:r>
      <w:r w:rsidR="001F3182">
        <w:rPr>
          <w:lang w:val="fr-FR"/>
        </w:rPr>
        <w:t xml:space="preserve">s par l’introduction de peines à durée déterminée allant de 6 mois à 2 ans, dont la moitié est </w:t>
      </w:r>
      <w:r w:rsidR="008752E4">
        <w:rPr>
          <w:lang w:val="fr-FR"/>
        </w:rPr>
        <w:t>exécutée sous surveillance au sein de la communauté. Le nombre de jeunes placés en détention a ainsi diminué, de telle sorte que la trentaine de mineurs</w:t>
      </w:r>
      <w:r w:rsidR="00102AAE">
        <w:rPr>
          <w:lang w:val="fr-FR"/>
        </w:rPr>
        <w:t xml:space="preserve"> de l’effectif actuel peut être hébergée dans le même centre pour jeunes délinquants</w:t>
      </w:r>
      <w:r w:rsidR="000B562B" w:rsidRPr="00A176EA">
        <w:rPr>
          <w:lang w:val="fr-FR"/>
        </w:rPr>
        <w:t>.</w:t>
      </w:r>
    </w:p>
    <w:p w:rsidR="000B562B" w:rsidRPr="00A176EA" w:rsidRDefault="002549A9" w:rsidP="00236935">
      <w:pPr>
        <w:pStyle w:val="SingleTxtG"/>
        <w:rPr>
          <w:lang w:val="fr-FR"/>
        </w:rPr>
      </w:pPr>
      <w:r w:rsidRPr="00A176EA">
        <w:rPr>
          <w:lang w:val="fr-FR"/>
        </w:rPr>
        <w:t>574.</w:t>
      </w:r>
      <w:r w:rsidRPr="00A176EA">
        <w:rPr>
          <w:lang w:val="fr-FR"/>
        </w:rPr>
        <w:tab/>
      </w:r>
      <w:r w:rsidR="004B07DE" w:rsidRPr="00EB55F9">
        <w:rPr>
          <w:lang w:val="fr-FR"/>
        </w:rPr>
        <w:t>Le nouveau centre fermé moderne de Rathgael, dans lequel les programmes d’éducation et de lutte contre la délinquance sont plus faciles à exécuter et les contacts avec la famille peuvent être maintenus et renforcés, a été achevé en janvier 2007</w:t>
      </w:r>
      <w:r w:rsidR="00FC2B97">
        <w:rPr>
          <w:lang w:val="fr-FR"/>
        </w:rPr>
        <w:t>:</w:t>
      </w:r>
      <w:r w:rsidR="004B07DE" w:rsidRPr="00EB55F9">
        <w:rPr>
          <w:lang w:val="fr-FR"/>
        </w:rPr>
        <w:t xml:space="preserve"> Woodlands, construit spécialement, </w:t>
      </w:r>
      <w:r w:rsidR="00EB55F9" w:rsidRPr="00EB55F9">
        <w:rPr>
          <w:lang w:val="fr-FR"/>
        </w:rPr>
        <w:t>est pleinement opérationnel et constitue le seul Centre de justice pour mineurs d’</w:t>
      </w:r>
      <w:r w:rsidR="008F3DA4" w:rsidRPr="00EB55F9">
        <w:rPr>
          <w:lang w:val="fr-FR"/>
        </w:rPr>
        <w:t>Irlande du Nord</w:t>
      </w:r>
      <w:r w:rsidR="000B562B" w:rsidRPr="00EB55F9">
        <w:rPr>
          <w:snapToGrid w:val="0"/>
          <w:lang w:val="fr-FR"/>
        </w:rPr>
        <w:t>.</w:t>
      </w:r>
      <w:r w:rsidR="00EB55F9">
        <w:rPr>
          <w:snapToGrid w:val="0"/>
          <w:lang w:val="fr-FR"/>
        </w:rPr>
        <w:t xml:space="preserve"> Sain et sûr de par sa conception, il s’inscrit dans un environnement favorisant de bonnes pratiques de prise en charge des enfants et un fonctionnement efficace. Le</w:t>
      </w:r>
      <w:r w:rsidR="00275295">
        <w:rPr>
          <w:snapToGrid w:val="0"/>
          <w:lang w:val="fr-FR"/>
        </w:rPr>
        <w:t>s</w:t>
      </w:r>
      <w:r w:rsidR="00EB55F9">
        <w:rPr>
          <w:snapToGrid w:val="0"/>
          <w:lang w:val="fr-FR"/>
        </w:rPr>
        <w:t xml:space="preserve"> </w:t>
      </w:r>
      <w:r w:rsidR="00275295">
        <w:rPr>
          <w:snapToGrid w:val="0"/>
          <w:lang w:val="fr-FR"/>
        </w:rPr>
        <w:t xml:space="preserve">prestations du </w:t>
      </w:r>
      <w:r w:rsidR="00EB55F9">
        <w:rPr>
          <w:snapToGrid w:val="0"/>
          <w:lang w:val="fr-FR"/>
        </w:rPr>
        <w:t xml:space="preserve">personnel </w:t>
      </w:r>
      <w:r w:rsidR="00275295">
        <w:rPr>
          <w:snapToGrid w:val="0"/>
          <w:lang w:val="fr-FR"/>
        </w:rPr>
        <w:t>sont</w:t>
      </w:r>
      <w:r w:rsidR="00AA245D">
        <w:rPr>
          <w:snapToGrid w:val="0"/>
          <w:lang w:val="fr-FR"/>
        </w:rPr>
        <w:t xml:space="preserve"> dédiées à l’enfant et axées sur l’éducation, </w:t>
      </w:r>
      <w:r w:rsidR="00236935">
        <w:rPr>
          <w:snapToGrid w:val="0"/>
          <w:lang w:val="fr-FR"/>
        </w:rPr>
        <w:t>sur un programme adapté à l’infraction commise, sur l’acquisition de compétences nécessaires à la vie courante et sur la réinsertion</w:t>
      </w:r>
      <w:r w:rsidR="000B562B" w:rsidRPr="00A176EA">
        <w:rPr>
          <w:lang w:val="fr-FR"/>
        </w:rPr>
        <w:t>.</w:t>
      </w:r>
    </w:p>
    <w:p w:rsidR="000B562B" w:rsidRPr="00A176EA" w:rsidRDefault="002549A9" w:rsidP="00B15E9F">
      <w:pPr>
        <w:pStyle w:val="SingleTxtG"/>
        <w:rPr>
          <w:rFonts w:cs="Arial"/>
          <w:lang w:val="fr-FR"/>
        </w:rPr>
      </w:pPr>
      <w:r w:rsidRPr="00A176EA">
        <w:rPr>
          <w:rFonts w:cs="Arial"/>
          <w:lang w:val="fr-FR"/>
        </w:rPr>
        <w:t>575.</w:t>
      </w:r>
      <w:r w:rsidRPr="00A176EA">
        <w:rPr>
          <w:rFonts w:cs="Arial"/>
          <w:lang w:val="fr-FR"/>
        </w:rPr>
        <w:tab/>
      </w:r>
      <w:r w:rsidR="00236935">
        <w:rPr>
          <w:rFonts w:cs="Arial"/>
          <w:lang w:val="fr-FR"/>
        </w:rPr>
        <w:t>En outre, l’</w:t>
      </w:r>
      <w:r w:rsidR="000864A4">
        <w:rPr>
          <w:lang w:val="fr-FR"/>
        </w:rPr>
        <w:t xml:space="preserve">Évaluation </w:t>
      </w:r>
      <w:r w:rsidR="00236935">
        <w:rPr>
          <w:rFonts w:cs="Arial"/>
          <w:lang w:val="fr-FR"/>
        </w:rPr>
        <w:t>indépendant</w:t>
      </w:r>
      <w:r w:rsidR="000864A4">
        <w:rPr>
          <w:rFonts w:cs="Arial"/>
          <w:lang w:val="fr-FR"/>
        </w:rPr>
        <w:t>e</w:t>
      </w:r>
      <w:r w:rsidR="00236935">
        <w:rPr>
          <w:rFonts w:cs="Arial"/>
          <w:lang w:val="fr-FR"/>
        </w:rPr>
        <w:t xml:space="preserve"> des </w:t>
      </w:r>
      <w:r w:rsidR="000864A4">
        <w:rPr>
          <w:rFonts w:cs="Arial"/>
          <w:lang w:val="fr-FR"/>
        </w:rPr>
        <w:t>prisons</w:t>
      </w:r>
      <w:r w:rsidR="00236935">
        <w:rPr>
          <w:rFonts w:cs="Arial"/>
          <w:lang w:val="fr-FR"/>
        </w:rPr>
        <w:t xml:space="preserve"> a suggéré dans un rapport intérimaire que </w:t>
      </w:r>
      <w:r w:rsidR="000864A4">
        <w:rPr>
          <w:rFonts w:cs="Arial"/>
          <w:lang w:val="fr-FR"/>
        </w:rPr>
        <w:t>l’</w:t>
      </w:r>
      <w:r w:rsidR="000864A4">
        <w:rPr>
          <w:lang w:val="fr-FR"/>
        </w:rPr>
        <w:t xml:space="preserve">Évaluation </w:t>
      </w:r>
      <w:r w:rsidR="00236935">
        <w:rPr>
          <w:rFonts w:cs="Arial"/>
          <w:lang w:val="fr-FR"/>
        </w:rPr>
        <w:t>de la justice pour mineurs, actuellement en cours, explore des moyens de fournir à tous les en</w:t>
      </w:r>
      <w:r w:rsidR="00BD7111">
        <w:rPr>
          <w:rFonts w:cs="Arial"/>
          <w:lang w:val="fr-FR"/>
        </w:rPr>
        <w:t>f</w:t>
      </w:r>
      <w:r w:rsidR="00236935">
        <w:rPr>
          <w:rFonts w:cs="Arial"/>
          <w:lang w:val="fr-FR"/>
        </w:rPr>
        <w:t>ants un hébergement approprié</w:t>
      </w:r>
      <w:r w:rsidR="00BD7111">
        <w:rPr>
          <w:rFonts w:cs="Arial"/>
          <w:lang w:val="fr-FR"/>
        </w:rPr>
        <w:t xml:space="preserve"> conforme à l’intérêt supérieur de l’enfant, à Woodlands ou ailleurs. L’</w:t>
      </w:r>
      <w:r w:rsidR="00BD7111">
        <w:rPr>
          <w:lang w:val="fr-FR"/>
        </w:rPr>
        <w:t>É</w:t>
      </w:r>
      <w:r w:rsidR="000864A4">
        <w:rPr>
          <w:rFonts w:cs="Arial"/>
          <w:lang w:val="fr-FR"/>
        </w:rPr>
        <w:t xml:space="preserve">quipe d’évaluation reprendra le problème des jeunes adultes dans son rapport final. </w:t>
      </w:r>
      <w:r w:rsidR="000864A4" w:rsidRPr="00B15E9F">
        <w:rPr>
          <w:rFonts w:cs="Arial"/>
          <w:lang w:val="fr-FR"/>
        </w:rPr>
        <w:t xml:space="preserve">Parallèlement, </w:t>
      </w:r>
      <w:r w:rsidR="000864A4" w:rsidRPr="00B15E9F">
        <w:rPr>
          <w:lang w:val="fr-FR"/>
        </w:rPr>
        <w:t>l’</w:t>
      </w:r>
      <w:r w:rsidR="008F3DA4" w:rsidRPr="00B15E9F">
        <w:rPr>
          <w:lang w:val="fr-FR"/>
        </w:rPr>
        <w:t>Administration pénitentiaire d’Irlande du Nord</w:t>
      </w:r>
      <w:r w:rsidR="000864A4" w:rsidRPr="00B15E9F">
        <w:rPr>
          <w:lang w:val="fr-FR"/>
        </w:rPr>
        <w:t xml:space="preserve"> reconnaît qu’il est important de fournir des services adaptés aux besoins des jeunes, ce qui est une priorité à </w:t>
      </w:r>
      <w:r w:rsidR="000B562B" w:rsidRPr="00B15E9F">
        <w:rPr>
          <w:lang w:val="fr-FR"/>
        </w:rPr>
        <w:t>Hydebank Wood.</w:t>
      </w:r>
      <w:r w:rsidR="000B562B" w:rsidRPr="00A176EA">
        <w:rPr>
          <w:lang w:val="fr-FR"/>
        </w:rPr>
        <w:t xml:space="preserve"> </w:t>
      </w:r>
      <w:r w:rsidR="00B15E9F">
        <w:rPr>
          <w:lang w:val="fr-FR"/>
        </w:rPr>
        <w:t>Entre le 1</w:t>
      </w:r>
      <w:r w:rsidR="00B15E9F" w:rsidRPr="00B15E9F">
        <w:rPr>
          <w:vertAlign w:val="superscript"/>
          <w:lang w:val="fr-FR"/>
        </w:rPr>
        <w:t>er</w:t>
      </w:r>
      <w:r w:rsidR="00B15E9F">
        <w:rPr>
          <w:lang w:val="fr-FR"/>
        </w:rPr>
        <w:t xml:space="preserve"> avril 2010 et le 31 mars 2011, 123 garçons de moins de 18 ans ont été incarcérés à </w:t>
      </w:r>
      <w:r w:rsidR="000B562B" w:rsidRPr="00A176EA">
        <w:rPr>
          <w:lang w:val="fr-FR"/>
        </w:rPr>
        <w:t>Hydebank Wood.</w:t>
      </w:r>
    </w:p>
    <w:p w:rsidR="000B562B" w:rsidRPr="00A176EA" w:rsidRDefault="002549A9" w:rsidP="00AF2A12">
      <w:pPr>
        <w:pStyle w:val="SingleTxtG"/>
        <w:rPr>
          <w:lang w:val="fr-FR"/>
        </w:rPr>
      </w:pPr>
      <w:r w:rsidRPr="00A176EA">
        <w:rPr>
          <w:lang w:val="fr-FR"/>
        </w:rPr>
        <w:t>576.</w:t>
      </w:r>
      <w:r w:rsidRPr="00A176EA">
        <w:rPr>
          <w:lang w:val="fr-FR"/>
        </w:rPr>
        <w:tab/>
      </w:r>
      <w:r w:rsidR="00B15E9F">
        <w:rPr>
          <w:lang w:val="fr-FR"/>
        </w:rPr>
        <w:t xml:space="preserve">Depuis le retrait de la réserve du Gouvernement relative </w:t>
      </w:r>
      <w:r w:rsidR="00C0693F">
        <w:rPr>
          <w:lang w:val="fr-FR"/>
        </w:rPr>
        <w:t>au paragraphe c de</w:t>
      </w:r>
      <w:r w:rsidR="00B15E9F">
        <w:rPr>
          <w:lang w:val="fr-FR"/>
        </w:rPr>
        <w:t xml:space="preserve"> l’article 37 de la Convention relative aux droits de l’enfant, un groupe stratégique inter</w:t>
      </w:r>
      <w:r w:rsidR="005C1751">
        <w:rPr>
          <w:lang w:val="fr-FR"/>
        </w:rPr>
        <w:t xml:space="preserve">institutions a été créé pour évaluer et développer les modalités de détention pour les jeunes de moins de 18 ans. </w:t>
      </w:r>
      <w:r w:rsidR="00A60645">
        <w:rPr>
          <w:lang w:val="fr-FR"/>
        </w:rPr>
        <w:t>Cette évaluation a permis, notamment, d’instaurer à Hydebank Wood</w:t>
      </w:r>
      <w:r w:rsidR="00A60645" w:rsidRPr="00A60645">
        <w:rPr>
          <w:lang w:val="fr-FR"/>
        </w:rPr>
        <w:t xml:space="preserve"> </w:t>
      </w:r>
      <w:r w:rsidR="00A60645">
        <w:rPr>
          <w:lang w:val="fr-FR"/>
        </w:rPr>
        <w:t xml:space="preserve">un système de gestion des cas fondé sur des évaluations individuelles, sur le </w:t>
      </w:r>
      <w:r w:rsidR="00CD0110">
        <w:rPr>
          <w:lang w:val="fr-FR"/>
        </w:rPr>
        <w:t>«</w:t>
      </w:r>
      <w:r w:rsidR="00A60645">
        <w:rPr>
          <w:lang w:val="fr-FR"/>
        </w:rPr>
        <w:t>principe d’intérêt supérieur</w:t>
      </w:r>
      <w:r w:rsidR="00CD0110">
        <w:rPr>
          <w:lang w:val="fr-FR"/>
        </w:rPr>
        <w:t>»</w:t>
      </w:r>
      <w:r w:rsidR="00A60645">
        <w:rPr>
          <w:lang w:val="fr-FR"/>
        </w:rPr>
        <w:t xml:space="preserve"> et sur une approche participative favorisant, avec l’accord des tribunaux, </w:t>
      </w:r>
      <w:r w:rsidR="00AF2A12">
        <w:rPr>
          <w:lang w:val="fr-FR"/>
        </w:rPr>
        <w:t>l’accueil</w:t>
      </w:r>
      <w:r w:rsidR="00A60645">
        <w:rPr>
          <w:lang w:val="fr-FR"/>
        </w:rPr>
        <w:t xml:space="preserve"> des jeunes de plus de 17 ans </w:t>
      </w:r>
      <w:r w:rsidR="00AF2A12">
        <w:rPr>
          <w:lang w:val="fr-FR"/>
        </w:rPr>
        <w:t>à Woodlands et permettant de mieux répondre aux besoins identifiés pour ceux qui restent</w:t>
      </w:r>
      <w:r w:rsidR="00AF2A12" w:rsidRPr="00AF2A12">
        <w:rPr>
          <w:lang w:val="fr-FR"/>
        </w:rPr>
        <w:t xml:space="preserve"> </w:t>
      </w:r>
      <w:r w:rsidR="00AF2A12">
        <w:rPr>
          <w:lang w:val="fr-FR"/>
        </w:rPr>
        <w:t xml:space="preserve">à Hydebank Wood. </w:t>
      </w:r>
      <w:r w:rsidR="00AF2A12" w:rsidRPr="00AF2A12">
        <w:rPr>
          <w:lang w:val="fr-FR"/>
        </w:rPr>
        <w:t xml:space="preserve">Ce travail se poursuit en tenant compte des recommandations de l’Évaluation de l’Administration pénitentiaire d’Irlande du Nord et de celles de l’Évaluation de la justice pour mineurs dont le rapport est prévu pour juillet </w:t>
      </w:r>
      <w:r w:rsidR="000B562B" w:rsidRPr="00AF2A12">
        <w:rPr>
          <w:lang w:val="fr-FR"/>
        </w:rPr>
        <w:t>2011.</w:t>
      </w:r>
    </w:p>
    <w:p w:rsidR="000B562B" w:rsidRPr="00A176EA" w:rsidRDefault="00800906" w:rsidP="000F0266">
      <w:pPr>
        <w:pStyle w:val="H23G"/>
        <w:rPr>
          <w:lang w:val="fr-FR"/>
        </w:rPr>
      </w:pPr>
      <w:bookmarkStart w:id="68" w:name="_Toc299724755"/>
      <w:r>
        <w:rPr>
          <w:lang w:val="fr-FR"/>
        </w:rPr>
        <w:t>Prise en charge et</w:t>
      </w:r>
      <w:r w:rsidR="000B562B" w:rsidRPr="00A176EA">
        <w:rPr>
          <w:lang w:val="fr-FR"/>
        </w:rPr>
        <w:t xml:space="preserve"> protection </w:t>
      </w:r>
      <w:bookmarkEnd w:id="68"/>
      <w:r>
        <w:rPr>
          <w:lang w:val="fr-FR"/>
        </w:rPr>
        <w:t>des enfants</w:t>
      </w:r>
    </w:p>
    <w:p w:rsidR="000B562B" w:rsidRPr="00A176EA" w:rsidRDefault="002549A9" w:rsidP="000F0266">
      <w:pPr>
        <w:pStyle w:val="SingleTxtG"/>
        <w:rPr>
          <w:lang w:val="fr-FR"/>
        </w:rPr>
      </w:pPr>
      <w:r w:rsidRPr="00A176EA">
        <w:rPr>
          <w:lang w:val="fr-FR"/>
        </w:rPr>
        <w:t>577.</w:t>
      </w:r>
      <w:r w:rsidRPr="00A176EA">
        <w:rPr>
          <w:lang w:val="fr-FR"/>
        </w:rPr>
        <w:tab/>
      </w:r>
      <w:r w:rsidR="00800906" w:rsidRPr="00800906">
        <w:rPr>
          <w:lang w:val="fr-FR"/>
        </w:rPr>
        <w:t>Le cadre législatif de la prise en charge et de la protection des enfants ainsi que d'autres dispositions visant à prévenir la maltraitance ont été définis aux paragraphes 133 à 139 du deuxième rapport périodique. Les pouvoirs publics continuent de chercher à prévenir la maltraitance grâce à un ensemble de programmes et de projets. L'accent est tout particulièrement placé sur la formation de médecins, de personnel infirmier, de travailleurs sociaux et d'autres professionnels de santé appelés à entrer en contact avec des enfants à protéger, à connaître de cas de maltraitance et à les traiter</w:t>
      </w:r>
      <w:r w:rsidR="000B562B" w:rsidRPr="00A176EA">
        <w:rPr>
          <w:lang w:val="fr-FR"/>
        </w:rPr>
        <w:t>.</w:t>
      </w:r>
    </w:p>
    <w:p w:rsidR="000B562B" w:rsidRPr="00A176EA" w:rsidRDefault="002549A9" w:rsidP="0056122C">
      <w:pPr>
        <w:pStyle w:val="SingleTxtG"/>
        <w:rPr>
          <w:lang w:val="fr-FR"/>
        </w:rPr>
      </w:pPr>
      <w:r w:rsidRPr="00A176EA">
        <w:rPr>
          <w:lang w:val="fr-FR"/>
        </w:rPr>
        <w:t>578.</w:t>
      </w:r>
      <w:r w:rsidRPr="00A176EA">
        <w:rPr>
          <w:lang w:val="fr-FR"/>
        </w:rPr>
        <w:tab/>
      </w:r>
      <w:r w:rsidR="00800906" w:rsidRPr="00800906">
        <w:rPr>
          <w:lang w:val="fr-FR"/>
        </w:rPr>
        <w:t xml:space="preserve">En octobre 1992, après avoir examiné le rapport présenté par le Royaume-Uni au titre de la Convention relative aux droits de l'enfant, le Comité des droits de l'enfant s'est dit préoccupé </w:t>
      </w:r>
      <w:r w:rsidR="00800906">
        <w:rPr>
          <w:lang w:val="fr-FR"/>
        </w:rPr>
        <w:t>par le traitement des jeunes délinquants au Royaume-Uni</w:t>
      </w:r>
      <w:r w:rsidR="000B562B" w:rsidRPr="00A176EA">
        <w:rPr>
          <w:lang w:val="fr-FR"/>
        </w:rPr>
        <w:t xml:space="preserve">. </w:t>
      </w:r>
      <w:r w:rsidR="00367A21" w:rsidRPr="00800906">
        <w:rPr>
          <w:lang w:val="fr-FR"/>
        </w:rPr>
        <w:t>E</w:t>
      </w:r>
      <w:r w:rsidR="000B562B" w:rsidRPr="00800906">
        <w:rPr>
          <w:lang w:val="fr-FR"/>
        </w:rPr>
        <w:t>n 2002</w:t>
      </w:r>
      <w:r w:rsidR="00367A21" w:rsidRPr="00800906">
        <w:rPr>
          <w:lang w:val="fr-FR"/>
        </w:rPr>
        <w:t>,</w:t>
      </w:r>
      <w:r w:rsidR="000B562B" w:rsidRPr="00800906">
        <w:rPr>
          <w:lang w:val="fr-FR"/>
        </w:rPr>
        <w:t xml:space="preserve"> </w:t>
      </w:r>
      <w:r w:rsidR="00367A21" w:rsidRPr="00800906">
        <w:rPr>
          <w:lang w:val="fr-FR"/>
        </w:rPr>
        <w:t>la</w:t>
      </w:r>
      <w:r w:rsidR="000B562B" w:rsidRPr="00800906">
        <w:rPr>
          <w:lang w:val="fr-FR"/>
        </w:rPr>
        <w:t xml:space="preserve"> </w:t>
      </w:r>
      <w:r w:rsidR="00367A21" w:rsidRPr="00800906">
        <w:rPr>
          <w:lang w:val="fr-FR"/>
        </w:rPr>
        <w:t>Division des affaires familiales de la Haute Cour</w:t>
      </w:r>
      <w:r w:rsidR="000B562B" w:rsidRPr="00800906">
        <w:rPr>
          <w:lang w:val="fr-FR"/>
        </w:rPr>
        <w:t xml:space="preserve"> </w:t>
      </w:r>
      <w:r w:rsidR="006D07AA" w:rsidRPr="00800906">
        <w:rPr>
          <w:lang w:val="fr-FR"/>
        </w:rPr>
        <w:t>a</w:t>
      </w:r>
      <w:r w:rsidR="00800906" w:rsidRPr="00800906">
        <w:rPr>
          <w:lang w:val="fr-FR"/>
        </w:rPr>
        <w:t xml:space="preserve"> décidé que les mineurs placés </w:t>
      </w:r>
      <w:r w:rsidR="00891F05">
        <w:rPr>
          <w:lang w:val="fr-FR"/>
        </w:rPr>
        <w:t>en i</w:t>
      </w:r>
      <w:r w:rsidR="0049384F" w:rsidRPr="00800906">
        <w:rPr>
          <w:lang w:val="fr-FR"/>
        </w:rPr>
        <w:t>nstitution pour jeunes délinquants</w:t>
      </w:r>
      <w:r w:rsidR="000B562B" w:rsidRPr="00800906">
        <w:rPr>
          <w:lang w:val="fr-FR"/>
        </w:rPr>
        <w:t xml:space="preserve"> </w:t>
      </w:r>
      <w:r w:rsidR="00800906" w:rsidRPr="00800906">
        <w:rPr>
          <w:lang w:val="fr-FR"/>
        </w:rPr>
        <w:t>avaient</w:t>
      </w:r>
      <w:r w:rsidR="00800906">
        <w:rPr>
          <w:lang w:val="fr-FR"/>
        </w:rPr>
        <w:t xml:space="preserve"> droit aux dispositions de protection de l’enfance stipulées dans la loi de 1989 sur la protection de l’enfance (</w:t>
      </w:r>
      <w:r w:rsidR="006968C9">
        <w:rPr>
          <w:lang w:val="fr-FR"/>
        </w:rPr>
        <w:t xml:space="preserve">adaptées aux exigences de la détention). </w:t>
      </w:r>
      <w:r w:rsidR="006968C9" w:rsidRPr="006968C9">
        <w:rPr>
          <w:lang w:val="fr-FR"/>
        </w:rPr>
        <w:t xml:space="preserve">Suite aux préoccupations exprimées par le Comité et à la décision de la Haute Cour, le Conseil de la justice pour mineurs financera un certains nombres de postes de travailleurs sociaux dans les </w:t>
      </w:r>
      <w:r w:rsidR="00562C5A">
        <w:rPr>
          <w:lang w:val="fr-FR"/>
        </w:rPr>
        <w:t>i</w:t>
      </w:r>
      <w:r w:rsidR="0049384F" w:rsidRPr="006968C9">
        <w:rPr>
          <w:lang w:val="fr-FR"/>
        </w:rPr>
        <w:t>nstitutions pour jeunes délinquants</w:t>
      </w:r>
      <w:r w:rsidR="000B562B" w:rsidRPr="006968C9">
        <w:rPr>
          <w:lang w:val="fr-FR"/>
        </w:rPr>
        <w:t xml:space="preserve"> </w:t>
      </w:r>
      <w:r w:rsidR="00367A21" w:rsidRPr="006968C9">
        <w:rPr>
          <w:lang w:val="fr-FR"/>
        </w:rPr>
        <w:t>de 15 à 17 ans</w:t>
      </w:r>
      <w:r w:rsidR="000B562B" w:rsidRPr="006968C9">
        <w:rPr>
          <w:lang w:val="fr-FR"/>
        </w:rPr>
        <w:t xml:space="preserve">. </w:t>
      </w:r>
      <w:r w:rsidR="00ED1CEC" w:rsidRPr="006968C9">
        <w:rPr>
          <w:lang w:val="fr-FR"/>
        </w:rPr>
        <w:t xml:space="preserve">Le Service national de gestion des </w:t>
      </w:r>
      <w:r w:rsidR="000423A5" w:rsidRPr="006968C9">
        <w:rPr>
          <w:lang w:val="fr-FR"/>
        </w:rPr>
        <w:t>détenus</w:t>
      </w:r>
      <w:r w:rsidR="000B562B" w:rsidRPr="006968C9">
        <w:rPr>
          <w:lang w:val="fr-FR"/>
        </w:rPr>
        <w:t xml:space="preserve"> </w:t>
      </w:r>
      <w:r w:rsidR="006968C9" w:rsidRPr="006968C9">
        <w:rPr>
          <w:lang w:val="fr-FR"/>
        </w:rPr>
        <w:t>poursuit son travail avec le</w:t>
      </w:r>
      <w:r w:rsidR="000B562B" w:rsidRPr="006968C9">
        <w:rPr>
          <w:lang w:val="fr-FR"/>
        </w:rPr>
        <w:t xml:space="preserve"> </w:t>
      </w:r>
      <w:r w:rsidR="00F45F49" w:rsidRPr="006968C9">
        <w:rPr>
          <w:lang w:val="fr-FR"/>
        </w:rPr>
        <w:t>Conseil de la justice pour mineurs</w:t>
      </w:r>
      <w:r w:rsidR="000B562B" w:rsidRPr="006968C9">
        <w:rPr>
          <w:lang w:val="fr-FR"/>
        </w:rPr>
        <w:t xml:space="preserve"> </w:t>
      </w:r>
      <w:r w:rsidR="006968C9" w:rsidRPr="006968C9">
        <w:rPr>
          <w:lang w:val="fr-FR"/>
        </w:rPr>
        <w:t>et d’autres organismes publics concernés</w:t>
      </w:r>
      <w:r w:rsidR="006968C9">
        <w:rPr>
          <w:lang w:val="fr-FR"/>
        </w:rPr>
        <w:t xml:space="preserve"> </w:t>
      </w:r>
      <w:r w:rsidR="0056122C">
        <w:rPr>
          <w:lang w:val="fr-FR"/>
        </w:rPr>
        <w:t xml:space="preserve">pour élaborer une approche stratégique de protection des jeunes placés en détention. </w:t>
      </w:r>
      <w:r w:rsidR="00D45E4A">
        <w:rPr>
          <w:lang w:val="fr-FR"/>
        </w:rPr>
        <w:t xml:space="preserve">Il s’agit notamment </w:t>
      </w:r>
      <w:r w:rsidR="00D45E4A" w:rsidRPr="00D45E4A">
        <w:rPr>
          <w:lang w:val="fr-FR"/>
        </w:rPr>
        <w:t>de</w:t>
      </w:r>
      <w:r w:rsidR="0056122C" w:rsidRPr="00D45E4A">
        <w:rPr>
          <w:lang w:val="fr-FR"/>
        </w:rPr>
        <w:t xml:space="preserve"> favoriser</w:t>
      </w:r>
      <w:r w:rsidR="0056122C">
        <w:rPr>
          <w:lang w:val="fr-FR"/>
        </w:rPr>
        <w:t xml:space="preserve"> des relations de travail efficaces, à l’échelon local, entre les centres de détention, les </w:t>
      </w:r>
      <w:r w:rsidR="0056122C" w:rsidRPr="0056122C">
        <w:rPr>
          <w:lang w:val="fr-FR"/>
        </w:rPr>
        <w:t>Conseils locaux de protection de l’enfance et d’autres organismes compétents en matière de justice</w:t>
      </w:r>
      <w:r w:rsidR="0056122C">
        <w:rPr>
          <w:lang w:val="fr-FR"/>
        </w:rPr>
        <w:t xml:space="preserve"> pour mineurs</w:t>
      </w:r>
      <w:r w:rsidR="000B562B" w:rsidRPr="00A176EA">
        <w:rPr>
          <w:lang w:val="fr-FR"/>
        </w:rPr>
        <w:t>.</w:t>
      </w:r>
    </w:p>
    <w:p w:rsidR="000B562B" w:rsidRPr="00A176EA" w:rsidRDefault="0056122C" w:rsidP="000F0266">
      <w:pPr>
        <w:pStyle w:val="H23G"/>
        <w:rPr>
          <w:lang w:val="fr-FR"/>
        </w:rPr>
      </w:pPr>
      <w:r>
        <w:rPr>
          <w:lang w:val="fr-FR"/>
        </w:rPr>
        <w:t>Les châtiments corporels à l’école</w:t>
      </w:r>
    </w:p>
    <w:p w:rsidR="000B562B" w:rsidRPr="00A176EA" w:rsidRDefault="00AD7ECE" w:rsidP="00410A02">
      <w:pPr>
        <w:pStyle w:val="H23G"/>
        <w:rPr>
          <w:lang w:val="fr-FR"/>
        </w:rPr>
      </w:pPr>
      <w:r w:rsidRPr="0056122C">
        <w:rPr>
          <w:lang w:val="fr-FR"/>
        </w:rPr>
        <w:t>Angleterre et p</w:t>
      </w:r>
      <w:r w:rsidR="005601A1" w:rsidRPr="0056122C">
        <w:rPr>
          <w:lang w:val="fr-FR"/>
        </w:rPr>
        <w:t>ays de Galles</w:t>
      </w:r>
    </w:p>
    <w:p w:rsidR="000B562B" w:rsidRPr="001854AD" w:rsidRDefault="002549A9" w:rsidP="00EB66C0">
      <w:pPr>
        <w:pStyle w:val="SingleTxtG"/>
        <w:rPr>
          <w:lang w:val="fr-FR"/>
        </w:rPr>
      </w:pPr>
      <w:r w:rsidRPr="00A176EA">
        <w:rPr>
          <w:lang w:val="fr-FR"/>
        </w:rPr>
        <w:t>579.</w:t>
      </w:r>
      <w:r w:rsidRPr="00A176EA">
        <w:rPr>
          <w:lang w:val="fr-FR"/>
        </w:rPr>
        <w:tab/>
      </w:r>
      <w:r w:rsidR="0056122C">
        <w:rPr>
          <w:lang w:val="fr-FR"/>
        </w:rPr>
        <w:t>Depuis septembre</w:t>
      </w:r>
      <w:r w:rsidR="000B562B" w:rsidRPr="00A176EA">
        <w:rPr>
          <w:lang w:val="fr-FR"/>
        </w:rPr>
        <w:t xml:space="preserve"> 1999, </w:t>
      </w:r>
      <w:r w:rsidR="008120B2">
        <w:rPr>
          <w:lang w:val="fr-FR"/>
        </w:rPr>
        <w:t xml:space="preserve">le nouvel article 548 de la loi de 1996 sur l’éducation (tel qu’inséré par l’article 131 de </w:t>
      </w:r>
      <w:r w:rsidR="00147E46">
        <w:rPr>
          <w:lang w:val="fr-FR"/>
        </w:rPr>
        <w:t>la loi de 1998 sur les normes et le cadre scolaire)</w:t>
      </w:r>
      <w:r w:rsidR="000B562B" w:rsidRPr="00A176EA">
        <w:rPr>
          <w:lang w:val="fr-FR"/>
        </w:rPr>
        <w:t xml:space="preserve"> </w:t>
      </w:r>
      <w:r w:rsidR="00747D38">
        <w:rPr>
          <w:lang w:val="fr-FR"/>
        </w:rPr>
        <w:t xml:space="preserve">interdit </w:t>
      </w:r>
      <w:r w:rsidR="002E43A9">
        <w:rPr>
          <w:lang w:val="fr-FR"/>
        </w:rPr>
        <w:t>d’infliger des</w:t>
      </w:r>
      <w:r w:rsidR="00747D38">
        <w:rPr>
          <w:lang w:val="fr-FR"/>
        </w:rPr>
        <w:t xml:space="preserve"> châtiments corporels </w:t>
      </w:r>
      <w:r w:rsidR="002E43A9">
        <w:rPr>
          <w:lang w:val="fr-FR"/>
        </w:rPr>
        <w:t>aux élèves des</w:t>
      </w:r>
      <w:r w:rsidR="00747D38">
        <w:rPr>
          <w:lang w:val="fr-FR"/>
        </w:rPr>
        <w:t xml:space="preserve"> écoles publiques et privées, ainsi que </w:t>
      </w:r>
      <w:r w:rsidR="002E43A9">
        <w:rPr>
          <w:lang w:val="fr-FR"/>
        </w:rPr>
        <w:t>d</w:t>
      </w:r>
      <w:r w:rsidR="00747D38">
        <w:rPr>
          <w:lang w:val="fr-FR"/>
        </w:rPr>
        <w:t xml:space="preserve">es établissements préscolaires. </w:t>
      </w:r>
      <w:r w:rsidR="00E13ABD">
        <w:rPr>
          <w:lang w:val="fr-FR"/>
        </w:rPr>
        <w:t>Dans la loi d’origine (1996), ces dispositions ne s’appliquaient qu’aux élèves des établissements publics</w:t>
      </w:r>
      <w:r w:rsidR="00D3169B">
        <w:rPr>
          <w:lang w:val="fr-FR"/>
        </w:rPr>
        <w:t xml:space="preserve"> et</w:t>
      </w:r>
      <w:r w:rsidR="00E13ABD">
        <w:rPr>
          <w:lang w:val="fr-FR"/>
        </w:rPr>
        <w:t xml:space="preserve"> des établissements </w:t>
      </w:r>
      <w:r w:rsidR="006D04C4">
        <w:rPr>
          <w:lang w:val="fr-FR"/>
        </w:rPr>
        <w:t>privés</w:t>
      </w:r>
      <w:r w:rsidR="00E13ABD">
        <w:rPr>
          <w:lang w:val="fr-FR"/>
        </w:rPr>
        <w:t xml:space="preserve"> </w:t>
      </w:r>
      <w:r w:rsidR="00D3169B">
        <w:rPr>
          <w:lang w:val="fr-FR"/>
        </w:rPr>
        <w:t xml:space="preserve">bénéficiant de fonds publics, ainsi qu’aux élèves dont l’éducation était assurée par les autorités locales dans d’autres conditions qu’à l’école. </w:t>
      </w:r>
      <w:r w:rsidR="00562C5A">
        <w:rPr>
          <w:lang w:val="fr-FR"/>
        </w:rPr>
        <w:t>L</w:t>
      </w:r>
      <w:r w:rsidR="00D3169B" w:rsidRPr="001854AD">
        <w:rPr>
          <w:lang w:val="fr-FR"/>
        </w:rPr>
        <w:t>es châtiments corporels ont été interdits dans les établissements publics, les établissements spéciaux et certains établissements indépendants en 1986 (loi de 1986 sur l’éducation (n° 2))</w:t>
      </w:r>
      <w:r w:rsidR="00562C5A">
        <w:rPr>
          <w:lang w:val="fr-FR"/>
        </w:rPr>
        <w:t>,</w:t>
      </w:r>
      <w:r w:rsidR="00D3169B" w:rsidRPr="001854AD">
        <w:rPr>
          <w:lang w:val="fr-FR"/>
        </w:rPr>
        <w:t xml:space="preserve"> à la suite </w:t>
      </w:r>
      <w:r w:rsidR="00EB66C0" w:rsidRPr="001854AD">
        <w:rPr>
          <w:lang w:val="fr-FR"/>
        </w:rPr>
        <w:t xml:space="preserve">d’une affaire portée devant la </w:t>
      </w:r>
      <w:r w:rsidR="00584246" w:rsidRPr="001854AD">
        <w:rPr>
          <w:lang w:val="fr-FR"/>
        </w:rPr>
        <w:t>Cour européenne des droits de l’homme</w:t>
      </w:r>
      <w:r w:rsidR="000B562B" w:rsidRPr="001854AD">
        <w:rPr>
          <w:lang w:val="fr-FR"/>
        </w:rPr>
        <w:t>.</w:t>
      </w:r>
    </w:p>
    <w:p w:rsidR="000B562B" w:rsidRPr="001854AD" w:rsidRDefault="00FD2CE1" w:rsidP="00410A02">
      <w:pPr>
        <w:pStyle w:val="H23G"/>
        <w:rPr>
          <w:lang w:val="fr-FR"/>
        </w:rPr>
      </w:pPr>
      <w:r w:rsidRPr="001854AD">
        <w:rPr>
          <w:lang w:val="fr-FR"/>
        </w:rPr>
        <w:t>Écosse</w:t>
      </w:r>
    </w:p>
    <w:p w:rsidR="000B562B" w:rsidRPr="00A176EA" w:rsidRDefault="002549A9" w:rsidP="001854AD">
      <w:pPr>
        <w:pStyle w:val="SingleTxtG"/>
        <w:rPr>
          <w:lang w:val="fr-FR"/>
        </w:rPr>
      </w:pPr>
      <w:r w:rsidRPr="001854AD">
        <w:rPr>
          <w:lang w:val="fr-FR"/>
        </w:rPr>
        <w:t>580.</w:t>
      </w:r>
      <w:r w:rsidRPr="001854AD">
        <w:rPr>
          <w:lang w:val="fr-FR"/>
        </w:rPr>
        <w:tab/>
      </w:r>
      <w:r w:rsidR="00EB66C0" w:rsidRPr="001854AD">
        <w:rPr>
          <w:lang w:val="fr-FR"/>
        </w:rPr>
        <w:t>Aux</w:t>
      </w:r>
      <w:r w:rsidR="000B562B" w:rsidRPr="001854AD">
        <w:rPr>
          <w:lang w:val="fr-FR"/>
        </w:rPr>
        <w:t xml:space="preserve"> term</w:t>
      </w:r>
      <w:r w:rsidR="00EB66C0" w:rsidRPr="001854AD">
        <w:rPr>
          <w:lang w:val="fr-FR"/>
        </w:rPr>
        <w:t>e</w:t>
      </w:r>
      <w:r w:rsidR="000B562B" w:rsidRPr="001854AD">
        <w:rPr>
          <w:lang w:val="fr-FR"/>
        </w:rPr>
        <w:t xml:space="preserve">s </w:t>
      </w:r>
      <w:r w:rsidR="00EB66C0" w:rsidRPr="001854AD">
        <w:rPr>
          <w:lang w:val="fr-FR"/>
        </w:rPr>
        <w:t>de l’article</w:t>
      </w:r>
      <w:r w:rsidR="000B562B" w:rsidRPr="001854AD">
        <w:rPr>
          <w:lang w:val="fr-FR"/>
        </w:rPr>
        <w:t xml:space="preserve"> 48A </w:t>
      </w:r>
      <w:r w:rsidR="00EB66C0" w:rsidRPr="001854AD">
        <w:rPr>
          <w:lang w:val="fr-FR"/>
        </w:rPr>
        <w:t xml:space="preserve">de la loi de 1980 sur l’éducation (Écosse), tel que modifié par l’article 294 de la loi de 1993 sur l’éducation, des châtiments corporels ne peuvent pas être infligés aux élèves des établissements publics ou des établissements </w:t>
      </w:r>
      <w:r w:rsidR="006D04C4">
        <w:rPr>
          <w:lang w:val="fr-FR"/>
        </w:rPr>
        <w:t>privés</w:t>
      </w:r>
      <w:r w:rsidR="00EB66C0" w:rsidRPr="001854AD">
        <w:rPr>
          <w:lang w:val="fr-FR"/>
        </w:rPr>
        <w:t xml:space="preserve"> dont les frais de scolarité ou les coûts sont financés ou aidés par des fonds publics. L’article 481 dispose en outre que, </w:t>
      </w:r>
      <w:r w:rsidR="006D04C4">
        <w:rPr>
          <w:lang w:val="fr-FR"/>
        </w:rPr>
        <w:t>de</w:t>
      </w:r>
      <w:r w:rsidR="00EB66C0" w:rsidRPr="001854AD">
        <w:rPr>
          <w:lang w:val="fr-FR"/>
        </w:rPr>
        <w:t xml:space="preserve"> façon général</w:t>
      </w:r>
      <w:r w:rsidR="006D04C4">
        <w:rPr>
          <w:lang w:val="fr-FR"/>
        </w:rPr>
        <w:t>e</w:t>
      </w:r>
      <w:r w:rsidR="00EB66C0" w:rsidRPr="001854AD">
        <w:rPr>
          <w:lang w:val="fr-FR"/>
        </w:rPr>
        <w:t xml:space="preserve">, les châtiments corporels ne peuvent être administrés s’ils sont inhumains ou dégradants. Les termes </w:t>
      </w:r>
      <w:r w:rsidR="00CD0110">
        <w:rPr>
          <w:lang w:val="fr-FR"/>
        </w:rPr>
        <w:t>«</w:t>
      </w:r>
      <w:r w:rsidR="00EB66C0" w:rsidRPr="001854AD">
        <w:rPr>
          <w:lang w:val="fr-FR"/>
        </w:rPr>
        <w:t>inhumains ou dégradants</w:t>
      </w:r>
      <w:r w:rsidR="00CD0110">
        <w:rPr>
          <w:lang w:val="fr-FR"/>
        </w:rPr>
        <w:t>»</w:t>
      </w:r>
      <w:r w:rsidR="00EB66C0" w:rsidRPr="001854AD">
        <w:rPr>
          <w:lang w:val="fr-FR"/>
        </w:rPr>
        <w:t xml:space="preserve"> </w:t>
      </w:r>
      <w:r w:rsidR="001854AD" w:rsidRPr="001854AD">
        <w:rPr>
          <w:lang w:val="fr-FR"/>
        </w:rPr>
        <w:t>sont employés</w:t>
      </w:r>
      <w:r w:rsidR="00EB66C0" w:rsidRPr="001854AD">
        <w:rPr>
          <w:lang w:val="fr-FR"/>
        </w:rPr>
        <w:t xml:space="preserve"> dans </w:t>
      </w:r>
      <w:r w:rsidR="001854AD" w:rsidRPr="001854AD">
        <w:rPr>
          <w:lang w:val="fr-FR"/>
        </w:rPr>
        <w:t xml:space="preserve">la </w:t>
      </w:r>
      <w:r w:rsidR="00EB66C0" w:rsidRPr="001854AD">
        <w:rPr>
          <w:lang w:val="fr-FR"/>
        </w:rPr>
        <w:t xml:space="preserve"> </w:t>
      </w:r>
      <w:r w:rsidR="006F4B46" w:rsidRPr="001854AD">
        <w:rPr>
          <w:lang w:val="fr-FR"/>
        </w:rPr>
        <w:t>Convention européenne des droits de l’homme</w:t>
      </w:r>
      <w:r w:rsidR="000B562B" w:rsidRPr="001854AD">
        <w:rPr>
          <w:lang w:val="fr-FR"/>
        </w:rPr>
        <w:t>.</w:t>
      </w:r>
    </w:p>
    <w:p w:rsidR="000B562B" w:rsidRPr="00A176EA" w:rsidRDefault="002549A9" w:rsidP="001854AD">
      <w:pPr>
        <w:pStyle w:val="SingleTxtG"/>
        <w:rPr>
          <w:lang w:val="fr-FR"/>
        </w:rPr>
      </w:pPr>
      <w:r w:rsidRPr="00A176EA">
        <w:rPr>
          <w:lang w:val="fr-FR"/>
        </w:rPr>
        <w:t>581.</w:t>
      </w:r>
      <w:r w:rsidRPr="00A176EA">
        <w:rPr>
          <w:lang w:val="fr-FR"/>
        </w:rPr>
        <w:tab/>
      </w:r>
      <w:r w:rsidR="001854AD">
        <w:rPr>
          <w:lang w:val="fr-FR"/>
        </w:rPr>
        <w:t xml:space="preserve">L’article 16 de la loi de 2000 sur les normes scolaires en </w:t>
      </w:r>
      <w:r w:rsidR="001854AD" w:rsidRPr="001854AD">
        <w:rPr>
          <w:lang w:val="fr-FR"/>
        </w:rPr>
        <w:t>Écosse</w:t>
      </w:r>
      <w:r w:rsidR="001854AD">
        <w:rPr>
          <w:lang w:val="fr-FR"/>
        </w:rPr>
        <w:t>, etc., étend les catégories d’établissements où les châtiments corporels ne sont plus autorisés</w:t>
      </w:r>
      <w:r w:rsidR="00FC2B97">
        <w:rPr>
          <w:lang w:val="fr-FR"/>
        </w:rPr>
        <w:t>:</w:t>
      </w:r>
    </w:p>
    <w:p w:rsidR="003515A2" w:rsidRPr="003515A2" w:rsidRDefault="001854AD" w:rsidP="006D04C4">
      <w:pPr>
        <w:numPr>
          <w:ilvl w:val="0"/>
          <w:numId w:val="1"/>
        </w:numPr>
        <w:tabs>
          <w:tab w:val="clear" w:pos="1588"/>
          <w:tab w:val="num" w:pos="1701"/>
        </w:tabs>
        <w:spacing w:after="120"/>
        <w:ind w:left="1701" w:right="1134"/>
        <w:jc w:val="both"/>
        <w:rPr>
          <w:lang w:val="fr-FR"/>
        </w:rPr>
      </w:pPr>
      <w:r>
        <w:rPr>
          <w:lang w:val="fr-FR"/>
        </w:rPr>
        <w:t>L</w:t>
      </w:r>
      <w:r w:rsidR="00C0693F">
        <w:rPr>
          <w:lang w:val="fr-FR"/>
        </w:rPr>
        <w:t>e paragraphe 1, alinéa a de l</w:t>
      </w:r>
      <w:r>
        <w:rPr>
          <w:lang w:val="fr-FR"/>
        </w:rPr>
        <w:t>’article</w:t>
      </w:r>
      <w:r w:rsidR="003515A2" w:rsidRPr="003515A2">
        <w:rPr>
          <w:lang w:val="fr-FR"/>
        </w:rPr>
        <w:t xml:space="preserve"> 16</w:t>
      </w:r>
      <w:r w:rsidR="006D04C4">
        <w:rPr>
          <w:lang w:val="fr-FR"/>
        </w:rPr>
        <w:t xml:space="preserve"> </w:t>
      </w:r>
      <w:r w:rsidR="00994B90">
        <w:rPr>
          <w:lang w:val="fr-FR"/>
        </w:rPr>
        <w:t xml:space="preserve">concerne l’éducation dispensée par toute autorité scolaire, </w:t>
      </w:r>
      <w:r w:rsidR="006D04C4">
        <w:rPr>
          <w:lang w:val="fr-FR"/>
        </w:rPr>
        <w:t>que ce soit à l’école ou ailleurs, par exemple, à domicile ou à l’hôpital</w:t>
      </w:r>
      <w:r w:rsidR="00FC2B97">
        <w:rPr>
          <w:lang w:val="fr-FR"/>
        </w:rPr>
        <w:t>;</w:t>
      </w:r>
    </w:p>
    <w:p w:rsidR="003515A2" w:rsidRPr="003515A2" w:rsidRDefault="006D04C4" w:rsidP="003515A2">
      <w:pPr>
        <w:numPr>
          <w:ilvl w:val="0"/>
          <w:numId w:val="1"/>
        </w:numPr>
        <w:tabs>
          <w:tab w:val="clear" w:pos="1588"/>
          <w:tab w:val="num" w:pos="1701"/>
        </w:tabs>
        <w:spacing w:after="120"/>
        <w:ind w:left="1701" w:right="1134"/>
        <w:jc w:val="both"/>
        <w:rPr>
          <w:lang w:val="fr-FR"/>
        </w:rPr>
      </w:pPr>
      <w:r>
        <w:rPr>
          <w:lang w:val="fr-FR"/>
        </w:rPr>
        <w:t>L</w:t>
      </w:r>
      <w:r w:rsidR="00C0693F">
        <w:rPr>
          <w:lang w:val="fr-FR"/>
        </w:rPr>
        <w:t>e paragraphe 1, alinéa b de l</w:t>
      </w:r>
      <w:r>
        <w:rPr>
          <w:lang w:val="fr-FR"/>
        </w:rPr>
        <w:t>’article</w:t>
      </w:r>
      <w:r w:rsidR="003515A2" w:rsidRPr="003515A2">
        <w:rPr>
          <w:lang w:val="fr-FR"/>
        </w:rPr>
        <w:t xml:space="preserve"> 16 </w:t>
      </w:r>
      <w:r>
        <w:rPr>
          <w:lang w:val="fr-FR"/>
        </w:rPr>
        <w:t>concerne les écoles privées, classes de maternelle incluses</w:t>
      </w:r>
      <w:r w:rsidR="00FC2B97">
        <w:rPr>
          <w:lang w:val="fr-FR"/>
        </w:rPr>
        <w:t>;</w:t>
      </w:r>
    </w:p>
    <w:p w:rsidR="003515A2" w:rsidRPr="003515A2" w:rsidRDefault="006D04C4" w:rsidP="00627A2C">
      <w:pPr>
        <w:numPr>
          <w:ilvl w:val="0"/>
          <w:numId w:val="1"/>
        </w:numPr>
        <w:tabs>
          <w:tab w:val="clear" w:pos="1588"/>
          <w:tab w:val="num" w:pos="1701"/>
        </w:tabs>
        <w:spacing w:after="120"/>
        <w:ind w:left="1701" w:right="1134"/>
        <w:jc w:val="both"/>
        <w:rPr>
          <w:lang w:val="fr-FR"/>
        </w:rPr>
      </w:pPr>
      <w:r>
        <w:rPr>
          <w:lang w:val="fr-FR"/>
        </w:rPr>
        <w:t>L</w:t>
      </w:r>
      <w:r w:rsidR="00C0693F">
        <w:rPr>
          <w:lang w:val="fr-FR"/>
        </w:rPr>
        <w:t>e paragraphe 1, alinéa c de l</w:t>
      </w:r>
      <w:r>
        <w:rPr>
          <w:lang w:val="fr-FR"/>
        </w:rPr>
        <w:t>’article</w:t>
      </w:r>
      <w:r w:rsidR="003515A2" w:rsidRPr="003515A2">
        <w:rPr>
          <w:lang w:val="fr-FR"/>
        </w:rPr>
        <w:t xml:space="preserve"> 16 </w:t>
      </w:r>
      <w:r>
        <w:rPr>
          <w:lang w:val="fr-FR"/>
        </w:rPr>
        <w:t>concerne les établissements préscolaires subventionnés en vertu de la loi de 1996 sur l’éducation (</w:t>
      </w:r>
      <w:r w:rsidRPr="001854AD">
        <w:rPr>
          <w:lang w:val="fr-FR"/>
        </w:rPr>
        <w:t>Écosse</w:t>
      </w:r>
      <w:r>
        <w:rPr>
          <w:lang w:val="fr-FR"/>
        </w:rPr>
        <w:t>)</w:t>
      </w:r>
      <w:r w:rsidRPr="003515A2">
        <w:rPr>
          <w:lang w:val="fr-FR"/>
        </w:rPr>
        <w:t xml:space="preserve"> </w:t>
      </w:r>
      <w:r>
        <w:rPr>
          <w:lang w:val="fr-FR"/>
        </w:rPr>
        <w:t xml:space="preserve">et ceux </w:t>
      </w:r>
      <w:r w:rsidR="00627A2C">
        <w:rPr>
          <w:lang w:val="fr-FR"/>
        </w:rPr>
        <w:t>sous contrat en vertu de l’article 35 de la</w:t>
      </w:r>
      <w:r w:rsidR="00562C5A">
        <w:rPr>
          <w:lang w:val="fr-FR"/>
        </w:rPr>
        <w:t xml:space="preserve"> même</w:t>
      </w:r>
      <w:r w:rsidR="00627A2C">
        <w:rPr>
          <w:lang w:val="fr-FR"/>
        </w:rPr>
        <w:t xml:space="preserve"> loi. Les établissements préscolaires publics ou les classes maternelles au sein d’écoles publiques sont concernés par la définition de l’</w:t>
      </w:r>
      <w:r w:rsidR="00CD0110">
        <w:rPr>
          <w:lang w:val="fr-FR"/>
        </w:rPr>
        <w:t>»</w:t>
      </w:r>
      <w:r w:rsidR="00627A2C">
        <w:rPr>
          <w:lang w:val="fr-FR"/>
        </w:rPr>
        <w:t>éducation scolaire</w:t>
      </w:r>
      <w:r w:rsidR="00CD0110">
        <w:rPr>
          <w:lang w:val="fr-FR"/>
        </w:rPr>
        <w:t>»</w:t>
      </w:r>
      <w:r w:rsidR="00627A2C">
        <w:rPr>
          <w:lang w:val="fr-FR"/>
        </w:rPr>
        <w:t xml:space="preserve"> donnée </w:t>
      </w:r>
      <w:r w:rsidR="00C0693F">
        <w:rPr>
          <w:lang w:val="fr-FR"/>
        </w:rPr>
        <w:t>au paragraphe 1, alinéa a</w:t>
      </w:r>
      <w:r w:rsidR="00FC2B97">
        <w:rPr>
          <w:lang w:val="fr-FR"/>
        </w:rPr>
        <w:t>;</w:t>
      </w:r>
    </w:p>
    <w:p w:rsidR="003515A2" w:rsidRPr="003515A2" w:rsidRDefault="00627A2C" w:rsidP="003515A2">
      <w:pPr>
        <w:numPr>
          <w:ilvl w:val="0"/>
          <w:numId w:val="1"/>
        </w:numPr>
        <w:tabs>
          <w:tab w:val="clear" w:pos="1588"/>
          <w:tab w:val="num" w:pos="1701"/>
        </w:tabs>
        <w:spacing w:after="120"/>
        <w:ind w:left="1701" w:right="1134"/>
        <w:jc w:val="both"/>
        <w:rPr>
          <w:lang w:val="fr-FR"/>
        </w:rPr>
      </w:pPr>
      <w:r>
        <w:rPr>
          <w:lang w:val="fr-FR"/>
        </w:rPr>
        <w:t>L</w:t>
      </w:r>
      <w:r w:rsidR="00AE2E20">
        <w:rPr>
          <w:lang w:val="fr-FR"/>
        </w:rPr>
        <w:t>e paragraphe 2 de l</w:t>
      </w:r>
      <w:r>
        <w:rPr>
          <w:lang w:val="fr-FR"/>
        </w:rPr>
        <w:t>’article</w:t>
      </w:r>
      <w:r w:rsidR="003515A2" w:rsidRPr="003515A2">
        <w:rPr>
          <w:lang w:val="fr-FR"/>
        </w:rPr>
        <w:t xml:space="preserve"> 16</w:t>
      </w:r>
      <w:r w:rsidR="006D07AA">
        <w:rPr>
          <w:lang w:val="fr-FR"/>
        </w:rPr>
        <w:t xml:space="preserve"> </w:t>
      </w:r>
      <w:r>
        <w:rPr>
          <w:lang w:val="fr-FR"/>
        </w:rPr>
        <w:t xml:space="preserve">s’applique aux châtiments corporels infligés </w:t>
      </w:r>
      <w:r w:rsidR="003C38EC">
        <w:rPr>
          <w:lang w:val="fr-FR"/>
        </w:rPr>
        <w:t>à l’intérieur comme à l’extérieur (sortie</w:t>
      </w:r>
      <w:r w:rsidR="00AE2E20">
        <w:rPr>
          <w:lang w:val="fr-FR"/>
        </w:rPr>
        <w:t>s</w:t>
      </w:r>
      <w:r w:rsidR="003C38EC">
        <w:rPr>
          <w:lang w:val="fr-FR"/>
        </w:rPr>
        <w:t xml:space="preserve"> scolaire</w:t>
      </w:r>
      <w:r w:rsidR="00AE2E20">
        <w:rPr>
          <w:lang w:val="fr-FR"/>
        </w:rPr>
        <w:t>s</w:t>
      </w:r>
      <w:r w:rsidR="003C38EC">
        <w:rPr>
          <w:lang w:val="fr-FR"/>
        </w:rPr>
        <w:t>) des établissements scolaires</w:t>
      </w:r>
      <w:r w:rsidR="003515A2" w:rsidRPr="003515A2">
        <w:rPr>
          <w:lang w:val="fr-FR"/>
        </w:rPr>
        <w:t>.</w:t>
      </w:r>
    </w:p>
    <w:p w:rsidR="000B562B" w:rsidRPr="003C38EC" w:rsidRDefault="008F3DA4" w:rsidP="00410A02">
      <w:pPr>
        <w:pStyle w:val="H23G"/>
        <w:rPr>
          <w:lang w:val="fr-FR"/>
        </w:rPr>
      </w:pPr>
      <w:r w:rsidRPr="003C38EC">
        <w:rPr>
          <w:lang w:val="fr-FR"/>
        </w:rPr>
        <w:t>Irlande du Nord</w:t>
      </w:r>
    </w:p>
    <w:p w:rsidR="000B562B" w:rsidRPr="003C38EC" w:rsidRDefault="002549A9" w:rsidP="00747D38">
      <w:pPr>
        <w:pStyle w:val="SingleTxtG"/>
        <w:rPr>
          <w:lang w:val="fr-FR"/>
        </w:rPr>
      </w:pPr>
      <w:r w:rsidRPr="003C38EC">
        <w:rPr>
          <w:lang w:val="fr-FR"/>
        </w:rPr>
        <w:t>582.</w:t>
      </w:r>
      <w:r w:rsidRPr="003C38EC">
        <w:rPr>
          <w:lang w:val="fr-FR"/>
        </w:rPr>
        <w:tab/>
      </w:r>
      <w:r w:rsidR="00747D38" w:rsidRPr="003C38EC">
        <w:rPr>
          <w:lang w:val="fr-FR"/>
        </w:rPr>
        <w:t xml:space="preserve">Depuis le 15 août 1987, les châtiments corporels sont interdits dans les établissements scolaires subventionnés en vertu de l’ordonnance de 1987 relative à l’éducation (Châtiments corporels) </w:t>
      </w:r>
      <w:r w:rsidR="000B562B" w:rsidRPr="003C38EC">
        <w:rPr>
          <w:lang w:val="fr-FR"/>
        </w:rPr>
        <w:t>(</w:t>
      </w:r>
      <w:r w:rsidR="008F3DA4" w:rsidRPr="003C38EC">
        <w:rPr>
          <w:lang w:val="fr-FR"/>
        </w:rPr>
        <w:t>Irlande du Nord</w:t>
      </w:r>
      <w:r w:rsidR="000B562B" w:rsidRPr="003C38EC">
        <w:rPr>
          <w:lang w:val="fr-FR"/>
        </w:rPr>
        <w:t xml:space="preserve">). </w:t>
      </w:r>
      <w:r w:rsidR="00747D38" w:rsidRPr="003C38EC">
        <w:rPr>
          <w:lang w:val="fr-FR"/>
        </w:rPr>
        <w:t>Depuis le 1</w:t>
      </w:r>
      <w:r w:rsidR="00747D38" w:rsidRPr="003C38EC">
        <w:rPr>
          <w:vertAlign w:val="superscript"/>
          <w:lang w:val="fr-FR"/>
        </w:rPr>
        <w:t>er</w:t>
      </w:r>
      <w:r w:rsidR="00747D38" w:rsidRPr="003C38EC">
        <w:rPr>
          <w:lang w:val="fr-FR"/>
        </w:rPr>
        <w:t xml:space="preserve"> avril 2003, ils sont interdits dans tous les établissements scolaires en vertu de l’article 36 de l’ordonnance de 2003 relative à l’éducation et aux bibliothèques </w:t>
      </w:r>
      <w:r w:rsidR="000B562B" w:rsidRPr="003C38EC">
        <w:rPr>
          <w:lang w:val="fr-FR"/>
        </w:rPr>
        <w:t>(</w:t>
      </w:r>
      <w:r w:rsidR="008F3DA4" w:rsidRPr="003C38EC">
        <w:rPr>
          <w:lang w:val="fr-FR"/>
        </w:rPr>
        <w:t>Irlande du Nord</w:t>
      </w:r>
      <w:r w:rsidR="000B562B" w:rsidRPr="003C38EC">
        <w:rPr>
          <w:lang w:val="fr-FR"/>
        </w:rPr>
        <w:t xml:space="preserve">). </w:t>
      </w:r>
      <w:r w:rsidR="00747D38" w:rsidRPr="003C38EC">
        <w:rPr>
          <w:lang w:val="fr-FR"/>
        </w:rPr>
        <w:t>L’ordonnance de</w:t>
      </w:r>
      <w:r w:rsidR="000B562B" w:rsidRPr="003C38EC">
        <w:rPr>
          <w:lang w:val="fr-FR"/>
        </w:rPr>
        <w:t xml:space="preserve"> 2003 </w:t>
      </w:r>
      <w:r w:rsidR="00747D38" w:rsidRPr="003C38EC">
        <w:rPr>
          <w:lang w:val="fr-FR"/>
        </w:rPr>
        <w:t>a par ailleurs abrogé celle de</w:t>
      </w:r>
      <w:r w:rsidR="000B562B" w:rsidRPr="003C38EC">
        <w:rPr>
          <w:lang w:val="fr-FR"/>
        </w:rPr>
        <w:t xml:space="preserve"> 1987.</w:t>
      </w:r>
    </w:p>
    <w:p w:rsidR="000B562B" w:rsidRPr="003C38EC" w:rsidRDefault="00747D38" w:rsidP="000F0266">
      <w:pPr>
        <w:pStyle w:val="H23G"/>
        <w:rPr>
          <w:lang w:val="fr-FR"/>
        </w:rPr>
      </w:pPr>
      <w:r w:rsidRPr="003C38EC">
        <w:rPr>
          <w:lang w:val="fr-FR"/>
        </w:rPr>
        <w:t>Châtiments corporels au sein de la famille</w:t>
      </w:r>
    </w:p>
    <w:p w:rsidR="000B562B" w:rsidRPr="00A176EA" w:rsidRDefault="00A85914" w:rsidP="00410A02">
      <w:pPr>
        <w:pStyle w:val="H23G"/>
        <w:rPr>
          <w:lang w:val="fr-FR"/>
        </w:rPr>
      </w:pPr>
      <w:r w:rsidRPr="003C38EC">
        <w:rPr>
          <w:lang w:val="fr-FR"/>
        </w:rPr>
        <w:t>Angleterre et pays</w:t>
      </w:r>
      <w:r w:rsidR="005601A1" w:rsidRPr="003C38EC">
        <w:rPr>
          <w:lang w:val="fr-FR"/>
        </w:rPr>
        <w:t xml:space="preserve"> de Galles</w:t>
      </w:r>
    </w:p>
    <w:p w:rsidR="000B562B" w:rsidRPr="00A176EA" w:rsidRDefault="002549A9" w:rsidP="00B23E3E">
      <w:pPr>
        <w:pStyle w:val="SingleTxtG"/>
        <w:rPr>
          <w:lang w:val="fr-FR"/>
        </w:rPr>
      </w:pPr>
      <w:r w:rsidRPr="00A176EA">
        <w:rPr>
          <w:lang w:val="fr-FR"/>
        </w:rPr>
        <w:t>583.</w:t>
      </w:r>
      <w:r w:rsidRPr="00A176EA">
        <w:rPr>
          <w:lang w:val="fr-FR"/>
        </w:rPr>
        <w:tab/>
      </w:r>
      <w:r w:rsidR="0051072C">
        <w:rPr>
          <w:lang w:val="fr-FR"/>
        </w:rPr>
        <w:t xml:space="preserve">Le Gouvernement se réjouit des recherches menées en Angleterre et au pays de Galles, qui indiquent qu’un </w:t>
      </w:r>
      <w:r w:rsidR="00562C5A">
        <w:rPr>
          <w:lang w:val="fr-FR"/>
        </w:rPr>
        <w:t xml:space="preserve">moins grand </w:t>
      </w:r>
      <w:r w:rsidR="0051072C">
        <w:rPr>
          <w:lang w:val="fr-FR"/>
        </w:rPr>
        <w:t xml:space="preserve">nombre de parents recourt aux châtiments corporels et qu’un </w:t>
      </w:r>
      <w:r w:rsidR="00562C5A">
        <w:rPr>
          <w:lang w:val="fr-FR"/>
        </w:rPr>
        <w:t xml:space="preserve">plus grand </w:t>
      </w:r>
      <w:r w:rsidR="0051072C">
        <w:rPr>
          <w:lang w:val="fr-FR"/>
        </w:rPr>
        <w:t xml:space="preserve">nombre préfère d’autres méthodes de discipline, et espère que cette tendance va se poursuivre. Toutefois, il ne souhaite pas incriminer les parents pour une </w:t>
      </w:r>
      <w:r w:rsidR="00DD4992">
        <w:rPr>
          <w:lang w:val="fr-FR"/>
        </w:rPr>
        <w:t>correction légère</w:t>
      </w:r>
      <w:r w:rsidR="0051072C">
        <w:rPr>
          <w:lang w:val="fr-FR"/>
        </w:rPr>
        <w:t>. Son objectif est d’encourager les programmes d’éducation parentale</w:t>
      </w:r>
      <w:r w:rsidR="00B23E3E">
        <w:rPr>
          <w:lang w:val="fr-FR"/>
        </w:rPr>
        <w:t xml:space="preserve"> reposant sur des observations factuelles en faveur d’autres méthodes que les châtiments corporels pour gérer le comportement des enfants</w:t>
      </w:r>
      <w:r w:rsidR="000B562B" w:rsidRPr="00A176EA">
        <w:rPr>
          <w:lang w:val="fr-FR"/>
        </w:rPr>
        <w:t>.</w:t>
      </w:r>
    </w:p>
    <w:p w:rsidR="000B562B" w:rsidRPr="00A176EA" w:rsidRDefault="002549A9" w:rsidP="000F0266">
      <w:pPr>
        <w:pStyle w:val="SingleTxtG"/>
        <w:rPr>
          <w:lang w:val="fr-FR"/>
        </w:rPr>
      </w:pPr>
      <w:r w:rsidRPr="00A176EA">
        <w:rPr>
          <w:lang w:val="fr-FR"/>
        </w:rPr>
        <w:t>584.</w:t>
      </w:r>
      <w:r w:rsidRPr="00A176EA">
        <w:rPr>
          <w:lang w:val="fr-FR"/>
        </w:rPr>
        <w:tab/>
      </w:r>
      <w:r w:rsidR="00B23E3E">
        <w:rPr>
          <w:lang w:val="fr-FR"/>
        </w:rPr>
        <w:t>L’article</w:t>
      </w:r>
      <w:r w:rsidR="000B562B" w:rsidRPr="00A176EA">
        <w:rPr>
          <w:lang w:val="fr-FR"/>
        </w:rPr>
        <w:t xml:space="preserve"> 58 </w:t>
      </w:r>
      <w:r w:rsidR="00B23E3E">
        <w:rPr>
          <w:lang w:val="fr-FR"/>
        </w:rPr>
        <w:t xml:space="preserve">de la loi de 2004 sur </w:t>
      </w:r>
      <w:r w:rsidR="00562C5A">
        <w:rPr>
          <w:lang w:val="fr-FR"/>
        </w:rPr>
        <w:t>l’enfance</w:t>
      </w:r>
      <w:r w:rsidR="00B23E3E">
        <w:rPr>
          <w:lang w:val="fr-FR"/>
        </w:rPr>
        <w:t xml:space="preserve"> renforce la protection de</w:t>
      </w:r>
      <w:r w:rsidR="00562C5A">
        <w:rPr>
          <w:lang w:val="fr-FR"/>
        </w:rPr>
        <w:t>s</w:t>
      </w:r>
      <w:r w:rsidR="00B23E3E">
        <w:rPr>
          <w:lang w:val="fr-FR"/>
        </w:rPr>
        <w:t xml:space="preserve"> </w:t>
      </w:r>
      <w:r w:rsidR="00562C5A">
        <w:rPr>
          <w:lang w:val="fr-FR"/>
        </w:rPr>
        <w:t>enfants</w:t>
      </w:r>
      <w:r w:rsidR="00B23E3E">
        <w:rPr>
          <w:lang w:val="fr-FR"/>
        </w:rPr>
        <w:t xml:space="preserve"> contre les châtiments corporels en limitant le recours à l’argument du </w:t>
      </w:r>
      <w:r w:rsidR="00CD0110">
        <w:rPr>
          <w:lang w:val="fr-FR"/>
        </w:rPr>
        <w:t>«</w:t>
      </w:r>
      <w:r w:rsidR="00B23E3E">
        <w:rPr>
          <w:lang w:val="fr-FR"/>
        </w:rPr>
        <w:t>châtiment raisonnable</w:t>
      </w:r>
      <w:r w:rsidR="00CD0110">
        <w:rPr>
          <w:lang w:val="fr-FR"/>
        </w:rPr>
        <w:t>»</w:t>
      </w:r>
      <w:r w:rsidR="00B23E3E">
        <w:rPr>
          <w:lang w:val="fr-FR"/>
        </w:rPr>
        <w:t xml:space="preserve"> de façon à ce que les parents (et les personnes agissant </w:t>
      </w:r>
      <w:r w:rsidR="00B23E3E" w:rsidRPr="00B23E3E">
        <w:rPr>
          <w:i/>
          <w:lang w:val="fr-FR"/>
        </w:rPr>
        <w:t>in loco parentis</w:t>
      </w:r>
      <w:r w:rsidR="00B23E3E">
        <w:rPr>
          <w:lang w:val="fr-FR"/>
        </w:rPr>
        <w:t xml:space="preserve">) qui infligent des </w:t>
      </w:r>
      <w:r w:rsidR="003E3412">
        <w:rPr>
          <w:lang w:val="fr-FR"/>
        </w:rPr>
        <w:t xml:space="preserve">blessures physiques à leurs enfants ne puissent plus invoquer cet argument lorsqu’ils sont poursuivis pour </w:t>
      </w:r>
      <w:r w:rsidR="00562C5A">
        <w:rPr>
          <w:lang w:val="fr-FR"/>
        </w:rPr>
        <w:t>des violences</w:t>
      </w:r>
      <w:r w:rsidR="003E3412">
        <w:rPr>
          <w:lang w:val="fr-FR"/>
        </w:rPr>
        <w:t xml:space="preserve"> </w:t>
      </w:r>
      <w:r w:rsidR="00DD4992">
        <w:rPr>
          <w:lang w:val="fr-FR"/>
        </w:rPr>
        <w:t xml:space="preserve">constituant un acte de cruauté et ayant provoqué des lésions corporelles réelles ou graves. </w:t>
      </w:r>
      <w:r w:rsidR="00691945">
        <w:rPr>
          <w:lang w:val="fr-FR"/>
        </w:rPr>
        <w:t xml:space="preserve">L’argument du </w:t>
      </w:r>
      <w:r w:rsidR="00CD0110">
        <w:rPr>
          <w:lang w:val="fr-FR"/>
        </w:rPr>
        <w:t>«</w:t>
      </w:r>
      <w:r w:rsidR="00691945">
        <w:rPr>
          <w:lang w:val="fr-FR"/>
        </w:rPr>
        <w:t>châtiment raisonnable</w:t>
      </w:r>
      <w:r w:rsidR="00CD0110">
        <w:rPr>
          <w:lang w:val="fr-FR"/>
        </w:rPr>
        <w:t>»</w:t>
      </w:r>
      <w:r w:rsidR="00691945">
        <w:rPr>
          <w:lang w:val="fr-FR"/>
        </w:rPr>
        <w:t xml:space="preserve"> ne peut être invoqué par les parents (ou les personnes agissant </w:t>
      </w:r>
      <w:r w:rsidR="00691945" w:rsidRPr="00691945">
        <w:rPr>
          <w:i/>
          <w:lang w:val="fr-FR"/>
        </w:rPr>
        <w:t>in loco</w:t>
      </w:r>
      <w:r w:rsidR="00691945">
        <w:rPr>
          <w:lang w:val="fr-FR"/>
        </w:rPr>
        <w:t xml:space="preserve"> </w:t>
      </w:r>
      <w:r w:rsidR="00691945" w:rsidRPr="00691945">
        <w:rPr>
          <w:i/>
          <w:lang w:val="fr-FR"/>
        </w:rPr>
        <w:t>parentis</w:t>
      </w:r>
      <w:r w:rsidR="00691945">
        <w:rPr>
          <w:lang w:val="fr-FR"/>
        </w:rPr>
        <w:t>) que lorsqu’ils sont accusés d’agression non qualifiée</w:t>
      </w:r>
      <w:r w:rsidR="000B562B" w:rsidRPr="00A176EA">
        <w:rPr>
          <w:lang w:val="fr-FR"/>
        </w:rPr>
        <w:t>.</w:t>
      </w:r>
    </w:p>
    <w:p w:rsidR="000B562B" w:rsidRPr="00A176EA" w:rsidRDefault="00FD2CE1" w:rsidP="00410A02">
      <w:pPr>
        <w:pStyle w:val="H23G"/>
        <w:rPr>
          <w:lang w:val="fr-FR"/>
        </w:rPr>
      </w:pPr>
      <w:r w:rsidRPr="00691945">
        <w:rPr>
          <w:lang w:val="fr-FR"/>
        </w:rPr>
        <w:t>Écosse</w:t>
      </w:r>
    </w:p>
    <w:p w:rsidR="000B562B" w:rsidRPr="00A176EA" w:rsidRDefault="002549A9" w:rsidP="00691945">
      <w:pPr>
        <w:pStyle w:val="SingleTxtG"/>
        <w:rPr>
          <w:lang w:val="fr-FR"/>
        </w:rPr>
      </w:pPr>
      <w:r w:rsidRPr="00A176EA">
        <w:rPr>
          <w:lang w:val="fr-FR"/>
        </w:rPr>
        <w:t>585.</w:t>
      </w:r>
      <w:r w:rsidRPr="00A176EA">
        <w:rPr>
          <w:lang w:val="fr-FR"/>
        </w:rPr>
        <w:tab/>
      </w:r>
      <w:r w:rsidR="00691945">
        <w:rPr>
          <w:lang w:val="fr-FR"/>
        </w:rPr>
        <w:t xml:space="preserve">Depuis octobre 2003, en </w:t>
      </w:r>
      <w:r w:rsidR="00FD2CE1" w:rsidRPr="00691945">
        <w:rPr>
          <w:lang w:val="fr-FR"/>
        </w:rPr>
        <w:t>Écosse</w:t>
      </w:r>
      <w:r w:rsidR="000B562B" w:rsidRPr="00A176EA">
        <w:rPr>
          <w:lang w:val="fr-FR"/>
        </w:rPr>
        <w:t xml:space="preserve">, </w:t>
      </w:r>
      <w:r w:rsidR="00691945">
        <w:rPr>
          <w:lang w:val="fr-FR"/>
        </w:rPr>
        <w:t xml:space="preserve">il est illégal au regard de la loi de 2003 sur la justice pénale </w:t>
      </w:r>
      <w:r w:rsidR="00691945" w:rsidRPr="00691945">
        <w:rPr>
          <w:lang w:val="fr-FR"/>
        </w:rPr>
        <w:t>(Écosse)</w:t>
      </w:r>
      <w:r w:rsidR="00691945">
        <w:rPr>
          <w:lang w:val="fr-FR"/>
        </w:rPr>
        <w:t xml:space="preserve"> de punir les enfants en les secouant, en les frappant </w:t>
      </w:r>
      <w:r w:rsidR="00562C5A">
        <w:rPr>
          <w:lang w:val="fr-FR"/>
        </w:rPr>
        <w:t>à</w:t>
      </w:r>
      <w:r w:rsidR="00691945">
        <w:rPr>
          <w:lang w:val="fr-FR"/>
        </w:rPr>
        <w:t xml:space="preserve"> la tête et en utilisant une ceinture, un bâton, </w:t>
      </w:r>
      <w:r w:rsidR="009369D9">
        <w:rPr>
          <w:lang w:val="fr-FR"/>
        </w:rPr>
        <w:t>une savate, une cuillère en bois et autre ustensile. La loi a été modifiée en vue d’améliorer la protection des enfants et il n’est pas prévu de modifier la législation actuelle. Si le Gouvernement écossais n’est pas favorable aux châtiments corporels, il ne souhaite pas incriminer les parents pour une correction légère</w:t>
      </w:r>
      <w:r w:rsidR="000B562B" w:rsidRPr="00A176EA">
        <w:rPr>
          <w:lang w:val="fr-FR"/>
        </w:rPr>
        <w:t>.</w:t>
      </w:r>
    </w:p>
    <w:p w:rsidR="000B562B" w:rsidRPr="00A176EA" w:rsidRDefault="00FD2CE1" w:rsidP="00410A02">
      <w:pPr>
        <w:pStyle w:val="H23G"/>
        <w:rPr>
          <w:lang w:val="fr-FR"/>
        </w:rPr>
      </w:pPr>
      <w:r w:rsidRPr="009369D9">
        <w:rPr>
          <w:lang w:val="fr-FR"/>
        </w:rPr>
        <w:t>Irlande du Nord</w:t>
      </w:r>
    </w:p>
    <w:p w:rsidR="000B562B" w:rsidRPr="00A176EA" w:rsidRDefault="002549A9" w:rsidP="002911A8">
      <w:pPr>
        <w:pStyle w:val="SingleTxtG"/>
        <w:rPr>
          <w:lang w:val="fr-FR"/>
        </w:rPr>
      </w:pPr>
      <w:r w:rsidRPr="00A176EA">
        <w:rPr>
          <w:lang w:val="fr-FR"/>
        </w:rPr>
        <w:t>586.</w:t>
      </w:r>
      <w:r w:rsidRPr="00A176EA">
        <w:rPr>
          <w:lang w:val="fr-FR"/>
        </w:rPr>
        <w:tab/>
      </w:r>
      <w:r w:rsidR="009369D9" w:rsidRPr="0024430D">
        <w:rPr>
          <w:lang w:val="fr-FR"/>
        </w:rPr>
        <w:t>L’article</w:t>
      </w:r>
      <w:r w:rsidR="000B562B" w:rsidRPr="0024430D">
        <w:rPr>
          <w:lang w:val="fr-FR"/>
        </w:rPr>
        <w:t xml:space="preserve"> 58 </w:t>
      </w:r>
      <w:r w:rsidR="009369D9" w:rsidRPr="0024430D">
        <w:rPr>
          <w:lang w:val="fr-FR"/>
        </w:rPr>
        <w:t xml:space="preserve">de la loi de 2004 sur </w:t>
      </w:r>
      <w:r w:rsidR="00AE2E20">
        <w:rPr>
          <w:lang w:val="fr-FR"/>
        </w:rPr>
        <w:t>l’enfance</w:t>
      </w:r>
      <w:r w:rsidR="001D68A5" w:rsidRPr="0024430D">
        <w:rPr>
          <w:lang w:val="fr-FR"/>
        </w:rPr>
        <w:t xml:space="preserve"> </w:t>
      </w:r>
      <w:r w:rsidR="000B562B" w:rsidRPr="0024430D">
        <w:rPr>
          <w:lang w:val="fr-FR"/>
        </w:rPr>
        <w:t>(</w:t>
      </w:r>
      <w:r w:rsidR="001D68A5" w:rsidRPr="0024430D">
        <w:rPr>
          <w:lang w:val="fr-FR"/>
        </w:rPr>
        <w:t>R</w:t>
      </w:r>
      <w:r w:rsidR="000B562B" w:rsidRPr="0024430D">
        <w:rPr>
          <w:lang w:val="fr-FR"/>
        </w:rPr>
        <w:t xml:space="preserve">estriction </w:t>
      </w:r>
      <w:r w:rsidR="00344560" w:rsidRPr="0024430D">
        <w:rPr>
          <w:lang w:val="fr-FR"/>
        </w:rPr>
        <w:t xml:space="preserve">de l’argument du châtiment raisonnable) </w:t>
      </w:r>
      <w:r w:rsidR="0024430D" w:rsidRPr="0024430D">
        <w:rPr>
          <w:lang w:val="fr-FR"/>
        </w:rPr>
        <w:t xml:space="preserve">a été repris en Irlande du Nord (article 2 de l’ordonnance </w:t>
      </w:r>
      <w:r w:rsidR="00286DDD">
        <w:rPr>
          <w:lang w:val="fr-FR"/>
        </w:rPr>
        <w:t xml:space="preserve">de 2006 </w:t>
      </w:r>
      <w:r w:rsidR="0024430D" w:rsidRPr="0024430D">
        <w:rPr>
          <w:lang w:val="fr-FR"/>
        </w:rPr>
        <w:t xml:space="preserve">relative à la réforme de la loi (Dispositions diverses) </w:t>
      </w:r>
      <w:r w:rsidR="000B562B" w:rsidRPr="0024430D">
        <w:rPr>
          <w:lang w:val="fr-FR"/>
        </w:rPr>
        <w:t>(</w:t>
      </w:r>
      <w:r w:rsidR="008F3DA4" w:rsidRPr="0024430D">
        <w:rPr>
          <w:lang w:val="fr-FR"/>
        </w:rPr>
        <w:t>Irlande du Nord</w:t>
      </w:r>
      <w:r w:rsidR="000B562B" w:rsidRPr="0024430D">
        <w:rPr>
          <w:lang w:val="fr-FR"/>
        </w:rPr>
        <w:t xml:space="preserve">)). </w:t>
      </w:r>
      <w:r w:rsidR="0024430D" w:rsidRPr="0024430D">
        <w:rPr>
          <w:lang w:val="fr-FR"/>
        </w:rPr>
        <w:t>L’</w:t>
      </w:r>
      <w:r w:rsidR="008F3DA4" w:rsidRPr="0024430D">
        <w:rPr>
          <w:lang w:val="fr-FR"/>
        </w:rPr>
        <w:t>Irlande du Nord</w:t>
      </w:r>
      <w:r w:rsidR="000B562B" w:rsidRPr="00A176EA">
        <w:rPr>
          <w:lang w:val="fr-FR"/>
        </w:rPr>
        <w:t xml:space="preserve"> </w:t>
      </w:r>
      <w:r w:rsidR="002911A8">
        <w:rPr>
          <w:lang w:val="fr-FR"/>
        </w:rPr>
        <w:t xml:space="preserve">s’emploie également à promouvoir le comportement positif des parents et le recours à d’autres formes de discipline. Cela inclut la publication de brochures </w:t>
      </w:r>
      <w:r w:rsidR="00286DDD">
        <w:rPr>
          <w:lang w:val="fr-FR"/>
        </w:rPr>
        <w:t>à l’intention</w:t>
      </w:r>
      <w:r w:rsidR="002911A8">
        <w:rPr>
          <w:lang w:val="fr-FR"/>
        </w:rPr>
        <w:t xml:space="preserve"> </w:t>
      </w:r>
      <w:r w:rsidR="00286DDD">
        <w:rPr>
          <w:lang w:val="fr-FR"/>
        </w:rPr>
        <w:t>des</w:t>
      </w:r>
      <w:r w:rsidR="002911A8">
        <w:rPr>
          <w:lang w:val="fr-FR"/>
        </w:rPr>
        <w:t xml:space="preserve"> parents et la mise en place d’un service téléphonique pour conseiller et aider les parents</w:t>
      </w:r>
      <w:r w:rsidR="000B562B" w:rsidRPr="00A176EA">
        <w:rPr>
          <w:lang w:val="fr-FR"/>
        </w:rPr>
        <w:t>.</w:t>
      </w:r>
    </w:p>
    <w:p w:rsidR="00871937" w:rsidRPr="006D07AA" w:rsidRDefault="00871937" w:rsidP="00D74382">
      <w:pPr>
        <w:pStyle w:val="HChG"/>
      </w:pPr>
      <w:bookmarkStart w:id="69" w:name="_Toc299724760"/>
      <w:r>
        <w:tab/>
      </w:r>
      <w:r w:rsidR="00D74382" w:rsidRPr="006D07AA">
        <w:t>III.</w:t>
      </w:r>
      <w:r>
        <w:tab/>
      </w:r>
      <w:r w:rsidR="00206602" w:rsidRPr="006D07AA">
        <w:t>Généralités</w:t>
      </w:r>
    </w:p>
    <w:p w:rsidR="00871937" w:rsidRPr="001C135E" w:rsidRDefault="00871937" w:rsidP="001C135E">
      <w:pPr>
        <w:pStyle w:val="H1G"/>
      </w:pPr>
      <w:bookmarkStart w:id="70" w:name="_Toc299724759"/>
      <w:r w:rsidRPr="006D07AA">
        <w:rPr>
          <w:sz w:val="28"/>
        </w:rPr>
        <w:tab/>
      </w:r>
      <w:r w:rsidRPr="001C135E">
        <w:t>A.</w:t>
      </w:r>
      <w:r w:rsidRPr="001C135E">
        <w:tab/>
      </w:r>
      <w:r w:rsidR="009E551A" w:rsidRPr="001C135E">
        <w:t>Caractéristiques démographiques, économiques, sociales et culturelles</w:t>
      </w:r>
      <w:bookmarkEnd w:id="70"/>
    </w:p>
    <w:bookmarkEnd w:id="69"/>
    <w:p w:rsidR="000B562B" w:rsidRPr="002911A8" w:rsidRDefault="00213066" w:rsidP="000F0266">
      <w:pPr>
        <w:pStyle w:val="H23G"/>
        <w:rPr>
          <w:lang w:val="fr-FR"/>
        </w:rPr>
      </w:pPr>
      <w:r w:rsidRPr="002911A8">
        <w:rPr>
          <w:lang w:val="fr-FR"/>
        </w:rPr>
        <w:t>Pays et population</w:t>
      </w:r>
    </w:p>
    <w:p w:rsidR="000B562B" w:rsidRPr="002911A8" w:rsidRDefault="002549A9" w:rsidP="002911A8">
      <w:pPr>
        <w:pStyle w:val="SingleTxtG"/>
        <w:rPr>
          <w:snapToGrid w:val="0"/>
          <w:lang w:val="fr-FR"/>
        </w:rPr>
      </w:pPr>
      <w:r w:rsidRPr="002911A8">
        <w:rPr>
          <w:snapToGrid w:val="0"/>
          <w:lang w:val="fr-FR"/>
        </w:rPr>
        <w:t>587.</w:t>
      </w:r>
      <w:r w:rsidRPr="002911A8">
        <w:rPr>
          <w:snapToGrid w:val="0"/>
          <w:lang w:val="fr-FR"/>
        </w:rPr>
        <w:tab/>
      </w:r>
      <w:r w:rsidR="00206602" w:rsidRPr="002911A8">
        <w:rPr>
          <w:snapToGrid w:val="0"/>
          <w:lang w:val="fr-FR"/>
        </w:rPr>
        <w:t>Les statistiques générales sur le Royaume-Uni</w:t>
      </w:r>
      <w:r w:rsidR="000B562B" w:rsidRPr="002911A8">
        <w:rPr>
          <w:snapToGrid w:val="0"/>
          <w:lang w:val="fr-FR"/>
        </w:rPr>
        <w:t xml:space="preserve">, </w:t>
      </w:r>
      <w:r w:rsidR="002911A8">
        <w:rPr>
          <w:snapToGrid w:val="0"/>
          <w:lang w:val="fr-FR"/>
        </w:rPr>
        <w:t xml:space="preserve">fondées sur les chiffres les plus récents disponibles, </w:t>
      </w:r>
      <w:r w:rsidR="00206602" w:rsidRPr="002911A8">
        <w:rPr>
          <w:snapToGrid w:val="0"/>
          <w:lang w:val="fr-FR"/>
        </w:rPr>
        <w:t>sont présentées ci-après</w:t>
      </w:r>
      <w:r w:rsidR="004D1003" w:rsidRPr="002911A8">
        <w:rPr>
          <w:snapToGrid w:val="0"/>
          <w:lang w:val="fr-FR"/>
        </w:rPr>
        <w:t>.</w:t>
      </w:r>
    </w:p>
    <w:p w:rsidR="000B562B" w:rsidRPr="002911A8" w:rsidRDefault="006D07AA" w:rsidP="007D614E">
      <w:pPr>
        <w:pStyle w:val="H23G"/>
        <w:rPr>
          <w:lang w:val="fr-FR"/>
        </w:rPr>
      </w:pPr>
      <w:r w:rsidRPr="002911A8">
        <w:rPr>
          <w:lang w:val="fr-FR"/>
        </w:rPr>
        <w:t>Royaume-Uni</w:t>
      </w:r>
      <w:r w:rsidR="000B562B" w:rsidRPr="001A6161">
        <w:rPr>
          <w:rStyle w:val="FootnoteReference"/>
          <w:b w:val="0"/>
          <w:iCs/>
          <w:szCs w:val="22"/>
        </w:rPr>
        <w:footnoteReference w:id="73"/>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3708"/>
        <w:gridCol w:w="3662"/>
      </w:tblGrid>
      <w:tr w:rsidR="000B562B" w:rsidRPr="002911A8" w:rsidTr="00066B85">
        <w:tblPrEx>
          <w:tblCellMar>
            <w:top w:w="0" w:type="dxa"/>
            <w:bottom w:w="0" w:type="dxa"/>
          </w:tblCellMar>
        </w:tblPrEx>
        <w:trPr>
          <w:cantSplit/>
          <w:trHeight w:val="240"/>
          <w:tblHeader/>
        </w:trPr>
        <w:tc>
          <w:tcPr>
            <w:tcW w:w="3708" w:type="dxa"/>
            <w:tcBorders>
              <w:top w:val="single" w:sz="4" w:space="0" w:color="auto"/>
              <w:bottom w:val="single" w:sz="12" w:space="0" w:color="auto"/>
            </w:tcBorders>
            <w:shd w:val="clear" w:color="auto" w:fill="auto"/>
            <w:vAlign w:val="bottom"/>
          </w:tcPr>
          <w:p w:rsidR="000B562B" w:rsidRPr="002911A8" w:rsidRDefault="000B562B" w:rsidP="000F0266">
            <w:pPr>
              <w:pStyle w:val="Text"/>
              <w:spacing w:before="80" w:after="80" w:line="200" w:lineRule="exact"/>
              <w:rPr>
                <w:rFonts w:ascii="Times New Roman" w:hAnsi="Times New Roman"/>
                <w:i/>
                <w:sz w:val="16"/>
                <w:lang w:val="fr-FR"/>
              </w:rPr>
            </w:pPr>
            <w:r w:rsidRPr="002911A8">
              <w:rPr>
                <w:rFonts w:ascii="Times New Roman" w:hAnsi="Times New Roman"/>
                <w:i/>
                <w:sz w:val="16"/>
                <w:lang w:val="fr-FR"/>
              </w:rPr>
              <w:t>Population</w:t>
            </w:r>
          </w:p>
        </w:tc>
        <w:tc>
          <w:tcPr>
            <w:tcW w:w="3662" w:type="dxa"/>
            <w:tcBorders>
              <w:top w:val="single" w:sz="4" w:space="0" w:color="auto"/>
              <w:bottom w:val="single" w:sz="12" w:space="0" w:color="auto"/>
            </w:tcBorders>
            <w:shd w:val="clear" w:color="auto" w:fill="auto"/>
            <w:vAlign w:val="bottom"/>
          </w:tcPr>
          <w:p w:rsidR="000B562B" w:rsidRPr="002911A8" w:rsidRDefault="000B562B" w:rsidP="000F0266">
            <w:pPr>
              <w:pStyle w:val="Text"/>
              <w:spacing w:before="80" w:after="80" w:line="200" w:lineRule="exact"/>
              <w:ind w:left="113"/>
              <w:jc w:val="right"/>
              <w:rPr>
                <w:rFonts w:ascii="Times New Roman" w:hAnsi="Times New Roman"/>
                <w:i/>
                <w:sz w:val="16"/>
                <w:lang w:val="fr-FR"/>
              </w:rPr>
            </w:pPr>
          </w:p>
        </w:tc>
      </w:tr>
      <w:tr w:rsidR="000B562B" w:rsidRPr="002911A8" w:rsidTr="00066B85">
        <w:tblPrEx>
          <w:tblCellMar>
            <w:top w:w="0" w:type="dxa"/>
            <w:bottom w:w="0" w:type="dxa"/>
          </w:tblCellMar>
        </w:tblPrEx>
        <w:trPr>
          <w:cantSplit/>
          <w:trHeight w:val="240"/>
        </w:trPr>
        <w:tc>
          <w:tcPr>
            <w:tcW w:w="3708" w:type="dxa"/>
            <w:tcBorders>
              <w:top w:val="single" w:sz="12" w:space="0" w:color="auto"/>
            </w:tcBorders>
            <w:shd w:val="clear" w:color="auto" w:fill="auto"/>
          </w:tcPr>
          <w:p w:rsidR="000B562B" w:rsidRPr="002911A8" w:rsidRDefault="00857CE7" w:rsidP="000F0266">
            <w:pPr>
              <w:pStyle w:val="Text"/>
              <w:spacing w:before="40" w:after="40" w:line="220" w:lineRule="exact"/>
              <w:rPr>
                <w:rFonts w:ascii="Times New Roman" w:hAnsi="Times New Roman"/>
                <w:sz w:val="18"/>
                <w:lang w:val="fr-FR"/>
              </w:rPr>
            </w:pPr>
            <w:r w:rsidRPr="002911A8">
              <w:rPr>
                <w:rFonts w:ascii="Times New Roman" w:hAnsi="Times New Roman"/>
                <w:sz w:val="18"/>
                <w:lang w:val="fr-FR"/>
              </w:rPr>
              <w:t>Nombre d’habitants</w:t>
            </w:r>
            <w:r w:rsidR="000B562B" w:rsidRPr="002911A8">
              <w:rPr>
                <w:rStyle w:val="FootnoteReference"/>
                <w:szCs w:val="22"/>
              </w:rPr>
              <w:footnoteReference w:id="74"/>
            </w:r>
          </w:p>
        </w:tc>
        <w:tc>
          <w:tcPr>
            <w:tcW w:w="3662" w:type="dxa"/>
            <w:tcBorders>
              <w:top w:val="single" w:sz="12" w:space="0" w:color="auto"/>
            </w:tcBorders>
            <w:shd w:val="clear" w:color="auto" w:fill="auto"/>
            <w:vAlign w:val="bottom"/>
          </w:tcPr>
          <w:p w:rsidR="000B562B" w:rsidRPr="002911A8" w:rsidRDefault="000B562B" w:rsidP="00857CE7">
            <w:pPr>
              <w:pStyle w:val="Text"/>
              <w:spacing w:before="40" w:after="40" w:line="220" w:lineRule="exact"/>
              <w:ind w:left="113"/>
              <w:jc w:val="right"/>
              <w:rPr>
                <w:rFonts w:ascii="Times New Roman" w:hAnsi="Times New Roman"/>
                <w:sz w:val="18"/>
                <w:lang w:val="fr-FR"/>
              </w:rPr>
            </w:pPr>
            <w:r w:rsidRPr="002911A8">
              <w:rPr>
                <w:rFonts w:ascii="Times New Roman" w:hAnsi="Times New Roman"/>
                <w:sz w:val="18"/>
                <w:lang w:val="fr-FR"/>
              </w:rPr>
              <w:t>61</w:t>
            </w:r>
            <w:r w:rsidR="00857CE7" w:rsidRPr="002911A8">
              <w:rPr>
                <w:rFonts w:ascii="Times New Roman" w:hAnsi="Times New Roman"/>
                <w:sz w:val="18"/>
                <w:lang w:val="fr-FR"/>
              </w:rPr>
              <w:t> </w:t>
            </w:r>
            <w:r w:rsidRPr="002911A8">
              <w:rPr>
                <w:rFonts w:ascii="Times New Roman" w:hAnsi="Times New Roman"/>
                <w:sz w:val="18"/>
                <w:lang w:val="fr-FR"/>
              </w:rPr>
              <w:t>792</w:t>
            </w:r>
            <w:r w:rsidR="00857CE7" w:rsidRPr="002911A8">
              <w:rPr>
                <w:rFonts w:ascii="Times New Roman" w:hAnsi="Times New Roman"/>
                <w:sz w:val="18"/>
                <w:lang w:val="fr-FR"/>
              </w:rPr>
              <w:t xml:space="preserve"> </w:t>
            </w:r>
            <w:r w:rsidRPr="002911A8">
              <w:rPr>
                <w:rFonts w:ascii="Times New Roman" w:hAnsi="Times New Roman"/>
                <w:sz w:val="18"/>
                <w:lang w:val="fr-FR"/>
              </w:rPr>
              <w:t>000</w:t>
            </w:r>
          </w:p>
        </w:tc>
      </w:tr>
      <w:tr w:rsidR="000B562B" w:rsidRPr="002911A8" w:rsidTr="00066B85">
        <w:tblPrEx>
          <w:tblCellMar>
            <w:top w:w="0" w:type="dxa"/>
            <w:bottom w:w="0" w:type="dxa"/>
          </w:tblCellMar>
        </w:tblPrEx>
        <w:trPr>
          <w:cantSplit/>
          <w:trHeight w:val="240"/>
        </w:trPr>
        <w:tc>
          <w:tcPr>
            <w:tcW w:w="3708" w:type="dxa"/>
            <w:shd w:val="clear" w:color="auto" w:fill="auto"/>
          </w:tcPr>
          <w:p w:rsidR="000B562B" w:rsidRPr="002911A8" w:rsidRDefault="003A58A0" w:rsidP="003A58A0">
            <w:pPr>
              <w:pStyle w:val="Text"/>
              <w:spacing w:before="40" w:after="40" w:line="220" w:lineRule="exact"/>
              <w:rPr>
                <w:rFonts w:ascii="Times New Roman" w:hAnsi="Times New Roman"/>
                <w:sz w:val="18"/>
                <w:lang w:val="fr-FR"/>
              </w:rPr>
            </w:pPr>
            <w:r w:rsidRPr="002911A8">
              <w:rPr>
                <w:rFonts w:ascii="Times New Roman" w:hAnsi="Times New Roman"/>
                <w:sz w:val="18"/>
                <w:lang w:val="fr-FR"/>
              </w:rPr>
              <w:t>Croissance par rapport à l’année précédente</w:t>
            </w:r>
            <w:r w:rsidR="000B562B" w:rsidRPr="002911A8">
              <w:rPr>
                <w:rStyle w:val="FootnoteReference"/>
                <w:szCs w:val="22"/>
              </w:rPr>
              <w:footnoteReference w:id="75"/>
            </w:r>
          </w:p>
        </w:tc>
        <w:tc>
          <w:tcPr>
            <w:tcW w:w="3662" w:type="dxa"/>
            <w:shd w:val="clear" w:color="auto" w:fill="auto"/>
            <w:vAlign w:val="bottom"/>
          </w:tcPr>
          <w:p w:rsidR="000B562B" w:rsidRPr="002911A8" w:rsidRDefault="000B562B" w:rsidP="00857CE7">
            <w:pPr>
              <w:pStyle w:val="Text"/>
              <w:spacing w:before="40" w:after="40" w:line="220" w:lineRule="exact"/>
              <w:ind w:left="113"/>
              <w:jc w:val="right"/>
              <w:rPr>
                <w:rFonts w:ascii="Times New Roman" w:hAnsi="Times New Roman"/>
                <w:sz w:val="18"/>
                <w:lang w:val="fr-FR"/>
              </w:rPr>
            </w:pPr>
            <w:r w:rsidRPr="002911A8">
              <w:rPr>
                <w:rFonts w:ascii="Times New Roman" w:hAnsi="Times New Roman"/>
                <w:sz w:val="18"/>
                <w:lang w:val="fr-FR"/>
              </w:rPr>
              <w:t>0</w:t>
            </w:r>
            <w:r w:rsidR="00857CE7" w:rsidRPr="002911A8">
              <w:rPr>
                <w:rFonts w:ascii="Times New Roman" w:hAnsi="Times New Roman"/>
                <w:sz w:val="18"/>
                <w:lang w:val="fr-FR"/>
              </w:rPr>
              <w:t>,</w:t>
            </w:r>
            <w:r w:rsidRPr="002911A8">
              <w:rPr>
                <w:rFonts w:ascii="Times New Roman" w:hAnsi="Times New Roman"/>
                <w:sz w:val="18"/>
                <w:lang w:val="fr-FR"/>
              </w:rPr>
              <w:t>60</w:t>
            </w:r>
            <w:r w:rsidR="00857CE7" w:rsidRPr="002911A8">
              <w:rPr>
                <w:rFonts w:ascii="Times New Roman" w:hAnsi="Times New Roman"/>
                <w:sz w:val="18"/>
                <w:lang w:val="fr-FR"/>
              </w:rPr>
              <w:t xml:space="preserve"> </w:t>
            </w:r>
            <w:r w:rsidRPr="002911A8">
              <w:rPr>
                <w:rFonts w:ascii="Times New Roman" w:hAnsi="Times New Roman"/>
                <w:sz w:val="18"/>
                <w:lang w:val="fr-FR"/>
              </w:rPr>
              <w:t>%</w:t>
            </w:r>
          </w:p>
        </w:tc>
      </w:tr>
      <w:tr w:rsidR="000B562B" w:rsidRPr="002911A8" w:rsidTr="00066B85">
        <w:tblPrEx>
          <w:tblCellMar>
            <w:top w:w="0" w:type="dxa"/>
            <w:bottom w:w="0" w:type="dxa"/>
          </w:tblCellMar>
        </w:tblPrEx>
        <w:trPr>
          <w:cantSplit/>
          <w:trHeight w:val="240"/>
        </w:trPr>
        <w:tc>
          <w:tcPr>
            <w:tcW w:w="3708" w:type="dxa"/>
            <w:shd w:val="clear" w:color="auto" w:fill="auto"/>
          </w:tcPr>
          <w:p w:rsidR="000B562B" w:rsidRPr="002911A8" w:rsidRDefault="000B562B" w:rsidP="003A58A0">
            <w:pPr>
              <w:pStyle w:val="Text"/>
              <w:spacing w:before="40" w:after="40" w:line="220" w:lineRule="exact"/>
              <w:rPr>
                <w:rFonts w:ascii="Times New Roman" w:hAnsi="Times New Roman"/>
                <w:sz w:val="18"/>
                <w:lang w:val="fr-FR"/>
              </w:rPr>
            </w:pPr>
            <w:r w:rsidRPr="002911A8">
              <w:rPr>
                <w:rFonts w:ascii="Times New Roman" w:hAnsi="Times New Roman"/>
                <w:sz w:val="18"/>
                <w:lang w:val="fr-FR"/>
              </w:rPr>
              <w:t>Densit</w:t>
            </w:r>
            <w:r w:rsidR="00857CE7" w:rsidRPr="002911A8">
              <w:rPr>
                <w:rFonts w:ascii="Times New Roman" w:hAnsi="Times New Roman"/>
                <w:sz w:val="18"/>
                <w:lang w:val="fr-FR"/>
              </w:rPr>
              <w:t>é</w:t>
            </w:r>
            <w:r w:rsidR="003A58A0" w:rsidRPr="002911A8">
              <w:rPr>
                <w:rFonts w:ascii="Times New Roman" w:hAnsi="Times New Roman"/>
                <w:sz w:val="18"/>
                <w:lang w:val="fr-FR"/>
              </w:rPr>
              <w:t xml:space="preserve"> </w:t>
            </w:r>
            <w:r w:rsidRPr="002911A8">
              <w:rPr>
                <w:rStyle w:val="FootnoteReference"/>
                <w:szCs w:val="22"/>
              </w:rPr>
              <w:footnoteReference w:id="76"/>
            </w:r>
            <w:r w:rsidRPr="002911A8">
              <w:rPr>
                <w:rFonts w:ascii="Times New Roman" w:hAnsi="Times New Roman"/>
                <w:sz w:val="18"/>
                <w:lang w:val="fr-FR"/>
              </w:rPr>
              <w:t xml:space="preserve"> (</w:t>
            </w:r>
            <w:r w:rsidR="003A58A0" w:rsidRPr="002911A8">
              <w:rPr>
                <w:rFonts w:ascii="Times New Roman" w:hAnsi="Times New Roman"/>
                <w:sz w:val="18"/>
                <w:lang w:val="fr-FR"/>
              </w:rPr>
              <w:t>nombre d’habitants au km²</w:t>
            </w:r>
            <w:r w:rsidRPr="002911A8">
              <w:rPr>
                <w:rFonts w:ascii="Times New Roman" w:hAnsi="Times New Roman"/>
                <w:sz w:val="18"/>
                <w:lang w:val="fr-FR"/>
              </w:rPr>
              <w:t>)</w:t>
            </w:r>
          </w:p>
        </w:tc>
        <w:tc>
          <w:tcPr>
            <w:tcW w:w="3662" w:type="dxa"/>
            <w:shd w:val="clear" w:color="auto" w:fill="auto"/>
            <w:vAlign w:val="bottom"/>
          </w:tcPr>
          <w:p w:rsidR="000B562B" w:rsidRPr="002911A8" w:rsidRDefault="000B562B" w:rsidP="000F0266">
            <w:pPr>
              <w:pStyle w:val="Text"/>
              <w:spacing w:before="40" w:after="40" w:line="220" w:lineRule="exact"/>
              <w:ind w:left="113"/>
              <w:jc w:val="right"/>
              <w:rPr>
                <w:rFonts w:ascii="Times New Roman" w:hAnsi="Times New Roman"/>
                <w:sz w:val="18"/>
                <w:lang w:val="fr-FR"/>
              </w:rPr>
            </w:pPr>
            <w:r w:rsidRPr="002911A8">
              <w:rPr>
                <w:rFonts w:ascii="Times New Roman" w:hAnsi="Times New Roman"/>
                <w:sz w:val="18"/>
                <w:lang w:val="fr-FR"/>
              </w:rPr>
              <w:t>255</w:t>
            </w:r>
          </w:p>
        </w:tc>
      </w:tr>
      <w:tr w:rsidR="000B562B" w:rsidRPr="002911A8" w:rsidTr="00066B85">
        <w:tblPrEx>
          <w:tblCellMar>
            <w:top w:w="0" w:type="dxa"/>
            <w:bottom w:w="0" w:type="dxa"/>
          </w:tblCellMar>
        </w:tblPrEx>
        <w:trPr>
          <w:cantSplit/>
          <w:trHeight w:val="240"/>
        </w:trPr>
        <w:tc>
          <w:tcPr>
            <w:tcW w:w="3708" w:type="dxa"/>
            <w:shd w:val="clear" w:color="auto" w:fill="auto"/>
          </w:tcPr>
          <w:p w:rsidR="000B562B" w:rsidRPr="002911A8" w:rsidRDefault="003A58A0" w:rsidP="000F0266">
            <w:pPr>
              <w:pStyle w:val="Text"/>
              <w:spacing w:before="40" w:after="40" w:line="220" w:lineRule="exact"/>
              <w:rPr>
                <w:rFonts w:ascii="Times New Roman" w:hAnsi="Times New Roman"/>
                <w:sz w:val="18"/>
                <w:lang w:val="fr-FR"/>
              </w:rPr>
            </w:pPr>
            <w:r w:rsidRPr="002911A8">
              <w:rPr>
                <w:rFonts w:ascii="Times New Roman" w:hAnsi="Times New Roman"/>
                <w:sz w:val="18"/>
                <w:lang w:val="fr-FR"/>
              </w:rPr>
              <w:t>Nombre d’hommes pour 100 femmes</w:t>
            </w:r>
            <w:r w:rsidR="000B562B" w:rsidRPr="002911A8">
              <w:rPr>
                <w:rStyle w:val="FootnoteReference"/>
                <w:szCs w:val="22"/>
              </w:rPr>
              <w:footnoteReference w:id="77"/>
            </w:r>
          </w:p>
        </w:tc>
        <w:tc>
          <w:tcPr>
            <w:tcW w:w="3662" w:type="dxa"/>
            <w:shd w:val="clear" w:color="auto" w:fill="auto"/>
            <w:vAlign w:val="bottom"/>
          </w:tcPr>
          <w:p w:rsidR="000B562B" w:rsidRPr="002911A8" w:rsidRDefault="000B562B" w:rsidP="00857CE7">
            <w:pPr>
              <w:pStyle w:val="Text"/>
              <w:spacing w:before="40" w:after="40" w:line="220" w:lineRule="exact"/>
              <w:ind w:left="113"/>
              <w:jc w:val="right"/>
              <w:rPr>
                <w:rFonts w:ascii="Times New Roman" w:hAnsi="Times New Roman"/>
                <w:sz w:val="18"/>
                <w:lang w:val="fr-FR"/>
              </w:rPr>
            </w:pPr>
            <w:r w:rsidRPr="002911A8">
              <w:rPr>
                <w:rFonts w:ascii="Times New Roman" w:hAnsi="Times New Roman"/>
                <w:sz w:val="18"/>
                <w:lang w:val="fr-FR"/>
              </w:rPr>
              <w:t>96</w:t>
            </w:r>
            <w:r w:rsidR="00857CE7" w:rsidRPr="002911A8">
              <w:rPr>
                <w:rFonts w:ascii="Times New Roman" w:hAnsi="Times New Roman"/>
                <w:sz w:val="18"/>
                <w:lang w:val="fr-FR"/>
              </w:rPr>
              <w:t>,</w:t>
            </w:r>
            <w:r w:rsidRPr="002911A8">
              <w:rPr>
                <w:rFonts w:ascii="Times New Roman" w:hAnsi="Times New Roman"/>
                <w:sz w:val="18"/>
                <w:lang w:val="fr-FR"/>
              </w:rPr>
              <w:t>68</w:t>
            </w:r>
          </w:p>
        </w:tc>
      </w:tr>
      <w:tr w:rsidR="000B562B" w:rsidRPr="002911A8" w:rsidTr="00066B85">
        <w:tblPrEx>
          <w:tblCellMar>
            <w:top w:w="0" w:type="dxa"/>
            <w:bottom w:w="0" w:type="dxa"/>
          </w:tblCellMar>
        </w:tblPrEx>
        <w:trPr>
          <w:cantSplit/>
          <w:trHeight w:val="240"/>
        </w:trPr>
        <w:tc>
          <w:tcPr>
            <w:tcW w:w="3708" w:type="dxa"/>
            <w:shd w:val="clear" w:color="auto" w:fill="auto"/>
          </w:tcPr>
          <w:p w:rsidR="000B562B" w:rsidRPr="002911A8" w:rsidRDefault="00857CE7" w:rsidP="00857CE7">
            <w:pPr>
              <w:pStyle w:val="Text"/>
              <w:spacing w:before="40" w:after="40" w:line="220" w:lineRule="exact"/>
              <w:rPr>
                <w:rFonts w:ascii="Times New Roman" w:hAnsi="Times New Roman"/>
                <w:sz w:val="18"/>
                <w:lang w:val="fr-FR"/>
              </w:rPr>
            </w:pPr>
            <w:r w:rsidRPr="002911A8">
              <w:rPr>
                <w:rFonts w:ascii="Times New Roman" w:hAnsi="Times New Roman"/>
                <w:sz w:val="18"/>
                <w:lang w:val="fr-FR"/>
              </w:rPr>
              <w:t>Groupes ethniques</w:t>
            </w:r>
            <w:r w:rsidR="000B562B" w:rsidRPr="002911A8">
              <w:rPr>
                <w:rStyle w:val="FootnoteReference"/>
                <w:szCs w:val="22"/>
              </w:rPr>
              <w:footnoteReference w:id="78"/>
            </w:r>
          </w:p>
        </w:tc>
        <w:tc>
          <w:tcPr>
            <w:tcW w:w="3662" w:type="dxa"/>
            <w:shd w:val="clear" w:color="auto" w:fill="auto"/>
            <w:vAlign w:val="bottom"/>
          </w:tcPr>
          <w:p w:rsidR="000B562B" w:rsidRPr="002911A8" w:rsidRDefault="00857CE7" w:rsidP="00161227">
            <w:pPr>
              <w:pStyle w:val="Text"/>
              <w:spacing w:before="40" w:after="40" w:line="220" w:lineRule="exact"/>
              <w:ind w:left="113"/>
              <w:jc w:val="right"/>
              <w:rPr>
                <w:rFonts w:ascii="Times New Roman" w:hAnsi="Times New Roman"/>
                <w:sz w:val="18"/>
                <w:lang w:val="fr-FR"/>
              </w:rPr>
            </w:pPr>
            <w:r w:rsidRPr="002911A8">
              <w:rPr>
                <w:rFonts w:ascii="Times New Roman" w:hAnsi="Times New Roman"/>
                <w:sz w:val="18"/>
                <w:lang w:val="fr-FR"/>
              </w:rPr>
              <w:t>Blancs</w:t>
            </w:r>
            <w:r w:rsidR="000B562B" w:rsidRPr="002911A8">
              <w:rPr>
                <w:rFonts w:ascii="Times New Roman" w:hAnsi="Times New Roman"/>
                <w:sz w:val="18"/>
                <w:lang w:val="fr-FR"/>
              </w:rPr>
              <w:t xml:space="preserve"> 92</w:t>
            </w:r>
            <w:r w:rsidRPr="002911A8">
              <w:rPr>
                <w:rFonts w:ascii="Times New Roman" w:hAnsi="Times New Roman"/>
                <w:sz w:val="18"/>
                <w:lang w:val="fr-FR"/>
              </w:rPr>
              <w:t>,</w:t>
            </w:r>
            <w:r w:rsidR="000B562B" w:rsidRPr="002911A8">
              <w:rPr>
                <w:rFonts w:ascii="Times New Roman" w:hAnsi="Times New Roman"/>
                <w:sz w:val="18"/>
                <w:lang w:val="fr-FR"/>
              </w:rPr>
              <w:t>1</w:t>
            </w:r>
            <w:r w:rsidRPr="002911A8">
              <w:rPr>
                <w:rFonts w:ascii="Times New Roman" w:hAnsi="Times New Roman"/>
                <w:sz w:val="18"/>
                <w:lang w:val="fr-FR"/>
              </w:rPr>
              <w:t xml:space="preserve"> </w:t>
            </w:r>
            <w:r w:rsidR="000B562B" w:rsidRPr="002911A8">
              <w:rPr>
                <w:rFonts w:ascii="Times New Roman" w:hAnsi="Times New Roman"/>
                <w:sz w:val="18"/>
                <w:lang w:val="fr-FR"/>
              </w:rPr>
              <w:t xml:space="preserve">%, </w:t>
            </w:r>
            <w:r w:rsidR="00556AEB" w:rsidRPr="002911A8">
              <w:rPr>
                <w:rFonts w:ascii="Times New Roman" w:hAnsi="Times New Roman"/>
                <w:sz w:val="18"/>
                <w:lang w:val="fr-FR"/>
              </w:rPr>
              <w:t>Métis</w:t>
            </w:r>
            <w:r w:rsidR="000B562B" w:rsidRPr="002911A8">
              <w:rPr>
                <w:rFonts w:ascii="Times New Roman" w:hAnsi="Times New Roman"/>
                <w:sz w:val="18"/>
                <w:lang w:val="fr-FR"/>
              </w:rPr>
              <w:t xml:space="preserve"> 1</w:t>
            </w:r>
            <w:r w:rsidRPr="002911A8">
              <w:rPr>
                <w:rFonts w:ascii="Times New Roman" w:hAnsi="Times New Roman"/>
                <w:sz w:val="18"/>
                <w:lang w:val="fr-FR"/>
              </w:rPr>
              <w:t>,</w:t>
            </w:r>
            <w:r w:rsidR="000B562B" w:rsidRPr="002911A8">
              <w:rPr>
                <w:rFonts w:ascii="Times New Roman" w:hAnsi="Times New Roman"/>
                <w:sz w:val="18"/>
                <w:lang w:val="fr-FR"/>
              </w:rPr>
              <w:t>2</w:t>
            </w:r>
            <w:r w:rsidRPr="002911A8">
              <w:rPr>
                <w:rFonts w:ascii="Times New Roman" w:hAnsi="Times New Roman"/>
                <w:sz w:val="18"/>
                <w:lang w:val="fr-FR"/>
              </w:rPr>
              <w:t xml:space="preserve"> </w:t>
            </w:r>
            <w:r w:rsidR="000B562B" w:rsidRPr="002911A8">
              <w:rPr>
                <w:rFonts w:ascii="Times New Roman" w:hAnsi="Times New Roman"/>
                <w:sz w:val="18"/>
                <w:lang w:val="fr-FR"/>
              </w:rPr>
              <w:t xml:space="preserve">%, </w:t>
            </w:r>
            <w:r w:rsidR="00556AEB" w:rsidRPr="002911A8">
              <w:rPr>
                <w:rFonts w:ascii="Times New Roman" w:hAnsi="Times New Roman"/>
                <w:sz w:val="18"/>
                <w:lang w:val="fr-FR"/>
              </w:rPr>
              <w:t>Asiatiques ou Britanniques d’origine asiatique</w:t>
            </w:r>
            <w:r w:rsidR="000B562B" w:rsidRPr="002911A8">
              <w:rPr>
                <w:rFonts w:ascii="Times New Roman" w:hAnsi="Times New Roman"/>
                <w:sz w:val="18"/>
                <w:lang w:val="fr-FR"/>
              </w:rPr>
              <w:t xml:space="preserve"> 4</w:t>
            </w:r>
            <w:r w:rsidRPr="002911A8">
              <w:rPr>
                <w:rFonts w:ascii="Times New Roman" w:hAnsi="Times New Roman"/>
                <w:sz w:val="18"/>
                <w:lang w:val="fr-FR"/>
              </w:rPr>
              <w:t>,</w:t>
            </w:r>
            <w:r w:rsidR="000B562B" w:rsidRPr="002911A8">
              <w:rPr>
                <w:rFonts w:ascii="Times New Roman" w:hAnsi="Times New Roman"/>
                <w:sz w:val="18"/>
                <w:lang w:val="fr-FR"/>
              </w:rPr>
              <w:t>0</w:t>
            </w:r>
            <w:r w:rsidRPr="002911A8">
              <w:rPr>
                <w:rFonts w:ascii="Times New Roman" w:hAnsi="Times New Roman"/>
                <w:sz w:val="18"/>
                <w:lang w:val="fr-FR"/>
              </w:rPr>
              <w:t xml:space="preserve"> </w:t>
            </w:r>
            <w:r w:rsidR="000B562B" w:rsidRPr="002911A8">
              <w:rPr>
                <w:rFonts w:ascii="Times New Roman" w:hAnsi="Times New Roman"/>
                <w:sz w:val="18"/>
                <w:lang w:val="fr-FR"/>
              </w:rPr>
              <w:t xml:space="preserve">%, </w:t>
            </w:r>
            <w:r w:rsidR="007E3CC8">
              <w:rPr>
                <w:rFonts w:ascii="Times New Roman" w:hAnsi="Times New Roman"/>
                <w:sz w:val="18"/>
                <w:lang w:val="fr-FR"/>
              </w:rPr>
              <w:br/>
            </w:r>
            <w:r w:rsidR="00556AEB" w:rsidRPr="002911A8">
              <w:rPr>
                <w:rFonts w:ascii="Times New Roman" w:hAnsi="Times New Roman"/>
                <w:sz w:val="18"/>
                <w:lang w:val="fr-FR"/>
              </w:rPr>
              <w:t>Noirs</w:t>
            </w:r>
            <w:r w:rsidR="000B562B" w:rsidRPr="002911A8">
              <w:rPr>
                <w:rFonts w:ascii="Times New Roman" w:hAnsi="Times New Roman"/>
                <w:sz w:val="18"/>
                <w:lang w:val="fr-FR"/>
              </w:rPr>
              <w:t xml:space="preserve"> o</w:t>
            </w:r>
            <w:r w:rsidRPr="002911A8">
              <w:rPr>
                <w:rFonts w:ascii="Times New Roman" w:hAnsi="Times New Roman"/>
                <w:sz w:val="18"/>
                <w:lang w:val="fr-FR"/>
              </w:rPr>
              <w:t xml:space="preserve">u </w:t>
            </w:r>
            <w:r w:rsidR="00556AEB" w:rsidRPr="002911A8">
              <w:rPr>
                <w:rFonts w:ascii="Times New Roman" w:hAnsi="Times New Roman"/>
                <w:sz w:val="18"/>
                <w:lang w:val="fr-FR"/>
              </w:rPr>
              <w:t>Britanniques d’origine africaine</w:t>
            </w:r>
            <w:r w:rsidR="000B562B" w:rsidRPr="002911A8">
              <w:rPr>
                <w:rFonts w:ascii="Times New Roman" w:hAnsi="Times New Roman"/>
                <w:sz w:val="18"/>
                <w:lang w:val="fr-FR"/>
              </w:rPr>
              <w:t xml:space="preserve"> 2</w:t>
            </w:r>
            <w:r w:rsidRPr="002911A8">
              <w:rPr>
                <w:rFonts w:ascii="Times New Roman" w:hAnsi="Times New Roman"/>
                <w:sz w:val="18"/>
                <w:lang w:val="fr-FR"/>
              </w:rPr>
              <w:t>,</w:t>
            </w:r>
            <w:r w:rsidR="000B562B" w:rsidRPr="002911A8">
              <w:rPr>
                <w:rFonts w:ascii="Times New Roman" w:hAnsi="Times New Roman"/>
                <w:sz w:val="18"/>
                <w:lang w:val="fr-FR"/>
              </w:rPr>
              <w:t>0</w:t>
            </w:r>
            <w:r w:rsidRPr="002911A8">
              <w:rPr>
                <w:rFonts w:ascii="Times New Roman" w:hAnsi="Times New Roman"/>
                <w:sz w:val="18"/>
                <w:lang w:val="fr-FR"/>
              </w:rPr>
              <w:t xml:space="preserve"> </w:t>
            </w:r>
            <w:r w:rsidR="000B562B" w:rsidRPr="002911A8">
              <w:rPr>
                <w:rFonts w:ascii="Times New Roman" w:hAnsi="Times New Roman"/>
                <w:sz w:val="18"/>
                <w:lang w:val="fr-FR"/>
              </w:rPr>
              <w:t xml:space="preserve">%, </w:t>
            </w:r>
            <w:r w:rsidR="007E3CC8">
              <w:rPr>
                <w:rFonts w:ascii="Times New Roman" w:hAnsi="Times New Roman"/>
                <w:sz w:val="18"/>
                <w:lang w:val="fr-FR"/>
              </w:rPr>
              <w:br/>
            </w:r>
            <w:r w:rsidR="000B562B" w:rsidRPr="002911A8">
              <w:rPr>
                <w:rFonts w:ascii="Times New Roman" w:hAnsi="Times New Roman"/>
                <w:sz w:val="18"/>
                <w:lang w:val="fr-FR"/>
              </w:rPr>
              <w:t>Chin</w:t>
            </w:r>
            <w:r w:rsidRPr="002911A8">
              <w:rPr>
                <w:rFonts w:ascii="Times New Roman" w:hAnsi="Times New Roman"/>
                <w:sz w:val="18"/>
                <w:lang w:val="fr-FR"/>
              </w:rPr>
              <w:t>ois</w:t>
            </w:r>
            <w:r w:rsidR="000B562B" w:rsidRPr="002911A8">
              <w:rPr>
                <w:rFonts w:ascii="Times New Roman" w:hAnsi="Times New Roman"/>
                <w:sz w:val="18"/>
                <w:lang w:val="fr-FR"/>
              </w:rPr>
              <w:t xml:space="preserve"> 0</w:t>
            </w:r>
            <w:r w:rsidRPr="002911A8">
              <w:rPr>
                <w:rFonts w:ascii="Times New Roman" w:hAnsi="Times New Roman"/>
                <w:sz w:val="18"/>
                <w:lang w:val="fr-FR"/>
              </w:rPr>
              <w:t>,</w:t>
            </w:r>
            <w:r w:rsidR="000B562B" w:rsidRPr="002911A8">
              <w:rPr>
                <w:rFonts w:ascii="Times New Roman" w:hAnsi="Times New Roman"/>
                <w:sz w:val="18"/>
                <w:lang w:val="fr-FR"/>
              </w:rPr>
              <w:t>4</w:t>
            </w:r>
            <w:r w:rsidRPr="002911A8">
              <w:rPr>
                <w:rFonts w:ascii="Times New Roman" w:hAnsi="Times New Roman"/>
                <w:sz w:val="18"/>
                <w:lang w:val="fr-FR"/>
              </w:rPr>
              <w:t xml:space="preserve"> </w:t>
            </w:r>
            <w:r w:rsidR="000B562B" w:rsidRPr="002911A8">
              <w:rPr>
                <w:rFonts w:ascii="Times New Roman" w:hAnsi="Times New Roman"/>
                <w:sz w:val="18"/>
                <w:lang w:val="fr-FR"/>
              </w:rPr>
              <w:t xml:space="preserve">%, </w:t>
            </w:r>
            <w:r w:rsidR="00161227" w:rsidRPr="002911A8">
              <w:rPr>
                <w:rFonts w:ascii="Times New Roman" w:hAnsi="Times New Roman"/>
                <w:sz w:val="18"/>
                <w:lang w:val="fr-FR"/>
              </w:rPr>
              <w:t>a</w:t>
            </w:r>
            <w:r w:rsidRPr="002911A8">
              <w:rPr>
                <w:rFonts w:ascii="Times New Roman" w:hAnsi="Times New Roman"/>
                <w:sz w:val="18"/>
                <w:lang w:val="fr-FR"/>
              </w:rPr>
              <w:t>utres</w:t>
            </w:r>
            <w:r w:rsidR="000B562B" w:rsidRPr="002911A8">
              <w:rPr>
                <w:rFonts w:ascii="Times New Roman" w:hAnsi="Times New Roman"/>
                <w:sz w:val="18"/>
                <w:lang w:val="fr-FR"/>
              </w:rPr>
              <w:t xml:space="preserve"> 0</w:t>
            </w:r>
            <w:r w:rsidRPr="002911A8">
              <w:rPr>
                <w:rFonts w:ascii="Times New Roman" w:hAnsi="Times New Roman"/>
                <w:sz w:val="18"/>
                <w:lang w:val="fr-FR"/>
              </w:rPr>
              <w:t>,</w:t>
            </w:r>
            <w:r w:rsidR="000B562B" w:rsidRPr="002911A8">
              <w:rPr>
                <w:rFonts w:ascii="Times New Roman" w:hAnsi="Times New Roman"/>
                <w:sz w:val="18"/>
                <w:lang w:val="fr-FR"/>
              </w:rPr>
              <w:t>4</w:t>
            </w:r>
            <w:r w:rsidRPr="002911A8">
              <w:rPr>
                <w:rFonts w:ascii="Times New Roman" w:hAnsi="Times New Roman"/>
                <w:sz w:val="18"/>
                <w:lang w:val="fr-FR"/>
              </w:rPr>
              <w:t xml:space="preserve"> </w:t>
            </w:r>
            <w:r w:rsidR="000B562B" w:rsidRPr="002911A8">
              <w:rPr>
                <w:rFonts w:ascii="Times New Roman" w:hAnsi="Times New Roman"/>
                <w:sz w:val="18"/>
                <w:lang w:val="fr-FR"/>
              </w:rPr>
              <w:t>% (</w:t>
            </w:r>
            <w:r w:rsidRPr="002911A8">
              <w:rPr>
                <w:rFonts w:ascii="Times New Roman" w:hAnsi="Times New Roman"/>
                <w:sz w:val="18"/>
                <w:lang w:val="fr-FR"/>
              </w:rPr>
              <w:t>av</w:t>
            </w:r>
            <w:r w:rsidR="000B562B" w:rsidRPr="002911A8">
              <w:rPr>
                <w:rFonts w:ascii="Times New Roman" w:hAnsi="Times New Roman"/>
                <w:sz w:val="18"/>
                <w:lang w:val="fr-FR"/>
              </w:rPr>
              <w:t>ril 2001)</w:t>
            </w:r>
          </w:p>
        </w:tc>
      </w:tr>
      <w:tr w:rsidR="000B562B" w:rsidRPr="002911A8" w:rsidTr="00066B85">
        <w:tblPrEx>
          <w:tblCellMar>
            <w:top w:w="0" w:type="dxa"/>
            <w:bottom w:w="0" w:type="dxa"/>
          </w:tblCellMar>
        </w:tblPrEx>
        <w:trPr>
          <w:cantSplit/>
          <w:trHeight w:val="240"/>
        </w:trPr>
        <w:tc>
          <w:tcPr>
            <w:tcW w:w="3708" w:type="dxa"/>
            <w:shd w:val="clear" w:color="auto" w:fill="auto"/>
          </w:tcPr>
          <w:p w:rsidR="00826B52" w:rsidRPr="002911A8" w:rsidRDefault="00826B52" w:rsidP="00826B52">
            <w:pPr>
              <w:pStyle w:val="Text"/>
              <w:spacing w:before="40" w:after="40" w:line="220" w:lineRule="exact"/>
              <w:rPr>
                <w:rFonts w:ascii="Times New Roman" w:hAnsi="Times New Roman"/>
                <w:sz w:val="18"/>
                <w:lang w:val="fr-FR"/>
              </w:rPr>
            </w:pPr>
            <w:r w:rsidRPr="002911A8">
              <w:rPr>
                <w:rFonts w:ascii="Times New Roman" w:hAnsi="Times New Roman"/>
                <w:sz w:val="18"/>
                <w:lang w:val="fr-FR"/>
              </w:rPr>
              <w:t>Pourcentage de la population âgée de moins</w:t>
            </w:r>
          </w:p>
          <w:p w:rsidR="000B562B" w:rsidRPr="002911A8" w:rsidRDefault="00826B52" w:rsidP="00826B52">
            <w:pPr>
              <w:pStyle w:val="Text"/>
              <w:spacing w:before="40" w:after="40" w:line="220" w:lineRule="exact"/>
              <w:rPr>
                <w:rFonts w:ascii="Times New Roman" w:hAnsi="Times New Roman"/>
                <w:sz w:val="18"/>
                <w:lang w:val="fr-FR"/>
              </w:rPr>
            </w:pPr>
            <w:r w:rsidRPr="002911A8">
              <w:rPr>
                <w:rFonts w:ascii="Times New Roman" w:hAnsi="Times New Roman"/>
                <w:sz w:val="18"/>
                <w:lang w:val="fr-FR"/>
              </w:rPr>
              <w:t xml:space="preserve">de </w:t>
            </w:r>
            <w:r w:rsidR="000B562B" w:rsidRPr="002911A8">
              <w:rPr>
                <w:rFonts w:ascii="Times New Roman" w:hAnsi="Times New Roman"/>
                <w:sz w:val="18"/>
                <w:lang w:val="fr-FR"/>
              </w:rPr>
              <w:t>16</w:t>
            </w:r>
            <w:r w:rsidRPr="002911A8">
              <w:rPr>
                <w:rFonts w:ascii="Times New Roman" w:hAnsi="Times New Roman"/>
                <w:sz w:val="18"/>
                <w:lang w:val="fr-FR"/>
              </w:rPr>
              <w:t xml:space="preserve"> ans</w:t>
            </w:r>
            <w:r w:rsidR="000B562B" w:rsidRPr="002911A8">
              <w:rPr>
                <w:rStyle w:val="FootnoteReference"/>
                <w:szCs w:val="22"/>
              </w:rPr>
              <w:footnoteReference w:id="79"/>
            </w:r>
          </w:p>
        </w:tc>
        <w:tc>
          <w:tcPr>
            <w:tcW w:w="3662" w:type="dxa"/>
            <w:shd w:val="clear" w:color="auto" w:fill="auto"/>
            <w:vAlign w:val="bottom"/>
          </w:tcPr>
          <w:p w:rsidR="000B562B" w:rsidRPr="002911A8" w:rsidRDefault="000B562B" w:rsidP="000F0266">
            <w:pPr>
              <w:pStyle w:val="Text"/>
              <w:spacing w:before="40" w:after="40" w:line="220" w:lineRule="exact"/>
              <w:ind w:left="113"/>
              <w:jc w:val="right"/>
              <w:rPr>
                <w:rFonts w:ascii="Times New Roman" w:hAnsi="Times New Roman"/>
                <w:sz w:val="18"/>
                <w:lang w:val="fr-FR"/>
              </w:rPr>
            </w:pPr>
            <w:r w:rsidRPr="002911A8">
              <w:rPr>
                <w:rFonts w:ascii="Times New Roman" w:hAnsi="Times New Roman"/>
                <w:sz w:val="18"/>
                <w:lang w:val="fr-FR"/>
              </w:rPr>
              <w:t>19</w:t>
            </w:r>
            <w:r w:rsidR="00857CE7" w:rsidRPr="002911A8">
              <w:rPr>
                <w:rFonts w:ascii="Times New Roman" w:hAnsi="Times New Roman"/>
                <w:sz w:val="18"/>
                <w:lang w:val="fr-FR"/>
              </w:rPr>
              <w:t xml:space="preserve"> </w:t>
            </w:r>
            <w:r w:rsidRPr="002911A8">
              <w:rPr>
                <w:rFonts w:ascii="Times New Roman" w:hAnsi="Times New Roman"/>
                <w:sz w:val="18"/>
                <w:lang w:val="fr-FR"/>
              </w:rPr>
              <w:t>%</w:t>
            </w:r>
          </w:p>
        </w:tc>
      </w:tr>
      <w:tr w:rsidR="000B562B" w:rsidRPr="002911A8" w:rsidTr="00066B85">
        <w:tblPrEx>
          <w:tblCellMar>
            <w:top w:w="0" w:type="dxa"/>
            <w:bottom w:w="0" w:type="dxa"/>
          </w:tblCellMar>
        </w:tblPrEx>
        <w:trPr>
          <w:cantSplit/>
          <w:trHeight w:val="240"/>
        </w:trPr>
        <w:tc>
          <w:tcPr>
            <w:tcW w:w="3708" w:type="dxa"/>
            <w:shd w:val="clear" w:color="auto" w:fill="auto"/>
          </w:tcPr>
          <w:p w:rsidR="00826B52" w:rsidRPr="002911A8" w:rsidRDefault="00826B52" w:rsidP="00826B52">
            <w:pPr>
              <w:pStyle w:val="Text"/>
              <w:spacing w:before="40" w:after="40" w:line="220" w:lineRule="exact"/>
              <w:rPr>
                <w:rFonts w:ascii="Times New Roman" w:hAnsi="Times New Roman"/>
                <w:sz w:val="18"/>
                <w:lang w:val="fr-FR"/>
              </w:rPr>
            </w:pPr>
            <w:r w:rsidRPr="002911A8">
              <w:rPr>
                <w:rFonts w:ascii="Times New Roman" w:hAnsi="Times New Roman"/>
                <w:sz w:val="18"/>
                <w:lang w:val="fr-FR"/>
              </w:rPr>
              <w:t>Pourcentage de la population âgée de plus</w:t>
            </w:r>
          </w:p>
          <w:p w:rsidR="000B562B" w:rsidRPr="002911A8" w:rsidRDefault="00826B52" w:rsidP="00826B52">
            <w:pPr>
              <w:pStyle w:val="Text"/>
              <w:spacing w:before="40" w:after="40" w:line="220" w:lineRule="exact"/>
              <w:rPr>
                <w:rFonts w:ascii="Times New Roman" w:hAnsi="Times New Roman"/>
                <w:sz w:val="18"/>
                <w:lang w:val="fr-FR"/>
              </w:rPr>
            </w:pPr>
            <w:r w:rsidRPr="002911A8">
              <w:rPr>
                <w:rFonts w:ascii="Times New Roman" w:hAnsi="Times New Roman"/>
                <w:sz w:val="18"/>
                <w:lang w:val="fr-FR"/>
              </w:rPr>
              <w:t xml:space="preserve">de </w:t>
            </w:r>
            <w:r w:rsidR="000B562B" w:rsidRPr="002911A8">
              <w:rPr>
                <w:rFonts w:ascii="Times New Roman" w:hAnsi="Times New Roman"/>
                <w:sz w:val="18"/>
                <w:lang w:val="fr-FR"/>
              </w:rPr>
              <w:t>65</w:t>
            </w:r>
            <w:r w:rsidRPr="002911A8">
              <w:rPr>
                <w:rFonts w:ascii="Times New Roman" w:hAnsi="Times New Roman"/>
                <w:sz w:val="18"/>
                <w:lang w:val="fr-FR"/>
              </w:rPr>
              <w:t xml:space="preserve"> ans</w:t>
            </w:r>
            <w:r w:rsidR="000B562B" w:rsidRPr="002911A8">
              <w:rPr>
                <w:rStyle w:val="FootnoteReference"/>
                <w:szCs w:val="22"/>
              </w:rPr>
              <w:footnoteReference w:id="80"/>
            </w:r>
          </w:p>
        </w:tc>
        <w:tc>
          <w:tcPr>
            <w:tcW w:w="3662" w:type="dxa"/>
            <w:shd w:val="clear" w:color="auto" w:fill="auto"/>
            <w:vAlign w:val="bottom"/>
          </w:tcPr>
          <w:p w:rsidR="000B562B" w:rsidRPr="002911A8" w:rsidRDefault="000B562B" w:rsidP="00857CE7">
            <w:pPr>
              <w:pStyle w:val="Text"/>
              <w:spacing w:before="40" w:after="40" w:line="220" w:lineRule="exact"/>
              <w:ind w:left="113"/>
              <w:jc w:val="right"/>
              <w:rPr>
                <w:rFonts w:ascii="Times New Roman" w:hAnsi="Times New Roman"/>
                <w:sz w:val="18"/>
                <w:lang w:val="fr-FR"/>
              </w:rPr>
            </w:pPr>
            <w:r w:rsidRPr="002911A8">
              <w:rPr>
                <w:rFonts w:ascii="Times New Roman" w:hAnsi="Times New Roman"/>
                <w:sz w:val="18"/>
                <w:lang w:val="fr-FR"/>
              </w:rPr>
              <w:t>16</w:t>
            </w:r>
            <w:r w:rsidR="00857CE7" w:rsidRPr="002911A8">
              <w:rPr>
                <w:rFonts w:ascii="Times New Roman" w:hAnsi="Times New Roman"/>
                <w:sz w:val="18"/>
                <w:lang w:val="fr-FR"/>
              </w:rPr>
              <w:t xml:space="preserve"> </w:t>
            </w:r>
            <w:r w:rsidRPr="002911A8">
              <w:rPr>
                <w:rFonts w:ascii="Times New Roman" w:hAnsi="Times New Roman"/>
                <w:sz w:val="18"/>
                <w:lang w:val="fr-FR"/>
              </w:rPr>
              <w:t xml:space="preserve">% (65 </w:t>
            </w:r>
            <w:r w:rsidR="00857CE7" w:rsidRPr="002911A8">
              <w:rPr>
                <w:rFonts w:ascii="Times New Roman" w:hAnsi="Times New Roman"/>
                <w:sz w:val="18"/>
                <w:lang w:val="fr-FR"/>
              </w:rPr>
              <w:t>ans et plus</w:t>
            </w:r>
            <w:r w:rsidRPr="002911A8">
              <w:rPr>
                <w:rFonts w:ascii="Times New Roman" w:hAnsi="Times New Roman"/>
                <w:sz w:val="18"/>
                <w:lang w:val="fr-FR"/>
              </w:rPr>
              <w:t>)</w:t>
            </w:r>
          </w:p>
        </w:tc>
      </w:tr>
      <w:tr w:rsidR="000B562B" w:rsidRPr="002911A8" w:rsidTr="00066B85">
        <w:tblPrEx>
          <w:tblCellMar>
            <w:top w:w="0" w:type="dxa"/>
            <w:bottom w:w="0" w:type="dxa"/>
          </w:tblCellMar>
        </w:tblPrEx>
        <w:trPr>
          <w:cantSplit/>
          <w:trHeight w:val="240"/>
        </w:trPr>
        <w:tc>
          <w:tcPr>
            <w:tcW w:w="3708" w:type="dxa"/>
            <w:shd w:val="clear" w:color="auto" w:fill="auto"/>
          </w:tcPr>
          <w:p w:rsidR="00826B52" w:rsidRPr="002911A8" w:rsidRDefault="00826B52" w:rsidP="00826B52">
            <w:pPr>
              <w:pStyle w:val="Text"/>
              <w:spacing w:before="40" w:after="40" w:line="220" w:lineRule="exact"/>
              <w:rPr>
                <w:rFonts w:ascii="Times New Roman" w:hAnsi="Times New Roman"/>
                <w:sz w:val="18"/>
                <w:lang w:val="fr-FR"/>
              </w:rPr>
            </w:pPr>
            <w:r w:rsidRPr="002911A8">
              <w:rPr>
                <w:rFonts w:ascii="Times New Roman" w:hAnsi="Times New Roman"/>
                <w:sz w:val="18"/>
                <w:lang w:val="fr-FR"/>
              </w:rPr>
              <w:t>Pourcentage de la</w:t>
            </w:r>
            <w:r w:rsidR="000B562B" w:rsidRPr="002911A8">
              <w:rPr>
                <w:rFonts w:ascii="Times New Roman" w:hAnsi="Times New Roman"/>
                <w:sz w:val="18"/>
                <w:lang w:val="fr-FR"/>
              </w:rPr>
              <w:t xml:space="preserve"> population </w:t>
            </w:r>
            <w:r w:rsidRPr="002911A8">
              <w:rPr>
                <w:rFonts w:ascii="Times New Roman" w:hAnsi="Times New Roman"/>
                <w:sz w:val="18"/>
                <w:lang w:val="fr-FR"/>
              </w:rPr>
              <w:t xml:space="preserve">vivant </w:t>
            </w:r>
          </w:p>
          <w:p w:rsidR="000B562B" w:rsidRPr="002911A8" w:rsidRDefault="00826B52" w:rsidP="00826B52">
            <w:pPr>
              <w:pStyle w:val="Text"/>
              <w:spacing w:before="40" w:after="40" w:line="220" w:lineRule="exact"/>
              <w:rPr>
                <w:rFonts w:ascii="Times New Roman" w:hAnsi="Times New Roman"/>
                <w:sz w:val="18"/>
                <w:lang w:val="fr-FR"/>
              </w:rPr>
            </w:pPr>
            <w:r w:rsidRPr="002911A8">
              <w:rPr>
                <w:rFonts w:ascii="Times New Roman" w:hAnsi="Times New Roman"/>
                <w:sz w:val="18"/>
                <w:lang w:val="fr-FR"/>
              </w:rPr>
              <w:t>en zone urbaine</w:t>
            </w:r>
            <w:r w:rsidR="000B562B" w:rsidRPr="002911A8">
              <w:rPr>
                <w:rStyle w:val="FootnoteReference"/>
                <w:szCs w:val="22"/>
              </w:rPr>
              <w:footnoteReference w:id="81"/>
            </w:r>
          </w:p>
        </w:tc>
        <w:tc>
          <w:tcPr>
            <w:tcW w:w="3662" w:type="dxa"/>
            <w:shd w:val="clear" w:color="auto" w:fill="auto"/>
            <w:vAlign w:val="bottom"/>
          </w:tcPr>
          <w:p w:rsidR="000B562B" w:rsidRPr="002911A8" w:rsidRDefault="000B562B" w:rsidP="00857CE7">
            <w:pPr>
              <w:pStyle w:val="Text"/>
              <w:spacing w:before="40" w:after="40" w:line="220" w:lineRule="exact"/>
              <w:ind w:left="113"/>
              <w:jc w:val="right"/>
              <w:rPr>
                <w:rFonts w:ascii="Times New Roman" w:hAnsi="Times New Roman"/>
                <w:sz w:val="18"/>
                <w:lang w:val="fr-FR"/>
              </w:rPr>
            </w:pPr>
            <w:r w:rsidRPr="002911A8">
              <w:rPr>
                <w:rFonts w:ascii="Times New Roman" w:hAnsi="Times New Roman"/>
                <w:sz w:val="18"/>
                <w:lang w:val="fr-FR"/>
              </w:rPr>
              <w:t>79</w:t>
            </w:r>
            <w:r w:rsidR="00857CE7" w:rsidRPr="002911A8">
              <w:rPr>
                <w:rFonts w:ascii="Times New Roman" w:hAnsi="Times New Roman"/>
                <w:sz w:val="18"/>
                <w:lang w:val="fr-FR"/>
              </w:rPr>
              <w:t>,</w:t>
            </w:r>
            <w:r w:rsidRPr="002911A8">
              <w:rPr>
                <w:rFonts w:ascii="Times New Roman" w:hAnsi="Times New Roman"/>
                <w:sz w:val="18"/>
                <w:lang w:val="fr-FR"/>
              </w:rPr>
              <w:t>7</w:t>
            </w:r>
            <w:r w:rsidR="00857CE7" w:rsidRPr="002911A8">
              <w:rPr>
                <w:rFonts w:ascii="Times New Roman" w:hAnsi="Times New Roman"/>
                <w:sz w:val="18"/>
                <w:lang w:val="fr-FR"/>
              </w:rPr>
              <w:t xml:space="preserve"> </w:t>
            </w:r>
            <w:r w:rsidRPr="002911A8">
              <w:rPr>
                <w:rFonts w:ascii="Times New Roman" w:hAnsi="Times New Roman"/>
                <w:sz w:val="18"/>
                <w:lang w:val="fr-FR"/>
              </w:rPr>
              <w:t>% (</w:t>
            </w:r>
            <w:r w:rsidR="00857CE7" w:rsidRPr="002911A8">
              <w:rPr>
                <w:rFonts w:ascii="Times New Roman" w:hAnsi="Times New Roman"/>
                <w:sz w:val="18"/>
                <w:lang w:val="fr-FR"/>
              </w:rPr>
              <w:t>av</w:t>
            </w:r>
            <w:r w:rsidRPr="002911A8">
              <w:rPr>
                <w:rFonts w:ascii="Times New Roman" w:hAnsi="Times New Roman"/>
                <w:sz w:val="18"/>
                <w:lang w:val="fr-FR"/>
              </w:rPr>
              <w:t>ril 2001)</w:t>
            </w:r>
          </w:p>
        </w:tc>
      </w:tr>
      <w:tr w:rsidR="000B562B" w:rsidRPr="002911A8" w:rsidTr="00066B85">
        <w:tblPrEx>
          <w:tblCellMar>
            <w:top w:w="0" w:type="dxa"/>
            <w:bottom w:w="0" w:type="dxa"/>
          </w:tblCellMar>
        </w:tblPrEx>
        <w:trPr>
          <w:cantSplit/>
          <w:trHeight w:val="240"/>
        </w:trPr>
        <w:tc>
          <w:tcPr>
            <w:tcW w:w="3708" w:type="dxa"/>
            <w:shd w:val="clear" w:color="auto" w:fill="auto"/>
          </w:tcPr>
          <w:p w:rsidR="000B562B" w:rsidRPr="002911A8" w:rsidRDefault="000B562B" w:rsidP="000F0266">
            <w:pPr>
              <w:pStyle w:val="Text"/>
              <w:spacing w:before="40" w:after="40" w:line="220" w:lineRule="exact"/>
              <w:rPr>
                <w:rFonts w:ascii="Times New Roman" w:hAnsi="Times New Roman"/>
                <w:sz w:val="18"/>
                <w:lang w:val="fr-FR"/>
              </w:rPr>
            </w:pPr>
            <w:r w:rsidRPr="002911A8">
              <w:rPr>
                <w:rFonts w:ascii="Times New Roman" w:hAnsi="Times New Roman"/>
                <w:sz w:val="18"/>
                <w:lang w:val="fr-FR"/>
              </w:rPr>
              <w:t>Religion</w:t>
            </w:r>
            <w:r w:rsidRPr="002911A8">
              <w:rPr>
                <w:rStyle w:val="FootnoteReference"/>
                <w:szCs w:val="22"/>
              </w:rPr>
              <w:footnoteReference w:id="82"/>
            </w:r>
          </w:p>
        </w:tc>
        <w:tc>
          <w:tcPr>
            <w:tcW w:w="3662" w:type="dxa"/>
            <w:shd w:val="clear" w:color="auto" w:fill="auto"/>
            <w:vAlign w:val="bottom"/>
          </w:tcPr>
          <w:p w:rsidR="000B562B" w:rsidRPr="002911A8" w:rsidRDefault="00857CE7" w:rsidP="007E3CC8">
            <w:pPr>
              <w:pStyle w:val="Text"/>
              <w:spacing w:before="40" w:after="40" w:line="220" w:lineRule="exact"/>
              <w:ind w:left="113"/>
              <w:jc w:val="right"/>
              <w:rPr>
                <w:rFonts w:ascii="Times New Roman" w:hAnsi="Times New Roman"/>
                <w:sz w:val="18"/>
                <w:lang w:val="fr-FR"/>
              </w:rPr>
            </w:pPr>
            <w:r w:rsidRPr="002911A8">
              <w:rPr>
                <w:rFonts w:ascii="Times New Roman" w:hAnsi="Times New Roman"/>
                <w:sz w:val="18"/>
                <w:lang w:val="fr-FR"/>
              </w:rPr>
              <w:t>Chr</w:t>
            </w:r>
            <w:r w:rsidR="00826B52" w:rsidRPr="002911A8">
              <w:rPr>
                <w:rFonts w:ascii="Times New Roman" w:hAnsi="Times New Roman"/>
                <w:sz w:val="18"/>
                <w:lang w:val="fr-FR"/>
              </w:rPr>
              <w:t>étienne</w:t>
            </w:r>
            <w:r w:rsidRPr="002911A8">
              <w:rPr>
                <w:rFonts w:ascii="Times New Roman" w:hAnsi="Times New Roman"/>
                <w:sz w:val="18"/>
                <w:lang w:val="fr-FR"/>
              </w:rPr>
              <w:t xml:space="preserve"> </w:t>
            </w:r>
            <w:r w:rsidR="000B562B" w:rsidRPr="002911A8">
              <w:rPr>
                <w:rFonts w:ascii="Times New Roman" w:hAnsi="Times New Roman"/>
                <w:sz w:val="18"/>
                <w:lang w:val="fr-FR"/>
              </w:rPr>
              <w:t>71</w:t>
            </w:r>
            <w:r w:rsidRPr="002911A8">
              <w:rPr>
                <w:rFonts w:ascii="Times New Roman" w:hAnsi="Times New Roman"/>
                <w:sz w:val="18"/>
                <w:lang w:val="fr-FR"/>
              </w:rPr>
              <w:t>,</w:t>
            </w:r>
            <w:r w:rsidR="000B562B" w:rsidRPr="002911A8">
              <w:rPr>
                <w:rFonts w:ascii="Times New Roman" w:hAnsi="Times New Roman"/>
                <w:sz w:val="18"/>
                <w:lang w:val="fr-FR"/>
              </w:rPr>
              <w:t>8</w:t>
            </w:r>
            <w:r w:rsidRPr="002911A8">
              <w:rPr>
                <w:rFonts w:ascii="Times New Roman" w:hAnsi="Times New Roman"/>
                <w:sz w:val="18"/>
                <w:lang w:val="fr-FR"/>
              </w:rPr>
              <w:t xml:space="preserve"> </w:t>
            </w:r>
            <w:r w:rsidR="000B562B" w:rsidRPr="002911A8">
              <w:rPr>
                <w:rFonts w:ascii="Times New Roman" w:hAnsi="Times New Roman"/>
                <w:sz w:val="18"/>
                <w:lang w:val="fr-FR"/>
              </w:rPr>
              <w:t xml:space="preserve">%, </w:t>
            </w:r>
            <w:r w:rsidR="00826B52" w:rsidRPr="002911A8">
              <w:rPr>
                <w:rFonts w:ascii="Times New Roman" w:hAnsi="Times New Roman"/>
                <w:sz w:val="18"/>
                <w:lang w:val="fr-FR"/>
              </w:rPr>
              <w:t>a</w:t>
            </w:r>
            <w:r w:rsidRPr="002911A8">
              <w:rPr>
                <w:rFonts w:ascii="Times New Roman" w:hAnsi="Times New Roman"/>
                <w:sz w:val="18"/>
                <w:lang w:val="fr-FR"/>
              </w:rPr>
              <w:t>ucune</w:t>
            </w:r>
            <w:r w:rsidR="000B562B" w:rsidRPr="002911A8">
              <w:rPr>
                <w:rFonts w:ascii="Times New Roman" w:hAnsi="Times New Roman"/>
                <w:sz w:val="18"/>
                <w:lang w:val="fr-FR"/>
              </w:rPr>
              <w:t xml:space="preserve"> 15</w:t>
            </w:r>
            <w:r w:rsidRPr="002911A8">
              <w:rPr>
                <w:rFonts w:ascii="Times New Roman" w:hAnsi="Times New Roman"/>
                <w:sz w:val="18"/>
                <w:lang w:val="fr-FR"/>
              </w:rPr>
              <w:t>,</w:t>
            </w:r>
            <w:r w:rsidR="000B562B" w:rsidRPr="002911A8">
              <w:rPr>
                <w:rFonts w:ascii="Times New Roman" w:hAnsi="Times New Roman"/>
                <w:sz w:val="18"/>
                <w:lang w:val="fr-FR"/>
              </w:rPr>
              <w:t>1</w:t>
            </w:r>
            <w:r w:rsidRPr="002911A8">
              <w:rPr>
                <w:rFonts w:ascii="Times New Roman" w:hAnsi="Times New Roman"/>
                <w:sz w:val="18"/>
                <w:lang w:val="fr-FR"/>
              </w:rPr>
              <w:t xml:space="preserve"> </w:t>
            </w:r>
            <w:r w:rsidR="000B562B" w:rsidRPr="002911A8">
              <w:rPr>
                <w:rFonts w:ascii="Times New Roman" w:hAnsi="Times New Roman"/>
                <w:sz w:val="18"/>
                <w:lang w:val="fr-FR"/>
              </w:rPr>
              <w:t xml:space="preserve">%, </w:t>
            </w:r>
            <w:r w:rsidR="007E3CC8">
              <w:rPr>
                <w:rFonts w:ascii="Times New Roman" w:hAnsi="Times New Roman"/>
                <w:sz w:val="18"/>
                <w:lang w:val="fr-FR"/>
              </w:rPr>
              <w:br/>
            </w:r>
            <w:r w:rsidR="00826B52" w:rsidRPr="002911A8">
              <w:rPr>
                <w:rFonts w:ascii="Times New Roman" w:hAnsi="Times New Roman"/>
                <w:sz w:val="18"/>
                <w:lang w:val="fr-FR"/>
              </w:rPr>
              <w:t>non indiquée</w:t>
            </w:r>
            <w:r w:rsidR="000B562B" w:rsidRPr="002911A8">
              <w:rPr>
                <w:rFonts w:ascii="Times New Roman" w:hAnsi="Times New Roman"/>
                <w:sz w:val="18"/>
                <w:lang w:val="fr-FR"/>
              </w:rPr>
              <w:t xml:space="preserve"> 7</w:t>
            </w:r>
            <w:r w:rsidRPr="002911A8">
              <w:rPr>
                <w:rFonts w:ascii="Times New Roman" w:hAnsi="Times New Roman"/>
                <w:sz w:val="18"/>
                <w:lang w:val="fr-FR"/>
              </w:rPr>
              <w:t>,</w:t>
            </w:r>
            <w:r w:rsidR="000B562B" w:rsidRPr="002911A8">
              <w:rPr>
                <w:rFonts w:ascii="Times New Roman" w:hAnsi="Times New Roman"/>
                <w:sz w:val="18"/>
                <w:lang w:val="fr-FR"/>
              </w:rPr>
              <w:t>8</w:t>
            </w:r>
            <w:r w:rsidRPr="002911A8">
              <w:rPr>
                <w:rFonts w:ascii="Times New Roman" w:hAnsi="Times New Roman"/>
                <w:sz w:val="18"/>
                <w:lang w:val="fr-FR"/>
              </w:rPr>
              <w:t xml:space="preserve"> </w:t>
            </w:r>
            <w:r w:rsidR="000B562B" w:rsidRPr="002911A8">
              <w:rPr>
                <w:rFonts w:ascii="Times New Roman" w:hAnsi="Times New Roman"/>
                <w:sz w:val="18"/>
                <w:lang w:val="fr-FR"/>
              </w:rPr>
              <w:t xml:space="preserve">%, </w:t>
            </w:r>
            <w:r w:rsidR="00826B52" w:rsidRPr="002911A8">
              <w:rPr>
                <w:rFonts w:ascii="Times New Roman" w:hAnsi="Times New Roman"/>
                <w:sz w:val="18"/>
                <w:lang w:val="fr-FR"/>
              </w:rPr>
              <w:t>musulmane</w:t>
            </w:r>
            <w:r w:rsidR="000B562B" w:rsidRPr="002911A8">
              <w:rPr>
                <w:rFonts w:ascii="Times New Roman" w:hAnsi="Times New Roman"/>
                <w:sz w:val="18"/>
                <w:lang w:val="fr-FR"/>
              </w:rPr>
              <w:t xml:space="preserve"> 2</w:t>
            </w:r>
            <w:r w:rsidRPr="002911A8">
              <w:rPr>
                <w:rFonts w:ascii="Times New Roman" w:hAnsi="Times New Roman"/>
                <w:sz w:val="18"/>
                <w:lang w:val="fr-FR"/>
              </w:rPr>
              <w:t>,</w:t>
            </w:r>
            <w:r w:rsidR="000B562B" w:rsidRPr="002911A8">
              <w:rPr>
                <w:rFonts w:ascii="Times New Roman" w:hAnsi="Times New Roman"/>
                <w:sz w:val="18"/>
                <w:lang w:val="fr-FR"/>
              </w:rPr>
              <w:t>8</w:t>
            </w:r>
            <w:r w:rsidRPr="002911A8">
              <w:rPr>
                <w:rFonts w:ascii="Times New Roman" w:hAnsi="Times New Roman"/>
                <w:sz w:val="18"/>
                <w:lang w:val="fr-FR"/>
              </w:rPr>
              <w:t xml:space="preserve"> </w:t>
            </w:r>
            <w:r w:rsidR="000B562B" w:rsidRPr="002911A8">
              <w:rPr>
                <w:rFonts w:ascii="Times New Roman" w:hAnsi="Times New Roman"/>
                <w:sz w:val="18"/>
                <w:lang w:val="fr-FR"/>
              </w:rPr>
              <w:t xml:space="preserve">%, </w:t>
            </w:r>
            <w:r w:rsidR="007E3CC8">
              <w:rPr>
                <w:rFonts w:ascii="Times New Roman" w:hAnsi="Times New Roman"/>
                <w:sz w:val="18"/>
                <w:lang w:val="fr-FR"/>
              </w:rPr>
              <w:br/>
            </w:r>
            <w:r w:rsidR="00826B52" w:rsidRPr="002911A8">
              <w:rPr>
                <w:rFonts w:ascii="Times New Roman" w:hAnsi="Times New Roman"/>
                <w:sz w:val="18"/>
                <w:lang w:val="fr-FR"/>
              </w:rPr>
              <w:t>hindoue</w:t>
            </w:r>
            <w:r w:rsidR="000B562B" w:rsidRPr="002911A8">
              <w:rPr>
                <w:rFonts w:ascii="Times New Roman" w:hAnsi="Times New Roman"/>
                <w:sz w:val="18"/>
                <w:lang w:val="fr-FR"/>
              </w:rPr>
              <w:t xml:space="preserve"> 1</w:t>
            </w:r>
            <w:r w:rsidRPr="002911A8">
              <w:rPr>
                <w:rFonts w:ascii="Times New Roman" w:hAnsi="Times New Roman"/>
                <w:sz w:val="18"/>
                <w:lang w:val="fr-FR"/>
              </w:rPr>
              <w:t>,</w:t>
            </w:r>
            <w:r w:rsidR="000B562B" w:rsidRPr="002911A8">
              <w:rPr>
                <w:rFonts w:ascii="Times New Roman" w:hAnsi="Times New Roman"/>
                <w:sz w:val="18"/>
                <w:lang w:val="fr-FR"/>
              </w:rPr>
              <w:t>0</w:t>
            </w:r>
            <w:r w:rsidRPr="002911A8">
              <w:rPr>
                <w:rFonts w:ascii="Times New Roman" w:hAnsi="Times New Roman"/>
                <w:sz w:val="18"/>
                <w:lang w:val="fr-FR"/>
              </w:rPr>
              <w:t xml:space="preserve"> </w:t>
            </w:r>
            <w:r w:rsidR="000B562B" w:rsidRPr="002911A8">
              <w:rPr>
                <w:rFonts w:ascii="Times New Roman" w:hAnsi="Times New Roman"/>
                <w:sz w:val="18"/>
                <w:lang w:val="fr-FR"/>
              </w:rPr>
              <w:t xml:space="preserve">%, </w:t>
            </w:r>
            <w:r w:rsidR="00826B52" w:rsidRPr="002911A8">
              <w:rPr>
                <w:rFonts w:ascii="Times New Roman" w:hAnsi="Times New Roman"/>
                <w:sz w:val="18"/>
                <w:lang w:val="fr-FR"/>
              </w:rPr>
              <w:t>sikh</w:t>
            </w:r>
            <w:r w:rsidR="000B562B" w:rsidRPr="002911A8">
              <w:rPr>
                <w:rFonts w:ascii="Times New Roman" w:hAnsi="Times New Roman"/>
                <w:sz w:val="18"/>
                <w:lang w:val="fr-FR"/>
              </w:rPr>
              <w:t xml:space="preserve"> 0</w:t>
            </w:r>
            <w:r w:rsidRPr="002911A8">
              <w:rPr>
                <w:rFonts w:ascii="Times New Roman" w:hAnsi="Times New Roman"/>
                <w:sz w:val="18"/>
                <w:lang w:val="fr-FR"/>
              </w:rPr>
              <w:t>,</w:t>
            </w:r>
            <w:r w:rsidR="000B562B" w:rsidRPr="002911A8">
              <w:rPr>
                <w:rFonts w:ascii="Times New Roman" w:hAnsi="Times New Roman"/>
                <w:sz w:val="18"/>
                <w:lang w:val="fr-FR"/>
              </w:rPr>
              <w:t>6</w:t>
            </w:r>
            <w:r w:rsidRPr="002911A8">
              <w:rPr>
                <w:rFonts w:ascii="Times New Roman" w:hAnsi="Times New Roman"/>
                <w:sz w:val="18"/>
                <w:lang w:val="fr-FR"/>
              </w:rPr>
              <w:t xml:space="preserve"> </w:t>
            </w:r>
            <w:r w:rsidR="000B562B" w:rsidRPr="002911A8">
              <w:rPr>
                <w:rFonts w:ascii="Times New Roman" w:hAnsi="Times New Roman"/>
                <w:sz w:val="18"/>
                <w:lang w:val="fr-FR"/>
              </w:rPr>
              <w:t xml:space="preserve">%, </w:t>
            </w:r>
            <w:r w:rsidR="007E3CC8">
              <w:rPr>
                <w:rFonts w:ascii="Times New Roman" w:hAnsi="Times New Roman"/>
                <w:sz w:val="18"/>
                <w:lang w:val="fr-FR"/>
              </w:rPr>
              <w:br/>
            </w:r>
            <w:r w:rsidR="00826B52" w:rsidRPr="002911A8">
              <w:rPr>
                <w:rFonts w:ascii="Times New Roman" w:hAnsi="Times New Roman"/>
                <w:sz w:val="18"/>
                <w:lang w:val="fr-FR"/>
              </w:rPr>
              <w:t>juive</w:t>
            </w:r>
            <w:r w:rsidR="000B562B" w:rsidRPr="002911A8">
              <w:rPr>
                <w:rFonts w:ascii="Times New Roman" w:hAnsi="Times New Roman"/>
                <w:sz w:val="18"/>
                <w:lang w:val="fr-FR"/>
              </w:rPr>
              <w:t xml:space="preserve"> 0</w:t>
            </w:r>
            <w:r w:rsidRPr="002911A8">
              <w:rPr>
                <w:rFonts w:ascii="Times New Roman" w:hAnsi="Times New Roman"/>
                <w:sz w:val="18"/>
                <w:lang w:val="fr-FR"/>
              </w:rPr>
              <w:t>,</w:t>
            </w:r>
            <w:r w:rsidR="000B562B" w:rsidRPr="002911A8">
              <w:rPr>
                <w:rFonts w:ascii="Times New Roman" w:hAnsi="Times New Roman"/>
                <w:sz w:val="18"/>
                <w:lang w:val="fr-FR"/>
              </w:rPr>
              <w:t>5</w:t>
            </w:r>
            <w:r w:rsidRPr="002911A8">
              <w:rPr>
                <w:rFonts w:ascii="Times New Roman" w:hAnsi="Times New Roman"/>
                <w:sz w:val="18"/>
                <w:lang w:val="fr-FR"/>
              </w:rPr>
              <w:t xml:space="preserve"> </w:t>
            </w:r>
            <w:r w:rsidR="000B562B" w:rsidRPr="002911A8">
              <w:rPr>
                <w:rFonts w:ascii="Times New Roman" w:hAnsi="Times New Roman"/>
                <w:sz w:val="18"/>
                <w:lang w:val="fr-FR"/>
              </w:rPr>
              <w:t xml:space="preserve">%, </w:t>
            </w:r>
            <w:r w:rsidR="00826B52" w:rsidRPr="002911A8">
              <w:rPr>
                <w:rFonts w:ascii="Times New Roman" w:hAnsi="Times New Roman"/>
                <w:sz w:val="18"/>
                <w:lang w:val="fr-FR"/>
              </w:rPr>
              <w:t>bouddhiste</w:t>
            </w:r>
            <w:r w:rsidR="000B562B" w:rsidRPr="002911A8">
              <w:rPr>
                <w:rFonts w:ascii="Times New Roman" w:hAnsi="Times New Roman"/>
                <w:sz w:val="18"/>
                <w:lang w:val="fr-FR"/>
              </w:rPr>
              <w:t xml:space="preserve"> 0</w:t>
            </w:r>
            <w:r w:rsidRPr="002911A8">
              <w:rPr>
                <w:rFonts w:ascii="Times New Roman" w:hAnsi="Times New Roman"/>
                <w:sz w:val="18"/>
                <w:lang w:val="fr-FR"/>
              </w:rPr>
              <w:t>,</w:t>
            </w:r>
            <w:r w:rsidR="000B562B" w:rsidRPr="002911A8">
              <w:rPr>
                <w:rFonts w:ascii="Times New Roman" w:hAnsi="Times New Roman"/>
                <w:sz w:val="18"/>
                <w:lang w:val="fr-FR"/>
              </w:rPr>
              <w:t>3</w:t>
            </w:r>
            <w:r w:rsidRPr="002911A8">
              <w:rPr>
                <w:rFonts w:ascii="Times New Roman" w:hAnsi="Times New Roman"/>
                <w:sz w:val="18"/>
                <w:lang w:val="fr-FR"/>
              </w:rPr>
              <w:t xml:space="preserve"> </w:t>
            </w:r>
            <w:r w:rsidR="000B562B" w:rsidRPr="002911A8">
              <w:rPr>
                <w:rFonts w:ascii="Times New Roman" w:hAnsi="Times New Roman"/>
                <w:sz w:val="18"/>
                <w:lang w:val="fr-FR"/>
              </w:rPr>
              <w:t xml:space="preserve">%, </w:t>
            </w:r>
            <w:r w:rsidR="007E3CC8">
              <w:rPr>
                <w:rFonts w:ascii="Times New Roman" w:hAnsi="Times New Roman"/>
                <w:sz w:val="18"/>
                <w:lang w:val="fr-FR"/>
              </w:rPr>
              <w:br/>
            </w:r>
            <w:r w:rsidR="00826B52" w:rsidRPr="002911A8">
              <w:rPr>
                <w:rFonts w:ascii="Times New Roman" w:hAnsi="Times New Roman"/>
                <w:sz w:val="18"/>
                <w:lang w:val="fr-FR"/>
              </w:rPr>
              <w:t>a</w:t>
            </w:r>
            <w:r w:rsidRPr="002911A8">
              <w:rPr>
                <w:rFonts w:ascii="Times New Roman" w:hAnsi="Times New Roman"/>
                <w:sz w:val="18"/>
                <w:lang w:val="fr-FR"/>
              </w:rPr>
              <w:t>utres</w:t>
            </w:r>
            <w:r w:rsidR="000B562B" w:rsidRPr="002911A8">
              <w:rPr>
                <w:rFonts w:ascii="Times New Roman" w:hAnsi="Times New Roman"/>
                <w:sz w:val="18"/>
                <w:lang w:val="fr-FR"/>
              </w:rPr>
              <w:t xml:space="preserve"> 0</w:t>
            </w:r>
            <w:r w:rsidRPr="002911A8">
              <w:rPr>
                <w:rFonts w:ascii="Times New Roman" w:hAnsi="Times New Roman"/>
                <w:sz w:val="18"/>
                <w:lang w:val="fr-FR"/>
              </w:rPr>
              <w:t>,</w:t>
            </w:r>
            <w:r w:rsidR="000B562B" w:rsidRPr="002911A8">
              <w:rPr>
                <w:rFonts w:ascii="Times New Roman" w:hAnsi="Times New Roman"/>
                <w:sz w:val="18"/>
                <w:lang w:val="fr-FR"/>
              </w:rPr>
              <w:t>3</w:t>
            </w:r>
            <w:r w:rsidR="00826B52" w:rsidRPr="002911A8">
              <w:rPr>
                <w:rFonts w:ascii="Times New Roman" w:hAnsi="Times New Roman"/>
                <w:sz w:val="18"/>
                <w:lang w:val="fr-FR"/>
              </w:rPr>
              <w:t> </w:t>
            </w:r>
            <w:r w:rsidR="000B562B" w:rsidRPr="002911A8">
              <w:rPr>
                <w:rFonts w:ascii="Times New Roman" w:hAnsi="Times New Roman"/>
                <w:sz w:val="18"/>
                <w:lang w:val="fr-FR"/>
              </w:rPr>
              <w:t>% (</w:t>
            </w:r>
            <w:r w:rsidRPr="002911A8">
              <w:rPr>
                <w:rFonts w:ascii="Times New Roman" w:hAnsi="Times New Roman"/>
                <w:sz w:val="18"/>
                <w:lang w:val="fr-FR"/>
              </w:rPr>
              <w:t>av</w:t>
            </w:r>
            <w:r w:rsidR="000B562B" w:rsidRPr="002911A8">
              <w:rPr>
                <w:rFonts w:ascii="Times New Roman" w:hAnsi="Times New Roman"/>
                <w:sz w:val="18"/>
                <w:lang w:val="fr-FR"/>
              </w:rPr>
              <w:t>ril 2001)</w:t>
            </w:r>
          </w:p>
        </w:tc>
      </w:tr>
      <w:tr w:rsidR="00066B85" w:rsidRPr="002359FC" w:rsidTr="00066B85">
        <w:tblPrEx>
          <w:tblCellMar>
            <w:top w:w="0" w:type="dxa"/>
            <w:bottom w:w="0" w:type="dxa"/>
          </w:tblCellMar>
        </w:tblPrEx>
        <w:trPr>
          <w:cantSplit/>
          <w:trHeight w:val="240"/>
        </w:trPr>
        <w:tc>
          <w:tcPr>
            <w:tcW w:w="3708" w:type="dxa"/>
            <w:shd w:val="clear" w:color="auto" w:fill="auto"/>
          </w:tcPr>
          <w:p w:rsidR="00066B85" w:rsidRPr="002911A8" w:rsidRDefault="0058035F" w:rsidP="0058035F">
            <w:pPr>
              <w:pStyle w:val="Text"/>
              <w:spacing w:before="40" w:after="40" w:line="220" w:lineRule="exact"/>
              <w:rPr>
                <w:rFonts w:ascii="Times New Roman" w:hAnsi="Times New Roman"/>
                <w:sz w:val="18"/>
                <w:lang w:val="fr-FR"/>
              </w:rPr>
            </w:pPr>
            <w:r w:rsidRPr="002911A8">
              <w:rPr>
                <w:rFonts w:ascii="Times New Roman" w:hAnsi="Times New Roman"/>
                <w:sz w:val="18"/>
                <w:lang w:val="fr-FR"/>
              </w:rPr>
              <w:t>Taux de mortalité infantile</w:t>
            </w:r>
            <w:r w:rsidR="00066B85" w:rsidRPr="002911A8">
              <w:rPr>
                <w:rStyle w:val="FootnoteReference"/>
              </w:rPr>
              <w:footnoteReference w:id="83"/>
            </w:r>
            <w:r w:rsidR="00066B85" w:rsidRPr="002911A8">
              <w:rPr>
                <w:rFonts w:ascii="Times New Roman" w:hAnsi="Times New Roman"/>
                <w:sz w:val="18"/>
                <w:vertAlign w:val="superscript"/>
                <w:lang w:val="fr-FR"/>
              </w:rPr>
              <w:t xml:space="preserve"> </w:t>
            </w:r>
            <w:r w:rsidR="00066B85" w:rsidRPr="002911A8">
              <w:rPr>
                <w:rFonts w:ascii="Times New Roman" w:hAnsi="Times New Roman"/>
                <w:sz w:val="18"/>
                <w:lang w:val="fr-FR"/>
              </w:rPr>
              <w:t xml:space="preserve">– </w:t>
            </w:r>
            <w:r w:rsidRPr="002911A8">
              <w:rPr>
                <w:rFonts w:ascii="Times New Roman" w:hAnsi="Times New Roman"/>
                <w:sz w:val="18"/>
                <w:lang w:val="fr-FR"/>
              </w:rPr>
              <w:t>nombre de décès d’enfants âgés de moins de 1 an pour 1 000 naissances vivantes</w:t>
            </w:r>
          </w:p>
        </w:tc>
        <w:tc>
          <w:tcPr>
            <w:tcW w:w="3662" w:type="dxa"/>
            <w:shd w:val="clear" w:color="auto" w:fill="auto"/>
            <w:vAlign w:val="bottom"/>
          </w:tcPr>
          <w:p w:rsidR="00066B85" w:rsidRPr="002911A8" w:rsidRDefault="00066B85" w:rsidP="0058035F">
            <w:pPr>
              <w:pStyle w:val="Text"/>
              <w:spacing w:before="40" w:after="40" w:line="220" w:lineRule="exact"/>
              <w:ind w:left="113"/>
              <w:jc w:val="right"/>
              <w:rPr>
                <w:rFonts w:ascii="Times New Roman" w:hAnsi="Times New Roman"/>
                <w:sz w:val="18"/>
                <w:lang w:val="fr-FR"/>
              </w:rPr>
            </w:pPr>
            <w:r w:rsidRPr="002911A8">
              <w:rPr>
                <w:rFonts w:ascii="Times New Roman" w:hAnsi="Times New Roman"/>
                <w:sz w:val="18"/>
                <w:lang w:val="fr-FR"/>
              </w:rPr>
              <w:t>4</w:t>
            </w:r>
            <w:r w:rsidR="0058035F" w:rsidRPr="002911A8">
              <w:rPr>
                <w:rFonts w:ascii="Times New Roman" w:hAnsi="Times New Roman"/>
                <w:sz w:val="18"/>
                <w:lang w:val="fr-FR"/>
              </w:rPr>
              <w:t>,</w:t>
            </w:r>
            <w:r w:rsidRPr="002911A8">
              <w:rPr>
                <w:rFonts w:ascii="Times New Roman" w:hAnsi="Times New Roman"/>
                <w:sz w:val="18"/>
                <w:lang w:val="fr-FR"/>
              </w:rPr>
              <w:t>7 (</w:t>
            </w:r>
            <w:r w:rsidR="0058035F" w:rsidRPr="002911A8">
              <w:rPr>
                <w:rFonts w:ascii="Times New Roman" w:hAnsi="Times New Roman"/>
                <w:sz w:val="18"/>
                <w:lang w:val="fr-FR"/>
              </w:rPr>
              <w:t xml:space="preserve">chiffre de </w:t>
            </w:r>
            <w:r w:rsidRPr="002911A8">
              <w:rPr>
                <w:rFonts w:ascii="Times New Roman" w:hAnsi="Times New Roman"/>
                <w:sz w:val="18"/>
                <w:lang w:val="fr-FR"/>
              </w:rPr>
              <w:t>2008</w:t>
            </w:r>
            <w:r w:rsidR="0058035F" w:rsidRPr="002911A8">
              <w:rPr>
                <w:rFonts w:ascii="Times New Roman" w:hAnsi="Times New Roman"/>
                <w:sz w:val="18"/>
                <w:lang w:val="fr-FR"/>
              </w:rPr>
              <w:t xml:space="preserve"> pour le Royaume-Uni</w:t>
            </w:r>
            <w:r w:rsidRPr="002911A8">
              <w:rPr>
                <w:rFonts w:ascii="Times New Roman" w:hAnsi="Times New Roman"/>
                <w:sz w:val="18"/>
                <w:lang w:val="fr-FR"/>
              </w:rPr>
              <w:t>)</w:t>
            </w:r>
          </w:p>
        </w:tc>
      </w:tr>
      <w:tr w:rsidR="000B562B" w:rsidRPr="00A176EA" w:rsidTr="00066B85">
        <w:tblPrEx>
          <w:tblCellMar>
            <w:top w:w="0" w:type="dxa"/>
            <w:bottom w:w="0" w:type="dxa"/>
          </w:tblCellMar>
        </w:tblPrEx>
        <w:trPr>
          <w:cantSplit/>
          <w:trHeight w:val="240"/>
        </w:trPr>
        <w:tc>
          <w:tcPr>
            <w:tcW w:w="3708" w:type="dxa"/>
            <w:shd w:val="clear" w:color="auto" w:fill="auto"/>
          </w:tcPr>
          <w:p w:rsidR="000B562B" w:rsidRPr="00A176EA" w:rsidRDefault="000B562B" w:rsidP="000F0266">
            <w:pPr>
              <w:pStyle w:val="Text"/>
              <w:spacing w:before="40" w:after="40" w:line="220" w:lineRule="exact"/>
              <w:rPr>
                <w:rFonts w:ascii="Times New Roman" w:hAnsi="Times New Roman"/>
                <w:sz w:val="18"/>
                <w:lang w:val="fr-FR"/>
              </w:rPr>
            </w:pPr>
          </w:p>
        </w:tc>
        <w:tc>
          <w:tcPr>
            <w:tcW w:w="3662" w:type="dxa"/>
            <w:shd w:val="clear" w:color="auto" w:fill="auto"/>
            <w:vAlign w:val="bottom"/>
          </w:tcPr>
          <w:p w:rsidR="000B562B" w:rsidRPr="00A176EA" w:rsidRDefault="000B562B" w:rsidP="00E17BD0">
            <w:pPr>
              <w:pStyle w:val="Text"/>
              <w:spacing w:before="40" w:after="40" w:line="220" w:lineRule="exact"/>
              <w:ind w:left="113"/>
              <w:jc w:val="right"/>
              <w:rPr>
                <w:rFonts w:ascii="Times New Roman" w:hAnsi="Times New Roman"/>
                <w:sz w:val="18"/>
                <w:lang w:val="fr-FR"/>
              </w:rPr>
            </w:pPr>
          </w:p>
        </w:tc>
      </w:tr>
      <w:tr w:rsidR="000B562B" w:rsidRPr="002911A8" w:rsidTr="00066B85">
        <w:tblPrEx>
          <w:tblCellMar>
            <w:top w:w="0" w:type="dxa"/>
            <w:bottom w:w="0" w:type="dxa"/>
          </w:tblCellMar>
        </w:tblPrEx>
        <w:trPr>
          <w:cantSplit/>
          <w:trHeight w:val="240"/>
        </w:trPr>
        <w:tc>
          <w:tcPr>
            <w:tcW w:w="3708" w:type="dxa"/>
            <w:shd w:val="clear" w:color="auto" w:fill="auto"/>
          </w:tcPr>
          <w:p w:rsidR="000B562B" w:rsidRPr="002911A8" w:rsidRDefault="00B44564" w:rsidP="000F0266">
            <w:pPr>
              <w:pStyle w:val="Text"/>
              <w:spacing w:before="40" w:after="40" w:line="220" w:lineRule="exact"/>
              <w:rPr>
                <w:rFonts w:ascii="Times New Roman" w:hAnsi="Times New Roman"/>
                <w:sz w:val="18"/>
                <w:lang w:val="fr-FR"/>
              </w:rPr>
            </w:pPr>
            <w:r w:rsidRPr="002911A8">
              <w:rPr>
                <w:rFonts w:ascii="Times New Roman" w:hAnsi="Times New Roman"/>
                <w:sz w:val="18"/>
                <w:lang w:val="fr-FR"/>
              </w:rPr>
              <w:t>Taux de natalité</w:t>
            </w:r>
            <w:r w:rsidR="000B562B" w:rsidRPr="002911A8">
              <w:rPr>
                <w:rStyle w:val="FootnoteReference"/>
                <w:szCs w:val="22"/>
              </w:rPr>
              <w:footnoteReference w:id="84"/>
            </w:r>
          </w:p>
        </w:tc>
        <w:tc>
          <w:tcPr>
            <w:tcW w:w="3662" w:type="dxa"/>
            <w:shd w:val="clear" w:color="auto" w:fill="auto"/>
            <w:vAlign w:val="bottom"/>
          </w:tcPr>
          <w:p w:rsidR="000B562B" w:rsidRPr="002911A8" w:rsidRDefault="000B562B" w:rsidP="00B44564">
            <w:pPr>
              <w:pStyle w:val="Text"/>
              <w:spacing w:before="40" w:after="40" w:line="220" w:lineRule="exact"/>
              <w:ind w:left="113"/>
              <w:jc w:val="right"/>
              <w:rPr>
                <w:rFonts w:ascii="Times New Roman" w:hAnsi="Times New Roman"/>
                <w:sz w:val="18"/>
                <w:lang w:val="fr-FR"/>
              </w:rPr>
            </w:pPr>
            <w:r w:rsidRPr="002911A8">
              <w:rPr>
                <w:rFonts w:ascii="Times New Roman" w:hAnsi="Times New Roman"/>
                <w:sz w:val="18"/>
                <w:lang w:val="fr-FR"/>
              </w:rPr>
              <w:t>794</w:t>
            </w:r>
            <w:r w:rsidR="00B44564" w:rsidRPr="002911A8">
              <w:rPr>
                <w:rFonts w:ascii="Times New Roman" w:hAnsi="Times New Roman"/>
                <w:sz w:val="18"/>
                <w:lang w:val="fr-FR"/>
              </w:rPr>
              <w:t xml:space="preserve"> </w:t>
            </w:r>
            <w:r w:rsidRPr="002911A8">
              <w:rPr>
                <w:rFonts w:ascii="Times New Roman" w:hAnsi="Times New Roman"/>
                <w:sz w:val="18"/>
                <w:lang w:val="fr-FR"/>
              </w:rPr>
              <w:t xml:space="preserve">383 </w:t>
            </w:r>
            <w:r w:rsidR="006D07AA" w:rsidRPr="002911A8">
              <w:rPr>
                <w:rFonts w:ascii="Times New Roman" w:hAnsi="Times New Roman"/>
                <w:sz w:val="18"/>
                <w:lang w:val="fr-FR"/>
              </w:rPr>
              <w:t>naissances</w:t>
            </w:r>
            <w:r w:rsidR="00B44564" w:rsidRPr="002911A8">
              <w:rPr>
                <w:rFonts w:ascii="Times New Roman" w:hAnsi="Times New Roman"/>
                <w:sz w:val="18"/>
                <w:lang w:val="fr-FR"/>
              </w:rPr>
              <w:t xml:space="preserve"> vivantes en</w:t>
            </w:r>
            <w:r w:rsidRPr="002911A8">
              <w:rPr>
                <w:rFonts w:ascii="Times New Roman" w:hAnsi="Times New Roman"/>
                <w:sz w:val="18"/>
                <w:lang w:val="fr-FR"/>
              </w:rPr>
              <w:t xml:space="preserve"> 2008 </w:t>
            </w:r>
            <w:r w:rsidR="007E3CC8">
              <w:rPr>
                <w:rFonts w:ascii="Times New Roman" w:hAnsi="Times New Roman"/>
                <w:sz w:val="18"/>
                <w:lang w:val="fr-FR"/>
              </w:rPr>
              <w:br/>
            </w:r>
            <w:r w:rsidRPr="002911A8">
              <w:rPr>
                <w:rFonts w:ascii="Times New Roman" w:hAnsi="Times New Roman"/>
                <w:sz w:val="18"/>
                <w:lang w:val="fr-FR"/>
              </w:rPr>
              <w:t>(12</w:t>
            </w:r>
            <w:r w:rsidR="00B44564" w:rsidRPr="002911A8">
              <w:rPr>
                <w:rFonts w:ascii="Times New Roman" w:hAnsi="Times New Roman"/>
                <w:sz w:val="18"/>
                <w:lang w:val="fr-FR"/>
              </w:rPr>
              <w:t>,</w:t>
            </w:r>
            <w:r w:rsidRPr="002911A8">
              <w:rPr>
                <w:rFonts w:ascii="Times New Roman" w:hAnsi="Times New Roman"/>
                <w:sz w:val="18"/>
                <w:lang w:val="fr-FR"/>
              </w:rPr>
              <w:t>9 p</w:t>
            </w:r>
            <w:r w:rsidR="00B44564" w:rsidRPr="002911A8">
              <w:rPr>
                <w:rFonts w:ascii="Times New Roman" w:hAnsi="Times New Roman"/>
                <w:sz w:val="18"/>
                <w:lang w:val="fr-FR"/>
              </w:rPr>
              <w:t>ou</w:t>
            </w:r>
            <w:r w:rsidRPr="002911A8">
              <w:rPr>
                <w:rFonts w:ascii="Times New Roman" w:hAnsi="Times New Roman"/>
                <w:sz w:val="18"/>
                <w:lang w:val="fr-FR"/>
              </w:rPr>
              <w:t>r 1</w:t>
            </w:r>
            <w:r w:rsidR="00B44564" w:rsidRPr="002911A8">
              <w:rPr>
                <w:rFonts w:ascii="Times New Roman" w:hAnsi="Times New Roman"/>
                <w:sz w:val="18"/>
                <w:lang w:val="fr-FR"/>
              </w:rPr>
              <w:t> </w:t>
            </w:r>
            <w:r w:rsidRPr="002911A8">
              <w:rPr>
                <w:rFonts w:ascii="Times New Roman" w:hAnsi="Times New Roman"/>
                <w:sz w:val="18"/>
                <w:lang w:val="fr-FR"/>
              </w:rPr>
              <w:t xml:space="preserve">000 </w:t>
            </w:r>
            <w:r w:rsidR="00B44564" w:rsidRPr="002911A8">
              <w:rPr>
                <w:rFonts w:ascii="Times New Roman" w:hAnsi="Times New Roman"/>
                <w:sz w:val="18"/>
                <w:lang w:val="fr-FR"/>
              </w:rPr>
              <w:t>habitants</w:t>
            </w:r>
            <w:r w:rsidRPr="002911A8">
              <w:rPr>
                <w:rFonts w:ascii="Times New Roman" w:hAnsi="Times New Roman"/>
                <w:sz w:val="18"/>
                <w:lang w:val="fr-FR"/>
              </w:rPr>
              <w:t>)</w:t>
            </w:r>
          </w:p>
        </w:tc>
      </w:tr>
      <w:tr w:rsidR="000B562B" w:rsidRPr="002911A8" w:rsidTr="00066B85">
        <w:tblPrEx>
          <w:tblCellMar>
            <w:top w:w="0" w:type="dxa"/>
            <w:bottom w:w="0" w:type="dxa"/>
          </w:tblCellMar>
        </w:tblPrEx>
        <w:trPr>
          <w:cantSplit/>
          <w:trHeight w:val="240"/>
        </w:trPr>
        <w:tc>
          <w:tcPr>
            <w:tcW w:w="3708" w:type="dxa"/>
            <w:shd w:val="clear" w:color="auto" w:fill="auto"/>
          </w:tcPr>
          <w:p w:rsidR="000B562B" w:rsidRPr="002911A8" w:rsidRDefault="00B44564" w:rsidP="00B44564">
            <w:pPr>
              <w:pStyle w:val="Text"/>
              <w:spacing w:before="40" w:after="40" w:line="220" w:lineRule="exact"/>
              <w:rPr>
                <w:rFonts w:ascii="Times New Roman" w:hAnsi="Times New Roman"/>
                <w:sz w:val="18"/>
                <w:lang w:val="fr-FR"/>
              </w:rPr>
            </w:pPr>
            <w:r w:rsidRPr="002911A8">
              <w:rPr>
                <w:rFonts w:ascii="Times New Roman" w:hAnsi="Times New Roman"/>
                <w:sz w:val="18"/>
                <w:lang w:val="fr-FR"/>
              </w:rPr>
              <w:t>Taux de mortalité</w:t>
            </w:r>
            <w:r w:rsidR="000B562B" w:rsidRPr="002911A8">
              <w:rPr>
                <w:rStyle w:val="FootnoteReference"/>
                <w:szCs w:val="22"/>
              </w:rPr>
              <w:footnoteReference w:id="85"/>
            </w:r>
            <w:r w:rsidR="000B562B" w:rsidRPr="002911A8">
              <w:rPr>
                <w:rFonts w:ascii="Times New Roman" w:hAnsi="Times New Roman"/>
                <w:sz w:val="18"/>
                <w:vertAlign w:val="superscript"/>
                <w:lang w:val="fr-FR"/>
              </w:rPr>
              <w:t xml:space="preserve"> </w:t>
            </w:r>
            <w:r w:rsidR="000B562B" w:rsidRPr="002911A8">
              <w:rPr>
                <w:rFonts w:ascii="Times New Roman" w:hAnsi="Times New Roman"/>
                <w:sz w:val="18"/>
                <w:lang w:val="fr-FR"/>
              </w:rPr>
              <w:t>– p</w:t>
            </w:r>
            <w:r w:rsidRPr="002911A8">
              <w:rPr>
                <w:rFonts w:ascii="Times New Roman" w:hAnsi="Times New Roman"/>
                <w:sz w:val="18"/>
                <w:lang w:val="fr-FR"/>
              </w:rPr>
              <w:t>ou</w:t>
            </w:r>
            <w:r w:rsidR="000B562B" w:rsidRPr="002911A8">
              <w:rPr>
                <w:rFonts w:ascii="Times New Roman" w:hAnsi="Times New Roman"/>
                <w:sz w:val="18"/>
                <w:lang w:val="fr-FR"/>
              </w:rPr>
              <w:t>r 1</w:t>
            </w:r>
            <w:r w:rsidRPr="002911A8">
              <w:rPr>
                <w:rFonts w:ascii="Times New Roman" w:hAnsi="Times New Roman"/>
                <w:sz w:val="18"/>
                <w:lang w:val="fr-FR"/>
              </w:rPr>
              <w:t xml:space="preserve"> </w:t>
            </w:r>
            <w:r w:rsidR="000B562B" w:rsidRPr="002911A8">
              <w:rPr>
                <w:rFonts w:ascii="Times New Roman" w:hAnsi="Times New Roman"/>
                <w:sz w:val="18"/>
                <w:lang w:val="fr-FR"/>
              </w:rPr>
              <w:t xml:space="preserve">000 </w:t>
            </w:r>
            <w:r w:rsidRPr="002911A8">
              <w:rPr>
                <w:rFonts w:ascii="Times New Roman" w:hAnsi="Times New Roman"/>
                <w:sz w:val="18"/>
                <w:lang w:val="fr-FR"/>
              </w:rPr>
              <w:t>habitants</w:t>
            </w:r>
          </w:p>
        </w:tc>
        <w:tc>
          <w:tcPr>
            <w:tcW w:w="3662" w:type="dxa"/>
            <w:shd w:val="clear" w:color="auto" w:fill="auto"/>
            <w:vAlign w:val="bottom"/>
          </w:tcPr>
          <w:p w:rsidR="000B562B" w:rsidRPr="002911A8" w:rsidRDefault="000B562B" w:rsidP="00B44564">
            <w:pPr>
              <w:pStyle w:val="Text"/>
              <w:spacing w:before="40" w:after="40" w:line="220" w:lineRule="exact"/>
              <w:ind w:left="113"/>
              <w:jc w:val="right"/>
              <w:rPr>
                <w:rFonts w:ascii="Times New Roman" w:hAnsi="Times New Roman"/>
                <w:sz w:val="18"/>
                <w:lang w:val="fr-FR"/>
              </w:rPr>
            </w:pPr>
            <w:r w:rsidRPr="002911A8">
              <w:rPr>
                <w:rFonts w:ascii="Times New Roman" w:hAnsi="Times New Roman"/>
                <w:sz w:val="18"/>
                <w:lang w:val="fr-FR"/>
              </w:rPr>
              <w:t>9</w:t>
            </w:r>
            <w:r w:rsidR="00B44564" w:rsidRPr="002911A8">
              <w:rPr>
                <w:rFonts w:ascii="Times New Roman" w:hAnsi="Times New Roman"/>
                <w:sz w:val="18"/>
                <w:lang w:val="fr-FR"/>
              </w:rPr>
              <w:t>,</w:t>
            </w:r>
            <w:r w:rsidRPr="002911A8">
              <w:rPr>
                <w:rFonts w:ascii="Times New Roman" w:hAnsi="Times New Roman"/>
                <w:sz w:val="18"/>
                <w:lang w:val="fr-FR"/>
              </w:rPr>
              <w:t>4 (2008)</w:t>
            </w:r>
          </w:p>
        </w:tc>
      </w:tr>
      <w:tr w:rsidR="000B562B" w:rsidRPr="002911A8" w:rsidTr="00066B85">
        <w:tblPrEx>
          <w:tblCellMar>
            <w:top w:w="0" w:type="dxa"/>
            <w:bottom w:w="0" w:type="dxa"/>
          </w:tblCellMar>
        </w:tblPrEx>
        <w:trPr>
          <w:cantSplit/>
          <w:trHeight w:val="240"/>
        </w:trPr>
        <w:tc>
          <w:tcPr>
            <w:tcW w:w="3708" w:type="dxa"/>
            <w:shd w:val="clear" w:color="auto" w:fill="auto"/>
          </w:tcPr>
          <w:p w:rsidR="000B562B" w:rsidRPr="002911A8" w:rsidRDefault="00B44564" w:rsidP="000F0266">
            <w:pPr>
              <w:pStyle w:val="Text"/>
              <w:spacing w:before="40" w:after="40" w:line="220" w:lineRule="exact"/>
              <w:rPr>
                <w:rFonts w:ascii="Times New Roman" w:hAnsi="Times New Roman"/>
                <w:sz w:val="18"/>
                <w:lang w:val="fr-FR"/>
              </w:rPr>
            </w:pPr>
            <w:r w:rsidRPr="002911A8">
              <w:rPr>
                <w:rFonts w:ascii="Times New Roman" w:hAnsi="Times New Roman"/>
                <w:sz w:val="18"/>
                <w:lang w:val="fr-FR"/>
              </w:rPr>
              <w:t>Hommes</w:t>
            </w:r>
          </w:p>
        </w:tc>
        <w:tc>
          <w:tcPr>
            <w:tcW w:w="3662" w:type="dxa"/>
            <w:shd w:val="clear" w:color="auto" w:fill="auto"/>
            <w:vAlign w:val="bottom"/>
          </w:tcPr>
          <w:p w:rsidR="000B562B" w:rsidRPr="002911A8" w:rsidRDefault="000B562B" w:rsidP="00B44564">
            <w:pPr>
              <w:pStyle w:val="Text"/>
              <w:spacing w:before="40" w:after="40" w:line="220" w:lineRule="exact"/>
              <w:ind w:left="113"/>
              <w:jc w:val="right"/>
              <w:rPr>
                <w:rFonts w:ascii="Times New Roman" w:hAnsi="Times New Roman"/>
                <w:sz w:val="18"/>
                <w:lang w:val="fr-FR"/>
              </w:rPr>
            </w:pPr>
            <w:r w:rsidRPr="002911A8">
              <w:rPr>
                <w:rFonts w:ascii="Times New Roman" w:hAnsi="Times New Roman"/>
                <w:sz w:val="18"/>
                <w:lang w:val="fr-FR"/>
              </w:rPr>
              <w:t>9</w:t>
            </w:r>
            <w:r w:rsidR="00B44564" w:rsidRPr="002911A8">
              <w:rPr>
                <w:rFonts w:ascii="Times New Roman" w:hAnsi="Times New Roman"/>
                <w:sz w:val="18"/>
                <w:lang w:val="fr-FR"/>
              </w:rPr>
              <w:t>,</w:t>
            </w:r>
            <w:r w:rsidRPr="002911A8">
              <w:rPr>
                <w:rFonts w:ascii="Times New Roman" w:hAnsi="Times New Roman"/>
                <w:sz w:val="18"/>
                <w:lang w:val="fr-FR"/>
              </w:rPr>
              <w:t>2</w:t>
            </w:r>
          </w:p>
        </w:tc>
      </w:tr>
      <w:tr w:rsidR="000B562B" w:rsidRPr="002911A8" w:rsidTr="00066B85">
        <w:tblPrEx>
          <w:tblCellMar>
            <w:top w:w="0" w:type="dxa"/>
            <w:bottom w:w="0" w:type="dxa"/>
          </w:tblCellMar>
        </w:tblPrEx>
        <w:trPr>
          <w:cantSplit/>
          <w:trHeight w:val="240"/>
        </w:trPr>
        <w:tc>
          <w:tcPr>
            <w:tcW w:w="3708" w:type="dxa"/>
            <w:shd w:val="clear" w:color="auto" w:fill="auto"/>
          </w:tcPr>
          <w:p w:rsidR="000B562B" w:rsidRPr="002911A8" w:rsidRDefault="000B562B" w:rsidP="00B44564">
            <w:pPr>
              <w:pStyle w:val="Text"/>
              <w:spacing w:before="40" w:after="40" w:line="220" w:lineRule="exact"/>
              <w:rPr>
                <w:rFonts w:ascii="Times New Roman" w:hAnsi="Times New Roman"/>
                <w:sz w:val="18"/>
                <w:lang w:val="fr-FR"/>
              </w:rPr>
            </w:pPr>
            <w:r w:rsidRPr="002911A8">
              <w:rPr>
                <w:rFonts w:ascii="Times New Roman" w:hAnsi="Times New Roman"/>
                <w:sz w:val="18"/>
                <w:lang w:val="fr-FR"/>
              </w:rPr>
              <w:t>Fem</w:t>
            </w:r>
            <w:r w:rsidR="00B44564" w:rsidRPr="002911A8">
              <w:rPr>
                <w:rFonts w:ascii="Times New Roman" w:hAnsi="Times New Roman"/>
                <w:sz w:val="18"/>
                <w:lang w:val="fr-FR"/>
              </w:rPr>
              <w:t>m</w:t>
            </w:r>
            <w:r w:rsidRPr="002911A8">
              <w:rPr>
                <w:rFonts w:ascii="Times New Roman" w:hAnsi="Times New Roman"/>
                <w:sz w:val="18"/>
                <w:lang w:val="fr-FR"/>
              </w:rPr>
              <w:t>es</w:t>
            </w:r>
          </w:p>
        </w:tc>
        <w:tc>
          <w:tcPr>
            <w:tcW w:w="3662" w:type="dxa"/>
            <w:shd w:val="clear" w:color="auto" w:fill="auto"/>
            <w:vAlign w:val="bottom"/>
          </w:tcPr>
          <w:p w:rsidR="000B562B" w:rsidRPr="002911A8" w:rsidRDefault="000B562B" w:rsidP="00B44564">
            <w:pPr>
              <w:pStyle w:val="Text"/>
              <w:spacing w:before="40" w:after="40" w:line="220" w:lineRule="exact"/>
              <w:ind w:left="113"/>
              <w:jc w:val="right"/>
              <w:rPr>
                <w:rFonts w:ascii="Times New Roman" w:hAnsi="Times New Roman"/>
                <w:sz w:val="18"/>
                <w:lang w:val="fr-FR"/>
              </w:rPr>
            </w:pPr>
            <w:r w:rsidRPr="002911A8">
              <w:rPr>
                <w:rFonts w:ascii="Times New Roman" w:hAnsi="Times New Roman"/>
                <w:sz w:val="18"/>
                <w:lang w:val="fr-FR"/>
              </w:rPr>
              <w:t>9</w:t>
            </w:r>
            <w:r w:rsidR="00B44564" w:rsidRPr="002911A8">
              <w:rPr>
                <w:rFonts w:ascii="Times New Roman" w:hAnsi="Times New Roman"/>
                <w:sz w:val="18"/>
                <w:lang w:val="fr-FR"/>
              </w:rPr>
              <w:t>,</w:t>
            </w:r>
            <w:r w:rsidRPr="002911A8">
              <w:rPr>
                <w:rFonts w:ascii="Times New Roman" w:hAnsi="Times New Roman"/>
                <w:sz w:val="18"/>
                <w:lang w:val="fr-FR"/>
              </w:rPr>
              <w:t>7</w:t>
            </w:r>
          </w:p>
        </w:tc>
      </w:tr>
      <w:tr w:rsidR="000B562B" w:rsidRPr="002911A8" w:rsidTr="00066B85">
        <w:tblPrEx>
          <w:tblCellMar>
            <w:top w:w="0" w:type="dxa"/>
            <w:bottom w:w="0" w:type="dxa"/>
          </w:tblCellMar>
        </w:tblPrEx>
        <w:trPr>
          <w:cantSplit/>
          <w:trHeight w:val="240"/>
        </w:trPr>
        <w:tc>
          <w:tcPr>
            <w:tcW w:w="3708" w:type="dxa"/>
            <w:shd w:val="clear" w:color="auto" w:fill="auto"/>
          </w:tcPr>
          <w:p w:rsidR="000B562B" w:rsidRPr="002911A8" w:rsidRDefault="00826B52" w:rsidP="00826B52">
            <w:pPr>
              <w:pStyle w:val="Text"/>
              <w:spacing w:before="40" w:after="40" w:line="220" w:lineRule="exact"/>
              <w:rPr>
                <w:rFonts w:ascii="Times New Roman" w:hAnsi="Times New Roman"/>
                <w:sz w:val="18"/>
                <w:lang w:val="fr-FR"/>
              </w:rPr>
            </w:pPr>
            <w:r w:rsidRPr="002911A8">
              <w:rPr>
                <w:rFonts w:ascii="Times New Roman" w:hAnsi="Times New Roman"/>
                <w:sz w:val="18"/>
                <w:lang w:val="fr-FR"/>
              </w:rPr>
              <w:t>Espérance de vie à  la naissance</w:t>
            </w:r>
            <w:r w:rsidR="000B562B" w:rsidRPr="002911A8">
              <w:rPr>
                <w:rStyle w:val="FootnoteReference"/>
                <w:szCs w:val="22"/>
              </w:rPr>
              <w:footnoteReference w:id="86"/>
            </w:r>
            <w:r w:rsidR="000B562B" w:rsidRPr="002911A8">
              <w:rPr>
                <w:rFonts w:ascii="Times New Roman" w:hAnsi="Times New Roman"/>
                <w:sz w:val="18"/>
                <w:lang w:val="fr-FR"/>
              </w:rPr>
              <w:t xml:space="preserve"> – </w:t>
            </w:r>
            <w:r w:rsidRPr="002911A8">
              <w:rPr>
                <w:rFonts w:ascii="Times New Roman" w:hAnsi="Times New Roman"/>
                <w:sz w:val="18"/>
                <w:lang w:val="fr-FR"/>
              </w:rPr>
              <w:t>nombre d’années</w:t>
            </w:r>
            <w:r w:rsidR="00FC2B97">
              <w:rPr>
                <w:rFonts w:ascii="Times New Roman" w:hAnsi="Times New Roman"/>
                <w:sz w:val="18"/>
                <w:lang w:val="fr-FR"/>
              </w:rPr>
              <w:t>:</w:t>
            </w:r>
          </w:p>
        </w:tc>
        <w:tc>
          <w:tcPr>
            <w:tcW w:w="3662" w:type="dxa"/>
            <w:shd w:val="clear" w:color="auto" w:fill="auto"/>
            <w:vAlign w:val="bottom"/>
          </w:tcPr>
          <w:p w:rsidR="000B562B" w:rsidRPr="002911A8" w:rsidRDefault="000B562B" w:rsidP="000F0266">
            <w:pPr>
              <w:pStyle w:val="Text"/>
              <w:spacing w:before="40" w:after="40" w:line="220" w:lineRule="exact"/>
              <w:ind w:left="113"/>
              <w:jc w:val="right"/>
              <w:rPr>
                <w:rFonts w:ascii="Times New Roman" w:hAnsi="Times New Roman"/>
                <w:sz w:val="18"/>
                <w:lang w:val="fr-FR"/>
              </w:rPr>
            </w:pPr>
          </w:p>
        </w:tc>
      </w:tr>
      <w:tr w:rsidR="000B562B" w:rsidRPr="002911A8" w:rsidTr="00066B85">
        <w:tblPrEx>
          <w:tblCellMar>
            <w:top w:w="0" w:type="dxa"/>
            <w:bottom w:w="0" w:type="dxa"/>
          </w:tblCellMar>
        </w:tblPrEx>
        <w:trPr>
          <w:cantSplit/>
          <w:trHeight w:val="240"/>
        </w:trPr>
        <w:tc>
          <w:tcPr>
            <w:tcW w:w="3708" w:type="dxa"/>
            <w:shd w:val="clear" w:color="auto" w:fill="auto"/>
          </w:tcPr>
          <w:p w:rsidR="000B562B" w:rsidRPr="002911A8" w:rsidRDefault="00E17BD0" w:rsidP="000F0266">
            <w:pPr>
              <w:pStyle w:val="Text"/>
              <w:spacing w:before="40" w:after="40" w:line="220" w:lineRule="exact"/>
              <w:rPr>
                <w:rFonts w:ascii="Times New Roman" w:hAnsi="Times New Roman"/>
                <w:sz w:val="18"/>
                <w:lang w:val="fr-FR"/>
              </w:rPr>
            </w:pPr>
            <w:r w:rsidRPr="002911A8">
              <w:rPr>
                <w:rFonts w:ascii="Times New Roman" w:hAnsi="Times New Roman"/>
                <w:sz w:val="18"/>
                <w:lang w:val="fr-FR"/>
              </w:rPr>
              <w:t>Hommes</w:t>
            </w:r>
          </w:p>
        </w:tc>
        <w:tc>
          <w:tcPr>
            <w:tcW w:w="3662" w:type="dxa"/>
            <w:shd w:val="clear" w:color="auto" w:fill="auto"/>
            <w:vAlign w:val="bottom"/>
          </w:tcPr>
          <w:p w:rsidR="000B562B" w:rsidRPr="002911A8" w:rsidRDefault="000B562B" w:rsidP="00E17BD0">
            <w:pPr>
              <w:pStyle w:val="Text"/>
              <w:spacing w:before="40" w:after="40" w:line="220" w:lineRule="exact"/>
              <w:ind w:left="113"/>
              <w:jc w:val="right"/>
              <w:rPr>
                <w:rFonts w:ascii="Times New Roman" w:hAnsi="Times New Roman"/>
                <w:sz w:val="18"/>
                <w:lang w:val="fr-FR"/>
              </w:rPr>
            </w:pPr>
            <w:r w:rsidRPr="002911A8">
              <w:rPr>
                <w:rFonts w:ascii="Times New Roman" w:hAnsi="Times New Roman"/>
                <w:sz w:val="18"/>
                <w:lang w:val="fr-FR"/>
              </w:rPr>
              <w:t>77</w:t>
            </w:r>
            <w:r w:rsidR="00E17BD0" w:rsidRPr="002911A8">
              <w:rPr>
                <w:rFonts w:ascii="Times New Roman" w:hAnsi="Times New Roman"/>
                <w:sz w:val="18"/>
                <w:lang w:val="fr-FR"/>
              </w:rPr>
              <w:t>,</w:t>
            </w:r>
            <w:r w:rsidRPr="002911A8">
              <w:rPr>
                <w:rFonts w:ascii="Times New Roman" w:hAnsi="Times New Roman"/>
                <w:sz w:val="18"/>
                <w:lang w:val="fr-FR"/>
              </w:rPr>
              <w:t>4</w:t>
            </w:r>
          </w:p>
        </w:tc>
      </w:tr>
      <w:tr w:rsidR="000B562B" w:rsidRPr="002911A8" w:rsidTr="00066B85">
        <w:tblPrEx>
          <w:tblCellMar>
            <w:top w:w="0" w:type="dxa"/>
            <w:bottom w:w="0" w:type="dxa"/>
          </w:tblCellMar>
        </w:tblPrEx>
        <w:trPr>
          <w:cantSplit/>
          <w:trHeight w:val="240"/>
        </w:trPr>
        <w:tc>
          <w:tcPr>
            <w:tcW w:w="3708" w:type="dxa"/>
            <w:shd w:val="clear" w:color="auto" w:fill="auto"/>
          </w:tcPr>
          <w:p w:rsidR="000B562B" w:rsidRPr="002911A8" w:rsidRDefault="00E17BD0" w:rsidP="000F0266">
            <w:pPr>
              <w:pStyle w:val="Text"/>
              <w:spacing w:before="40" w:after="40" w:line="220" w:lineRule="exact"/>
              <w:rPr>
                <w:rFonts w:ascii="Times New Roman" w:hAnsi="Times New Roman"/>
                <w:sz w:val="18"/>
                <w:lang w:val="fr-FR"/>
              </w:rPr>
            </w:pPr>
            <w:r w:rsidRPr="002911A8">
              <w:rPr>
                <w:rFonts w:ascii="Times New Roman" w:hAnsi="Times New Roman"/>
                <w:sz w:val="18"/>
                <w:lang w:val="fr-FR"/>
              </w:rPr>
              <w:t>Femmes</w:t>
            </w:r>
          </w:p>
        </w:tc>
        <w:tc>
          <w:tcPr>
            <w:tcW w:w="3662" w:type="dxa"/>
            <w:shd w:val="clear" w:color="auto" w:fill="auto"/>
            <w:vAlign w:val="bottom"/>
          </w:tcPr>
          <w:p w:rsidR="000B562B" w:rsidRPr="002911A8" w:rsidRDefault="000B562B" w:rsidP="00E17BD0">
            <w:pPr>
              <w:pStyle w:val="Text"/>
              <w:spacing w:before="40" w:after="40" w:line="220" w:lineRule="exact"/>
              <w:ind w:left="113"/>
              <w:jc w:val="right"/>
              <w:rPr>
                <w:rFonts w:ascii="Times New Roman" w:hAnsi="Times New Roman"/>
                <w:sz w:val="18"/>
                <w:lang w:val="fr-FR"/>
              </w:rPr>
            </w:pPr>
            <w:r w:rsidRPr="002911A8">
              <w:rPr>
                <w:rFonts w:ascii="Times New Roman" w:hAnsi="Times New Roman"/>
                <w:sz w:val="18"/>
                <w:lang w:val="fr-FR"/>
              </w:rPr>
              <w:t>81</w:t>
            </w:r>
            <w:r w:rsidR="00E17BD0" w:rsidRPr="002911A8">
              <w:rPr>
                <w:rFonts w:ascii="Times New Roman" w:hAnsi="Times New Roman"/>
                <w:sz w:val="18"/>
                <w:lang w:val="fr-FR"/>
              </w:rPr>
              <w:t>,</w:t>
            </w:r>
            <w:r w:rsidRPr="002911A8">
              <w:rPr>
                <w:rFonts w:ascii="Times New Roman" w:hAnsi="Times New Roman"/>
                <w:sz w:val="18"/>
                <w:lang w:val="fr-FR"/>
              </w:rPr>
              <w:t>6</w:t>
            </w:r>
          </w:p>
        </w:tc>
      </w:tr>
      <w:tr w:rsidR="000B562B" w:rsidRPr="002911A8" w:rsidTr="00066B85">
        <w:tblPrEx>
          <w:tblCellMar>
            <w:top w:w="0" w:type="dxa"/>
            <w:bottom w:w="0" w:type="dxa"/>
          </w:tblCellMar>
        </w:tblPrEx>
        <w:trPr>
          <w:cantSplit/>
          <w:trHeight w:val="240"/>
        </w:trPr>
        <w:tc>
          <w:tcPr>
            <w:tcW w:w="3708" w:type="dxa"/>
            <w:shd w:val="clear" w:color="auto" w:fill="auto"/>
          </w:tcPr>
          <w:p w:rsidR="000B562B" w:rsidRPr="002911A8" w:rsidRDefault="00702FE5" w:rsidP="00702FE5">
            <w:pPr>
              <w:pStyle w:val="Text"/>
              <w:spacing w:before="40" w:after="40" w:line="220" w:lineRule="exact"/>
              <w:rPr>
                <w:rFonts w:ascii="Times New Roman" w:hAnsi="Times New Roman"/>
                <w:sz w:val="18"/>
                <w:lang w:val="fr-FR"/>
              </w:rPr>
            </w:pPr>
            <w:r w:rsidRPr="002911A8">
              <w:rPr>
                <w:rFonts w:ascii="Times New Roman" w:hAnsi="Times New Roman"/>
                <w:sz w:val="18"/>
                <w:lang w:val="fr-FR"/>
              </w:rPr>
              <w:t>Taux de fécondité</w:t>
            </w:r>
            <w:r w:rsidR="000B562B" w:rsidRPr="002911A8">
              <w:rPr>
                <w:rStyle w:val="FootnoteReference"/>
                <w:szCs w:val="22"/>
              </w:rPr>
              <w:footnoteReference w:id="87"/>
            </w:r>
            <w:r w:rsidR="000B562B" w:rsidRPr="002911A8">
              <w:rPr>
                <w:rFonts w:ascii="Times New Roman" w:hAnsi="Times New Roman"/>
                <w:sz w:val="18"/>
                <w:lang w:val="fr-FR"/>
              </w:rPr>
              <w:t xml:space="preserve"> – </w:t>
            </w:r>
            <w:r w:rsidRPr="002911A8">
              <w:rPr>
                <w:rFonts w:ascii="Times New Roman" w:hAnsi="Times New Roman"/>
                <w:sz w:val="18"/>
                <w:lang w:val="fr-FR"/>
              </w:rPr>
              <w:t>nombre d’enfants par femme</w:t>
            </w:r>
          </w:p>
        </w:tc>
        <w:tc>
          <w:tcPr>
            <w:tcW w:w="3662" w:type="dxa"/>
            <w:shd w:val="clear" w:color="auto" w:fill="auto"/>
            <w:vAlign w:val="bottom"/>
          </w:tcPr>
          <w:p w:rsidR="000B562B" w:rsidRPr="002911A8" w:rsidRDefault="000B562B" w:rsidP="00702FE5">
            <w:pPr>
              <w:pStyle w:val="Text"/>
              <w:spacing w:before="40" w:after="40" w:line="220" w:lineRule="exact"/>
              <w:ind w:left="113"/>
              <w:jc w:val="right"/>
              <w:rPr>
                <w:rFonts w:ascii="Times New Roman" w:hAnsi="Times New Roman"/>
                <w:sz w:val="18"/>
                <w:lang w:val="fr-FR"/>
              </w:rPr>
            </w:pPr>
            <w:r w:rsidRPr="002911A8">
              <w:rPr>
                <w:rFonts w:ascii="Times New Roman" w:hAnsi="Times New Roman"/>
                <w:sz w:val="18"/>
                <w:lang w:val="fr-FR"/>
              </w:rPr>
              <w:t>1</w:t>
            </w:r>
            <w:r w:rsidR="00702FE5" w:rsidRPr="002911A8">
              <w:rPr>
                <w:rFonts w:ascii="Times New Roman" w:hAnsi="Times New Roman"/>
                <w:sz w:val="18"/>
                <w:lang w:val="fr-FR"/>
              </w:rPr>
              <w:t>,</w:t>
            </w:r>
            <w:r w:rsidRPr="002911A8">
              <w:rPr>
                <w:rFonts w:ascii="Times New Roman" w:hAnsi="Times New Roman"/>
                <w:sz w:val="18"/>
                <w:lang w:val="fr-FR"/>
              </w:rPr>
              <w:t>90 (2007) 1</w:t>
            </w:r>
            <w:r w:rsidR="00702FE5" w:rsidRPr="002911A8">
              <w:rPr>
                <w:rFonts w:ascii="Times New Roman" w:hAnsi="Times New Roman"/>
                <w:sz w:val="18"/>
                <w:lang w:val="fr-FR"/>
              </w:rPr>
              <w:t>,</w:t>
            </w:r>
            <w:r w:rsidRPr="002911A8">
              <w:rPr>
                <w:rFonts w:ascii="Times New Roman" w:hAnsi="Times New Roman"/>
                <w:sz w:val="18"/>
                <w:lang w:val="fr-FR"/>
              </w:rPr>
              <w:t>6 (2008)</w:t>
            </w:r>
          </w:p>
        </w:tc>
      </w:tr>
      <w:tr w:rsidR="000B562B" w:rsidRPr="002911A8" w:rsidTr="00066B85">
        <w:tblPrEx>
          <w:tblCellMar>
            <w:top w:w="0" w:type="dxa"/>
            <w:bottom w:w="0" w:type="dxa"/>
          </w:tblCellMar>
        </w:tblPrEx>
        <w:trPr>
          <w:cantSplit/>
          <w:trHeight w:val="240"/>
        </w:trPr>
        <w:tc>
          <w:tcPr>
            <w:tcW w:w="3708" w:type="dxa"/>
            <w:shd w:val="clear" w:color="auto" w:fill="auto"/>
          </w:tcPr>
          <w:p w:rsidR="000B562B" w:rsidRPr="002911A8" w:rsidRDefault="0058035F" w:rsidP="000F0266">
            <w:pPr>
              <w:pStyle w:val="Text"/>
              <w:spacing w:before="40" w:after="40" w:line="220" w:lineRule="exact"/>
              <w:rPr>
                <w:rFonts w:ascii="Times New Roman" w:hAnsi="Times New Roman"/>
                <w:sz w:val="18"/>
                <w:lang w:val="fr-FR"/>
              </w:rPr>
            </w:pPr>
            <w:r w:rsidRPr="002911A8">
              <w:rPr>
                <w:rFonts w:ascii="Times New Roman" w:hAnsi="Times New Roman"/>
                <w:sz w:val="18"/>
                <w:lang w:val="fr-FR"/>
              </w:rPr>
              <w:t>Taille moyenne des ménages</w:t>
            </w:r>
            <w:r w:rsidR="000B562B" w:rsidRPr="002911A8">
              <w:rPr>
                <w:rStyle w:val="FootnoteReference"/>
                <w:szCs w:val="22"/>
              </w:rPr>
              <w:footnoteReference w:id="88"/>
            </w:r>
          </w:p>
        </w:tc>
        <w:tc>
          <w:tcPr>
            <w:tcW w:w="3662" w:type="dxa"/>
            <w:shd w:val="clear" w:color="auto" w:fill="auto"/>
            <w:vAlign w:val="bottom"/>
          </w:tcPr>
          <w:p w:rsidR="000B562B" w:rsidRPr="002911A8" w:rsidRDefault="000B562B" w:rsidP="0058035F">
            <w:pPr>
              <w:pStyle w:val="Text"/>
              <w:spacing w:before="40" w:after="40" w:line="220" w:lineRule="exact"/>
              <w:ind w:left="113"/>
              <w:jc w:val="right"/>
              <w:rPr>
                <w:rFonts w:ascii="Times New Roman" w:hAnsi="Times New Roman"/>
                <w:sz w:val="18"/>
                <w:lang w:val="fr-FR"/>
              </w:rPr>
            </w:pPr>
            <w:r w:rsidRPr="002911A8">
              <w:rPr>
                <w:rFonts w:ascii="Times New Roman" w:hAnsi="Times New Roman"/>
                <w:sz w:val="18"/>
                <w:lang w:val="fr-FR"/>
              </w:rPr>
              <w:t>2</w:t>
            </w:r>
            <w:r w:rsidR="0058035F" w:rsidRPr="002911A8">
              <w:rPr>
                <w:rFonts w:ascii="Times New Roman" w:hAnsi="Times New Roman"/>
                <w:sz w:val="18"/>
                <w:lang w:val="fr-FR"/>
              </w:rPr>
              <w:t>,</w:t>
            </w:r>
            <w:r w:rsidRPr="002911A8">
              <w:rPr>
                <w:rFonts w:ascii="Times New Roman" w:hAnsi="Times New Roman"/>
                <w:sz w:val="18"/>
                <w:lang w:val="fr-FR"/>
              </w:rPr>
              <w:t xml:space="preserve">4 </w:t>
            </w:r>
            <w:r w:rsidR="0058035F" w:rsidRPr="002911A8">
              <w:rPr>
                <w:rFonts w:ascii="Times New Roman" w:hAnsi="Times New Roman"/>
                <w:sz w:val="18"/>
                <w:lang w:val="fr-FR"/>
              </w:rPr>
              <w:t>personnes par ménage</w:t>
            </w:r>
            <w:r w:rsidRPr="002911A8">
              <w:rPr>
                <w:rFonts w:ascii="Times New Roman" w:hAnsi="Times New Roman"/>
                <w:sz w:val="18"/>
                <w:lang w:val="fr-FR"/>
              </w:rPr>
              <w:t xml:space="preserve"> </w:t>
            </w:r>
          </w:p>
        </w:tc>
      </w:tr>
      <w:tr w:rsidR="000B562B" w:rsidRPr="002911A8" w:rsidTr="00066B85">
        <w:tblPrEx>
          <w:tblCellMar>
            <w:top w:w="0" w:type="dxa"/>
            <w:bottom w:w="0" w:type="dxa"/>
          </w:tblCellMar>
        </w:tblPrEx>
        <w:trPr>
          <w:cantSplit/>
          <w:trHeight w:val="240"/>
        </w:trPr>
        <w:tc>
          <w:tcPr>
            <w:tcW w:w="3708" w:type="dxa"/>
            <w:shd w:val="clear" w:color="auto" w:fill="auto"/>
          </w:tcPr>
          <w:p w:rsidR="000B562B" w:rsidRPr="002911A8" w:rsidRDefault="0074267E" w:rsidP="000F0266">
            <w:pPr>
              <w:pStyle w:val="Text"/>
              <w:spacing w:before="40" w:after="40" w:line="220" w:lineRule="exact"/>
              <w:rPr>
                <w:rFonts w:ascii="Times New Roman" w:hAnsi="Times New Roman"/>
                <w:sz w:val="18"/>
                <w:lang w:val="fr-FR"/>
              </w:rPr>
            </w:pPr>
            <w:r w:rsidRPr="002911A8">
              <w:rPr>
                <w:rFonts w:ascii="Times New Roman" w:hAnsi="Times New Roman"/>
                <w:sz w:val="18"/>
                <w:lang w:val="fr-FR"/>
              </w:rPr>
              <w:t>PIB</w:t>
            </w:r>
            <w:r w:rsidR="000B562B" w:rsidRPr="002911A8">
              <w:rPr>
                <w:rStyle w:val="FootnoteReference"/>
                <w:szCs w:val="22"/>
              </w:rPr>
              <w:footnoteReference w:id="89"/>
            </w:r>
          </w:p>
        </w:tc>
        <w:tc>
          <w:tcPr>
            <w:tcW w:w="3662" w:type="dxa"/>
            <w:shd w:val="clear" w:color="auto" w:fill="auto"/>
            <w:vAlign w:val="bottom"/>
          </w:tcPr>
          <w:p w:rsidR="000B562B" w:rsidRPr="002911A8" w:rsidRDefault="004D770F" w:rsidP="00FD0E67">
            <w:pPr>
              <w:pStyle w:val="Text"/>
              <w:spacing w:before="40" w:after="40" w:line="220" w:lineRule="exact"/>
              <w:ind w:left="113"/>
              <w:jc w:val="right"/>
              <w:rPr>
                <w:rFonts w:ascii="Times New Roman" w:hAnsi="Times New Roman"/>
                <w:sz w:val="18"/>
                <w:lang w:val="fr-FR"/>
              </w:rPr>
            </w:pPr>
            <w:r w:rsidRPr="002911A8">
              <w:rPr>
                <w:rFonts w:ascii="Times New Roman" w:hAnsi="Times New Roman"/>
                <w:sz w:val="18"/>
                <w:lang w:val="fr-FR"/>
              </w:rPr>
              <w:t>1</w:t>
            </w:r>
            <w:r w:rsidR="00FD0E67" w:rsidRPr="002911A8">
              <w:rPr>
                <w:rFonts w:ascii="Times New Roman" w:hAnsi="Times New Roman"/>
                <w:sz w:val="18"/>
                <w:lang w:val="fr-FR"/>
              </w:rPr>
              <w:t xml:space="preserve"> 300 </w:t>
            </w:r>
            <w:r w:rsidRPr="002911A8">
              <w:rPr>
                <w:rFonts w:ascii="Times New Roman" w:hAnsi="Times New Roman"/>
                <w:sz w:val="18"/>
                <w:lang w:val="fr-FR"/>
              </w:rPr>
              <w:t xml:space="preserve">milliards </w:t>
            </w:r>
            <w:r w:rsidR="000B562B" w:rsidRPr="002911A8">
              <w:rPr>
                <w:rFonts w:ascii="Times New Roman" w:hAnsi="Times New Roman"/>
                <w:sz w:val="18"/>
                <w:lang w:val="fr-FR"/>
              </w:rPr>
              <w:t>£ (2009)</w:t>
            </w:r>
          </w:p>
        </w:tc>
      </w:tr>
      <w:tr w:rsidR="000B562B" w:rsidRPr="002911A8" w:rsidTr="00066B85">
        <w:tblPrEx>
          <w:tblCellMar>
            <w:top w:w="0" w:type="dxa"/>
            <w:bottom w:w="0" w:type="dxa"/>
          </w:tblCellMar>
        </w:tblPrEx>
        <w:trPr>
          <w:cantSplit/>
          <w:trHeight w:val="240"/>
        </w:trPr>
        <w:tc>
          <w:tcPr>
            <w:tcW w:w="3708" w:type="dxa"/>
            <w:shd w:val="clear" w:color="auto" w:fill="auto"/>
          </w:tcPr>
          <w:p w:rsidR="000B562B" w:rsidRPr="002911A8" w:rsidRDefault="0074267E" w:rsidP="0074267E">
            <w:pPr>
              <w:pStyle w:val="Text"/>
              <w:spacing w:before="40" w:after="40" w:line="220" w:lineRule="exact"/>
              <w:rPr>
                <w:rFonts w:ascii="Times New Roman" w:hAnsi="Times New Roman"/>
                <w:sz w:val="18"/>
                <w:lang w:val="fr-FR"/>
              </w:rPr>
            </w:pPr>
            <w:r w:rsidRPr="002911A8">
              <w:rPr>
                <w:rFonts w:ascii="Times New Roman" w:hAnsi="Times New Roman"/>
                <w:sz w:val="18"/>
                <w:lang w:val="fr-FR"/>
              </w:rPr>
              <w:t>PIB</w:t>
            </w:r>
            <w:r w:rsidR="000B562B" w:rsidRPr="002911A8">
              <w:rPr>
                <w:rFonts w:ascii="Times New Roman" w:hAnsi="Times New Roman"/>
                <w:sz w:val="18"/>
                <w:lang w:val="fr-FR"/>
              </w:rPr>
              <w:t xml:space="preserve"> </w:t>
            </w:r>
            <w:r w:rsidRPr="002911A8">
              <w:rPr>
                <w:rFonts w:ascii="Times New Roman" w:hAnsi="Times New Roman"/>
                <w:sz w:val="18"/>
                <w:lang w:val="fr-FR"/>
              </w:rPr>
              <w:t>par habitant</w:t>
            </w:r>
          </w:p>
        </w:tc>
        <w:tc>
          <w:tcPr>
            <w:tcW w:w="3662" w:type="dxa"/>
            <w:shd w:val="clear" w:color="auto" w:fill="auto"/>
            <w:vAlign w:val="bottom"/>
          </w:tcPr>
          <w:p w:rsidR="000B562B" w:rsidRPr="002911A8" w:rsidRDefault="004D770F" w:rsidP="004D770F">
            <w:pPr>
              <w:pStyle w:val="Text"/>
              <w:spacing w:before="40" w:after="40" w:line="220" w:lineRule="exact"/>
              <w:ind w:left="113"/>
              <w:jc w:val="right"/>
              <w:rPr>
                <w:rFonts w:ascii="Times New Roman" w:hAnsi="Times New Roman"/>
                <w:sz w:val="18"/>
                <w:lang w:val="fr-FR"/>
              </w:rPr>
            </w:pPr>
            <w:r w:rsidRPr="002911A8">
              <w:rPr>
                <w:rFonts w:ascii="Times New Roman" w:hAnsi="Times New Roman"/>
                <w:sz w:val="18"/>
                <w:lang w:val="fr-FR"/>
              </w:rPr>
              <w:t xml:space="preserve">20 980 </w:t>
            </w:r>
            <w:r w:rsidR="000B562B" w:rsidRPr="002911A8">
              <w:rPr>
                <w:rFonts w:ascii="Times New Roman" w:hAnsi="Times New Roman"/>
                <w:sz w:val="18"/>
                <w:lang w:val="fr-FR"/>
              </w:rPr>
              <w:t>£ (2009)</w:t>
            </w:r>
          </w:p>
        </w:tc>
      </w:tr>
      <w:tr w:rsidR="000B562B" w:rsidRPr="002911A8" w:rsidTr="00066B85">
        <w:tblPrEx>
          <w:tblCellMar>
            <w:top w:w="0" w:type="dxa"/>
            <w:bottom w:w="0" w:type="dxa"/>
          </w:tblCellMar>
        </w:tblPrEx>
        <w:trPr>
          <w:cantSplit/>
          <w:trHeight w:val="240"/>
        </w:trPr>
        <w:tc>
          <w:tcPr>
            <w:tcW w:w="3708" w:type="dxa"/>
            <w:shd w:val="clear" w:color="auto" w:fill="auto"/>
          </w:tcPr>
          <w:p w:rsidR="000B562B" w:rsidRPr="002911A8" w:rsidRDefault="000B562B" w:rsidP="000F0266">
            <w:pPr>
              <w:pStyle w:val="Text"/>
              <w:spacing w:before="40" w:after="40" w:line="220" w:lineRule="exact"/>
              <w:rPr>
                <w:rFonts w:ascii="Times New Roman" w:hAnsi="Times New Roman"/>
                <w:sz w:val="18"/>
                <w:lang w:val="fr-FR"/>
              </w:rPr>
            </w:pPr>
            <w:r w:rsidRPr="002911A8">
              <w:rPr>
                <w:rFonts w:ascii="Times New Roman" w:hAnsi="Times New Roman"/>
                <w:sz w:val="18"/>
                <w:lang w:val="fr-FR"/>
              </w:rPr>
              <w:t>Inflation</w:t>
            </w:r>
            <w:r w:rsidRPr="002911A8">
              <w:rPr>
                <w:rStyle w:val="FootnoteReference"/>
                <w:szCs w:val="22"/>
              </w:rPr>
              <w:footnoteReference w:id="90"/>
            </w:r>
          </w:p>
        </w:tc>
        <w:tc>
          <w:tcPr>
            <w:tcW w:w="3662" w:type="dxa"/>
            <w:shd w:val="clear" w:color="auto" w:fill="auto"/>
            <w:vAlign w:val="bottom"/>
          </w:tcPr>
          <w:p w:rsidR="000B562B" w:rsidRPr="002911A8" w:rsidRDefault="000B562B" w:rsidP="004D770F">
            <w:pPr>
              <w:pStyle w:val="Text"/>
              <w:spacing w:before="40" w:after="40" w:line="220" w:lineRule="exact"/>
              <w:ind w:left="113"/>
              <w:jc w:val="right"/>
              <w:rPr>
                <w:rFonts w:ascii="Times New Roman" w:hAnsi="Times New Roman"/>
                <w:sz w:val="18"/>
                <w:lang w:val="fr-FR"/>
              </w:rPr>
            </w:pPr>
            <w:r w:rsidRPr="002911A8">
              <w:rPr>
                <w:rFonts w:ascii="Times New Roman" w:hAnsi="Times New Roman"/>
                <w:sz w:val="18"/>
                <w:lang w:val="fr-FR"/>
              </w:rPr>
              <w:t>3</w:t>
            </w:r>
            <w:r w:rsidR="004D770F" w:rsidRPr="002911A8">
              <w:rPr>
                <w:rFonts w:ascii="Times New Roman" w:hAnsi="Times New Roman"/>
                <w:sz w:val="18"/>
                <w:lang w:val="fr-FR"/>
              </w:rPr>
              <w:t>,</w:t>
            </w:r>
            <w:r w:rsidRPr="002911A8">
              <w:rPr>
                <w:rFonts w:ascii="Times New Roman" w:hAnsi="Times New Roman"/>
                <w:sz w:val="18"/>
                <w:lang w:val="fr-FR"/>
              </w:rPr>
              <w:t>2</w:t>
            </w:r>
            <w:r w:rsidR="004D770F" w:rsidRPr="002911A8">
              <w:rPr>
                <w:rFonts w:ascii="Times New Roman" w:hAnsi="Times New Roman"/>
                <w:sz w:val="18"/>
                <w:lang w:val="fr-FR"/>
              </w:rPr>
              <w:t xml:space="preserve"> </w:t>
            </w:r>
            <w:r w:rsidRPr="002911A8">
              <w:rPr>
                <w:rFonts w:ascii="Times New Roman" w:hAnsi="Times New Roman"/>
                <w:sz w:val="18"/>
                <w:lang w:val="fr-FR"/>
              </w:rPr>
              <w:t>% (</w:t>
            </w:r>
            <w:r w:rsidR="004D770F" w:rsidRPr="002911A8">
              <w:rPr>
                <w:rFonts w:ascii="Times New Roman" w:hAnsi="Times New Roman"/>
                <w:sz w:val="18"/>
                <w:lang w:val="fr-FR"/>
              </w:rPr>
              <w:t>juin</w:t>
            </w:r>
            <w:r w:rsidRPr="002911A8">
              <w:rPr>
                <w:rFonts w:ascii="Times New Roman" w:hAnsi="Times New Roman"/>
                <w:sz w:val="18"/>
                <w:lang w:val="fr-FR"/>
              </w:rPr>
              <w:t xml:space="preserve"> 2010)</w:t>
            </w:r>
          </w:p>
        </w:tc>
      </w:tr>
      <w:tr w:rsidR="000B562B" w:rsidRPr="002911A8" w:rsidTr="00066B85">
        <w:tblPrEx>
          <w:tblCellMar>
            <w:top w:w="0" w:type="dxa"/>
            <w:bottom w:w="0" w:type="dxa"/>
          </w:tblCellMar>
        </w:tblPrEx>
        <w:trPr>
          <w:cantSplit/>
          <w:trHeight w:val="240"/>
        </w:trPr>
        <w:tc>
          <w:tcPr>
            <w:tcW w:w="3708" w:type="dxa"/>
            <w:shd w:val="clear" w:color="auto" w:fill="auto"/>
          </w:tcPr>
          <w:p w:rsidR="000B562B" w:rsidRPr="002911A8" w:rsidRDefault="00FD0E67" w:rsidP="00FD0E67">
            <w:pPr>
              <w:pStyle w:val="Text"/>
              <w:spacing w:before="40" w:after="40" w:line="220" w:lineRule="exact"/>
              <w:rPr>
                <w:rFonts w:ascii="Times New Roman" w:hAnsi="Times New Roman"/>
                <w:sz w:val="18"/>
                <w:lang w:val="fr-FR"/>
              </w:rPr>
            </w:pPr>
            <w:r w:rsidRPr="002911A8">
              <w:rPr>
                <w:rFonts w:ascii="Times New Roman" w:hAnsi="Times New Roman"/>
                <w:sz w:val="18"/>
                <w:lang w:val="fr-FR"/>
              </w:rPr>
              <w:t>Déficit public</w:t>
            </w:r>
            <w:r w:rsidR="000B562B" w:rsidRPr="002911A8">
              <w:rPr>
                <w:rFonts w:ascii="Times New Roman" w:hAnsi="Times New Roman"/>
                <w:sz w:val="18"/>
                <w:lang w:val="fr-FR"/>
              </w:rPr>
              <w:t>/</w:t>
            </w:r>
            <w:r w:rsidRPr="002911A8">
              <w:rPr>
                <w:rFonts w:ascii="Times New Roman" w:hAnsi="Times New Roman"/>
                <w:sz w:val="18"/>
                <w:lang w:val="fr-FR"/>
              </w:rPr>
              <w:t>Excédent budgétaire</w:t>
            </w:r>
            <w:r w:rsidR="000B562B" w:rsidRPr="002911A8">
              <w:rPr>
                <w:rStyle w:val="FootnoteReference"/>
                <w:szCs w:val="22"/>
              </w:rPr>
              <w:footnoteReference w:id="91"/>
            </w:r>
          </w:p>
        </w:tc>
        <w:tc>
          <w:tcPr>
            <w:tcW w:w="3662" w:type="dxa"/>
            <w:shd w:val="clear" w:color="auto" w:fill="auto"/>
            <w:vAlign w:val="bottom"/>
          </w:tcPr>
          <w:p w:rsidR="000B562B" w:rsidRPr="002911A8" w:rsidRDefault="000B562B" w:rsidP="00BE70B4">
            <w:pPr>
              <w:pStyle w:val="Text"/>
              <w:spacing w:before="40" w:after="40" w:line="220" w:lineRule="exact"/>
              <w:ind w:left="113"/>
              <w:jc w:val="right"/>
              <w:rPr>
                <w:rFonts w:ascii="Times New Roman" w:hAnsi="Times New Roman"/>
                <w:sz w:val="18"/>
                <w:lang w:val="fr-FR"/>
              </w:rPr>
            </w:pPr>
            <w:r w:rsidRPr="002911A8">
              <w:rPr>
                <w:rFonts w:ascii="Times New Roman" w:hAnsi="Times New Roman"/>
                <w:sz w:val="18"/>
                <w:lang w:val="fr-FR"/>
              </w:rPr>
              <w:t>-159</w:t>
            </w:r>
            <w:r w:rsidR="00BE70B4" w:rsidRPr="002911A8">
              <w:rPr>
                <w:rFonts w:ascii="Times New Roman" w:hAnsi="Times New Roman"/>
                <w:sz w:val="18"/>
                <w:lang w:val="fr-FR"/>
              </w:rPr>
              <w:t>,</w:t>
            </w:r>
            <w:r w:rsidRPr="002911A8">
              <w:rPr>
                <w:rFonts w:ascii="Times New Roman" w:hAnsi="Times New Roman"/>
                <w:sz w:val="18"/>
                <w:lang w:val="fr-FR"/>
              </w:rPr>
              <w:t xml:space="preserve">2 </w:t>
            </w:r>
            <w:r w:rsidR="00BE70B4" w:rsidRPr="002911A8">
              <w:rPr>
                <w:rFonts w:ascii="Times New Roman" w:hAnsi="Times New Roman"/>
                <w:sz w:val="18"/>
                <w:lang w:val="fr-FR"/>
              </w:rPr>
              <w:t>milliards</w:t>
            </w:r>
            <w:r w:rsidRPr="002911A8">
              <w:rPr>
                <w:rFonts w:ascii="Times New Roman" w:hAnsi="Times New Roman"/>
                <w:sz w:val="18"/>
                <w:lang w:val="fr-FR"/>
              </w:rPr>
              <w:t xml:space="preserve"> </w:t>
            </w:r>
            <w:r w:rsidR="00BE70B4" w:rsidRPr="002911A8">
              <w:rPr>
                <w:rFonts w:ascii="Times New Roman" w:hAnsi="Times New Roman"/>
                <w:sz w:val="18"/>
                <w:lang w:val="fr-FR"/>
              </w:rPr>
              <w:t xml:space="preserve">£ </w:t>
            </w:r>
            <w:r w:rsidRPr="002911A8">
              <w:rPr>
                <w:rFonts w:ascii="Times New Roman" w:hAnsi="Times New Roman"/>
                <w:sz w:val="18"/>
                <w:lang w:val="fr-FR"/>
              </w:rPr>
              <w:t>(</w:t>
            </w:r>
            <w:r w:rsidR="00BE70B4" w:rsidRPr="002911A8">
              <w:rPr>
                <w:rFonts w:ascii="Times New Roman" w:hAnsi="Times New Roman"/>
                <w:sz w:val="18"/>
                <w:lang w:val="fr-FR"/>
              </w:rPr>
              <w:t>soit</w:t>
            </w:r>
            <w:r w:rsidRPr="002911A8">
              <w:rPr>
                <w:rFonts w:ascii="Times New Roman" w:hAnsi="Times New Roman"/>
                <w:sz w:val="18"/>
                <w:lang w:val="fr-FR"/>
              </w:rPr>
              <w:t xml:space="preserve"> 11</w:t>
            </w:r>
            <w:r w:rsidR="00BE70B4" w:rsidRPr="002911A8">
              <w:rPr>
                <w:rFonts w:ascii="Times New Roman" w:hAnsi="Times New Roman"/>
                <w:sz w:val="18"/>
                <w:lang w:val="fr-FR"/>
              </w:rPr>
              <w:t>,</w:t>
            </w:r>
            <w:r w:rsidRPr="002911A8">
              <w:rPr>
                <w:rFonts w:ascii="Times New Roman" w:hAnsi="Times New Roman"/>
                <w:sz w:val="18"/>
                <w:lang w:val="fr-FR"/>
              </w:rPr>
              <w:t xml:space="preserve">4 </w:t>
            </w:r>
            <w:r w:rsidR="00BE70B4" w:rsidRPr="002911A8">
              <w:rPr>
                <w:rFonts w:ascii="Times New Roman" w:hAnsi="Times New Roman"/>
                <w:sz w:val="18"/>
                <w:lang w:val="fr-FR"/>
              </w:rPr>
              <w:t>%</w:t>
            </w:r>
            <w:r w:rsidRPr="002911A8">
              <w:rPr>
                <w:rFonts w:ascii="Times New Roman" w:hAnsi="Times New Roman"/>
                <w:sz w:val="18"/>
                <w:lang w:val="fr-FR"/>
              </w:rPr>
              <w:t xml:space="preserve"> </w:t>
            </w:r>
            <w:r w:rsidR="00BE70B4" w:rsidRPr="002911A8">
              <w:rPr>
                <w:rFonts w:ascii="Times New Roman" w:hAnsi="Times New Roman"/>
                <w:sz w:val="18"/>
                <w:lang w:val="fr-FR"/>
              </w:rPr>
              <w:t>du PIB)</w:t>
            </w:r>
            <w:r w:rsidRPr="002911A8">
              <w:rPr>
                <w:rFonts w:ascii="Times New Roman" w:hAnsi="Times New Roman"/>
                <w:sz w:val="18"/>
                <w:lang w:val="fr-FR"/>
              </w:rPr>
              <w:t xml:space="preserve"> 2009</w:t>
            </w:r>
          </w:p>
        </w:tc>
      </w:tr>
      <w:tr w:rsidR="000B562B" w:rsidRPr="002911A8" w:rsidTr="00066B85">
        <w:tblPrEx>
          <w:tblCellMar>
            <w:top w:w="0" w:type="dxa"/>
            <w:bottom w:w="0" w:type="dxa"/>
          </w:tblCellMar>
        </w:tblPrEx>
        <w:trPr>
          <w:cantSplit/>
          <w:trHeight w:val="240"/>
        </w:trPr>
        <w:tc>
          <w:tcPr>
            <w:tcW w:w="3708" w:type="dxa"/>
            <w:shd w:val="clear" w:color="auto" w:fill="auto"/>
          </w:tcPr>
          <w:p w:rsidR="000B562B" w:rsidRPr="002911A8" w:rsidRDefault="00BE70B4" w:rsidP="000F0266">
            <w:pPr>
              <w:pStyle w:val="Text"/>
              <w:spacing w:before="40" w:after="40" w:line="220" w:lineRule="exact"/>
              <w:rPr>
                <w:rFonts w:ascii="Times New Roman" w:hAnsi="Times New Roman"/>
                <w:sz w:val="18"/>
                <w:lang w:val="fr-FR"/>
              </w:rPr>
            </w:pPr>
            <w:r w:rsidRPr="002911A8">
              <w:rPr>
                <w:rFonts w:ascii="Times New Roman" w:hAnsi="Times New Roman"/>
                <w:sz w:val="18"/>
                <w:lang w:val="fr-FR"/>
              </w:rPr>
              <w:t>Dette publique</w:t>
            </w:r>
            <w:r w:rsidR="000B562B" w:rsidRPr="002911A8">
              <w:rPr>
                <w:rStyle w:val="FootnoteReference"/>
                <w:szCs w:val="22"/>
              </w:rPr>
              <w:footnoteReference w:id="92"/>
            </w:r>
          </w:p>
        </w:tc>
        <w:tc>
          <w:tcPr>
            <w:tcW w:w="3662" w:type="dxa"/>
            <w:shd w:val="clear" w:color="auto" w:fill="auto"/>
            <w:vAlign w:val="bottom"/>
          </w:tcPr>
          <w:p w:rsidR="000B562B" w:rsidRPr="002911A8" w:rsidRDefault="000B562B" w:rsidP="00BE70B4">
            <w:pPr>
              <w:pStyle w:val="Text"/>
              <w:spacing w:before="40" w:after="40" w:line="220" w:lineRule="exact"/>
              <w:ind w:left="113"/>
              <w:jc w:val="right"/>
              <w:rPr>
                <w:rFonts w:ascii="Times New Roman" w:hAnsi="Times New Roman"/>
                <w:sz w:val="18"/>
                <w:lang w:val="fr-FR"/>
              </w:rPr>
            </w:pPr>
            <w:r w:rsidRPr="002911A8">
              <w:rPr>
                <w:rFonts w:ascii="Times New Roman" w:hAnsi="Times New Roman"/>
                <w:sz w:val="18"/>
                <w:lang w:val="fr-FR"/>
              </w:rPr>
              <w:t>950</w:t>
            </w:r>
            <w:r w:rsidR="00BE70B4" w:rsidRPr="002911A8">
              <w:rPr>
                <w:rFonts w:ascii="Times New Roman" w:hAnsi="Times New Roman"/>
                <w:sz w:val="18"/>
                <w:lang w:val="fr-FR"/>
              </w:rPr>
              <w:t>,</w:t>
            </w:r>
            <w:r w:rsidRPr="002911A8">
              <w:rPr>
                <w:rFonts w:ascii="Times New Roman" w:hAnsi="Times New Roman"/>
                <w:sz w:val="18"/>
                <w:lang w:val="fr-FR"/>
              </w:rPr>
              <w:t xml:space="preserve">4 </w:t>
            </w:r>
            <w:r w:rsidR="00BE70B4" w:rsidRPr="002911A8">
              <w:rPr>
                <w:rFonts w:ascii="Times New Roman" w:hAnsi="Times New Roman"/>
                <w:sz w:val="18"/>
                <w:lang w:val="fr-FR"/>
              </w:rPr>
              <w:t xml:space="preserve">milliards £ </w:t>
            </w:r>
            <w:r w:rsidRPr="002911A8">
              <w:rPr>
                <w:rFonts w:ascii="Times New Roman" w:hAnsi="Times New Roman"/>
                <w:sz w:val="18"/>
                <w:lang w:val="fr-FR"/>
              </w:rPr>
              <w:t>(</w:t>
            </w:r>
            <w:r w:rsidR="00BE70B4" w:rsidRPr="002911A8">
              <w:rPr>
                <w:rFonts w:ascii="Times New Roman" w:hAnsi="Times New Roman"/>
                <w:sz w:val="18"/>
                <w:lang w:val="fr-FR"/>
              </w:rPr>
              <w:t>soit</w:t>
            </w:r>
            <w:r w:rsidRPr="002911A8">
              <w:rPr>
                <w:rFonts w:ascii="Times New Roman" w:hAnsi="Times New Roman"/>
                <w:sz w:val="18"/>
                <w:lang w:val="fr-FR"/>
              </w:rPr>
              <w:t xml:space="preserve"> 68</w:t>
            </w:r>
            <w:r w:rsidR="00BE70B4" w:rsidRPr="002911A8">
              <w:rPr>
                <w:rFonts w:ascii="Times New Roman" w:hAnsi="Times New Roman"/>
                <w:sz w:val="18"/>
                <w:lang w:val="fr-FR"/>
              </w:rPr>
              <w:t>,</w:t>
            </w:r>
            <w:r w:rsidRPr="002911A8">
              <w:rPr>
                <w:rFonts w:ascii="Times New Roman" w:hAnsi="Times New Roman"/>
                <w:sz w:val="18"/>
                <w:lang w:val="fr-FR"/>
              </w:rPr>
              <w:t xml:space="preserve">1 </w:t>
            </w:r>
            <w:r w:rsidR="00BE70B4" w:rsidRPr="002911A8">
              <w:rPr>
                <w:rFonts w:ascii="Times New Roman" w:hAnsi="Times New Roman"/>
                <w:sz w:val="18"/>
                <w:lang w:val="fr-FR"/>
              </w:rPr>
              <w:t>% du PIB</w:t>
            </w:r>
            <w:r w:rsidRPr="002911A8">
              <w:rPr>
                <w:rFonts w:ascii="Times New Roman" w:hAnsi="Times New Roman"/>
                <w:sz w:val="18"/>
                <w:lang w:val="fr-FR"/>
              </w:rPr>
              <w:t>) 2009</w:t>
            </w:r>
          </w:p>
        </w:tc>
      </w:tr>
      <w:tr w:rsidR="000B562B" w:rsidRPr="002911A8" w:rsidTr="00066B85">
        <w:tblPrEx>
          <w:tblCellMar>
            <w:top w:w="0" w:type="dxa"/>
            <w:bottom w:w="0" w:type="dxa"/>
          </w:tblCellMar>
        </w:tblPrEx>
        <w:trPr>
          <w:cantSplit/>
          <w:trHeight w:val="240"/>
        </w:trPr>
        <w:tc>
          <w:tcPr>
            <w:tcW w:w="3708" w:type="dxa"/>
            <w:shd w:val="clear" w:color="auto" w:fill="auto"/>
          </w:tcPr>
          <w:p w:rsidR="000B562B" w:rsidRPr="002911A8" w:rsidRDefault="00BE70B4" w:rsidP="000F0266">
            <w:pPr>
              <w:pStyle w:val="Text"/>
              <w:spacing w:before="40" w:after="40" w:line="220" w:lineRule="exact"/>
              <w:rPr>
                <w:rFonts w:ascii="Times New Roman" w:hAnsi="Times New Roman"/>
                <w:sz w:val="18"/>
                <w:lang w:val="fr-FR"/>
              </w:rPr>
            </w:pPr>
            <w:r w:rsidRPr="002911A8">
              <w:rPr>
                <w:rFonts w:ascii="Times New Roman" w:hAnsi="Times New Roman"/>
                <w:sz w:val="18"/>
                <w:lang w:val="fr-FR"/>
              </w:rPr>
              <w:t>Taux d’emploi</w:t>
            </w:r>
            <w:r w:rsidR="000B562B" w:rsidRPr="002911A8">
              <w:rPr>
                <w:rStyle w:val="FootnoteReference"/>
                <w:szCs w:val="22"/>
              </w:rPr>
              <w:footnoteReference w:id="93"/>
            </w:r>
          </w:p>
        </w:tc>
        <w:tc>
          <w:tcPr>
            <w:tcW w:w="3662" w:type="dxa"/>
            <w:shd w:val="clear" w:color="auto" w:fill="auto"/>
            <w:vAlign w:val="bottom"/>
          </w:tcPr>
          <w:p w:rsidR="000B562B" w:rsidRPr="002911A8" w:rsidRDefault="000B562B" w:rsidP="00BE70B4">
            <w:pPr>
              <w:pStyle w:val="Text"/>
              <w:spacing w:before="40" w:after="40" w:line="220" w:lineRule="exact"/>
              <w:ind w:left="113"/>
              <w:jc w:val="right"/>
              <w:rPr>
                <w:rFonts w:ascii="Times New Roman" w:hAnsi="Times New Roman"/>
                <w:sz w:val="18"/>
                <w:lang w:val="fr-FR"/>
              </w:rPr>
            </w:pPr>
            <w:r w:rsidRPr="002911A8">
              <w:rPr>
                <w:rFonts w:ascii="Times New Roman" w:hAnsi="Times New Roman"/>
                <w:sz w:val="18"/>
                <w:lang w:val="fr-FR"/>
              </w:rPr>
              <w:t>72</w:t>
            </w:r>
            <w:r w:rsidR="00BE70B4" w:rsidRPr="002911A8">
              <w:rPr>
                <w:rFonts w:ascii="Times New Roman" w:hAnsi="Times New Roman"/>
                <w:sz w:val="18"/>
                <w:lang w:val="fr-FR"/>
              </w:rPr>
              <w:t>,</w:t>
            </w:r>
            <w:r w:rsidRPr="002911A8">
              <w:rPr>
                <w:rFonts w:ascii="Times New Roman" w:hAnsi="Times New Roman"/>
                <w:sz w:val="18"/>
                <w:lang w:val="fr-FR"/>
              </w:rPr>
              <w:t>3</w:t>
            </w:r>
            <w:r w:rsidR="00BE70B4" w:rsidRPr="002911A8">
              <w:rPr>
                <w:rFonts w:ascii="Times New Roman" w:hAnsi="Times New Roman"/>
                <w:sz w:val="18"/>
                <w:lang w:val="fr-FR"/>
              </w:rPr>
              <w:t xml:space="preserve"> </w:t>
            </w:r>
            <w:r w:rsidRPr="002911A8">
              <w:rPr>
                <w:rFonts w:ascii="Times New Roman" w:hAnsi="Times New Roman"/>
                <w:sz w:val="18"/>
                <w:lang w:val="fr-FR"/>
              </w:rPr>
              <w:t>% (28</w:t>
            </w:r>
            <w:r w:rsidR="00BE70B4" w:rsidRPr="002911A8">
              <w:rPr>
                <w:rFonts w:ascii="Times New Roman" w:hAnsi="Times New Roman"/>
                <w:sz w:val="18"/>
                <w:lang w:val="fr-FR"/>
              </w:rPr>
              <w:t>,</w:t>
            </w:r>
            <w:r w:rsidRPr="002911A8">
              <w:rPr>
                <w:rFonts w:ascii="Times New Roman" w:hAnsi="Times New Roman"/>
                <w:sz w:val="18"/>
                <w:lang w:val="fr-FR"/>
              </w:rPr>
              <w:t>984 million</w:t>
            </w:r>
            <w:r w:rsidR="00BE70B4" w:rsidRPr="002911A8">
              <w:rPr>
                <w:rFonts w:ascii="Times New Roman" w:hAnsi="Times New Roman"/>
                <w:sz w:val="18"/>
                <w:lang w:val="fr-FR"/>
              </w:rPr>
              <w:t>s</w:t>
            </w:r>
            <w:r w:rsidRPr="002911A8">
              <w:rPr>
                <w:rFonts w:ascii="Times New Roman" w:hAnsi="Times New Roman"/>
                <w:sz w:val="18"/>
                <w:lang w:val="fr-FR"/>
              </w:rPr>
              <w:t>) (</w:t>
            </w:r>
            <w:r w:rsidR="00BE70B4" w:rsidRPr="002911A8">
              <w:rPr>
                <w:rFonts w:ascii="Times New Roman" w:hAnsi="Times New Roman"/>
                <w:sz w:val="18"/>
                <w:lang w:val="fr-FR"/>
              </w:rPr>
              <w:t>mars-m</w:t>
            </w:r>
            <w:r w:rsidRPr="002911A8">
              <w:rPr>
                <w:rFonts w:ascii="Times New Roman" w:hAnsi="Times New Roman"/>
                <w:sz w:val="18"/>
                <w:lang w:val="fr-FR"/>
              </w:rPr>
              <w:t>a</w:t>
            </w:r>
            <w:r w:rsidR="00BE70B4" w:rsidRPr="002911A8">
              <w:rPr>
                <w:rFonts w:ascii="Times New Roman" w:hAnsi="Times New Roman"/>
                <w:sz w:val="18"/>
                <w:lang w:val="fr-FR"/>
              </w:rPr>
              <w:t>i</w:t>
            </w:r>
            <w:r w:rsidRPr="002911A8">
              <w:rPr>
                <w:rFonts w:ascii="Times New Roman" w:hAnsi="Times New Roman"/>
                <w:sz w:val="18"/>
                <w:lang w:val="fr-FR"/>
              </w:rPr>
              <w:t xml:space="preserve"> 2010)</w:t>
            </w:r>
          </w:p>
        </w:tc>
      </w:tr>
      <w:tr w:rsidR="000B562B" w:rsidRPr="002911A8" w:rsidTr="00066B85">
        <w:tblPrEx>
          <w:tblCellMar>
            <w:top w:w="0" w:type="dxa"/>
            <w:bottom w:w="0" w:type="dxa"/>
          </w:tblCellMar>
        </w:tblPrEx>
        <w:trPr>
          <w:cantSplit/>
          <w:trHeight w:val="240"/>
        </w:trPr>
        <w:tc>
          <w:tcPr>
            <w:tcW w:w="3708" w:type="dxa"/>
            <w:tcBorders>
              <w:bottom w:val="single" w:sz="12" w:space="0" w:color="auto"/>
            </w:tcBorders>
            <w:shd w:val="clear" w:color="auto" w:fill="auto"/>
          </w:tcPr>
          <w:p w:rsidR="000B562B" w:rsidRPr="002911A8" w:rsidRDefault="00BE70B4" w:rsidP="000F0266">
            <w:pPr>
              <w:pStyle w:val="Text"/>
              <w:spacing w:before="40" w:after="40" w:line="220" w:lineRule="exact"/>
              <w:rPr>
                <w:rFonts w:ascii="Times New Roman" w:hAnsi="Times New Roman"/>
                <w:sz w:val="18"/>
                <w:lang w:val="fr-FR"/>
              </w:rPr>
            </w:pPr>
            <w:r w:rsidRPr="002911A8">
              <w:rPr>
                <w:rFonts w:ascii="Times New Roman" w:hAnsi="Times New Roman"/>
                <w:sz w:val="18"/>
                <w:lang w:val="fr-FR"/>
              </w:rPr>
              <w:t>Alphabétisation des adultes</w:t>
            </w:r>
            <w:r w:rsidR="000B562B" w:rsidRPr="002911A8">
              <w:rPr>
                <w:rStyle w:val="FootnoteReference"/>
                <w:szCs w:val="22"/>
              </w:rPr>
              <w:footnoteReference w:id="94"/>
            </w:r>
          </w:p>
        </w:tc>
        <w:tc>
          <w:tcPr>
            <w:tcW w:w="3662" w:type="dxa"/>
            <w:tcBorders>
              <w:bottom w:val="single" w:sz="12" w:space="0" w:color="auto"/>
            </w:tcBorders>
            <w:shd w:val="clear" w:color="auto" w:fill="auto"/>
            <w:vAlign w:val="bottom"/>
          </w:tcPr>
          <w:p w:rsidR="000B562B" w:rsidRPr="002911A8" w:rsidRDefault="000B562B" w:rsidP="00BE70B4">
            <w:pPr>
              <w:pStyle w:val="Text"/>
              <w:spacing w:before="40" w:after="40" w:line="220" w:lineRule="exact"/>
              <w:ind w:left="113"/>
              <w:jc w:val="right"/>
              <w:rPr>
                <w:rFonts w:ascii="Times New Roman" w:hAnsi="Times New Roman"/>
                <w:sz w:val="18"/>
                <w:lang w:val="fr-FR"/>
              </w:rPr>
            </w:pPr>
            <w:r w:rsidRPr="002911A8">
              <w:rPr>
                <w:rFonts w:ascii="Times New Roman" w:hAnsi="Times New Roman"/>
                <w:sz w:val="18"/>
                <w:lang w:val="fr-FR"/>
              </w:rPr>
              <w:t>99</w:t>
            </w:r>
            <w:r w:rsidR="00BE70B4" w:rsidRPr="002911A8">
              <w:rPr>
                <w:rFonts w:ascii="Times New Roman" w:hAnsi="Times New Roman"/>
                <w:sz w:val="18"/>
                <w:lang w:val="fr-FR"/>
              </w:rPr>
              <w:t>,</w:t>
            </w:r>
            <w:r w:rsidRPr="002911A8">
              <w:rPr>
                <w:rFonts w:ascii="Times New Roman" w:hAnsi="Times New Roman"/>
                <w:sz w:val="18"/>
                <w:lang w:val="fr-FR"/>
              </w:rPr>
              <w:t>0</w:t>
            </w:r>
            <w:r w:rsidR="00D0076C">
              <w:rPr>
                <w:sz w:val="18"/>
                <w:szCs w:val="18"/>
                <w:lang w:val="fr-FR"/>
              </w:rPr>
              <w:t> </w:t>
            </w:r>
            <w:r w:rsidRPr="002911A8">
              <w:rPr>
                <w:rFonts w:ascii="Times New Roman" w:hAnsi="Times New Roman"/>
                <w:sz w:val="18"/>
                <w:lang w:val="fr-FR"/>
              </w:rPr>
              <w:t>% (2009)</w:t>
            </w:r>
          </w:p>
        </w:tc>
      </w:tr>
    </w:tbl>
    <w:p w:rsidR="000B562B" w:rsidRPr="002911A8" w:rsidRDefault="000B562B" w:rsidP="008B7215">
      <w:pPr>
        <w:pStyle w:val="SingleTxtG"/>
      </w:pP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3683"/>
        <w:gridCol w:w="3687"/>
      </w:tblGrid>
      <w:tr w:rsidR="000B562B" w:rsidRPr="00D0076C" w:rsidTr="009C1B30">
        <w:tblPrEx>
          <w:tblCellMar>
            <w:top w:w="0" w:type="dxa"/>
            <w:bottom w:w="0" w:type="dxa"/>
          </w:tblCellMar>
        </w:tblPrEx>
        <w:trPr>
          <w:cantSplit/>
          <w:trHeight w:val="240"/>
          <w:tblHeader/>
        </w:trPr>
        <w:tc>
          <w:tcPr>
            <w:tcW w:w="3683" w:type="dxa"/>
            <w:tcBorders>
              <w:top w:val="single" w:sz="4" w:space="0" w:color="auto"/>
              <w:bottom w:val="single" w:sz="4" w:space="0" w:color="auto"/>
            </w:tcBorders>
            <w:shd w:val="clear" w:color="auto" w:fill="auto"/>
          </w:tcPr>
          <w:p w:rsidR="000B562B" w:rsidRPr="00D0076C" w:rsidRDefault="009C1B30" w:rsidP="003A0226">
            <w:pPr>
              <w:suppressAutoHyphens w:val="0"/>
              <w:spacing w:before="80" w:after="80" w:line="220" w:lineRule="exact"/>
              <w:rPr>
                <w:i/>
                <w:iCs/>
                <w:sz w:val="16"/>
                <w:szCs w:val="16"/>
                <w:lang w:val="fr-FR"/>
              </w:rPr>
            </w:pPr>
            <w:r w:rsidRPr="009C1B30">
              <w:rPr>
                <w:i/>
                <w:iCs/>
                <w:sz w:val="16"/>
                <w:szCs w:val="16"/>
                <w:lang w:val="fr-FR"/>
              </w:rPr>
              <w:t>Indicateurs du système politique</w:t>
            </w:r>
          </w:p>
        </w:tc>
        <w:tc>
          <w:tcPr>
            <w:tcW w:w="3687" w:type="dxa"/>
            <w:tcBorders>
              <w:top w:val="single" w:sz="4" w:space="0" w:color="auto"/>
              <w:bottom w:val="single" w:sz="4" w:space="0" w:color="auto"/>
            </w:tcBorders>
            <w:shd w:val="clear" w:color="auto" w:fill="auto"/>
            <w:tcMar>
              <w:right w:w="0" w:type="dxa"/>
            </w:tcMar>
          </w:tcPr>
          <w:p w:rsidR="000B562B" w:rsidRPr="00D0076C" w:rsidRDefault="000B562B" w:rsidP="004D4AFD">
            <w:pPr>
              <w:suppressAutoHyphens w:val="0"/>
              <w:spacing w:before="80" w:after="80" w:line="220" w:lineRule="exact"/>
              <w:ind w:right="57"/>
              <w:jc w:val="right"/>
              <w:rPr>
                <w:i/>
                <w:iCs/>
                <w:sz w:val="16"/>
                <w:szCs w:val="16"/>
                <w:lang w:val="fr-FR"/>
              </w:rPr>
            </w:pPr>
          </w:p>
        </w:tc>
      </w:tr>
      <w:tr w:rsidR="009B5999" w:rsidRPr="00D0076C" w:rsidTr="004D4AFD">
        <w:tblPrEx>
          <w:tblCellMar>
            <w:top w:w="0" w:type="dxa"/>
            <w:bottom w:w="0" w:type="dxa"/>
          </w:tblCellMar>
        </w:tblPrEx>
        <w:trPr>
          <w:cantSplit/>
          <w:trHeight w:val="240"/>
          <w:tblHeader/>
        </w:trPr>
        <w:tc>
          <w:tcPr>
            <w:tcW w:w="3683" w:type="dxa"/>
            <w:tcBorders>
              <w:top w:val="single" w:sz="4" w:space="0" w:color="auto"/>
              <w:bottom w:val="single" w:sz="12" w:space="0" w:color="auto"/>
            </w:tcBorders>
            <w:shd w:val="clear" w:color="auto" w:fill="auto"/>
          </w:tcPr>
          <w:p w:rsidR="009B5999" w:rsidRPr="00D0076C" w:rsidRDefault="009C1B30" w:rsidP="003A0226">
            <w:pPr>
              <w:suppressAutoHyphens w:val="0"/>
              <w:spacing w:before="80" w:after="80" w:line="220" w:lineRule="exact"/>
              <w:rPr>
                <w:i/>
                <w:iCs/>
                <w:sz w:val="16"/>
                <w:szCs w:val="16"/>
                <w:lang w:val="fr-FR"/>
              </w:rPr>
            </w:pPr>
            <w:r w:rsidRPr="00D0076C">
              <w:rPr>
                <w:i/>
                <w:iCs/>
                <w:sz w:val="16"/>
                <w:szCs w:val="16"/>
                <w:lang w:val="fr-FR"/>
              </w:rPr>
              <w:t>Indicateur</w:t>
            </w:r>
          </w:p>
        </w:tc>
        <w:tc>
          <w:tcPr>
            <w:tcW w:w="3687" w:type="dxa"/>
            <w:tcBorders>
              <w:top w:val="single" w:sz="4" w:space="0" w:color="auto"/>
              <w:bottom w:val="single" w:sz="12" w:space="0" w:color="auto"/>
            </w:tcBorders>
            <w:shd w:val="clear" w:color="auto" w:fill="auto"/>
            <w:tcMar>
              <w:right w:w="0" w:type="dxa"/>
            </w:tcMar>
          </w:tcPr>
          <w:p w:rsidR="009B5999" w:rsidRPr="00D0076C" w:rsidRDefault="009C1B30" w:rsidP="004D4AFD">
            <w:pPr>
              <w:suppressAutoHyphens w:val="0"/>
              <w:spacing w:before="80" w:after="80" w:line="220" w:lineRule="exact"/>
              <w:ind w:right="57"/>
              <w:jc w:val="right"/>
              <w:rPr>
                <w:i/>
                <w:iCs/>
                <w:sz w:val="16"/>
                <w:szCs w:val="16"/>
                <w:lang w:val="fr-FR"/>
              </w:rPr>
            </w:pPr>
            <w:r w:rsidRPr="00D0076C">
              <w:rPr>
                <w:i/>
                <w:iCs/>
                <w:sz w:val="16"/>
                <w:szCs w:val="16"/>
                <w:lang w:val="fr-FR"/>
              </w:rPr>
              <w:t>Valeur</w:t>
            </w:r>
          </w:p>
        </w:tc>
      </w:tr>
      <w:tr w:rsidR="000B562B" w:rsidRPr="00394CBB" w:rsidTr="004D4AFD">
        <w:tblPrEx>
          <w:tblCellMar>
            <w:top w:w="0" w:type="dxa"/>
            <w:bottom w:w="0" w:type="dxa"/>
          </w:tblCellMar>
        </w:tblPrEx>
        <w:trPr>
          <w:cantSplit/>
          <w:trHeight w:val="240"/>
        </w:trPr>
        <w:tc>
          <w:tcPr>
            <w:tcW w:w="3683" w:type="dxa"/>
            <w:tcBorders>
              <w:top w:val="single" w:sz="12" w:space="0" w:color="auto"/>
            </w:tcBorders>
            <w:shd w:val="clear" w:color="auto" w:fill="auto"/>
          </w:tcPr>
          <w:p w:rsidR="000B562B" w:rsidRPr="00394CBB" w:rsidRDefault="000B562B" w:rsidP="00394CBB">
            <w:pPr>
              <w:suppressAutoHyphens w:val="0"/>
              <w:spacing w:before="40" w:after="40" w:line="220" w:lineRule="exact"/>
              <w:rPr>
                <w:sz w:val="18"/>
                <w:szCs w:val="18"/>
                <w:lang w:val="fr-FR"/>
              </w:rPr>
            </w:pPr>
            <w:r w:rsidRPr="00394CBB">
              <w:rPr>
                <w:sz w:val="18"/>
                <w:szCs w:val="18"/>
                <w:lang w:val="fr-FR"/>
              </w:rPr>
              <w:t>N</w:t>
            </w:r>
            <w:r w:rsidR="00AC6162" w:rsidRPr="00394CBB">
              <w:rPr>
                <w:sz w:val="18"/>
                <w:szCs w:val="18"/>
                <w:lang w:val="fr-FR"/>
              </w:rPr>
              <w:t>o</w:t>
            </w:r>
            <w:r w:rsidRPr="00394CBB">
              <w:rPr>
                <w:sz w:val="18"/>
                <w:szCs w:val="18"/>
                <w:lang w:val="fr-FR"/>
              </w:rPr>
              <w:t>mb</w:t>
            </w:r>
            <w:r w:rsidR="00AC6162" w:rsidRPr="00394CBB">
              <w:rPr>
                <w:sz w:val="18"/>
                <w:szCs w:val="18"/>
                <w:lang w:val="fr-FR"/>
              </w:rPr>
              <w:t>re</w:t>
            </w:r>
            <w:r w:rsidRPr="00394CBB">
              <w:rPr>
                <w:sz w:val="18"/>
                <w:szCs w:val="18"/>
                <w:lang w:val="fr-FR"/>
              </w:rPr>
              <w:t xml:space="preserve"> </w:t>
            </w:r>
            <w:r w:rsidR="004F22AE" w:rsidRPr="00394CBB">
              <w:rPr>
                <w:sz w:val="18"/>
                <w:szCs w:val="18"/>
                <w:lang w:val="fr-FR"/>
              </w:rPr>
              <w:t>de</w:t>
            </w:r>
            <w:r w:rsidRPr="00394CBB">
              <w:rPr>
                <w:sz w:val="18"/>
                <w:szCs w:val="18"/>
                <w:lang w:val="fr-FR"/>
              </w:rPr>
              <w:t xml:space="preserve"> </w:t>
            </w:r>
            <w:r w:rsidR="00AC6162" w:rsidRPr="00394CBB">
              <w:rPr>
                <w:sz w:val="18"/>
                <w:szCs w:val="18"/>
                <w:lang w:val="fr-FR"/>
              </w:rPr>
              <w:t xml:space="preserve">partis politiques reconnus à </w:t>
            </w:r>
            <w:r w:rsidR="00E654D3">
              <w:rPr>
                <w:sz w:val="18"/>
                <w:szCs w:val="18"/>
                <w:lang w:val="fr-FR"/>
              </w:rPr>
              <w:br/>
            </w:r>
            <w:r w:rsidR="00AC6162" w:rsidRPr="00394CBB">
              <w:rPr>
                <w:sz w:val="18"/>
                <w:szCs w:val="18"/>
                <w:lang w:val="fr-FR"/>
              </w:rPr>
              <w:t>l’échelon national</w:t>
            </w:r>
          </w:p>
        </w:tc>
        <w:tc>
          <w:tcPr>
            <w:tcW w:w="3687" w:type="dxa"/>
            <w:tcBorders>
              <w:top w:val="single" w:sz="12" w:space="0" w:color="auto"/>
            </w:tcBorders>
            <w:shd w:val="clear" w:color="auto" w:fill="auto"/>
            <w:tcMar>
              <w:right w:w="0" w:type="dxa"/>
            </w:tcMar>
            <w:vAlign w:val="bottom"/>
          </w:tcPr>
          <w:p w:rsidR="000B562B" w:rsidRPr="00394CBB" w:rsidRDefault="000B562B" w:rsidP="004D4AFD">
            <w:pPr>
              <w:suppressAutoHyphens w:val="0"/>
              <w:spacing w:before="40" w:after="40" w:line="220" w:lineRule="exact"/>
              <w:ind w:right="57"/>
              <w:jc w:val="right"/>
              <w:rPr>
                <w:sz w:val="18"/>
                <w:szCs w:val="18"/>
                <w:lang w:val="fr-FR"/>
              </w:rPr>
            </w:pPr>
            <w:r w:rsidRPr="00394CBB">
              <w:rPr>
                <w:sz w:val="18"/>
                <w:szCs w:val="18"/>
                <w:lang w:val="fr-FR"/>
              </w:rPr>
              <w:t xml:space="preserve">121 (plus </w:t>
            </w:r>
            <w:r w:rsidR="00AC6162" w:rsidRPr="00394CBB">
              <w:rPr>
                <w:sz w:val="18"/>
                <w:szCs w:val="18"/>
                <w:lang w:val="fr-FR"/>
              </w:rPr>
              <w:t xml:space="preserve">des candidats </w:t>
            </w:r>
            <w:r w:rsidRPr="00394CBB">
              <w:rPr>
                <w:sz w:val="18"/>
                <w:szCs w:val="18"/>
                <w:lang w:val="fr-FR"/>
              </w:rPr>
              <w:t>ind</w:t>
            </w:r>
            <w:r w:rsidR="00AC6162" w:rsidRPr="00394CBB">
              <w:rPr>
                <w:sz w:val="18"/>
                <w:szCs w:val="18"/>
                <w:lang w:val="fr-FR"/>
              </w:rPr>
              <w:t>é</w:t>
            </w:r>
            <w:r w:rsidRPr="00394CBB">
              <w:rPr>
                <w:sz w:val="18"/>
                <w:szCs w:val="18"/>
                <w:lang w:val="fr-FR"/>
              </w:rPr>
              <w:t>pend</w:t>
            </w:r>
            <w:r w:rsidR="00AC6162" w:rsidRPr="00394CBB">
              <w:rPr>
                <w:sz w:val="18"/>
                <w:szCs w:val="18"/>
                <w:lang w:val="fr-FR"/>
              </w:rPr>
              <w:t>a</w:t>
            </w:r>
            <w:r w:rsidRPr="00394CBB">
              <w:rPr>
                <w:sz w:val="18"/>
                <w:szCs w:val="18"/>
                <w:lang w:val="fr-FR"/>
              </w:rPr>
              <w:t>nt</w:t>
            </w:r>
            <w:r w:rsidR="00AC6162" w:rsidRPr="00394CBB">
              <w:rPr>
                <w:sz w:val="18"/>
                <w:szCs w:val="18"/>
                <w:lang w:val="fr-FR"/>
              </w:rPr>
              <w:t>s</w:t>
            </w:r>
            <w:r w:rsidRPr="00394CBB">
              <w:rPr>
                <w:sz w:val="18"/>
                <w:szCs w:val="18"/>
                <w:lang w:val="fr-FR"/>
              </w:rPr>
              <w:t>)</w:t>
            </w:r>
            <w:r w:rsidRPr="00394CBB">
              <w:rPr>
                <w:sz w:val="18"/>
                <w:szCs w:val="18"/>
                <w:vertAlign w:val="superscript"/>
                <w:lang w:val="fr-FR"/>
              </w:rPr>
              <w:footnoteReference w:id="95"/>
            </w:r>
          </w:p>
        </w:tc>
      </w:tr>
      <w:tr w:rsidR="000B562B" w:rsidRPr="00394CBB" w:rsidTr="004D4AFD">
        <w:tblPrEx>
          <w:tblCellMar>
            <w:top w:w="0" w:type="dxa"/>
            <w:bottom w:w="0" w:type="dxa"/>
          </w:tblCellMar>
        </w:tblPrEx>
        <w:trPr>
          <w:cantSplit/>
          <w:trHeight w:val="240"/>
        </w:trPr>
        <w:tc>
          <w:tcPr>
            <w:tcW w:w="3683" w:type="dxa"/>
            <w:shd w:val="clear" w:color="auto" w:fill="auto"/>
          </w:tcPr>
          <w:p w:rsidR="000B562B" w:rsidRPr="00394CBB" w:rsidRDefault="00323157" w:rsidP="00394CBB">
            <w:pPr>
              <w:suppressAutoHyphens w:val="0"/>
              <w:spacing w:before="40" w:after="40" w:line="220" w:lineRule="exact"/>
              <w:rPr>
                <w:sz w:val="18"/>
                <w:szCs w:val="18"/>
                <w:lang w:val="fr-FR"/>
              </w:rPr>
            </w:pPr>
            <w:r w:rsidRPr="00394CBB">
              <w:rPr>
                <w:sz w:val="18"/>
                <w:szCs w:val="18"/>
                <w:lang w:val="fr-FR"/>
              </w:rPr>
              <w:t>Pourcentage de la</w:t>
            </w:r>
            <w:r w:rsidR="000B562B" w:rsidRPr="00394CBB">
              <w:rPr>
                <w:sz w:val="18"/>
                <w:szCs w:val="18"/>
                <w:lang w:val="fr-FR"/>
              </w:rPr>
              <w:t xml:space="preserve"> population </w:t>
            </w:r>
            <w:r w:rsidRPr="00394CBB">
              <w:rPr>
                <w:sz w:val="18"/>
                <w:szCs w:val="18"/>
                <w:lang w:val="fr-FR"/>
              </w:rPr>
              <w:t xml:space="preserve">ayant le droit </w:t>
            </w:r>
            <w:r w:rsidR="00E654D3">
              <w:rPr>
                <w:sz w:val="18"/>
                <w:szCs w:val="18"/>
                <w:lang w:val="fr-FR"/>
              </w:rPr>
              <w:br/>
            </w:r>
            <w:r w:rsidRPr="00394CBB">
              <w:rPr>
                <w:sz w:val="18"/>
                <w:szCs w:val="18"/>
                <w:lang w:val="fr-FR"/>
              </w:rPr>
              <w:t>de</w:t>
            </w:r>
            <w:r w:rsidR="000B562B" w:rsidRPr="00394CBB">
              <w:rPr>
                <w:sz w:val="18"/>
                <w:szCs w:val="18"/>
                <w:lang w:val="fr-FR"/>
              </w:rPr>
              <w:t xml:space="preserve"> vote</w:t>
            </w:r>
          </w:p>
        </w:tc>
        <w:tc>
          <w:tcPr>
            <w:tcW w:w="3687" w:type="dxa"/>
            <w:shd w:val="clear" w:color="auto" w:fill="auto"/>
            <w:tcMar>
              <w:right w:w="0" w:type="dxa"/>
            </w:tcMar>
            <w:vAlign w:val="bottom"/>
          </w:tcPr>
          <w:p w:rsidR="000B562B" w:rsidRPr="00394CBB" w:rsidRDefault="000B562B" w:rsidP="004D4AFD">
            <w:pPr>
              <w:suppressAutoHyphens w:val="0"/>
              <w:spacing w:before="40" w:after="40" w:line="220" w:lineRule="exact"/>
              <w:ind w:right="57"/>
              <w:jc w:val="right"/>
              <w:rPr>
                <w:sz w:val="18"/>
                <w:szCs w:val="18"/>
                <w:lang w:val="fr-FR"/>
              </w:rPr>
            </w:pPr>
            <w:r w:rsidRPr="00394CBB">
              <w:rPr>
                <w:sz w:val="18"/>
                <w:szCs w:val="18"/>
                <w:lang w:val="fr-FR"/>
              </w:rPr>
              <w:t>78</w:t>
            </w:r>
            <w:r w:rsidR="00AC6162" w:rsidRPr="00394CBB">
              <w:rPr>
                <w:sz w:val="18"/>
                <w:szCs w:val="18"/>
                <w:lang w:val="fr-FR"/>
              </w:rPr>
              <w:t>,</w:t>
            </w:r>
            <w:r w:rsidRPr="00394CBB">
              <w:rPr>
                <w:sz w:val="18"/>
                <w:szCs w:val="18"/>
                <w:lang w:val="fr-FR"/>
              </w:rPr>
              <w:t>8</w:t>
            </w:r>
            <w:r w:rsidR="00D0076C">
              <w:rPr>
                <w:sz w:val="18"/>
                <w:szCs w:val="18"/>
                <w:lang w:val="fr-FR"/>
              </w:rPr>
              <w:t> </w:t>
            </w:r>
            <w:r w:rsidRPr="00394CBB">
              <w:rPr>
                <w:sz w:val="18"/>
                <w:szCs w:val="18"/>
                <w:lang w:val="fr-FR"/>
              </w:rPr>
              <w:t>% (</w:t>
            </w:r>
            <w:r w:rsidR="00323157" w:rsidRPr="00394CBB">
              <w:rPr>
                <w:sz w:val="18"/>
                <w:szCs w:val="18"/>
                <w:lang w:val="fr-FR"/>
              </w:rPr>
              <w:t>environ</w:t>
            </w:r>
            <w:r w:rsidRPr="00394CBB">
              <w:rPr>
                <w:sz w:val="18"/>
                <w:szCs w:val="18"/>
                <w:lang w:val="fr-FR"/>
              </w:rPr>
              <w:t>)</w:t>
            </w:r>
            <w:r w:rsidRPr="00394CBB">
              <w:rPr>
                <w:sz w:val="18"/>
                <w:szCs w:val="18"/>
                <w:vertAlign w:val="superscript"/>
                <w:lang w:val="fr-FR"/>
              </w:rPr>
              <w:footnoteReference w:id="96"/>
            </w:r>
          </w:p>
        </w:tc>
      </w:tr>
      <w:tr w:rsidR="000B562B" w:rsidRPr="00394CBB" w:rsidTr="004D4AFD">
        <w:tblPrEx>
          <w:tblCellMar>
            <w:top w:w="0" w:type="dxa"/>
            <w:bottom w:w="0" w:type="dxa"/>
          </w:tblCellMar>
        </w:tblPrEx>
        <w:trPr>
          <w:cantSplit/>
          <w:trHeight w:val="240"/>
        </w:trPr>
        <w:tc>
          <w:tcPr>
            <w:tcW w:w="3683" w:type="dxa"/>
            <w:shd w:val="clear" w:color="auto" w:fill="auto"/>
          </w:tcPr>
          <w:p w:rsidR="000B562B" w:rsidRPr="00394CBB" w:rsidRDefault="00323157" w:rsidP="00394CBB">
            <w:pPr>
              <w:suppressAutoHyphens w:val="0"/>
              <w:spacing w:before="40" w:after="40" w:line="220" w:lineRule="exact"/>
              <w:rPr>
                <w:sz w:val="18"/>
                <w:szCs w:val="18"/>
                <w:lang w:val="fr-FR"/>
              </w:rPr>
            </w:pPr>
            <w:r w:rsidRPr="00394CBB">
              <w:rPr>
                <w:sz w:val="18"/>
                <w:szCs w:val="18"/>
                <w:lang w:val="fr-FR"/>
              </w:rPr>
              <w:t xml:space="preserve">Pourcentage de non-ressortissants inscrits </w:t>
            </w:r>
            <w:r w:rsidR="00E654D3">
              <w:rPr>
                <w:sz w:val="18"/>
                <w:szCs w:val="18"/>
                <w:lang w:val="fr-FR"/>
              </w:rPr>
              <w:br/>
            </w:r>
            <w:r w:rsidRPr="00394CBB">
              <w:rPr>
                <w:sz w:val="18"/>
                <w:szCs w:val="18"/>
                <w:lang w:val="fr-FR"/>
              </w:rPr>
              <w:t>sur les listes électorales</w:t>
            </w:r>
          </w:p>
        </w:tc>
        <w:tc>
          <w:tcPr>
            <w:tcW w:w="3687" w:type="dxa"/>
            <w:shd w:val="clear" w:color="auto" w:fill="auto"/>
            <w:tcMar>
              <w:right w:w="0" w:type="dxa"/>
            </w:tcMar>
            <w:vAlign w:val="bottom"/>
          </w:tcPr>
          <w:p w:rsidR="000B562B" w:rsidRPr="00394CBB" w:rsidRDefault="00E956F9" w:rsidP="004D4AFD">
            <w:pPr>
              <w:suppressAutoHyphens w:val="0"/>
              <w:spacing w:before="40" w:after="40" w:line="220" w:lineRule="exact"/>
              <w:ind w:right="57"/>
              <w:jc w:val="right"/>
              <w:rPr>
                <w:sz w:val="18"/>
                <w:szCs w:val="18"/>
                <w:lang w:val="fr-FR"/>
              </w:rPr>
            </w:pPr>
            <w:r w:rsidRPr="00394CBB">
              <w:rPr>
                <w:sz w:val="18"/>
                <w:szCs w:val="18"/>
                <w:lang w:val="fr-FR"/>
              </w:rPr>
              <w:t xml:space="preserve">Chiffres non disponibles pour </w:t>
            </w:r>
            <w:r w:rsidR="003A0226">
              <w:rPr>
                <w:sz w:val="18"/>
                <w:szCs w:val="18"/>
                <w:lang w:val="fr-FR"/>
              </w:rPr>
              <w:br/>
            </w:r>
            <w:r w:rsidRPr="00394CBB">
              <w:rPr>
                <w:sz w:val="18"/>
                <w:szCs w:val="18"/>
                <w:lang w:val="fr-FR"/>
              </w:rPr>
              <w:t>les élections législatives</w:t>
            </w:r>
            <w:r w:rsidR="000B562B" w:rsidRPr="00394CBB">
              <w:rPr>
                <w:sz w:val="18"/>
                <w:szCs w:val="18"/>
                <w:vertAlign w:val="superscript"/>
                <w:lang w:val="fr-FR"/>
              </w:rPr>
              <w:footnoteReference w:id="97"/>
            </w:r>
          </w:p>
        </w:tc>
      </w:tr>
      <w:tr w:rsidR="000B562B" w:rsidRPr="00394CBB" w:rsidTr="004D4AFD">
        <w:tblPrEx>
          <w:tblCellMar>
            <w:top w:w="0" w:type="dxa"/>
            <w:bottom w:w="0" w:type="dxa"/>
          </w:tblCellMar>
        </w:tblPrEx>
        <w:trPr>
          <w:cantSplit/>
          <w:trHeight w:val="240"/>
        </w:trPr>
        <w:tc>
          <w:tcPr>
            <w:tcW w:w="3683" w:type="dxa"/>
            <w:shd w:val="clear" w:color="auto" w:fill="auto"/>
          </w:tcPr>
          <w:p w:rsidR="000B562B" w:rsidRPr="00394CBB" w:rsidRDefault="00323157" w:rsidP="00394CBB">
            <w:pPr>
              <w:suppressAutoHyphens w:val="0"/>
              <w:spacing w:before="40" w:after="40" w:line="220" w:lineRule="exact"/>
              <w:rPr>
                <w:sz w:val="18"/>
                <w:szCs w:val="18"/>
                <w:lang w:val="fr-FR"/>
              </w:rPr>
            </w:pPr>
            <w:r w:rsidRPr="00394CBB">
              <w:rPr>
                <w:sz w:val="18"/>
                <w:szCs w:val="18"/>
                <w:lang w:val="fr-FR"/>
              </w:rPr>
              <w:t xml:space="preserve">Nombre de </w:t>
            </w:r>
            <w:r w:rsidR="00D47D82" w:rsidRPr="00394CBB">
              <w:rPr>
                <w:sz w:val="18"/>
                <w:szCs w:val="18"/>
                <w:lang w:val="fr-FR"/>
              </w:rPr>
              <w:t>réclamations</w:t>
            </w:r>
            <w:r w:rsidRPr="00394CBB">
              <w:rPr>
                <w:sz w:val="18"/>
                <w:szCs w:val="18"/>
                <w:lang w:val="fr-FR"/>
              </w:rPr>
              <w:t xml:space="preserve"> relatives </w:t>
            </w:r>
            <w:r w:rsidR="00B61AB0" w:rsidRPr="00394CBB">
              <w:rPr>
                <w:sz w:val="18"/>
                <w:szCs w:val="18"/>
                <w:lang w:val="fr-FR"/>
              </w:rPr>
              <w:t>au déroulement</w:t>
            </w:r>
            <w:r w:rsidRPr="00394CBB">
              <w:rPr>
                <w:sz w:val="18"/>
                <w:szCs w:val="18"/>
                <w:lang w:val="fr-FR"/>
              </w:rPr>
              <w:t xml:space="preserve"> des élections</w:t>
            </w:r>
            <w:r w:rsidR="000B562B" w:rsidRPr="00394CBB">
              <w:rPr>
                <w:sz w:val="18"/>
                <w:szCs w:val="18"/>
                <w:lang w:val="fr-FR"/>
              </w:rPr>
              <w:t xml:space="preserve">, </w:t>
            </w:r>
            <w:r w:rsidR="001C454A" w:rsidRPr="00394CBB">
              <w:rPr>
                <w:sz w:val="18"/>
                <w:szCs w:val="18"/>
                <w:lang w:val="fr-FR"/>
              </w:rPr>
              <w:t>par</w:t>
            </w:r>
            <w:r w:rsidR="000B562B" w:rsidRPr="00394CBB">
              <w:rPr>
                <w:sz w:val="18"/>
                <w:szCs w:val="18"/>
                <w:lang w:val="fr-FR"/>
              </w:rPr>
              <w:t xml:space="preserve"> type </w:t>
            </w:r>
            <w:r w:rsidR="00E654D3">
              <w:rPr>
                <w:sz w:val="18"/>
                <w:szCs w:val="18"/>
                <w:lang w:val="fr-FR"/>
              </w:rPr>
              <w:br/>
            </w:r>
            <w:r w:rsidR="001C454A" w:rsidRPr="00394CBB">
              <w:rPr>
                <w:sz w:val="18"/>
                <w:szCs w:val="18"/>
                <w:lang w:val="fr-FR"/>
              </w:rPr>
              <w:t>d’</w:t>
            </w:r>
            <w:r w:rsidR="000B562B" w:rsidRPr="00394CBB">
              <w:rPr>
                <w:sz w:val="18"/>
                <w:szCs w:val="18"/>
                <w:lang w:val="fr-FR"/>
              </w:rPr>
              <w:t>irr</w:t>
            </w:r>
            <w:r w:rsidR="001C454A" w:rsidRPr="00394CBB">
              <w:rPr>
                <w:sz w:val="18"/>
                <w:szCs w:val="18"/>
                <w:lang w:val="fr-FR"/>
              </w:rPr>
              <w:t>é</w:t>
            </w:r>
            <w:r w:rsidR="000B562B" w:rsidRPr="00394CBB">
              <w:rPr>
                <w:sz w:val="18"/>
                <w:szCs w:val="18"/>
                <w:lang w:val="fr-FR"/>
              </w:rPr>
              <w:t>gularit</w:t>
            </w:r>
            <w:r w:rsidR="001C454A" w:rsidRPr="00394CBB">
              <w:rPr>
                <w:sz w:val="18"/>
                <w:szCs w:val="18"/>
                <w:lang w:val="fr-FR"/>
              </w:rPr>
              <w:t>é invoquée</w:t>
            </w:r>
          </w:p>
        </w:tc>
        <w:tc>
          <w:tcPr>
            <w:tcW w:w="3687" w:type="dxa"/>
            <w:shd w:val="clear" w:color="auto" w:fill="auto"/>
            <w:tcMar>
              <w:right w:w="0" w:type="dxa"/>
            </w:tcMar>
            <w:vAlign w:val="bottom"/>
          </w:tcPr>
          <w:p w:rsidR="000B562B" w:rsidRPr="00394CBB" w:rsidRDefault="000B562B" w:rsidP="004D4AFD">
            <w:pPr>
              <w:suppressAutoHyphens w:val="0"/>
              <w:spacing w:before="40" w:after="40" w:line="220" w:lineRule="exact"/>
              <w:ind w:right="57"/>
              <w:jc w:val="right"/>
              <w:rPr>
                <w:sz w:val="18"/>
                <w:szCs w:val="18"/>
                <w:lang w:val="fr-FR"/>
              </w:rPr>
            </w:pPr>
            <w:r w:rsidRPr="00394CBB">
              <w:rPr>
                <w:sz w:val="18"/>
                <w:szCs w:val="18"/>
                <w:lang w:val="fr-FR"/>
              </w:rPr>
              <w:t xml:space="preserve">2 </w:t>
            </w:r>
            <w:r w:rsidR="00D47D82" w:rsidRPr="00394CBB">
              <w:rPr>
                <w:sz w:val="18"/>
                <w:szCs w:val="18"/>
                <w:lang w:val="fr-FR"/>
              </w:rPr>
              <w:t>réclamations contestant les résultats des élections générales de 2010 ont</w:t>
            </w:r>
            <w:r w:rsidRPr="00394CBB">
              <w:rPr>
                <w:sz w:val="18"/>
                <w:szCs w:val="18"/>
                <w:lang w:val="fr-FR"/>
              </w:rPr>
              <w:t xml:space="preserve"> </w:t>
            </w:r>
            <w:r w:rsidR="00D47D82" w:rsidRPr="00394CBB">
              <w:rPr>
                <w:sz w:val="18"/>
                <w:szCs w:val="18"/>
                <w:lang w:val="fr-FR"/>
              </w:rPr>
              <w:t>été déposées</w:t>
            </w:r>
            <w:r w:rsidRPr="00394CBB">
              <w:rPr>
                <w:sz w:val="18"/>
                <w:szCs w:val="18"/>
                <w:vertAlign w:val="superscript"/>
                <w:lang w:val="fr-FR"/>
              </w:rPr>
              <w:footnoteReference w:id="98"/>
            </w:r>
          </w:p>
        </w:tc>
      </w:tr>
      <w:tr w:rsidR="000B562B" w:rsidRPr="00394CBB" w:rsidTr="004D4AFD">
        <w:tblPrEx>
          <w:tblCellMar>
            <w:top w:w="0" w:type="dxa"/>
            <w:bottom w:w="0" w:type="dxa"/>
          </w:tblCellMar>
        </w:tblPrEx>
        <w:trPr>
          <w:cantSplit/>
          <w:trHeight w:val="240"/>
        </w:trPr>
        <w:tc>
          <w:tcPr>
            <w:tcW w:w="3683" w:type="dxa"/>
            <w:shd w:val="clear" w:color="auto" w:fill="auto"/>
          </w:tcPr>
          <w:p w:rsidR="000B562B" w:rsidRPr="00394CBB" w:rsidRDefault="00513568" w:rsidP="00394CBB">
            <w:pPr>
              <w:pStyle w:val="Text"/>
              <w:spacing w:before="40" w:after="40" w:line="220" w:lineRule="exact"/>
              <w:rPr>
                <w:rFonts w:ascii="Times New Roman" w:hAnsi="Times New Roman"/>
                <w:sz w:val="18"/>
                <w:szCs w:val="18"/>
                <w:lang w:val="fr-FR"/>
              </w:rPr>
            </w:pPr>
            <w:r w:rsidRPr="00394CBB">
              <w:rPr>
                <w:rFonts w:ascii="Times New Roman" w:hAnsi="Times New Roman"/>
                <w:sz w:val="18"/>
                <w:szCs w:val="18"/>
                <w:lang w:val="fr-FR"/>
              </w:rPr>
              <w:t xml:space="preserve">Pourcentages et nombre de sièges par </w:t>
            </w:r>
            <w:r w:rsidR="00E654D3">
              <w:rPr>
                <w:rFonts w:ascii="Times New Roman" w:hAnsi="Times New Roman"/>
                <w:sz w:val="18"/>
                <w:szCs w:val="18"/>
                <w:lang w:val="fr-FR"/>
              </w:rPr>
              <w:br/>
            </w:r>
            <w:r w:rsidRPr="00394CBB">
              <w:rPr>
                <w:rFonts w:ascii="Times New Roman" w:hAnsi="Times New Roman"/>
                <w:sz w:val="18"/>
                <w:szCs w:val="18"/>
                <w:lang w:val="fr-FR"/>
              </w:rPr>
              <w:t>rapport aux élections générales de 2010</w:t>
            </w:r>
          </w:p>
        </w:tc>
        <w:tc>
          <w:tcPr>
            <w:tcW w:w="3687" w:type="dxa"/>
            <w:shd w:val="clear" w:color="auto" w:fill="auto"/>
            <w:tcMar>
              <w:right w:w="0" w:type="dxa"/>
            </w:tcMar>
          </w:tcPr>
          <w:p w:rsidR="000B562B" w:rsidRPr="00394CBB" w:rsidRDefault="000B562B" w:rsidP="004D4AFD">
            <w:pPr>
              <w:pStyle w:val="Text"/>
              <w:spacing w:before="40" w:after="40" w:line="220" w:lineRule="exact"/>
              <w:ind w:right="57"/>
              <w:jc w:val="right"/>
              <w:rPr>
                <w:rFonts w:ascii="Times New Roman" w:hAnsi="Times New Roman"/>
                <w:sz w:val="18"/>
                <w:szCs w:val="18"/>
                <w:lang w:val="fr-FR"/>
              </w:rPr>
            </w:pPr>
            <w:r w:rsidRPr="00394CBB">
              <w:rPr>
                <w:rFonts w:ascii="Times New Roman" w:hAnsi="Times New Roman"/>
                <w:sz w:val="18"/>
                <w:szCs w:val="18"/>
                <w:lang w:val="fr-FR"/>
              </w:rPr>
              <w:t>Conservat</w:t>
            </w:r>
            <w:r w:rsidR="00D47D82" w:rsidRPr="00394CBB">
              <w:rPr>
                <w:rFonts w:ascii="Times New Roman" w:hAnsi="Times New Roman"/>
                <w:sz w:val="18"/>
                <w:szCs w:val="18"/>
                <w:lang w:val="fr-FR"/>
              </w:rPr>
              <w:t>eur</w:t>
            </w:r>
            <w:r w:rsidRPr="00394CBB">
              <w:rPr>
                <w:rFonts w:ascii="Times New Roman" w:hAnsi="Times New Roman"/>
                <w:sz w:val="18"/>
                <w:szCs w:val="18"/>
                <w:lang w:val="fr-FR"/>
              </w:rPr>
              <w:t>s 36</w:t>
            </w:r>
            <w:r w:rsidR="00DA65FA" w:rsidRPr="00394CBB">
              <w:rPr>
                <w:rFonts w:ascii="Times New Roman" w:hAnsi="Times New Roman"/>
                <w:sz w:val="18"/>
                <w:szCs w:val="18"/>
                <w:lang w:val="fr-FR"/>
              </w:rPr>
              <w:t>,</w:t>
            </w:r>
            <w:r w:rsidRPr="00394CBB">
              <w:rPr>
                <w:rFonts w:ascii="Times New Roman" w:hAnsi="Times New Roman"/>
                <w:sz w:val="18"/>
                <w:szCs w:val="18"/>
                <w:lang w:val="fr-FR"/>
              </w:rPr>
              <w:t>1</w:t>
            </w:r>
            <w:r w:rsidR="00DA65FA" w:rsidRPr="00394CBB">
              <w:rPr>
                <w:rFonts w:ascii="Times New Roman" w:hAnsi="Times New Roman"/>
                <w:sz w:val="18"/>
                <w:szCs w:val="18"/>
                <w:lang w:val="fr-FR"/>
              </w:rPr>
              <w:t xml:space="preserve"> </w:t>
            </w:r>
            <w:r w:rsidRPr="00394CBB">
              <w:rPr>
                <w:rFonts w:ascii="Times New Roman" w:hAnsi="Times New Roman"/>
                <w:sz w:val="18"/>
                <w:szCs w:val="18"/>
                <w:lang w:val="fr-FR"/>
              </w:rPr>
              <w:t xml:space="preserve">% </w:t>
            </w:r>
            <w:r w:rsidR="00DA65FA" w:rsidRPr="00394CBB">
              <w:rPr>
                <w:rFonts w:ascii="Times New Roman" w:hAnsi="Times New Roman"/>
                <w:sz w:val="18"/>
                <w:szCs w:val="18"/>
                <w:lang w:val="fr-FR"/>
              </w:rPr>
              <w:t>et</w:t>
            </w:r>
            <w:r w:rsidRPr="00394CBB">
              <w:rPr>
                <w:rFonts w:ascii="Times New Roman" w:hAnsi="Times New Roman"/>
                <w:sz w:val="18"/>
                <w:szCs w:val="18"/>
                <w:lang w:val="fr-FR"/>
              </w:rPr>
              <w:t xml:space="preserve"> 306 </w:t>
            </w:r>
            <w:r w:rsidR="00DA65FA" w:rsidRPr="00394CBB">
              <w:rPr>
                <w:rFonts w:ascii="Times New Roman" w:hAnsi="Times New Roman"/>
                <w:sz w:val="18"/>
                <w:szCs w:val="18"/>
                <w:lang w:val="fr-FR"/>
              </w:rPr>
              <w:t>sièges</w:t>
            </w:r>
            <w:r w:rsidRPr="00394CBB">
              <w:rPr>
                <w:rFonts w:ascii="Times New Roman" w:hAnsi="Times New Roman"/>
                <w:sz w:val="18"/>
                <w:szCs w:val="18"/>
                <w:lang w:val="fr-FR"/>
              </w:rPr>
              <w:t xml:space="preserve"> (47</w:t>
            </w:r>
            <w:r w:rsidR="00DA65FA" w:rsidRPr="00394CBB">
              <w:rPr>
                <w:rFonts w:ascii="Times New Roman" w:hAnsi="Times New Roman"/>
                <w:sz w:val="18"/>
                <w:szCs w:val="18"/>
                <w:lang w:val="fr-FR"/>
              </w:rPr>
              <w:t xml:space="preserve"> </w:t>
            </w:r>
            <w:r w:rsidRPr="00394CBB">
              <w:rPr>
                <w:rFonts w:ascii="Times New Roman" w:hAnsi="Times New Roman"/>
                <w:sz w:val="18"/>
                <w:szCs w:val="18"/>
                <w:lang w:val="fr-FR"/>
              </w:rPr>
              <w:t xml:space="preserve">%), </w:t>
            </w:r>
            <w:r w:rsidR="00D47D82" w:rsidRPr="00394CBB">
              <w:rPr>
                <w:rFonts w:ascii="Times New Roman" w:hAnsi="Times New Roman"/>
                <w:sz w:val="18"/>
                <w:szCs w:val="18"/>
                <w:lang w:val="fr-FR"/>
              </w:rPr>
              <w:t>Travaillistes</w:t>
            </w:r>
            <w:r w:rsidRPr="00394CBB">
              <w:rPr>
                <w:rFonts w:ascii="Times New Roman" w:hAnsi="Times New Roman"/>
                <w:sz w:val="18"/>
                <w:szCs w:val="18"/>
                <w:lang w:val="fr-FR"/>
              </w:rPr>
              <w:t xml:space="preserve"> 29</w:t>
            </w:r>
            <w:r w:rsidR="00DA65FA" w:rsidRPr="00394CBB">
              <w:rPr>
                <w:rFonts w:ascii="Times New Roman" w:hAnsi="Times New Roman"/>
                <w:sz w:val="18"/>
                <w:szCs w:val="18"/>
                <w:lang w:val="fr-FR"/>
              </w:rPr>
              <w:t>,</w:t>
            </w:r>
            <w:r w:rsidRPr="00394CBB">
              <w:rPr>
                <w:rFonts w:ascii="Times New Roman" w:hAnsi="Times New Roman"/>
                <w:sz w:val="18"/>
                <w:szCs w:val="18"/>
                <w:lang w:val="fr-FR"/>
              </w:rPr>
              <w:t>0</w:t>
            </w:r>
            <w:r w:rsidR="00DA65FA" w:rsidRPr="00394CBB">
              <w:rPr>
                <w:rFonts w:ascii="Times New Roman" w:hAnsi="Times New Roman"/>
                <w:sz w:val="18"/>
                <w:szCs w:val="18"/>
                <w:lang w:val="fr-FR"/>
              </w:rPr>
              <w:t xml:space="preserve"> </w:t>
            </w:r>
            <w:r w:rsidRPr="00394CBB">
              <w:rPr>
                <w:rFonts w:ascii="Times New Roman" w:hAnsi="Times New Roman"/>
                <w:sz w:val="18"/>
                <w:szCs w:val="18"/>
                <w:lang w:val="fr-FR"/>
              </w:rPr>
              <w:t xml:space="preserve">% </w:t>
            </w:r>
            <w:r w:rsidR="00DA65FA" w:rsidRPr="00394CBB">
              <w:rPr>
                <w:rFonts w:ascii="Times New Roman" w:hAnsi="Times New Roman"/>
                <w:sz w:val="18"/>
                <w:szCs w:val="18"/>
                <w:lang w:val="fr-FR"/>
              </w:rPr>
              <w:t>et</w:t>
            </w:r>
            <w:r w:rsidRPr="00394CBB">
              <w:rPr>
                <w:rFonts w:ascii="Times New Roman" w:hAnsi="Times New Roman"/>
                <w:sz w:val="18"/>
                <w:szCs w:val="18"/>
                <w:lang w:val="fr-FR"/>
              </w:rPr>
              <w:t xml:space="preserve"> 258 </w:t>
            </w:r>
            <w:r w:rsidR="00DA65FA" w:rsidRPr="00394CBB">
              <w:rPr>
                <w:rFonts w:ascii="Times New Roman" w:hAnsi="Times New Roman"/>
                <w:sz w:val="18"/>
                <w:szCs w:val="18"/>
                <w:lang w:val="fr-FR"/>
              </w:rPr>
              <w:t>sièges</w:t>
            </w:r>
            <w:r w:rsidRPr="00394CBB">
              <w:rPr>
                <w:rFonts w:ascii="Times New Roman" w:hAnsi="Times New Roman"/>
                <w:sz w:val="18"/>
                <w:szCs w:val="18"/>
                <w:lang w:val="fr-FR"/>
              </w:rPr>
              <w:t xml:space="preserve"> (40</w:t>
            </w:r>
            <w:r w:rsidR="00DA65FA" w:rsidRPr="00394CBB">
              <w:rPr>
                <w:rFonts w:ascii="Times New Roman" w:hAnsi="Times New Roman"/>
                <w:sz w:val="18"/>
                <w:szCs w:val="18"/>
                <w:lang w:val="fr-FR"/>
              </w:rPr>
              <w:t xml:space="preserve"> </w:t>
            </w:r>
            <w:r w:rsidRPr="00394CBB">
              <w:rPr>
                <w:rFonts w:ascii="Times New Roman" w:hAnsi="Times New Roman"/>
                <w:sz w:val="18"/>
                <w:szCs w:val="18"/>
                <w:lang w:val="fr-FR"/>
              </w:rPr>
              <w:t>%), Lib</w:t>
            </w:r>
            <w:r w:rsidR="00D47D82" w:rsidRPr="00394CBB">
              <w:rPr>
                <w:rFonts w:ascii="Times New Roman" w:hAnsi="Times New Roman"/>
                <w:sz w:val="18"/>
                <w:szCs w:val="18"/>
                <w:lang w:val="fr-FR"/>
              </w:rPr>
              <w:t>é</w:t>
            </w:r>
            <w:r w:rsidRPr="00394CBB">
              <w:rPr>
                <w:rFonts w:ascii="Times New Roman" w:hAnsi="Times New Roman"/>
                <w:sz w:val="18"/>
                <w:szCs w:val="18"/>
                <w:lang w:val="fr-FR"/>
              </w:rPr>
              <w:t>ra</w:t>
            </w:r>
            <w:r w:rsidR="00D47D82" w:rsidRPr="00394CBB">
              <w:rPr>
                <w:rFonts w:ascii="Times New Roman" w:hAnsi="Times New Roman"/>
                <w:sz w:val="18"/>
                <w:szCs w:val="18"/>
                <w:lang w:val="fr-FR"/>
              </w:rPr>
              <w:t>ux-dé</w:t>
            </w:r>
            <w:r w:rsidRPr="00394CBB">
              <w:rPr>
                <w:rFonts w:ascii="Times New Roman" w:hAnsi="Times New Roman"/>
                <w:sz w:val="18"/>
                <w:szCs w:val="18"/>
                <w:lang w:val="fr-FR"/>
              </w:rPr>
              <w:t>mocrat</w:t>
            </w:r>
            <w:r w:rsidR="00D47D82" w:rsidRPr="00394CBB">
              <w:rPr>
                <w:rFonts w:ascii="Times New Roman" w:hAnsi="Times New Roman"/>
                <w:sz w:val="18"/>
                <w:szCs w:val="18"/>
                <w:lang w:val="fr-FR"/>
              </w:rPr>
              <w:t>e</w:t>
            </w:r>
            <w:r w:rsidRPr="00394CBB">
              <w:rPr>
                <w:rFonts w:ascii="Times New Roman" w:hAnsi="Times New Roman"/>
                <w:sz w:val="18"/>
                <w:szCs w:val="18"/>
                <w:lang w:val="fr-FR"/>
              </w:rPr>
              <w:t>s 23</w:t>
            </w:r>
            <w:r w:rsidR="00DA65FA" w:rsidRPr="00394CBB">
              <w:rPr>
                <w:rFonts w:ascii="Times New Roman" w:hAnsi="Times New Roman"/>
                <w:sz w:val="18"/>
                <w:szCs w:val="18"/>
                <w:lang w:val="fr-FR"/>
              </w:rPr>
              <w:t>,</w:t>
            </w:r>
            <w:r w:rsidRPr="00394CBB">
              <w:rPr>
                <w:rFonts w:ascii="Times New Roman" w:hAnsi="Times New Roman"/>
                <w:sz w:val="18"/>
                <w:szCs w:val="18"/>
                <w:lang w:val="fr-FR"/>
              </w:rPr>
              <w:t>0</w:t>
            </w:r>
            <w:r w:rsidR="00DA65FA" w:rsidRPr="00394CBB">
              <w:rPr>
                <w:rFonts w:ascii="Times New Roman" w:hAnsi="Times New Roman"/>
                <w:sz w:val="18"/>
                <w:szCs w:val="18"/>
                <w:lang w:val="fr-FR"/>
              </w:rPr>
              <w:t xml:space="preserve"> </w:t>
            </w:r>
            <w:r w:rsidRPr="00394CBB">
              <w:rPr>
                <w:rFonts w:ascii="Times New Roman" w:hAnsi="Times New Roman"/>
                <w:sz w:val="18"/>
                <w:szCs w:val="18"/>
                <w:lang w:val="fr-FR"/>
              </w:rPr>
              <w:t xml:space="preserve">% </w:t>
            </w:r>
            <w:r w:rsidR="00DA65FA" w:rsidRPr="00394CBB">
              <w:rPr>
                <w:rFonts w:ascii="Times New Roman" w:hAnsi="Times New Roman"/>
                <w:sz w:val="18"/>
                <w:szCs w:val="18"/>
                <w:lang w:val="fr-FR"/>
              </w:rPr>
              <w:t>et</w:t>
            </w:r>
            <w:r w:rsidRPr="00394CBB">
              <w:rPr>
                <w:rFonts w:ascii="Times New Roman" w:hAnsi="Times New Roman"/>
                <w:sz w:val="18"/>
                <w:szCs w:val="18"/>
                <w:lang w:val="fr-FR"/>
              </w:rPr>
              <w:t xml:space="preserve"> 57 </w:t>
            </w:r>
            <w:r w:rsidR="00DA65FA" w:rsidRPr="00394CBB">
              <w:rPr>
                <w:rFonts w:ascii="Times New Roman" w:hAnsi="Times New Roman"/>
                <w:sz w:val="18"/>
                <w:szCs w:val="18"/>
                <w:lang w:val="fr-FR"/>
              </w:rPr>
              <w:t>sièges</w:t>
            </w:r>
            <w:r w:rsidRPr="00394CBB">
              <w:rPr>
                <w:rFonts w:ascii="Times New Roman" w:hAnsi="Times New Roman"/>
                <w:sz w:val="18"/>
                <w:szCs w:val="18"/>
                <w:lang w:val="fr-FR"/>
              </w:rPr>
              <w:t xml:space="preserve"> (9</w:t>
            </w:r>
            <w:r w:rsidR="00DA65FA" w:rsidRPr="00394CBB">
              <w:rPr>
                <w:rFonts w:ascii="Times New Roman" w:hAnsi="Times New Roman"/>
                <w:sz w:val="18"/>
                <w:szCs w:val="18"/>
                <w:lang w:val="fr-FR"/>
              </w:rPr>
              <w:t> </w:t>
            </w:r>
            <w:r w:rsidRPr="00394CBB">
              <w:rPr>
                <w:rFonts w:ascii="Times New Roman" w:hAnsi="Times New Roman"/>
                <w:sz w:val="18"/>
                <w:szCs w:val="18"/>
                <w:lang w:val="fr-FR"/>
              </w:rPr>
              <w:t xml:space="preserve">%), </w:t>
            </w:r>
            <w:r w:rsidR="00DA65FA" w:rsidRPr="00394CBB">
              <w:rPr>
                <w:rFonts w:ascii="Times New Roman" w:hAnsi="Times New Roman"/>
                <w:sz w:val="18"/>
                <w:szCs w:val="18"/>
                <w:lang w:val="fr-FR"/>
              </w:rPr>
              <w:t>Autres</w:t>
            </w:r>
            <w:r w:rsidRPr="00394CBB">
              <w:rPr>
                <w:rFonts w:ascii="Times New Roman" w:hAnsi="Times New Roman"/>
                <w:sz w:val="18"/>
                <w:szCs w:val="18"/>
                <w:lang w:val="fr-FR"/>
              </w:rPr>
              <w:t xml:space="preserve"> 11</w:t>
            </w:r>
            <w:r w:rsidR="00DA65FA" w:rsidRPr="00394CBB">
              <w:rPr>
                <w:rFonts w:ascii="Times New Roman" w:hAnsi="Times New Roman"/>
                <w:sz w:val="18"/>
                <w:szCs w:val="18"/>
                <w:lang w:val="fr-FR"/>
              </w:rPr>
              <w:t>,</w:t>
            </w:r>
            <w:r w:rsidRPr="00394CBB">
              <w:rPr>
                <w:rFonts w:ascii="Times New Roman" w:hAnsi="Times New Roman"/>
                <w:sz w:val="18"/>
                <w:szCs w:val="18"/>
                <w:lang w:val="fr-FR"/>
              </w:rPr>
              <w:t>9</w:t>
            </w:r>
            <w:r w:rsidR="00DA65FA" w:rsidRPr="00394CBB">
              <w:rPr>
                <w:rFonts w:ascii="Times New Roman" w:hAnsi="Times New Roman"/>
                <w:sz w:val="18"/>
                <w:szCs w:val="18"/>
                <w:lang w:val="fr-FR"/>
              </w:rPr>
              <w:t xml:space="preserve"> </w:t>
            </w:r>
            <w:r w:rsidRPr="00394CBB">
              <w:rPr>
                <w:rFonts w:ascii="Times New Roman" w:hAnsi="Times New Roman"/>
                <w:sz w:val="18"/>
                <w:szCs w:val="18"/>
                <w:lang w:val="fr-FR"/>
              </w:rPr>
              <w:t xml:space="preserve">% </w:t>
            </w:r>
            <w:r w:rsidR="00DA65FA" w:rsidRPr="00394CBB">
              <w:rPr>
                <w:rFonts w:ascii="Times New Roman" w:hAnsi="Times New Roman"/>
                <w:sz w:val="18"/>
                <w:szCs w:val="18"/>
                <w:lang w:val="fr-FR"/>
              </w:rPr>
              <w:t>et</w:t>
            </w:r>
            <w:r w:rsidRPr="00394CBB">
              <w:rPr>
                <w:rFonts w:ascii="Times New Roman" w:hAnsi="Times New Roman"/>
                <w:sz w:val="18"/>
                <w:szCs w:val="18"/>
                <w:lang w:val="fr-FR"/>
              </w:rPr>
              <w:t xml:space="preserve"> 29 </w:t>
            </w:r>
            <w:r w:rsidR="00DA65FA" w:rsidRPr="00394CBB">
              <w:rPr>
                <w:rFonts w:ascii="Times New Roman" w:hAnsi="Times New Roman"/>
                <w:sz w:val="18"/>
                <w:szCs w:val="18"/>
                <w:lang w:val="fr-FR"/>
              </w:rPr>
              <w:t>sièges</w:t>
            </w:r>
            <w:r w:rsidRPr="00394CBB">
              <w:rPr>
                <w:rFonts w:ascii="Times New Roman" w:hAnsi="Times New Roman"/>
                <w:sz w:val="18"/>
                <w:szCs w:val="18"/>
                <w:lang w:val="fr-FR"/>
              </w:rPr>
              <w:t xml:space="preserve"> (4</w:t>
            </w:r>
            <w:r w:rsidR="00DA65FA" w:rsidRPr="00394CBB">
              <w:rPr>
                <w:rFonts w:ascii="Times New Roman" w:hAnsi="Times New Roman"/>
                <w:sz w:val="18"/>
                <w:szCs w:val="18"/>
                <w:lang w:val="fr-FR"/>
              </w:rPr>
              <w:t xml:space="preserve"> </w:t>
            </w:r>
            <w:r w:rsidRPr="00394CBB">
              <w:rPr>
                <w:rFonts w:ascii="Times New Roman" w:hAnsi="Times New Roman"/>
                <w:sz w:val="18"/>
                <w:szCs w:val="18"/>
                <w:lang w:val="fr-FR"/>
              </w:rPr>
              <w:t>%)</w:t>
            </w:r>
          </w:p>
        </w:tc>
      </w:tr>
      <w:tr w:rsidR="000B562B" w:rsidRPr="00394CBB" w:rsidTr="004D4AFD">
        <w:tblPrEx>
          <w:tblCellMar>
            <w:top w:w="0" w:type="dxa"/>
            <w:bottom w:w="0" w:type="dxa"/>
          </w:tblCellMar>
        </w:tblPrEx>
        <w:trPr>
          <w:cantSplit/>
          <w:trHeight w:val="240"/>
        </w:trPr>
        <w:tc>
          <w:tcPr>
            <w:tcW w:w="3683" w:type="dxa"/>
            <w:shd w:val="clear" w:color="auto" w:fill="auto"/>
          </w:tcPr>
          <w:p w:rsidR="000B562B" w:rsidRPr="00394CBB" w:rsidRDefault="000B562B" w:rsidP="00394CBB">
            <w:pPr>
              <w:pStyle w:val="Text"/>
              <w:spacing w:before="40" w:after="40" w:line="220" w:lineRule="exact"/>
              <w:rPr>
                <w:rFonts w:ascii="Times New Roman" w:hAnsi="Times New Roman"/>
                <w:sz w:val="18"/>
                <w:szCs w:val="18"/>
                <w:lang w:val="fr-FR"/>
              </w:rPr>
            </w:pPr>
            <w:r w:rsidRPr="00394CBB">
              <w:rPr>
                <w:rFonts w:ascii="Times New Roman" w:hAnsi="Times New Roman"/>
                <w:sz w:val="18"/>
                <w:szCs w:val="18"/>
                <w:lang w:val="fr-FR"/>
              </w:rPr>
              <w:t>P</w:t>
            </w:r>
            <w:r w:rsidR="00D47D82" w:rsidRPr="00394CBB">
              <w:rPr>
                <w:rFonts w:ascii="Times New Roman" w:hAnsi="Times New Roman"/>
                <w:sz w:val="18"/>
                <w:szCs w:val="18"/>
                <w:lang w:val="fr-FR"/>
              </w:rPr>
              <w:t>ou</w:t>
            </w:r>
            <w:r w:rsidRPr="00394CBB">
              <w:rPr>
                <w:rFonts w:ascii="Times New Roman" w:hAnsi="Times New Roman"/>
                <w:sz w:val="18"/>
                <w:szCs w:val="18"/>
                <w:lang w:val="fr-FR"/>
              </w:rPr>
              <w:t xml:space="preserve">rcentage </w:t>
            </w:r>
            <w:r w:rsidR="00D47D82" w:rsidRPr="00394CBB">
              <w:rPr>
                <w:rFonts w:ascii="Times New Roman" w:hAnsi="Times New Roman"/>
                <w:sz w:val="18"/>
                <w:szCs w:val="18"/>
                <w:lang w:val="fr-FR"/>
              </w:rPr>
              <w:t>de femmes au Parlement</w:t>
            </w:r>
          </w:p>
        </w:tc>
        <w:tc>
          <w:tcPr>
            <w:tcW w:w="3687" w:type="dxa"/>
            <w:shd w:val="clear" w:color="auto" w:fill="auto"/>
            <w:tcMar>
              <w:right w:w="0" w:type="dxa"/>
            </w:tcMar>
          </w:tcPr>
          <w:p w:rsidR="000B562B" w:rsidRPr="00394CBB" w:rsidRDefault="000B562B" w:rsidP="008427A2">
            <w:pPr>
              <w:pStyle w:val="Text"/>
              <w:spacing w:before="40" w:after="40" w:line="220" w:lineRule="exact"/>
              <w:ind w:right="57"/>
              <w:jc w:val="right"/>
              <w:rPr>
                <w:rFonts w:ascii="Times New Roman" w:hAnsi="Times New Roman"/>
                <w:sz w:val="18"/>
                <w:szCs w:val="18"/>
                <w:lang w:val="fr-FR"/>
              </w:rPr>
            </w:pPr>
            <w:r w:rsidRPr="00394CBB">
              <w:rPr>
                <w:rFonts w:ascii="Times New Roman" w:hAnsi="Times New Roman"/>
                <w:sz w:val="18"/>
                <w:szCs w:val="18"/>
                <w:lang w:val="fr-FR"/>
              </w:rPr>
              <w:t xml:space="preserve">143 </w:t>
            </w:r>
            <w:r w:rsidR="00775EEA" w:rsidRPr="00394CBB">
              <w:rPr>
                <w:rFonts w:ascii="Times New Roman" w:hAnsi="Times New Roman"/>
                <w:sz w:val="18"/>
                <w:szCs w:val="18"/>
                <w:lang w:val="fr-FR"/>
              </w:rPr>
              <w:t xml:space="preserve">députées élues, </w:t>
            </w:r>
            <w:r w:rsidR="008427A2">
              <w:rPr>
                <w:rFonts w:ascii="Times New Roman" w:hAnsi="Times New Roman"/>
                <w:sz w:val="18"/>
                <w:szCs w:val="18"/>
                <w:lang w:val="fr-FR"/>
              </w:rPr>
              <w:br/>
            </w:r>
            <w:r w:rsidR="00775EEA" w:rsidRPr="00394CBB">
              <w:rPr>
                <w:rFonts w:ascii="Times New Roman" w:hAnsi="Times New Roman"/>
                <w:sz w:val="18"/>
                <w:szCs w:val="18"/>
                <w:lang w:val="fr-FR"/>
              </w:rPr>
              <w:t>soit</w:t>
            </w:r>
            <w:r w:rsidRPr="00394CBB">
              <w:rPr>
                <w:rFonts w:ascii="Times New Roman" w:hAnsi="Times New Roman"/>
                <w:sz w:val="18"/>
                <w:szCs w:val="18"/>
                <w:lang w:val="fr-FR"/>
              </w:rPr>
              <w:t xml:space="preserve"> 22</w:t>
            </w:r>
            <w:r w:rsidR="00286ABA">
              <w:rPr>
                <w:rFonts w:ascii="Times New Roman" w:hAnsi="Times New Roman"/>
                <w:sz w:val="18"/>
                <w:szCs w:val="18"/>
                <w:lang w:val="fr-FR"/>
              </w:rPr>
              <w:t> </w:t>
            </w:r>
            <w:r w:rsidRPr="00394CBB">
              <w:rPr>
                <w:rFonts w:ascii="Times New Roman" w:hAnsi="Times New Roman"/>
                <w:sz w:val="18"/>
                <w:szCs w:val="18"/>
                <w:lang w:val="fr-FR"/>
              </w:rPr>
              <w:t xml:space="preserve">% </w:t>
            </w:r>
            <w:r w:rsidR="00775EEA" w:rsidRPr="00394CBB">
              <w:rPr>
                <w:rFonts w:ascii="Times New Roman" w:hAnsi="Times New Roman"/>
                <w:sz w:val="18"/>
                <w:szCs w:val="18"/>
                <w:lang w:val="fr-FR"/>
              </w:rPr>
              <w:t>du nombre total de députés</w:t>
            </w:r>
            <w:r w:rsidRPr="00394CBB">
              <w:rPr>
                <w:rStyle w:val="FootnoteReference"/>
                <w:szCs w:val="18"/>
                <w:lang w:val="fr-FR"/>
              </w:rPr>
              <w:footnoteReference w:id="99"/>
            </w:r>
          </w:p>
        </w:tc>
      </w:tr>
      <w:tr w:rsidR="000B562B" w:rsidRPr="00394CBB" w:rsidTr="004D4AFD">
        <w:tblPrEx>
          <w:tblCellMar>
            <w:top w:w="0" w:type="dxa"/>
            <w:bottom w:w="0" w:type="dxa"/>
          </w:tblCellMar>
        </w:tblPrEx>
        <w:trPr>
          <w:cantSplit/>
          <w:trHeight w:val="240"/>
        </w:trPr>
        <w:tc>
          <w:tcPr>
            <w:tcW w:w="3683" w:type="dxa"/>
            <w:shd w:val="clear" w:color="auto" w:fill="auto"/>
          </w:tcPr>
          <w:p w:rsidR="000B562B" w:rsidRPr="00394CBB" w:rsidRDefault="00D52CFF" w:rsidP="00394CBB">
            <w:pPr>
              <w:pStyle w:val="Text"/>
              <w:spacing w:before="40" w:after="40" w:line="220" w:lineRule="exact"/>
              <w:rPr>
                <w:rFonts w:ascii="Times New Roman" w:hAnsi="Times New Roman"/>
                <w:sz w:val="18"/>
                <w:szCs w:val="18"/>
                <w:lang w:val="fr-FR"/>
              </w:rPr>
            </w:pPr>
            <w:r w:rsidRPr="00394CBB">
              <w:rPr>
                <w:rFonts w:ascii="Times New Roman" w:hAnsi="Times New Roman"/>
                <w:sz w:val="18"/>
                <w:szCs w:val="18"/>
                <w:lang w:val="fr-FR"/>
              </w:rPr>
              <w:t>Pourcentage d’élections</w:t>
            </w:r>
            <w:r w:rsidR="000B562B" w:rsidRPr="00394CBB">
              <w:rPr>
                <w:rFonts w:ascii="Times New Roman" w:hAnsi="Times New Roman"/>
                <w:sz w:val="18"/>
                <w:szCs w:val="18"/>
                <w:lang w:val="fr-FR"/>
              </w:rPr>
              <w:t xml:space="preserve"> national</w:t>
            </w:r>
            <w:r w:rsidRPr="00394CBB">
              <w:rPr>
                <w:rFonts w:ascii="Times New Roman" w:hAnsi="Times New Roman"/>
                <w:sz w:val="18"/>
                <w:szCs w:val="18"/>
                <w:lang w:val="fr-FR"/>
              </w:rPr>
              <w:t>es</w:t>
            </w:r>
            <w:r w:rsidR="000B562B" w:rsidRPr="00394CBB">
              <w:rPr>
                <w:rFonts w:ascii="Times New Roman" w:hAnsi="Times New Roman"/>
                <w:sz w:val="18"/>
                <w:szCs w:val="18"/>
                <w:lang w:val="fr-FR"/>
              </w:rPr>
              <w:t xml:space="preserve"> </w:t>
            </w:r>
            <w:r w:rsidRPr="00394CBB">
              <w:rPr>
                <w:rFonts w:ascii="Times New Roman" w:hAnsi="Times New Roman"/>
                <w:sz w:val="18"/>
                <w:szCs w:val="18"/>
                <w:lang w:val="fr-FR"/>
              </w:rPr>
              <w:t>et</w:t>
            </w:r>
            <w:r w:rsidR="000B562B" w:rsidRPr="00394CBB">
              <w:rPr>
                <w:rFonts w:ascii="Times New Roman" w:hAnsi="Times New Roman"/>
                <w:sz w:val="18"/>
                <w:szCs w:val="18"/>
                <w:lang w:val="fr-FR"/>
              </w:rPr>
              <w:t xml:space="preserve"> </w:t>
            </w:r>
            <w:r w:rsidRPr="00394CBB">
              <w:rPr>
                <w:rFonts w:ascii="Times New Roman" w:hAnsi="Times New Roman"/>
                <w:sz w:val="18"/>
                <w:szCs w:val="18"/>
                <w:lang w:val="fr-FR"/>
              </w:rPr>
              <w:t>infran</w:t>
            </w:r>
            <w:r w:rsidR="000B562B" w:rsidRPr="00394CBB">
              <w:rPr>
                <w:rFonts w:ascii="Times New Roman" w:hAnsi="Times New Roman"/>
                <w:sz w:val="18"/>
                <w:szCs w:val="18"/>
                <w:lang w:val="fr-FR"/>
              </w:rPr>
              <w:t>ational</w:t>
            </w:r>
            <w:r w:rsidRPr="00394CBB">
              <w:rPr>
                <w:rFonts w:ascii="Times New Roman" w:hAnsi="Times New Roman"/>
                <w:sz w:val="18"/>
                <w:szCs w:val="18"/>
                <w:lang w:val="fr-FR"/>
              </w:rPr>
              <w:t>es</w:t>
            </w:r>
            <w:r w:rsidR="000B562B" w:rsidRPr="00394CBB">
              <w:rPr>
                <w:rFonts w:ascii="Times New Roman" w:hAnsi="Times New Roman"/>
                <w:sz w:val="18"/>
                <w:szCs w:val="18"/>
                <w:lang w:val="fr-FR"/>
              </w:rPr>
              <w:t xml:space="preserve"> </w:t>
            </w:r>
            <w:r w:rsidRPr="00394CBB">
              <w:rPr>
                <w:rFonts w:ascii="Times New Roman" w:hAnsi="Times New Roman"/>
                <w:sz w:val="18"/>
                <w:szCs w:val="18"/>
                <w:lang w:val="fr-FR"/>
              </w:rPr>
              <w:t>organisées dans les délais prescrits par la loi</w:t>
            </w:r>
          </w:p>
        </w:tc>
        <w:tc>
          <w:tcPr>
            <w:tcW w:w="3687" w:type="dxa"/>
            <w:shd w:val="clear" w:color="auto" w:fill="auto"/>
            <w:tcMar>
              <w:right w:w="0" w:type="dxa"/>
            </w:tcMar>
            <w:vAlign w:val="bottom"/>
          </w:tcPr>
          <w:p w:rsidR="000B562B" w:rsidRPr="00394CBB" w:rsidRDefault="00D52CFF" w:rsidP="004D4AFD">
            <w:pPr>
              <w:pStyle w:val="Text"/>
              <w:spacing w:before="40" w:after="40" w:line="220" w:lineRule="exact"/>
              <w:ind w:right="57"/>
              <w:jc w:val="right"/>
              <w:rPr>
                <w:rFonts w:ascii="Times New Roman" w:hAnsi="Times New Roman"/>
                <w:sz w:val="18"/>
                <w:szCs w:val="18"/>
                <w:lang w:val="fr-FR"/>
              </w:rPr>
            </w:pPr>
            <w:r w:rsidRPr="00394CBB">
              <w:rPr>
                <w:rFonts w:ascii="Times New Roman" w:hAnsi="Times New Roman"/>
                <w:sz w:val="18"/>
                <w:szCs w:val="18"/>
                <w:lang w:val="fr-FR"/>
              </w:rPr>
              <w:t>Toutes</w:t>
            </w:r>
            <w:r w:rsidR="000B562B" w:rsidRPr="00394CBB">
              <w:rPr>
                <w:rFonts w:ascii="Times New Roman" w:hAnsi="Times New Roman"/>
                <w:sz w:val="18"/>
                <w:szCs w:val="18"/>
                <w:lang w:val="fr-FR"/>
              </w:rPr>
              <w:t xml:space="preserve"> (100</w:t>
            </w:r>
            <w:r w:rsidR="00DA65FA" w:rsidRPr="00394CBB">
              <w:rPr>
                <w:rFonts w:ascii="Times New Roman" w:hAnsi="Times New Roman"/>
                <w:sz w:val="18"/>
                <w:szCs w:val="18"/>
                <w:lang w:val="fr-FR"/>
              </w:rPr>
              <w:t xml:space="preserve"> </w:t>
            </w:r>
            <w:r w:rsidR="000B562B" w:rsidRPr="00394CBB">
              <w:rPr>
                <w:rFonts w:ascii="Times New Roman" w:hAnsi="Times New Roman"/>
                <w:sz w:val="18"/>
                <w:szCs w:val="18"/>
                <w:lang w:val="fr-FR"/>
              </w:rPr>
              <w:t>%)</w:t>
            </w:r>
          </w:p>
        </w:tc>
      </w:tr>
      <w:tr w:rsidR="000B562B" w:rsidRPr="00394CBB" w:rsidTr="004D4AFD">
        <w:tblPrEx>
          <w:tblCellMar>
            <w:top w:w="0" w:type="dxa"/>
            <w:bottom w:w="0" w:type="dxa"/>
          </w:tblCellMar>
        </w:tblPrEx>
        <w:trPr>
          <w:cantSplit/>
          <w:trHeight w:val="240"/>
        </w:trPr>
        <w:tc>
          <w:tcPr>
            <w:tcW w:w="3683" w:type="dxa"/>
            <w:tcBorders>
              <w:bottom w:val="single" w:sz="12" w:space="0" w:color="auto"/>
            </w:tcBorders>
            <w:shd w:val="clear" w:color="auto" w:fill="auto"/>
          </w:tcPr>
          <w:p w:rsidR="000B562B" w:rsidRPr="00394CBB" w:rsidRDefault="00D52CFF" w:rsidP="00394CBB">
            <w:pPr>
              <w:pStyle w:val="Text"/>
              <w:spacing w:before="40" w:after="40" w:line="220" w:lineRule="exact"/>
              <w:rPr>
                <w:rFonts w:ascii="Times New Roman" w:hAnsi="Times New Roman"/>
                <w:sz w:val="18"/>
                <w:szCs w:val="18"/>
                <w:lang w:val="fr-FR"/>
              </w:rPr>
            </w:pPr>
            <w:r w:rsidRPr="00394CBB">
              <w:rPr>
                <w:rFonts w:ascii="Times New Roman" w:hAnsi="Times New Roman"/>
                <w:sz w:val="18"/>
                <w:szCs w:val="18"/>
                <w:lang w:val="fr-FR"/>
              </w:rPr>
              <w:t xml:space="preserve">Taux </w:t>
            </w:r>
            <w:r w:rsidR="00E516BD" w:rsidRPr="00394CBB">
              <w:rPr>
                <w:rFonts w:ascii="Times New Roman" w:hAnsi="Times New Roman"/>
                <w:sz w:val="18"/>
                <w:szCs w:val="18"/>
                <w:lang w:val="fr-FR"/>
              </w:rPr>
              <w:t xml:space="preserve">moyen de participation </w:t>
            </w:r>
            <w:r w:rsidRPr="00394CBB">
              <w:rPr>
                <w:rFonts w:ascii="Times New Roman" w:hAnsi="Times New Roman"/>
                <w:sz w:val="18"/>
                <w:szCs w:val="18"/>
                <w:lang w:val="fr-FR"/>
              </w:rPr>
              <w:t>aux élections nationales et infranationales, par administration</w:t>
            </w:r>
            <w:r w:rsidR="00D80BCB" w:rsidRPr="00394CBB">
              <w:rPr>
                <w:rFonts w:ascii="Times New Roman" w:hAnsi="Times New Roman"/>
                <w:sz w:val="18"/>
                <w:szCs w:val="18"/>
                <w:lang w:val="fr-FR"/>
              </w:rPr>
              <w:t xml:space="preserve"> </w:t>
            </w:r>
            <w:r w:rsidRPr="00394CBB">
              <w:rPr>
                <w:rFonts w:ascii="Times New Roman" w:hAnsi="Times New Roman"/>
                <w:sz w:val="18"/>
                <w:szCs w:val="18"/>
                <w:lang w:val="fr-FR"/>
              </w:rPr>
              <w:t>investie de compétences déléguées</w:t>
            </w:r>
          </w:p>
        </w:tc>
        <w:tc>
          <w:tcPr>
            <w:tcW w:w="3687" w:type="dxa"/>
            <w:tcBorders>
              <w:bottom w:val="single" w:sz="12" w:space="0" w:color="auto"/>
            </w:tcBorders>
            <w:shd w:val="clear" w:color="auto" w:fill="auto"/>
            <w:tcMar>
              <w:right w:w="0" w:type="dxa"/>
            </w:tcMar>
          </w:tcPr>
          <w:p w:rsidR="000B562B" w:rsidRPr="00394CBB" w:rsidRDefault="000B562B" w:rsidP="004D4AFD">
            <w:pPr>
              <w:pStyle w:val="Text"/>
              <w:spacing w:before="40" w:after="40" w:line="220" w:lineRule="exact"/>
              <w:ind w:right="57"/>
              <w:jc w:val="right"/>
              <w:rPr>
                <w:rFonts w:ascii="Times New Roman" w:hAnsi="Times New Roman"/>
                <w:sz w:val="18"/>
                <w:szCs w:val="18"/>
                <w:lang w:val="fr-FR"/>
              </w:rPr>
            </w:pPr>
            <w:r w:rsidRPr="00394CBB">
              <w:rPr>
                <w:rFonts w:ascii="Times New Roman" w:hAnsi="Times New Roman"/>
                <w:sz w:val="18"/>
                <w:szCs w:val="18"/>
                <w:lang w:val="fr-FR"/>
              </w:rPr>
              <w:t>Westminster</w:t>
            </w:r>
            <w:r w:rsidR="00FC2B97" w:rsidRPr="00394CBB">
              <w:rPr>
                <w:rFonts w:ascii="Times New Roman" w:hAnsi="Times New Roman"/>
                <w:sz w:val="18"/>
                <w:szCs w:val="18"/>
                <w:lang w:val="fr-FR"/>
              </w:rPr>
              <w:t>:</w:t>
            </w:r>
            <w:r w:rsidRPr="00394CBB">
              <w:rPr>
                <w:rFonts w:ascii="Times New Roman" w:hAnsi="Times New Roman"/>
                <w:sz w:val="18"/>
                <w:szCs w:val="18"/>
                <w:lang w:val="fr-FR"/>
              </w:rPr>
              <w:t xml:space="preserve"> 65</w:t>
            </w:r>
            <w:r w:rsidR="00DA65FA" w:rsidRPr="00394CBB">
              <w:rPr>
                <w:rFonts w:ascii="Times New Roman" w:hAnsi="Times New Roman"/>
                <w:sz w:val="18"/>
                <w:szCs w:val="18"/>
                <w:lang w:val="fr-FR"/>
              </w:rPr>
              <w:t>,</w:t>
            </w:r>
            <w:r w:rsidRPr="00394CBB">
              <w:rPr>
                <w:rFonts w:ascii="Times New Roman" w:hAnsi="Times New Roman"/>
                <w:sz w:val="18"/>
                <w:szCs w:val="18"/>
                <w:lang w:val="fr-FR"/>
              </w:rPr>
              <w:t>1</w:t>
            </w:r>
            <w:r w:rsidR="00286ABA">
              <w:rPr>
                <w:rFonts w:ascii="Times New Roman" w:hAnsi="Times New Roman"/>
                <w:sz w:val="18"/>
                <w:szCs w:val="18"/>
                <w:lang w:val="fr-FR"/>
              </w:rPr>
              <w:t> </w:t>
            </w:r>
            <w:r w:rsidRPr="00394CBB">
              <w:rPr>
                <w:rFonts w:ascii="Times New Roman" w:hAnsi="Times New Roman"/>
                <w:sz w:val="18"/>
                <w:szCs w:val="18"/>
                <w:lang w:val="fr-FR"/>
              </w:rPr>
              <w:t>% (2010), 61</w:t>
            </w:r>
            <w:r w:rsidR="00DA65FA" w:rsidRPr="00394CBB">
              <w:rPr>
                <w:rFonts w:ascii="Times New Roman" w:hAnsi="Times New Roman"/>
                <w:sz w:val="18"/>
                <w:szCs w:val="18"/>
                <w:lang w:val="fr-FR"/>
              </w:rPr>
              <w:t>,</w:t>
            </w:r>
            <w:r w:rsidRPr="00394CBB">
              <w:rPr>
                <w:rFonts w:ascii="Times New Roman" w:hAnsi="Times New Roman"/>
                <w:sz w:val="18"/>
                <w:szCs w:val="18"/>
                <w:lang w:val="fr-FR"/>
              </w:rPr>
              <w:t>4</w:t>
            </w:r>
            <w:r w:rsidR="00286ABA">
              <w:rPr>
                <w:rFonts w:ascii="Times New Roman" w:hAnsi="Times New Roman"/>
                <w:sz w:val="18"/>
                <w:szCs w:val="18"/>
                <w:lang w:val="fr-FR"/>
              </w:rPr>
              <w:t> </w:t>
            </w:r>
            <w:r w:rsidRPr="00394CBB">
              <w:rPr>
                <w:rFonts w:ascii="Times New Roman" w:hAnsi="Times New Roman"/>
                <w:sz w:val="18"/>
                <w:szCs w:val="18"/>
                <w:lang w:val="fr-FR"/>
              </w:rPr>
              <w:t xml:space="preserve">% (2005), </w:t>
            </w:r>
            <w:r w:rsidR="004D4AFD">
              <w:rPr>
                <w:rFonts w:ascii="Times New Roman" w:hAnsi="Times New Roman"/>
                <w:sz w:val="18"/>
                <w:szCs w:val="18"/>
                <w:lang w:val="fr-FR"/>
              </w:rPr>
              <w:br/>
            </w:r>
            <w:r w:rsidRPr="00394CBB">
              <w:rPr>
                <w:rFonts w:ascii="Times New Roman" w:hAnsi="Times New Roman"/>
                <w:sz w:val="18"/>
                <w:szCs w:val="18"/>
                <w:lang w:val="fr-FR"/>
              </w:rPr>
              <w:t>59</w:t>
            </w:r>
            <w:r w:rsidR="00DA65FA" w:rsidRPr="00394CBB">
              <w:rPr>
                <w:rFonts w:ascii="Times New Roman" w:hAnsi="Times New Roman"/>
                <w:sz w:val="18"/>
                <w:szCs w:val="18"/>
                <w:lang w:val="fr-FR"/>
              </w:rPr>
              <w:t>,</w:t>
            </w:r>
            <w:r w:rsidRPr="00394CBB">
              <w:rPr>
                <w:rFonts w:ascii="Times New Roman" w:hAnsi="Times New Roman"/>
                <w:sz w:val="18"/>
                <w:szCs w:val="18"/>
                <w:lang w:val="fr-FR"/>
              </w:rPr>
              <w:t>4</w:t>
            </w:r>
            <w:r w:rsidR="00286ABA">
              <w:rPr>
                <w:rFonts w:ascii="Times New Roman" w:hAnsi="Times New Roman"/>
                <w:sz w:val="18"/>
                <w:szCs w:val="18"/>
                <w:lang w:val="fr-FR"/>
              </w:rPr>
              <w:t> </w:t>
            </w:r>
            <w:r w:rsidRPr="00394CBB">
              <w:rPr>
                <w:rFonts w:ascii="Times New Roman" w:hAnsi="Times New Roman"/>
                <w:sz w:val="18"/>
                <w:szCs w:val="18"/>
                <w:lang w:val="fr-FR"/>
              </w:rPr>
              <w:t>% (2001), 71</w:t>
            </w:r>
            <w:r w:rsidR="00DA65FA" w:rsidRPr="00394CBB">
              <w:rPr>
                <w:rFonts w:ascii="Times New Roman" w:hAnsi="Times New Roman"/>
                <w:sz w:val="18"/>
                <w:szCs w:val="18"/>
                <w:lang w:val="fr-FR"/>
              </w:rPr>
              <w:t>,</w:t>
            </w:r>
            <w:r w:rsidRPr="00394CBB">
              <w:rPr>
                <w:rFonts w:ascii="Times New Roman" w:hAnsi="Times New Roman"/>
                <w:sz w:val="18"/>
                <w:szCs w:val="18"/>
                <w:lang w:val="fr-FR"/>
              </w:rPr>
              <w:t>4</w:t>
            </w:r>
            <w:r w:rsidR="00286ABA">
              <w:rPr>
                <w:rFonts w:ascii="Times New Roman" w:hAnsi="Times New Roman"/>
                <w:sz w:val="18"/>
                <w:szCs w:val="18"/>
                <w:lang w:val="fr-FR"/>
              </w:rPr>
              <w:t> </w:t>
            </w:r>
            <w:r w:rsidRPr="00394CBB">
              <w:rPr>
                <w:rFonts w:ascii="Times New Roman" w:hAnsi="Times New Roman"/>
                <w:sz w:val="18"/>
                <w:szCs w:val="18"/>
                <w:lang w:val="fr-FR"/>
              </w:rPr>
              <w:t>% (1997)</w:t>
            </w:r>
          </w:p>
          <w:p w:rsidR="000B562B" w:rsidRPr="00394CBB" w:rsidRDefault="000B562B" w:rsidP="00E654D3">
            <w:pPr>
              <w:pStyle w:val="Text"/>
              <w:spacing w:before="40" w:after="40" w:line="220" w:lineRule="exact"/>
              <w:ind w:right="57"/>
              <w:jc w:val="right"/>
              <w:rPr>
                <w:rFonts w:ascii="Times New Roman" w:hAnsi="Times New Roman"/>
                <w:sz w:val="18"/>
                <w:szCs w:val="18"/>
                <w:lang w:val="fr-FR"/>
              </w:rPr>
            </w:pPr>
            <w:r w:rsidRPr="00394CBB">
              <w:rPr>
                <w:rFonts w:ascii="Times New Roman" w:hAnsi="Times New Roman"/>
                <w:sz w:val="18"/>
                <w:szCs w:val="18"/>
                <w:lang w:val="fr-FR"/>
              </w:rPr>
              <w:t>Assembl</w:t>
            </w:r>
            <w:r w:rsidR="00AF39C5" w:rsidRPr="00394CBB">
              <w:rPr>
                <w:rFonts w:ascii="Times New Roman" w:hAnsi="Times New Roman"/>
                <w:sz w:val="18"/>
                <w:szCs w:val="18"/>
                <w:lang w:val="fr-FR"/>
              </w:rPr>
              <w:t>ée d’Irlande du Nord</w:t>
            </w:r>
            <w:r w:rsidR="00FC2B97" w:rsidRPr="00394CBB">
              <w:rPr>
                <w:rFonts w:ascii="Times New Roman" w:hAnsi="Times New Roman"/>
                <w:sz w:val="18"/>
                <w:szCs w:val="18"/>
                <w:lang w:val="fr-FR"/>
              </w:rPr>
              <w:t>:</w:t>
            </w:r>
            <w:r w:rsidRPr="00394CBB">
              <w:rPr>
                <w:rFonts w:ascii="Times New Roman" w:hAnsi="Times New Roman"/>
                <w:sz w:val="18"/>
                <w:szCs w:val="18"/>
                <w:lang w:val="fr-FR"/>
              </w:rPr>
              <w:t xml:space="preserve"> 62</w:t>
            </w:r>
            <w:r w:rsidR="00DA65FA" w:rsidRPr="00394CBB">
              <w:rPr>
                <w:rFonts w:ascii="Times New Roman" w:hAnsi="Times New Roman"/>
                <w:sz w:val="18"/>
                <w:szCs w:val="18"/>
                <w:lang w:val="fr-FR"/>
              </w:rPr>
              <w:t>,</w:t>
            </w:r>
            <w:r w:rsidRPr="00394CBB">
              <w:rPr>
                <w:rFonts w:ascii="Times New Roman" w:hAnsi="Times New Roman"/>
                <w:sz w:val="18"/>
                <w:szCs w:val="18"/>
                <w:lang w:val="fr-FR"/>
              </w:rPr>
              <w:t>3</w:t>
            </w:r>
            <w:r w:rsidR="00286ABA">
              <w:rPr>
                <w:rFonts w:ascii="Times New Roman" w:hAnsi="Times New Roman"/>
                <w:sz w:val="18"/>
                <w:szCs w:val="18"/>
                <w:lang w:val="fr-FR"/>
              </w:rPr>
              <w:t> </w:t>
            </w:r>
            <w:r w:rsidRPr="00394CBB">
              <w:rPr>
                <w:rFonts w:ascii="Times New Roman" w:hAnsi="Times New Roman"/>
                <w:sz w:val="18"/>
                <w:szCs w:val="18"/>
                <w:lang w:val="fr-FR"/>
              </w:rPr>
              <w:t>% (2007),</w:t>
            </w:r>
            <w:r w:rsidR="00E654D3">
              <w:rPr>
                <w:rFonts w:ascii="Times New Roman" w:hAnsi="Times New Roman"/>
                <w:sz w:val="18"/>
                <w:szCs w:val="18"/>
                <w:lang w:val="fr-FR"/>
              </w:rPr>
              <w:t xml:space="preserve"> </w:t>
            </w:r>
            <w:r w:rsidRPr="00394CBB">
              <w:rPr>
                <w:rFonts w:ascii="Times New Roman" w:hAnsi="Times New Roman"/>
                <w:sz w:val="18"/>
                <w:szCs w:val="18"/>
                <w:lang w:val="fr-FR"/>
              </w:rPr>
              <w:t>63</w:t>
            </w:r>
            <w:r w:rsidR="00DA65FA" w:rsidRPr="00394CBB">
              <w:rPr>
                <w:rFonts w:ascii="Times New Roman" w:hAnsi="Times New Roman"/>
                <w:sz w:val="18"/>
                <w:szCs w:val="18"/>
                <w:lang w:val="fr-FR"/>
              </w:rPr>
              <w:t>,</w:t>
            </w:r>
            <w:r w:rsidRPr="00394CBB">
              <w:rPr>
                <w:rFonts w:ascii="Times New Roman" w:hAnsi="Times New Roman"/>
                <w:sz w:val="18"/>
                <w:szCs w:val="18"/>
                <w:lang w:val="fr-FR"/>
              </w:rPr>
              <w:t>1</w:t>
            </w:r>
            <w:r w:rsidR="00286ABA">
              <w:rPr>
                <w:rFonts w:ascii="Times New Roman" w:hAnsi="Times New Roman"/>
                <w:sz w:val="18"/>
                <w:szCs w:val="18"/>
                <w:lang w:val="fr-FR"/>
              </w:rPr>
              <w:t> </w:t>
            </w:r>
            <w:r w:rsidRPr="00394CBB">
              <w:rPr>
                <w:rFonts w:ascii="Times New Roman" w:hAnsi="Times New Roman"/>
                <w:sz w:val="18"/>
                <w:szCs w:val="18"/>
                <w:lang w:val="fr-FR"/>
              </w:rPr>
              <w:t>% (2003), 68</w:t>
            </w:r>
            <w:r w:rsidR="00DA65FA" w:rsidRPr="00394CBB">
              <w:rPr>
                <w:rFonts w:ascii="Times New Roman" w:hAnsi="Times New Roman"/>
                <w:sz w:val="18"/>
                <w:szCs w:val="18"/>
                <w:lang w:val="fr-FR"/>
              </w:rPr>
              <w:t>,</w:t>
            </w:r>
            <w:r w:rsidRPr="00394CBB">
              <w:rPr>
                <w:rFonts w:ascii="Times New Roman" w:hAnsi="Times New Roman"/>
                <w:sz w:val="18"/>
                <w:szCs w:val="18"/>
                <w:lang w:val="fr-FR"/>
              </w:rPr>
              <w:t>8</w:t>
            </w:r>
            <w:r w:rsidR="00286ABA">
              <w:rPr>
                <w:rFonts w:ascii="Times New Roman" w:hAnsi="Times New Roman"/>
                <w:sz w:val="18"/>
                <w:szCs w:val="18"/>
                <w:lang w:val="fr-FR"/>
              </w:rPr>
              <w:t> </w:t>
            </w:r>
            <w:r w:rsidRPr="00394CBB">
              <w:rPr>
                <w:rFonts w:ascii="Times New Roman" w:hAnsi="Times New Roman"/>
                <w:sz w:val="18"/>
                <w:szCs w:val="18"/>
                <w:lang w:val="fr-FR"/>
              </w:rPr>
              <w:t>% (1998)</w:t>
            </w:r>
            <w:r w:rsidRPr="00394CBB">
              <w:rPr>
                <w:rStyle w:val="FootnoteReference"/>
                <w:szCs w:val="18"/>
                <w:lang w:val="fr-FR"/>
              </w:rPr>
              <w:footnoteReference w:id="100"/>
            </w:r>
          </w:p>
          <w:p w:rsidR="000B562B" w:rsidRPr="00394CBB" w:rsidRDefault="00DA65FA" w:rsidP="004D4AFD">
            <w:pPr>
              <w:pStyle w:val="Text"/>
              <w:spacing w:before="40" w:after="40" w:line="220" w:lineRule="exact"/>
              <w:ind w:right="57"/>
              <w:jc w:val="right"/>
              <w:rPr>
                <w:rFonts w:ascii="Times New Roman" w:hAnsi="Times New Roman"/>
                <w:sz w:val="18"/>
                <w:szCs w:val="18"/>
                <w:lang w:val="fr-FR"/>
              </w:rPr>
            </w:pPr>
            <w:r w:rsidRPr="00394CBB">
              <w:rPr>
                <w:rFonts w:ascii="Times New Roman" w:hAnsi="Times New Roman"/>
                <w:sz w:val="18"/>
                <w:szCs w:val="18"/>
                <w:lang w:val="fr-FR"/>
              </w:rPr>
              <w:t>Parlement écossais</w:t>
            </w:r>
            <w:r w:rsidR="00FC2B97" w:rsidRPr="00394CBB">
              <w:rPr>
                <w:rFonts w:ascii="Times New Roman" w:hAnsi="Times New Roman"/>
                <w:sz w:val="18"/>
                <w:szCs w:val="18"/>
                <w:lang w:val="fr-FR"/>
              </w:rPr>
              <w:t>:</w:t>
            </w:r>
            <w:r w:rsidR="000B562B" w:rsidRPr="00394CBB">
              <w:rPr>
                <w:rFonts w:ascii="Times New Roman" w:hAnsi="Times New Roman"/>
                <w:sz w:val="18"/>
                <w:szCs w:val="18"/>
                <w:lang w:val="fr-FR"/>
              </w:rPr>
              <w:t xml:space="preserve"> 52</w:t>
            </w:r>
            <w:r w:rsidRPr="00394CBB">
              <w:rPr>
                <w:rFonts w:ascii="Times New Roman" w:hAnsi="Times New Roman"/>
                <w:sz w:val="18"/>
                <w:szCs w:val="18"/>
                <w:lang w:val="fr-FR"/>
              </w:rPr>
              <w:t>,</w:t>
            </w:r>
            <w:r w:rsidR="000B562B" w:rsidRPr="00394CBB">
              <w:rPr>
                <w:rFonts w:ascii="Times New Roman" w:hAnsi="Times New Roman"/>
                <w:sz w:val="18"/>
                <w:szCs w:val="18"/>
                <w:lang w:val="fr-FR"/>
              </w:rPr>
              <w:t>4</w:t>
            </w:r>
            <w:r w:rsidR="00286ABA">
              <w:rPr>
                <w:rFonts w:ascii="Times New Roman" w:hAnsi="Times New Roman"/>
                <w:sz w:val="18"/>
                <w:szCs w:val="18"/>
                <w:lang w:val="fr-FR"/>
              </w:rPr>
              <w:t> </w:t>
            </w:r>
            <w:r w:rsidR="000B562B" w:rsidRPr="00394CBB">
              <w:rPr>
                <w:rFonts w:ascii="Times New Roman" w:hAnsi="Times New Roman"/>
                <w:sz w:val="18"/>
                <w:szCs w:val="18"/>
                <w:lang w:val="fr-FR"/>
              </w:rPr>
              <w:t xml:space="preserve">% (2007), </w:t>
            </w:r>
            <w:r w:rsidR="004D4AFD">
              <w:rPr>
                <w:rFonts w:ascii="Times New Roman" w:hAnsi="Times New Roman"/>
                <w:sz w:val="18"/>
                <w:szCs w:val="18"/>
                <w:lang w:val="fr-FR"/>
              </w:rPr>
              <w:br/>
            </w:r>
            <w:r w:rsidR="000B562B" w:rsidRPr="00394CBB">
              <w:rPr>
                <w:rFonts w:ascii="Times New Roman" w:hAnsi="Times New Roman"/>
                <w:sz w:val="18"/>
                <w:szCs w:val="18"/>
                <w:lang w:val="fr-FR"/>
              </w:rPr>
              <w:t>49</w:t>
            </w:r>
            <w:r w:rsidRPr="00394CBB">
              <w:rPr>
                <w:rFonts w:ascii="Times New Roman" w:hAnsi="Times New Roman"/>
                <w:sz w:val="18"/>
                <w:szCs w:val="18"/>
                <w:lang w:val="fr-FR"/>
              </w:rPr>
              <w:t>,</w:t>
            </w:r>
            <w:r w:rsidR="000B562B" w:rsidRPr="00394CBB">
              <w:rPr>
                <w:rFonts w:ascii="Times New Roman" w:hAnsi="Times New Roman"/>
                <w:sz w:val="18"/>
                <w:szCs w:val="18"/>
                <w:lang w:val="fr-FR"/>
              </w:rPr>
              <w:t>4</w:t>
            </w:r>
            <w:r w:rsidR="00286ABA">
              <w:rPr>
                <w:rFonts w:ascii="Times New Roman" w:hAnsi="Times New Roman"/>
                <w:sz w:val="18"/>
                <w:szCs w:val="18"/>
                <w:lang w:val="fr-FR"/>
              </w:rPr>
              <w:t> </w:t>
            </w:r>
            <w:r w:rsidR="000B562B" w:rsidRPr="00394CBB">
              <w:rPr>
                <w:rFonts w:ascii="Times New Roman" w:hAnsi="Times New Roman"/>
                <w:sz w:val="18"/>
                <w:szCs w:val="18"/>
                <w:lang w:val="fr-FR"/>
              </w:rPr>
              <w:t>% (2003), 58</w:t>
            </w:r>
            <w:r w:rsidRPr="00394CBB">
              <w:rPr>
                <w:rFonts w:ascii="Times New Roman" w:hAnsi="Times New Roman"/>
                <w:sz w:val="18"/>
                <w:szCs w:val="18"/>
                <w:lang w:val="fr-FR"/>
              </w:rPr>
              <w:t>,</w:t>
            </w:r>
            <w:r w:rsidR="000B562B" w:rsidRPr="00394CBB">
              <w:rPr>
                <w:rFonts w:ascii="Times New Roman" w:hAnsi="Times New Roman"/>
                <w:sz w:val="18"/>
                <w:szCs w:val="18"/>
                <w:lang w:val="fr-FR"/>
              </w:rPr>
              <w:t>2</w:t>
            </w:r>
            <w:r w:rsidR="00286ABA">
              <w:rPr>
                <w:rFonts w:ascii="Times New Roman" w:hAnsi="Times New Roman"/>
                <w:sz w:val="18"/>
                <w:szCs w:val="18"/>
                <w:lang w:val="fr-FR"/>
              </w:rPr>
              <w:t> </w:t>
            </w:r>
            <w:r w:rsidR="000B562B" w:rsidRPr="00394CBB">
              <w:rPr>
                <w:rFonts w:ascii="Times New Roman" w:hAnsi="Times New Roman"/>
                <w:sz w:val="18"/>
                <w:szCs w:val="18"/>
                <w:lang w:val="fr-FR"/>
              </w:rPr>
              <w:t>% (1999)</w:t>
            </w:r>
            <w:r w:rsidR="000B562B" w:rsidRPr="00394CBB">
              <w:rPr>
                <w:rStyle w:val="FootnoteReference"/>
                <w:szCs w:val="18"/>
                <w:lang w:val="fr-FR"/>
              </w:rPr>
              <w:footnoteReference w:id="101"/>
            </w:r>
          </w:p>
          <w:p w:rsidR="000B562B" w:rsidRPr="00394CBB" w:rsidRDefault="00DA65FA" w:rsidP="004D4AFD">
            <w:pPr>
              <w:pStyle w:val="Text"/>
              <w:spacing w:before="40" w:after="40" w:line="220" w:lineRule="exact"/>
              <w:ind w:right="57"/>
              <w:jc w:val="right"/>
              <w:rPr>
                <w:rFonts w:ascii="Times New Roman" w:hAnsi="Times New Roman"/>
                <w:sz w:val="18"/>
                <w:szCs w:val="18"/>
                <w:lang w:val="fr-FR"/>
              </w:rPr>
            </w:pPr>
            <w:r w:rsidRPr="00394CBB">
              <w:rPr>
                <w:rFonts w:ascii="Times New Roman" w:hAnsi="Times New Roman"/>
                <w:sz w:val="18"/>
                <w:szCs w:val="18"/>
                <w:lang w:val="fr-FR"/>
              </w:rPr>
              <w:t>Assemblée galloise</w:t>
            </w:r>
            <w:r w:rsidR="00FC2B97" w:rsidRPr="00394CBB">
              <w:rPr>
                <w:rFonts w:ascii="Times New Roman" w:hAnsi="Times New Roman"/>
                <w:sz w:val="18"/>
                <w:szCs w:val="18"/>
                <w:lang w:val="fr-FR"/>
              </w:rPr>
              <w:t>:</w:t>
            </w:r>
            <w:r w:rsidR="000B562B" w:rsidRPr="00394CBB">
              <w:rPr>
                <w:rFonts w:ascii="Times New Roman" w:hAnsi="Times New Roman"/>
                <w:sz w:val="18"/>
                <w:szCs w:val="18"/>
                <w:lang w:val="fr-FR"/>
              </w:rPr>
              <w:t xml:space="preserve"> 43</w:t>
            </w:r>
            <w:r w:rsidRPr="00394CBB">
              <w:rPr>
                <w:rFonts w:ascii="Times New Roman" w:hAnsi="Times New Roman"/>
                <w:sz w:val="18"/>
                <w:szCs w:val="18"/>
                <w:lang w:val="fr-FR"/>
              </w:rPr>
              <w:t>,</w:t>
            </w:r>
            <w:r w:rsidR="000B562B" w:rsidRPr="00394CBB">
              <w:rPr>
                <w:rFonts w:ascii="Times New Roman" w:hAnsi="Times New Roman"/>
                <w:sz w:val="18"/>
                <w:szCs w:val="18"/>
                <w:lang w:val="fr-FR"/>
              </w:rPr>
              <w:t>5</w:t>
            </w:r>
            <w:r w:rsidR="00286ABA">
              <w:rPr>
                <w:rFonts w:ascii="Times New Roman" w:hAnsi="Times New Roman"/>
                <w:sz w:val="18"/>
                <w:szCs w:val="18"/>
                <w:lang w:val="fr-FR"/>
              </w:rPr>
              <w:t> </w:t>
            </w:r>
            <w:r w:rsidR="000B562B" w:rsidRPr="00394CBB">
              <w:rPr>
                <w:rFonts w:ascii="Times New Roman" w:hAnsi="Times New Roman"/>
                <w:sz w:val="18"/>
                <w:szCs w:val="18"/>
                <w:lang w:val="fr-FR"/>
              </w:rPr>
              <w:t>% (2007), 38</w:t>
            </w:r>
            <w:r w:rsidRPr="00394CBB">
              <w:rPr>
                <w:rFonts w:ascii="Times New Roman" w:hAnsi="Times New Roman"/>
                <w:sz w:val="18"/>
                <w:szCs w:val="18"/>
                <w:lang w:val="fr-FR"/>
              </w:rPr>
              <w:t>,</w:t>
            </w:r>
            <w:r w:rsidR="000B562B" w:rsidRPr="00394CBB">
              <w:rPr>
                <w:rFonts w:ascii="Times New Roman" w:hAnsi="Times New Roman"/>
                <w:sz w:val="18"/>
                <w:szCs w:val="18"/>
                <w:lang w:val="fr-FR"/>
              </w:rPr>
              <w:t>2</w:t>
            </w:r>
            <w:r w:rsidR="00D80BCB" w:rsidRPr="00394CBB">
              <w:rPr>
                <w:rFonts w:ascii="Times New Roman" w:hAnsi="Times New Roman"/>
                <w:sz w:val="18"/>
                <w:szCs w:val="18"/>
                <w:lang w:val="fr-FR"/>
              </w:rPr>
              <w:t> </w:t>
            </w:r>
            <w:r w:rsidR="000B562B" w:rsidRPr="00394CBB">
              <w:rPr>
                <w:rFonts w:ascii="Times New Roman" w:hAnsi="Times New Roman"/>
                <w:sz w:val="18"/>
                <w:szCs w:val="18"/>
                <w:lang w:val="fr-FR"/>
              </w:rPr>
              <w:t>% (2003), 46</w:t>
            </w:r>
            <w:r w:rsidRPr="00394CBB">
              <w:rPr>
                <w:rFonts w:ascii="Times New Roman" w:hAnsi="Times New Roman"/>
                <w:sz w:val="18"/>
                <w:szCs w:val="18"/>
                <w:lang w:val="fr-FR"/>
              </w:rPr>
              <w:t>,</w:t>
            </w:r>
            <w:r w:rsidR="000B562B" w:rsidRPr="00394CBB">
              <w:rPr>
                <w:rFonts w:ascii="Times New Roman" w:hAnsi="Times New Roman"/>
                <w:sz w:val="18"/>
                <w:szCs w:val="18"/>
                <w:lang w:val="fr-FR"/>
              </w:rPr>
              <w:t>3</w:t>
            </w:r>
            <w:r w:rsidR="00D80BCB" w:rsidRPr="00394CBB">
              <w:rPr>
                <w:rFonts w:ascii="Times New Roman" w:hAnsi="Times New Roman"/>
                <w:sz w:val="18"/>
                <w:szCs w:val="18"/>
                <w:lang w:val="fr-FR"/>
              </w:rPr>
              <w:t xml:space="preserve"> </w:t>
            </w:r>
            <w:r w:rsidR="000B562B" w:rsidRPr="00394CBB">
              <w:rPr>
                <w:rFonts w:ascii="Times New Roman" w:hAnsi="Times New Roman"/>
                <w:sz w:val="18"/>
                <w:szCs w:val="18"/>
                <w:lang w:val="fr-FR"/>
              </w:rPr>
              <w:t>% (1999)</w:t>
            </w:r>
            <w:r w:rsidR="000B562B" w:rsidRPr="00394CBB">
              <w:rPr>
                <w:rStyle w:val="FootnoteReference"/>
                <w:szCs w:val="18"/>
                <w:lang w:val="fr-FR"/>
              </w:rPr>
              <w:footnoteReference w:id="102"/>
            </w:r>
          </w:p>
        </w:tc>
      </w:tr>
    </w:tbl>
    <w:p w:rsidR="000B562B" w:rsidRPr="00A176EA" w:rsidRDefault="000B562B" w:rsidP="008B7215">
      <w:pPr>
        <w:pStyle w:val="SingleTxtG"/>
      </w:pP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4550"/>
        <w:gridCol w:w="2820"/>
      </w:tblGrid>
      <w:tr w:rsidR="005560C6" w:rsidRPr="003A0226" w:rsidTr="005560C6">
        <w:tblPrEx>
          <w:tblCellMar>
            <w:top w:w="0" w:type="dxa"/>
            <w:bottom w:w="0" w:type="dxa"/>
          </w:tblCellMar>
        </w:tblPrEx>
        <w:trPr>
          <w:cantSplit/>
          <w:trHeight w:val="240"/>
          <w:tblHeader/>
        </w:trPr>
        <w:tc>
          <w:tcPr>
            <w:tcW w:w="7370" w:type="dxa"/>
            <w:gridSpan w:val="2"/>
            <w:tcBorders>
              <w:top w:val="single" w:sz="4" w:space="0" w:color="auto"/>
              <w:bottom w:val="single" w:sz="4" w:space="0" w:color="auto"/>
            </w:tcBorders>
            <w:shd w:val="clear" w:color="auto" w:fill="auto"/>
          </w:tcPr>
          <w:p w:rsidR="005560C6" w:rsidRPr="003A0226" w:rsidRDefault="005560C6" w:rsidP="005560C6">
            <w:pPr>
              <w:pStyle w:val="Text"/>
              <w:spacing w:before="80" w:after="80" w:line="220" w:lineRule="exact"/>
              <w:ind w:right="57"/>
              <w:rPr>
                <w:rFonts w:ascii="Times New Roman" w:hAnsi="Times New Roman"/>
                <w:i/>
                <w:iCs/>
                <w:sz w:val="16"/>
                <w:szCs w:val="16"/>
                <w:lang w:val="fr-FR"/>
              </w:rPr>
            </w:pPr>
            <w:r w:rsidRPr="005560C6">
              <w:rPr>
                <w:rFonts w:ascii="Times New Roman" w:hAnsi="Times New Roman"/>
                <w:i/>
                <w:iCs/>
                <w:sz w:val="16"/>
                <w:szCs w:val="16"/>
                <w:lang w:val="fr-FR"/>
              </w:rPr>
              <w:t>Indicateurs relatifs à la criminalité et à l’administration de la justice en Angleterre et au pays de Galles</w:t>
            </w:r>
          </w:p>
        </w:tc>
      </w:tr>
      <w:tr w:rsidR="009C1B30" w:rsidRPr="003A0226" w:rsidTr="003A0226">
        <w:tblPrEx>
          <w:tblCellMar>
            <w:top w:w="0" w:type="dxa"/>
            <w:bottom w:w="0" w:type="dxa"/>
          </w:tblCellMar>
        </w:tblPrEx>
        <w:trPr>
          <w:cantSplit/>
          <w:trHeight w:val="240"/>
          <w:tblHeader/>
        </w:trPr>
        <w:tc>
          <w:tcPr>
            <w:tcW w:w="4550" w:type="dxa"/>
            <w:tcBorders>
              <w:top w:val="single" w:sz="4" w:space="0" w:color="auto"/>
              <w:bottom w:val="single" w:sz="12" w:space="0" w:color="auto"/>
            </w:tcBorders>
            <w:shd w:val="clear" w:color="auto" w:fill="auto"/>
          </w:tcPr>
          <w:p w:rsidR="009C1B30" w:rsidRPr="003A0226" w:rsidRDefault="009C1B30" w:rsidP="003A0226">
            <w:pPr>
              <w:pStyle w:val="Text"/>
              <w:spacing w:before="80" w:after="80" w:line="220" w:lineRule="exact"/>
              <w:rPr>
                <w:rFonts w:ascii="Times New Roman" w:hAnsi="Times New Roman"/>
                <w:i/>
                <w:iCs/>
                <w:sz w:val="16"/>
                <w:szCs w:val="16"/>
                <w:lang w:val="fr-FR"/>
              </w:rPr>
            </w:pPr>
            <w:r w:rsidRPr="003A0226">
              <w:rPr>
                <w:rFonts w:ascii="Times New Roman" w:hAnsi="Times New Roman"/>
                <w:i/>
                <w:iCs/>
                <w:sz w:val="16"/>
                <w:szCs w:val="16"/>
                <w:lang w:val="fr-FR"/>
              </w:rPr>
              <w:t>Indicateur</w:t>
            </w:r>
          </w:p>
        </w:tc>
        <w:tc>
          <w:tcPr>
            <w:tcW w:w="2820" w:type="dxa"/>
            <w:tcBorders>
              <w:top w:val="single" w:sz="4" w:space="0" w:color="auto"/>
              <w:bottom w:val="single" w:sz="12" w:space="0" w:color="auto"/>
            </w:tcBorders>
            <w:shd w:val="clear" w:color="auto" w:fill="auto"/>
          </w:tcPr>
          <w:p w:rsidR="009C1B30" w:rsidRPr="003A0226" w:rsidRDefault="009C1B30" w:rsidP="00350E3D">
            <w:pPr>
              <w:pStyle w:val="Text"/>
              <w:spacing w:before="80" w:after="80" w:line="220" w:lineRule="exact"/>
              <w:ind w:right="57"/>
              <w:jc w:val="right"/>
              <w:rPr>
                <w:rFonts w:ascii="Times New Roman" w:hAnsi="Times New Roman"/>
                <w:i/>
                <w:iCs/>
                <w:sz w:val="16"/>
                <w:szCs w:val="16"/>
                <w:lang w:val="fr-FR"/>
              </w:rPr>
            </w:pPr>
            <w:r w:rsidRPr="003A0226">
              <w:rPr>
                <w:rFonts w:ascii="Times New Roman" w:hAnsi="Times New Roman"/>
                <w:i/>
                <w:iCs/>
                <w:sz w:val="16"/>
                <w:szCs w:val="16"/>
                <w:lang w:val="fr-FR"/>
              </w:rPr>
              <w:t>Valeur</w:t>
            </w:r>
          </w:p>
        </w:tc>
      </w:tr>
      <w:tr w:rsidR="000B562B" w:rsidRPr="00A176EA" w:rsidTr="003A0226">
        <w:tblPrEx>
          <w:tblCellMar>
            <w:top w:w="0" w:type="dxa"/>
            <w:bottom w:w="0" w:type="dxa"/>
          </w:tblCellMar>
        </w:tblPrEx>
        <w:trPr>
          <w:cantSplit/>
          <w:trHeight w:val="240"/>
        </w:trPr>
        <w:tc>
          <w:tcPr>
            <w:tcW w:w="4550" w:type="dxa"/>
            <w:tcBorders>
              <w:top w:val="single" w:sz="12" w:space="0" w:color="auto"/>
            </w:tcBorders>
            <w:shd w:val="clear" w:color="auto" w:fill="auto"/>
          </w:tcPr>
          <w:p w:rsidR="000B562B" w:rsidRPr="00513568" w:rsidRDefault="00D80BCB" w:rsidP="00D80BCB">
            <w:pPr>
              <w:pStyle w:val="Text"/>
              <w:spacing w:before="40" w:after="40" w:line="220" w:lineRule="exact"/>
              <w:rPr>
                <w:rFonts w:ascii="Times New Roman" w:hAnsi="Times New Roman"/>
                <w:sz w:val="18"/>
                <w:lang w:val="fr-FR"/>
              </w:rPr>
            </w:pPr>
            <w:r w:rsidRPr="00513568">
              <w:rPr>
                <w:rFonts w:ascii="Times New Roman" w:hAnsi="Times New Roman"/>
                <w:sz w:val="18"/>
                <w:lang w:val="fr-FR"/>
              </w:rPr>
              <w:t>Pou</w:t>
            </w:r>
            <w:r w:rsidR="000B562B" w:rsidRPr="00513568">
              <w:rPr>
                <w:rFonts w:ascii="Times New Roman" w:hAnsi="Times New Roman"/>
                <w:sz w:val="18"/>
                <w:lang w:val="fr-FR"/>
              </w:rPr>
              <w:t xml:space="preserve">rcentage </w:t>
            </w:r>
            <w:r w:rsidRPr="00513568">
              <w:rPr>
                <w:rFonts w:ascii="Times New Roman" w:hAnsi="Times New Roman"/>
                <w:sz w:val="18"/>
                <w:lang w:val="fr-FR"/>
              </w:rPr>
              <w:t>d’infractions classées en fait de violence</w:t>
            </w:r>
          </w:p>
        </w:tc>
        <w:tc>
          <w:tcPr>
            <w:tcW w:w="2820" w:type="dxa"/>
            <w:tcBorders>
              <w:top w:val="single" w:sz="12" w:space="0" w:color="auto"/>
            </w:tcBorders>
            <w:shd w:val="clear" w:color="auto" w:fill="auto"/>
          </w:tcPr>
          <w:p w:rsidR="000B562B" w:rsidRPr="00513568" w:rsidRDefault="000B562B" w:rsidP="00350E3D">
            <w:pPr>
              <w:pStyle w:val="Text"/>
              <w:spacing w:before="40" w:after="40" w:line="220" w:lineRule="exact"/>
              <w:ind w:right="57"/>
              <w:jc w:val="right"/>
              <w:rPr>
                <w:rFonts w:ascii="Times New Roman" w:hAnsi="Times New Roman"/>
                <w:sz w:val="18"/>
                <w:lang w:val="fr-FR"/>
              </w:rPr>
            </w:pPr>
            <w:r w:rsidRPr="00513568">
              <w:rPr>
                <w:rFonts w:ascii="Times New Roman" w:hAnsi="Times New Roman"/>
                <w:sz w:val="18"/>
                <w:lang w:val="fr-FR"/>
              </w:rPr>
              <w:t>22</w:t>
            </w:r>
            <w:r w:rsidR="00C61BED" w:rsidRPr="00513568">
              <w:rPr>
                <w:rFonts w:ascii="Times New Roman" w:hAnsi="Times New Roman"/>
                <w:sz w:val="18"/>
                <w:lang w:val="fr-FR"/>
              </w:rPr>
              <w:t xml:space="preserve"> </w:t>
            </w:r>
            <w:r w:rsidRPr="00513568">
              <w:rPr>
                <w:rFonts w:ascii="Times New Roman" w:hAnsi="Times New Roman"/>
                <w:sz w:val="18"/>
                <w:lang w:val="fr-FR"/>
              </w:rPr>
              <w:t>% (</w:t>
            </w:r>
            <w:r w:rsidR="00782178" w:rsidRPr="00513568">
              <w:rPr>
                <w:rFonts w:ascii="Times New Roman" w:hAnsi="Times New Roman"/>
                <w:sz w:val="18"/>
                <w:lang w:val="fr-FR"/>
              </w:rPr>
              <w:t>soit environ</w:t>
            </w:r>
            <w:r w:rsidRPr="00513568">
              <w:rPr>
                <w:rFonts w:ascii="Times New Roman" w:hAnsi="Times New Roman"/>
                <w:sz w:val="18"/>
                <w:lang w:val="fr-FR"/>
              </w:rPr>
              <w:t xml:space="preserve"> 1/5 </w:t>
            </w:r>
            <w:r w:rsidR="00782178" w:rsidRPr="00513568">
              <w:rPr>
                <w:rFonts w:ascii="Times New Roman" w:hAnsi="Times New Roman"/>
                <w:sz w:val="18"/>
                <w:lang w:val="fr-FR"/>
              </w:rPr>
              <w:t xml:space="preserve">de </w:t>
            </w:r>
            <w:r w:rsidR="004D4AFD">
              <w:rPr>
                <w:rFonts w:ascii="Times New Roman" w:hAnsi="Times New Roman"/>
                <w:sz w:val="18"/>
                <w:lang w:val="fr-FR"/>
              </w:rPr>
              <w:br/>
            </w:r>
            <w:r w:rsidR="00782178" w:rsidRPr="00513568">
              <w:rPr>
                <w:rFonts w:ascii="Times New Roman" w:hAnsi="Times New Roman"/>
                <w:sz w:val="18"/>
                <w:lang w:val="fr-FR"/>
              </w:rPr>
              <w:t>toutes les infractions</w:t>
            </w:r>
            <w:r w:rsidRPr="00513568">
              <w:rPr>
                <w:rFonts w:ascii="Times New Roman" w:hAnsi="Times New Roman"/>
                <w:sz w:val="18"/>
                <w:lang w:val="fr-FR"/>
              </w:rPr>
              <w:t>)</w:t>
            </w:r>
            <w:r w:rsidRPr="00513568">
              <w:rPr>
                <w:rStyle w:val="FootnoteReference"/>
                <w:szCs w:val="22"/>
              </w:rPr>
              <w:footnoteReference w:id="103"/>
            </w:r>
          </w:p>
        </w:tc>
      </w:tr>
      <w:tr w:rsidR="000B562B" w:rsidRPr="00A176EA" w:rsidTr="004D4AFD">
        <w:tblPrEx>
          <w:tblCellMar>
            <w:top w:w="0" w:type="dxa"/>
            <w:bottom w:w="0" w:type="dxa"/>
          </w:tblCellMar>
        </w:tblPrEx>
        <w:trPr>
          <w:cantSplit/>
          <w:trHeight w:val="240"/>
        </w:trPr>
        <w:tc>
          <w:tcPr>
            <w:tcW w:w="4550" w:type="dxa"/>
            <w:shd w:val="clear" w:color="auto" w:fill="auto"/>
          </w:tcPr>
          <w:p w:rsidR="000B562B" w:rsidRPr="00513568" w:rsidRDefault="00782178" w:rsidP="00350E3D">
            <w:pPr>
              <w:pStyle w:val="Text"/>
              <w:spacing w:before="40" w:after="40" w:line="220" w:lineRule="exact"/>
              <w:rPr>
                <w:rFonts w:ascii="Times New Roman" w:hAnsi="Times New Roman"/>
                <w:sz w:val="18"/>
                <w:lang w:val="fr-FR"/>
              </w:rPr>
            </w:pPr>
            <w:r w:rsidRPr="00513568">
              <w:rPr>
                <w:rFonts w:ascii="Times New Roman" w:hAnsi="Times New Roman"/>
                <w:sz w:val="18"/>
                <w:lang w:val="fr-FR"/>
              </w:rPr>
              <w:t xml:space="preserve">Évolution du nombre de faits de violence entre 1995 </w:t>
            </w:r>
            <w:r w:rsidR="00014BDD">
              <w:rPr>
                <w:rFonts w:ascii="Times New Roman" w:hAnsi="Times New Roman"/>
                <w:sz w:val="18"/>
                <w:lang w:val="fr-FR"/>
              </w:rPr>
              <w:br/>
            </w:r>
            <w:r w:rsidRPr="00513568">
              <w:rPr>
                <w:rFonts w:ascii="Times New Roman" w:hAnsi="Times New Roman"/>
                <w:sz w:val="18"/>
                <w:lang w:val="fr-FR"/>
              </w:rPr>
              <w:t xml:space="preserve">et </w:t>
            </w:r>
            <w:r w:rsidR="000B562B" w:rsidRPr="00513568">
              <w:rPr>
                <w:rFonts w:ascii="Times New Roman" w:hAnsi="Times New Roman"/>
                <w:sz w:val="18"/>
                <w:lang w:val="fr-FR"/>
              </w:rPr>
              <w:t>2007</w:t>
            </w:r>
            <w:r w:rsidRPr="00513568">
              <w:rPr>
                <w:rFonts w:ascii="Times New Roman" w:hAnsi="Times New Roman"/>
                <w:sz w:val="18"/>
                <w:lang w:val="fr-FR"/>
              </w:rPr>
              <w:t>-20</w:t>
            </w:r>
            <w:r w:rsidR="000B562B" w:rsidRPr="00513568">
              <w:rPr>
                <w:rFonts w:ascii="Times New Roman" w:hAnsi="Times New Roman"/>
                <w:sz w:val="18"/>
                <w:lang w:val="fr-FR"/>
              </w:rPr>
              <w:t>08</w:t>
            </w:r>
            <w:r w:rsidR="000B562B" w:rsidRPr="00513568">
              <w:rPr>
                <w:rStyle w:val="FootnoteReference"/>
                <w:szCs w:val="22"/>
              </w:rPr>
              <w:footnoteReference w:id="104"/>
            </w:r>
          </w:p>
        </w:tc>
        <w:tc>
          <w:tcPr>
            <w:tcW w:w="2820" w:type="dxa"/>
            <w:shd w:val="clear" w:color="auto" w:fill="auto"/>
            <w:vAlign w:val="bottom"/>
          </w:tcPr>
          <w:p w:rsidR="000B562B" w:rsidRPr="00513568" w:rsidRDefault="000B562B" w:rsidP="00350E3D">
            <w:pPr>
              <w:pStyle w:val="Text"/>
              <w:spacing w:before="40" w:after="40" w:line="220" w:lineRule="exact"/>
              <w:ind w:right="57"/>
              <w:jc w:val="right"/>
              <w:rPr>
                <w:rFonts w:ascii="Times New Roman" w:hAnsi="Times New Roman"/>
                <w:sz w:val="18"/>
                <w:lang w:val="fr-FR"/>
              </w:rPr>
            </w:pPr>
            <w:r w:rsidRPr="00513568">
              <w:rPr>
                <w:rFonts w:ascii="Times New Roman" w:hAnsi="Times New Roman"/>
                <w:sz w:val="18"/>
                <w:lang w:val="fr-FR"/>
              </w:rPr>
              <w:t>-41%</w:t>
            </w:r>
          </w:p>
        </w:tc>
      </w:tr>
      <w:tr w:rsidR="000B562B" w:rsidRPr="00A176EA" w:rsidTr="003A0226">
        <w:tblPrEx>
          <w:tblCellMar>
            <w:top w:w="0" w:type="dxa"/>
            <w:bottom w:w="0" w:type="dxa"/>
          </w:tblCellMar>
        </w:tblPrEx>
        <w:trPr>
          <w:cantSplit/>
          <w:trHeight w:val="240"/>
        </w:trPr>
        <w:tc>
          <w:tcPr>
            <w:tcW w:w="4550" w:type="dxa"/>
            <w:shd w:val="clear" w:color="auto" w:fill="auto"/>
          </w:tcPr>
          <w:p w:rsidR="000B562B" w:rsidRPr="00513568" w:rsidRDefault="000B562B" w:rsidP="00530C60">
            <w:pPr>
              <w:pStyle w:val="Text"/>
              <w:spacing w:before="40" w:after="40" w:line="220" w:lineRule="exact"/>
              <w:rPr>
                <w:rFonts w:ascii="Times New Roman" w:hAnsi="Times New Roman"/>
                <w:sz w:val="18"/>
                <w:lang w:val="fr-FR"/>
              </w:rPr>
            </w:pPr>
            <w:r w:rsidRPr="00513568">
              <w:rPr>
                <w:rFonts w:ascii="Times New Roman" w:hAnsi="Times New Roman"/>
                <w:sz w:val="18"/>
                <w:lang w:val="fr-FR"/>
              </w:rPr>
              <w:t>P</w:t>
            </w:r>
            <w:r w:rsidR="00E16428" w:rsidRPr="00513568">
              <w:rPr>
                <w:rFonts w:ascii="Times New Roman" w:hAnsi="Times New Roman"/>
                <w:sz w:val="18"/>
                <w:lang w:val="fr-FR"/>
              </w:rPr>
              <w:t>ou</w:t>
            </w:r>
            <w:r w:rsidRPr="00513568">
              <w:rPr>
                <w:rFonts w:ascii="Times New Roman" w:hAnsi="Times New Roman"/>
                <w:sz w:val="18"/>
                <w:lang w:val="fr-FR"/>
              </w:rPr>
              <w:t xml:space="preserve">rcentage </w:t>
            </w:r>
            <w:r w:rsidR="00E16428" w:rsidRPr="00513568">
              <w:rPr>
                <w:rFonts w:ascii="Times New Roman" w:hAnsi="Times New Roman"/>
                <w:sz w:val="18"/>
                <w:lang w:val="fr-FR"/>
              </w:rPr>
              <w:t>de violence</w:t>
            </w:r>
            <w:r w:rsidR="00530C60" w:rsidRPr="00513568">
              <w:rPr>
                <w:rFonts w:ascii="Times New Roman" w:hAnsi="Times New Roman"/>
                <w:sz w:val="18"/>
                <w:lang w:val="fr-FR"/>
              </w:rPr>
              <w:t>s</w:t>
            </w:r>
            <w:r w:rsidR="00E16428" w:rsidRPr="00513568">
              <w:rPr>
                <w:rFonts w:ascii="Times New Roman" w:hAnsi="Times New Roman"/>
                <w:sz w:val="18"/>
                <w:lang w:val="fr-FR"/>
              </w:rPr>
              <w:t xml:space="preserve"> </w:t>
            </w:r>
            <w:r w:rsidR="00530C60" w:rsidRPr="00513568">
              <w:rPr>
                <w:rFonts w:ascii="Times New Roman" w:hAnsi="Times New Roman"/>
                <w:sz w:val="18"/>
                <w:lang w:val="fr-FR"/>
              </w:rPr>
              <w:t>graves contre une</w:t>
            </w:r>
            <w:r w:rsidRPr="00513568">
              <w:rPr>
                <w:rFonts w:ascii="Times New Roman" w:hAnsi="Times New Roman"/>
                <w:sz w:val="18"/>
                <w:lang w:val="fr-FR"/>
              </w:rPr>
              <w:t xml:space="preserve"> person</w:t>
            </w:r>
            <w:r w:rsidR="00530C60" w:rsidRPr="00513568">
              <w:rPr>
                <w:rFonts w:ascii="Times New Roman" w:hAnsi="Times New Roman"/>
                <w:sz w:val="18"/>
                <w:lang w:val="fr-FR"/>
              </w:rPr>
              <w:t>ne</w:t>
            </w:r>
            <w:r w:rsidRPr="00513568">
              <w:rPr>
                <w:rStyle w:val="FootnoteReference"/>
                <w:szCs w:val="22"/>
              </w:rPr>
              <w:footnoteReference w:id="105"/>
            </w:r>
          </w:p>
        </w:tc>
        <w:tc>
          <w:tcPr>
            <w:tcW w:w="2820" w:type="dxa"/>
            <w:shd w:val="clear" w:color="auto" w:fill="auto"/>
          </w:tcPr>
          <w:p w:rsidR="000B562B" w:rsidRPr="00513568" w:rsidRDefault="000B562B" w:rsidP="00350E3D">
            <w:pPr>
              <w:pStyle w:val="Text"/>
              <w:spacing w:before="40" w:after="40" w:line="220" w:lineRule="exact"/>
              <w:ind w:right="57"/>
              <w:jc w:val="right"/>
              <w:rPr>
                <w:rFonts w:ascii="Times New Roman" w:hAnsi="Times New Roman"/>
                <w:sz w:val="18"/>
                <w:lang w:val="fr-FR"/>
              </w:rPr>
            </w:pPr>
            <w:r w:rsidRPr="00513568">
              <w:rPr>
                <w:rFonts w:ascii="Times New Roman" w:hAnsi="Times New Roman"/>
                <w:sz w:val="18"/>
                <w:lang w:val="fr-FR"/>
              </w:rPr>
              <w:t>2</w:t>
            </w:r>
            <w:r w:rsidR="00C61BED" w:rsidRPr="00513568">
              <w:rPr>
                <w:rFonts w:ascii="Times New Roman" w:hAnsi="Times New Roman"/>
                <w:sz w:val="18"/>
                <w:lang w:val="fr-FR"/>
              </w:rPr>
              <w:t xml:space="preserve"> </w:t>
            </w:r>
            <w:r w:rsidRPr="00513568">
              <w:rPr>
                <w:rFonts w:ascii="Times New Roman" w:hAnsi="Times New Roman"/>
                <w:sz w:val="18"/>
                <w:lang w:val="fr-FR"/>
              </w:rPr>
              <w:t xml:space="preserve">% </w:t>
            </w:r>
            <w:r w:rsidR="00530C60" w:rsidRPr="00513568">
              <w:rPr>
                <w:rFonts w:ascii="Times New Roman" w:hAnsi="Times New Roman"/>
                <w:sz w:val="18"/>
                <w:lang w:val="fr-FR"/>
              </w:rPr>
              <w:t>du total des infractions de violence contre une personne</w:t>
            </w:r>
          </w:p>
        </w:tc>
      </w:tr>
      <w:tr w:rsidR="000B562B" w:rsidRPr="00A176EA" w:rsidTr="003A0226">
        <w:tblPrEx>
          <w:tblCellMar>
            <w:top w:w="0" w:type="dxa"/>
            <w:bottom w:w="0" w:type="dxa"/>
          </w:tblCellMar>
        </w:tblPrEx>
        <w:trPr>
          <w:cantSplit/>
          <w:trHeight w:val="240"/>
        </w:trPr>
        <w:tc>
          <w:tcPr>
            <w:tcW w:w="4550" w:type="dxa"/>
            <w:shd w:val="clear" w:color="auto" w:fill="auto"/>
          </w:tcPr>
          <w:p w:rsidR="000B562B" w:rsidRPr="00A176EA" w:rsidRDefault="000B562B" w:rsidP="00350E3D">
            <w:pPr>
              <w:pStyle w:val="Text"/>
              <w:spacing w:before="40" w:after="40" w:line="220" w:lineRule="exact"/>
              <w:rPr>
                <w:rFonts w:ascii="Times New Roman" w:hAnsi="Times New Roman"/>
                <w:sz w:val="18"/>
                <w:lang w:val="fr-FR"/>
              </w:rPr>
            </w:pPr>
            <w:r w:rsidRPr="00A176EA">
              <w:rPr>
                <w:rFonts w:ascii="Times New Roman" w:hAnsi="Times New Roman"/>
                <w:sz w:val="18"/>
                <w:lang w:val="fr-FR"/>
              </w:rPr>
              <w:t>Person</w:t>
            </w:r>
            <w:r w:rsidR="00513568">
              <w:rPr>
                <w:rFonts w:ascii="Times New Roman" w:hAnsi="Times New Roman"/>
                <w:sz w:val="18"/>
                <w:lang w:val="fr-FR"/>
              </w:rPr>
              <w:t>ne</w:t>
            </w:r>
            <w:r w:rsidRPr="00A176EA">
              <w:rPr>
                <w:rFonts w:ascii="Times New Roman" w:hAnsi="Times New Roman"/>
                <w:sz w:val="18"/>
                <w:lang w:val="fr-FR"/>
              </w:rPr>
              <w:t xml:space="preserve">s </w:t>
            </w:r>
            <w:r w:rsidR="00513568">
              <w:rPr>
                <w:rFonts w:ascii="Times New Roman" w:hAnsi="Times New Roman"/>
                <w:sz w:val="18"/>
                <w:lang w:val="fr-FR"/>
              </w:rPr>
              <w:t>les plus susceptibles de comme</w:t>
            </w:r>
            <w:r w:rsidR="008E1087">
              <w:rPr>
                <w:rFonts w:ascii="Times New Roman" w:hAnsi="Times New Roman"/>
                <w:sz w:val="18"/>
                <w:lang w:val="fr-FR"/>
              </w:rPr>
              <w:t>t</w:t>
            </w:r>
            <w:r w:rsidR="00350E3D">
              <w:rPr>
                <w:rFonts w:ascii="Times New Roman" w:hAnsi="Times New Roman"/>
                <w:sz w:val="18"/>
                <w:lang w:val="fr-FR"/>
              </w:rPr>
              <w:t xml:space="preserve">tre des </w:t>
            </w:r>
            <w:r w:rsidR="00513568">
              <w:rPr>
                <w:rFonts w:ascii="Times New Roman" w:hAnsi="Times New Roman"/>
                <w:sz w:val="18"/>
                <w:lang w:val="fr-FR"/>
              </w:rPr>
              <w:t xml:space="preserve">actes </w:t>
            </w:r>
            <w:r w:rsidR="00350E3D">
              <w:rPr>
                <w:rFonts w:ascii="Times New Roman" w:hAnsi="Times New Roman"/>
                <w:sz w:val="18"/>
                <w:lang w:val="fr-FR"/>
              </w:rPr>
              <w:br/>
            </w:r>
            <w:r w:rsidR="00513568">
              <w:rPr>
                <w:rFonts w:ascii="Times New Roman" w:hAnsi="Times New Roman"/>
                <w:sz w:val="18"/>
                <w:lang w:val="fr-FR"/>
              </w:rPr>
              <w:t>de</w:t>
            </w:r>
            <w:r w:rsidRPr="00A176EA">
              <w:rPr>
                <w:rFonts w:ascii="Times New Roman" w:hAnsi="Times New Roman"/>
                <w:sz w:val="18"/>
                <w:lang w:val="fr-FR"/>
              </w:rPr>
              <w:t xml:space="preserve"> violence</w:t>
            </w:r>
            <w:r w:rsidRPr="00C61BED">
              <w:rPr>
                <w:rStyle w:val="FootnoteReference"/>
                <w:szCs w:val="22"/>
              </w:rPr>
              <w:footnoteReference w:id="106"/>
            </w:r>
          </w:p>
        </w:tc>
        <w:tc>
          <w:tcPr>
            <w:tcW w:w="2820" w:type="dxa"/>
            <w:shd w:val="clear" w:color="auto" w:fill="auto"/>
          </w:tcPr>
          <w:p w:rsidR="000B562B" w:rsidRPr="00A176EA" w:rsidRDefault="00513568" w:rsidP="00350E3D">
            <w:pPr>
              <w:pStyle w:val="Text"/>
              <w:spacing w:before="40" w:after="40" w:line="220" w:lineRule="exact"/>
              <w:ind w:right="57"/>
              <w:jc w:val="right"/>
              <w:rPr>
                <w:rFonts w:ascii="Times New Roman" w:hAnsi="Times New Roman"/>
                <w:sz w:val="18"/>
                <w:lang w:val="fr-FR"/>
              </w:rPr>
            </w:pPr>
            <w:r>
              <w:rPr>
                <w:rFonts w:ascii="Times New Roman" w:hAnsi="Times New Roman"/>
                <w:sz w:val="18"/>
                <w:lang w:val="fr-FR"/>
              </w:rPr>
              <w:t xml:space="preserve">Jeunes </w:t>
            </w:r>
            <w:r w:rsidRPr="00513568">
              <w:rPr>
                <w:rFonts w:ascii="Times New Roman" w:hAnsi="Times New Roman"/>
                <w:sz w:val="18"/>
                <w:lang w:val="fr-FR"/>
              </w:rPr>
              <w:t>gens</w:t>
            </w:r>
            <w:r w:rsidR="000B562B" w:rsidRPr="00513568">
              <w:rPr>
                <w:rFonts w:ascii="Times New Roman" w:hAnsi="Times New Roman"/>
                <w:sz w:val="18"/>
                <w:lang w:val="fr-FR"/>
              </w:rPr>
              <w:t xml:space="preserve"> (16</w:t>
            </w:r>
            <w:r w:rsidR="00C61BED" w:rsidRPr="00513568">
              <w:rPr>
                <w:rFonts w:ascii="Times New Roman" w:hAnsi="Times New Roman"/>
                <w:sz w:val="18"/>
                <w:lang w:val="fr-FR"/>
              </w:rPr>
              <w:t xml:space="preserve"> à </w:t>
            </w:r>
            <w:r w:rsidR="000B562B" w:rsidRPr="00513568">
              <w:rPr>
                <w:rFonts w:ascii="Times New Roman" w:hAnsi="Times New Roman"/>
                <w:sz w:val="18"/>
                <w:lang w:val="fr-FR"/>
              </w:rPr>
              <w:t>24</w:t>
            </w:r>
            <w:r w:rsidR="00C61BED" w:rsidRPr="00513568">
              <w:rPr>
                <w:rFonts w:ascii="Times New Roman" w:hAnsi="Times New Roman"/>
                <w:sz w:val="18"/>
                <w:lang w:val="fr-FR"/>
              </w:rPr>
              <w:t xml:space="preserve"> ans</w:t>
            </w:r>
            <w:r w:rsidR="000B562B" w:rsidRPr="00513568">
              <w:rPr>
                <w:rFonts w:ascii="Times New Roman" w:hAnsi="Times New Roman"/>
                <w:sz w:val="18"/>
                <w:lang w:val="fr-FR"/>
              </w:rPr>
              <w:t>)</w:t>
            </w:r>
          </w:p>
          <w:p w:rsidR="000B562B" w:rsidRPr="00A176EA" w:rsidRDefault="00513568" w:rsidP="00350E3D">
            <w:pPr>
              <w:pStyle w:val="Text"/>
              <w:spacing w:before="40" w:after="40" w:line="220" w:lineRule="exact"/>
              <w:ind w:right="57"/>
              <w:jc w:val="right"/>
              <w:rPr>
                <w:rFonts w:ascii="Times New Roman" w:hAnsi="Times New Roman"/>
                <w:sz w:val="18"/>
                <w:lang w:val="fr-FR"/>
              </w:rPr>
            </w:pPr>
            <w:r>
              <w:rPr>
                <w:rFonts w:ascii="Times New Roman" w:hAnsi="Times New Roman"/>
                <w:sz w:val="18"/>
                <w:lang w:val="fr-FR"/>
              </w:rPr>
              <w:t>Étudiants à plein temps</w:t>
            </w:r>
          </w:p>
          <w:p w:rsidR="000B562B" w:rsidRPr="00A176EA" w:rsidRDefault="00513568" w:rsidP="00350E3D">
            <w:pPr>
              <w:pStyle w:val="Text"/>
              <w:spacing w:before="40" w:after="40" w:line="220" w:lineRule="exact"/>
              <w:ind w:right="57"/>
              <w:jc w:val="right"/>
              <w:rPr>
                <w:rFonts w:ascii="Times New Roman" w:hAnsi="Times New Roman"/>
                <w:sz w:val="18"/>
                <w:lang w:val="fr-FR"/>
              </w:rPr>
            </w:pPr>
            <w:r>
              <w:rPr>
                <w:rFonts w:ascii="Times New Roman" w:hAnsi="Times New Roman"/>
                <w:sz w:val="18"/>
                <w:lang w:val="fr-FR"/>
              </w:rPr>
              <w:t>Personnes sans emploi</w:t>
            </w:r>
          </w:p>
        </w:tc>
      </w:tr>
      <w:tr w:rsidR="000B562B" w:rsidRPr="00A176EA" w:rsidTr="003A0226">
        <w:tblPrEx>
          <w:tblCellMar>
            <w:top w:w="0" w:type="dxa"/>
            <w:bottom w:w="0" w:type="dxa"/>
          </w:tblCellMar>
        </w:tblPrEx>
        <w:trPr>
          <w:cantSplit/>
          <w:trHeight w:val="240"/>
        </w:trPr>
        <w:tc>
          <w:tcPr>
            <w:tcW w:w="4550" w:type="dxa"/>
            <w:shd w:val="clear" w:color="auto" w:fill="auto"/>
          </w:tcPr>
          <w:p w:rsidR="000B562B" w:rsidRPr="00A176EA" w:rsidRDefault="00513568" w:rsidP="00513568">
            <w:pPr>
              <w:pStyle w:val="Text"/>
              <w:spacing w:before="40" w:after="40" w:line="220" w:lineRule="exact"/>
              <w:rPr>
                <w:rFonts w:ascii="Times New Roman" w:hAnsi="Times New Roman"/>
                <w:sz w:val="18"/>
                <w:lang w:val="fr-FR"/>
              </w:rPr>
            </w:pPr>
            <w:r>
              <w:rPr>
                <w:rFonts w:ascii="Times New Roman" w:hAnsi="Times New Roman"/>
                <w:sz w:val="18"/>
                <w:lang w:val="fr-FR"/>
              </w:rPr>
              <w:t>Nombre de faits de violence</w:t>
            </w:r>
            <w:r w:rsidR="000B562B" w:rsidRPr="00C61BED">
              <w:rPr>
                <w:rStyle w:val="FootnoteReference"/>
                <w:szCs w:val="22"/>
              </w:rPr>
              <w:footnoteReference w:id="107"/>
            </w:r>
            <w:r w:rsidR="000B562B" w:rsidRPr="00C61BED">
              <w:rPr>
                <w:rFonts w:ascii="Times New Roman" w:hAnsi="Times New Roman"/>
                <w:sz w:val="18"/>
                <w:vertAlign w:val="superscript"/>
                <w:lang w:val="fr-FR"/>
              </w:rPr>
              <w:t xml:space="preserve"> </w:t>
            </w:r>
            <w:r>
              <w:rPr>
                <w:rFonts w:ascii="Times New Roman" w:hAnsi="Times New Roman"/>
                <w:sz w:val="18"/>
                <w:lang w:val="fr-FR"/>
              </w:rPr>
              <w:t>enregistrés en</w:t>
            </w:r>
            <w:r w:rsidR="000B562B" w:rsidRPr="00A176EA">
              <w:rPr>
                <w:rFonts w:ascii="Times New Roman" w:hAnsi="Times New Roman"/>
                <w:sz w:val="18"/>
                <w:lang w:val="fr-FR"/>
              </w:rPr>
              <w:t xml:space="preserve"> 2007</w:t>
            </w:r>
            <w:r>
              <w:rPr>
                <w:rFonts w:ascii="Times New Roman" w:hAnsi="Times New Roman"/>
                <w:sz w:val="18"/>
                <w:lang w:val="fr-FR"/>
              </w:rPr>
              <w:t>-20</w:t>
            </w:r>
            <w:r w:rsidR="000B562B" w:rsidRPr="00A176EA">
              <w:rPr>
                <w:rFonts w:ascii="Times New Roman" w:hAnsi="Times New Roman"/>
                <w:sz w:val="18"/>
                <w:lang w:val="fr-FR"/>
              </w:rPr>
              <w:t>08</w:t>
            </w:r>
            <w:r w:rsidR="000B562B" w:rsidRPr="00C61BED">
              <w:rPr>
                <w:rStyle w:val="FootnoteReference"/>
                <w:szCs w:val="22"/>
              </w:rPr>
              <w:footnoteReference w:id="108"/>
            </w:r>
          </w:p>
        </w:tc>
        <w:tc>
          <w:tcPr>
            <w:tcW w:w="2820" w:type="dxa"/>
            <w:shd w:val="clear" w:color="auto" w:fill="auto"/>
          </w:tcPr>
          <w:p w:rsidR="000B562B" w:rsidRPr="00A176EA" w:rsidRDefault="000B562B" w:rsidP="00350E3D">
            <w:pPr>
              <w:pStyle w:val="Text"/>
              <w:spacing w:before="40" w:after="40" w:line="220" w:lineRule="exact"/>
              <w:ind w:right="57"/>
              <w:jc w:val="right"/>
              <w:rPr>
                <w:rFonts w:ascii="Times New Roman" w:hAnsi="Times New Roman"/>
                <w:sz w:val="18"/>
                <w:lang w:val="fr-FR"/>
              </w:rPr>
            </w:pPr>
            <w:r w:rsidRPr="00A176EA">
              <w:rPr>
                <w:rFonts w:ascii="Times New Roman" w:hAnsi="Times New Roman"/>
                <w:sz w:val="18"/>
                <w:lang w:val="fr-FR"/>
              </w:rPr>
              <w:t>2</w:t>
            </w:r>
            <w:r w:rsidR="00C61BED">
              <w:rPr>
                <w:rFonts w:ascii="Times New Roman" w:hAnsi="Times New Roman"/>
                <w:sz w:val="18"/>
                <w:lang w:val="fr-FR"/>
              </w:rPr>
              <w:t> </w:t>
            </w:r>
            <w:r w:rsidRPr="00A176EA">
              <w:rPr>
                <w:rFonts w:ascii="Times New Roman" w:hAnsi="Times New Roman"/>
                <w:sz w:val="18"/>
                <w:lang w:val="fr-FR"/>
              </w:rPr>
              <w:t>164</w:t>
            </w:r>
            <w:r w:rsidR="00C61BED">
              <w:rPr>
                <w:rFonts w:ascii="Times New Roman" w:hAnsi="Times New Roman"/>
                <w:sz w:val="18"/>
                <w:lang w:val="fr-FR"/>
              </w:rPr>
              <w:t xml:space="preserve"> </w:t>
            </w:r>
            <w:r w:rsidRPr="00A176EA">
              <w:rPr>
                <w:rFonts w:ascii="Times New Roman" w:hAnsi="Times New Roman"/>
                <w:sz w:val="18"/>
                <w:lang w:val="fr-FR"/>
              </w:rPr>
              <w:t>000</w:t>
            </w:r>
          </w:p>
        </w:tc>
      </w:tr>
      <w:tr w:rsidR="000B562B" w:rsidRPr="00A176EA" w:rsidTr="003A0226">
        <w:tblPrEx>
          <w:tblCellMar>
            <w:top w:w="0" w:type="dxa"/>
            <w:bottom w:w="0" w:type="dxa"/>
          </w:tblCellMar>
        </w:tblPrEx>
        <w:trPr>
          <w:cantSplit/>
          <w:trHeight w:val="240"/>
        </w:trPr>
        <w:tc>
          <w:tcPr>
            <w:tcW w:w="4550" w:type="dxa"/>
            <w:shd w:val="clear" w:color="auto" w:fill="auto"/>
          </w:tcPr>
          <w:p w:rsidR="000B562B" w:rsidRPr="00A176EA" w:rsidRDefault="00513568" w:rsidP="00742E67">
            <w:pPr>
              <w:pStyle w:val="Text"/>
              <w:spacing w:before="40" w:after="40" w:line="220" w:lineRule="exact"/>
              <w:rPr>
                <w:rFonts w:ascii="Times New Roman" w:hAnsi="Times New Roman"/>
                <w:sz w:val="18"/>
                <w:lang w:val="fr-FR"/>
              </w:rPr>
            </w:pPr>
            <w:r>
              <w:rPr>
                <w:rFonts w:ascii="Times New Roman" w:hAnsi="Times New Roman"/>
                <w:sz w:val="18"/>
                <w:lang w:val="fr-FR"/>
              </w:rPr>
              <w:t>Faits de violence</w:t>
            </w:r>
            <w:r w:rsidR="000B562B" w:rsidRPr="00A176EA">
              <w:rPr>
                <w:rFonts w:ascii="Times New Roman" w:hAnsi="Times New Roman"/>
                <w:sz w:val="18"/>
                <w:lang w:val="fr-FR"/>
              </w:rPr>
              <w:t xml:space="preserve"> 2007</w:t>
            </w:r>
            <w:r>
              <w:rPr>
                <w:rFonts w:ascii="Times New Roman" w:hAnsi="Times New Roman"/>
                <w:sz w:val="18"/>
                <w:lang w:val="fr-FR"/>
              </w:rPr>
              <w:t>-</w:t>
            </w:r>
            <w:r w:rsidR="000B562B" w:rsidRPr="00A176EA">
              <w:rPr>
                <w:rFonts w:ascii="Times New Roman" w:hAnsi="Times New Roman"/>
                <w:sz w:val="18"/>
                <w:lang w:val="fr-FR"/>
              </w:rPr>
              <w:t>2008</w:t>
            </w:r>
            <w:r w:rsidR="00FC2B97">
              <w:rPr>
                <w:rFonts w:ascii="Times New Roman" w:hAnsi="Times New Roman"/>
                <w:sz w:val="18"/>
                <w:lang w:val="fr-FR"/>
              </w:rPr>
              <w:t>:</w:t>
            </w:r>
            <w:r w:rsidR="000B562B" w:rsidRPr="00FF1835">
              <w:rPr>
                <w:rStyle w:val="FootnoteReference"/>
                <w:szCs w:val="22"/>
              </w:rPr>
              <w:footnoteReference w:id="109"/>
            </w:r>
          </w:p>
          <w:p w:rsidR="000B562B" w:rsidRPr="00A176EA" w:rsidRDefault="00090925" w:rsidP="00742E67">
            <w:pPr>
              <w:pStyle w:val="Text"/>
              <w:spacing w:before="40" w:after="40" w:line="220" w:lineRule="exact"/>
              <w:rPr>
                <w:rFonts w:ascii="Times New Roman" w:hAnsi="Times New Roman"/>
                <w:sz w:val="18"/>
                <w:lang w:val="fr-FR"/>
              </w:rPr>
            </w:pPr>
            <w:r>
              <w:rPr>
                <w:rFonts w:ascii="Times New Roman" w:hAnsi="Times New Roman"/>
                <w:sz w:val="18"/>
                <w:lang w:val="fr-FR"/>
              </w:rPr>
              <w:t>Avec blessure</w:t>
            </w:r>
          </w:p>
          <w:p w:rsidR="000B562B" w:rsidRPr="00A176EA" w:rsidRDefault="00090925" w:rsidP="00742E67">
            <w:pPr>
              <w:pStyle w:val="Text"/>
              <w:spacing w:before="40" w:after="40" w:line="220" w:lineRule="exact"/>
              <w:rPr>
                <w:rFonts w:ascii="Times New Roman" w:hAnsi="Times New Roman"/>
                <w:sz w:val="18"/>
                <w:lang w:val="fr-FR"/>
              </w:rPr>
            </w:pPr>
            <w:r>
              <w:rPr>
                <w:rFonts w:ascii="Times New Roman" w:hAnsi="Times New Roman"/>
                <w:sz w:val="18"/>
                <w:lang w:val="fr-FR"/>
              </w:rPr>
              <w:t>Sans blessure</w:t>
            </w:r>
          </w:p>
        </w:tc>
        <w:tc>
          <w:tcPr>
            <w:tcW w:w="2820" w:type="dxa"/>
            <w:shd w:val="clear" w:color="auto" w:fill="auto"/>
          </w:tcPr>
          <w:p w:rsidR="000B562B" w:rsidRPr="00A176EA" w:rsidRDefault="000B562B" w:rsidP="00350E3D">
            <w:pPr>
              <w:pStyle w:val="Text"/>
              <w:spacing w:before="40" w:after="40" w:line="220" w:lineRule="exact"/>
              <w:ind w:right="57"/>
              <w:jc w:val="right"/>
              <w:rPr>
                <w:rFonts w:ascii="Times New Roman" w:hAnsi="Times New Roman"/>
                <w:sz w:val="18"/>
                <w:lang w:val="fr-FR"/>
              </w:rPr>
            </w:pPr>
          </w:p>
          <w:p w:rsidR="000B562B" w:rsidRPr="00A176EA" w:rsidRDefault="000B562B" w:rsidP="00350E3D">
            <w:pPr>
              <w:pStyle w:val="Text"/>
              <w:spacing w:before="40" w:after="40" w:line="220" w:lineRule="exact"/>
              <w:ind w:right="57"/>
              <w:jc w:val="right"/>
              <w:rPr>
                <w:rFonts w:ascii="Times New Roman" w:hAnsi="Times New Roman"/>
                <w:sz w:val="18"/>
                <w:lang w:val="fr-FR"/>
              </w:rPr>
            </w:pPr>
            <w:r w:rsidRPr="00A176EA">
              <w:rPr>
                <w:rFonts w:ascii="Times New Roman" w:hAnsi="Times New Roman"/>
                <w:sz w:val="18"/>
                <w:lang w:val="fr-FR"/>
              </w:rPr>
              <w:t>1</w:t>
            </w:r>
            <w:r w:rsidR="00FF1835">
              <w:rPr>
                <w:rFonts w:ascii="Times New Roman" w:hAnsi="Times New Roman"/>
                <w:sz w:val="18"/>
                <w:lang w:val="fr-FR"/>
              </w:rPr>
              <w:t> </w:t>
            </w:r>
            <w:r w:rsidRPr="00A176EA">
              <w:rPr>
                <w:rFonts w:ascii="Times New Roman" w:hAnsi="Times New Roman"/>
                <w:sz w:val="18"/>
                <w:lang w:val="fr-FR"/>
              </w:rPr>
              <w:t>261</w:t>
            </w:r>
            <w:r w:rsidR="00FF1835">
              <w:rPr>
                <w:rFonts w:ascii="Times New Roman" w:hAnsi="Times New Roman"/>
                <w:sz w:val="18"/>
                <w:lang w:val="fr-FR"/>
              </w:rPr>
              <w:t xml:space="preserve"> </w:t>
            </w:r>
            <w:r w:rsidRPr="00A176EA">
              <w:rPr>
                <w:rFonts w:ascii="Times New Roman" w:hAnsi="Times New Roman"/>
                <w:sz w:val="18"/>
                <w:lang w:val="fr-FR"/>
              </w:rPr>
              <w:t>000</w:t>
            </w:r>
          </w:p>
          <w:p w:rsidR="000B562B" w:rsidRPr="00A176EA" w:rsidRDefault="000B562B" w:rsidP="00350E3D">
            <w:pPr>
              <w:pStyle w:val="Text"/>
              <w:spacing w:before="40" w:after="40" w:line="220" w:lineRule="exact"/>
              <w:ind w:right="57"/>
              <w:jc w:val="right"/>
              <w:rPr>
                <w:rFonts w:ascii="Times New Roman" w:hAnsi="Times New Roman"/>
                <w:sz w:val="18"/>
                <w:lang w:val="fr-FR"/>
              </w:rPr>
            </w:pPr>
            <w:r w:rsidRPr="00A176EA">
              <w:rPr>
                <w:rFonts w:ascii="Times New Roman" w:hAnsi="Times New Roman"/>
                <w:sz w:val="18"/>
                <w:lang w:val="fr-FR"/>
              </w:rPr>
              <w:t>903</w:t>
            </w:r>
            <w:r w:rsidR="00FF1835">
              <w:rPr>
                <w:rFonts w:ascii="Times New Roman" w:hAnsi="Times New Roman"/>
                <w:sz w:val="18"/>
                <w:lang w:val="fr-FR"/>
              </w:rPr>
              <w:t xml:space="preserve"> </w:t>
            </w:r>
            <w:r w:rsidRPr="00A176EA">
              <w:rPr>
                <w:rFonts w:ascii="Times New Roman" w:hAnsi="Times New Roman"/>
                <w:sz w:val="18"/>
                <w:lang w:val="fr-FR"/>
              </w:rPr>
              <w:t>000</w:t>
            </w:r>
          </w:p>
        </w:tc>
      </w:tr>
      <w:tr w:rsidR="000B562B" w:rsidRPr="00A176EA" w:rsidTr="00D92D41">
        <w:tblPrEx>
          <w:tblCellMar>
            <w:top w:w="0" w:type="dxa"/>
            <w:bottom w:w="0" w:type="dxa"/>
          </w:tblCellMar>
        </w:tblPrEx>
        <w:trPr>
          <w:cantSplit/>
          <w:trHeight w:val="240"/>
        </w:trPr>
        <w:tc>
          <w:tcPr>
            <w:tcW w:w="4550" w:type="dxa"/>
            <w:shd w:val="clear" w:color="auto" w:fill="auto"/>
          </w:tcPr>
          <w:p w:rsidR="000B562B" w:rsidRPr="00A176EA" w:rsidRDefault="00090925" w:rsidP="004D4AFD">
            <w:pPr>
              <w:pStyle w:val="Text"/>
              <w:spacing w:before="40" w:after="40" w:line="220" w:lineRule="exact"/>
              <w:rPr>
                <w:rFonts w:ascii="Times New Roman" w:hAnsi="Times New Roman"/>
                <w:sz w:val="18"/>
                <w:lang w:val="fr-FR"/>
              </w:rPr>
            </w:pPr>
            <w:r>
              <w:rPr>
                <w:rFonts w:ascii="Times New Roman" w:hAnsi="Times New Roman"/>
                <w:sz w:val="18"/>
                <w:lang w:val="fr-FR"/>
              </w:rPr>
              <w:t>Nombre d’infractions pénales enregistrées,</w:t>
            </w:r>
            <w:r w:rsidR="000B562B" w:rsidRPr="00A176EA">
              <w:rPr>
                <w:rFonts w:ascii="Times New Roman" w:hAnsi="Times New Roman"/>
                <w:sz w:val="18"/>
                <w:lang w:val="fr-FR"/>
              </w:rPr>
              <w:t xml:space="preserve"> </w:t>
            </w:r>
            <w:r>
              <w:rPr>
                <w:rFonts w:ascii="Times New Roman" w:hAnsi="Times New Roman"/>
                <w:sz w:val="18"/>
                <w:lang w:val="fr-FR"/>
              </w:rPr>
              <w:t xml:space="preserve">toutes </w:t>
            </w:r>
            <w:r w:rsidR="00D92D41">
              <w:rPr>
                <w:rFonts w:ascii="Times New Roman" w:hAnsi="Times New Roman"/>
                <w:sz w:val="18"/>
                <w:lang w:val="fr-FR"/>
              </w:rPr>
              <w:br/>
            </w:r>
            <w:r>
              <w:rPr>
                <w:rFonts w:ascii="Times New Roman" w:hAnsi="Times New Roman"/>
                <w:sz w:val="18"/>
                <w:lang w:val="fr-FR"/>
              </w:rPr>
              <w:t>infractions confondues, en</w:t>
            </w:r>
            <w:r w:rsidR="000B562B" w:rsidRPr="00A176EA">
              <w:rPr>
                <w:rFonts w:ascii="Times New Roman" w:hAnsi="Times New Roman"/>
                <w:sz w:val="18"/>
                <w:lang w:val="fr-FR"/>
              </w:rPr>
              <w:t xml:space="preserve"> 2007</w:t>
            </w:r>
            <w:r>
              <w:rPr>
                <w:rFonts w:ascii="Times New Roman" w:hAnsi="Times New Roman"/>
                <w:sz w:val="18"/>
                <w:lang w:val="fr-FR"/>
              </w:rPr>
              <w:t>-</w:t>
            </w:r>
            <w:r w:rsidR="000B562B" w:rsidRPr="00A176EA">
              <w:rPr>
                <w:rFonts w:ascii="Times New Roman" w:hAnsi="Times New Roman"/>
                <w:sz w:val="18"/>
                <w:lang w:val="fr-FR"/>
              </w:rPr>
              <w:t>2008</w:t>
            </w:r>
            <w:r w:rsidR="000B562B" w:rsidRPr="00FF1835">
              <w:rPr>
                <w:rStyle w:val="FootnoteReference"/>
                <w:szCs w:val="22"/>
              </w:rPr>
              <w:footnoteReference w:id="110"/>
            </w:r>
          </w:p>
        </w:tc>
        <w:tc>
          <w:tcPr>
            <w:tcW w:w="2820" w:type="dxa"/>
            <w:shd w:val="clear" w:color="auto" w:fill="auto"/>
            <w:vAlign w:val="bottom"/>
          </w:tcPr>
          <w:p w:rsidR="000B562B" w:rsidRPr="00A176EA" w:rsidRDefault="000B562B" w:rsidP="00350E3D">
            <w:pPr>
              <w:pStyle w:val="Text"/>
              <w:spacing w:before="40" w:after="40" w:line="220" w:lineRule="exact"/>
              <w:ind w:right="57"/>
              <w:jc w:val="right"/>
              <w:rPr>
                <w:rFonts w:ascii="Times New Roman" w:hAnsi="Times New Roman"/>
                <w:sz w:val="18"/>
                <w:lang w:val="fr-FR"/>
              </w:rPr>
            </w:pPr>
            <w:r w:rsidRPr="00A176EA">
              <w:rPr>
                <w:rFonts w:ascii="Times New Roman" w:hAnsi="Times New Roman"/>
                <w:sz w:val="18"/>
                <w:lang w:val="fr-FR"/>
              </w:rPr>
              <w:t>4</w:t>
            </w:r>
            <w:r w:rsidR="00FF1835">
              <w:rPr>
                <w:rFonts w:ascii="Times New Roman" w:hAnsi="Times New Roman"/>
                <w:sz w:val="18"/>
                <w:lang w:val="fr-FR"/>
              </w:rPr>
              <w:t> </w:t>
            </w:r>
            <w:r w:rsidRPr="00A176EA">
              <w:rPr>
                <w:rFonts w:ascii="Times New Roman" w:hAnsi="Times New Roman"/>
                <w:sz w:val="18"/>
                <w:lang w:val="fr-FR"/>
              </w:rPr>
              <w:t>950</w:t>
            </w:r>
            <w:r w:rsidR="00FF1835">
              <w:rPr>
                <w:rFonts w:ascii="Times New Roman" w:hAnsi="Times New Roman"/>
                <w:sz w:val="18"/>
                <w:lang w:val="fr-FR"/>
              </w:rPr>
              <w:t xml:space="preserve"> </w:t>
            </w:r>
            <w:r w:rsidRPr="00A176EA">
              <w:rPr>
                <w:rFonts w:ascii="Times New Roman" w:hAnsi="Times New Roman"/>
                <w:sz w:val="18"/>
                <w:lang w:val="fr-FR"/>
              </w:rPr>
              <w:t>700</w:t>
            </w:r>
          </w:p>
        </w:tc>
      </w:tr>
      <w:tr w:rsidR="000B562B" w:rsidRPr="00A176EA" w:rsidTr="003A0226">
        <w:tblPrEx>
          <w:tblCellMar>
            <w:top w:w="0" w:type="dxa"/>
            <w:bottom w:w="0" w:type="dxa"/>
          </w:tblCellMar>
        </w:tblPrEx>
        <w:trPr>
          <w:cantSplit/>
          <w:trHeight w:val="240"/>
        </w:trPr>
        <w:tc>
          <w:tcPr>
            <w:tcW w:w="4550" w:type="dxa"/>
            <w:shd w:val="clear" w:color="auto" w:fill="auto"/>
          </w:tcPr>
          <w:p w:rsidR="000B562B" w:rsidRPr="00A176EA" w:rsidRDefault="00090925" w:rsidP="00090925">
            <w:pPr>
              <w:pStyle w:val="Text"/>
              <w:spacing w:before="40" w:after="40" w:line="220" w:lineRule="exact"/>
              <w:rPr>
                <w:rFonts w:ascii="Times New Roman" w:hAnsi="Times New Roman"/>
                <w:sz w:val="18"/>
                <w:lang w:val="fr-FR"/>
              </w:rPr>
            </w:pPr>
            <w:r>
              <w:rPr>
                <w:rFonts w:ascii="Times New Roman" w:hAnsi="Times New Roman"/>
                <w:sz w:val="18"/>
                <w:lang w:val="fr-FR"/>
              </w:rPr>
              <w:t>Nombre d’infractions sexuelles commises en</w:t>
            </w:r>
            <w:r w:rsidR="000B562B" w:rsidRPr="00A176EA">
              <w:rPr>
                <w:rFonts w:ascii="Times New Roman" w:hAnsi="Times New Roman"/>
                <w:sz w:val="18"/>
                <w:lang w:val="fr-FR"/>
              </w:rPr>
              <w:t xml:space="preserve"> 2007</w:t>
            </w:r>
            <w:r>
              <w:rPr>
                <w:rFonts w:ascii="Times New Roman" w:hAnsi="Times New Roman"/>
                <w:sz w:val="18"/>
                <w:lang w:val="fr-FR"/>
              </w:rPr>
              <w:t>-20</w:t>
            </w:r>
            <w:r w:rsidR="000B562B" w:rsidRPr="00A176EA">
              <w:rPr>
                <w:rFonts w:ascii="Times New Roman" w:hAnsi="Times New Roman"/>
                <w:sz w:val="18"/>
                <w:lang w:val="fr-FR"/>
              </w:rPr>
              <w:t>08</w:t>
            </w:r>
            <w:r w:rsidR="000B562B" w:rsidRPr="00FF1835">
              <w:rPr>
                <w:rStyle w:val="FootnoteReference"/>
                <w:szCs w:val="22"/>
              </w:rPr>
              <w:footnoteReference w:id="111"/>
            </w:r>
          </w:p>
        </w:tc>
        <w:tc>
          <w:tcPr>
            <w:tcW w:w="2820" w:type="dxa"/>
            <w:shd w:val="clear" w:color="auto" w:fill="auto"/>
          </w:tcPr>
          <w:p w:rsidR="000B562B" w:rsidRPr="00A176EA" w:rsidRDefault="000B562B" w:rsidP="00350E3D">
            <w:pPr>
              <w:pStyle w:val="Text"/>
              <w:spacing w:before="40" w:after="40" w:line="220" w:lineRule="exact"/>
              <w:ind w:right="57"/>
              <w:jc w:val="right"/>
              <w:rPr>
                <w:rFonts w:ascii="Times New Roman" w:hAnsi="Times New Roman"/>
                <w:sz w:val="18"/>
                <w:lang w:val="fr-FR"/>
              </w:rPr>
            </w:pPr>
            <w:r w:rsidRPr="00A176EA">
              <w:rPr>
                <w:rFonts w:ascii="Times New Roman" w:hAnsi="Times New Roman"/>
                <w:sz w:val="18"/>
                <w:lang w:val="fr-FR"/>
              </w:rPr>
              <w:t>53</w:t>
            </w:r>
            <w:r w:rsidR="00FF1835">
              <w:rPr>
                <w:rFonts w:ascii="Times New Roman" w:hAnsi="Times New Roman"/>
                <w:sz w:val="18"/>
                <w:lang w:val="fr-FR"/>
              </w:rPr>
              <w:t xml:space="preserve"> </w:t>
            </w:r>
            <w:r w:rsidRPr="00A176EA">
              <w:rPr>
                <w:rFonts w:ascii="Times New Roman" w:hAnsi="Times New Roman"/>
                <w:sz w:val="18"/>
                <w:lang w:val="fr-FR"/>
              </w:rPr>
              <w:t>500</w:t>
            </w:r>
          </w:p>
        </w:tc>
      </w:tr>
      <w:tr w:rsidR="000B562B" w:rsidRPr="00A176EA" w:rsidTr="003A0226">
        <w:tblPrEx>
          <w:tblCellMar>
            <w:top w:w="0" w:type="dxa"/>
            <w:bottom w:w="0" w:type="dxa"/>
          </w:tblCellMar>
        </w:tblPrEx>
        <w:trPr>
          <w:cantSplit/>
          <w:trHeight w:val="240"/>
        </w:trPr>
        <w:tc>
          <w:tcPr>
            <w:tcW w:w="4550" w:type="dxa"/>
            <w:shd w:val="clear" w:color="auto" w:fill="auto"/>
          </w:tcPr>
          <w:p w:rsidR="000B562B" w:rsidRPr="00A176EA" w:rsidRDefault="00135B4A" w:rsidP="00742E67">
            <w:pPr>
              <w:pStyle w:val="Text"/>
              <w:spacing w:before="40" w:after="40" w:line="220" w:lineRule="exact"/>
              <w:rPr>
                <w:rFonts w:ascii="Times New Roman" w:hAnsi="Times New Roman"/>
                <w:sz w:val="18"/>
                <w:lang w:val="fr-FR"/>
              </w:rPr>
            </w:pPr>
            <w:r>
              <w:rPr>
                <w:rFonts w:ascii="Times New Roman" w:hAnsi="Times New Roman"/>
                <w:sz w:val="18"/>
                <w:lang w:val="fr-FR"/>
              </w:rPr>
              <w:t>I</w:t>
            </w:r>
            <w:r w:rsidR="00090925">
              <w:rPr>
                <w:rFonts w:ascii="Times New Roman" w:hAnsi="Times New Roman"/>
                <w:sz w:val="18"/>
                <w:lang w:val="fr-FR"/>
              </w:rPr>
              <w:t>nfractions sexuelles enregistrées en</w:t>
            </w:r>
            <w:r w:rsidR="00090925" w:rsidRPr="00A176EA">
              <w:rPr>
                <w:rFonts w:ascii="Times New Roman" w:hAnsi="Times New Roman"/>
                <w:sz w:val="18"/>
                <w:lang w:val="fr-FR"/>
              </w:rPr>
              <w:t xml:space="preserve"> </w:t>
            </w:r>
            <w:r w:rsidR="00FF1835">
              <w:rPr>
                <w:rFonts w:ascii="Times New Roman" w:hAnsi="Times New Roman"/>
                <w:sz w:val="18"/>
                <w:lang w:val="fr-FR"/>
              </w:rPr>
              <w:t>2007</w:t>
            </w:r>
            <w:r w:rsidR="00090925">
              <w:rPr>
                <w:rFonts w:ascii="Times New Roman" w:hAnsi="Times New Roman"/>
                <w:sz w:val="18"/>
                <w:lang w:val="fr-FR"/>
              </w:rPr>
              <w:t>-20</w:t>
            </w:r>
            <w:r w:rsidR="00FF1835">
              <w:rPr>
                <w:rFonts w:ascii="Times New Roman" w:hAnsi="Times New Roman"/>
                <w:sz w:val="18"/>
                <w:lang w:val="fr-FR"/>
              </w:rPr>
              <w:t>08</w:t>
            </w:r>
            <w:r w:rsidR="00FC2B97">
              <w:rPr>
                <w:rFonts w:ascii="Times New Roman" w:hAnsi="Times New Roman"/>
                <w:sz w:val="18"/>
                <w:lang w:val="fr-FR"/>
              </w:rPr>
              <w:t>:</w:t>
            </w:r>
            <w:r w:rsidR="000B562B" w:rsidRPr="00FF1835">
              <w:rPr>
                <w:rStyle w:val="FootnoteReference"/>
                <w:szCs w:val="22"/>
              </w:rPr>
              <w:footnoteReference w:id="112"/>
            </w:r>
          </w:p>
          <w:p w:rsidR="000B562B" w:rsidRPr="00A176EA" w:rsidRDefault="00090925" w:rsidP="00742E67">
            <w:pPr>
              <w:pStyle w:val="Text"/>
              <w:spacing w:before="40" w:after="40" w:line="220" w:lineRule="exact"/>
              <w:rPr>
                <w:rFonts w:ascii="Times New Roman" w:hAnsi="Times New Roman"/>
                <w:sz w:val="18"/>
                <w:lang w:val="fr-FR"/>
              </w:rPr>
            </w:pPr>
            <w:r>
              <w:rPr>
                <w:rFonts w:ascii="Times New Roman" w:hAnsi="Times New Roman"/>
                <w:sz w:val="18"/>
                <w:lang w:val="fr-FR"/>
              </w:rPr>
              <w:t>Viol de personnes de sexe féminin</w:t>
            </w:r>
          </w:p>
          <w:p w:rsidR="000B562B" w:rsidRPr="00A176EA" w:rsidRDefault="00090925" w:rsidP="00742E67">
            <w:pPr>
              <w:pStyle w:val="Text"/>
              <w:spacing w:before="40" w:after="40" w:line="220" w:lineRule="exact"/>
              <w:rPr>
                <w:rFonts w:ascii="Times New Roman" w:hAnsi="Times New Roman"/>
                <w:sz w:val="18"/>
                <w:lang w:val="fr-FR"/>
              </w:rPr>
            </w:pPr>
            <w:r>
              <w:rPr>
                <w:rFonts w:ascii="Times New Roman" w:hAnsi="Times New Roman"/>
                <w:sz w:val="18"/>
                <w:lang w:val="fr-FR"/>
              </w:rPr>
              <w:t>Viol de personnes de sexe masculin</w:t>
            </w:r>
          </w:p>
        </w:tc>
        <w:tc>
          <w:tcPr>
            <w:tcW w:w="2820" w:type="dxa"/>
            <w:shd w:val="clear" w:color="auto" w:fill="auto"/>
          </w:tcPr>
          <w:p w:rsidR="000B562B" w:rsidRPr="00A176EA" w:rsidRDefault="000B562B" w:rsidP="00350E3D">
            <w:pPr>
              <w:pStyle w:val="Text"/>
              <w:spacing w:before="40" w:after="40" w:line="220" w:lineRule="exact"/>
              <w:ind w:right="57"/>
              <w:jc w:val="right"/>
              <w:rPr>
                <w:rFonts w:ascii="Times New Roman" w:hAnsi="Times New Roman"/>
                <w:sz w:val="18"/>
                <w:lang w:val="fr-FR"/>
              </w:rPr>
            </w:pPr>
          </w:p>
          <w:p w:rsidR="000B562B" w:rsidRPr="00A176EA" w:rsidRDefault="000B562B" w:rsidP="00350E3D">
            <w:pPr>
              <w:pStyle w:val="Text"/>
              <w:spacing w:before="40" w:after="40" w:line="220" w:lineRule="exact"/>
              <w:ind w:right="57"/>
              <w:jc w:val="right"/>
              <w:rPr>
                <w:rFonts w:ascii="Times New Roman" w:hAnsi="Times New Roman"/>
                <w:sz w:val="18"/>
                <w:lang w:val="fr-FR"/>
              </w:rPr>
            </w:pPr>
            <w:r w:rsidRPr="00A176EA">
              <w:rPr>
                <w:rFonts w:ascii="Times New Roman" w:hAnsi="Times New Roman"/>
                <w:sz w:val="18"/>
                <w:lang w:val="fr-FR"/>
              </w:rPr>
              <w:t>11</w:t>
            </w:r>
            <w:r w:rsidR="00FF1835">
              <w:rPr>
                <w:rFonts w:ascii="Times New Roman" w:hAnsi="Times New Roman"/>
                <w:sz w:val="18"/>
                <w:lang w:val="fr-FR"/>
              </w:rPr>
              <w:t xml:space="preserve"> </w:t>
            </w:r>
            <w:r w:rsidRPr="00A176EA">
              <w:rPr>
                <w:rFonts w:ascii="Times New Roman" w:hAnsi="Times New Roman"/>
                <w:sz w:val="18"/>
                <w:lang w:val="fr-FR"/>
              </w:rPr>
              <w:t>684</w:t>
            </w:r>
          </w:p>
          <w:p w:rsidR="000B562B" w:rsidRPr="00A176EA" w:rsidRDefault="000B562B" w:rsidP="00350E3D">
            <w:pPr>
              <w:pStyle w:val="Text"/>
              <w:spacing w:before="40" w:after="40" w:line="220" w:lineRule="exact"/>
              <w:ind w:right="57"/>
              <w:jc w:val="right"/>
              <w:rPr>
                <w:rFonts w:ascii="Times New Roman" w:hAnsi="Times New Roman"/>
                <w:sz w:val="18"/>
                <w:lang w:val="fr-FR"/>
              </w:rPr>
            </w:pPr>
            <w:r w:rsidRPr="00A176EA">
              <w:rPr>
                <w:rFonts w:ascii="Times New Roman" w:hAnsi="Times New Roman"/>
                <w:sz w:val="18"/>
                <w:lang w:val="fr-FR"/>
              </w:rPr>
              <w:t>1</w:t>
            </w:r>
            <w:r w:rsidR="00FF1835">
              <w:rPr>
                <w:rFonts w:ascii="Times New Roman" w:hAnsi="Times New Roman"/>
                <w:sz w:val="18"/>
                <w:lang w:val="fr-FR"/>
              </w:rPr>
              <w:t xml:space="preserve"> </w:t>
            </w:r>
            <w:r w:rsidRPr="00A176EA">
              <w:rPr>
                <w:rFonts w:ascii="Times New Roman" w:hAnsi="Times New Roman"/>
                <w:sz w:val="18"/>
                <w:lang w:val="fr-FR"/>
              </w:rPr>
              <w:t>006</w:t>
            </w:r>
          </w:p>
        </w:tc>
      </w:tr>
      <w:tr w:rsidR="000B562B" w:rsidRPr="00A176EA" w:rsidTr="003A0226">
        <w:tblPrEx>
          <w:tblCellMar>
            <w:top w:w="0" w:type="dxa"/>
            <w:bottom w:w="0" w:type="dxa"/>
          </w:tblCellMar>
        </w:tblPrEx>
        <w:trPr>
          <w:cantSplit/>
          <w:trHeight w:val="240"/>
        </w:trPr>
        <w:tc>
          <w:tcPr>
            <w:tcW w:w="4550" w:type="dxa"/>
            <w:shd w:val="clear" w:color="auto" w:fill="auto"/>
          </w:tcPr>
          <w:p w:rsidR="000B562B" w:rsidRPr="00A176EA" w:rsidRDefault="00AA3112" w:rsidP="00742E67">
            <w:pPr>
              <w:pStyle w:val="Text"/>
              <w:spacing w:before="40" w:after="40" w:line="220" w:lineRule="exact"/>
              <w:rPr>
                <w:rFonts w:ascii="Times New Roman" w:hAnsi="Times New Roman"/>
                <w:sz w:val="18"/>
                <w:lang w:val="fr-FR"/>
              </w:rPr>
            </w:pPr>
            <w:r w:rsidRPr="00AA3112">
              <w:rPr>
                <w:rFonts w:ascii="Times New Roman" w:hAnsi="Times New Roman"/>
                <w:sz w:val="18"/>
                <w:lang w:val="fr-FR"/>
              </w:rPr>
              <w:t>Résolution</w:t>
            </w:r>
            <w:r w:rsidR="000D0E7B" w:rsidRPr="00AA3112">
              <w:rPr>
                <w:rFonts w:ascii="Times New Roman" w:hAnsi="Times New Roman"/>
                <w:sz w:val="18"/>
                <w:lang w:val="fr-FR"/>
              </w:rPr>
              <w:t xml:space="preserve"> </w:t>
            </w:r>
            <w:r w:rsidR="000D0E7B" w:rsidRPr="00265001">
              <w:rPr>
                <w:rFonts w:ascii="Times New Roman" w:hAnsi="Times New Roman"/>
                <w:sz w:val="18"/>
                <w:lang w:val="fr-FR"/>
              </w:rPr>
              <w:t>d</w:t>
            </w:r>
            <w:r w:rsidR="00B2668A">
              <w:rPr>
                <w:rFonts w:ascii="Times New Roman" w:hAnsi="Times New Roman"/>
                <w:sz w:val="18"/>
                <w:lang w:val="fr-FR"/>
              </w:rPr>
              <w:t xml:space="preserve">es </w:t>
            </w:r>
            <w:r w:rsidR="000D0E7B" w:rsidRPr="00265001">
              <w:rPr>
                <w:rFonts w:ascii="Times New Roman" w:hAnsi="Times New Roman"/>
                <w:sz w:val="18"/>
                <w:lang w:val="fr-FR"/>
              </w:rPr>
              <w:t>infractions pénales</w:t>
            </w:r>
            <w:r w:rsidR="00FC2B97">
              <w:rPr>
                <w:rFonts w:ascii="Times New Roman" w:hAnsi="Times New Roman"/>
                <w:sz w:val="18"/>
                <w:lang w:val="fr-FR"/>
              </w:rPr>
              <w:t>:</w:t>
            </w:r>
            <w:r w:rsidR="000B562B" w:rsidRPr="00FF1835">
              <w:rPr>
                <w:rStyle w:val="FootnoteReference"/>
                <w:szCs w:val="22"/>
              </w:rPr>
              <w:footnoteReference w:id="113"/>
            </w:r>
          </w:p>
          <w:p w:rsidR="000B562B" w:rsidRPr="008129FA" w:rsidRDefault="008129FA" w:rsidP="00742E67">
            <w:pPr>
              <w:pStyle w:val="Text"/>
              <w:spacing w:before="40" w:after="40" w:line="220" w:lineRule="exact"/>
              <w:rPr>
                <w:rFonts w:ascii="Times New Roman" w:hAnsi="Times New Roman"/>
                <w:sz w:val="18"/>
                <w:lang w:val="fr-FR"/>
              </w:rPr>
            </w:pPr>
            <w:r w:rsidRPr="008129FA">
              <w:rPr>
                <w:rFonts w:ascii="Times New Roman" w:hAnsi="Times New Roman"/>
                <w:sz w:val="18"/>
                <w:lang w:val="fr-FR"/>
              </w:rPr>
              <w:t>Résolutions pénales</w:t>
            </w:r>
            <w:r w:rsidR="000B562B" w:rsidRPr="008129FA">
              <w:rPr>
                <w:rStyle w:val="FootnoteReference"/>
                <w:szCs w:val="22"/>
              </w:rPr>
              <w:footnoteReference w:id="114"/>
            </w:r>
          </w:p>
          <w:p w:rsidR="000B562B" w:rsidRPr="008129FA" w:rsidRDefault="008129FA" w:rsidP="00742E67">
            <w:pPr>
              <w:pStyle w:val="Text"/>
              <w:spacing w:before="40" w:after="40" w:line="220" w:lineRule="exact"/>
              <w:rPr>
                <w:rFonts w:ascii="Times New Roman" w:hAnsi="Times New Roman"/>
                <w:sz w:val="18"/>
                <w:lang w:val="fr-FR"/>
              </w:rPr>
            </w:pPr>
            <w:r w:rsidRPr="008129FA">
              <w:rPr>
                <w:rFonts w:ascii="Times New Roman" w:hAnsi="Times New Roman"/>
                <w:sz w:val="18"/>
                <w:lang w:val="fr-FR"/>
              </w:rPr>
              <w:t>Résolutions administratives</w:t>
            </w:r>
          </w:p>
          <w:p w:rsidR="000B562B" w:rsidRPr="00A176EA" w:rsidRDefault="000D0E7B" w:rsidP="008129FA">
            <w:pPr>
              <w:pStyle w:val="Text"/>
              <w:spacing w:before="40" w:after="40" w:line="220" w:lineRule="exact"/>
              <w:rPr>
                <w:rFonts w:ascii="Times New Roman" w:hAnsi="Times New Roman"/>
                <w:sz w:val="18"/>
                <w:lang w:val="fr-FR"/>
              </w:rPr>
            </w:pPr>
            <w:r w:rsidRPr="008129FA">
              <w:rPr>
                <w:rFonts w:ascii="Times New Roman" w:hAnsi="Times New Roman"/>
                <w:sz w:val="18"/>
                <w:lang w:val="fr-FR"/>
              </w:rPr>
              <w:t>Tou</w:t>
            </w:r>
            <w:r w:rsidR="00B2668A" w:rsidRPr="008129FA">
              <w:rPr>
                <w:rFonts w:ascii="Times New Roman" w:hAnsi="Times New Roman"/>
                <w:sz w:val="18"/>
                <w:lang w:val="fr-FR"/>
              </w:rPr>
              <w:t>te</w:t>
            </w:r>
            <w:r w:rsidRPr="008129FA">
              <w:rPr>
                <w:rFonts w:ascii="Times New Roman" w:hAnsi="Times New Roman"/>
                <w:sz w:val="18"/>
                <w:lang w:val="fr-FR"/>
              </w:rPr>
              <w:t xml:space="preserve">s </w:t>
            </w:r>
            <w:r w:rsidR="008129FA">
              <w:rPr>
                <w:rFonts w:ascii="Times New Roman" w:hAnsi="Times New Roman"/>
                <w:sz w:val="18"/>
                <w:lang w:val="fr-FR"/>
              </w:rPr>
              <w:t>résolutions</w:t>
            </w:r>
          </w:p>
        </w:tc>
        <w:tc>
          <w:tcPr>
            <w:tcW w:w="2820" w:type="dxa"/>
            <w:shd w:val="clear" w:color="auto" w:fill="auto"/>
          </w:tcPr>
          <w:p w:rsidR="000B562B" w:rsidRPr="00A176EA" w:rsidRDefault="000B562B" w:rsidP="00350E3D">
            <w:pPr>
              <w:pStyle w:val="Text"/>
              <w:spacing w:before="40" w:after="40" w:line="220" w:lineRule="exact"/>
              <w:ind w:right="57"/>
              <w:jc w:val="right"/>
              <w:rPr>
                <w:rFonts w:ascii="Times New Roman" w:hAnsi="Times New Roman"/>
                <w:sz w:val="18"/>
                <w:lang w:val="fr-FR"/>
              </w:rPr>
            </w:pPr>
          </w:p>
          <w:p w:rsidR="000B562B" w:rsidRPr="00A176EA" w:rsidRDefault="000B562B" w:rsidP="00350E3D">
            <w:pPr>
              <w:pStyle w:val="Text"/>
              <w:spacing w:before="40" w:after="40" w:line="220" w:lineRule="exact"/>
              <w:ind w:right="57"/>
              <w:jc w:val="right"/>
              <w:rPr>
                <w:rFonts w:ascii="Times New Roman" w:hAnsi="Times New Roman"/>
                <w:sz w:val="18"/>
                <w:lang w:val="fr-FR"/>
              </w:rPr>
            </w:pPr>
            <w:r w:rsidRPr="00A176EA">
              <w:rPr>
                <w:rFonts w:ascii="Times New Roman" w:hAnsi="Times New Roman"/>
                <w:sz w:val="18"/>
                <w:lang w:val="fr-FR"/>
              </w:rPr>
              <w:t>1</w:t>
            </w:r>
            <w:r w:rsidR="00FF1835">
              <w:rPr>
                <w:rFonts w:ascii="Times New Roman" w:hAnsi="Times New Roman"/>
                <w:sz w:val="18"/>
                <w:lang w:val="fr-FR"/>
              </w:rPr>
              <w:t> </w:t>
            </w:r>
            <w:r w:rsidRPr="00A176EA">
              <w:rPr>
                <w:rFonts w:ascii="Times New Roman" w:hAnsi="Times New Roman"/>
                <w:sz w:val="18"/>
                <w:lang w:val="fr-FR"/>
              </w:rPr>
              <w:t>373</w:t>
            </w:r>
            <w:r w:rsidR="00FF1835">
              <w:rPr>
                <w:rFonts w:ascii="Times New Roman" w:hAnsi="Times New Roman"/>
                <w:sz w:val="18"/>
                <w:lang w:val="fr-FR"/>
              </w:rPr>
              <w:t xml:space="preserve"> </w:t>
            </w:r>
            <w:r w:rsidRPr="00A176EA">
              <w:rPr>
                <w:rFonts w:ascii="Times New Roman" w:hAnsi="Times New Roman"/>
                <w:sz w:val="18"/>
                <w:lang w:val="fr-FR"/>
              </w:rPr>
              <w:t>056</w:t>
            </w:r>
          </w:p>
          <w:p w:rsidR="000B562B" w:rsidRPr="00A176EA" w:rsidRDefault="000B562B" w:rsidP="00350E3D">
            <w:pPr>
              <w:pStyle w:val="Text"/>
              <w:spacing w:before="40" w:after="40" w:line="220" w:lineRule="exact"/>
              <w:ind w:right="57"/>
              <w:jc w:val="right"/>
              <w:rPr>
                <w:rFonts w:ascii="Times New Roman" w:hAnsi="Times New Roman"/>
                <w:sz w:val="18"/>
                <w:lang w:val="fr-FR"/>
              </w:rPr>
            </w:pPr>
            <w:r w:rsidRPr="00A176EA">
              <w:rPr>
                <w:rFonts w:ascii="Times New Roman" w:hAnsi="Times New Roman"/>
                <w:sz w:val="18"/>
                <w:lang w:val="fr-FR"/>
              </w:rPr>
              <w:t>868</w:t>
            </w:r>
          </w:p>
          <w:p w:rsidR="000B562B" w:rsidRPr="00A176EA" w:rsidRDefault="000B562B" w:rsidP="00350E3D">
            <w:pPr>
              <w:pStyle w:val="Text"/>
              <w:spacing w:before="40" w:after="40" w:line="220" w:lineRule="exact"/>
              <w:ind w:right="57"/>
              <w:jc w:val="right"/>
              <w:rPr>
                <w:rFonts w:ascii="Times New Roman" w:hAnsi="Times New Roman"/>
                <w:sz w:val="18"/>
                <w:lang w:val="fr-FR"/>
              </w:rPr>
            </w:pPr>
            <w:r w:rsidRPr="00A176EA">
              <w:rPr>
                <w:rFonts w:ascii="Times New Roman" w:hAnsi="Times New Roman"/>
                <w:sz w:val="18"/>
                <w:lang w:val="fr-FR"/>
              </w:rPr>
              <w:t>1</w:t>
            </w:r>
            <w:r w:rsidR="00FF1835">
              <w:rPr>
                <w:rFonts w:ascii="Times New Roman" w:hAnsi="Times New Roman"/>
                <w:sz w:val="18"/>
                <w:lang w:val="fr-FR"/>
              </w:rPr>
              <w:t> </w:t>
            </w:r>
            <w:r w:rsidRPr="00A176EA">
              <w:rPr>
                <w:rFonts w:ascii="Times New Roman" w:hAnsi="Times New Roman"/>
                <w:sz w:val="18"/>
                <w:lang w:val="fr-FR"/>
              </w:rPr>
              <w:t>373</w:t>
            </w:r>
            <w:r w:rsidR="00FF1835">
              <w:rPr>
                <w:rFonts w:ascii="Times New Roman" w:hAnsi="Times New Roman"/>
                <w:sz w:val="18"/>
                <w:lang w:val="fr-FR"/>
              </w:rPr>
              <w:t xml:space="preserve"> </w:t>
            </w:r>
            <w:r w:rsidRPr="00A176EA">
              <w:rPr>
                <w:rFonts w:ascii="Times New Roman" w:hAnsi="Times New Roman"/>
                <w:sz w:val="18"/>
                <w:lang w:val="fr-FR"/>
              </w:rPr>
              <w:t>933</w:t>
            </w:r>
          </w:p>
        </w:tc>
      </w:tr>
      <w:tr w:rsidR="000B562B" w:rsidRPr="00A176EA" w:rsidTr="003A0226">
        <w:tblPrEx>
          <w:tblCellMar>
            <w:top w:w="0" w:type="dxa"/>
            <w:bottom w:w="0" w:type="dxa"/>
          </w:tblCellMar>
        </w:tblPrEx>
        <w:trPr>
          <w:cantSplit/>
          <w:trHeight w:val="240"/>
        </w:trPr>
        <w:tc>
          <w:tcPr>
            <w:tcW w:w="4550" w:type="dxa"/>
            <w:shd w:val="clear" w:color="auto" w:fill="auto"/>
          </w:tcPr>
          <w:p w:rsidR="000B562B" w:rsidRPr="00A176EA" w:rsidRDefault="008E1087" w:rsidP="00742E67">
            <w:pPr>
              <w:pStyle w:val="Text"/>
              <w:spacing w:before="40" w:after="40" w:line="220" w:lineRule="exact"/>
              <w:rPr>
                <w:rFonts w:ascii="Times New Roman" w:hAnsi="Times New Roman"/>
                <w:sz w:val="18"/>
                <w:lang w:val="fr-FR"/>
              </w:rPr>
            </w:pPr>
            <w:r>
              <w:rPr>
                <w:rFonts w:ascii="Times New Roman" w:hAnsi="Times New Roman"/>
                <w:sz w:val="18"/>
                <w:lang w:val="fr-FR"/>
              </w:rPr>
              <w:t>Population carcérale moyenne</w:t>
            </w:r>
            <w:r w:rsidR="000B562B" w:rsidRPr="00A176EA">
              <w:rPr>
                <w:rFonts w:ascii="Times New Roman" w:hAnsi="Times New Roman"/>
                <w:sz w:val="18"/>
                <w:lang w:val="fr-FR"/>
              </w:rPr>
              <w:t xml:space="preserve"> (2009)</w:t>
            </w:r>
            <w:r w:rsidR="000B562B" w:rsidRPr="00FF1835">
              <w:rPr>
                <w:rStyle w:val="FootnoteReference"/>
                <w:szCs w:val="22"/>
              </w:rPr>
              <w:footnoteReference w:id="115"/>
            </w:r>
          </w:p>
        </w:tc>
        <w:tc>
          <w:tcPr>
            <w:tcW w:w="2820" w:type="dxa"/>
            <w:shd w:val="clear" w:color="auto" w:fill="auto"/>
          </w:tcPr>
          <w:p w:rsidR="000B562B" w:rsidRPr="00A176EA" w:rsidRDefault="000B562B" w:rsidP="00350E3D">
            <w:pPr>
              <w:pStyle w:val="Text"/>
              <w:spacing w:before="40" w:after="40" w:line="220" w:lineRule="exact"/>
              <w:ind w:right="57"/>
              <w:jc w:val="right"/>
              <w:rPr>
                <w:rFonts w:ascii="Times New Roman" w:hAnsi="Times New Roman"/>
                <w:sz w:val="18"/>
                <w:lang w:val="fr-FR"/>
              </w:rPr>
            </w:pPr>
            <w:r w:rsidRPr="00A176EA">
              <w:rPr>
                <w:rFonts w:ascii="Times New Roman" w:hAnsi="Times New Roman"/>
                <w:sz w:val="18"/>
                <w:lang w:val="fr-FR"/>
              </w:rPr>
              <w:t>82</w:t>
            </w:r>
            <w:r w:rsidR="00FF1835">
              <w:rPr>
                <w:rFonts w:ascii="Times New Roman" w:hAnsi="Times New Roman"/>
                <w:sz w:val="18"/>
                <w:lang w:val="fr-FR"/>
              </w:rPr>
              <w:t xml:space="preserve"> </w:t>
            </w:r>
            <w:r w:rsidRPr="00A176EA">
              <w:rPr>
                <w:rFonts w:ascii="Times New Roman" w:hAnsi="Times New Roman"/>
                <w:sz w:val="18"/>
                <w:lang w:val="fr-FR"/>
              </w:rPr>
              <w:t>075</w:t>
            </w:r>
          </w:p>
        </w:tc>
      </w:tr>
      <w:tr w:rsidR="000B562B" w:rsidRPr="00A176EA" w:rsidTr="003A0226">
        <w:tblPrEx>
          <w:tblCellMar>
            <w:top w:w="0" w:type="dxa"/>
            <w:bottom w:w="0" w:type="dxa"/>
          </w:tblCellMar>
        </w:tblPrEx>
        <w:trPr>
          <w:cantSplit/>
          <w:trHeight w:val="240"/>
        </w:trPr>
        <w:tc>
          <w:tcPr>
            <w:tcW w:w="4550" w:type="dxa"/>
            <w:shd w:val="clear" w:color="auto" w:fill="auto"/>
          </w:tcPr>
          <w:p w:rsidR="000B562B" w:rsidRPr="005C6754" w:rsidRDefault="00FF1835" w:rsidP="00742E67">
            <w:pPr>
              <w:pStyle w:val="Text"/>
              <w:spacing w:before="40" w:after="40" w:line="220" w:lineRule="exact"/>
              <w:rPr>
                <w:rFonts w:ascii="Times New Roman" w:hAnsi="Times New Roman"/>
                <w:sz w:val="18"/>
                <w:lang w:val="fr-FR"/>
              </w:rPr>
            </w:pPr>
            <w:r w:rsidRPr="005C6754">
              <w:rPr>
                <w:rFonts w:ascii="Times New Roman" w:hAnsi="Times New Roman"/>
                <w:sz w:val="18"/>
                <w:lang w:val="fr-FR"/>
              </w:rPr>
              <w:t>Nombre de détenus</w:t>
            </w:r>
            <w:r w:rsidR="000B562B" w:rsidRPr="005C6754">
              <w:rPr>
                <w:rFonts w:ascii="Times New Roman" w:hAnsi="Times New Roman"/>
                <w:sz w:val="18"/>
                <w:lang w:val="fr-FR"/>
              </w:rPr>
              <w:t xml:space="preserve">, </w:t>
            </w:r>
            <w:r w:rsidRPr="005C6754">
              <w:rPr>
                <w:rFonts w:ascii="Times New Roman" w:hAnsi="Times New Roman"/>
                <w:sz w:val="18"/>
                <w:lang w:val="fr-FR"/>
              </w:rPr>
              <w:t>par</w:t>
            </w:r>
            <w:r w:rsidR="000B562B" w:rsidRPr="005C6754">
              <w:rPr>
                <w:rFonts w:ascii="Times New Roman" w:hAnsi="Times New Roman"/>
                <w:sz w:val="18"/>
                <w:lang w:val="fr-FR"/>
              </w:rPr>
              <w:t xml:space="preserve"> sex</w:t>
            </w:r>
            <w:r w:rsidRPr="005C6754">
              <w:rPr>
                <w:rFonts w:ascii="Times New Roman" w:hAnsi="Times New Roman"/>
                <w:sz w:val="18"/>
                <w:lang w:val="fr-FR"/>
              </w:rPr>
              <w:t>e</w:t>
            </w:r>
            <w:r w:rsidR="00FC2B97">
              <w:rPr>
                <w:rFonts w:ascii="Times New Roman" w:hAnsi="Times New Roman"/>
                <w:sz w:val="18"/>
                <w:lang w:val="fr-FR"/>
              </w:rPr>
              <w:t>:</w:t>
            </w:r>
            <w:r w:rsidR="000B562B" w:rsidRPr="005C6754">
              <w:rPr>
                <w:rStyle w:val="FootnoteReference"/>
                <w:szCs w:val="22"/>
              </w:rPr>
              <w:footnoteReference w:id="116"/>
            </w:r>
          </w:p>
          <w:p w:rsidR="000B562B" w:rsidRPr="005C6754" w:rsidRDefault="00FF1835" w:rsidP="00742E67">
            <w:pPr>
              <w:pStyle w:val="Text"/>
              <w:spacing w:before="40" w:after="40" w:line="220" w:lineRule="exact"/>
              <w:rPr>
                <w:rFonts w:ascii="Times New Roman" w:hAnsi="Times New Roman"/>
                <w:sz w:val="18"/>
                <w:lang w:val="fr-FR"/>
              </w:rPr>
            </w:pPr>
            <w:r w:rsidRPr="005C6754">
              <w:rPr>
                <w:rFonts w:ascii="Times New Roman" w:hAnsi="Times New Roman"/>
                <w:sz w:val="18"/>
                <w:lang w:val="fr-FR"/>
              </w:rPr>
              <w:t>Hommes</w:t>
            </w:r>
          </w:p>
          <w:p w:rsidR="000B562B" w:rsidRPr="005C6754" w:rsidRDefault="00FF1835" w:rsidP="00742E67">
            <w:pPr>
              <w:pStyle w:val="Text"/>
              <w:spacing w:before="40" w:after="40" w:line="220" w:lineRule="exact"/>
              <w:rPr>
                <w:rFonts w:ascii="Times New Roman" w:hAnsi="Times New Roman"/>
                <w:sz w:val="18"/>
                <w:lang w:val="fr-FR"/>
              </w:rPr>
            </w:pPr>
            <w:r w:rsidRPr="005C6754">
              <w:rPr>
                <w:rFonts w:ascii="Times New Roman" w:hAnsi="Times New Roman"/>
                <w:sz w:val="18"/>
                <w:lang w:val="fr-FR"/>
              </w:rPr>
              <w:t>Femmes</w:t>
            </w:r>
          </w:p>
        </w:tc>
        <w:tc>
          <w:tcPr>
            <w:tcW w:w="2820" w:type="dxa"/>
            <w:shd w:val="clear" w:color="auto" w:fill="auto"/>
          </w:tcPr>
          <w:p w:rsidR="000B562B" w:rsidRPr="005C6754" w:rsidRDefault="000B562B" w:rsidP="00350E3D">
            <w:pPr>
              <w:pStyle w:val="Text"/>
              <w:spacing w:before="40" w:after="40" w:line="220" w:lineRule="exact"/>
              <w:ind w:right="57"/>
              <w:jc w:val="right"/>
              <w:rPr>
                <w:rFonts w:ascii="Times New Roman" w:hAnsi="Times New Roman"/>
                <w:sz w:val="18"/>
                <w:lang w:val="fr-FR"/>
              </w:rPr>
            </w:pPr>
          </w:p>
          <w:p w:rsidR="000B562B" w:rsidRPr="005C6754" w:rsidRDefault="000B562B" w:rsidP="00350E3D">
            <w:pPr>
              <w:pStyle w:val="Text"/>
              <w:spacing w:before="40" w:after="40" w:line="220" w:lineRule="exact"/>
              <w:ind w:right="57"/>
              <w:jc w:val="right"/>
              <w:rPr>
                <w:rFonts w:ascii="Times New Roman" w:hAnsi="Times New Roman"/>
                <w:sz w:val="18"/>
                <w:lang w:val="fr-FR"/>
              </w:rPr>
            </w:pPr>
            <w:r w:rsidRPr="005C6754">
              <w:rPr>
                <w:rFonts w:ascii="Times New Roman" w:hAnsi="Times New Roman"/>
                <w:sz w:val="18"/>
                <w:lang w:val="fr-FR"/>
              </w:rPr>
              <w:t>77</w:t>
            </w:r>
            <w:r w:rsidR="00FF1835" w:rsidRPr="005C6754">
              <w:rPr>
                <w:rFonts w:ascii="Times New Roman" w:hAnsi="Times New Roman"/>
                <w:sz w:val="18"/>
                <w:lang w:val="fr-FR"/>
              </w:rPr>
              <w:t xml:space="preserve"> </w:t>
            </w:r>
            <w:r w:rsidRPr="005C6754">
              <w:rPr>
                <w:rFonts w:ascii="Times New Roman" w:hAnsi="Times New Roman"/>
                <w:sz w:val="18"/>
                <w:lang w:val="fr-FR"/>
              </w:rPr>
              <w:t>812</w:t>
            </w:r>
          </w:p>
          <w:p w:rsidR="000B562B" w:rsidRPr="005C6754" w:rsidRDefault="000B562B" w:rsidP="00350E3D">
            <w:pPr>
              <w:pStyle w:val="Text"/>
              <w:spacing w:before="40" w:after="40" w:line="220" w:lineRule="exact"/>
              <w:ind w:right="57"/>
              <w:jc w:val="right"/>
              <w:rPr>
                <w:rFonts w:ascii="Times New Roman" w:hAnsi="Times New Roman"/>
                <w:sz w:val="18"/>
                <w:lang w:val="fr-FR"/>
              </w:rPr>
            </w:pPr>
            <w:r w:rsidRPr="005C6754">
              <w:rPr>
                <w:rFonts w:ascii="Times New Roman" w:hAnsi="Times New Roman"/>
                <w:sz w:val="18"/>
                <w:lang w:val="fr-FR"/>
              </w:rPr>
              <w:t>4</w:t>
            </w:r>
            <w:r w:rsidR="00FF1835" w:rsidRPr="005C6754">
              <w:rPr>
                <w:rFonts w:ascii="Times New Roman" w:hAnsi="Times New Roman"/>
                <w:sz w:val="18"/>
                <w:lang w:val="fr-FR"/>
              </w:rPr>
              <w:t xml:space="preserve"> </w:t>
            </w:r>
            <w:r w:rsidRPr="005C6754">
              <w:rPr>
                <w:rFonts w:ascii="Times New Roman" w:hAnsi="Times New Roman"/>
                <w:sz w:val="18"/>
                <w:lang w:val="fr-FR"/>
              </w:rPr>
              <w:t>263</w:t>
            </w:r>
          </w:p>
        </w:tc>
      </w:tr>
      <w:tr w:rsidR="000B562B" w:rsidRPr="00A176EA" w:rsidTr="003A0226">
        <w:tblPrEx>
          <w:tblCellMar>
            <w:top w:w="0" w:type="dxa"/>
            <w:bottom w:w="0" w:type="dxa"/>
          </w:tblCellMar>
        </w:tblPrEx>
        <w:trPr>
          <w:cantSplit/>
          <w:trHeight w:val="240"/>
        </w:trPr>
        <w:tc>
          <w:tcPr>
            <w:tcW w:w="4550" w:type="dxa"/>
            <w:shd w:val="clear" w:color="auto" w:fill="auto"/>
          </w:tcPr>
          <w:p w:rsidR="000B562B" w:rsidRPr="005C6754" w:rsidRDefault="00C61BED" w:rsidP="00742E67">
            <w:pPr>
              <w:pStyle w:val="Text"/>
              <w:spacing w:before="40" w:after="40" w:line="220" w:lineRule="exact"/>
              <w:rPr>
                <w:rFonts w:ascii="Times New Roman" w:hAnsi="Times New Roman"/>
                <w:sz w:val="18"/>
                <w:lang w:val="fr-FR"/>
              </w:rPr>
            </w:pPr>
            <w:r w:rsidRPr="005C6754">
              <w:rPr>
                <w:rFonts w:ascii="Times New Roman" w:hAnsi="Times New Roman"/>
                <w:sz w:val="18"/>
                <w:lang w:val="fr-FR"/>
              </w:rPr>
              <w:t>Décès en garde à vue</w:t>
            </w:r>
            <w:r w:rsidR="00FC2B97">
              <w:rPr>
                <w:rFonts w:ascii="Times New Roman" w:hAnsi="Times New Roman"/>
                <w:sz w:val="18"/>
                <w:lang w:val="fr-FR"/>
              </w:rPr>
              <w:t>:</w:t>
            </w:r>
            <w:r w:rsidR="000B562B" w:rsidRPr="005C6754">
              <w:rPr>
                <w:rStyle w:val="FootnoteReference"/>
                <w:szCs w:val="22"/>
              </w:rPr>
              <w:footnoteReference w:id="117"/>
            </w:r>
          </w:p>
          <w:p w:rsidR="000B562B" w:rsidRPr="005C6754" w:rsidRDefault="000B562B" w:rsidP="00742E67">
            <w:pPr>
              <w:pStyle w:val="Text"/>
              <w:spacing w:before="40" w:after="40" w:line="220" w:lineRule="exact"/>
              <w:rPr>
                <w:rFonts w:ascii="Times New Roman" w:hAnsi="Times New Roman"/>
                <w:sz w:val="18"/>
                <w:lang w:val="fr-FR"/>
              </w:rPr>
            </w:pPr>
            <w:r w:rsidRPr="005C6754">
              <w:rPr>
                <w:rFonts w:ascii="Times New Roman" w:hAnsi="Times New Roman"/>
                <w:sz w:val="18"/>
                <w:lang w:val="fr-FR"/>
              </w:rPr>
              <w:t>N</w:t>
            </w:r>
            <w:r w:rsidR="00AD43D8">
              <w:rPr>
                <w:rFonts w:ascii="Times New Roman" w:hAnsi="Times New Roman"/>
                <w:sz w:val="18"/>
                <w:lang w:val="fr-FR"/>
              </w:rPr>
              <w:t>o</w:t>
            </w:r>
            <w:r w:rsidRPr="005C6754">
              <w:rPr>
                <w:rFonts w:ascii="Times New Roman" w:hAnsi="Times New Roman"/>
                <w:sz w:val="18"/>
                <w:lang w:val="fr-FR"/>
              </w:rPr>
              <w:t>mb</w:t>
            </w:r>
            <w:r w:rsidR="00AD43D8">
              <w:rPr>
                <w:rFonts w:ascii="Times New Roman" w:hAnsi="Times New Roman"/>
                <w:sz w:val="18"/>
                <w:lang w:val="fr-FR"/>
              </w:rPr>
              <w:t>re</w:t>
            </w:r>
            <w:r w:rsidRPr="005C6754">
              <w:rPr>
                <w:rFonts w:ascii="Times New Roman" w:hAnsi="Times New Roman"/>
                <w:sz w:val="18"/>
                <w:lang w:val="fr-FR"/>
              </w:rPr>
              <w:t xml:space="preserve"> </w:t>
            </w:r>
            <w:r w:rsidR="00AD43D8">
              <w:rPr>
                <w:rFonts w:ascii="Times New Roman" w:hAnsi="Times New Roman"/>
                <w:sz w:val="18"/>
                <w:lang w:val="fr-FR"/>
              </w:rPr>
              <w:t>de décès en garde à vue et autre</w:t>
            </w:r>
            <w:r w:rsidRPr="005C6754">
              <w:rPr>
                <w:rFonts w:ascii="Times New Roman" w:hAnsi="Times New Roman"/>
                <w:sz w:val="18"/>
                <w:lang w:val="fr-FR"/>
              </w:rPr>
              <w:t xml:space="preserve"> (1999</w:t>
            </w:r>
            <w:r w:rsidR="00AD43D8">
              <w:rPr>
                <w:rFonts w:ascii="Times New Roman" w:hAnsi="Times New Roman"/>
                <w:sz w:val="18"/>
                <w:lang w:val="fr-FR"/>
              </w:rPr>
              <w:t>-20</w:t>
            </w:r>
            <w:r w:rsidRPr="005C6754">
              <w:rPr>
                <w:rFonts w:ascii="Times New Roman" w:hAnsi="Times New Roman"/>
                <w:sz w:val="18"/>
                <w:lang w:val="fr-FR"/>
              </w:rPr>
              <w:t>00)</w:t>
            </w:r>
          </w:p>
          <w:p w:rsidR="000B562B" w:rsidRPr="005C6754" w:rsidRDefault="00AD43D8" w:rsidP="00AD43D8">
            <w:pPr>
              <w:pStyle w:val="Text"/>
              <w:spacing w:before="40" w:after="40" w:line="220" w:lineRule="exact"/>
              <w:rPr>
                <w:rFonts w:ascii="Times New Roman" w:hAnsi="Times New Roman"/>
                <w:sz w:val="18"/>
                <w:lang w:val="fr-FR"/>
              </w:rPr>
            </w:pPr>
            <w:r>
              <w:rPr>
                <w:rFonts w:ascii="Times New Roman" w:hAnsi="Times New Roman"/>
                <w:sz w:val="18"/>
                <w:lang w:val="fr-FR"/>
              </w:rPr>
              <w:t>Évolution depuis</w:t>
            </w:r>
            <w:r w:rsidR="000B562B" w:rsidRPr="005C6754">
              <w:rPr>
                <w:rFonts w:ascii="Times New Roman" w:hAnsi="Times New Roman"/>
                <w:sz w:val="18"/>
                <w:lang w:val="fr-FR"/>
              </w:rPr>
              <w:t xml:space="preserve"> 1999</w:t>
            </w:r>
            <w:r>
              <w:rPr>
                <w:rFonts w:ascii="Times New Roman" w:hAnsi="Times New Roman"/>
                <w:sz w:val="18"/>
                <w:lang w:val="fr-FR"/>
              </w:rPr>
              <w:t>-20</w:t>
            </w:r>
            <w:r w:rsidR="000B562B" w:rsidRPr="005C6754">
              <w:rPr>
                <w:rFonts w:ascii="Times New Roman" w:hAnsi="Times New Roman"/>
                <w:sz w:val="18"/>
                <w:lang w:val="fr-FR"/>
              </w:rPr>
              <w:t>00</w:t>
            </w:r>
          </w:p>
        </w:tc>
        <w:tc>
          <w:tcPr>
            <w:tcW w:w="2820" w:type="dxa"/>
            <w:shd w:val="clear" w:color="auto" w:fill="auto"/>
          </w:tcPr>
          <w:p w:rsidR="000B562B" w:rsidRPr="00A176EA" w:rsidRDefault="000B562B" w:rsidP="00350E3D">
            <w:pPr>
              <w:pStyle w:val="Text"/>
              <w:spacing w:before="40" w:after="40" w:line="220" w:lineRule="exact"/>
              <w:ind w:right="57"/>
              <w:jc w:val="right"/>
              <w:rPr>
                <w:rFonts w:ascii="Times New Roman" w:hAnsi="Times New Roman"/>
                <w:sz w:val="18"/>
                <w:lang w:val="fr-FR"/>
              </w:rPr>
            </w:pPr>
          </w:p>
          <w:p w:rsidR="000B562B" w:rsidRPr="00A176EA" w:rsidRDefault="000B562B" w:rsidP="00350E3D">
            <w:pPr>
              <w:pStyle w:val="Text"/>
              <w:spacing w:before="40" w:after="40" w:line="220" w:lineRule="exact"/>
              <w:ind w:right="57"/>
              <w:jc w:val="right"/>
              <w:rPr>
                <w:rFonts w:ascii="Times New Roman" w:hAnsi="Times New Roman"/>
                <w:sz w:val="18"/>
                <w:lang w:val="fr-FR"/>
              </w:rPr>
            </w:pPr>
            <w:r w:rsidRPr="00A176EA">
              <w:rPr>
                <w:rFonts w:ascii="Times New Roman" w:hAnsi="Times New Roman"/>
                <w:sz w:val="18"/>
                <w:lang w:val="fr-FR"/>
              </w:rPr>
              <w:t>70</w:t>
            </w:r>
            <w:r w:rsidRPr="00A176EA">
              <w:rPr>
                <w:rFonts w:ascii="Times New Roman" w:hAnsi="Times New Roman"/>
                <w:sz w:val="18"/>
                <w:lang w:val="fr-FR"/>
              </w:rPr>
              <w:br/>
            </w:r>
            <w:r w:rsidR="0098370E" w:rsidRPr="00A176EA">
              <w:rPr>
                <w:rFonts w:ascii="Times New Roman" w:hAnsi="Times New Roman"/>
                <w:sz w:val="18"/>
                <w:lang w:val="fr-FR"/>
              </w:rPr>
              <w:t>+ 4</w:t>
            </w:r>
            <w:r w:rsidR="005C0186">
              <w:rPr>
                <w:rFonts w:ascii="Times New Roman" w:hAnsi="Times New Roman"/>
                <w:sz w:val="18"/>
                <w:lang w:val="fr-FR"/>
              </w:rPr>
              <w:t> </w:t>
            </w:r>
            <w:r w:rsidR="0098370E" w:rsidRPr="00A176EA">
              <w:rPr>
                <w:rFonts w:ascii="Times New Roman" w:hAnsi="Times New Roman"/>
                <w:sz w:val="18"/>
                <w:lang w:val="fr-FR"/>
              </w:rPr>
              <w:t>%</w:t>
            </w:r>
          </w:p>
        </w:tc>
      </w:tr>
      <w:tr w:rsidR="000B562B" w:rsidRPr="00A176EA" w:rsidTr="003A0226">
        <w:tblPrEx>
          <w:tblCellMar>
            <w:top w:w="0" w:type="dxa"/>
            <w:bottom w:w="0" w:type="dxa"/>
          </w:tblCellMar>
        </w:tblPrEx>
        <w:trPr>
          <w:cantSplit/>
          <w:trHeight w:val="240"/>
        </w:trPr>
        <w:tc>
          <w:tcPr>
            <w:tcW w:w="4550" w:type="dxa"/>
            <w:shd w:val="clear" w:color="auto" w:fill="auto"/>
          </w:tcPr>
          <w:p w:rsidR="000B562B" w:rsidRPr="0098370E" w:rsidRDefault="000B562B" w:rsidP="00742E67">
            <w:pPr>
              <w:pStyle w:val="Text"/>
              <w:spacing w:before="40" w:after="40" w:line="220" w:lineRule="exact"/>
              <w:rPr>
                <w:rFonts w:ascii="Times New Roman" w:hAnsi="Times New Roman"/>
                <w:sz w:val="18"/>
                <w:lang w:val="fr-FR"/>
              </w:rPr>
            </w:pPr>
            <w:r w:rsidRPr="0098370E">
              <w:rPr>
                <w:rFonts w:ascii="Times New Roman" w:hAnsi="Times New Roman"/>
                <w:sz w:val="18"/>
                <w:lang w:val="fr-FR"/>
              </w:rPr>
              <w:t>Cause</w:t>
            </w:r>
            <w:r w:rsidR="00C61BED" w:rsidRPr="0098370E">
              <w:rPr>
                <w:rFonts w:ascii="Times New Roman" w:hAnsi="Times New Roman"/>
                <w:sz w:val="18"/>
                <w:lang w:val="fr-FR"/>
              </w:rPr>
              <w:t>s</w:t>
            </w:r>
            <w:r w:rsidRPr="0098370E">
              <w:rPr>
                <w:rFonts w:ascii="Times New Roman" w:hAnsi="Times New Roman"/>
                <w:sz w:val="18"/>
                <w:lang w:val="fr-FR"/>
              </w:rPr>
              <w:t xml:space="preserve"> </w:t>
            </w:r>
            <w:r w:rsidR="00C61BED" w:rsidRPr="0098370E">
              <w:rPr>
                <w:rFonts w:ascii="Times New Roman" w:hAnsi="Times New Roman"/>
                <w:sz w:val="18"/>
                <w:lang w:val="fr-FR"/>
              </w:rPr>
              <w:t>de décès en garde à vue</w:t>
            </w:r>
            <w:r w:rsidR="00FC2B97">
              <w:rPr>
                <w:rFonts w:ascii="Times New Roman" w:hAnsi="Times New Roman"/>
                <w:sz w:val="18"/>
                <w:lang w:val="fr-FR"/>
              </w:rPr>
              <w:t>:</w:t>
            </w:r>
            <w:r w:rsidRPr="0098370E">
              <w:rPr>
                <w:rStyle w:val="FootnoteReference"/>
                <w:szCs w:val="22"/>
              </w:rPr>
              <w:footnoteReference w:id="118"/>
            </w:r>
          </w:p>
          <w:p w:rsidR="000B562B" w:rsidRPr="00A04588" w:rsidRDefault="000F41EE" w:rsidP="00742E67">
            <w:pPr>
              <w:pStyle w:val="Text"/>
              <w:spacing w:before="40" w:after="40" w:line="220" w:lineRule="exact"/>
              <w:rPr>
                <w:rFonts w:ascii="Times New Roman" w:hAnsi="Times New Roman"/>
                <w:sz w:val="18"/>
                <w:lang w:val="fr-FR"/>
              </w:rPr>
            </w:pPr>
            <w:r w:rsidRPr="00A04588">
              <w:rPr>
                <w:rFonts w:ascii="Times New Roman" w:hAnsi="Times New Roman"/>
                <w:sz w:val="18"/>
                <w:lang w:val="fr-FR"/>
              </w:rPr>
              <w:t xml:space="preserve">Intoxication </w:t>
            </w:r>
            <w:r w:rsidR="00A04588" w:rsidRPr="00A04588">
              <w:rPr>
                <w:rFonts w:ascii="Times New Roman" w:hAnsi="Times New Roman"/>
                <w:sz w:val="18"/>
                <w:lang w:val="fr-FR"/>
              </w:rPr>
              <w:t>par l’alcool ou des drogues réglementées</w:t>
            </w:r>
          </w:p>
          <w:p w:rsidR="000B562B" w:rsidRPr="00A04588" w:rsidRDefault="000F41EE" w:rsidP="00742E67">
            <w:pPr>
              <w:pStyle w:val="Text"/>
              <w:spacing w:before="40" w:after="40" w:line="220" w:lineRule="exact"/>
              <w:rPr>
                <w:rFonts w:ascii="Times New Roman" w:hAnsi="Times New Roman"/>
                <w:sz w:val="18"/>
                <w:lang w:val="fr-FR"/>
              </w:rPr>
            </w:pPr>
            <w:r w:rsidRPr="00A04588">
              <w:rPr>
                <w:rFonts w:ascii="Times New Roman" w:hAnsi="Times New Roman"/>
                <w:sz w:val="18"/>
                <w:lang w:val="fr-FR"/>
              </w:rPr>
              <w:t xml:space="preserve">Suite </w:t>
            </w:r>
            <w:r w:rsidR="00A04588" w:rsidRPr="00A04588">
              <w:rPr>
                <w:rFonts w:ascii="Times New Roman" w:hAnsi="Times New Roman"/>
                <w:sz w:val="18"/>
                <w:lang w:val="fr-FR"/>
              </w:rPr>
              <w:t>à un accident de</w:t>
            </w:r>
            <w:r w:rsidR="000B562B" w:rsidRPr="00A04588">
              <w:rPr>
                <w:rFonts w:ascii="Times New Roman" w:hAnsi="Times New Roman"/>
                <w:sz w:val="18"/>
                <w:lang w:val="fr-FR"/>
              </w:rPr>
              <w:t xml:space="preserve"> motocycle</w:t>
            </w:r>
            <w:r w:rsidR="00A04588" w:rsidRPr="00A04588">
              <w:rPr>
                <w:rFonts w:ascii="Times New Roman" w:hAnsi="Times New Roman"/>
                <w:sz w:val="18"/>
                <w:lang w:val="fr-FR"/>
              </w:rPr>
              <w:t xml:space="preserve"> ou de voiture</w:t>
            </w:r>
          </w:p>
          <w:p w:rsidR="000B562B" w:rsidRPr="00246BFB" w:rsidRDefault="000F41EE" w:rsidP="00742E67">
            <w:pPr>
              <w:pStyle w:val="Text"/>
              <w:spacing w:before="40" w:after="40" w:line="220" w:lineRule="exact"/>
              <w:rPr>
                <w:rFonts w:ascii="Times New Roman" w:hAnsi="Times New Roman"/>
                <w:sz w:val="18"/>
                <w:highlight w:val="green"/>
                <w:lang w:val="fr-FR"/>
              </w:rPr>
            </w:pPr>
            <w:r w:rsidRPr="00A04588">
              <w:rPr>
                <w:rFonts w:ascii="Times New Roman" w:hAnsi="Times New Roman"/>
                <w:sz w:val="18"/>
                <w:lang w:val="fr-FR"/>
              </w:rPr>
              <w:t xml:space="preserve">Suite </w:t>
            </w:r>
            <w:r w:rsidR="00A04588" w:rsidRPr="00A04588">
              <w:rPr>
                <w:rFonts w:ascii="Times New Roman" w:hAnsi="Times New Roman"/>
                <w:sz w:val="18"/>
                <w:lang w:val="fr-FR"/>
              </w:rPr>
              <w:t>à une automutilation</w:t>
            </w:r>
          </w:p>
        </w:tc>
        <w:tc>
          <w:tcPr>
            <w:tcW w:w="2820" w:type="dxa"/>
            <w:shd w:val="clear" w:color="auto" w:fill="auto"/>
          </w:tcPr>
          <w:p w:rsidR="000B562B" w:rsidRPr="00A176EA" w:rsidRDefault="000B562B" w:rsidP="00350E3D">
            <w:pPr>
              <w:pStyle w:val="Text"/>
              <w:spacing w:before="40" w:after="40" w:line="220" w:lineRule="exact"/>
              <w:ind w:right="57"/>
              <w:jc w:val="right"/>
              <w:rPr>
                <w:rFonts w:ascii="Times New Roman" w:hAnsi="Times New Roman"/>
                <w:sz w:val="18"/>
                <w:lang w:val="fr-FR"/>
              </w:rPr>
            </w:pPr>
          </w:p>
          <w:p w:rsidR="000B562B" w:rsidRPr="00A176EA" w:rsidRDefault="000B562B" w:rsidP="00350E3D">
            <w:pPr>
              <w:pStyle w:val="Text"/>
              <w:spacing w:before="40" w:after="40" w:line="220" w:lineRule="exact"/>
              <w:ind w:right="57"/>
              <w:jc w:val="right"/>
              <w:rPr>
                <w:rFonts w:ascii="Times New Roman" w:hAnsi="Times New Roman"/>
                <w:sz w:val="18"/>
                <w:lang w:val="fr-FR"/>
              </w:rPr>
            </w:pPr>
            <w:r w:rsidRPr="00A176EA">
              <w:rPr>
                <w:rFonts w:ascii="Times New Roman" w:hAnsi="Times New Roman"/>
                <w:sz w:val="18"/>
                <w:lang w:val="fr-FR"/>
              </w:rPr>
              <w:t>30</w:t>
            </w:r>
          </w:p>
          <w:p w:rsidR="000B562B" w:rsidRPr="00A176EA" w:rsidRDefault="000B562B" w:rsidP="00350E3D">
            <w:pPr>
              <w:pStyle w:val="Text"/>
              <w:spacing w:before="40" w:after="40" w:line="220" w:lineRule="exact"/>
              <w:ind w:right="57"/>
              <w:jc w:val="right"/>
              <w:rPr>
                <w:rFonts w:ascii="Times New Roman" w:hAnsi="Times New Roman"/>
                <w:sz w:val="18"/>
                <w:lang w:val="fr-FR"/>
              </w:rPr>
            </w:pPr>
            <w:r w:rsidRPr="00A176EA">
              <w:rPr>
                <w:rFonts w:ascii="Times New Roman" w:hAnsi="Times New Roman"/>
                <w:sz w:val="18"/>
                <w:lang w:val="fr-FR"/>
              </w:rPr>
              <w:t>24</w:t>
            </w:r>
          </w:p>
          <w:p w:rsidR="000B562B" w:rsidRPr="00A176EA" w:rsidRDefault="000B562B" w:rsidP="00350E3D">
            <w:pPr>
              <w:pStyle w:val="Text"/>
              <w:spacing w:before="40" w:after="40" w:line="220" w:lineRule="exact"/>
              <w:ind w:right="57"/>
              <w:jc w:val="right"/>
              <w:rPr>
                <w:rFonts w:ascii="Times New Roman" w:hAnsi="Times New Roman"/>
                <w:sz w:val="18"/>
                <w:lang w:val="fr-FR"/>
              </w:rPr>
            </w:pPr>
            <w:r w:rsidRPr="00A176EA">
              <w:rPr>
                <w:rFonts w:ascii="Times New Roman" w:hAnsi="Times New Roman"/>
                <w:sz w:val="18"/>
                <w:lang w:val="fr-FR"/>
              </w:rPr>
              <w:t>14</w:t>
            </w:r>
          </w:p>
        </w:tc>
      </w:tr>
      <w:tr w:rsidR="000B562B" w:rsidRPr="00A176EA" w:rsidTr="003A0226">
        <w:tblPrEx>
          <w:tblCellMar>
            <w:top w:w="0" w:type="dxa"/>
            <w:bottom w:w="0" w:type="dxa"/>
          </w:tblCellMar>
        </w:tblPrEx>
        <w:trPr>
          <w:cantSplit/>
          <w:trHeight w:val="240"/>
        </w:trPr>
        <w:tc>
          <w:tcPr>
            <w:tcW w:w="4550" w:type="dxa"/>
            <w:shd w:val="clear" w:color="auto" w:fill="auto"/>
          </w:tcPr>
          <w:p w:rsidR="000B562B" w:rsidRPr="00704193" w:rsidRDefault="00704193" w:rsidP="00D92D41">
            <w:pPr>
              <w:pStyle w:val="Text"/>
              <w:spacing w:before="40" w:after="40" w:line="220" w:lineRule="exact"/>
              <w:rPr>
                <w:rFonts w:ascii="Times New Roman" w:hAnsi="Times New Roman"/>
                <w:sz w:val="18"/>
                <w:lang w:val="fr-FR"/>
              </w:rPr>
            </w:pPr>
            <w:r>
              <w:rPr>
                <w:rFonts w:ascii="Times New Roman" w:hAnsi="Times New Roman"/>
                <w:sz w:val="18"/>
                <w:lang w:val="fr-FR"/>
              </w:rPr>
              <w:t>Nombre de d</w:t>
            </w:r>
            <w:r w:rsidRPr="00704193">
              <w:rPr>
                <w:rFonts w:ascii="Times New Roman" w:hAnsi="Times New Roman"/>
                <w:sz w:val="18"/>
                <w:lang w:val="fr-FR"/>
              </w:rPr>
              <w:t xml:space="preserve">emandes d’aide juridictionnelle en matière </w:t>
            </w:r>
            <w:r w:rsidR="00D92D41">
              <w:rPr>
                <w:rFonts w:ascii="Times New Roman" w:hAnsi="Times New Roman"/>
                <w:sz w:val="18"/>
                <w:lang w:val="fr-FR"/>
              </w:rPr>
              <w:br/>
            </w:r>
            <w:r w:rsidRPr="00704193">
              <w:rPr>
                <w:rFonts w:ascii="Times New Roman" w:hAnsi="Times New Roman"/>
                <w:sz w:val="18"/>
                <w:lang w:val="fr-FR"/>
              </w:rPr>
              <w:t>pénale</w:t>
            </w:r>
            <w:r w:rsidR="000B562B" w:rsidRPr="00704193">
              <w:rPr>
                <w:rFonts w:ascii="Times New Roman" w:hAnsi="Times New Roman"/>
                <w:sz w:val="18"/>
                <w:lang w:val="fr-FR"/>
              </w:rPr>
              <w:t xml:space="preserve"> (2005</w:t>
            </w:r>
            <w:r w:rsidR="0098370E" w:rsidRPr="00704193">
              <w:rPr>
                <w:rFonts w:ascii="Times New Roman" w:hAnsi="Times New Roman"/>
                <w:sz w:val="18"/>
                <w:lang w:val="fr-FR"/>
              </w:rPr>
              <w:t>-20</w:t>
            </w:r>
            <w:r w:rsidR="000B562B" w:rsidRPr="00704193">
              <w:rPr>
                <w:rFonts w:ascii="Times New Roman" w:hAnsi="Times New Roman"/>
                <w:sz w:val="18"/>
                <w:lang w:val="fr-FR"/>
              </w:rPr>
              <w:t>06)</w:t>
            </w:r>
            <w:r w:rsidR="00FC2B97">
              <w:rPr>
                <w:rFonts w:ascii="Times New Roman" w:hAnsi="Times New Roman"/>
                <w:sz w:val="18"/>
                <w:lang w:val="fr-FR"/>
              </w:rPr>
              <w:t>:</w:t>
            </w:r>
            <w:r w:rsidR="000B562B" w:rsidRPr="00704193">
              <w:rPr>
                <w:rStyle w:val="FootnoteReference"/>
                <w:szCs w:val="22"/>
              </w:rPr>
              <w:footnoteReference w:id="119"/>
            </w:r>
          </w:p>
          <w:p w:rsidR="000B562B" w:rsidRPr="00232C44" w:rsidRDefault="003F70B9" w:rsidP="00742E67">
            <w:pPr>
              <w:pStyle w:val="Text"/>
              <w:spacing w:before="40" w:after="40" w:line="220" w:lineRule="exact"/>
              <w:rPr>
                <w:rFonts w:ascii="Times New Roman" w:hAnsi="Times New Roman"/>
                <w:sz w:val="18"/>
                <w:lang w:val="fr-FR"/>
              </w:rPr>
            </w:pPr>
            <w:r w:rsidRPr="00232C44">
              <w:rPr>
                <w:rFonts w:ascii="Times New Roman" w:hAnsi="Times New Roman"/>
                <w:sz w:val="18"/>
                <w:lang w:val="fr-FR"/>
              </w:rPr>
              <w:t xml:space="preserve">Reçues par les services </w:t>
            </w:r>
            <w:r w:rsidR="00603914">
              <w:rPr>
                <w:rFonts w:ascii="Times New Roman" w:hAnsi="Times New Roman"/>
                <w:sz w:val="18"/>
                <w:lang w:val="fr-FR"/>
              </w:rPr>
              <w:t>de la</w:t>
            </w:r>
            <w:r w:rsidRPr="00232C44">
              <w:rPr>
                <w:rFonts w:ascii="Times New Roman" w:hAnsi="Times New Roman"/>
                <w:sz w:val="18"/>
                <w:lang w:val="fr-FR"/>
              </w:rPr>
              <w:t xml:space="preserve"> </w:t>
            </w:r>
            <w:r w:rsidR="00E857CF" w:rsidRPr="00E857CF">
              <w:rPr>
                <w:rFonts w:ascii="Times New Roman" w:hAnsi="Times New Roman"/>
                <w:sz w:val="18"/>
                <w:lang w:val="fr-FR"/>
              </w:rPr>
              <w:t xml:space="preserve">Cour de la Couronne </w:t>
            </w:r>
            <w:r w:rsidR="000B562B" w:rsidRPr="00232C44">
              <w:rPr>
                <w:rStyle w:val="FootnoteReference"/>
                <w:szCs w:val="22"/>
              </w:rPr>
              <w:footnoteReference w:id="120"/>
            </w:r>
          </w:p>
          <w:p w:rsidR="000B562B" w:rsidRPr="00232C44" w:rsidRDefault="003F70B9" w:rsidP="00742E67">
            <w:pPr>
              <w:pStyle w:val="Text"/>
              <w:spacing w:before="40" w:after="40" w:line="220" w:lineRule="exact"/>
              <w:rPr>
                <w:rFonts w:ascii="Times New Roman" w:hAnsi="Times New Roman"/>
                <w:sz w:val="18"/>
                <w:lang w:val="fr-FR"/>
              </w:rPr>
            </w:pPr>
            <w:r w:rsidRPr="00232C44">
              <w:rPr>
                <w:rFonts w:ascii="Times New Roman" w:hAnsi="Times New Roman"/>
                <w:sz w:val="18"/>
                <w:lang w:val="fr-FR"/>
              </w:rPr>
              <w:t xml:space="preserve">Accordées par </w:t>
            </w:r>
            <w:r w:rsidR="00232C44" w:rsidRPr="00232C44">
              <w:rPr>
                <w:rFonts w:ascii="Times New Roman" w:hAnsi="Times New Roman"/>
                <w:sz w:val="18"/>
                <w:lang w:val="fr-FR"/>
              </w:rPr>
              <w:t xml:space="preserve">les </w:t>
            </w:r>
            <w:r w:rsidRPr="00232C44">
              <w:rPr>
                <w:rFonts w:ascii="Times New Roman" w:hAnsi="Times New Roman"/>
                <w:sz w:val="18"/>
                <w:lang w:val="fr-FR"/>
              </w:rPr>
              <w:t>services</w:t>
            </w:r>
            <w:r w:rsidR="000B562B" w:rsidRPr="00232C44">
              <w:rPr>
                <w:rFonts w:ascii="Times New Roman" w:hAnsi="Times New Roman"/>
                <w:sz w:val="18"/>
                <w:lang w:val="fr-FR"/>
              </w:rPr>
              <w:t xml:space="preserve"> </w:t>
            </w:r>
            <w:r w:rsidR="00603914">
              <w:rPr>
                <w:rFonts w:ascii="Times New Roman" w:hAnsi="Times New Roman"/>
                <w:sz w:val="18"/>
                <w:lang w:val="fr-FR"/>
              </w:rPr>
              <w:t>de la</w:t>
            </w:r>
            <w:r w:rsidR="000B562B" w:rsidRPr="00232C44">
              <w:rPr>
                <w:rFonts w:ascii="Times New Roman" w:hAnsi="Times New Roman"/>
                <w:sz w:val="18"/>
                <w:lang w:val="fr-FR"/>
              </w:rPr>
              <w:t xml:space="preserve"> </w:t>
            </w:r>
            <w:r w:rsidR="00E857CF" w:rsidRPr="00E857CF">
              <w:rPr>
                <w:rFonts w:ascii="Times New Roman" w:hAnsi="Times New Roman"/>
                <w:sz w:val="18"/>
                <w:lang w:val="fr-FR"/>
              </w:rPr>
              <w:t>Cour de la Couronne</w:t>
            </w:r>
          </w:p>
          <w:p w:rsidR="000B562B" w:rsidRPr="00232C44" w:rsidRDefault="003F70B9" w:rsidP="00742E67">
            <w:pPr>
              <w:pStyle w:val="Text"/>
              <w:spacing w:before="40" w:after="40" w:line="220" w:lineRule="exact"/>
              <w:rPr>
                <w:rFonts w:ascii="Times New Roman" w:hAnsi="Times New Roman"/>
                <w:sz w:val="18"/>
                <w:lang w:val="fr-FR"/>
              </w:rPr>
            </w:pPr>
            <w:r w:rsidRPr="00232C44">
              <w:rPr>
                <w:rFonts w:ascii="Times New Roman" w:hAnsi="Times New Roman"/>
                <w:sz w:val="18"/>
                <w:lang w:val="fr-FR"/>
              </w:rPr>
              <w:t xml:space="preserve">Reçues par </w:t>
            </w:r>
            <w:r w:rsidR="00232C44" w:rsidRPr="00232C44">
              <w:rPr>
                <w:rFonts w:ascii="Times New Roman" w:hAnsi="Times New Roman"/>
                <w:sz w:val="18"/>
                <w:lang w:val="fr-FR"/>
              </w:rPr>
              <w:t xml:space="preserve">les </w:t>
            </w:r>
            <w:r w:rsidRPr="00232C44">
              <w:rPr>
                <w:rFonts w:ascii="Times New Roman" w:hAnsi="Times New Roman"/>
                <w:sz w:val="18"/>
                <w:lang w:val="fr-FR"/>
              </w:rPr>
              <w:t xml:space="preserve">services </w:t>
            </w:r>
            <w:r w:rsidR="00232C44" w:rsidRPr="00232C44">
              <w:rPr>
                <w:rFonts w:ascii="Times New Roman" w:hAnsi="Times New Roman"/>
                <w:sz w:val="18"/>
                <w:lang w:val="fr-FR"/>
              </w:rPr>
              <w:t>d’un</w:t>
            </w:r>
            <w:r w:rsidRPr="00232C44">
              <w:rPr>
                <w:rFonts w:ascii="Times New Roman" w:hAnsi="Times New Roman"/>
                <w:sz w:val="18"/>
                <w:lang w:val="fr-FR"/>
              </w:rPr>
              <w:t xml:space="preserve"> </w:t>
            </w:r>
            <w:r w:rsidR="000B0B40">
              <w:rPr>
                <w:rFonts w:ascii="Times New Roman" w:hAnsi="Times New Roman"/>
                <w:sz w:val="18"/>
                <w:lang w:val="fr-FR"/>
              </w:rPr>
              <w:t>Tribunal d’instance</w:t>
            </w:r>
            <w:r w:rsidR="000B562B" w:rsidRPr="00232C44">
              <w:rPr>
                <w:rStyle w:val="FootnoteReference"/>
                <w:szCs w:val="22"/>
              </w:rPr>
              <w:footnoteReference w:id="121"/>
            </w:r>
          </w:p>
          <w:p w:rsidR="000B562B" w:rsidRPr="00246BFB" w:rsidRDefault="00232C44" w:rsidP="000B0B40">
            <w:pPr>
              <w:pStyle w:val="Text"/>
              <w:spacing w:before="40" w:after="40" w:line="220" w:lineRule="exact"/>
              <w:rPr>
                <w:rFonts w:ascii="Times New Roman" w:hAnsi="Times New Roman"/>
                <w:sz w:val="18"/>
                <w:highlight w:val="green"/>
                <w:lang w:val="fr-FR"/>
              </w:rPr>
            </w:pPr>
            <w:r w:rsidRPr="00232C44">
              <w:rPr>
                <w:rFonts w:ascii="Times New Roman" w:hAnsi="Times New Roman"/>
                <w:sz w:val="18"/>
                <w:lang w:val="fr-FR"/>
              </w:rPr>
              <w:t>Accordées par les services</w:t>
            </w:r>
            <w:r w:rsidR="003F70B9" w:rsidRPr="00232C44">
              <w:rPr>
                <w:rFonts w:ascii="Times New Roman" w:hAnsi="Times New Roman"/>
                <w:sz w:val="18"/>
                <w:lang w:val="fr-FR"/>
              </w:rPr>
              <w:t xml:space="preserve"> </w:t>
            </w:r>
            <w:r w:rsidRPr="00232C44">
              <w:rPr>
                <w:rFonts w:ascii="Times New Roman" w:hAnsi="Times New Roman"/>
                <w:sz w:val="18"/>
                <w:lang w:val="fr-FR"/>
              </w:rPr>
              <w:t>d’un</w:t>
            </w:r>
            <w:r w:rsidR="003F70B9" w:rsidRPr="00232C44">
              <w:rPr>
                <w:rFonts w:ascii="Times New Roman" w:hAnsi="Times New Roman"/>
                <w:sz w:val="18"/>
                <w:lang w:val="fr-FR"/>
              </w:rPr>
              <w:t xml:space="preserve"> </w:t>
            </w:r>
            <w:r w:rsidR="000B0B40">
              <w:rPr>
                <w:rFonts w:ascii="Times New Roman" w:hAnsi="Times New Roman"/>
                <w:sz w:val="18"/>
                <w:lang w:val="fr-FR"/>
              </w:rPr>
              <w:t>Tribunal d’instance</w:t>
            </w:r>
          </w:p>
        </w:tc>
        <w:tc>
          <w:tcPr>
            <w:tcW w:w="2820" w:type="dxa"/>
            <w:shd w:val="clear" w:color="auto" w:fill="auto"/>
          </w:tcPr>
          <w:p w:rsidR="00DB2A5E" w:rsidRDefault="00EE66D4" w:rsidP="00350E3D">
            <w:pPr>
              <w:pStyle w:val="Text"/>
              <w:spacing w:before="40" w:after="40" w:line="220" w:lineRule="exact"/>
              <w:ind w:right="57"/>
              <w:jc w:val="right"/>
              <w:rPr>
                <w:rFonts w:ascii="Times New Roman" w:hAnsi="Times New Roman"/>
                <w:sz w:val="18"/>
                <w:lang w:val="fr-FR"/>
              </w:rPr>
            </w:pPr>
            <w:r>
              <w:rPr>
                <w:rFonts w:ascii="Times New Roman" w:hAnsi="Times New Roman"/>
                <w:sz w:val="18"/>
                <w:lang w:val="fr-FR"/>
              </w:rPr>
              <w:br/>
            </w:r>
          </w:p>
          <w:p w:rsidR="000B562B" w:rsidRPr="00A176EA" w:rsidRDefault="000B562B" w:rsidP="00350E3D">
            <w:pPr>
              <w:pStyle w:val="Text"/>
              <w:spacing w:before="40" w:after="40" w:line="220" w:lineRule="exact"/>
              <w:ind w:right="57"/>
              <w:jc w:val="right"/>
              <w:rPr>
                <w:rFonts w:ascii="Times New Roman" w:hAnsi="Times New Roman"/>
                <w:sz w:val="18"/>
                <w:lang w:val="fr-FR"/>
              </w:rPr>
            </w:pPr>
            <w:r w:rsidRPr="00A176EA">
              <w:rPr>
                <w:rFonts w:ascii="Times New Roman" w:hAnsi="Times New Roman"/>
                <w:sz w:val="18"/>
                <w:lang w:val="fr-FR"/>
              </w:rPr>
              <w:t>20</w:t>
            </w:r>
            <w:r w:rsidR="00FF4541">
              <w:rPr>
                <w:rFonts w:ascii="Times New Roman" w:hAnsi="Times New Roman"/>
                <w:sz w:val="18"/>
                <w:lang w:val="fr-FR"/>
              </w:rPr>
              <w:t xml:space="preserve"> </w:t>
            </w:r>
            <w:r w:rsidRPr="00A176EA">
              <w:rPr>
                <w:rFonts w:ascii="Times New Roman" w:hAnsi="Times New Roman"/>
                <w:sz w:val="18"/>
                <w:lang w:val="fr-FR"/>
              </w:rPr>
              <w:t>975</w:t>
            </w:r>
          </w:p>
          <w:p w:rsidR="000B562B" w:rsidRPr="00A176EA" w:rsidRDefault="000B562B" w:rsidP="00350E3D">
            <w:pPr>
              <w:pStyle w:val="Text"/>
              <w:spacing w:before="40" w:after="40" w:line="220" w:lineRule="exact"/>
              <w:ind w:right="57"/>
              <w:jc w:val="right"/>
              <w:rPr>
                <w:rFonts w:ascii="Times New Roman" w:hAnsi="Times New Roman"/>
                <w:sz w:val="18"/>
                <w:lang w:val="fr-FR"/>
              </w:rPr>
            </w:pPr>
            <w:r w:rsidRPr="00A176EA">
              <w:rPr>
                <w:rFonts w:ascii="Times New Roman" w:hAnsi="Times New Roman"/>
                <w:sz w:val="18"/>
                <w:lang w:val="fr-FR"/>
              </w:rPr>
              <w:t>20</w:t>
            </w:r>
            <w:r w:rsidR="00FF4541">
              <w:rPr>
                <w:rFonts w:ascii="Times New Roman" w:hAnsi="Times New Roman"/>
                <w:sz w:val="18"/>
                <w:lang w:val="fr-FR"/>
              </w:rPr>
              <w:t xml:space="preserve"> </w:t>
            </w:r>
            <w:r w:rsidRPr="00A176EA">
              <w:rPr>
                <w:rFonts w:ascii="Times New Roman" w:hAnsi="Times New Roman"/>
                <w:sz w:val="18"/>
                <w:lang w:val="fr-FR"/>
              </w:rPr>
              <w:t>741</w:t>
            </w:r>
          </w:p>
          <w:p w:rsidR="000B562B" w:rsidRPr="00A176EA" w:rsidRDefault="000B562B" w:rsidP="00350E3D">
            <w:pPr>
              <w:pStyle w:val="Text"/>
              <w:spacing w:before="40" w:after="40" w:line="220" w:lineRule="exact"/>
              <w:ind w:right="57"/>
              <w:jc w:val="right"/>
              <w:rPr>
                <w:rFonts w:ascii="Times New Roman" w:hAnsi="Times New Roman"/>
                <w:sz w:val="18"/>
                <w:lang w:val="fr-FR"/>
              </w:rPr>
            </w:pPr>
            <w:r w:rsidRPr="00A176EA">
              <w:rPr>
                <w:rFonts w:ascii="Times New Roman" w:hAnsi="Times New Roman"/>
                <w:sz w:val="18"/>
                <w:lang w:val="fr-FR"/>
              </w:rPr>
              <w:t>572</w:t>
            </w:r>
            <w:r w:rsidR="00FF4541">
              <w:rPr>
                <w:rFonts w:ascii="Times New Roman" w:hAnsi="Times New Roman"/>
                <w:sz w:val="18"/>
                <w:lang w:val="fr-FR"/>
              </w:rPr>
              <w:t xml:space="preserve"> </w:t>
            </w:r>
            <w:r w:rsidRPr="00A176EA">
              <w:rPr>
                <w:rFonts w:ascii="Times New Roman" w:hAnsi="Times New Roman"/>
                <w:sz w:val="18"/>
                <w:lang w:val="fr-FR"/>
              </w:rPr>
              <w:t>965</w:t>
            </w:r>
          </w:p>
          <w:p w:rsidR="000B562B" w:rsidRPr="00A176EA" w:rsidRDefault="000B562B" w:rsidP="00350E3D">
            <w:pPr>
              <w:pStyle w:val="Text"/>
              <w:spacing w:before="40" w:after="40" w:line="220" w:lineRule="exact"/>
              <w:ind w:right="57"/>
              <w:jc w:val="right"/>
              <w:rPr>
                <w:rFonts w:ascii="Times New Roman" w:hAnsi="Times New Roman"/>
                <w:sz w:val="18"/>
                <w:lang w:val="fr-FR"/>
              </w:rPr>
            </w:pPr>
            <w:r w:rsidRPr="00A176EA">
              <w:rPr>
                <w:rFonts w:ascii="Times New Roman" w:hAnsi="Times New Roman"/>
                <w:sz w:val="18"/>
                <w:lang w:val="fr-FR"/>
              </w:rPr>
              <w:t>532</w:t>
            </w:r>
            <w:r w:rsidR="00FF4541">
              <w:rPr>
                <w:rFonts w:ascii="Times New Roman" w:hAnsi="Times New Roman"/>
                <w:sz w:val="18"/>
                <w:lang w:val="fr-FR"/>
              </w:rPr>
              <w:t xml:space="preserve"> </w:t>
            </w:r>
            <w:r w:rsidRPr="00A176EA">
              <w:rPr>
                <w:rFonts w:ascii="Times New Roman" w:hAnsi="Times New Roman"/>
                <w:sz w:val="18"/>
                <w:lang w:val="fr-FR"/>
              </w:rPr>
              <w:t>008</w:t>
            </w:r>
          </w:p>
        </w:tc>
      </w:tr>
      <w:tr w:rsidR="000B562B" w:rsidRPr="00A176EA" w:rsidTr="00D92D41">
        <w:tblPrEx>
          <w:tblCellMar>
            <w:top w:w="0" w:type="dxa"/>
            <w:bottom w:w="0" w:type="dxa"/>
          </w:tblCellMar>
        </w:tblPrEx>
        <w:trPr>
          <w:cantSplit/>
          <w:trHeight w:val="240"/>
        </w:trPr>
        <w:tc>
          <w:tcPr>
            <w:tcW w:w="4550" w:type="dxa"/>
            <w:shd w:val="clear" w:color="auto" w:fill="auto"/>
          </w:tcPr>
          <w:p w:rsidR="000B562B" w:rsidRPr="00246BFB" w:rsidRDefault="000B562B" w:rsidP="00D92D41">
            <w:pPr>
              <w:pStyle w:val="Text"/>
              <w:spacing w:before="40" w:after="40" w:line="220" w:lineRule="exact"/>
              <w:rPr>
                <w:rFonts w:ascii="Times New Roman" w:hAnsi="Times New Roman"/>
                <w:sz w:val="18"/>
                <w:highlight w:val="green"/>
                <w:lang w:val="fr-FR"/>
              </w:rPr>
            </w:pPr>
            <w:r w:rsidRPr="00704193">
              <w:rPr>
                <w:rFonts w:ascii="Times New Roman" w:hAnsi="Times New Roman"/>
                <w:sz w:val="18"/>
                <w:lang w:val="fr-FR"/>
              </w:rPr>
              <w:t>N</w:t>
            </w:r>
            <w:r w:rsidR="00704193" w:rsidRPr="00704193">
              <w:rPr>
                <w:rFonts w:ascii="Times New Roman" w:hAnsi="Times New Roman"/>
                <w:sz w:val="18"/>
                <w:lang w:val="fr-FR"/>
              </w:rPr>
              <w:t>o</w:t>
            </w:r>
            <w:r w:rsidRPr="00704193">
              <w:rPr>
                <w:rFonts w:ascii="Times New Roman" w:hAnsi="Times New Roman"/>
                <w:sz w:val="18"/>
                <w:lang w:val="fr-FR"/>
              </w:rPr>
              <w:t>mb</w:t>
            </w:r>
            <w:r w:rsidR="00704193" w:rsidRPr="00704193">
              <w:rPr>
                <w:rFonts w:ascii="Times New Roman" w:hAnsi="Times New Roman"/>
                <w:sz w:val="18"/>
                <w:lang w:val="fr-FR"/>
              </w:rPr>
              <w:t>re</w:t>
            </w:r>
            <w:r w:rsidRPr="00704193">
              <w:rPr>
                <w:rFonts w:ascii="Times New Roman" w:hAnsi="Times New Roman"/>
                <w:sz w:val="18"/>
                <w:lang w:val="fr-FR"/>
              </w:rPr>
              <w:t xml:space="preserve"> </w:t>
            </w:r>
            <w:r w:rsidR="00704193" w:rsidRPr="00704193">
              <w:rPr>
                <w:rFonts w:ascii="Times New Roman" w:hAnsi="Times New Roman"/>
                <w:sz w:val="18"/>
                <w:lang w:val="fr-FR"/>
              </w:rPr>
              <w:t>de</w:t>
            </w:r>
            <w:r w:rsidRPr="00704193">
              <w:rPr>
                <w:rFonts w:ascii="Times New Roman" w:hAnsi="Times New Roman"/>
                <w:sz w:val="18"/>
                <w:lang w:val="fr-FR"/>
              </w:rPr>
              <w:t xml:space="preserve"> suspects </w:t>
            </w:r>
            <w:r w:rsidR="00DB2A5E">
              <w:rPr>
                <w:rFonts w:ascii="Times New Roman" w:hAnsi="Times New Roman"/>
                <w:sz w:val="18"/>
                <w:lang w:val="fr-FR"/>
              </w:rPr>
              <w:t xml:space="preserve">ayant </w:t>
            </w:r>
            <w:r w:rsidR="00DB2A5E" w:rsidRPr="00DB2A5E">
              <w:rPr>
                <w:rFonts w:ascii="Times New Roman" w:hAnsi="Times New Roman"/>
                <w:sz w:val="18"/>
                <w:lang w:val="fr-FR"/>
              </w:rPr>
              <w:t>bénéficié</w:t>
            </w:r>
            <w:r w:rsidRPr="00DB2A5E">
              <w:rPr>
                <w:rFonts w:ascii="Times New Roman" w:hAnsi="Times New Roman"/>
                <w:sz w:val="18"/>
                <w:lang w:val="fr-FR"/>
              </w:rPr>
              <w:t xml:space="preserve"> </w:t>
            </w:r>
            <w:r w:rsidR="00DB2A5E" w:rsidRPr="00DB2A5E">
              <w:rPr>
                <w:rFonts w:ascii="Times New Roman" w:hAnsi="Times New Roman"/>
                <w:sz w:val="18"/>
                <w:lang w:val="fr-FR"/>
              </w:rPr>
              <w:t xml:space="preserve">de conseils ou </w:t>
            </w:r>
            <w:r w:rsidR="00D92D41">
              <w:rPr>
                <w:rFonts w:ascii="Times New Roman" w:hAnsi="Times New Roman"/>
                <w:sz w:val="18"/>
                <w:lang w:val="fr-FR"/>
              </w:rPr>
              <w:br/>
            </w:r>
            <w:r w:rsidR="00DB2A5E" w:rsidRPr="00DB2A5E">
              <w:rPr>
                <w:rFonts w:ascii="Times New Roman" w:hAnsi="Times New Roman"/>
                <w:sz w:val="18"/>
                <w:lang w:val="fr-FR"/>
              </w:rPr>
              <w:t>d’aide dans un poste de</w:t>
            </w:r>
            <w:r w:rsidRPr="00DB2A5E">
              <w:rPr>
                <w:rFonts w:ascii="Times New Roman" w:hAnsi="Times New Roman"/>
                <w:sz w:val="18"/>
                <w:lang w:val="fr-FR"/>
              </w:rPr>
              <w:t xml:space="preserve"> police (2009</w:t>
            </w:r>
            <w:r w:rsidR="0098370E" w:rsidRPr="00DB2A5E">
              <w:rPr>
                <w:rFonts w:ascii="Times New Roman" w:hAnsi="Times New Roman"/>
                <w:sz w:val="18"/>
                <w:lang w:val="fr-FR"/>
              </w:rPr>
              <w:t>-20</w:t>
            </w:r>
            <w:r w:rsidRPr="00DB2A5E">
              <w:rPr>
                <w:rFonts w:ascii="Times New Roman" w:hAnsi="Times New Roman"/>
                <w:sz w:val="18"/>
                <w:lang w:val="fr-FR"/>
              </w:rPr>
              <w:t>10)</w:t>
            </w:r>
            <w:r w:rsidRPr="00DB2A5E">
              <w:rPr>
                <w:rStyle w:val="FootnoteReference"/>
                <w:szCs w:val="22"/>
              </w:rPr>
              <w:footnoteReference w:id="122"/>
            </w:r>
          </w:p>
        </w:tc>
        <w:tc>
          <w:tcPr>
            <w:tcW w:w="2820" w:type="dxa"/>
            <w:shd w:val="clear" w:color="auto" w:fill="auto"/>
            <w:vAlign w:val="bottom"/>
          </w:tcPr>
          <w:p w:rsidR="000B562B" w:rsidRPr="00A176EA" w:rsidRDefault="000B562B" w:rsidP="00350E3D">
            <w:pPr>
              <w:pStyle w:val="Text"/>
              <w:spacing w:before="40" w:after="40" w:line="220" w:lineRule="exact"/>
              <w:ind w:right="57"/>
              <w:jc w:val="right"/>
              <w:rPr>
                <w:rFonts w:ascii="Times New Roman" w:hAnsi="Times New Roman"/>
                <w:sz w:val="18"/>
                <w:lang w:val="fr-FR"/>
              </w:rPr>
            </w:pPr>
            <w:r w:rsidRPr="00A176EA">
              <w:rPr>
                <w:rFonts w:ascii="Times New Roman" w:hAnsi="Times New Roman"/>
                <w:sz w:val="18"/>
                <w:lang w:val="fr-FR"/>
              </w:rPr>
              <w:t>853</w:t>
            </w:r>
            <w:r w:rsidR="00FF4541">
              <w:rPr>
                <w:rFonts w:ascii="Times New Roman" w:hAnsi="Times New Roman"/>
                <w:sz w:val="18"/>
                <w:lang w:val="fr-FR"/>
              </w:rPr>
              <w:t xml:space="preserve"> </w:t>
            </w:r>
            <w:r w:rsidRPr="00A176EA">
              <w:rPr>
                <w:rFonts w:ascii="Times New Roman" w:hAnsi="Times New Roman"/>
                <w:sz w:val="18"/>
                <w:lang w:val="fr-FR"/>
              </w:rPr>
              <w:t>086</w:t>
            </w:r>
          </w:p>
        </w:tc>
      </w:tr>
      <w:tr w:rsidR="000B562B" w:rsidRPr="00A176EA" w:rsidTr="003A0226">
        <w:tblPrEx>
          <w:tblCellMar>
            <w:top w:w="0" w:type="dxa"/>
            <w:bottom w:w="0" w:type="dxa"/>
          </w:tblCellMar>
        </w:tblPrEx>
        <w:trPr>
          <w:cantSplit/>
          <w:trHeight w:val="240"/>
        </w:trPr>
        <w:tc>
          <w:tcPr>
            <w:tcW w:w="4550" w:type="dxa"/>
            <w:tcBorders>
              <w:bottom w:val="single" w:sz="12" w:space="0" w:color="auto"/>
            </w:tcBorders>
            <w:shd w:val="clear" w:color="auto" w:fill="auto"/>
          </w:tcPr>
          <w:p w:rsidR="000B562B" w:rsidRPr="00A176EA" w:rsidRDefault="00A04588" w:rsidP="00D92D41">
            <w:pPr>
              <w:pStyle w:val="Text"/>
              <w:spacing w:before="40" w:after="40" w:line="220" w:lineRule="exact"/>
              <w:rPr>
                <w:rFonts w:ascii="Times New Roman" w:hAnsi="Times New Roman"/>
                <w:sz w:val="18"/>
                <w:lang w:val="fr-FR"/>
              </w:rPr>
            </w:pPr>
            <w:r w:rsidRPr="00A04588">
              <w:rPr>
                <w:rFonts w:ascii="Times New Roman" w:hAnsi="Times New Roman"/>
                <w:sz w:val="18"/>
                <w:lang w:val="fr-FR"/>
              </w:rPr>
              <w:t>Dépenses consacrées</w:t>
            </w:r>
            <w:r w:rsidR="000B562B" w:rsidRPr="00A04588">
              <w:rPr>
                <w:rFonts w:ascii="Times New Roman" w:hAnsi="Times New Roman"/>
                <w:sz w:val="18"/>
                <w:lang w:val="fr-FR"/>
              </w:rPr>
              <w:t xml:space="preserve"> </w:t>
            </w:r>
            <w:r w:rsidRPr="00A04588">
              <w:rPr>
                <w:rFonts w:ascii="Times New Roman" w:hAnsi="Times New Roman"/>
                <w:sz w:val="18"/>
                <w:lang w:val="fr-FR"/>
              </w:rPr>
              <w:t>à l’aide</w:t>
            </w:r>
            <w:r w:rsidR="000B562B" w:rsidRPr="00A04588">
              <w:rPr>
                <w:rFonts w:ascii="Times New Roman" w:hAnsi="Times New Roman"/>
                <w:sz w:val="18"/>
                <w:lang w:val="fr-FR"/>
              </w:rPr>
              <w:t xml:space="preserve"> </w:t>
            </w:r>
            <w:r w:rsidRPr="00A04588">
              <w:rPr>
                <w:rFonts w:ascii="Times New Roman" w:hAnsi="Times New Roman"/>
                <w:sz w:val="18"/>
                <w:lang w:val="fr-FR"/>
              </w:rPr>
              <w:t>juridictionnelle en matière pénale</w:t>
            </w:r>
            <w:r w:rsidR="00FC2B97">
              <w:rPr>
                <w:rFonts w:ascii="Times New Roman" w:hAnsi="Times New Roman"/>
                <w:sz w:val="18"/>
                <w:lang w:val="fr-FR"/>
              </w:rPr>
              <w:t>:</w:t>
            </w:r>
            <w:r w:rsidR="000B562B" w:rsidRPr="00A04588">
              <w:rPr>
                <w:rStyle w:val="FootnoteReference"/>
                <w:szCs w:val="22"/>
              </w:rPr>
              <w:footnoteReference w:id="123"/>
            </w:r>
          </w:p>
          <w:p w:rsidR="000B562B" w:rsidRPr="009B6070" w:rsidRDefault="000B562B" w:rsidP="00742E67">
            <w:pPr>
              <w:pStyle w:val="Text"/>
              <w:spacing w:before="40" w:after="40" w:line="220" w:lineRule="exact"/>
              <w:rPr>
                <w:rFonts w:ascii="Times New Roman" w:hAnsi="Times New Roman"/>
                <w:sz w:val="18"/>
                <w:lang w:val="fr-FR"/>
              </w:rPr>
            </w:pPr>
            <w:r w:rsidRPr="009B6070">
              <w:rPr>
                <w:rFonts w:ascii="Times New Roman" w:hAnsi="Times New Roman"/>
                <w:sz w:val="18"/>
                <w:lang w:val="fr-FR"/>
              </w:rPr>
              <w:t>2000</w:t>
            </w:r>
            <w:r w:rsidR="00246BFB" w:rsidRPr="009B6070">
              <w:rPr>
                <w:rFonts w:ascii="Times New Roman" w:hAnsi="Times New Roman"/>
                <w:sz w:val="18"/>
                <w:lang w:val="fr-FR"/>
              </w:rPr>
              <w:t>-</w:t>
            </w:r>
            <w:r w:rsidR="00B9164E" w:rsidRPr="009B6070">
              <w:rPr>
                <w:rFonts w:ascii="Times New Roman" w:hAnsi="Times New Roman"/>
                <w:sz w:val="18"/>
                <w:lang w:val="fr-FR"/>
              </w:rPr>
              <w:t>20</w:t>
            </w:r>
            <w:r w:rsidRPr="009B6070">
              <w:rPr>
                <w:rFonts w:ascii="Times New Roman" w:hAnsi="Times New Roman"/>
                <w:sz w:val="18"/>
                <w:lang w:val="fr-FR"/>
              </w:rPr>
              <w:t>01</w:t>
            </w:r>
          </w:p>
          <w:p w:rsidR="000B562B" w:rsidRPr="009B6070" w:rsidRDefault="000B562B" w:rsidP="00742E67">
            <w:pPr>
              <w:pStyle w:val="Text"/>
              <w:spacing w:before="40" w:after="40" w:line="220" w:lineRule="exact"/>
              <w:rPr>
                <w:rFonts w:ascii="Times New Roman" w:hAnsi="Times New Roman"/>
                <w:sz w:val="18"/>
                <w:lang w:val="fr-FR"/>
              </w:rPr>
            </w:pPr>
            <w:r w:rsidRPr="009B6070">
              <w:rPr>
                <w:rFonts w:ascii="Times New Roman" w:hAnsi="Times New Roman"/>
                <w:sz w:val="18"/>
                <w:lang w:val="fr-FR"/>
              </w:rPr>
              <w:t>2001</w:t>
            </w:r>
            <w:r w:rsidR="00246BFB" w:rsidRPr="009B6070">
              <w:rPr>
                <w:rFonts w:ascii="Times New Roman" w:hAnsi="Times New Roman"/>
                <w:sz w:val="18"/>
                <w:lang w:val="fr-FR"/>
              </w:rPr>
              <w:t>-</w:t>
            </w:r>
            <w:r w:rsidR="00B9164E" w:rsidRPr="009B6070">
              <w:rPr>
                <w:rFonts w:ascii="Times New Roman" w:hAnsi="Times New Roman"/>
                <w:sz w:val="18"/>
                <w:lang w:val="fr-FR"/>
              </w:rPr>
              <w:t>20</w:t>
            </w:r>
            <w:r w:rsidRPr="009B6070">
              <w:rPr>
                <w:rFonts w:ascii="Times New Roman" w:hAnsi="Times New Roman"/>
                <w:sz w:val="18"/>
                <w:lang w:val="fr-FR"/>
              </w:rPr>
              <w:t>02</w:t>
            </w:r>
          </w:p>
          <w:p w:rsidR="000B562B" w:rsidRPr="009B6070" w:rsidRDefault="000B562B" w:rsidP="00742E67">
            <w:pPr>
              <w:pStyle w:val="Text"/>
              <w:spacing w:before="40" w:after="40" w:line="220" w:lineRule="exact"/>
              <w:rPr>
                <w:rFonts w:ascii="Times New Roman" w:hAnsi="Times New Roman"/>
                <w:sz w:val="18"/>
                <w:lang w:val="fr-FR"/>
              </w:rPr>
            </w:pPr>
            <w:r w:rsidRPr="009B6070">
              <w:rPr>
                <w:rFonts w:ascii="Times New Roman" w:hAnsi="Times New Roman"/>
                <w:sz w:val="18"/>
                <w:lang w:val="fr-FR"/>
              </w:rPr>
              <w:t>2002</w:t>
            </w:r>
            <w:r w:rsidR="00246BFB" w:rsidRPr="009B6070">
              <w:rPr>
                <w:rFonts w:ascii="Times New Roman" w:hAnsi="Times New Roman"/>
                <w:sz w:val="18"/>
                <w:lang w:val="fr-FR"/>
              </w:rPr>
              <w:t>-</w:t>
            </w:r>
            <w:r w:rsidR="00B9164E" w:rsidRPr="009B6070">
              <w:rPr>
                <w:rFonts w:ascii="Times New Roman" w:hAnsi="Times New Roman"/>
                <w:sz w:val="18"/>
                <w:lang w:val="fr-FR"/>
              </w:rPr>
              <w:t>20</w:t>
            </w:r>
            <w:r w:rsidRPr="009B6070">
              <w:rPr>
                <w:rFonts w:ascii="Times New Roman" w:hAnsi="Times New Roman"/>
                <w:sz w:val="18"/>
                <w:lang w:val="fr-FR"/>
              </w:rPr>
              <w:t>03</w:t>
            </w:r>
          </w:p>
          <w:p w:rsidR="000B562B" w:rsidRPr="009B6070" w:rsidRDefault="000B562B" w:rsidP="00742E67">
            <w:pPr>
              <w:pStyle w:val="Text"/>
              <w:spacing w:before="40" w:after="40" w:line="220" w:lineRule="exact"/>
              <w:rPr>
                <w:rFonts w:ascii="Times New Roman" w:hAnsi="Times New Roman"/>
                <w:sz w:val="18"/>
                <w:lang w:val="fr-FR"/>
              </w:rPr>
            </w:pPr>
            <w:r w:rsidRPr="009B6070">
              <w:rPr>
                <w:rFonts w:ascii="Times New Roman" w:hAnsi="Times New Roman"/>
                <w:sz w:val="18"/>
                <w:lang w:val="fr-FR"/>
              </w:rPr>
              <w:t>2003</w:t>
            </w:r>
            <w:r w:rsidR="00246BFB" w:rsidRPr="009B6070">
              <w:rPr>
                <w:rFonts w:ascii="Times New Roman" w:hAnsi="Times New Roman"/>
                <w:sz w:val="18"/>
                <w:lang w:val="fr-FR"/>
              </w:rPr>
              <w:t>-</w:t>
            </w:r>
            <w:r w:rsidR="00B9164E" w:rsidRPr="009B6070">
              <w:rPr>
                <w:rFonts w:ascii="Times New Roman" w:hAnsi="Times New Roman"/>
                <w:sz w:val="18"/>
                <w:lang w:val="fr-FR"/>
              </w:rPr>
              <w:t>20</w:t>
            </w:r>
            <w:r w:rsidRPr="009B6070">
              <w:rPr>
                <w:rFonts w:ascii="Times New Roman" w:hAnsi="Times New Roman"/>
                <w:sz w:val="18"/>
                <w:lang w:val="fr-FR"/>
              </w:rPr>
              <w:t>04</w:t>
            </w:r>
          </w:p>
          <w:p w:rsidR="000B562B" w:rsidRPr="009B6070" w:rsidRDefault="000B562B" w:rsidP="00742E67">
            <w:pPr>
              <w:pStyle w:val="Text"/>
              <w:spacing w:before="40" w:after="40" w:line="220" w:lineRule="exact"/>
              <w:rPr>
                <w:rFonts w:ascii="Times New Roman" w:hAnsi="Times New Roman"/>
                <w:sz w:val="18"/>
                <w:lang w:val="fr-FR"/>
              </w:rPr>
            </w:pPr>
            <w:r w:rsidRPr="009B6070">
              <w:rPr>
                <w:rFonts w:ascii="Times New Roman" w:hAnsi="Times New Roman"/>
                <w:sz w:val="18"/>
                <w:lang w:val="fr-FR"/>
              </w:rPr>
              <w:t>2004</w:t>
            </w:r>
            <w:r w:rsidR="00246BFB" w:rsidRPr="009B6070">
              <w:rPr>
                <w:rFonts w:ascii="Times New Roman" w:hAnsi="Times New Roman"/>
                <w:sz w:val="18"/>
                <w:lang w:val="fr-FR"/>
              </w:rPr>
              <w:t>-</w:t>
            </w:r>
            <w:r w:rsidR="00B9164E" w:rsidRPr="009B6070">
              <w:rPr>
                <w:rFonts w:ascii="Times New Roman" w:hAnsi="Times New Roman"/>
                <w:sz w:val="18"/>
                <w:lang w:val="fr-FR"/>
              </w:rPr>
              <w:t>20</w:t>
            </w:r>
            <w:r w:rsidRPr="009B6070">
              <w:rPr>
                <w:rFonts w:ascii="Times New Roman" w:hAnsi="Times New Roman"/>
                <w:sz w:val="18"/>
                <w:lang w:val="fr-FR"/>
              </w:rPr>
              <w:t>05</w:t>
            </w:r>
          </w:p>
          <w:p w:rsidR="000B562B" w:rsidRPr="00A176EA" w:rsidRDefault="000B562B" w:rsidP="00246BFB">
            <w:pPr>
              <w:pStyle w:val="Text"/>
              <w:spacing w:before="40" w:after="40" w:line="220" w:lineRule="exact"/>
              <w:rPr>
                <w:rFonts w:ascii="Times New Roman" w:hAnsi="Times New Roman"/>
                <w:sz w:val="18"/>
                <w:lang w:val="fr-FR"/>
              </w:rPr>
            </w:pPr>
            <w:r w:rsidRPr="009B6070">
              <w:rPr>
                <w:rFonts w:ascii="Times New Roman" w:hAnsi="Times New Roman"/>
                <w:sz w:val="18"/>
                <w:lang w:val="fr-FR"/>
              </w:rPr>
              <w:t>2005</w:t>
            </w:r>
            <w:r w:rsidR="00246BFB" w:rsidRPr="009B6070">
              <w:rPr>
                <w:rFonts w:ascii="Times New Roman" w:hAnsi="Times New Roman"/>
                <w:sz w:val="18"/>
                <w:lang w:val="fr-FR"/>
              </w:rPr>
              <w:t>-</w:t>
            </w:r>
            <w:r w:rsidR="00B9164E" w:rsidRPr="009B6070">
              <w:rPr>
                <w:rFonts w:ascii="Times New Roman" w:hAnsi="Times New Roman"/>
                <w:sz w:val="18"/>
                <w:lang w:val="fr-FR"/>
              </w:rPr>
              <w:t>20</w:t>
            </w:r>
            <w:r w:rsidRPr="009B6070">
              <w:rPr>
                <w:rFonts w:ascii="Times New Roman" w:hAnsi="Times New Roman"/>
                <w:sz w:val="18"/>
                <w:lang w:val="fr-FR"/>
              </w:rPr>
              <w:t>06</w:t>
            </w:r>
          </w:p>
        </w:tc>
        <w:tc>
          <w:tcPr>
            <w:tcW w:w="2820" w:type="dxa"/>
            <w:tcBorders>
              <w:bottom w:val="single" w:sz="12" w:space="0" w:color="auto"/>
            </w:tcBorders>
            <w:shd w:val="clear" w:color="auto" w:fill="auto"/>
          </w:tcPr>
          <w:p w:rsidR="00A04588" w:rsidRDefault="00EE66D4" w:rsidP="00350E3D">
            <w:pPr>
              <w:pStyle w:val="Text"/>
              <w:spacing w:before="40" w:after="40" w:line="220" w:lineRule="exact"/>
              <w:ind w:right="57"/>
              <w:jc w:val="right"/>
              <w:rPr>
                <w:rFonts w:ascii="Times New Roman" w:hAnsi="Times New Roman"/>
                <w:sz w:val="18"/>
                <w:lang w:val="fr-FR"/>
              </w:rPr>
            </w:pPr>
            <w:r>
              <w:rPr>
                <w:rFonts w:ascii="Times New Roman" w:hAnsi="Times New Roman"/>
                <w:sz w:val="18"/>
                <w:lang w:val="fr-FR"/>
              </w:rPr>
              <w:br/>
            </w:r>
          </w:p>
          <w:p w:rsidR="000B562B" w:rsidRPr="00A176EA" w:rsidRDefault="000B562B" w:rsidP="00350E3D">
            <w:pPr>
              <w:pStyle w:val="Text"/>
              <w:spacing w:before="40" w:after="40" w:line="220" w:lineRule="exact"/>
              <w:ind w:right="57"/>
              <w:jc w:val="right"/>
              <w:rPr>
                <w:rFonts w:ascii="Times New Roman" w:hAnsi="Times New Roman"/>
                <w:sz w:val="18"/>
                <w:lang w:val="fr-FR"/>
              </w:rPr>
            </w:pPr>
            <w:r w:rsidRPr="00A176EA">
              <w:rPr>
                <w:rFonts w:ascii="Times New Roman" w:hAnsi="Times New Roman"/>
                <w:sz w:val="18"/>
                <w:lang w:val="fr-FR"/>
              </w:rPr>
              <w:t>872</w:t>
            </w:r>
          </w:p>
          <w:p w:rsidR="000B562B" w:rsidRPr="00A176EA" w:rsidRDefault="000B562B" w:rsidP="00350E3D">
            <w:pPr>
              <w:pStyle w:val="Text"/>
              <w:spacing w:before="40" w:after="40" w:line="220" w:lineRule="exact"/>
              <w:ind w:right="57"/>
              <w:jc w:val="right"/>
              <w:rPr>
                <w:rFonts w:ascii="Times New Roman" w:hAnsi="Times New Roman"/>
                <w:sz w:val="18"/>
                <w:lang w:val="fr-FR"/>
              </w:rPr>
            </w:pPr>
            <w:r w:rsidRPr="00A176EA">
              <w:rPr>
                <w:rFonts w:ascii="Times New Roman" w:hAnsi="Times New Roman"/>
                <w:sz w:val="18"/>
                <w:lang w:val="fr-FR"/>
              </w:rPr>
              <w:t>982</w:t>
            </w:r>
          </w:p>
          <w:p w:rsidR="000B562B" w:rsidRPr="00A176EA" w:rsidRDefault="000B562B" w:rsidP="00350E3D">
            <w:pPr>
              <w:pStyle w:val="Text"/>
              <w:spacing w:before="40" w:after="40" w:line="220" w:lineRule="exact"/>
              <w:ind w:right="57"/>
              <w:jc w:val="right"/>
              <w:rPr>
                <w:rFonts w:ascii="Times New Roman" w:hAnsi="Times New Roman"/>
                <w:sz w:val="18"/>
                <w:lang w:val="fr-FR"/>
              </w:rPr>
            </w:pPr>
            <w:r w:rsidRPr="00A176EA">
              <w:rPr>
                <w:rFonts w:ascii="Times New Roman" w:hAnsi="Times New Roman"/>
                <w:sz w:val="18"/>
                <w:lang w:val="fr-FR"/>
              </w:rPr>
              <w:t>1</w:t>
            </w:r>
            <w:r w:rsidR="00FF4541">
              <w:rPr>
                <w:rFonts w:ascii="Times New Roman" w:hAnsi="Times New Roman"/>
                <w:sz w:val="18"/>
                <w:lang w:val="fr-FR"/>
              </w:rPr>
              <w:t xml:space="preserve"> </w:t>
            </w:r>
            <w:r w:rsidRPr="00A176EA">
              <w:rPr>
                <w:rFonts w:ascii="Times New Roman" w:hAnsi="Times New Roman"/>
                <w:sz w:val="18"/>
                <w:lang w:val="fr-FR"/>
              </w:rPr>
              <w:t>096</w:t>
            </w:r>
          </w:p>
          <w:p w:rsidR="000B562B" w:rsidRPr="00A176EA" w:rsidRDefault="000B562B" w:rsidP="00350E3D">
            <w:pPr>
              <w:pStyle w:val="Text"/>
              <w:spacing w:before="40" w:after="40" w:line="220" w:lineRule="exact"/>
              <w:ind w:right="57"/>
              <w:jc w:val="right"/>
              <w:rPr>
                <w:rFonts w:ascii="Times New Roman" w:hAnsi="Times New Roman"/>
                <w:sz w:val="18"/>
                <w:lang w:val="fr-FR"/>
              </w:rPr>
            </w:pPr>
            <w:r w:rsidRPr="00A176EA">
              <w:rPr>
                <w:rFonts w:ascii="Times New Roman" w:hAnsi="Times New Roman"/>
                <w:sz w:val="18"/>
                <w:lang w:val="fr-FR"/>
              </w:rPr>
              <w:t>1</w:t>
            </w:r>
            <w:r w:rsidR="00FF4541">
              <w:rPr>
                <w:rFonts w:ascii="Times New Roman" w:hAnsi="Times New Roman"/>
                <w:sz w:val="18"/>
                <w:lang w:val="fr-FR"/>
              </w:rPr>
              <w:t xml:space="preserve"> </w:t>
            </w:r>
            <w:r w:rsidRPr="00A176EA">
              <w:rPr>
                <w:rFonts w:ascii="Times New Roman" w:hAnsi="Times New Roman"/>
                <w:sz w:val="18"/>
                <w:lang w:val="fr-FR"/>
              </w:rPr>
              <w:t>179</w:t>
            </w:r>
          </w:p>
          <w:p w:rsidR="000B562B" w:rsidRPr="00A176EA" w:rsidRDefault="000B562B" w:rsidP="00350E3D">
            <w:pPr>
              <w:pStyle w:val="Text"/>
              <w:spacing w:before="40" w:after="40" w:line="220" w:lineRule="exact"/>
              <w:ind w:right="57"/>
              <w:jc w:val="right"/>
              <w:rPr>
                <w:rFonts w:ascii="Times New Roman" w:hAnsi="Times New Roman"/>
                <w:sz w:val="18"/>
                <w:lang w:val="fr-FR"/>
              </w:rPr>
            </w:pPr>
            <w:r w:rsidRPr="00A176EA">
              <w:rPr>
                <w:rFonts w:ascii="Times New Roman" w:hAnsi="Times New Roman"/>
                <w:sz w:val="18"/>
                <w:lang w:val="fr-FR"/>
              </w:rPr>
              <w:t>1</w:t>
            </w:r>
            <w:r w:rsidR="00FF4541">
              <w:rPr>
                <w:rFonts w:ascii="Times New Roman" w:hAnsi="Times New Roman"/>
                <w:sz w:val="18"/>
                <w:lang w:val="fr-FR"/>
              </w:rPr>
              <w:t xml:space="preserve"> </w:t>
            </w:r>
            <w:r w:rsidRPr="00A176EA">
              <w:rPr>
                <w:rFonts w:ascii="Times New Roman" w:hAnsi="Times New Roman"/>
                <w:sz w:val="18"/>
                <w:lang w:val="fr-FR"/>
              </w:rPr>
              <w:t>192</w:t>
            </w:r>
          </w:p>
          <w:p w:rsidR="000B562B" w:rsidRPr="00A176EA" w:rsidRDefault="000B562B" w:rsidP="00350E3D">
            <w:pPr>
              <w:pStyle w:val="Text"/>
              <w:spacing w:before="40" w:after="40" w:line="220" w:lineRule="exact"/>
              <w:ind w:right="57"/>
              <w:jc w:val="right"/>
              <w:rPr>
                <w:rFonts w:ascii="Times New Roman" w:hAnsi="Times New Roman"/>
                <w:sz w:val="18"/>
                <w:lang w:val="fr-FR"/>
              </w:rPr>
            </w:pPr>
            <w:r w:rsidRPr="00A176EA">
              <w:rPr>
                <w:rFonts w:ascii="Times New Roman" w:hAnsi="Times New Roman"/>
                <w:sz w:val="18"/>
                <w:lang w:val="fr-FR"/>
              </w:rPr>
              <w:t>1</w:t>
            </w:r>
            <w:r w:rsidR="00FF4541">
              <w:rPr>
                <w:rFonts w:ascii="Times New Roman" w:hAnsi="Times New Roman"/>
                <w:sz w:val="18"/>
                <w:lang w:val="fr-FR"/>
              </w:rPr>
              <w:t xml:space="preserve"> </w:t>
            </w:r>
            <w:r w:rsidRPr="00A176EA">
              <w:rPr>
                <w:rFonts w:ascii="Times New Roman" w:hAnsi="Times New Roman"/>
                <w:sz w:val="18"/>
                <w:lang w:val="fr-FR"/>
              </w:rPr>
              <w:t>197</w:t>
            </w:r>
          </w:p>
        </w:tc>
      </w:tr>
    </w:tbl>
    <w:p w:rsidR="0024666D" w:rsidRPr="006D07AA" w:rsidRDefault="0024666D" w:rsidP="00350E3D">
      <w:pPr>
        <w:pStyle w:val="H1G"/>
      </w:pPr>
      <w:bookmarkStart w:id="71" w:name="_Toc299724762"/>
      <w:bookmarkStart w:id="72" w:name="_Toc299724761"/>
      <w:r w:rsidRPr="0024666D">
        <w:tab/>
      </w:r>
      <w:r w:rsidRPr="006D07AA">
        <w:t>B.</w:t>
      </w:r>
      <w:r w:rsidRPr="006D07AA">
        <w:tab/>
      </w:r>
      <w:bookmarkEnd w:id="72"/>
      <w:r w:rsidR="003B28C6" w:rsidRPr="006D07AA">
        <w:t>Structure constitutionnelle, politique et juridique</w:t>
      </w:r>
    </w:p>
    <w:p w:rsidR="000B562B" w:rsidRPr="00A176EA" w:rsidRDefault="003B28C6" w:rsidP="00742E67">
      <w:pPr>
        <w:pStyle w:val="H23G"/>
        <w:rPr>
          <w:lang w:val="fr-FR"/>
        </w:rPr>
      </w:pPr>
      <w:r>
        <w:rPr>
          <w:lang w:val="fr-FR"/>
        </w:rPr>
        <w:t xml:space="preserve">Le </w:t>
      </w:r>
      <w:r w:rsidR="000B562B" w:rsidRPr="003B28C6">
        <w:rPr>
          <w:lang w:val="fr-FR"/>
        </w:rPr>
        <w:t>Go</w:t>
      </w:r>
      <w:r w:rsidR="00FF4541" w:rsidRPr="003B28C6">
        <w:rPr>
          <w:lang w:val="fr-FR"/>
        </w:rPr>
        <w:t>u</w:t>
      </w:r>
      <w:r w:rsidR="000B562B" w:rsidRPr="003B28C6">
        <w:rPr>
          <w:lang w:val="fr-FR"/>
        </w:rPr>
        <w:t>vern</w:t>
      </w:r>
      <w:r w:rsidR="00FF4541" w:rsidRPr="003B28C6">
        <w:rPr>
          <w:lang w:val="fr-FR"/>
        </w:rPr>
        <w:t>e</w:t>
      </w:r>
      <w:r w:rsidR="000B562B" w:rsidRPr="003B28C6">
        <w:rPr>
          <w:lang w:val="fr-FR"/>
        </w:rPr>
        <w:t>ment</w:t>
      </w:r>
      <w:bookmarkEnd w:id="71"/>
    </w:p>
    <w:p w:rsidR="000B562B" w:rsidRPr="00A176EA" w:rsidRDefault="002549A9" w:rsidP="00742E67">
      <w:pPr>
        <w:pStyle w:val="SingleTxtG"/>
        <w:rPr>
          <w:snapToGrid w:val="0"/>
          <w:lang w:val="fr-FR"/>
        </w:rPr>
      </w:pPr>
      <w:r w:rsidRPr="00A176EA">
        <w:rPr>
          <w:snapToGrid w:val="0"/>
          <w:lang w:val="fr-FR"/>
        </w:rPr>
        <w:t>588.</w:t>
      </w:r>
      <w:r w:rsidRPr="00A176EA">
        <w:rPr>
          <w:snapToGrid w:val="0"/>
          <w:lang w:val="fr-FR"/>
        </w:rPr>
        <w:tab/>
      </w:r>
      <w:r w:rsidR="003B28C6" w:rsidRPr="003B28C6">
        <w:rPr>
          <w:lang w:val="fr-FR"/>
        </w:rPr>
        <w:t>Le régime parlementaire du Royaume-Uni ne repose pas sur une Constitution écrite mais procède d’une évolution progressive qui a pris plusieurs siècles</w:t>
      </w:r>
      <w:r w:rsidR="000B562B" w:rsidRPr="00A176EA">
        <w:rPr>
          <w:snapToGrid w:val="0"/>
          <w:lang w:val="fr-FR"/>
        </w:rPr>
        <w:t xml:space="preserve">. </w:t>
      </w:r>
      <w:r w:rsidR="00620D3F" w:rsidRPr="00620D3F">
        <w:rPr>
          <w:snapToGrid w:val="0"/>
          <w:lang w:val="fr-FR"/>
        </w:rPr>
        <w:t>Aujourd’hui, et depuis plus de deux siècles, l’essence même du système tient au fait que les dirigeants politiques du pouvoir exécutif sont issus du corps législatif et sont responsables devant la Chambre des communes</w:t>
      </w:r>
      <w:r w:rsidR="000B562B" w:rsidRPr="00A176EA">
        <w:rPr>
          <w:snapToGrid w:val="0"/>
          <w:lang w:val="fr-FR"/>
        </w:rPr>
        <w:t xml:space="preserve"> (</w:t>
      </w:r>
      <w:r w:rsidR="00C0379B">
        <w:rPr>
          <w:snapToGrid w:val="0"/>
          <w:lang w:val="fr-FR"/>
        </w:rPr>
        <w:t>partie du Parlement de</w:t>
      </w:r>
      <w:r w:rsidR="000B562B" w:rsidRPr="00A176EA">
        <w:rPr>
          <w:snapToGrid w:val="0"/>
          <w:lang w:val="fr-FR"/>
        </w:rPr>
        <w:t xml:space="preserve"> Westminster), </w:t>
      </w:r>
      <w:r w:rsidR="00C0379B" w:rsidRPr="00C0379B">
        <w:rPr>
          <w:snapToGrid w:val="0"/>
          <w:lang w:val="fr-FR"/>
        </w:rPr>
        <w:t>dont les membres élus représentent des circonscriptions d’Angleterre, d’Écosse, du pays de Galles et d’Irlande du Nord. Le Gouvernement doit avoir l’appui d’une majorité de membres de la Chambre des communes, où il doit affronter publiquement la critique d’une opposition</w:t>
      </w:r>
      <w:r w:rsidR="00C0379B">
        <w:rPr>
          <w:snapToGrid w:val="0"/>
          <w:lang w:val="fr-FR"/>
        </w:rPr>
        <w:t xml:space="preserve"> officielle</w:t>
      </w:r>
      <w:r w:rsidR="000B562B" w:rsidRPr="00A176EA">
        <w:rPr>
          <w:snapToGrid w:val="0"/>
          <w:lang w:val="fr-FR"/>
        </w:rPr>
        <w:t>.</w:t>
      </w:r>
    </w:p>
    <w:p w:rsidR="000B562B" w:rsidRPr="00A176EA" w:rsidRDefault="002549A9" w:rsidP="00742E67">
      <w:pPr>
        <w:pStyle w:val="SingleTxtG"/>
        <w:rPr>
          <w:snapToGrid w:val="0"/>
          <w:lang w:val="fr-FR"/>
        </w:rPr>
      </w:pPr>
      <w:r w:rsidRPr="00A176EA">
        <w:rPr>
          <w:snapToGrid w:val="0"/>
          <w:lang w:val="fr-FR"/>
        </w:rPr>
        <w:t>589.</w:t>
      </w:r>
      <w:r w:rsidRPr="00A176EA">
        <w:rPr>
          <w:snapToGrid w:val="0"/>
          <w:lang w:val="fr-FR"/>
        </w:rPr>
        <w:tab/>
      </w:r>
      <w:r w:rsidR="00C0379B">
        <w:rPr>
          <w:snapToGrid w:val="0"/>
          <w:lang w:val="fr-FR"/>
        </w:rPr>
        <w:t>Le Parlement de</w:t>
      </w:r>
      <w:r w:rsidR="000B562B" w:rsidRPr="00A176EA">
        <w:rPr>
          <w:snapToGrid w:val="0"/>
          <w:lang w:val="fr-FR"/>
        </w:rPr>
        <w:t xml:space="preserve"> </w:t>
      </w:r>
      <w:r w:rsidR="000B562B" w:rsidRPr="00A176EA">
        <w:rPr>
          <w:lang w:val="fr-FR"/>
        </w:rPr>
        <w:t xml:space="preserve">Westminster </w:t>
      </w:r>
      <w:r w:rsidR="00C0379B" w:rsidRPr="00C0379B">
        <w:rPr>
          <w:lang w:val="fr-FR"/>
        </w:rPr>
        <w:t>comprend les trois éléments suivants</w:t>
      </w:r>
      <w:r w:rsidR="00FC2B97">
        <w:rPr>
          <w:lang w:val="fr-FR"/>
        </w:rPr>
        <w:t>:</w:t>
      </w:r>
      <w:r w:rsidR="002764E8">
        <w:rPr>
          <w:lang w:val="fr-FR"/>
        </w:rPr>
        <w:t xml:space="preserve"> la Reine </w:t>
      </w:r>
      <w:r w:rsidR="00C0379B" w:rsidRPr="00C0379B">
        <w:rPr>
          <w:lang w:val="fr-FR"/>
        </w:rPr>
        <w:t>et les deux Chambres du Parlement (la Chambre des lords et la Chambre des communes, assemblé</w:t>
      </w:r>
      <w:r w:rsidR="002764E8">
        <w:rPr>
          <w:lang w:val="fr-FR"/>
        </w:rPr>
        <w:t>e élue)</w:t>
      </w:r>
      <w:r w:rsidR="00C0379B" w:rsidRPr="00C0379B">
        <w:rPr>
          <w:lang w:val="fr-FR"/>
        </w:rPr>
        <w:t>. Chacun de ces éléments est constitué selon des principes différents, et ils ne se réunissent que lors d’événements de portée symbolique, tels que le couronnement ou la séance officielle d’ouverture de la session parlementaire, où la Reine convoque la Chambre des communes à la Chambre des lords. Mais en tant qu’organe législatif national le Parlement est aussi un corps qui, à certaines exceptions près (voir plus loin), ne peut légiférer sans le concours de tous les éléments qui le composent</w:t>
      </w:r>
      <w:r w:rsidR="000B562B" w:rsidRPr="00A176EA">
        <w:rPr>
          <w:snapToGrid w:val="0"/>
          <w:lang w:val="fr-FR"/>
        </w:rPr>
        <w:t>.</w:t>
      </w:r>
    </w:p>
    <w:p w:rsidR="000B562B" w:rsidRPr="00A176EA" w:rsidRDefault="002549A9" w:rsidP="00365910">
      <w:pPr>
        <w:pStyle w:val="SingleTxtG"/>
        <w:rPr>
          <w:snapToGrid w:val="0"/>
          <w:lang w:val="fr-FR"/>
        </w:rPr>
      </w:pPr>
      <w:r w:rsidRPr="00A176EA">
        <w:rPr>
          <w:snapToGrid w:val="0"/>
          <w:lang w:val="fr-FR"/>
        </w:rPr>
        <w:t>590.</w:t>
      </w:r>
      <w:r w:rsidRPr="00A176EA">
        <w:rPr>
          <w:snapToGrid w:val="0"/>
          <w:lang w:val="fr-FR"/>
        </w:rPr>
        <w:tab/>
      </w:r>
      <w:r w:rsidR="00C0379B">
        <w:rPr>
          <w:snapToGrid w:val="0"/>
          <w:lang w:val="fr-FR"/>
        </w:rPr>
        <w:t xml:space="preserve">La loi de 1911 sur le Parlement </w:t>
      </w:r>
      <w:r w:rsidR="00EC452E" w:rsidRPr="00EC452E">
        <w:rPr>
          <w:snapToGrid w:val="0"/>
          <w:lang w:val="fr-FR"/>
        </w:rPr>
        <w:t xml:space="preserve">fixe la durée maximale de la législature à cinq ans, mais un parlement peut être dissous et des élections générales </w:t>
      </w:r>
      <w:r w:rsidR="005029DD">
        <w:rPr>
          <w:snapToGrid w:val="0"/>
          <w:lang w:val="fr-FR"/>
        </w:rPr>
        <w:t xml:space="preserve">peuvent être </w:t>
      </w:r>
      <w:r w:rsidR="00EC452E" w:rsidRPr="00EC452E">
        <w:rPr>
          <w:snapToGrid w:val="0"/>
          <w:lang w:val="fr-FR"/>
        </w:rPr>
        <w:t>tenues avant l’expiration de ce délai. Le Parlement n’étant pas soumis aux restrictions juridiques imposées aux assemblées législatives dans les pays régis par une Constitution écrite formelle, il est pratiquement libre de légiférer à sa guise</w:t>
      </w:r>
      <w:r w:rsidR="00FC2B97">
        <w:rPr>
          <w:snapToGrid w:val="0"/>
          <w:lang w:val="fr-FR"/>
        </w:rPr>
        <w:t>:</w:t>
      </w:r>
      <w:r w:rsidR="00EC452E" w:rsidRPr="00EC452E">
        <w:rPr>
          <w:snapToGrid w:val="0"/>
          <w:lang w:val="fr-FR"/>
        </w:rPr>
        <w:t xml:space="preserve"> il peut adopter, abroger ou amender des lois</w:t>
      </w:r>
      <w:r w:rsidR="000B562B" w:rsidRPr="00A176EA">
        <w:rPr>
          <w:snapToGrid w:val="0"/>
          <w:lang w:val="fr-FR"/>
        </w:rPr>
        <w:t>.</w:t>
      </w:r>
    </w:p>
    <w:p w:rsidR="000B562B" w:rsidRPr="00A176EA" w:rsidRDefault="00FF4541" w:rsidP="00365910">
      <w:pPr>
        <w:pStyle w:val="H23G"/>
        <w:rPr>
          <w:snapToGrid w:val="0"/>
          <w:lang w:val="fr-FR"/>
        </w:rPr>
      </w:pPr>
      <w:r w:rsidRPr="00EC452E">
        <w:rPr>
          <w:snapToGrid w:val="0"/>
          <w:lang w:val="fr-FR"/>
        </w:rPr>
        <w:t>La Couronne et le</w:t>
      </w:r>
      <w:r w:rsidR="000B562B" w:rsidRPr="00EC452E">
        <w:rPr>
          <w:snapToGrid w:val="0"/>
          <w:lang w:val="fr-FR"/>
        </w:rPr>
        <w:t xml:space="preserve"> Parl</w:t>
      </w:r>
      <w:r w:rsidRPr="00EC452E">
        <w:rPr>
          <w:snapToGrid w:val="0"/>
          <w:lang w:val="fr-FR"/>
        </w:rPr>
        <w:t>e</w:t>
      </w:r>
      <w:r w:rsidR="000B562B" w:rsidRPr="00EC452E">
        <w:rPr>
          <w:snapToGrid w:val="0"/>
          <w:lang w:val="fr-FR"/>
        </w:rPr>
        <w:t>ment</w:t>
      </w:r>
    </w:p>
    <w:p w:rsidR="000B562B" w:rsidRPr="00A176EA" w:rsidRDefault="002549A9" w:rsidP="00365910">
      <w:pPr>
        <w:pStyle w:val="SingleTxtG"/>
        <w:rPr>
          <w:snapToGrid w:val="0"/>
          <w:lang w:val="fr-FR"/>
        </w:rPr>
      </w:pPr>
      <w:r w:rsidRPr="00A176EA">
        <w:rPr>
          <w:snapToGrid w:val="0"/>
          <w:lang w:val="fr-FR"/>
        </w:rPr>
        <w:t>591.</w:t>
      </w:r>
      <w:r w:rsidRPr="00A176EA">
        <w:rPr>
          <w:snapToGrid w:val="0"/>
          <w:lang w:val="fr-FR"/>
        </w:rPr>
        <w:tab/>
      </w:r>
      <w:r w:rsidR="007F51C9" w:rsidRPr="007F51C9">
        <w:rPr>
          <w:snapToGrid w:val="0"/>
          <w:lang w:val="fr-FR"/>
        </w:rPr>
        <w:t>Constitutionnellement, l’existence juridique du Parlement dépend de l’exercice de la prérogative royale, c’est-à-dire de l’ensemble des pouvoirs limités laissés à la Couronne. En réalité, cependant, les pouvoirs de la Couronne vis-à-vis du Parlement sont soumis à des limitations et à une évolution qui s’inscrivent dans le processus législatif et ne sont exercés que par le biais des avis des ministres responsables devant le Parlement</w:t>
      </w:r>
      <w:r w:rsidR="000B562B" w:rsidRPr="00A176EA">
        <w:rPr>
          <w:snapToGrid w:val="0"/>
          <w:lang w:val="fr-FR"/>
        </w:rPr>
        <w:t>.</w:t>
      </w:r>
    </w:p>
    <w:p w:rsidR="000B562B" w:rsidRPr="00A176EA" w:rsidRDefault="002549A9" w:rsidP="00365910">
      <w:pPr>
        <w:pStyle w:val="SingleTxtG"/>
        <w:rPr>
          <w:lang w:val="fr-FR"/>
        </w:rPr>
      </w:pPr>
      <w:r w:rsidRPr="00A176EA">
        <w:rPr>
          <w:lang w:val="fr-FR"/>
        </w:rPr>
        <w:t>592.</w:t>
      </w:r>
      <w:r w:rsidRPr="00A176EA">
        <w:rPr>
          <w:lang w:val="fr-FR"/>
        </w:rPr>
        <w:tab/>
      </w:r>
      <w:r w:rsidR="00A41D03" w:rsidRPr="00A41D03">
        <w:rPr>
          <w:snapToGrid w:val="0"/>
          <w:lang w:val="fr-FR"/>
        </w:rPr>
        <w:t xml:space="preserve">En sa qualité de chef temporel de l’Église anglicane d’État, la Reine nomme, sur l’avis du Premier Ministre, les archevêques et évêques, parmi lesquels certains, en tant que </w:t>
      </w:r>
      <w:r w:rsidR="00CD0110">
        <w:rPr>
          <w:snapToGrid w:val="0"/>
          <w:lang w:val="fr-FR"/>
        </w:rPr>
        <w:t>«</w:t>
      </w:r>
      <w:r w:rsidR="00A41D03" w:rsidRPr="00A41D03">
        <w:rPr>
          <w:snapToGrid w:val="0"/>
          <w:lang w:val="fr-FR"/>
        </w:rPr>
        <w:t>lords spirituels</w:t>
      </w:r>
      <w:r w:rsidR="00CD0110">
        <w:rPr>
          <w:snapToGrid w:val="0"/>
          <w:lang w:val="fr-FR"/>
        </w:rPr>
        <w:t>»</w:t>
      </w:r>
      <w:r w:rsidR="00A41D03" w:rsidRPr="00A41D03">
        <w:rPr>
          <w:snapToGrid w:val="0"/>
          <w:lang w:val="fr-FR"/>
        </w:rPr>
        <w:t>, sont membres de la Chambre des lords. En tant que dispensatrice d’honneurs (</w:t>
      </w:r>
      <w:r w:rsidR="00CD0110">
        <w:rPr>
          <w:snapToGrid w:val="0"/>
          <w:lang w:val="fr-FR"/>
        </w:rPr>
        <w:t>«</w:t>
      </w:r>
      <w:r w:rsidR="00A41D03" w:rsidRPr="00A41D03">
        <w:rPr>
          <w:snapToGrid w:val="0"/>
          <w:lang w:val="fr-FR"/>
        </w:rPr>
        <w:t>fountain of honour</w:t>
      </w:r>
      <w:r w:rsidR="00CD0110">
        <w:rPr>
          <w:snapToGrid w:val="0"/>
          <w:lang w:val="fr-FR"/>
        </w:rPr>
        <w:t>»</w:t>
      </w:r>
      <w:r w:rsidR="00A41D03" w:rsidRPr="00A41D03">
        <w:rPr>
          <w:snapToGrid w:val="0"/>
          <w:lang w:val="fr-FR"/>
        </w:rPr>
        <w:t>), elle confère les pairies (sur recommandation du Premier Ministre, qui s’enquiert généralement d’autres avis)</w:t>
      </w:r>
      <w:r w:rsidR="00FC2B97">
        <w:rPr>
          <w:snapToGrid w:val="0"/>
          <w:lang w:val="fr-FR"/>
        </w:rPr>
        <w:t>;</w:t>
      </w:r>
      <w:r w:rsidR="00A41D03" w:rsidRPr="00A41D03">
        <w:rPr>
          <w:snapToGrid w:val="0"/>
          <w:lang w:val="fr-FR"/>
        </w:rPr>
        <w:t xml:space="preserve"> ainsi, les </w:t>
      </w:r>
      <w:r w:rsidR="00CD0110">
        <w:rPr>
          <w:snapToGrid w:val="0"/>
          <w:lang w:val="fr-FR"/>
        </w:rPr>
        <w:t>«</w:t>
      </w:r>
      <w:r w:rsidR="00A41D03" w:rsidRPr="00A41D03">
        <w:rPr>
          <w:snapToGrid w:val="0"/>
          <w:lang w:val="fr-FR"/>
        </w:rPr>
        <w:t>lords temporels</w:t>
      </w:r>
      <w:r w:rsidR="00CD0110">
        <w:rPr>
          <w:snapToGrid w:val="0"/>
          <w:lang w:val="fr-FR"/>
        </w:rPr>
        <w:t>»</w:t>
      </w:r>
      <w:r w:rsidR="00A41D03" w:rsidRPr="00A41D03">
        <w:rPr>
          <w:snapToGrid w:val="0"/>
          <w:lang w:val="fr-FR"/>
        </w:rPr>
        <w:t>, qui constituent le reste de la Chambre Haute, sont aussi établis par privilège royal, et leur nombre peut être augmenté à tout moment</w:t>
      </w:r>
      <w:r w:rsidR="000B562B" w:rsidRPr="00A176EA">
        <w:rPr>
          <w:snapToGrid w:val="0"/>
          <w:lang w:val="fr-FR"/>
        </w:rPr>
        <w:t>.</w:t>
      </w:r>
    </w:p>
    <w:p w:rsidR="000B562B" w:rsidRPr="00A176EA" w:rsidRDefault="002549A9" w:rsidP="00365910">
      <w:pPr>
        <w:pStyle w:val="SingleTxtG"/>
        <w:rPr>
          <w:snapToGrid w:val="0"/>
          <w:lang w:val="fr-FR"/>
        </w:rPr>
      </w:pPr>
      <w:r w:rsidRPr="00A176EA">
        <w:rPr>
          <w:snapToGrid w:val="0"/>
          <w:lang w:val="fr-FR"/>
        </w:rPr>
        <w:t>593.</w:t>
      </w:r>
      <w:r w:rsidRPr="00A176EA">
        <w:rPr>
          <w:snapToGrid w:val="0"/>
          <w:lang w:val="fr-FR"/>
        </w:rPr>
        <w:tab/>
      </w:r>
      <w:r w:rsidR="0062347C" w:rsidRPr="0062347C">
        <w:rPr>
          <w:snapToGrid w:val="0"/>
          <w:lang w:val="fr-FR"/>
        </w:rPr>
        <w:t>Le Parlement est convoqué sur proclamation royale, puis prorogé (c’est-à-dire suspendu jusqu’à la session suivante) et dissous par la Reine. Au début de chaque session, la Reine se rend solennellement à la Chambre des lords où elle procède en personne à l’ouverture de la session du Parlement. Lors de la cérémonie d’ouverture, la Reine s’adresse aux deux chambres réunies. Le discours de la Reine, qui est rédigé par ses ministres, définit les grandes lignes de la politique du Gouvernement et propose un programme législatif pour la session qui s’ouvre</w:t>
      </w:r>
      <w:r w:rsidR="000B562B" w:rsidRPr="00A176EA">
        <w:rPr>
          <w:snapToGrid w:val="0"/>
          <w:lang w:val="fr-FR"/>
        </w:rPr>
        <w:t>.</w:t>
      </w:r>
    </w:p>
    <w:p w:rsidR="000B562B" w:rsidRPr="00A176EA" w:rsidRDefault="002549A9" w:rsidP="00365910">
      <w:pPr>
        <w:pStyle w:val="SingleTxtG"/>
        <w:rPr>
          <w:snapToGrid w:val="0"/>
          <w:lang w:val="fr-FR"/>
        </w:rPr>
      </w:pPr>
      <w:r w:rsidRPr="00A176EA">
        <w:rPr>
          <w:snapToGrid w:val="0"/>
          <w:lang w:val="fr-FR"/>
        </w:rPr>
        <w:t>594.</w:t>
      </w:r>
      <w:r w:rsidRPr="00A176EA">
        <w:rPr>
          <w:snapToGrid w:val="0"/>
          <w:lang w:val="fr-FR"/>
        </w:rPr>
        <w:tab/>
      </w:r>
      <w:r w:rsidR="0062347C" w:rsidRPr="0062347C">
        <w:rPr>
          <w:snapToGrid w:val="0"/>
          <w:lang w:val="fr-FR"/>
        </w:rPr>
        <w:t>Pour entrer en vigueur, toute loi doit recevoir l’assentiment de la souveraine</w:t>
      </w:r>
      <w:r w:rsidR="00C05783">
        <w:rPr>
          <w:snapToGrid w:val="0"/>
          <w:lang w:val="fr-FR"/>
        </w:rPr>
        <w:t>.</w:t>
      </w:r>
      <w:r w:rsidR="0062347C" w:rsidRPr="0062347C">
        <w:rPr>
          <w:snapToGrid w:val="0"/>
          <w:lang w:val="fr-FR"/>
        </w:rPr>
        <w:t xml:space="preserve"> </w:t>
      </w:r>
      <w:r w:rsidR="00C05783">
        <w:rPr>
          <w:snapToGrid w:val="0"/>
          <w:lang w:val="fr-FR"/>
        </w:rPr>
        <w:t>A</w:t>
      </w:r>
      <w:r w:rsidR="0062347C" w:rsidRPr="0062347C">
        <w:rPr>
          <w:snapToGrid w:val="0"/>
          <w:lang w:val="fr-FR"/>
        </w:rPr>
        <w:t xml:space="preserve">ujourd’hui, </w:t>
      </w:r>
      <w:r w:rsidR="00C05783">
        <w:rPr>
          <w:snapToGrid w:val="0"/>
          <w:lang w:val="fr-FR"/>
        </w:rPr>
        <w:t>la sanction</w:t>
      </w:r>
      <w:r w:rsidR="0062347C" w:rsidRPr="0062347C">
        <w:rPr>
          <w:snapToGrid w:val="0"/>
          <w:lang w:val="fr-FR"/>
        </w:rPr>
        <w:t xml:space="preserve"> royal</w:t>
      </w:r>
      <w:r w:rsidR="00C05783">
        <w:rPr>
          <w:snapToGrid w:val="0"/>
          <w:lang w:val="fr-FR"/>
        </w:rPr>
        <w:t>e</w:t>
      </w:r>
      <w:r w:rsidR="0062347C" w:rsidRPr="0062347C">
        <w:rPr>
          <w:snapToGrid w:val="0"/>
          <w:lang w:val="fr-FR"/>
        </w:rPr>
        <w:t xml:space="preserve"> est exprimé</w:t>
      </w:r>
      <w:r w:rsidR="00C05783">
        <w:rPr>
          <w:snapToGrid w:val="0"/>
          <w:lang w:val="fr-FR"/>
        </w:rPr>
        <w:t>e</w:t>
      </w:r>
      <w:r w:rsidR="0062347C" w:rsidRPr="0062347C">
        <w:rPr>
          <w:snapToGrid w:val="0"/>
          <w:lang w:val="fr-FR"/>
        </w:rPr>
        <w:t xml:space="preserve"> devant le Parlement par les présidents des deux chambres. La souveraine a le droit d’être consultée, d’encourager ou de mettre en garde, mais son droit de veto est depuis longtemps tombé en désuétude</w:t>
      </w:r>
      <w:r w:rsidR="000B562B" w:rsidRPr="00A176EA">
        <w:rPr>
          <w:snapToGrid w:val="0"/>
          <w:lang w:val="fr-FR"/>
        </w:rPr>
        <w:t>.</w:t>
      </w:r>
    </w:p>
    <w:p w:rsidR="000B562B" w:rsidRPr="00A176EA" w:rsidRDefault="0062347C" w:rsidP="00365910">
      <w:pPr>
        <w:pStyle w:val="H23G"/>
        <w:rPr>
          <w:snapToGrid w:val="0"/>
          <w:lang w:val="fr-FR"/>
        </w:rPr>
      </w:pPr>
      <w:r w:rsidRPr="00A176EA">
        <w:rPr>
          <w:snapToGrid w:val="0"/>
          <w:lang w:val="fr-FR"/>
        </w:rPr>
        <w:t xml:space="preserve">Sessions </w:t>
      </w:r>
      <w:r>
        <w:rPr>
          <w:snapToGrid w:val="0"/>
          <w:lang w:val="fr-FR"/>
        </w:rPr>
        <w:t>parlementaires</w:t>
      </w:r>
      <w:r w:rsidR="000B562B" w:rsidRPr="00A176EA">
        <w:rPr>
          <w:snapToGrid w:val="0"/>
          <w:lang w:val="fr-FR"/>
        </w:rPr>
        <w:t xml:space="preserve"> </w:t>
      </w:r>
    </w:p>
    <w:p w:rsidR="000B562B" w:rsidRPr="00A176EA" w:rsidRDefault="002549A9" w:rsidP="00365910">
      <w:pPr>
        <w:pStyle w:val="SingleTxtG"/>
        <w:rPr>
          <w:snapToGrid w:val="0"/>
          <w:lang w:val="fr-FR"/>
        </w:rPr>
      </w:pPr>
      <w:r w:rsidRPr="00A176EA">
        <w:rPr>
          <w:snapToGrid w:val="0"/>
          <w:lang w:val="fr-FR"/>
        </w:rPr>
        <w:t>595.</w:t>
      </w:r>
      <w:r w:rsidRPr="00A176EA">
        <w:rPr>
          <w:snapToGrid w:val="0"/>
          <w:lang w:val="fr-FR"/>
        </w:rPr>
        <w:tab/>
      </w:r>
      <w:r w:rsidR="00A703E9" w:rsidRPr="00A703E9">
        <w:rPr>
          <w:snapToGrid w:val="0"/>
          <w:lang w:val="fr-FR"/>
        </w:rPr>
        <w:t>Le Parlement se réunit en sessions successives. Chaque session dure généralement une année et prend fin par prorogation ou, parfois, par dissolution. En cours de session, chacune des deux chambres peut, de sa propre initiative, ajourner ses travaux et les reprendre à une date de sa convenance</w:t>
      </w:r>
      <w:r w:rsidR="000B562B" w:rsidRPr="00A176EA">
        <w:rPr>
          <w:snapToGrid w:val="0"/>
          <w:lang w:val="fr-FR"/>
        </w:rPr>
        <w:t>.</w:t>
      </w:r>
    </w:p>
    <w:p w:rsidR="000B562B" w:rsidRPr="00A176EA" w:rsidRDefault="002549A9" w:rsidP="00365910">
      <w:pPr>
        <w:pStyle w:val="SingleTxtG"/>
        <w:rPr>
          <w:snapToGrid w:val="0"/>
          <w:lang w:val="fr-FR"/>
        </w:rPr>
      </w:pPr>
      <w:r w:rsidRPr="00A176EA">
        <w:rPr>
          <w:snapToGrid w:val="0"/>
          <w:lang w:val="fr-FR"/>
        </w:rPr>
        <w:t>596.</w:t>
      </w:r>
      <w:r w:rsidRPr="00A176EA">
        <w:rPr>
          <w:snapToGrid w:val="0"/>
          <w:lang w:val="fr-FR"/>
        </w:rPr>
        <w:tab/>
      </w:r>
      <w:r w:rsidR="00FF657D" w:rsidRPr="00FF657D">
        <w:rPr>
          <w:snapToGrid w:val="0"/>
          <w:lang w:val="fr-FR"/>
        </w:rPr>
        <w:t>La prorogation en fin de session a généralement lieu à la suite d’une annonce faite au nom de la Reine, à la Chambre des lords, en présence des deux chambres réunies</w:t>
      </w:r>
      <w:r w:rsidR="00FC2B97">
        <w:rPr>
          <w:snapToGrid w:val="0"/>
          <w:lang w:val="fr-FR"/>
        </w:rPr>
        <w:t>;</w:t>
      </w:r>
      <w:r w:rsidR="00FF657D" w:rsidRPr="00FF657D">
        <w:rPr>
          <w:snapToGrid w:val="0"/>
          <w:lang w:val="fr-FR"/>
        </w:rPr>
        <w:t xml:space="preserve"> elle est effective jusqu’à une date déterminée, qui peut être différée ou avancée par une proclamation ultérieure. La prorogation entraîne la cessation immédiate de l’ensemble de l’activité parlementaire. Il s’ensuit que tous les projets de loi d’intérêt public dont l’examen n’a pu être achevé avant la fin de la session doivent être présentés une nouvelle fois lors de la session suivante, faute de quoi ils ne sont plus valables</w:t>
      </w:r>
      <w:r w:rsidR="00D11427">
        <w:rPr>
          <w:snapToGrid w:val="0"/>
          <w:lang w:val="fr-FR"/>
        </w:rPr>
        <w:t xml:space="preserve">. Il peut également être convenu que le projet de loi soit </w:t>
      </w:r>
      <w:r w:rsidR="00FF657D" w:rsidRPr="00FF657D">
        <w:rPr>
          <w:snapToGrid w:val="0"/>
          <w:lang w:val="fr-FR"/>
        </w:rPr>
        <w:t xml:space="preserve"> </w:t>
      </w:r>
      <w:r w:rsidR="00CD0110">
        <w:rPr>
          <w:snapToGrid w:val="0"/>
          <w:lang w:val="fr-FR"/>
        </w:rPr>
        <w:t>«</w:t>
      </w:r>
      <w:r w:rsidR="00CA5047">
        <w:rPr>
          <w:snapToGrid w:val="0"/>
          <w:lang w:val="fr-FR"/>
        </w:rPr>
        <w:t>reporté</w:t>
      </w:r>
      <w:r w:rsidR="00CD0110">
        <w:rPr>
          <w:snapToGrid w:val="0"/>
          <w:lang w:val="fr-FR"/>
        </w:rPr>
        <w:t>»</w:t>
      </w:r>
      <w:r w:rsidR="00CA5047">
        <w:rPr>
          <w:snapToGrid w:val="0"/>
          <w:lang w:val="fr-FR"/>
        </w:rPr>
        <w:t xml:space="preserve"> à la session suivante.</w:t>
      </w:r>
    </w:p>
    <w:p w:rsidR="000B562B" w:rsidRPr="00A176EA" w:rsidRDefault="002549A9" w:rsidP="00365910">
      <w:pPr>
        <w:pStyle w:val="SingleTxtG"/>
        <w:rPr>
          <w:snapToGrid w:val="0"/>
          <w:lang w:val="fr-FR"/>
        </w:rPr>
      </w:pPr>
      <w:r w:rsidRPr="00A176EA">
        <w:rPr>
          <w:snapToGrid w:val="0"/>
          <w:lang w:val="fr-FR"/>
        </w:rPr>
        <w:t>597.</w:t>
      </w:r>
      <w:r w:rsidRPr="00A176EA">
        <w:rPr>
          <w:snapToGrid w:val="0"/>
          <w:lang w:val="fr-FR"/>
        </w:rPr>
        <w:tab/>
      </w:r>
      <w:r w:rsidR="00FF657D" w:rsidRPr="00FF657D">
        <w:rPr>
          <w:snapToGrid w:val="0"/>
          <w:lang w:val="fr-FR"/>
        </w:rPr>
        <w:t>Le Parlement est généralement dissous par proclamation au terme de la législature (cinq ans) ou, lorsqu’un gouvernement en fait la demande, avant l’expiration du délai prévu. Dans la pratique actuelle, la continuité du Parlement est assurée par le fait que la proclamation annonçant la dissolution du Parlement existant ordonne en même temps la publication de lettres de convocation en vue de l’élection d’un nouveau Parlement, dont elle annonce la date de la première réunion</w:t>
      </w:r>
      <w:r w:rsidR="000B562B" w:rsidRPr="00A176EA">
        <w:rPr>
          <w:snapToGrid w:val="0"/>
          <w:lang w:val="fr-FR"/>
        </w:rPr>
        <w:t>.</w:t>
      </w:r>
    </w:p>
    <w:p w:rsidR="000B562B" w:rsidRPr="00A176EA" w:rsidRDefault="002549A9" w:rsidP="00365910">
      <w:pPr>
        <w:pStyle w:val="SingleTxtG"/>
        <w:rPr>
          <w:snapToGrid w:val="0"/>
          <w:lang w:val="fr-FR"/>
        </w:rPr>
      </w:pPr>
      <w:r w:rsidRPr="00A176EA">
        <w:rPr>
          <w:snapToGrid w:val="0"/>
          <w:lang w:val="fr-FR"/>
        </w:rPr>
        <w:t>598.</w:t>
      </w:r>
      <w:r w:rsidRPr="00A176EA">
        <w:rPr>
          <w:snapToGrid w:val="0"/>
          <w:lang w:val="fr-FR"/>
        </w:rPr>
        <w:tab/>
      </w:r>
      <w:r w:rsidR="00FF657D" w:rsidRPr="00FF657D">
        <w:rPr>
          <w:snapToGrid w:val="0"/>
          <w:lang w:val="fr-FR"/>
        </w:rPr>
        <w:t>L’ajournement n’entraîne aucune conséquence pour les activités en cours. La reprise des travaux peut être avancée (dans les cas où l’ajournement devait durer plus de quatorze jours) par proclamation royale ou, moyennant un bref préavis et s’il en va de l’intérêt public, par le Président de l’une ou l’autre chambre, en vertu des pouvoirs qui lui sont spécialement conférés par la chambre considérée</w:t>
      </w:r>
      <w:r w:rsidR="000B562B" w:rsidRPr="00A176EA">
        <w:rPr>
          <w:snapToGrid w:val="0"/>
          <w:lang w:val="fr-FR"/>
        </w:rPr>
        <w:t>.</w:t>
      </w:r>
    </w:p>
    <w:p w:rsidR="000B562B" w:rsidRPr="00A176EA" w:rsidRDefault="000B562B" w:rsidP="00365910">
      <w:pPr>
        <w:pStyle w:val="H23G"/>
        <w:rPr>
          <w:snapToGrid w:val="0"/>
          <w:lang w:val="fr-FR"/>
        </w:rPr>
      </w:pPr>
      <w:r w:rsidRPr="00FF657D">
        <w:rPr>
          <w:snapToGrid w:val="0"/>
          <w:lang w:val="fr-FR"/>
        </w:rPr>
        <w:t>D</w:t>
      </w:r>
      <w:r w:rsidR="00AD7ECE" w:rsidRPr="00FF657D">
        <w:rPr>
          <w:snapToGrid w:val="0"/>
          <w:lang w:val="fr-FR"/>
        </w:rPr>
        <w:t>é</w:t>
      </w:r>
      <w:r w:rsidRPr="00FF657D">
        <w:rPr>
          <w:snapToGrid w:val="0"/>
          <w:lang w:val="fr-FR"/>
        </w:rPr>
        <w:t>volution</w:t>
      </w:r>
    </w:p>
    <w:p w:rsidR="000B562B" w:rsidRPr="00A176EA" w:rsidRDefault="002549A9" w:rsidP="00365910">
      <w:pPr>
        <w:pStyle w:val="SingleTxtG"/>
        <w:rPr>
          <w:lang w:val="fr-FR"/>
        </w:rPr>
      </w:pPr>
      <w:r w:rsidRPr="00A176EA">
        <w:rPr>
          <w:lang w:val="fr-FR"/>
        </w:rPr>
        <w:t>599.</w:t>
      </w:r>
      <w:r w:rsidRPr="00A176EA">
        <w:rPr>
          <w:lang w:val="fr-FR"/>
        </w:rPr>
        <w:tab/>
      </w:r>
      <w:r w:rsidR="00FF657D" w:rsidRPr="00FF657D">
        <w:rPr>
          <w:lang w:val="fr-FR"/>
        </w:rPr>
        <w:t xml:space="preserve">Au Royaume-Uni, des autorités </w:t>
      </w:r>
      <w:r w:rsidR="00C05783">
        <w:rPr>
          <w:lang w:val="fr-FR"/>
        </w:rPr>
        <w:t>dévolues</w:t>
      </w:r>
      <w:r w:rsidR="00FF657D" w:rsidRPr="00FF657D">
        <w:rPr>
          <w:lang w:val="fr-FR"/>
        </w:rPr>
        <w:t xml:space="preserve"> ont été créées à la suite de référendums à la majorité simple, organisés au pays de Galles et en Écosse en septembre 1997, et en Irlande du Nord</w:t>
      </w:r>
      <w:r w:rsidR="000B562B" w:rsidRPr="00A176EA">
        <w:rPr>
          <w:rStyle w:val="FootnoteReference"/>
          <w:szCs w:val="22"/>
        </w:rPr>
        <w:footnoteReference w:id="124"/>
      </w:r>
      <w:r w:rsidR="000B562B" w:rsidRPr="00A176EA">
        <w:rPr>
          <w:lang w:val="fr-FR"/>
        </w:rPr>
        <w:t xml:space="preserve"> </w:t>
      </w:r>
      <w:r w:rsidR="00FF657D">
        <w:rPr>
          <w:lang w:val="fr-FR"/>
        </w:rPr>
        <w:t>en mai</w:t>
      </w:r>
      <w:r w:rsidR="000B562B" w:rsidRPr="00A176EA">
        <w:rPr>
          <w:lang w:val="fr-FR"/>
        </w:rPr>
        <w:t xml:space="preserve"> 1998. </w:t>
      </w:r>
      <w:r w:rsidR="00CA5047" w:rsidRPr="00CA5047">
        <w:rPr>
          <w:lang w:val="fr-FR"/>
        </w:rPr>
        <w:t>Un référendum sur l’élection au suffrage direct d’un maire pour Londres et d’une Greater London Assembly (Assemblée du Grand Londres) a été organisé en mai</w:t>
      </w:r>
      <w:r w:rsidR="000B562B" w:rsidRPr="00CA5047">
        <w:rPr>
          <w:lang w:val="fr-FR"/>
        </w:rPr>
        <w:t xml:space="preserve"> 1998.</w:t>
      </w:r>
      <w:r w:rsidR="000B562B" w:rsidRPr="00A176EA">
        <w:rPr>
          <w:lang w:val="fr-FR"/>
        </w:rPr>
        <w:t xml:space="preserve"> </w:t>
      </w:r>
      <w:r w:rsidR="00C043C2" w:rsidRPr="004138D2">
        <w:rPr>
          <w:lang w:val="fr-FR"/>
        </w:rPr>
        <w:t>Le Parlement écossais, l’Assemblée nationale du pays de Galles et l’Assemblée de l’Irlande du Nord ont commencé à exercer leurs pouvoirs en 1999</w:t>
      </w:r>
      <w:r w:rsidR="000B562B" w:rsidRPr="004138D2">
        <w:rPr>
          <w:lang w:val="fr-FR"/>
        </w:rPr>
        <w:t xml:space="preserve"> – </w:t>
      </w:r>
      <w:r w:rsidR="004138D2" w:rsidRPr="004138D2">
        <w:rPr>
          <w:lang w:val="fr-FR"/>
        </w:rPr>
        <w:t xml:space="preserve">conformément à chacune des lois correspondantes </w:t>
      </w:r>
      <w:r w:rsidR="000B562B" w:rsidRPr="004138D2">
        <w:rPr>
          <w:lang w:val="fr-FR"/>
        </w:rPr>
        <w:t xml:space="preserve">– </w:t>
      </w:r>
      <w:r w:rsidR="004138D2" w:rsidRPr="004138D2">
        <w:rPr>
          <w:lang w:val="fr-FR"/>
        </w:rPr>
        <w:t xml:space="preserve">suivis par l’Assemblée de Londres en mai </w:t>
      </w:r>
      <w:r w:rsidR="000B562B" w:rsidRPr="004138D2">
        <w:rPr>
          <w:lang w:val="fr-FR"/>
        </w:rPr>
        <w:t>2000.</w:t>
      </w:r>
      <w:r w:rsidR="000B562B" w:rsidRPr="00A176EA">
        <w:rPr>
          <w:lang w:val="fr-FR"/>
        </w:rPr>
        <w:t xml:space="preserve"> </w:t>
      </w:r>
      <w:r w:rsidR="00EC17F9" w:rsidRPr="00EC17F9">
        <w:rPr>
          <w:lang w:val="fr-FR"/>
        </w:rPr>
        <w:t>Le but de la dévolution est la décentralisation des pouvoirs</w:t>
      </w:r>
      <w:r w:rsidR="00FC2B97">
        <w:rPr>
          <w:lang w:val="fr-FR"/>
        </w:rPr>
        <w:t>;</w:t>
      </w:r>
      <w:r w:rsidR="00EC17F9" w:rsidRPr="00EC17F9">
        <w:rPr>
          <w:lang w:val="fr-FR"/>
        </w:rPr>
        <w:t xml:space="preserve"> elle vise à permettre la prise de décisions au niveau de l’exécutif sur des questions (telles que la santé, l’éducation et l’environnement) qui ont été transférées aux organes législatifs et aux administrations dotés d’une autonomie partielle. Le Parlement britannique demeure souverain et conserve le droit de légiférer sur toutes les questions ayant fait l’objet d’une </w:t>
      </w:r>
      <w:r w:rsidR="00C05783">
        <w:rPr>
          <w:lang w:val="fr-FR"/>
        </w:rPr>
        <w:t>dévolution</w:t>
      </w:r>
      <w:r w:rsidR="00EC17F9" w:rsidRPr="00EC17F9">
        <w:rPr>
          <w:lang w:val="fr-FR"/>
        </w:rPr>
        <w:t xml:space="preserve"> ou réservées (telles que les questions relatives à la défense, à la sécurité nationale et aux affaires étrangères)</w:t>
      </w:r>
      <w:r w:rsidR="000B562B" w:rsidRPr="00A176EA">
        <w:rPr>
          <w:lang w:val="fr-FR"/>
        </w:rPr>
        <w:t xml:space="preserve">. </w:t>
      </w:r>
      <w:r w:rsidR="004138D2">
        <w:rPr>
          <w:lang w:val="fr-FR"/>
        </w:rPr>
        <w:t xml:space="preserve">Du fait de la dévolution, le Parlement britannique a </w:t>
      </w:r>
      <w:r w:rsidR="00F23181" w:rsidRPr="00F23181">
        <w:rPr>
          <w:lang w:val="fr-FR"/>
        </w:rPr>
        <w:t xml:space="preserve">déclaré que, pour ce qui était des questions dévolues, il revenait au Parlement et aux assemblées </w:t>
      </w:r>
      <w:r w:rsidR="00F23181">
        <w:rPr>
          <w:lang w:val="fr-FR"/>
        </w:rPr>
        <w:t>dévolu</w:t>
      </w:r>
      <w:r w:rsidR="006D07AA">
        <w:rPr>
          <w:lang w:val="fr-FR"/>
        </w:rPr>
        <w:t>e</w:t>
      </w:r>
      <w:r w:rsidR="00F23181">
        <w:rPr>
          <w:lang w:val="fr-FR"/>
        </w:rPr>
        <w:t>s</w:t>
      </w:r>
      <w:r w:rsidR="00F23181" w:rsidRPr="00F23181">
        <w:rPr>
          <w:lang w:val="fr-FR"/>
        </w:rPr>
        <w:t xml:space="preserve"> de légiférer </w:t>
      </w:r>
      <w:r w:rsidR="00F23181">
        <w:rPr>
          <w:lang w:val="fr-FR"/>
        </w:rPr>
        <w:t>sur</w:t>
      </w:r>
      <w:r w:rsidR="00F23181" w:rsidRPr="00F23181">
        <w:rPr>
          <w:lang w:val="fr-FR"/>
        </w:rPr>
        <w:t xml:space="preserve"> les questions relevant de leur compétence</w:t>
      </w:r>
      <w:r w:rsidR="00FC2B97">
        <w:rPr>
          <w:lang w:val="fr-FR"/>
        </w:rPr>
        <w:t>;</w:t>
      </w:r>
      <w:r w:rsidR="00F23181" w:rsidRPr="00F23181">
        <w:rPr>
          <w:lang w:val="fr-FR"/>
        </w:rPr>
        <w:t xml:space="preserve"> il conservait toutefois le droit de légiférer en tant que de besoin. Westminster a gardé la maîtrise sur les affaires étrangères, la défense et la sécurité nationale, les affaires macroéconomiques et fiscales, l’emploi et la sécurité sociale</w:t>
      </w:r>
      <w:r w:rsidR="00F23181">
        <w:rPr>
          <w:lang w:val="fr-FR"/>
        </w:rPr>
        <w:t>.</w:t>
      </w:r>
    </w:p>
    <w:p w:rsidR="000B562B" w:rsidRPr="00A176EA" w:rsidRDefault="002549A9" w:rsidP="00365910">
      <w:pPr>
        <w:pStyle w:val="SingleTxtG"/>
        <w:rPr>
          <w:lang w:val="fr-FR"/>
        </w:rPr>
      </w:pPr>
      <w:r w:rsidRPr="00A176EA">
        <w:rPr>
          <w:lang w:val="fr-FR"/>
        </w:rPr>
        <w:t>600.</w:t>
      </w:r>
      <w:r w:rsidRPr="00A176EA">
        <w:rPr>
          <w:lang w:val="fr-FR"/>
        </w:rPr>
        <w:tab/>
      </w:r>
      <w:r w:rsidR="00C05783">
        <w:rPr>
          <w:lang w:val="fr-FR"/>
        </w:rPr>
        <w:t>L</w:t>
      </w:r>
      <w:r w:rsidR="00C05783" w:rsidRPr="00F509D8">
        <w:rPr>
          <w:lang w:val="fr-FR"/>
        </w:rPr>
        <w:t>e Parlement écossais a été établi</w:t>
      </w:r>
      <w:r w:rsidR="00C05783">
        <w:rPr>
          <w:lang w:val="fr-FR"/>
        </w:rPr>
        <w:t xml:space="preserve"> par</w:t>
      </w:r>
      <w:r w:rsidR="00F509D8">
        <w:rPr>
          <w:lang w:val="fr-FR"/>
        </w:rPr>
        <w:t xml:space="preserve"> la loi de 1998 sur </w:t>
      </w:r>
      <w:r w:rsidR="00F509D8" w:rsidRPr="00F509D8">
        <w:rPr>
          <w:lang w:val="fr-FR"/>
        </w:rPr>
        <w:t>l’Écosse</w:t>
      </w:r>
      <w:r w:rsidR="00C05783">
        <w:rPr>
          <w:lang w:val="fr-FR"/>
        </w:rPr>
        <w:t>. I</w:t>
      </w:r>
      <w:r w:rsidR="00F509D8" w:rsidRPr="00F509D8">
        <w:rPr>
          <w:lang w:val="fr-FR"/>
        </w:rPr>
        <w:t xml:space="preserve">l est composé de 129 membres élus tous les quatre ans selon le système </w:t>
      </w:r>
      <w:r w:rsidR="00F509D8">
        <w:rPr>
          <w:lang w:val="fr-FR"/>
        </w:rPr>
        <w:t xml:space="preserve">de </w:t>
      </w:r>
      <w:r w:rsidR="00F509D8" w:rsidRPr="00A176EA">
        <w:rPr>
          <w:lang w:val="fr-FR"/>
        </w:rPr>
        <w:t>repr</w:t>
      </w:r>
      <w:r w:rsidR="00F509D8">
        <w:rPr>
          <w:lang w:val="fr-FR"/>
        </w:rPr>
        <w:t>é</w:t>
      </w:r>
      <w:r w:rsidR="00F509D8" w:rsidRPr="00A176EA">
        <w:rPr>
          <w:lang w:val="fr-FR"/>
        </w:rPr>
        <w:t>sentation</w:t>
      </w:r>
      <w:r w:rsidR="00F509D8" w:rsidRPr="00F509D8">
        <w:rPr>
          <w:lang w:val="fr-FR"/>
        </w:rPr>
        <w:t xml:space="preserve"> </w:t>
      </w:r>
      <w:r w:rsidR="00F509D8" w:rsidRPr="00A176EA">
        <w:rPr>
          <w:lang w:val="fr-FR"/>
        </w:rPr>
        <w:t>proportion</w:t>
      </w:r>
      <w:r w:rsidR="00F509D8">
        <w:rPr>
          <w:lang w:val="fr-FR"/>
        </w:rPr>
        <w:t>ne</w:t>
      </w:r>
      <w:r w:rsidR="00F509D8" w:rsidRPr="00A176EA">
        <w:rPr>
          <w:lang w:val="fr-FR"/>
        </w:rPr>
        <w:t>l</w:t>
      </w:r>
      <w:r w:rsidR="00F509D8">
        <w:rPr>
          <w:lang w:val="fr-FR"/>
        </w:rPr>
        <w:t>le</w:t>
      </w:r>
      <w:r w:rsidR="00F509D8" w:rsidRPr="00F509D8">
        <w:rPr>
          <w:lang w:val="fr-FR"/>
        </w:rPr>
        <w:t xml:space="preserve"> </w:t>
      </w:r>
      <w:r w:rsidR="00FD3376">
        <w:rPr>
          <w:lang w:val="fr-FR"/>
        </w:rPr>
        <w:t xml:space="preserve">dit </w:t>
      </w:r>
      <w:r w:rsidR="00F509D8" w:rsidRPr="00F509D8">
        <w:rPr>
          <w:lang w:val="fr-FR"/>
        </w:rPr>
        <w:t>du membre additionnel</w:t>
      </w:r>
      <w:r w:rsidR="000B562B" w:rsidRPr="00A176EA">
        <w:rPr>
          <w:lang w:val="fr-FR"/>
        </w:rPr>
        <w:t>.</w:t>
      </w:r>
    </w:p>
    <w:p w:rsidR="000B562B" w:rsidRPr="00A176EA" w:rsidRDefault="002549A9" w:rsidP="00365910">
      <w:pPr>
        <w:pStyle w:val="SingleTxtG"/>
        <w:rPr>
          <w:lang w:val="fr-FR"/>
        </w:rPr>
      </w:pPr>
      <w:r w:rsidRPr="00A176EA">
        <w:rPr>
          <w:lang w:val="fr-FR"/>
        </w:rPr>
        <w:t>601.</w:t>
      </w:r>
      <w:r w:rsidRPr="00A176EA">
        <w:rPr>
          <w:lang w:val="fr-FR"/>
        </w:rPr>
        <w:tab/>
      </w:r>
      <w:r w:rsidR="00A0789C" w:rsidRPr="00A0789C">
        <w:rPr>
          <w:lang w:val="fr-FR"/>
        </w:rPr>
        <w:t>Le Parlement écossais fonctionne essentiellement sur le modèle de Westminster, élisant un premier ministre qui gouverne l’exécutif (</w:t>
      </w:r>
      <w:r w:rsidR="00A0789C">
        <w:rPr>
          <w:lang w:val="fr-FR"/>
        </w:rPr>
        <w:t>le</w:t>
      </w:r>
      <w:r w:rsidR="00A0789C" w:rsidRPr="00A0789C">
        <w:rPr>
          <w:lang w:val="fr-FR"/>
        </w:rPr>
        <w:t xml:space="preserve"> Gouvernement écossais). Le Parlement et l’exécutif écossais ont la responsabilité de la plupart des aspects de la politique intérieure, économique et sociale. Les questions qui sont </w:t>
      </w:r>
      <w:r w:rsidR="00CD0110">
        <w:rPr>
          <w:lang w:val="fr-FR"/>
        </w:rPr>
        <w:t>«</w:t>
      </w:r>
      <w:r w:rsidR="00A0789C" w:rsidRPr="00A0789C">
        <w:rPr>
          <w:lang w:val="fr-FR"/>
        </w:rPr>
        <w:t>réservées</w:t>
      </w:r>
      <w:r w:rsidR="00CD0110">
        <w:rPr>
          <w:lang w:val="fr-FR"/>
        </w:rPr>
        <w:t>»</w:t>
      </w:r>
      <w:r w:rsidR="00A0789C" w:rsidRPr="00A0789C">
        <w:rPr>
          <w:lang w:val="fr-FR"/>
        </w:rPr>
        <w:t xml:space="preserve"> à Westminster et</w:t>
      </w:r>
      <w:r w:rsidR="00A0789C">
        <w:rPr>
          <w:lang w:val="fr-FR"/>
        </w:rPr>
        <w:t>, de ce fait,</w:t>
      </w:r>
      <w:r w:rsidR="00A0789C" w:rsidRPr="00A0789C">
        <w:rPr>
          <w:lang w:val="fr-FR"/>
        </w:rPr>
        <w:t xml:space="preserve"> au Gouvernement britannique sont énumérées dans la loi de 1998 sur l’Écosse. Toutes les questions qui ne sont pas énumérées dans la loi sont considérées comme étant dévolues. Le Parlement écossais est financé par une dotation forfaitaire du Gouvernement britannique</w:t>
      </w:r>
      <w:r w:rsidR="000B562B" w:rsidRPr="00A176EA">
        <w:rPr>
          <w:lang w:val="fr-FR"/>
        </w:rPr>
        <w:t>.</w:t>
      </w:r>
    </w:p>
    <w:p w:rsidR="000B562B" w:rsidRPr="00A176EA" w:rsidRDefault="002549A9" w:rsidP="00365910">
      <w:pPr>
        <w:pStyle w:val="SingleTxtG"/>
        <w:rPr>
          <w:lang w:val="fr-FR"/>
        </w:rPr>
      </w:pPr>
      <w:r w:rsidRPr="00A176EA">
        <w:rPr>
          <w:lang w:val="fr-FR"/>
        </w:rPr>
        <w:t>602.</w:t>
      </w:r>
      <w:r w:rsidRPr="00A176EA">
        <w:rPr>
          <w:lang w:val="fr-FR"/>
        </w:rPr>
        <w:tab/>
      </w:r>
      <w:r w:rsidR="00C05783">
        <w:rPr>
          <w:lang w:val="fr-FR"/>
        </w:rPr>
        <w:t>L</w:t>
      </w:r>
      <w:r w:rsidR="00C05783" w:rsidRPr="00FD3376">
        <w:rPr>
          <w:lang w:val="fr-FR"/>
        </w:rPr>
        <w:t xml:space="preserve">’Assemblée nationale du pays de Galles a été </w:t>
      </w:r>
      <w:r w:rsidR="00C05783">
        <w:rPr>
          <w:lang w:val="fr-FR"/>
        </w:rPr>
        <w:t>établie par</w:t>
      </w:r>
      <w:r w:rsidR="00FD3376">
        <w:rPr>
          <w:lang w:val="fr-FR"/>
        </w:rPr>
        <w:t xml:space="preserve"> la loi de 1998 sur le Gouvernement du pays de Galles</w:t>
      </w:r>
      <w:r w:rsidR="00C05783">
        <w:rPr>
          <w:lang w:val="fr-FR"/>
        </w:rPr>
        <w:t>.</w:t>
      </w:r>
      <w:r w:rsidR="00FD3376" w:rsidRPr="00FD3376">
        <w:rPr>
          <w:lang w:val="fr-FR"/>
        </w:rPr>
        <w:t xml:space="preserve"> </w:t>
      </w:r>
      <w:r w:rsidR="00C05783">
        <w:rPr>
          <w:lang w:val="fr-FR"/>
        </w:rPr>
        <w:t>E</w:t>
      </w:r>
      <w:r w:rsidR="00FD3376" w:rsidRPr="00FD3376">
        <w:rPr>
          <w:lang w:val="fr-FR"/>
        </w:rPr>
        <w:t>lle compte 60 membres, dont 40 sont élus au scrutin majoritaire à un tour et 20 selon le système de représentation proportionnelle dit du membre additionnel</w:t>
      </w:r>
      <w:r w:rsidR="000B562B" w:rsidRPr="00A176EA">
        <w:rPr>
          <w:lang w:val="fr-FR"/>
        </w:rPr>
        <w:t xml:space="preserve">. </w:t>
      </w:r>
      <w:r w:rsidR="000B562B" w:rsidRPr="00CE1335">
        <w:rPr>
          <w:lang w:val="fr-FR"/>
        </w:rPr>
        <w:t>(</w:t>
      </w:r>
      <w:r w:rsidR="00CE1335" w:rsidRPr="00CE1335">
        <w:rPr>
          <w:lang w:val="fr-FR"/>
        </w:rPr>
        <w:t>La loi de 2006 sur le Gouvernement du pays de Galles</w:t>
      </w:r>
      <w:r w:rsidR="008F1C84">
        <w:rPr>
          <w:lang w:val="fr-FR"/>
        </w:rPr>
        <w:t xml:space="preserve"> a mis un terme à la double candidature pour les élections législatives, qui permettait aux candidats de </w:t>
      </w:r>
      <w:r w:rsidR="0074534D">
        <w:rPr>
          <w:lang w:val="fr-FR"/>
        </w:rPr>
        <w:t xml:space="preserve">se présenter </w:t>
      </w:r>
      <w:r w:rsidR="008259AB">
        <w:rPr>
          <w:lang w:val="fr-FR"/>
        </w:rPr>
        <w:t>au titre des deux systèmes</w:t>
      </w:r>
      <w:r w:rsidR="000B562B" w:rsidRPr="008259AB">
        <w:rPr>
          <w:lang w:val="fr-FR"/>
        </w:rPr>
        <w:t>.)</w:t>
      </w:r>
    </w:p>
    <w:p w:rsidR="000B562B" w:rsidRPr="00A176EA" w:rsidRDefault="002549A9" w:rsidP="004B050D">
      <w:pPr>
        <w:pStyle w:val="SingleTxtG"/>
        <w:rPr>
          <w:lang w:val="fr-FR"/>
        </w:rPr>
      </w:pPr>
      <w:r w:rsidRPr="00A176EA">
        <w:rPr>
          <w:lang w:val="fr-FR"/>
        </w:rPr>
        <w:t>603.</w:t>
      </w:r>
      <w:r w:rsidRPr="00A176EA">
        <w:rPr>
          <w:lang w:val="fr-FR"/>
        </w:rPr>
        <w:tab/>
      </w:r>
      <w:r w:rsidR="005A44A6">
        <w:rPr>
          <w:lang w:val="fr-FR"/>
        </w:rPr>
        <w:t>Depuis</w:t>
      </w:r>
      <w:r w:rsidR="00FD3376">
        <w:rPr>
          <w:lang w:val="fr-FR"/>
        </w:rPr>
        <w:t xml:space="preserve"> la loi de 1998 sur le Gouvernement du pays de Galles, l’Assemblée </w:t>
      </w:r>
      <w:r w:rsidR="005A44A6">
        <w:rPr>
          <w:lang w:val="fr-FR"/>
        </w:rPr>
        <w:t>nationale du pays de Galles n’a</w:t>
      </w:r>
      <w:r w:rsidR="00FD3376">
        <w:rPr>
          <w:lang w:val="fr-FR"/>
        </w:rPr>
        <w:t xml:space="preserve"> pas </w:t>
      </w:r>
      <w:r w:rsidR="004B050D" w:rsidRPr="004B050D">
        <w:rPr>
          <w:lang w:val="fr-FR"/>
        </w:rPr>
        <w:t>le pouvoir d’établir la législation primaire, mais jouit de pouvoirs exécutifs étendus et peut</w:t>
      </w:r>
      <w:r w:rsidR="004B050D">
        <w:rPr>
          <w:lang w:val="fr-FR"/>
        </w:rPr>
        <w:t xml:space="preserve"> </w:t>
      </w:r>
      <w:r w:rsidR="004B050D" w:rsidRPr="004B050D">
        <w:rPr>
          <w:lang w:val="fr-FR"/>
        </w:rPr>
        <w:t>voter la législation secondaire (ordonnances et règlements)</w:t>
      </w:r>
      <w:r w:rsidR="004B050D">
        <w:rPr>
          <w:lang w:val="fr-FR"/>
        </w:rPr>
        <w:t>.</w:t>
      </w:r>
      <w:r w:rsidR="004B050D" w:rsidRPr="004B050D">
        <w:rPr>
          <w:lang w:val="fr-FR"/>
        </w:rPr>
        <w:t xml:space="preserve"> </w:t>
      </w:r>
      <w:r w:rsidR="00FD3376">
        <w:rPr>
          <w:lang w:val="fr-FR"/>
        </w:rPr>
        <w:t xml:space="preserve">Ses compétences législatives </w:t>
      </w:r>
      <w:r w:rsidR="004B050D">
        <w:rPr>
          <w:lang w:val="fr-FR"/>
        </w:rPr>
        <w:t>ne sont</w:t>
      </w:r>
      <w:r w:rsidR="00FD3376">
        <w:rPr>
          <w:lang w:val="fr-FR"/>
        </w:rPr>
        <w:t xml:space="preserve"> pas aussi étendues que celles du Parlement écossais</w:t>
      </w:r>
      <w:r w:rsidR="000B562B" w:rsidRPr="00A176EA">
        <w:rPr>
          <w:lang w:val="fr-FR"/>
        </w:rPr>
        <w:t xml:space="preserve"> (</w:t>
      </w:r>
      <w:r w:rsidR="001F7965" w:rsidRPr="001F7965">
        <w:rPr>
          <w:lang w:val="fr-FR"/>
        </w:rPr>
        <w:t>le Gouvernement britannique conserv</w:t>
      </w:r>
      <w:r w:rsidR="004B050D">
        <w:rPr>
          <w:lang w:val="fr-FR"/>
        </w:rPr>
        <w:t>e</w:t>
      </w:r>
      <w:r w:rsidR="001F7965" w:rsidRPr="001F7965">
        <w:rPr>
          <w:lang w:val="fr-FR"/>
        </w:rPr>
        <w:t xml:space="preserve"> la responsabilité des fonctions de police et de justice</w:t>
      </w:r>
      <w:r w:rsidR="000B562B" w:rsidRPr="00A176EA">
        <w:rPr>
          <w:lang w:val="fr-FR"/>
        </w:rPr>
        <w:t xml:space="preserve">). </w:t>
      </w:r>
      <w:r w:rsidR="00CE1335">
        <w:rPr>
          <w:lang w:val="fr-FR"/>
        </w:rPr>
        <w:t>L</w:t>
      </w:r>
      <w:r w:rsidR="001F7965" w:rsidRPr="001F7965">
        <w:rPr>
          <w:lang w:val="fr-FR"/>
        </w:rPr>
        <w:t xml:space="preserve">a loi de 2006 sur le Gouvernement du pays de Galles </w:t>
      </w:r>
      <w:r w:rsidR="001F7965">
        <w:rPr>
          <w:lang w:val="fr-FR"/>
        </w:rPr>
        <w:t>a séparé l’Assemblée nationale, corps législatif, du Gouvernement de l’A</w:t>
      </w:r>
      <w:r w:rsidR="00CE1335">
        <w:rPr>
          <w:lang w:val="fr-FR"/>
        </w:rPr>
        <w:t>s</w:t>
      </w:r>
      <w:r w:rsidR="001F7965">
        <w:rPr>
          <w:lang w:val="fr-FR"/>
        </w:rPr>
        <w:t xml:space="preserve">semblée galloise, organe exécutif, </w:t>
      </w:r>
      <w:r w:rsidR="004B050D" w:rsidRPr="004B050D">
        <w:rPr>
          <w:lang w:val="fr-FR"/>
        </w:rPr>
        <w:t>sur le modèle de Westminster</w:t>
      </w:r>
      <w:r w:rsidR="000B562B" w:rsidRPr="004B050D">
        <w:rPr>
          <w:lang w:val="fr-FR"/>
        </w:rPr>
        <w:t xml:space="preserve">. </w:t>
      </w:r>
      <w:r w:rsidR="004B050D">
        <w:rPr>
          <w:lang w:val="fr-FR"/>
        </w:rPr>
        <w:t>Le Gouvernement gallois exerce les fonctions exécutives dont disposait l’Assemblée nationale d’origine.</w:t>
      </w:r>
      <w:r w:rsidR="000B562B" w:rsidRPr="00A176EA">
        <w:rPr>
          <w:lang w:val="fr-FR"/>
        </w:rPr>
        <w:t xml:space="preserve"> </w:t>
      </w:r>
      <w:r w:rsidR="00CE1335" w:rsidRPr="004B050D">
        <w:rPr>
          <w:lang w:val="fr-FR"/>
        </w:rPr>
        <w:t>Depuis l’adoption de la loi de 2006</w:t>
      </w:r>
      <w:r w:rsidR="000B562B" w:rsidRPr="004B050D">
        <w:rPr>
          <w:lang w:val="fr-FR"/>
        </w:rPr>
        <w:t xml:space="preserve">, </w:t>
      </w:r>
      <w:r w:rsidR="00CE1335" w:rsidRPr="004B050D">
        <w:rPr>
          <w:lang w:val="fr-FR"/>
        </w:rPr>
        <w:t xml:space="preserve">la nouvelle Assemblée nationale </w:t>
      </w:r>
      <w:r w:rsidR="00EB3EEB" w:rsidRPr="004B050D">
        <w:rPr>
          <w:lang w:val="fr-FR"/>
        </w:rPr>
        <w:t>a le pouvoir d’adopter des textes législatifs (</w:t>
      </w:r>
      <w:r w:rsidR="004B050D" w:rsidRPr="004B050D">
        <w:rPr>
          <w:lang w:val="fr-FR"/>
        </w:rPr>
        <w:t>appelées mesures de l’Assemblée</w:t>
      </w:r>
      <w:r w:rsidR="000B562B" w:rsidRPr="004B050D">
        <w:rPr>
          <w:lang w:val="fr-FR"/>
        </w:rPr>
        <w:t xml:space="preserve">) </w:t>
      </w:r>
      <w:r w:rsidR="006B122B" w:rsidRPr="004B050D">
        <w:rPr>
          <w:lang w:val="fr-FR"/>
        </w:rPr>
        <w:t>sur des questions spécifiques qui lui sont dév</w:t>
      </w:r>
      <w:r w:rsidR="004B050D" w:rsidRPr="004B050D">
        <w:rPr>
          <w:lang w:val="fr-FR"/>
        </w:rPr>
        <w:t>o</w:t>
      </w:r>
      <w:r w:rsidR="006B122B" w:rsidRPr="004B050D">
        <w:rPr>
          <w:lang w:val="fr-FR"/>
        </w:rPr>
        <w:t xml:space="preserve">lues dans les </w:t>
      </w:r>
      <w:r w:rsidR="00CD0110">
        <w:rPr>
          <w:lang w:val="fr-FR"/>
        </w:rPr>
        <w:t>«</w:t>
      </w:r>
      <w:r w:rsidR="006B122B" w:rsidRPr="004B050D">
        <w:rPr>
          <w:lang w:val="fr-FR"/>
        </w:rPr>
        <w:t>domaines</w:t>
      </w:r>
      <w:r w:rsidR="00CD0110">
        <w:rPr>
          <w:lang w:val="fr-FR"/>
        </w:rPr>
        <w:t>»</w:t>
      </w:r>
      <w:r w:rsidR="006B122B" w:rsidRPr="004B050D">
        <w:rPr>
          <w:lang w:val="fr-FR"/>
        </w:rPr>
        <w:t xml:space="preserve"> où les ministres gallois </w:t>
      </w:r>
      <w:r w:rsidR="004B050D" w:rsidRPr="004B050D">
        <w:rPr>
          <w:lang w:val="fr-FR"/>
        </w:rPr>
        <w:t>exercent des fonctions</w:t>
      </w:r>
      <w:r w:rsidR="000B562B" w:rsidRPr="004B050D">
        <w:rPr>
          <w:lang w:val="fr-FR"/>
        </w:rPr>
        <w:t xml:space="preserve">. </w:t>
      </w:r>
      <w:r w:rsidR="00BD4206">
        <w:rPr>
          <w:lang w:val="fr-FR"/>
        </w:rPr>
        <w:t xml:space="preserve">À l’issue d’un référendum tenu en mars 2011 sur </w:t>
      </w:r>
      <w:r w:rsidR="0062351B">
        <w:rPr>
          <w:lang w:val="fr-FR"/>
        </w:rPr>
        <w:t>le renforcement des pouvoirs législatifs, l’Assemblée est investie du pouvoir de légiférer dans tous les domaines dévolus, comme indiqué dans la loi de 2006.</w:t>
      </w:r>
      <w:r w:rsidR="000B562B" w:rsidRPr="00A176EA">
        <w:rPr>
          <w:lang w:val="fr-FR"/>
        </w:rPr>
        <w:t xml:space="preserve"> </w:t>
      </w:r>
      <w:r w:rsidR="006B122B">
        <w:rPr>
          <w:lang w:val="fr-FR"/>
        </w:rPr>
        <w:t xml:space="preserve">Le </w:t>
      </w:r>
      <w:r w:rsidR="000B562B" w:rsidRPr="00A176EA">
        <w:rPr>
          <w:lang w:val="fr-FR"/>
        </w:rPr>
        <w:t>Parl</w:t>
      </w:r>
      <w:r w:rsidR="006B122B">
        <w:rPr>
          <w:lang w:val="fr-FR"/>
        </w:rPr>
        <w:t>e</w:t>
      </w:r>
      <w:r w:rsidR="000B562B" w:rsidRPr="00A176EA">
        <w:rPr>
          <w:lang w:val="fr-FR"/>
        </w:rPr>
        <w:t xml:space="preserve">ment </w:t>
      </w:r>
      <w:r w:rsidR="006B122B">
        <w:rPr>
          <w:lang w:val="fr-FR"/>
        </w:rPr>
        <w:t>conserve le pouvoir de légiférer dans les domaines non dévolus</w:t>
      </w:r>
      <w:r w:rsidR="000B562B" w:rsidRPr="00A176EA">
        <w:rPr>
          <w:lang w:val="fr-FR"/>
        </w:rPr>
        <w:t xml:space="preserve">. </w:t>
      </w:r>
      <w:r w:rsidR="006B122B">
        <w:rPr>
          <w:lang w:val="fr-FR"/>
        </w:rPr>
        <w:t>L’</w:t>
      </w:r>
      <w:r w:rsidR="000B562B" w:rsidRPr="00A176EA">
        <w:rPr>
          <w:lang w:val="fr-FR"/>
        </w:rPr>
        <w:t>Assembl</w:t>
      </w:r>
      <w:r w:rsidR="006B122B">
        <w:rPr>
          <w:lang w:val="fr-FR"/>
        </w:rPr>
        <w:t>ée est financée par une dotation forfaitaire annuelle</w:t>
      </w:r>
      <w:r w:rsidR="000B562B" w:rsidRPr="00A176EA">
        <w:rPr>
          <w:lang w:val="fr-FR"/>
        </w:rPr>
        <w:t xml:space="preserve"> </w:t>
      </w:r>
      <w:r w:rsidR="006B122B">
        <w:rPr>
          <w:lang w:val="fr-FR"/>
        </w:rPr>
        <w:t>et ne peut pas lever des impôts</w:t>
      </w:r>
      <w:r w:rsidR="000B562B" w:rsidRPr="00A176EA">
        <w:rPr>
          <w:lang w:val="fr-FR"/>
        </w:rPr>
        <w:t>.</w:t>
      </w:r>
    </w:p>
    <w:p w:rsidR="000B562B" w:rsidRPr="00A176EA" w:rsidRDefault="002549A9" w:rsidP="00365910">
      <w:pPr>
        <w:pStyle w:val="SingleTxtG"/>
        <w:rPr>
          <w:lang w:val="fr-FR"/>
        </w:rPr>
      </w:pPr>
      <w:r w:rsidRPr="00A176EA">
        <w:rPr>
          <w:lang w:val="fr-FR"/>
        </w:rPr>
        <w:t>604.</w:t>
      </w:r>
      <w:r w:rsidRPr="00A176EA">
        <w:rPr>
          <w:lang w:val="fr-FR"/>
        </w:rPr>
        <w:tab/>
      </w:r>
      <w:r w:rsidR="00215EC6">
        <w:rPr>
          <w:lang w:val="fr-FR"/>
        </w:rPr>
        <w:t>L’</w:t>
      </w:r>
      <w:r w:rsidR="00811616" w:rsidRPr="00811616">
        <w:rPr>
          <w:lang w:val="fr-FR"/>
        </w:rPr>
        <w:t xml:space="preserve">Accord de Belfast a ouvert la voie à la dévolution des pouvoirs à l’Irlande du Nord grâce à la loi de 1998 sur l’Irlande du Nord. </w:t>
      </w:r>
      <w:r w:rsidR="00811616" w:rsidRPr="0062351B">
        <w:rPr>
          <w:lang w:val="fr-FR"/>
        </w:rPr>
        <w:t xml:space="preserve">Une assemblée de 108 membres dotés de pouvoirs législatifs et exécutifs analogues à ceux du Parlement écossais a été établie </w:t>
      </w:r>
      <w:r w:rsidR="0062351B" w:rsidRPr="0062351B">
        <w:rPr>
          <w:lang w:val="fr-FR"/>
        </w:rPr>
        <w:t>et les pouvoirs ont été dévolus</w:t>
      </w:r>
      <w:r w:rsidR="000B562B" w:rsidRPr="0062351B">
        <w:rPr>
          <w:lang w:val="fr-FR"/>
        </w:rPr>
        <w:t xml:space="preserve"> </w:t>
      </w:r>
      <w:r w:rsidR="00811616" w:rsidRPr="0062351B">
        <w:rPr>
          <w:lang w:val="fr-FR"/>
        </w:rPr>
        <w:t>e</w:t>
      </w:r>
      <w:r w:rsidR="000B562B" w:rsidRPr="0062351B">
        <w:rPr>
          <w:lang w:val="fr-FR"/>
        </w:rPr>
        <w:t xml:space="preserve">n </w:t>
      </w:r>
      <w:r w:rsidR="00811616" w:rsidRPr="0062351B">
        <w:rPr>
          <w:lang w:val="fr-FR"/>
        </w:rPr>
        <w:t>dé</w:t>
      </w:r>
      <w:r w:rsidR="000B562B" w:rsidRPr="0062351B">
        <w:rPr>
          <w:lang w:val="fr-FR"/>
        </w:rPr>
        <w:t>cemb</w:t>
      </w:r>
      <w:r w:rsidR="00811616" w:rsidRPr="0062351B">
        <w:rPr>
          <w:lang w:val="fr-FR"/>
        </w:rPr>
        <w:t>re</w:t>
      </w:r>
      <w:r w:rsidR="000B562B" w:rsidRPr="0062351B">
        <w:rPr>
          <w:lang w:val="fr-FR"/>
        </w:rPr>
        <w:t xml:space="preserve"> 1999.</w:t>
      </w:r>
    </w:p>
    <w:p w:rsidR="000B562B" w:rsidRPr="00A176EA" w:rsidRDefault="002549A9" w:rsidP="00365910">
      <w:pPr>
        <w:pStyle w:val="SingleTxtG"/>
        <w:rPr>
          <w:lang w:val="fr-FR"/>
        </w:rPr>
      </w:pPr>
      <w:r w:rsidRPr="00A176EA">
        <w:rPr>
          <w:lang w:val="fr-FR"/>
        </w:rPr>
        <w:t>605.</w:t>
      </w:r>
      <w:r w:rsidRPr="00A176EA">
        <w:rPr>
          <w:lang w:val="fr-FR"/>
        </w:rPr>
        <w:tab/>
      </w:r>
      <w:r w:rsidR="00811616" w:rsidRPr="00811616">
        <w:rPr>
          <w:lang w:val="fr-FR"/>
        </w:rPr>
        <w:t>L’exécutif de l’Irlande du Nord se compose d’un Premier Ministre, d’un Vice-Premier Ministre et de 1</w:t>
      </w:r>
      <w:r w:rsidR="00811616">
        <w:rPr>
          <w:lang w:val="fr-FR"/>
        </w:rPr>
        <w:t>1</w:t>
      </w:r>
      <w:r w:rsidR="00811616" w:rsidRPr="00811616">
        <w:rPr>
          <w:lang w:val="fr-FR"/>
        </w:rPr>
        <w:t xml:space="preserve"> ministres, nommés proportionnellement à la représentation des forces politiques à l’Assemblée</w:t>
      </w:r>
      <w:r w:rsidR="00170E5D">
        <w:rPr>
          <w:lang w:val="fr-FR"/>
        </w:rPr>
        <w:t>, conformément au système</w:t>
      </w:r>
      <w:r w:rsidR="00811616" w:rsidRPr="00811616">
        <w:rPr>
          <w:lang w:val="fr-FR"/>
        </w:rPr>
        <w:t xml:space="preserve"> </w:t>
      </w:r>
      <w:r w:rsidR="000B562B" w:rsidRPr="00170E5D">
        <w:rPr>
          <w:lang w:val="fr-FR"/>
        </w:rPr>
        <w:t>d’Hondt</w:t>
      </w:r>
      <w:r w:rsidR="000B562B" w:rsidRPr="00A176EA">
        <w:rPr>
          <w:lang w:val="fr-FR"/>
        </w:rPr>
        <w:t xml:space="preserve">, </w:t>
      </w:r>
      <w:r w:rsidR="006B3670">
        <w:rPr>
          <w:lang w:val="fr-FR"/>
        </w:rPr>
        <w:t>à l’exception du Ministre de la j</w:t>
      </w:r>
      <w:r w:rsidR="000B562B" w:rsidRPr="00A176EA">
        <w:rPr>
          <w:lang w:val="fr-FR"/>
        </w:rPr>
        <w:t>ustice</w:t>
      </w:r>
      <w:r w:rsidR="006B3670">
        <w:rPr>
          <w:lang w:val="fr-FR"/>
        </w:rPr>
        <w:t>, qui est directement élu par l’Assemblée</w:t>
      </w:r>
      <w:r w:rsidR="000B562B" w:rsidRPr="00A176EA">
        <w:rPr>
          <w:lang w:val="fr-FR"/>
        </w:rPr>
        <w:t xml:space="preserve">. </w:t>
      </w:r>
      <w:r w:rsidR="002B4210" w:rsidRPr="002B4210">
        <w:rPr>
          <w:lang w:val="fr-FR"/>
        </w:rPr>
        <w:t>L’accord de dévolution pour l’</w:t>
      </w:r>
      <w:r w:rsidR="008F3DA4" w:rsidRPr="002B4210">
        <w:rPr>
          <w:lang w:val="fr-FR"/>
        </w:rPr>
        <w:t>Irlande du Nord</w:t>
      </w:r>
      <w:r w:rsidR="000B562B" w:rsidRPr="002B4210">
        <w:rPr>
          <w:lang w:val="fr-FR"/>
        </w:rPr>
        <w:t xml:space="preserve">, </w:t>
      </w:r>
      <w:r w:rsidR="002B4210" w:rsidRPr="002B4210">
        <w:rPr>
          <w:lang w:val="fr-FR"/>
        </w:rPr>
        <w:t>prévu par la loi de 1998 sur l’</w:t>
      </w:r>
      <w:r w:rsidR="008F3DA4" w:rsidRPr="002B4210">
        <w:rPr>
          <w:lang w:val="fr-FR"/>
        </w:rPr>
        <w:t>Irlande du Nord</w:t>
      </w:r>
      <w:r w:rsidR="000B562B" w:rsidRPr="002B4210">
        <w:rPr>
          <w:lang w:val="fr-FR"/>
        </w:rPr>
        <w:t xml:space="preserve">, </w:t>
      </w:r>
      <w:r w:rsidR="002B4210" w:rsidRPr="002B4210">
        <w:rPr>
          <w:lang w:val="fr-FR"/>
        </w:rPr>
        <w:t>établit trois</w:t>
      </w:r>
      <w:r w:rsidR="000B562B" w:rsidRPr="002B4210">
        <w:rPr>
          <w:lang w:val="fr-FR"/>
        </w:rPr>
        <w:t xml:space="preserve"> cat</w:t>
      </w:r>
      <w:r w:rsidR="002B4210" w:rsidRPr="002B4210">
        <w:rPr>
          <w:lang w:val="fr-FR"/>
        </w:rPr>
        <w:t>é</w:t>
      </w:r>
      <w:r w:rsidR="000B562B" w:rsidRPr="002B4210">
        <w:rPr>
          <w:lang w:val="fr-FR"/>
        </w:rPr>
        <w:t xml:space="preserve">gories </w:t>
      </w:r>
      <w:r w:rsidR="002B4210" w:rsidRPr="002B4210">
        <w:rPr>
          <w:lang w:val="fr-FR"/>
        </w:rPr>
        <w:t>de</w:t>
      </w:r>
      <w:r w:rsidR="000B562B" w:rsidRPr="002B4210">
        <w:rPr>
          <w:lang w:val="fr-FR"/>
        </w:rPr>
        <w:t xml:space="preserve"> </w:t>
      </w:r>
      <w:r w:rsidR="002B4210" w:rsidRPr="002B4210">
        <w:rPr>
          <w:lang w:val="fr-FR"/>
        </w:rPr>
        <w:t xml:space="preserve">compétence </w:t>
      </w:r>
      <w:r w:rsidR="000B562B" w:rsidRPr="002B4210">
        <w:rPr>
          <w:lang w:val="fr-FR"/>
        </w:rPr>
        <w:t>l</w:t>
      </w:r>
      <w:r w:rsidR="002B4210" w:rsidRPr="002B4210">
        <w:rPr>
          <w:lang w:val="fr-FR"/>
        </w:rPr>
        <w:t>é</w:t>
      </w:r>
      <w:r w:rsidR="000B562B" w:rsidRPr="002B4210">
        <w:rPr>
          <w:lang w:val="fr-FR"/>
        </w:rPr>
        <w:t>gislative.</w:t>
      </w:r>
      <w:r w:rsidR="000B562B" w:rsidRPr="00A176EA">
        <w:rPr>
          <w:lang w:val="fr-FR"/>
        </w:rPr>
        <w:t xml:space="preserve"> </w:t>
      </w:r>
      <w:r w:rsidR="005F7DB7">
        <w:rPr>
          <w:lang w:val="fr-FR"/>
        </w:rPr>
        <w:t xml:space="preserve">Les domaines </w:t>
      </w:r>
      <w:r w:rsidR="00CD0110">
        <w:rPr>
          <w:lang w:val="fr-FR"/>
        </w:rPr>
        <w:t>«</w:t>
      </w:r>
      <w:r w:rsidR="005F7DB7">
        <w:rPr>
          <w:lang w:val="fr-FR"/>
        </w:rPr>
        <w:t>exclus</w:t>
      </w:r>
      <w:r w:rsidR="00CD0110">
        <w:rPr>
          <w:lang w:val="fr-FR"/>
        </w:rPr>
        <w:t>»</w:t>
      </w:r>
      <w:r w:rsidR="005F7DB7">
        <w:rPr>
          <w:lang w:val="fr-FR"/>
        </w:rPr>
        <w:t xml:space="preserve"> (énumérés à l’annexe 2 de la loi) sont les </w:t>
      </w:r>
      <w:r w:rsidR="0015177C">
        <w:rPr>
          <w:lang w:val="fr-FR"/>
        </w:rPr>
        <w:t>questions</w:t>
      </w:r>
      <w:r w:rsidR="005F7DB7">
        <w:rPr>
          <w:lang w:val="fr-FR"/>
        </w:rPr>
        <w:t xml:space="preserve"> d’importance nationale</w:t>
      </w:r>
      <w:r w:rsidR="0015177C">
        <w:rPr>
          <w:lang w:val="fr-FR"/>
        </w:rPr>
        <w:t>, qui relèvent</w:t>
      </w:r>
      <w:r w:rsidR="000B562B" w:rsidRPr="00A176EA">
        <w:rPr>
          <w:lang w:val="fr-FR"/>
        </w:rPr>
        <w:t xml:space="preserve"> </w:t>
      </w:r>
      <w:r w:rsidR="005F7DB7">
        <w:rPr>
          <w:lang w:val="fr-FR"/>
        </w:rPr>
        <w:t>du Gouvernement britannique</w:t>
      </w:r>
      <w:r w:rsidR="000B562B" w:rsidRPr="00A176EA">
        <w:rPr>
          <w:lang w:val="fr-FR"/>
        </w:rPr>
        <w:t xml:space="preserve"> </w:t>
      </w:r>
      <w:r w:rsidR="0015177C">
        <w:rPr>
          <w:lang w:val="fr-FR"/>
        </w:rPr>
        <w:t xml:space="preserve">et sur lesquelles seul Westminster peut </w:t>
      </w:r>
      <w:r w:rsidR="0015177C" w:rsidRPr="0015177C">
        <w:rPr>
          <w:lang w:val="fr-FR"/>
        </w:rPr>
        <w:t>légiférer</w:t>
      </w:r>
      <w:r w:rsidR="000B562B" w:rsidRPr="0015177C">
        <w:rPr>
          <w:lang w:val="fr-FR"/>
        </w:rPr>
        <w:t>.</w:t>
      </w:r>
      <w:r w:rsidR="000B562B" w:rsidRPr="00A176EA">
        <w:rPr>
          <w:lang w:val="fr-FR"/>
        </w:rPr>
        <w:t xml:space="preserve"> </w:t>
      </w:r>
      <w:r w:rsidR="005F7DB7">
        <w:rPr>
          <w:lang w:val="fr-FR"/>
        </w:rPr>
        <w:t xml:space="preserve">Les domaines </w:t>
      </w:r>
      <w:r w:rsidR="00CD0110">
        <w:rPr>
          <w:lang w:val="fr-FR"/>
        </w:rPr>
        <w:t>«</w:t>
      </w:r>
      <w:r w:rsidR="005F7DB7">
        <w:rPr>
          <w:lang w:val="fr-FR"/>
        </w:rPr>
        <w:t>réservés</w:t>
      </w:r>
      <w:r w:rsidR="00CD0110">
        <w:rPr>
          <w:lang w:val="fr-FR"/>
        </w:rPr>
        <w:t>»</w:t>
      </w:r>
      <w:r w:rsidR="005F7DB7">
        <w:rPr>
          <w:lang w:val="fr-FR"/>
        </w:rPr>
        <w:t xml:space="preserve"> (annexe 3 de la loi) concernent l’ensemble du </w:t>
      </w:r>
      <w:r w:rsidR="002B4210">
        <w:rPr>
          <w:lang w:val="fr-FR"/>
        </w:rPr>
        <w:t>Royaume-Uni</w:t>
      </w:r>
      <w:r w:rsidR="00FC2B97">
        <w:rPr>
          <w:lang w:val="fr-FR"/>
        </w:rPr>
        <w:t>:</w:t>
      </w:r>
      <w:r w:rsidR="002B4210">
        <w:rPr>
          <w:lang w:val="fr-FR"/>
        </w:rPr>
        <w:t xml:space="preserve"> l</w:t>
      </w:r>
      <w:r w:rsidR="005F7DB7">
        <w:rPr>
          <w:lang w:val="fr-FR"/>
        </w:rPr>
        <w:t xml:space="preserve">’Assemblée peut légiférer, mais </w:t>
      </w:r>
      <w:r w:rsidR="002B4210">
        <w:rPr>
          <w:lang w:val="fr-FR"/>
        </w:rPr>
        <w:t xml:space="preserve">seulement </w:t>
      </w:r>
      <w:r w:rsidR="005F7DB7">
        <w:rPr>
          <w:lang w:val="fr-FR"/>
        </w:rPr>
        <w:t xml:space="preserve">avec le consentement du </w:t>
      </w:r>
      <w:r w:rsidR="005F7DB7" w:rsidRPr="002B4210">
        <w:rPr>
          <w:lang w:val="fr-FR"/>
        </w:rPr>
        <w:t>Secrétaire d’État</w:t>
      </w:r>
      <w:r w:rsidR="000B562B" w:rsidRPr="00A176EA">
        <w:rPr>
          <w:lang w:val="fr-FR"/>
        </w:rPr>
        <w:t xml:space="preserve">. </w:t>
      </w:r>
      <w:r w:rsidR="005F7DB7">
        <w:rPr>
          <w:lang w:val="fr-FR"/>
        </w:rPr>
        <w:t xml:space="preserve">Les domaines </w:t>
      </w:r>
      <w:r w:rsidR="00CD0110">
        <w:rPr>
          <w:lang w:val="fr-FR"/>
        </w:rPr>
        <w:t>«</w:t>
      </w:r>
      <w:r w:rsidR="005F7DB7">
        <w:rPr>
          <w:lang w:val="fr-FR"/>
        </w:rPr>
        <w:t>transférés</w:t>
      </w:r>
      <w:r w:rsidR="00CD0110">
        <w:rPr>
          <w:lang w:val="fr-FR"/>
        </w:rPr>
        <w:t>»</w:t>
      </w:r>
      <w:r w:rsidR="005F7DB7">
        <w:rPr>
          <w:lang w:val="fr-FR"/>
        </w:rPr>
        <w:t xml:space="preserve"> (ou </w:t>
      </w:r>
      <w:r w:rsidR="00CD0110">
        <w:rPr>
          <w:lang w:val="fr-FR"/>
        </w:rPr>
        <w:t>«</w:t>
      </w:r>
      <w:r w:rsidR="005F7DB7">
        <w:rPr>
          <w:lang w:val="fr-FR"/>
        </w:rPr>
        <w:t>dévolus</w:t>
      </w:r>
      <w:r w:rsidR="00CD0110">
        <w:rPr>
          <w:lang w:val="fr-FR"/>
        </w:rPr>
        <w:t>»</w:t>
      </w:r>
      <w:r w:rsidR="005F7DB7">
        <w:rPr>
          <w:lang w:val="fr-FR"/>
        </w:rPr>
        <w:t>), à savoir tous ceux qui</w:t>
      </w:r>
      <w:r w:rsidR="000B562B" w:rsidRPr="00A176EA">
        <w:rPr>
          <w:lang w:val="fr-FR"/>
        </w:rPr>
        <w:t xml:space="preserve"> </w:t>
      </w:r>
      <w:r w:rsidR="005F7DB7">
        <w:rPr>
          <w:lang w:val="fr-FR"/>
        </w:rPr>
        <w:t>ne sont pas énumérés dans les annexes 2 et 3,</w:t>
      </w:r>
      <w:r w:rsidR="000B562B" w:rsidRPr="00A176EA">
        <w:rPr>
          <w:lang w:val="fr-FR"/>
        </w:rPr>
        <w:t xml:space="preserve"> </w:t>
      </w:r>
      <w:r w:rsidR="007971E8">
        <w:rPr>
          <w:lang w:val="fr-FR"/>
        </w:rPr>
        <w:t>sont ceux</w:t>
      </w:r>
      <w:r w:rsidR="005F7DB7">
        <w:rPr>
          <w:lang w:val="fr-FR"/>
        </w:rPr>
        <w:t xml:space="preserve"> sur lesquels </w:t>
      </w:r>
      <w:r w:rsidR="008C1993">
        <w:rPr>
          <w:lang w:val="fr-FR"/>
        </w:rPr>
        <w:t>l’Assemblée a pleine compétence législative</w:t>
      </w:r>
      <w:r w:rsidR="000B562B" w:rsidRPr="00A176EA">
        <w:rPr>
          <w:lang w:val="fr-FR"/>
        </w:rPr>
        <w:t xml:space="preserve">. </w:t>
      </w:r>
      <w:r w:rsidR="005F7DB7">
        <w:rPr>
          <w:lang w:val="fr-FR"/>
        </w:rPr>
        <w:t>En Irlande du Nord, les domaines transférés sont, notamment, l’agriculture, l’éducation, le logement, l’emploi et, depuis avril 2010, la police et la justice</w:t>
      </w:r>
      <w:r w:rsidR="000B562B" w:rsidRPr="00A176EA">
        <w:rPr>
          <w:lang w:val="fr-FR"/>
        </w:rPr>
        <w:t>.</w:t>
      </w:r>
    </w:p>
    <w:p w:rsidR="000B562B" w:rsidRPr="00A176EA" w:rsidRDefault="00AD7ECE" w:rsidP="00365910">
      <w:pPr>
        <w:pStyle w:val="H23G"/>
        <w:rPr>
          <w:szCs w:val="24"/>
          <w:lang w:val="fr-FR"/>
        </w:rPr>
      </w:pPr>
      <w:r w:rsidRPr="005F7DB7">
        <w:rPr>
          <w:lang w:val="fr-FR"/>
        </w:rPr>
        <w:t>La</w:t>
      </w:r>
      <w:r w:rsidR="000B562B" w:rsidRPr="005F7DB7">
        <w:rPr>
          <w:lang w:val="fr-FR"/>
        </w:rPr>
        <w:t xml:space="preserve"> </w:t>
      </w:r>
      <w:r w:rsidRPr="005F7DB7">
        <w:rPr>
          <w:lang w:val="fr-FR"/>
        </w:rPr>
        <w:t>Communauté européenne</w:t>
      </w:r>
    </w:p>
    <w:p w:rsidR="000B562B" w:rsidRPr="00A176EA" w:rsidRDefault="002549A9" w:rsidP="00365910">
      <w:pPr>
        <w:pStyle w:val="SingleTxtG"/>
        <w:rPr>
          <w:lang w:val="fr-FR"/>
        </w:rPr>
      </w:pPr>
      <w:r w:rsidRPr="00A176EA">
        <w:rPr>
          <w:lang w:val="fr-FR"/>
        </w:rPr>
        <w:t>606.</w:t>
      </w:r>
      <w:r w:rsidRPr="00A176EA">
        <w:rPr>
          <w:lang w:val="fr-FR"/>
        </w:rPr>
        <w:tab/>
      </w:r>
      <w:r w:rsidR="008C1993">
        <w:rPr>
          <w:lang w:val="fr-FR"/>
        </w:rPr>
        <w:t>Le Royaume-Uni a adhéré à la Communauté européenne en 1973 et a</w:t>
      </w:r>
      <w:r w:rsidR="0068702B">
        <w:rPr>
          <w:lang w:val="fr-FR"/>
        </w:rPr>
        <w:t xml:space="preserve"> donné effet au Traité de Rome en adoptant la loi de 1972 sur les Communautés européennes</w:t>
      </w:r>
      <w:r w:rsidR="000B562B" w:rsidRPr="00A176EA">
        <w:rPr>
          <w:snapToGrid w:val="0"/>
          <w:lang w:val="fr-FR"/>
        </w:rPr>
        <w:t xml:space="preserve">. </w:t>
      </w:r>
      <w:r w:rsidR="005671E9" w:rsidRPr="005671E9">
        <w:rPr>
          <w:snapToGrid w:val="0"/>
          <w:lang w:val="fr-FR"/>
        </w:rPr>
        <w:t>Des procédures parlementaires spéciales ont été adoptées pour permettre aux membres des deux Chambres du Parlement britannique de se tenir informés des affaires communautaires</w:t>
      </w:r>
      <w:r w:rsidR="000B562B" w:rsidRPr="00A176EA">
        <w:rPr>
          <w:snapToGrid w:val="0"/>
          <w:lang w:val="fr-FR"/>
        </w:rPr>
        <w:t xml:space="preserve">. </w:t>
      </w:r>
      <w:r w:rsidR="005671E9" w:rsidRPr="005671E9">
        <w:rPr>
          <w:snapToGrid w:val="0"/>
          <w:lang w:val="fr-FR"/>
        </w:rPr>
        <w:t>Le Gouvernement soumet de nouvelles propositions législatives de l’Union européenne aux membres du Parlement, accompagnées de communications explicatives (portant, par exemple, sur le principe de subsidiarité, sur le fondement juridique des propositions et leurs incidences sur les droits fondamentaux</w:t>
      </w:r>
      <w:r w:rsidR="007971E8">
        <w:rPr>
          <w:snapToGrid w:val="0"/>
          <w:lang w:val="fr-FR"/>
        </w:rPr>
        <w:t>,</w:t>
      </w:r>
      <w:r w:rsidR="005671E9" w:rsidRPr="005671E9">
        <w:rPr>
          <w:snapToGrid w:val="0"/>
          <w:lang w:val="fr-FR"/>
        </w:rPr>
        <w:t xml:space="preserve"> ainsi que sur leurs incidences politiques et financières à </w:t>
      </w:r>
      <w:r w:rsidR="007971E8">
        <w:rPr>
          <w:snapToGrid w:val="0"/>
          <w:lang w:val="fr-FR"/>
        </w:rPr>
        <w:t xml:space="preserve">plus </w:t>
      </w:r>
      <w:r w:rsidR="005671E9" w:rsidRPr="005671E9">
        <w:rPr>
          <w:snapToGrid w:val="0"/>
          <w:lang w:val="fr-FR"/>
        </w:rPr>
        <w:t>grande échelle pour le Royaume-Uni</w:t>
      </w:r>
      <w:r w:rsidR="000B562B" w:rsidRPr="00A176EA">
        <w:rPr>
          <w:snapToGrid w:val="0"/>
          <w:lang w:val="fr-FR"/>
        </w:rPr>
        <w:t>).</w:t>
      </w:r>
    </w:p>
    <w:p w:rsidR="000B562B" w:rsidRPr="00A176EA" w:rsidRDefault="00AD7ECE" w:rsidP="00365910">
      <w:pPr>
        <w:pStyle w:val="H23G"/>
        <w:rPr>
          <w:lang w:val="fr-FR"/>
        </w:rPr>
      </w:pPr>
      <w:r w:rsidRPr="005671E9">
        <w:rPr>
          <w:lang w:val="fr-FR"/>
        </w:rPr>
        <w:t>La</w:t>
      </w:r>
      <w:r w:rsidR="000B562B" w:rsidRPr="005671E9">
        <w:rPr>
          <w:lang w:val="fr-FR"/>
        </w:rPr>
        <w:t xml:space="preserve"> composition </w:t>
      </w:r>
      <w:r w:rsidRPr="005671E9">
        <w:rPr>
          <w:lang w:val="fr-FR"/>
        </w:rPr>
        <w:t>du</w:t>
      </w:r>
      <w:r w:rsidR="000B562B" w:rsidRPr="005671E9">
        <w:rPr>
          <w:lang w:val="fr-FR"/>
        </w:rPr>
        <w:t xml:space="preserve"> Parl</w:t>
      </w:r>
      <w:r w:rsidRPr="005671E9">
        <w:rPr>
          <w:lang w:val="fr-FR"/>
        </w:rPr>
        <w:t>e</w:t>
      </w:r>
      <w:r w:rsidR="000B562B" w:rsidRPr="005671E9">
        <w:rPr>
          <w:lang w:val="fr-FR"/>
        </w:rPr>
        <w:t>ment</w:t>
      </w:r>
    </w:p>
    <w:p w:rsidR="000B562B" w:rsidRPr="00A176EA" w:rsidRDefault="002549A9" w:rsidP="00365910">
      <w:pPr>
        <w:pStyle w:val="SingleTxtG"/>
        <w:rPr>
          <w:snapToGrid w:val="0"/>
          <w:lang w:val="fr-FR"/>
        </w:rPr>
      </w:pPr>
      <w:r w:rsidRPr="00A176EA">
        <w:rPr>
          <w:snapToGrid w:val="0"/>
          <w:lang w:val="fr-FR"/>
        </w:rPr>
        <w:t>607.</w:t>
      </w:r>
      <w:r w:rsidRPr="00A176EA">
        <w:rPr>
          <w:snapToGrid w:val="0"/>
          <w:lang w:val="fr-FR"/>
        </w:rPr>
        <w:tab/>
      </w:r>
      <w:r w:rsidR="005671E9" w:rsidRPr="005671E9">
        <w:rPr>
          <w:snapToGrid w:val="0"/>
          <w:lang w:val="fr-FR"/>
        </w:rPr>
        <w:t>Le bicamérisme est une caractéristique du régime parlementaire du Royaume-Uni. La Chambre des lords (</w:t>
      </w:r>
      <w:r w:rsidR="008B2EFA">
        <w:rPr>
          <w:snapToGrid w:val="0"/>
          <w:lang w:val="fr-FR"/>
        </w:rPr>
        <w:t>c</w:t>
      </w:r>
      <w:r w:rsidR="005671E9" w:rsidRPr="005671E9">
        <w:rPr>
          <w:snapToGrid w:val="0"/>
          <w:lang w:val="fr-FR"/>
        </w:rPr>
        <w:t xml:space="preserve">hambre </w:t>
      </w:r>
      <w:r w:rsidR="008B2EFA">
        <w:rPr>
          <w:snapToGrid w:val="0"/>
          <w:lang w:val="fr-FR"/>
        </w:rPr>
        <w:t>h</w:t>
      </w:r>
      <w:r w:rsidR="005671E9" w:rsidRPr="005671E9">
        <w:rPr>
          <w:snapToGrid w:val="0"/>
          <w:lang w:val="fr-FR"/>
        </w:rPr>
        <w:t>aute) et la Chambre des communes siègent séparément et sont constituées selon des principes entièrement différents</w:t>
      </w:r>
      <w:r w:rsidR="007971E8">
        <w:rPr>
          <w:snapToGrid w:val="0"/>
          <w:lang w:val="fr-FR"/>
        </w:rPr>
        <w:t>,</w:t>
      </w:r>
      <w:r w:rsidR="005671E9" w:rsidRPr="005671E9">
        <w:rPr>
          <w:snapToGrid w:val="0"/>
          <w:lang w:val="fr-FR"/>
        </w:rPr>
        <w:t xml:space="preserve"> mais l’activité législative fait appel aux deux chambres</w:t>
      </w:r>
      <w:r w:rsidR="000B562B" w:rsidRPr="00A176EA">
        <w:rPr>
          <w:snapToGrid w:val="0"/>
          <w:lang w:val="fr-FR"/>
        </w:rPr>
        <w:t>.</w:t>
      </w:r>
    </w:p>
    <w:p w:rsidR="000B562B" w:rsidRPr="00A176EA" w:rsidRDefault="002549A9" w:rsidP="00365910">
      <w:pPr>
        <w:pStyle w:val="SingleTxtG"/>
        <w:rPr>
          <w:snapToGrid w:val="0"/>
          <w:lang w:val="fr-FR"/>
        </w:rPr>
      </w:pPr>
      <w:r w:rsidRPr="00A176EA">
        <w:rPr>
          <w:snapToGrid w:val="0"/>
          <w:lang w:val="fr-FR"/>
        </w:rPr>
        <w:t>608.</w:t>
      </w:r>
      <w:r w:rsidRPr="00A176EA">
        <w:rPr>
          <w:snapToGrid w:val="0"/>
          <w:lang w:val="fr-FR"/>
        </w:rPr>
        <w:tab/>
      </w:r>
      <w:r w:rsidR="00F7416D" w:rsidRPr="00F7416D">
        <w:rPr>
          <w:snapToGrid w:val="0"/>
          <w:lang w:val="fr-FR"/>
        </w:rPr>
        <w:t xml:space="preserve">Depuis les débuts du Parlement, l’équilibre des pouvoirs entre les deux Chambres a connu un profond bouleversement, et le processus continu d’évolution et d’adaptation du Parlement s’est considérablement accéléré depuis environ </w:t>
      </w:r>
      <w:r w:rsidR="0031618A">
        <w:rPr>
          <w:snapToGrid w:val="0"/>
          <w:lang w:val="fr-FR"/>
        </w:rPr>
        <w:t>75</w:t>
      </w:r>
      <w:r w:rsidR="00F7416D" w:rsidRPr="00F7416D">
        <w:rPr>
          <w:snapToGrid w:val="0"/>
          <w:lang w:val="fr-FR"/>
        </w:rPr>
        <w:t xml:space="preserve"> ans. Aujourd’hui, la Chambre des communes, élue par le peuple, constitue le mécanisme essentiel du Parlement mais, jusqu’au XX</w:t>
      </w:r>
      <w:r w:rsidR="00F7416D" w:rsidRPr="00C90D61">
        <w:rPr>
          <w:snapToGrid w:val="0"/>
          <w:vertAlign w:val="superscript"/>
          <w:lang w:val="fr-FR"/>
        </w:rPr>
        <w:t>e</w:t>
      </w:r>
      <w:r w:rsidR="00F7416D" w:rsidRPr="00F7416D">
        <w:rPr>
          <w:snapToGrid w:val="0"/>
          <w:lang w:val="fr-FR"/>
        </w:rPr>
        <w:t xml:space="preserve"> siècle, la Chambre des lords jouissait d’un droit de veto théoriquement illimité sur toutes les mesures proposées par la Chambre des communes. En vertu des lois </w:t>
      </w:r>
      <w:r w:rsidR="0031618A" w:rsidRPr="00F7416D">
        <w:rPr>
          <w:snapToGrid w:val="0"/>
          <w:lang w:val="fr-FR"/>
        </w:rPr>
        <w:t xml:space="preserve">de 1911 et </w:t>
      </w:r>
      <w:r w:rsidR="0031618A">
        <w:rPr>
          <w:snapToGrid w:val="0"/>
          <w:lang w:val="fr-FR"/>
        </w:rPr>
        <w:t xml:space="preserve">de </w:t>
      </w:r>
      <w:r w:rsidR="0031618A" w:rsidRPr="00F7416D">
        <w:rPr>
          <w:snapToGrid w:val="0"/>
          <w:lang w:val="fr-FR"/>
        </w:rPr>
        <w:t>1949</w:t>
      </w:r>
      <w:r w:rsidR="0031618A">
        <w:rPr>
          <w:snapToGrid w:val="0"/>
          <w:lang w:val="fr-FR"/>
        </w:rPr>
        <w:t xml:space="preserve"> sur le</w:t>
      </w:r>
      <w:r w:rsidR="00F7416D" w:rsidRPr="00F7416D">
        <w:rPr>
          <w:snapToGrid w:val="0"/>
          <w:lang w:val="fr-FR"/>
        </w:rPr>
        <w:t xml:space="preserve"> Parlement, certains projets de loi peuvent être adoptés sans le consentement de la Chambre des lords. La loi de 1911 a limité le droit de la Chambre des lords de retarder l’adoption des projets consacrés exclusivement aux questions budgétaires et fiscales, ainsi que la possibilité de rejeter tout texte en général. Cette l</w:t>
      </w:r>
      <w:r w:rsidR="007971E8">
        <w:rPr>
          <w:snapToGrid w:val="0"/>
          <w:lang w:val="fr-FR"/>
        </w:rPr>
        <w:t>oi prévoyait que les lords ne pouvai</w:t>
      </w:r>
      <w:r w:rsidR="00F7416D" w:rsidRPr="00F7416D">
        <w:rPr>
          <w:snapToGrid w:val="0"/>
          <w:lang w:val="fr-FR"/>
        </w:rPr>
        <w:t>ent faire obstruction à l’adoption d’un texte pendant plus de deux ans, délai qui a été ramené à un an par la loi de 1949</w:t>
      </w:r>
      <w:r w:rsidR="000B562B" w:rsidRPr="00A176EA">
        <w:rPr>
          <w:snapToGrid w:val="0"/>
          <w:lang w:val="fr-FR"/>
        </w:rPr>
        <w:t>.</w:t>
      </w:r>
    </w:p>
    <w:p w:rsidR="000B562B" w:rsidRPr="00A176EA" w:rsidRDefault="002549A9" w:rsidP="00365910">
      <w:pPr>
        <w:pStyle w:val="SingleTxtG"/>
        <w:rPr>
          <w:snapToGrid w:val="0"/>
          <w:lang w:val="fr-FR"/>
        </w:rPr>
      </w:pPr>
      <w:r w:rsidRPr="00A176EA">
        <w:rPr>
          <w:snapToGrid w:val="0"/>
          <w:lang w:val="fr-FR"/>
        </w:rPr>
        <w:t>609.</w:t>
      </w:r>
      <w:r w:rsidRPr="00A176EA">
        <w:rPr>
          <w:snapToGrid w:val="0"/>
          <w:lang w:val="fr-FR"/>
        </w:rPr>
        <w:tab/>
      </w:r>
      <w:r w:rsidR="00F7416D">
        <w:rPr>
          <w:snapToGrid w:val="0"/>
          <w:lang w:val="fr-FR"/>
        </w:rPr>
        <w:t>Ces</w:t>
      </w:r>
      <w:r w:rsidR="000B562B" w:rsidRPr="00A176EA">
        <w:rPr>
          <w:snapToGrid w:val="0"/>
          <w:lang w:val="fr-FR"/>
        </w:rPr>
        <w:t xml:space="preserve"> </w:t>
      </w:r>
      <w:r w:rsidR="008B2EFA">
        <w:rPr>
          <w:snapToGrid w:val="0"/>
          <w:lang w:val="fr-FR"/>
        </w:rPr>
        <w:t xml:space="preserve">limites </w:t>
      </w:r>
      <w:r w:rsidR="00F7416D" w:rsidRPr="00F7416D">
        <w:rPr>
          <w:snapToGrid w:val="0"/>
          <w:lang w:val="fr-FR"/>
        </w:rPr>
        <w:t xml:space="preserve">imposées à la Chambre des lords reposent sur la conviction que la principale fonction législative de cette assemblée est aujourd’hui une fonction de révision et </w:t>
      </w:r>
      <w:r w:rsidR="007971E8">
        <w:rPr>
          <w:snapToGrid w:val="0"/>
          <w:lang w:val="fr-FR"/>
        </w:rPr>
        <w:t>qu’elle</w:t>
      </w:r>
      <w:r w:rsidR="00F7416D" w:rsidRPr="00F7416D">
        <w:rPr>
          <w:snapToGrid w:val="0"/>
          <w:lang w:val="fr-FR"/>
        </w:rPr>
        <w:t xml:space="preserve"> a pour vocation de compléter la Chambre des communes et non de rivaliser avec elle</w:t>
      </w:r>
      <w:r w:rsidR="000B562B" w:rsidRPr="00A176EA">
        <w:rPr>
          <w:snapToGrid w:val="0"/>
          <w:lang w:val="fr-FR"/>
        </w:rPr>
        <w:t>.</w:t>
      </w:r>
    </w:p>
    <w:p w:rsidR="000B562B" w:rsidRPr="00A176EA" w:rsidRDefault="00F7416D" w:rsidP="00365910">
      <w:pPr>
        <w:pStyle w:val="H23G"/>
        <w:rPr>
          <w:lang w:val="fr-FR"/>
        </w:rPr>
      </w:pPr>
      <w:r>
        <w:rPr>
          <w:lang w:val="fr-FR"/>
        </w:rPr>
        <w:t xml:space="preserve">Chambre des </w:t>
      </w:r>
      <w:r w:rsidR="008B2EFA">
        <w:rPr>
          <w:lang w:val="fr-FR"/>
        </w:rPr>
        <w:t>c</w:t>
      </w:r>
      <w:r>
        <w:rPr>
          <w:lang w:val="fr-FR"/>
        </w:rPr>
        <w:t>ommunes</w:t>
      </w:r>
    </w:p>
    <w:p w:rsidR="000B562B" w:rsidRPr="00A176EA" w:rsidRDefault="002549A9" w:rsidP="00365910">
      <w:pPr>
        <w:pStyle w:val="SingleTxtG"/>
        <w:rPr>
          <w:snapToGrid w:val="0"/>
          <w:lang w:val="fr-FR"/>
        </w:rPr>
      </w:pPr>
      <w:r w:rsidRPr="00A176EA">
        <w:rPr>
          <w:snapToGrid w:val="0"/>
          <w:lang w:val="fr-FR"/>
        </w:rPr>
        <w:t>610.</w:t>
      </w:r>
      <w:r w:rsidRPr="00A176EA">
        <w:rPr>
          <w:snapToGrid w:val="0"/>
          <w:lang w:val="fr-FR"/>
        </w:rPr>
        <w:tab/>
      </w:r>
      <w:r w:rsidR="00653F24">
        <w:rPr>
          <w:snapToGrid w:val="0"/>
          <w:lang w:val="fr-FR"/>
        </w:rPr>
        <w:t xml:space="preserve">La Chambre des </w:t>
      </w:r>
      <w:r w:rsidR="008B2EFA">
        <w:rPr>
          <w:snapToGrid w:val="0"/>
          <w:lang w:val="fr-FR"/>
        </w:rPr>
        <w:t>c</w:t>
      </w:r>
      <w:r w:rsidR="00653F24">
        <w:rPr>
          <w:snapToGrid w:val="0"/>
          <w:lang w:val="fr-FR"/>
        </w:rPr>
        <w:t xml:space="preserve">ommunes, </w:t>
      </w:r>
      <w:r w:rsidR="00653F24" w:rsidRPr="00653F24">
        <w:rPr>
          <w:snapToGrid w:val="0"/>
          <w:lang w:val="fr-FR"/>
        </w:rPr>
        <w:t xml:space="preserve">assemblée représentative élue au suffrage universel des adultes, comprend des hommes et des femmes </w:t>
      </w:r>
      <w:r w:rsidR="000B562B" w:rsidRPr="00A176EA">
        <w:rPr>
          <w:snapToGrid w:val="0"/>
          <w:lang w:val="fr-FR"/>
        </w:rPr>
        <w:t>(</w:t>
      </w:r>
      <w:r w:rsidR="00653F24">
        <w:rPr>
          <w:snapToGrid w:val="0"/>
          <w:lang w:val="fr-FR"/>
        </w:rPr>
        <w:t xml:space="preserve">les députés, ou membres du Parlement) </w:t>
      </w:r>
      <w:r w:rsidR="00653F24" w:rsidRPr="00653F24">
        <w:rPr>
          <w:snapToGrid w:val="0"/>
          <w:lang w:val="fr-FR"/>
        </w:rPr>
        <w:t>issus des secteurs les plus divers</w:t>
      </w:r>
      <w:r w:rsidR="000B562B" w:rsidRPr="00A176EA">
        <w:rPr>
          <w:snapToGrid w:val="0"/>
          <w:lang w:val="fr-FR"/>
        </w:rPr>
        <w:t xml:space="preserve">. </w:t>
      </w:r>
      <w:r w:rsidR="00653F24">
        <w:rPr>
          <w:snapToGrid w:val="0"/>
          <w:lang w:val="fr-FR"/>
        </w:rPr>
        <w:t>Au nombre de</w:t>
      </w:r>
      <w:r w:rsidR="000B562B" w:rsidRPr="00A176EA">
        <w:rPr>
          <w:snapToGrid w:val="0"/>
          <w:lang w:val="fr-FR"/>
        </w:rPr>
        <w:t xml:space="preserve"> 650</w:t>
      </w:r>
      <w:r w:rsidR="00653F24">
        <w:rPr>
          <w:snapToGrid w:val="0"/>
          <w:lang w:val="fr-FR"/>
        </w:rPr>
        <w:t>,</w:t>
      </w:r>
      <w:r w:rsidR="000B562B" w:rsidRPr="00A176EA">
        <w:rPr>
          <w:snapToGrid w:val="0"/>
          <w:lang w:val="fr-FR"/>
        </w:rPr>
        <w:t xml:space="preserve"> </w:t>
      </w:r>
      <w:r w:rsidR="00653F24" w:rsidRPr="00653F24">
        <w:rPr>
          <w:snapToGrid w:val="0"/>
          <w:lang w:val="fr-FR"/>
        </w:rPr>
        <w:t>ils représentent le Royaume-Uni dans son ensemble</w:t>
      </w:r>
      <w:r w:rsidR="00FC2B97">
        <w:rPr>
          <w:snapToGrid w:val="0"/>
          <w:lang w:val="fr-FR"/>
        </w:rPr>
        <w:t>;</w:t>
      </w:r>
      <w:r w:rsidR="000B562B" w:rsidRPr="00A176EA">
        <w:rPr>
          <w:snapToGrid w:val="0"/>
          <w:lang w:val="fr-FR"/>
        </w:rPr>
        <w:t xml:space="preserve"> </w:t>
      </w:r>
      <w:r w:rsidR="00653F24">
        <w:rPr>
          <w:snapToGrid w:val="0"/>
          <w:lang w:val="fr-FR"/>
        </w:rPr>
        <w:t>ce chiffre sera réduit à 600 sièges aux élections générales de 2015</w:t>
      </w:r>
      <w:r w:rsidR="000B562B" w:rsidRPr="00A176EA">
        <w:rPr>
          <w:snapToGrid w:val="0"/>
          <w:lang w:val="fr-FR"/>
        </w:rPr>
        <w:t>.</w:t>
      </w:r>
    </w:p>
    <w:p w:rsidR="000B562B" w:rsidRPr="00A176EA" w:rsidRDefault="002549A9" w:rsidP="00365910">
      <w:pPr>
        <w:pStyle w:val="SingleTxtG"/>
        <w:rPr>
          <w:snapToGrid w:val="0"/>
          <w:lang w:val="fr-FR"/>
        </w:rPr>
      </w:pPr>
      <w:r w:rsidRPr="00A176EA">
        <w:rPr>
          <w:snapToGrid w:val="0"/>
          <w:lang w:val="fr-FR"/>
        </w:rPr>
        <w:t>611.</w:t>
      </w:r>
      <w:r w:rsidRPr="00A176EA">
        <w:rPr>
          <w:snapToGrid w:val="0"/>
          <w:lang w:val="fr-FR"/>
        </w:rPr>
        <w:tab/>
      </w:r>
      <w:r w:rsidR="00477CB3" w:rsidRPr="00477CB3">
        <w:rPr>
          <w:snapToGrid w:val="0"/>
          <w:lang w:val="fr-FR"/>
        </w:rPr>
        <w:t>Les membres de la Chambre des communes siègent pendant toute la durée de la législature. Ils peuvent être élus de deux manières</w:t>
      </w:r>
      <w:r w:rsidR="00FC2B97">
        <w:rPr>
          <w:snapToGrid w:val="0"/>
          <w:lang w:val="fr-FR"/>
        </w:rPr>
        <w:t>:</w:t>
      </w:r>
      <w:r w:rsidR="00477CB3" w:rsidRPr="00477CB3">
        <w:rPr>
          <w:snapToGrid w:val="0"/>
          <w:lang w:val="fr-FR"/>
        </w:rPr>
        <w:t xml:space="preserve"> lors d’élections générales, qui ont lieu après dissolution du Parlement, lorsque la souveraine convoque un nouveau parlement, ou à l’occasion d’élections partielles lorsqu’un siège devient vacant par suite </w:t>
      </w:r>
      <w:r w:rsidR="00477CB3">
        <w:rPr>
          <w:snapToGrid w:val="0"/>
          <w:lang w:val="fr-FR"/>
        </w:rPr>
        <w:t>d’un</w:t>
      </w:r>
      <w:r w:rsidR="00477CB3" w:rsidRPr="00477CB3">
        <w:rPr>
          <w:snapToGrid w:val="0"/>
          <w:lang w:val="fr-FR"/>
        </w:rPr>
        <w:t xml:space="preserve"> décès</w:t>
      </w:r>
      <w:r w:rsidR="00620A20">
        <w:rPr>
          <w:snapToGrid w:val="0"/>
          <w:lang w:val="fr-FR"/>
        </w:rPr>
        <w:t xml:space="preserve"> ou de toute autre cause d’incapacité</w:t>
      </w:r>
      <w:r w:rsidR="000B562B" w:rsidRPr="00A176EA">
        <w:rPr>
          <w:snapToGrid w:val="0"/>
          <w:lang w:val="fr-FR"/>
        </w:rPr>
        <w:t>.</w:t>
      </w:r>
      <w:r w:rsidR="00477CB3" w:rsidRPr="00477CB3">
        <w:rPr>
          <w:snapToGrid w:val="0"/>
          <w:lang w:val="fr-FR"/>
        </w:rPr>
        <w:t xml:space="preserve"> </w:t>
      </w:r>
    </w:p>
    <w:p w:rsidR="000B562B" w:rsidRPr="00A176EA" w:rsidRDefault="00620A20" w:rsidP="00365910">
      <w:pPr>
        <w:pStyle w:val="H23G"/>
        <w:rPr>
          <w:lang w:val="fr-FR"/>
        </w:rPr>
      </w:pPr>
      <w:r>
        <w:rPr>
          <w:lang w:val="fr-FR"/>
        </w:rPr>
        <w:t>Chambre des lords</w:t>
      </w:r>
    </w:p>
    <w:p w:rsidR="000B562B" w:rsidRPr="00A176EA" w:rsidRDefault="002549A9" w:rsidP="00365910">
      <w:pPr>
        <w:pStyle w:val="SingleTxtG"/>
        <w:rPr>
          <w:lang w:val="fr-FR"/>
        </w:rPr>
      </w:pPr>
      <w:r w:rsidRPr="00A176EA">
        <w:rPr>
          <w:lang w:val="fr-FR"/>
        </w:rPr>
        <w:t>612.</w:t>
      </w:r>
      <w:r w:rsidRPr="00A176EA">
        <w:rPr>
          <w:lang w:val="fr-FR"/>
        </w:rPr>
        <w:tab/>
      </w:r>
      <w:r w:rsidR="00620A20">
        <w:rPr>
          <w:lang w:val="fr-FR"/>
        </w:rPr>
        <w:t>La Chambre des lords compte actuellement 738 membres</w:t>
      </w:r>
      <w:r w:rsidR="000B562B" w:rsidRPr="00A176EA">
        <w:rPr>
          <w:rStyle w:val="FootnoteReference"/>
          <w:szCs w:val="22"/>
        </w:rPr>
        <w:footnoteReference w:id="125"/>
      </w:r>
      <w:r w:rsidR="00620A20">
        <w:rPr>
          <w:lang w:val="fr-FR"/>
        </w:rPr>
        <w:t>.</w:t>
      </w:r>
      <w:r w:rsidR="000B562B" w:rsidRPr="00A176EA">
        <w:rPr>
          <w:snapToGrid w:val="0"/>
          <w:lang w:val="fr-FR"/>
        </w:rPr>
        <w:t xml:space="preserve"> </w:t>
      </w:r>
      <w:r w:rsidR="00620A20" w:rsidRPr="00620A20">
        <w:rPr>
          <w:lang w:val="fr-FR"/>
        </w:rPr>
        <w:t xml:space="preserve">La loi de 1999 sur la Chambre des lords a modifié </w:t>
      </w:r>
      <w:r w:rsidR="00455526">
        <w:rPr>
          <w:lang w:val="fr-FR"/>
        </w:rPr>
        <w:t>s</w:t>
      </w:r>
      <w:r w:rsidR="00620A20" w:rsidRPr="00620A20">
        <w:rPr>
          <w:lang w:val="fr-FR"/>
        </w:rPr>
        <w:t xml:space="preserve">a composition en retirant à la plupart des pairs héréditaires le droit de siéger et de voter. Par suite de ce changement, la majorité des sièges </w:t>
      </w:r>
      <w:r w:rsidR="002B4210">
        <w:rPr>
          <w:lang w:val="fr-FR"/>
        </w:rPr>
        <w:t>de</w:t>
      </w:r>
      <w:r w:rsidR="00620A20" w:rsidRPr="00620A20">
        <w:rPr>
          <w:lang w:val="fr-FR"/>
        </w:rPr>
        <w:t xml:space="preserve"> la Chambre des lords sont </w:t>
      </w:r>
      <w:r w:rsidR="002B4210">
        <w:rPr>
          <w:lang w:val="fr-FR"/>
        </w:rPr>
        <w:t>désormais</w:t>
      </w:r>
      <w:r w:rsidR="00620A20" w:rsidRPr="00620A20">
        <w:rPr>
          <w:lang w:val="fr-FR"/>
        </w:rPr>
        <w:t xml:space="preserve"> occupés par des </w:t>
      </w:r>
      <w:r w:rsidR="00CD0110">
        <w:rPr>
          <w:lang w:val="fr-FR"/>
        </w:rPr>
        <w:t>«</w:t>
      </w:r>
      <w:r w:rsidR="00620A20" w:rsidRPr="00620A20">
        <w:rPr>
          <w:lang w:val="fr-FR"/>
        </w:rPr>
        <w:t>pairs à vie</w:t>
      </w:r>
      <w:r w:rsidR="00CD0110">
        <w:rPr>
          <w:lang w:val="fr-FR"/>
        </w:rPr>
        <w:t>»</w:t>
      </w:r>
      <w:r w:rsidR="00620A20" w:rsidRPr="00620A20">
        <w:rPr>
          <w:lang w:val="fr-FR"/>
        </w:rPr>
        <w:t xml:space="preserve">, nommés en vertu de la loi de 1958 sur la pairie à vie. </w:t>
      </w:r>
      <w:r w:rsidR="007971E8">
        <w:rPr>
          <w:lang w:val="fr-FR"/>
        </w:rPr>
        <w:t>Ils sont environ</w:t>
      </w:r>
      <w:r w:rsidR="00620A20" w:rsidRPr="00620A20">
        <w:rPr>
          <w:lang w:val="fr-FR"/>
        </w:rPr>
        <w:t xml:space="preserve"> 600. Par ailleurs, 92 pairs héréditaires et 26 archevêques et évêques de l’Église d’Angleterre sont maintenus dans leurs fonctions</w:t>
      </w:r>
      <w:r w:rsidR="000B562B" w:rsidRPr="00A176EA">
        <w:rPr>
          <w:lang w:val="fr-FR"/>
        </w:rPr>
        <w:t>.</w:t>
      </w:r>
    </w:p>
    <w:p w:rsidR="000B562B" w:rsidRPr="00A176EA" w:rsidRDefault="002549A9" w:rsidP="00365910">
      <w:pPr>
        <w:pStyle w:val="SingleTxtG"/>
        <w:rPr>
          <w:lang w:val="fr-FR"/>
        </w:rPr>
      </w:pPr>
      <w:r w:rsidRPr="00A176EA">
        <w:rPr>
          <w:lang w:val="fr-FR"/>
        </w:rPr>
        <w:t>613.</w:t>
      </w:r>
      <w:r w:rsidRPr="00A176EA">
        <w:rPr>
          <w:lang w:val="fr-FR"/>
        </w:rPr>
        <w:tab/>
      </w:r>
      <w:r w:rsidR="0059106D">
        <w:rPr>
          <w:lang w:val="fr-FR"/>
        </w:rPr>
        <w:t>La loi de 2005 sur la réforme constitutionnelle a supprimé la fonction judiciaire de la Chambre des lords en portant création d’une Cour suprême d’Angleterre et du pays de Galles</w:t>
      </w:r>
      <w:r w:rsidR="000B562B" w:rsidRPr="00A176EA">
        <w:rPr>
          <w:lang w:val="fr-FR"/>
        </w:rPr>
        <w:t xml:space="preserve">. </w:t>
      </w:r>
      <w:r w:rsidR="00FE1AF9">
        <w:rPr>
          <w:lang w:val="fr-FR"/>
        </w:rPr>
        <w:t xml:space="preserve">La </w:t>
      </w:r>
      <w:r w:rsidR="00FE1AF9" w:rsidRPr="00FE1AF9">
        <w:rPr>
          <w:lang w:val="fr-FR"/>
        </w:rPr>
        <w:t xml:space="preserve">Cour suprême a remplacé la Chambre des lords en tant que juridiction d’appel en dernier ressort pour toutes les questions concernant l’ensemble du Royaume-Uni, à l’exception de l’Écosse. La Haute Cour </w:t>
      </w:r>
      <w:r w:rsidR="00FE1AF9" w:rsidRPr="008129FA">
        <w:rPr>
          <w:lang w:val="fr-FR"/>
        </w:rPr>
        <w:t>de justice</w:t>
      </w:r>
      <w:r w:rsidR="00FE1AF9" w:rsidRPr="00FE1AF9">
        <w:rPr>
          <w:lang w:val="fr-FR"/>
        </w:rPr>
        <w:t xml:space="preserve"> </w:t>
      </w:r>
      <w:r w:rsidR="00667EFD">
        <w:rPr>
          <w:lang w:val="fr-FR"/>
        </w:rPr>
        <w:t xml:space="preserve">(High Court of Judiciary) </w:t>
      </w:r>
      <w:r w:rsidR="00FE1AF9" w:rsidRPr="00FE1AF9">
        <w:rPr>
          <w:lang w:val="fr-FR"/>
        </w:rPr>
        <w:t>demeure la juridiction pénale suprême d’Écosse</w:t>
      </w:r>
      <w:r w:rsidR="000B562B" w:rsidRPr="00A176EA">
        <w:rPr>
          <w:lang w:val="fr-FR"/>
        </w:rPr>
        <w:t>.</w:t>
      </w:r>
    </w:p>
    <w:p w:rsidR="000B562B" w:rsidRPr="00A176EA" w:rsidRDefault="002549A9" w:rsidP="00365910">
      <w:pPr>
        <w:pStyle w:val="SingleTxtG"/>
        <w:rPr>
          <w:lang w:val="fr-FR"/>
        </w:rPr>
      </w:pPr>
      <w:r w:rsidRPr="003B0FEB">
        <w:rPr>
          <w:lang w:val="fr-FR"/>
        </w:rPr>
        <w:t>614.</w:t>
      </w:r>
      <w:r w:rsidRPr="003B0FEB">
        <w:rPr>
          <w:lang w:val="fr-FR"/>
        </w:rPr>
        <w:tab/>
      </w:r>
      <w:r w:rsidR="00667EFD" w:rsidRPr="003B0FEB">
        <w:rPr>
          <w:lang w:val="fr-FR"/>
        </w:rPr>
        <w:t>L</w:t>
      </w:r>
      <w:r w:rsidR="000B562B" w:rsidRPr="003B0FEB">
        <w:rPr>
          <w:lang w:val="fr-FR"/>
        </w:rPr>
        <w:t>e Go</w:t>
      </w:r>
      <w:r w:rsidR="00667EFD" w:rsidRPr="003B0FEB">
        <w:rPr>
          <w:lang w:val="fr-FR"/>
        </w:rPr>
        <w:t>u</w:t>
      </w:r>
      <w:r w:rsidR="000B562B" w:rsidRPr="003B0FEB">
        <w:rPr>
          <w:lang w:val="fr-FR"/>
        </w:rPr>
        <w:t>vern</w:t>
      </w:r>
      <w:r w:rsidR="00667EFD" w:rsidRPr="003B0FEB">
        <w:rPr>
          <w:lang w:val="fr-FR"/>
        </w:rPr>
        <w:t>e</w:t>
      </w:r>
      <w:r w:rsidR="000B562B" w:rsidRPr="003B0FEB">
        <w:rPr>
          <w:lang w:val="fr-FR"/>
        </w:rPr>
        <w:t xml:space="preserve">ment a </w:t>
      </w:r>
      <w:r w:rsidR="00667EFD" w:rsidRPr="003B0FEB">
        <w:rPr>
          <w:lang w:val="fr-FR"/>
        </w:rPr>
        <w:t>publié un livre blanc et un projet de loi indiquant ses propositions pour que la chambre haute soit élue totalement ou en grande partie à la représentation proportionnelle</w:t>
      </w:r>
      <w:r w:rsidR="000B562B" w:rsidRPr="003B0FEB">
        <w:rPr>
          <w:lang w:val="fr-FR"/>
        </w:rPr>
        <w:t>.</w:t>
      </w:r>
    </w:p>
    <w:p w:rsidR="000B562B" w:rsidRPr="00A176EA" w:rsidRDefault="008C497F" w:rsidP="00365910">
      <w:pPr>
        <w:pStyle w:val="H23G"/>
        <w:rPr>
          <w:lang w:val="fr-FR"/>
        </w:rPr>
      </w:pPr>
      <w:r>
        <w:rPr>
          <w:lang w:val="fr-FR"/>
        </w:rPr>
        <w:t>Élections parlementaires</w:t>
      </w:r>
    </w:p>
    <w:p w:rsidR="000B562B" w:rsidRPr="00A176EA" w:rsidRDefault="002549A9" w:rsidP="00E767F0">
      <w:pPr>
        <w:pStyle w:val="SingleTxtG"/>
        <w:rPr>
          <w:lang w:val="fr-FR"/>
        </w:rPr>
      </w:pPr>
      <w:r w:rsidRPr="00A176EA">
        <w:rPr>
          <w:lang w:val="fr-FR"/>
        </w:rPr>
        <w:t>615.</w:t>
      </w:r>
      <w:r w:rsidRPr="00A176EA">
        <w:rPr>
          <w:lang w:val="fr-FR"/>
        </w:rPr>
        <w:tab/>
      </w:r>
      <w:r w:rsidR="005B6EF0" w:rsidRPr="005B6EF0">
        <w:rPr>
          <w:lang w:val="fr-FR"/>
        </w:rPr>
        <w:t>La législation relative aux élections parlementaires découle des lois sur la représentation du peuple. Conformément aux dispositions pertinentes, les élections des membres à la Chambre des communes ont lieu au scrutin secret. Les citoyens du Royaume-Uni, les citoyens des autres pays du Commonwealth et les citoyens de la République d’Irlande résidant au Royaume-Uni ont le droit de vote à condition d’être âgés de 18 ans au moins et de n’avoir pas été déchus de ce droit. Ne peuvent participer aux élections parlementaires les pairs membres de la Chambre des lords, les condamnés en détention et les personnes condamnées au cours des cinq années précédentes pour corruption ou fraude électorale</w:t>
      </w:r>
      <w:r w:rsidR="000B562B" w:rsidRPr="00A176EA">
        <w:rPr>
          <w:lang w:val="fr-FR"/>
        </w:rPr>
        <w:t xml:space="preserve">. </w:t>
      </w:r>
      <w:r w:rsidR="005B6EF0">
        <w:rPr>
          <w:lang w:val="fr-FR"/>
        </w:rPr>
        <w:t xml:space="preserve">En règle générale, pour pouvoir voter dans la circonscription où il réside, un électeur doit être inscrit sur les listes électorales locales concernées. </w:t>
      </w:r>
      <w:r w:rsidR="005B6EF0" w:rsidRPr="005B6EF0">
        <w:rPr>
          <w:lang w:val="fr-FR"/>
        </w:rPr>
        <w:t xml:space="preserve">En Grande-Bretagne, les listes électorales sont établies dans chaque circonscription par le bureau local d’enregistrement des électeurs qui les met à jour tous les ans pour la zone dont ils ont la responsabilité. En outre, en vertu d’un système d’enregistrement continu, introduit en 2000, il est possible de demander son inscription sur les listes électorales à d’autres moments. Ceci intéresse les personnes qui déménagent en cours d’année. Selon des changements plus récents apportés à la loi électorale, les personnes qui remplissent les conditions voulues peuvent désormais s’inscrire sur les listes électorales, avant une élection, jusqu’à </w:t>
      </w:r>
      <w:r w:rsidR="00E767F0">
        <w:rPr>
          <w:lang w:val="fr-FR"/>
        </w:rPr>
        <w:t>11</w:t>
      </w:r>
      <w:r w:rsidR="005B6EF0" w:rsidRPr="005B6EF0">
        <w:rPr>
          <w:lang w:val="fr-FR"/>
        </w:rPr>
        <w:t xml:space="preserve"> jours avant la date des élections dans l’ensemble du Royaume-Uni</w:t>
      </w:r>
      <w:r w:rsidR="000B562B" w:rsidRPr="00A176EA">
        <w:rPr>
          <w:lang w:val="fr-FR"/>
        </w:rPr>
        <w:t>.</w:t>
      </w:r>
    </w:p>
    <w:p w:rsidR="000B562B" w:rsidRPr="00A176EA" w:rsidRDefault="002549A9" w:rsidP="009B3AEA">
      <w:pPr>
        <w:pStyle w:val="SingleTxtG"/>
        <w:rPr>
          <w:lang w:val="fr-FR"/>
        </w:rPr>
      </w:pPr>
      <w:r w:rsidRPr="00A176EA">
        <w:rPr>
          <w:lang w:val="fr-FR"/>
        </w:rPr>
        <w:t>616.</w:t>
      </w:r>
      <w:r w:rsidRPr="00A176EA">
        <w:rPr>
          <w:lang w:val="fr-FR"/>
        </w:rPr>
        <w:tab/>
      </w:r>
      <w:r w:rsidR="00EE2F90" w:rsidRPr="00EE2F90">
        <w:rPr>
          <w:lang w:val="fr-FR"/>
        </w:rPr>
        <w:t>En Irlande du Nord, il existe depuis 2002 un système d’enregis</w:t>
      </w:r>
      <w:r w:rsidR="00EE2F90">
        <w:rPr>
          <w:lang w:val="fr-FR"/>
        </w:rPr>
        <w:t>trement des électeurs différent.</w:t>
      </w:r>
      <w:r w:rsidR="00EE2F90" w:rsidRPr="00EE2F90">
        <w:rPr>
          <w:lang w:val="fr-FR"/>
        </w:rPr>
        <w:t xml:space="preserve"> </w:t>
      </w:r>
      <w:r w:rsidR="00EE2F90">
        <w:rPr>
          <w:lang w:val="fr-FR"/>
        </w:rPr>
        <w:t>I</w:t>
      </w:r>
      <w:r w:rsidR="00EE2F90" w:rsidRPr="00EE2F90">
        <w:rPr>
          <w:lang w:val="fr-FR"/>
        </w:rPr>
        <w:t>l s’agit d’un système d’inscription individuelle (et non par ménage</w:t>
      </w:r>
      <w:r w:rsidR="000B562B" w:rsidRPr="00A176EA">
        <w:rPr>
          <w:lang w:val="fr-FR"/>
        </w:rPr>
        <w:t xml:space="preserve">). </w:t>
      </w:r>
      <w:r w:rsidR="00FC4C67">
        <w:rPr>
          <w:lang w:val="fr-FR"/>
        </w:rPr>
        <w:t xml:space="preserve">Le Gouvernement a annoncé qu’un système </w:t>
      </w:r>
      <w:r w:rsidR="00406966">
        <w:rPr>
          <w:lang w:val="fr-FR"/>
        </w:rPr>
        <w:t>d’</w:t>
      </w:r>
      <w:r w:rsidR="00FC4C67">
        <w:rPr>
          <w:lang w:val="fr-FR"/>
        </w:rPr>
        <w:t xml:space="preserve">inscription individuelle sur les listes électorales sera mis en place en Grande-Bretagne en 2014 et, le 30 juin 2011, </w:t>
      </w:r>
      <w:r w:rsidR="001A3D6D">
        <w:rPr>
          <w:lang w:val="fr-FR"/>
        </w:rPr>
        <w:t xml:space="preserve">il </w:t>
      </w:r>
      <w:r w:rsidR="00FC4C67">
        <w:rPr>
          <w:lang w:val="fr-FR"/>
        </w:rPr>
        <w:t>a publié un livre blanc et un projet de loi indiquant ses propositions d’application, qui seront soumises à un examen prélégislatif.</w:t>
      </w:r>
      <w:r w:rsidR="000B562B" w:rsidRPr="00A176EA">
        <w:rPr>
          <w:lang w:val="fr-FR"/>
        </w:rPr>
        <w:t xml:space="preserve"> </w:t>
      </w:r>
      <w:r w:rsidR="00EE2F90">
        <w:rPr>
          <w:lang w:val="fr-FR"/>
        </w:rPr>
        <w:t>E</w:t>
      </w:r>
      <w:r w:rsidR="000B562B" w:rsidRPr="00A176EA">
        <w:rPr>
          <w:lang w:val="fr-FR"/>
        </w:rPr>
        <w:t xml:space="preserve">n </w:t>
      </w:r>
      <w:r w:rsidR="008F3DA4" w:rsidRPr="009B3AEA">
        <w:rPr>
          <w:lang w:val="fr-FR"/>
        </w:rPr>
        <w:t>Irlande du Nord</w:t>
      </w:r>
      <w:r w:rsidR="000B562B" w:rsidRPr="009B3AEA">
        <w:rPr>
          <w:lang w:val="fr-FR"/>
        </w:rPr>
        <w:t>,</w:t>
      </w:r>
      <w:r w:rsidR="000B562B" w:rsidRPr="00A176EA">
        <w:rPr>
          <w:lang w:val="fr-FR"/>
        </w:rPr>
        <w:t xml:space="preserve"> </w:t>
      </w:r>
      <w:r w:rsidR="00EE2F90">
        <w:rPr>
          <w:lang w:val="fr-FR"/>
        </w:rPr>
        <w:t xml:space="preserve">l’inscription individuelle induit que, pour s’inscrire, toute personne habilitée à voter doit remplir </w:t>
      </w:r>
      <w:r w:rsidR="009B3AEA">
        <w:rPr>
          <w:lang w:val="fr-FR"/>
        </w:rPr>
        <w:t xml:space="preserve">et signer </w:t>
      </w:r>
      <w:r w:rsidR="00EE2F90">
        <w:rPr>
          <w:lang w:val="fr-FR"/>
        </w:rPr>
        <w:t xml:space="preserve">une fiche d’inscription </w:t>
      </w:r>
      <w:r w:rsidR="009B3AEA">
        <w:rPr>
          <w:lang w:val="fr-FR"/>
        </w:rPr>
        <w:t xml:space="preserve">personnelle, où elle doit indiquer sa date de naissance et son numéro de sécurité sociale. </w:t>
      </w:r>
      <w:r w:rsidR="009B3AEA" w:rsidRPr="009B3AEA">
        <w:rPr>
          <w:lang w:val="fr-FR"/>
        </w:rPr>
        <w:t>Le responsable en chef du processus électoral pour l’Irlande du Nord peut vérifier les données fournies auprès d’autres autorités et se reporter à la base de données des assurances nationales pour s’assurer de leur exactitude. Ce système d’inscription individuelle a été institué à l’origine en raison de soupçons de fraude électorale et a dans une large mesure contribué à garantir l’exactitude des listes</w:t>
      </w:r>
      <w:r w:rsidR="000B562B" w:rsidRPr="00A176EA">
        <w:rPr>
          <w:lang w:val="fr-FR"/>
        </w:rPr>
        <w:t xml:space="preserve">. </w:t>
      </w:r>
      <w:r w:rsidR="009B3AEA" w:rsidRPr="009B3AEA">
        <w:rPr>
          <w:lang w:val="fr-FR"/>
        </w:rPr>
        <w:t>C’est pourquoi, en 2006, les recensements annuels ont été supprimés en Irlande du Nord</w:t>
      </w:r>
      <w:r w:rsidR="000B562B" w:rsidRPr="00A176EA">
        <w:rPr>
          <w:lang w:val="fr-FR"/>
        </w:rPr>
        <w:t>.</w:t>
      </w:r>
    </w:p>
    <w:p w:rsidR="000B562B" w:rsidRPr="00A176EA" w:rsidRDefault="002549A9" w:rsidP="00365910">
      <w:pPr>
        <w:pStyle w:val="SingleTxtG"/>
        <w:rPr>
          <w:lang w:val="fr-FR"/>
        </w:rPr>
      </w:pPr>
      <w:r w:rsidRPr="00A176EA">
        <w:rPr>
          <w:lang w:val="fr-FR"/>
        </w:rPr>
        <w:t>617.</w:t>
      </w:r>
      <w:r w:rsidRPr="00A176EA">
        <w:rPr>
          <w:lang w:val="fr-FR"/>
        </w:rPr>
        <w:tab/>
      </w:r>
      <w:r w:rsidR="000B562B" w:rsidRPr="00A176EA">
        <w:rPr>
          <w:lang w:val="fr-FR"/>
        </w:rPr>
        <w:t>Vot</w:t>
      </w:r>
      <w:r w:rsidR="009B3AEA">
        <w:rPr>
          <w:lang w:val="fr-FR"/>
        </w:rPr>
        <w:t xml:space="preserve">er n’est pas obligatoire. </w:t>
      </w:r>
      <w:r w:rsidR="009B3AEA" w:rsidRPr="009B3AEA">
        <w:rPr>
          <w:lang w:val="fr-FR"/>
        </w:rPr>
        <w:t>Les électeurs peuvent voter en personne dans des bureaux de vote spécialement prévus à cette fin. Ils peuvent aussi faire une demande de vote par correspondance ou donner procuration à une personne qui votera pour eux</w:t>
      </w:r>
      <w:r w:rsidR="000B562B" w:rsidRPr="00A176EA">
        <w:rPr>
          <w:lang w:val="fr-FR"/>
        </w:rPr>
        <w:t>.</w:t>
      </w:r>
    </w:p>
    <w:p w:rsidR="000B562B" w:rsidRPr="00A176EA" w:rsidRDefault="002549A9" w:rsidP="000D6BDA">
      <w:pPr>
        <w:pStyle w:val="SingleTxtG"/>
        <w:rPr>
          <w:lang w:val="fr-FR"/>
        </w:rPr>
      </w:pPr>
      <w:r w:rsidRPr="00A176EA">
        <w:rPr>
          <w:lang w:val="fr-FR"/>
        </w:rPr>
        <w:t>618.</w:t>
      </w:r>
      <w:r w:rsidRPr="00A176EA">
        <w:rPr>
          <w:lang w:val="fr-FR"/>
        </w:rPr>
        <w:tab/>
      </w:r>
      <w:r w:rsidR="009B3AEA" w:rsidRPr="009B3AEA">
        <w:rPr>
          <w:lang w:val="fr-FR"/>
        </w:rPr>
        <w:t>Le mode de scrutin utilisé est celui du scrutin majoritaire à un tour</w:t>
      </w:r>
      <w:r w:rsidR="00FC2B97">
        <w:rPr>
          <w:lang w:val="fr-FR"/>
        </w:rPr>
        <w:t>:</w:t>
      </w:r>
      <w:r w:rsidR="009B3AEA" w:rsidRPr="009B3AEA">
        <w:rPr>
          <w:lang w:val="fr-FR"/>
        </w:rPr>
        <w:t xml:space="preserve"> dans chaque circonscription, le candidat qui recueille le </w:t>
      </w:r>
      <w:r w:rsidR="009B3AEA">
        <w:rPr>
          <w:lang w:val="fr-FR"/>
        </w:rPr>
        <w:t xml:space="preserve">plus grand </w:t>
      </w:r>
      <w:r w:rsidR="009B3AEA" w:rsidRPr="009B3AEA">
        <w:rPr>
          <w:lang w:val="fr-FR"/>
        </w:rPr>
        <w:t>nombre de voix est élu</w:t>
      </w:r>
      <w:r w:rsidR="000B562B" w:rsidRPr="00A176EA">
        <w:rPr>
          <w:lang w:val="fr-FR"/>
        </w:rPr>
        <w:t>.</w:t>
      </w:r>
      <w:r w:rsidR="001C2F8E">
        <w:rPr>
          <w:lang w:val="fr-FR"/>
        </w:rPr>
        <w:t xml:space="preserve"> Le 22 juillet 2010, le Gouvernement de coalition a déposé un projet de loi sur le </w:t>
      </w:r>
      <w:r w:rsidR="000D6BDA">
        <w:rPr>
          <w:lang w:val="fr-FR"/>
        </w:rPr>
        <w:t>mode de scrutin</w:t>
      </w:r>
      <w:r w:rsidR="001C2F8E">
        <w:rPr>
          <w:lang w:val="fr-FR"/>
        </w:rPr>
        <w:t xml:space="preserve"> d</w:t>
      </w:r>
      <w:r w:rsidR="000D6BDA">
        <w:rPr>
          <w:lang w:val="fr-FR"/>
        </w:rPr>
        <w:t xml:space="preserve">es </w:t>
      </w:r>
      <w:r w:rsidR="001C2F8E">
        <w:rPr>
          <w:lang w:val="fr-FR"/>
        </w:rPr>
        <w:t xml:space="preserve">élections </w:t>
      </w:r>
      <w:r w:rsidR="000D6BDA">
        <w:rPr>
          <w:lang w:val="fr-FR"/>
        </w:rPr>
        <w:t>législatives</w:t>
      </w:r>
      <w:r w:rsidR="001C2F8E">
        <w:rPr>
          <w:lang w:val="fr-FR"/>
        </w:rPr>
        <w:t xml:space="preserve"> et les circonscriptions</w:t>
      </w:r>
      <w:r w:rsidR="00E37EAA">
        <w:rPr>
          <w:lang w:val="fr-FR"/>
        </w:rPr>
        <w:t xml:space="preserve"> électorales</w:t>
      </w:r>
      <w:r w:rsidR="001C2F8E">
        <w:rPr>
          <w:lang w:val="fr-FR"/>
        </w:rPr>
        <w:t xml:space="preserve">, qui a reçu la sanction royale le 16 février 2011. </w:t>
      </w:r>
      <w:r w:rsidR="003F7862">
        <w:rPr>
          <w:lang w:val="fr-FR"/>
        </w:rPr>
        <w:t xml:space="preserve">Ce projet de loi prévoyait la tenue d’un référendum national sur le mode de scrutin des élections législatives du 5 mai 2011. </w:t>
      </w:r>
      <w:r w:rsidR="000D6BDA">
        <w:rPr>
          <w:lang w:val="fr-FR"/>
        </w:rPr>
        <w:t xml:space="preserve">Il </w:t>
      </w:r>
      <w:r w:rsidR="00E37EAA">
        <w:rPr>
          <w:lang w:val="fr-FR"/>
        </w:rPr>
        <w:t>a été</w:t>
      </w:r>
      <w:r w:rsidR="000D6BDA">
        <w:rPr>
          <w:lang w:val="fr-FR"/>
        </w:rPr>
        <w:t xml:space="preserve"> demandé aux électeurs s’ils préféraient le système du vote alternatif à celui du </w:t>
      </w:r>
      <w:r w:rsidR="00CD0110">
        <w:rPr>
          <w:lang w:val="fr-FR"/>
        </w:rPr>
        <w:t>«</w:t>
      </w:r>
      <w:r w:rsidR="000D6BDA">
        <w:rPr>
          <w:lang w:val="fr-FR"/>
        </w:rPr>
        <w:t>First past the post</w:t>
      </w:r>
      <w:r w:rsidR="00CD0110">
        <w:rPr>
          <w:lang w:val="fr-FR"/>
        </w:rPr>
        <w:t>»</w:t>
      </w:r>
      <w:r w:rsidR="000D6BDA">
        <w:rPr>
          <w:lang w:val="fr-FR"/>
        </w:rPr>
        <w:t xml:space="preserve"> pour élire les membres de la Chambre des communes. Les Britanniques </w:t>
      </w:r>
      <w:r w:rsidR="00182C78">
        <w:rPr>
          <w:lang w:val="fr-FR"/>
        </w:rPr>
        <w:t>se s</w:t>
      </w:r>
      <w:r w:rsidR="000D6BDA">
        <w:rPr>
          <w:lang w:val="fr-FR"/>
        </w:rPr>
        <w:t xml:space="preserve">ont </w:t>
      </w:r>
      <w:r w:rsidR="00182C78">
        <w:rPr>
          <w:lang w:val="fr-FR"/>
        </w:rPr>
        <w:t>prononcés pour le maintien du</w:t>
      </w:r>
      <w:r w:rsidR="000D6BDA">
        <w:rPr>
          <w:lang w:val="fr-FR"/>
        </w:rPr>
        <w:t xml:space="preserve"> système existant.</w:t>
      </w:r>
    </w:p>
    <w:p w:rsidR="000B562B" w:rsidRPr="000D6BDA" w:rsidRDefault="002549A9" w:rsidP="00365910">
      <w:pPr>
        <w:pStyle w:val="SingleTxtG"/>
        <w:rPr>
          <w:lang w:val="fr-FR"/>
        </w:rPr>
      </w:pPr>
      <w:r w:rsidRPr="00A176EA">
        <w:rPr>
          <w:lang w:val="fr-FR"/>
        </w:rPr>
        <w:t>619.</w:t>
      </w:r>
      <w:r w:rsidRPr="00A176EA">
        <w:rPr>
          <w:lang w:val="fr-FR"/>
        </w:rPr>
        <w:tab/>
      </w:r>
      <w:r w:rsidR="00EC24A2">
        <w:rPr>
          <w:lang w:val="fr-FR"/>
        </w:rPr>
        <w:t xml:space="preserve">Pour les élections </w:t>
      </w:r>
      <w:r w:rsidR="00182C78">
        <w:rPr>
          <w:lang w:val="fr-FR"/>
        </w:rPr>
        <w:t>législatives</w:t>
      </w:r>
      <w:r w:rsidR="00EC24A2">
        <w:rPr>
          <w:lang w:val="fr-FR"/>
        </w:rPr>
        <w:t xml:space="preserve">, le Royaume-Uni est divisé en zones géographiques, les circonscriptions, qui élisent chacune un membre de la Chambre des </w:t>
      </w:r>
      <w:r w:rsidR="00EC24A2" w:rsidRPr="000D6BDA">
        <w:rPr>
          <w:lang w:val="fr-FR"/>
        </w:rPr>
        <w:t>communes</w:t>
      </w:r>
      <w:r w:rsidR="000B562B" w:rsidRPr="000D6BDA">
        <w:rPr>
          <w:lang w:val="fr-FR"/>
        </w:rPr>
        <w:t>.</w:t>
      </w:r>
    </w:p>
    <w:p w:rsidR="000B562B" w:rsidRPr="00A176EA" w:rsidRDefault="002549A9" w:rsidP="00875DF4">
      <w:pPr>
        <w:pStyle w:val="SingleTxtG"/>
        <w:rPr>
          <w:lang w:val="fr-FR"/>
        </w:rPr>
      </w:pPr>
      <w:r w:rsidRPr="000D6BDA">
        <w:rPr>
          <w:lang w:val="fr-FR"/>
        </w:rPr>
        <w:t>620.</w:t>
      </w:r>
      <w:r w:rsidRPr="000D6BDA">
        <w:rPr>
          <w:lang w:val="fr-FR"/>
        </w:rPr>
        <w:tab/>
      </w:r>
      <w:r w:rsidR="000D6BDA">
        <w:rPr>
          <w:lang w:val="fr-FR"/>
        </w:rPr>
        <w:t xml:space="preserve">La loi </w:t>
      </w:r>
      <w:r w:rsidR="00182C78" w:rsidRPr="00182C78">
        <w:rPr>
          <w:lang w:val="fr-FR"/>
        </w:rPr>
        <w:t>sur le mode de scrutin des élections législatives et les circonscriptions</w:t>
      </w:r>
      <w:r w:rsidR="00E37EAA">
        <w:rPr>
          <w:lang w:val="fr-FR"/>
        </w:rPr>
        <w:t xml:space="preserve"> électorales</w:t>
      </w:r>
      <w:r w:rsidR="00182C78" w:rsidRPr="00182C78">
        <w:rPr>
          <w:lang w:val="fr-FR"/>
        </w:rPr>
        <w:t>, qui a reçu la sanction royale le 16 février 2011</w:t>
      </w:r>
      <w:r w:rsidR="00182C78">
        <w:rPr>
          <w:lang w:val="fr-FR"/>
        </w:rPr>
        <w:t xml:space="preserve">, crée </w:t>
      </w:r>
      <w:r w:rsidR="00E37EAA">
        <w:rPr>
          <w:lang w:val="fr-FR"/>
        </w:rPr>
        <w:t xml:space="preserve">de nouvelles règles de répartition des sièges à la Chambre des communes en abaissant le nombre de circonscriptions de 650 à 600. Ces règles </w:t>
      </w:r>
      <w:r w:rsidR="006D07AA">
        <w:rPr>
          <w:lang w:val="fr-FR"/>
        </w:rPr>
        <w:t>privilégient</w:t>
      </w:r>
      <w:r w:rsidR="00E37EAA">
        <w:rPr>
          <w:lang w:val="fr-FR"/>
        </w:rPr>
        <w:t xml:space="preserve"> par principe l’égalité numérique </w:t>
      </w:r>
      <w:r w:rsidR="00DA4231">
        <w:rPr>
          <w:lang w:val="fr-FR"/>
        </w:rPr>
        <w:t xml:space="preserve">en ce qu’il y aura un quota électoral uniforme </w:t>
      </w:r>
      <w:r w:rsidR="003021F0">
        <w:rPr>
          <w:lang w:val="fr-FR"/>
        </w:rPr>
        <w:t>entre les circonscriptions qui, à quelques exceptions près, ne variera pas de plus de 5 %. Les Commissions de découpage électoral examineront le dispositif vers la fin de septembre 2013, puis tous les cinq ans</w:t>
      </w:r>
      <w:r w:rsidR="000B562B" w:rsidRPr="00875DF4">
        <w:rPr>
          <w:lang w:val="fr-FR"/>
        </w:rPr>
        <w:t>.</w:t>
      </w:r>
    </w:p>
    <w:p w:rsidR="000B562B" w:rsidRPr="00A176EA" w:rsidRDefault="002549A9" w:rsidP="00FF086A">
      <w:pPr>
        <w:pStyle w:val="SingleTxtG"/>
        <w:rPr>
          <w:lang w:val="fr-FR"/>
        </w:rPr>
      </w:pPr>
      <w:r w:rsidRPr="00A176EA">
        <w:rPr>
          <w:lang w:val="fr-FR"/>
        </w:rPr>
        <w:t>621.</w:t>
      </w:r>
      <w:r w:rsidRPr="00A176EA">
        <w:rPr>
          <w:lang w:val="fr-FR"/>
        </w:rPr>
        <w:tab/>
      </w:r>
      <w:r w:rsidR="00A83A63">
        <w:rPr>
          <w:lang w:val="fr-FR"/>
        </w:rPr>
        <w:t>Tout</w:t>
      </w:r>
      <w:r w:rsidR="00A83A63" w:rsidRPr="00A83A63">
        <w:rPr>
          <w:lang w:val="fr-FR"/>
        </w:rPr>
        <w:t xml:space="preserve"> </w:t>
      </w:r>
      <w:r w:rsidR="00A83A63">
        <w:rPr>
          <w:lang w:val="fr-FR"/>
        </w:rPr>
        <w:t>citoyen</w:t>
      </w:r>
      <w:r w:rsidR="00A83A63" w:rsidRPr="00A83A63">
        <w:rPr>
          <w:lang w:val="fr-FR"/>
        </w:rPr>
        <w:t xml:space="preserve"> du </w:t>
      </w:r>
      <w:r w:rsidR="00A83A63">
        <w:rPr>
          <w:lang w:val="fr-FR"/>
        </w:rPr>
        <w:t>Royaume-Uni,</w:t>
      </w:r>
      <w:r w:rsidR="00A83A63" w:rsidRPr="00A83A63">
        <w:rPr>
          <w:lang w:val="fr-FR"/>
        </w:rPr>
        <w:t xml:space="preserve"> d’un autre pays du Commonwealth ou de la République d’Irlande qui remplit les conditions voulues, qui a atteint l’âge de 18 ans et qui n’est pas déchu de ses droits peut se porter candidat aux élections parlementaires. Ne peuvent se porter candidats les faillis non réhabilités, les personnes condamnées à plus d’un an de prison se trouvant en détention, les pairs membres de la Chambre des lords, les personnes condamnées pour corruption ou fraude électorale ou signalées à un tribunal électoral pour ce motif (les premières sont privées de leur droit de se présenter aux élections pendant </w:t>
      </w:r>
      <w:r w:rsidR="00FF086A">
        <w:rPr>
          <w:lang w:val="fr-FR"/>
        </w:rPr>
        <w:t>cinq</w:t>
      </w:r>
      <w:r w:rsidR="00A83A63" w:rsidRPr="00A83A63">
        <w:rPr>
          <w:lang w:val="fr-FR"/>
        </w:rPr>
        <w:t xml:space="preserve"> ans et les autres trois ans)</w:t>
      </w:r>
      <w:r w:rsidR="00406966">
        <w:rPr>
          <w:lang w:val="fr-FR"/>
        </w:rPr>
        <w:t>,</w:t>
      </w:r>
      <w:r w:rsidR="00A83A63" w:rsidRPr="00A83A63">
        <w:rPr>
          <w:lang w:val="fr-FR"/>
        </w:rPr>
        <w:t xml:space="preserve"> ainsi que les personnes visées par la loi de 1975 sur les incompatibilités avec la qualité de membre de la Chambre des communes, par exemple </w:t>
      </w:r>
      <w:r w:rsidR="00A83A63">
        <w:rPr>
          <w:lang w:val="fr-FR"/>
        </w:rPr>
        <w:t>celles qui</w:t>
      </w:r>
      <w:r w:rsidR="00A83A63" w:rsidRPr="00A83A63">
        <w:rPr>
          <w:lang w:val="fr-FR"/>
        </w:rPr>
        <w:t xml:space="preserve"> exer</w:t>
      </w:r>
      <w:r w:rsidR="00A83A63">
        <w:rPr>
          <w:lang w:val="fr-FR"/>
        </w:rPr>
        <w:t>ce</w:t>
      </w:r>
      <w:r w:rsidR="00A83A63" w:rsidRPr="00A83A63">
        <w:rPr>
          <w:lang w:val="fr-FR"/>
        </w:rPr>
        <w:t xml:space="preserve">nt des fonctions judiciaires, les fonctionnaires, les membres des forces armées régulières ou de la police, ou les ressortissants britanniques membres de l’organe législatif d’un pays ou territoire ne faisant pas partie du Commonwealth. Les candidats sont le plus souvent issus des principaux partis politiques nationaux mais il arrive que des partis ou groupes plus modestes présentent des candidats ou que des personnes se présentent comme candidats </w:t>
      </w:r>
      <w:r w:rsidR="00CD0110">
        <w:rPr>
          <w:lang w:val="fr-FR"/>
        </w:rPr>
        <w:t>«</w:t>
      </w:r>
      <w:r w:rsidR="00A83A63" w:rsidRPr="00A83A63">
        <w:rPr>
          <w:lang w:val="fr-FR"/>
        </w:rPr>
        <w:t>indépendants</w:t>
      </w:r>
      <w:r w:rsidR="00CD0110">
        <w:rPr>
          <w:lang w:val="fr-FR"/>
        </w:rPr>
        <w:t>»</w:t>
      </w:r>
      <w:r w:rsidR="00A83A63" w:rsidRPr="00A83A63">
        <w:rPr>
          <w:lang w:val="fr-FR"/>
        </w:rPr>
        <w:t xml:space="preserve"> sans l’appui d’aucun parti. La désignation d’un candidat aux élections doit être proposée par un électeur, appuyé par un deuxième, et recueillir la signature de huit autres électeurs inscrits dans la même circonscription que le candidat</w:t>
      </w:r>
      <w:r w:rsidR="000B562B" w:rsidRPr="00A176EA">
        <w:rPr>
          <w:lang w:val="fr-FR"/>
        </w:rPr>
        <w:t>.</w:t>
      </w:r>
    </w:p>
    <w:p w:rsidR="000B562B" w:rsidRPr="00A176EA" w:rsidRDefault="00A83A63" w:rsidP="00365910">
      <w:pPr>
        <w:pStyle w:val="H23G"/>
        <w:rPr>
          <w:lang w:val="fr-FR"/>
        </w:rPr>
      </w:pPr>
      <w:r>
        <w:rPr>
          <w:lang w:val="fr-FR"/>
        </w:rPr>
        <w:t>Le système des partis</w:t>
      </w:r>
    </w:p>
    <w:p w:rsidR="000B562B" w:rsidRPr="00A176EA" w:rsidRDefault="002549A9" w:rsidP="00365910">
      <w:pPr>
        <w:pStyle w:val="SingleTxtG"/>
        <w:rPr>
          <w:lang w:val="fr-FR"/>
        </w:rPr>
      </w:pPr>
      <w:r w:rsidRPr="00A176EA">
        <w:rPr>
          <w:lang w:val="fr-FR"/>
        </w:rPr>
        <w:t>622.</w:t>
      </w:r>
      <w:r w:rsidRPr="00A176EA">
        <w:rPr>
          <w:lang w:val="fr-FR"/>
        </w:rPr>
        <w:tab/>
      </w:r>
      <w:r w:rsidR="00D8394F" w:rsidRPr="00D8394F">
        <w:rPr>
          <w:lang w:val="fr-FR"/>
        </w:rPr>
        <w:t>L’existence au Royaume-Uni de partis politiques organisés faisant valoir leur politique respective auprès des électeurs a donné naissance, au sein du Parlement, à des clivages politiques bien définis</w:t>
      </w:r>
      <w:r w:rsidR="000B562B" w:rsidRPr="00A176EA">
        <w:rPr>
          <w:lang w:val="fr-FR"/>
        </w:rPr>
        <w:t>.</w:t>
      </w:r>
    </w:p>
    <w:p w:rsidR="000B562B" w:rsidRPr="00A176EA" w:rsidRDefault="002549A9" w:rsidP="00365910">
      <w:pPr>
        <w:pStyle w:val="SingleTxtG"/>
        <w:rPr>
          <w:lang w:val="fr-FR"/>
        </w:rPr>
      </w:pPr>
      <w:r w:rsidRPr="00A176EA">
        <w:rPr>
          <w:lang w:val="fr-FR"/>
        </w:rPr>
        <w:t>623.</w:t>
      </w:r>
      <w:r w:rsidRPr="00A176EA">
        <w:rPr>
          <w:lang w:val="fr-FR"/>
        </w:rPr>
        <w:tab/>
      </w:r>
      <w:r w:rsidR="00D8394F">
        <w:rPr>
          <w:lang w:val="fr-FR"/>
        </w:rPr>
        <w:t>Depuis</w:t>
      </w:r>
      <w:r w:rsidR="00D8394F" w:rsidRPr="00A176EA">
        <w:rPr>
          <w:lang w:val="fr-FR"/>
        </w:rPr>
        <w:t xml:space="preserve"> </w:t>
      </w:r>
      <w:r w:rsidR="000B562B" w:rsidRPr="00A176EA">
        <w:rPr>
          <w:lang w:val="fr-FR"/>
        </w:rPr>
        <w:t>1945</w:t>
      </w:r>
      <w:r w:rsidR="00D8394F">
        <w:rPr>
          <w:lang w:val="fr-FR"/>
        </w:rPr>
        <w:t>,</w:t>
      </w:r>
      <w:r w:rsidR="000B562B" w:rsidRPr="00A176EA">
        <w:rPr>
          <w:lang w:val="fr-FR"/>
        </w:rPr>
        <w:t xml:space="preserve"> </w:t>
      </w:r>
      <w:r w:rsidR="00D8394F">
        <w:rPr>
          <w:lang w:val="fr-FR"/>
        </w:rPr>
        <w:t>le Parti conservateur et le Parti travailliste ont chacun remporté 9 des 18 élections</w:t>
      </w:r>
      <w:r w:rsidR="000B562B" w:rsidRPr="00A176EA">
        <w:rPr>
          <w:lang w:val="fr-FR"/>
        </w:rPr>
        <w:t xml:space="preserve"> </w:t>
      </w:r>
      <w:r w:rsidR="00D8394F">
        <w:rPr>
          <w:lang w:val="fr-FR"/>
        </w:rPr>
        <w:t xml:space="preserve">et la grande majorité des membres élus à la Chambre des communes étaient issus de l’un de ces deux partis. À l’issue des </w:t>
      </w:r>
      <w:r w:rsidR="006D07AA">
        <w:rPr>
          <w:lang w:val="fr-FR"/>
        </w:rPr>
        <w:t>élections</w:t>
      </w:r>
      <w:r w:rsidR="00D8394F">
        <w:rPr>
          <w:lang w:val="fr-FR"/>
        </w:rPr>
        <w:t xml:space="preserve"> générales de mai 2010, un Gouvernement de coalition a été formé par le Parti Conservateur et le Parti l</w:t>
      </w:r>
      <w:r w:rsidR="000B562B" w:rsidRPr="00A176EA">
        <w:rPr>
          <w:lang w:val="fr-FR"/>
        </w:rPr>
        <w:t>ib</w:t>
      </w:r>
      <w:r w:rsidR="00D8394F">
        <w:rPr>
          <w:lang w:val="fr-FR"/>
        </w:rPr>
        <w:t>é</w:t>
      </w:r>
      <w:r w:rsidR="000B562B" w:rsidRPr="00A176EA">
        <w:rPr>
          <w:lang w:val="fr-FR"/>
        </w:rPr>
        <w:t>ral</w:t>
      </w:r>
      <w:r w:rsidR="00D8394F">
        <w:rPr>
          <w:lang w:val="fr-FR"/>
        </w:rPr>
        <w:t>-dé</w:t>
      </w:r>
      <w:r w:rsidR="000B562B" w:rsidRPr="00A176EA">
        <w:rPr>
          <w:lang w:val="fr-FR"/>
        </w:rPr>
        <w:t>mocrat</w:t>
      </w:r>
      <w:r w:rsidR="00D8394F">
        <w:rPr>
          <w:lang w:val="fr-FR"/>
        </w:rPr>
        <w:t>e</w:t>
      </w:r>
      <w:r w:rsidR="000B562B" w:rsidRPr="00A176EA">
        <w:rPr>
          <w:lang w:val="fr-FR"/>
        </w:rPr>
        <w:t>.</w:t>
      </w:r>
    </w:p>
    <w:p w:rsidR="000B562B" w:rsidRPr="00A176EA" w:rsidRDefault="00D8394F" w:rsidP="00365910">
      <w:pPr>
        <w:pStyle w:val="H23G"/>
        <w:rPr>
          <w:snapToGrid w:val="0"/>
          <w:lang w:val="fr-FR"/>
        </w:rPr>
      </w:pPr>
      <w:r>
        <w:rPr>
          <w:lang w:val="fr-FR"/>
        </w:rPr>
        <w:t xml:space="preserve">Le </w:t>
      </w:r>
      <w:r w:rsidR="000B562B" w:rsidRPr="00A176EA">
        <w:rPr>
          <w:lang w:val="fr-FR"/>
        </w:rPr>
        <w:t>Go</w:t>
      </w:r>
      <w:r>
        <w:rPr>
          <w:lang w:val="fr-FR"/>
        </w:rPr>
        <w:t>u</w:t>
      </w:r>
      <w:r w:rsidR="000B562B" w:rsidRPr="00A176EA">
        <w:rPr>
          <w:lang w:val="fr-FR"/>
        </w:rPr>
        <w:t>vern</w:t>
      </w:r>
      <w:r>
        <w:rPr>
          <w:lang w:val="fr-FR"/>
        </w:rPr>
        <w:t>e</w:t>
      </w:r>
      <w:r w:rsidR="000B562B" w:rsidRPr="00A176EA">
        <w:rPr>
          <w:lang w:val="fr-FR"/>
        </w:rPr>
        <w:t xml:space="preserve">ment </w:t>
      </w:r>
      <w:r>
        <w:rPr>
          <w:lang w:val="fr-FR"/>
        </w:rPr>
        <w:t>et</w:t>
      </w:r>
      <w:r w:rsidR="000B562B" w:rsidRPr="00A176EA">
        <w:rPr>
          <w:lang w:val="fr-FR"/>
        </w:rPr>
        <w:t xml:space="preserve"> </w:t>
      </w:r>
      <w:r>
        <w:rPr>
          <w:lang w:val="fr-FR"/>
        </w:rPr>
        <w:t>l’o</w:t>
      </w:r>
      <w:r w:rsidR="000B562B" w:rsidRPr="00A176EA">
        <w:rPr>
          <w:lang w:val="fr-FR"/>
        </w:rPr>
        <w:t>pposition</w:t>
      </w:r>
    </w:p>
    <w:p w:rsidR="000B562B" w:rsidRPr="00A176EA" w:rsidRDefault="002549A9" w:rsidP="00365910">
      <w:pPr>
        <w:pStyle w:val="SingleTxtG"/>
        <w:rPr>
          <w:lang w:val="fr-FR"/>
        </w:rPr>
      </w:pPr>
      <w:r w:rsidRPr="00A176EA">
        <w:rPr>
          <w:lang w:val="fr-FR"/>
        </w:rPr>
        <w:t>624.</w:t>
      </w:r>
      <w:r w:rsidRPr="00A176EA">
        <w:rPr>
          <w:lang w:val="fr-FR"/>
        </w:rPr>
        <w:tab/>
      </w:r>
      <w:r w:rsidR="001352A8" w:rsidRPr="001352A8">
        <w:rPr>
          <w:lang w:val="fr-FR"/>
        </w:rPr>
        <w:t>Le chef du parti qui, lors des élections générales, remporte le plus grand nombre de sièges (mais pas nécessairement le plus grand nombre de voix) ou qui bénéficie du soutien d’une majorité de membres de la Chambre des communes est, en vertu de la tradition constitutionnelle, invité par la souveraine à former un gouvernement et est nommé premier ministre. Si aucun parti ne dispose d’une majorité simple de sièges, il est possible de former un gouvernement minoritaire</w:t>
      </w:r>
      <w:r w:rsidR="000B562B" w:rsidRPr="00A176EA">
        <w:rPr>
          <w:lang w:val="fr-FR"/>
        </w:rPr>
        <w:t>.</w:t>
      </w:r>
    </w:p>
    <w:p w:rsidR="000B562B" w:rsidRPr="00A176EA" w:rsidRDefault="002549A9" w:rsidP="00365910">
      <w:pPr>
        <w:pStyle w:val="SingleTxtG"/>
        <w:rPr>
          <w:lang w:val="fr-FR"/>
        </w:rPr>
      </w:pPr>
      <w:r w:rsidRPr="00A176EA">
        <w:rPr>
          <w:lang w:val="fr-FR"/>
        </w:rPr>
        <w:t>625.</w:t>
      </w:r>
      <w:r w:rsidRPr="00A176EA">
        <w:rPr>
          <w:lang w:val="fr-FR"/>
        </w:rPr>
        <w:tab/>
      </w:r>
      <w:r w:rsidR="001E26C3" w:rsidRPr="001E26C3">
        <w:rPr>
          <w:lang w:val="fr-FR"/>
        </w:rPr>
        <w:t>Le Premier Ministre s’entoure d’une équipe composée d’une vingtaine de ministres qui, sur sa recommandation, sont nommés par la souveraine ministres de la Couronne. Ensemble, ils constituent le Gouvernement de Sa Majesté</w:t>
      </w:r>
      <w:r w:rsidR="000B562B" w:rsidRPr="00A176EA">
        <w:rPr>
          <w:lang w:val="fr-FR"/>
        </w:rPr>
        <w:t>.</w:t>
      </w:r>
    </w:p>
    <w:p w:rsidR="000B562B" w:rsidRPr="00A176EA" w:rsidRDefault="002549A9" w:rsidP="00365910">
      <w:pPr>
        <w:pStyle w:val="SingleTxtG"/>
        <w:rPr>
          <w:lang w:val="fr-FR"/>
        </w:rPr>
      </w:pPr>
      <w:r w:rsidRPr="00A176EA">
        <w:rPr>
          <w:lang w:val="fr-FR"/>
        </w:rPr>
        <w:t>626.</w:t>
      </w:r>
      <w:r w:rsidRPr="00A176EA">
        <w:rPr>
          <w:lang w:val="fr-FR"/>
        </w:rPr>
        <w:tab/>
      </w:r>
      <w:r w:rsidR="001E26C3" w:rsidRPr="001E26C3">
        <w:rPr>
          <w:lang w:val="fr-FR"/>
        </w:rPr>
        <w:t xml:space="preserve">Le parti le mieux représenté en nombre de sièges après le parti majoritaire est officiellement reconnu comme formant </w:t>
      </w:r>
      <w:r w:rsidR="00CD0110">
        <w:rPr>
          <w:lang w:val="fr-FR"/>
        </w:rPr>
        <w:t>«</w:t>
      </w:r>
      <w:r w:rsidR="001E26C3" w:rsidRPr="001E26C3">
        <w:rPr>
          <w:lang w:val="fr-FR"/>
        </w:rPr>
        <w:t>l’opposition de Sa Majesté</w:t>
      </w:r>
      <w:r w:rsidR="00CD0110">
        <w:rPr>
          <w:lang w:val="fr-FR"/>
        </w:rPr>
        <w:t>»</w:t>
      </w:r>
      <w:r w:rsidR="001E26C3" w:rsidRPr="001E26C3">
        <w:rPr>
          <w:lang w:val="fr-FR"/>
        </w:rPr>
        <w:t xml:space="preserve"> (ou </w:t>
      </w:r>
      <w:r w:rsidR="00CD0110">
        <w:rPr>
          <w:lang w:val="fr-FR"/>
        </w:rPr>
        <w:t>«</w:t>
      </w:r>
      <w:r w:rsidR="001E26C3" w:rsidRPr="001E26C3">
        <w:rPr>
          <w:lang w:val="fr-FR"/>
        </w:rPr>
        <w:t>l’opposition officielle</w:t>
      </w:r>
      <w:r w:rsidR="00CD0110">
        <w:rPr>
          <w:lang w:val="fr-FR"/>
        </w:rPr>
        <w:t>»</w:t>
      </w:r>
      <w:r w:rsidR="001E26C3" w:rsidRPr="001E26C3">
        <w:rPr>
          <w:lang w:val="fr-FR"/>
        </w:rPr>
        <w:t xml:space="preserve">); l’opposition, dotée de son propre chef, constitue un </w:t>
      </w:r>
      <w:r w:rsidR="001E26C3" w:rsidRPr="00406966">
        <w:rPr>
          <w:i/>
          <w:lang w:val="fr-FR"/>
        </w:rPr>
        <w:t>shadow cabinet</w:t>
      </w:r>
      <w:r w:rsidR="001E26C3" w:rsidRPr="001E26C3">
        <w:rPr>
          <w:lang w:val="fr-FR"/>
        </w:rPr>
        <w:t xml:space="preserve"> (cabinet fantôme), c’est-à-dire une équipe dont les membres jouent le rôle de porte-parole de l’opposition sur les sujets relevant de la responsabilité des ministres en exercice. Les membres des autres partis et les membres indépendants élus à la Chambre des communes soutiennent le Gouvernement ou s’y opposent, suivant les vues de leur parti ou leur propre opinion</w:t>
      </w:r>
      <w:r w:rsidR="000B562B" w:rsidRPr="00A176EA">
        <w:rPr>
          <w:lang w:val="fr-FR"/>
        </w:rPr>
        <w:t>.</w:t>
      </w:r>
    </w:p>
    <w:p w:rsidR="000B562B" w:rsidRPr="00A176EA" w:rsidRDefault="002549A9" w:rsidP="00365910">
      <w:pPr>
        <w:pStyle w:val="SingleTxtG"/>
        <w:rPr>
          <w:lang w:val="fr-FR"/>
        </w:rPr>
      </w:pPr>
      <w:r w:rsidRPr="00A176EA">
        <w:rPr>
          <w:lang w:val="fr-FR"/>
        </w:rPr>
        <w:t>627.</w:t>
      </w:r>
      <w:r w:rsidRPr="00A176EA">
        <w:rPr>
          <w:lang w:val="fr-FR"/>
        </w:rPr>
        <w:tab/>
      </w:r>
      <w:r w:rsidR="00A01850" w:rsidRPr="00A01850">
        <w:rPr>
          <w:lang w:val="fr-FR"/>
        </w:rPr>
        <w:t>Le Gouvernement est en grande partie responsable de l’organisation de l’activité des deux chambres du Parlement. En tant que concepteur de sa propre politique, il indique au Parlement les mesures qu’il entend voir adopter</w:t>
      </w:r>
      <w:r w:rsidR="00406966">
        <w:rPr>
          <w:lang w:val="fr-FR"/>
        </w:rPr>
        <w:t>, et</w:t>
      </w:r>
      <w:r w:rsidR="00A01850" w:rsidRPr="00A01850">
        <w:rPr>
          <w:lang w:val="fr-FR"/>
        </w:rPr>
        <w:t xml:space="preserve"> explique et défend ses positions lors de débats publics. Les gouvernements d’aujourd’hui peuvent, dans la plupart des cas, compter sur les voix de leurs partisans à la Chambre des communes, ce qui leur permet, s’ils disposent d’une majorité de sièges suffisante, de proposer des lois qui seront adoptées sans subir de modifications sur le fond. Cette évolution, fruit d’une meilleure discipline des partis, a non seulement donné une meilleure assise au Gouvernement, mais aussi renforcé le rôle de l’opposition. C’est en effet essentiellement l’opposition qui, au moyen de ses critiques, exerce une pression sur le Gouvernement. Selon la pratique en vigueur dans les deux Chambres, l’occasion est donnée à l’opposition de développer et faire valoir ses vues devant le Parlement</w:t>
      </w:r>
      <w:r w:rsidR="000B562B" w:rsidRPr="00A176EA">
        <w:rPr>
          <w:lang w:val="fr-FR"/>
        </w:rPr>
        <w:t>.</w:t>
      </w:r>
    </w:p>
    <w:p w:rsidR="000B562B" w:rsidRPr="00A176EA" w:rsidRDefault="00A01850" w:rsidP="00365910">
      <w:pPr>
        <w:pStyle w:val="H23G"/>
        <w:rPr>
          <w:lang w:val="fr-FR"/>
        </w:rPr>
      </w:pPr>
      <w:r>
        <w:rPr>
          <w:lang w:val="fr-FR"/>
        </w:rPr>
        <w:t xml:space="preserve">Le contrôle du pouvoir exécutif par le </w:t>
      </w:r>
      <w:r w:rsidR="000B562B" w:rsidRPr="00A176EA">
        <w:rPr>
          <w:lang w:val="fr-FR"/>
        </w:rPr>
        <w:t>Parl</w:t>
      </w:r>
      <w:r>
        <w:rPr>
          <w:lang w:val="fr-FR"/>
        </w:rPr>
        <w:t>e</w:t>
      </w:r>
      <w:r w:rsidR="000B562B" w:rsidRPr="00A176EA">
        <w:rPr>
          <w:lang w:val="fr-FR"/>
        </w:rPr>
        <w:t>ment</w:t>
      </w:r>
    </w:p>
    <w:p w:rsidR="000B562B" w:rsidRPr="00A176EA" w:rsidRDefault="002549A9" w:rsidP="00455526">
      <w:pPr>
        <w:pStyle w:val="SingleTxtG"/>
        <w:rPr>
          <w:lang w:val="fr-FR"/>
        </w:rPr>
      </w:pPr>
      <w:r w:rsidRPr="00A176EA">
        <w:rPr>
          <w:lang w:val="fr-FR"/>
        </w:rPr>
        <w:t>628.</w:t>
      </w:r>
      <w:r w:rsidRPr="00A176EA">
        <w:rPr>
          <w:lang w:val="fr-FR"/>
        </w:rPr>
        <w:tab/>
      </w:r>
      <w:r w:rsidR="00A01850" w:rsidRPr="00A01850">
        <w:rPr>
          <w:lang w:val="fr-FR"/>
        </w:rPr>
        <w:t>Le Gouvernement est contrôlé en dernier ressort par la Chambre des communes, qui a la possibilité de le contraindre à démissionner en votant une motion de censure, en rejetant un projet de loi considéré par le Gouvernement comme indispensable à sa politique et faisant l’objet d’une question de confiance, ou même en refusant de voter le budget des services publics</w:t>
      </w:r>
      <w:r w:rsidR="000B562B" w:rsidRPr="00A176EA">
        <w:rPr>
          <w:lang w:val="fr-FR"/>
        </w:rPr>
        <w:t xml:space="preserve">. </w:t>
      </w:r>
      <w:r w:rsidR="00FF1509">
        <w:rPr>
          <w:lang w:val="fr-FR"/>
        </w:rPr>
        <w:t xml:space="preserve">La Chambres des lords joue elle aussi un rôle important de </w:t>
      </w:r>
      <w:r w:rsidR="00455526">
        <w:rPr>
          <w:lang w:val="fr-FR"/>
        </w:rPr>
        <w:t>chambre de révision</w:t>
      </w:r>
      <w:r w:rsidR="002415B5">
        <w:rPr>
          <w:lang w:val="fr-FR"/>
        </w:rPr>
        <w:t xml:space="preserve"> et examine </w:t>
      </w:r>
      <w:r w:rsidR="006D07AA">
        <w:rPr>
          <w:lang w:val="fr-FR"/>
        </w:rPr>
        <w:t>attentivement</w:t>
      </w:r>
      <w:r w:rsidR="002415B5">
        <w:rPr>
          <w:lang w:val="fr-FR"/>
        </w:rPr>
        <w:t xml:space="preserve"> les lois et les projets de loi présentés par le Gouvernement</w:t>
      </w:r>
      <w:r w:rsidR="00455526">
        <w:rPr>
          <w:lang w:val="fr-FR"/>
        </w:rPr>
        <w:t>.</w:t>
      </w:r>
    </w:p>
    <w:p w:rsidR="000B562B" w:rsidRPr="00A176EA" w:rsidRDefault="002549A9" w:rsidP="00D14367">
      <w:pPr>
        <w:pStyle w:val="SingleTxtG"/>
        <w:rPr>
          <w:lang w:val="fr-FR"/>
        </w:rPr>
      </w:pPr>
      <w:r w:rsidRPr="00455526">
        <w:rPr>
          <w:lang w:val="fr-FR"/>
        </w:rPr>
        <w:t>629.</w:t>
      </w:r>
      <w:r w:rsidRPr="00455526">
        <w:rPr>
          <w:lang w:val="fr-FR"/>
        </w:rPr>
        <w:tab/>
      </w:r>
      <w:r w:rsidR="00DB15EB" w:rsidRPr="005B2775">
        <w:rPr>
          <w:lang w:val="fr-FR"/>
        </w:rPr>
        <w:t xml:space="preserve">Le projet de loi </w:t>
      </w:r>
      <w:r w:rsidR="00490A55" w:rsidRPr="005B2775">
        <w:rPr>
          <w:lang w:val="fr-FR"/>
        </w:rPr>
        <w:t xml:space="preserve">sur le terme fixe des parlements </w:t>
      </w:r>
      <w:r w:rsidR="00AA76F1" w:rsidRPr="005B2775">
        <w:rPr>
          <w:lang w:val="fr-FR"/>
        </w:rPr>
        <w:t>devrait recevoir la sanction royale</w:t>
      </w:r>
      <w:r w:rsidR="000B562B" w:rsidRPr="005B2775">
        <w:rPr>
          <w:lang w:val="fr-FR"/>
        </w:rPr>
        <w:t xml:space="preserve"> </w:t>
      </w:r>
      <w:r w:rsidR="00455526" w:rsidRPr="005B2775">
        <w:rPr>
          <w:lang w:val="fr-FR"/>
        </w:rPr>
        <w:t>avant les congés d’été</w:t>
      </w:r>
      <w:r w:rsidR="000B562B" w:rsidRPr="005B2775">
        <w:rPr>
          <w:lang w:val="fr-FR"/>
        </w:rPr>
        <w:t xml:space="preserve">. </w:t>
      </w:r>
      <w:r w:rsidR="00490A55" w:rsidRPr="005B2775">
        <w:rPr>
          <w:lang w:val="fr-FR"/>
        </w:rPr>
        <w:t>En résumé</w:t>
      </w:r>
      <w:r w:rsidR="000B562B" w:rsidRPr="005B2775">
        <w:rPr>
          <w:lang w:val="fr-FR"/>
        </w:rPr>
        <w:t xml:space="preserve">, </w:t>
      </w:r>
      <w:r w:rsidR="004451E6">
        <w:rPr>
          <w:lang w:val="fr-FR"/>
        </w:rPr>
        <w:t>il</w:t>
      </w:r>
      <w:r w:rsidR="00490A55" w:rsidRPr="005B2775">
        <w:rPr>
          <w:lang w:val="fr-FR"/>
        </w:rPr>
        <w:t xml:space="preserve"> prévoit un terme fixe de cinq ans </w:t>
      </w:r>
      <w:r w:rsidR="005B2775" w:rsidRPr="005B2775">
        <w:rPr>
          <w:lang w:val="fr-FR"/>
        </w:rPr>
        <w:t>et la tenue d</w:t>
      </w:r>
      <w:r w:rsidR="00490A55" w:rsidRPr="005B2775">
        <w:rPr>
          <w:lang w:val="fr-FR"/>
        </w:rPr>
        <w:t xml:space="preserve">es élections générales le premier jeudi de mai tous les cinq ans </w:t>
      </w:r>
      <w:r w:rsidR="000B562B" w:rsidRPr="005B2775">
        <w:rPr>
          <w:lang w:val="fr-FR"/>
        </w:rPr>
        <w:t>(</w:t>
      </w:r>
      <w:r w:rsidR="00490A55" w:rsidRPr="005B2775">
        <w:rPr>
          <w:lang w:val="fr-FR"/>
        </w:rPr>
        <w:t xml:space="preserve">la date des prochaines élections est fixée au 7 mai </w:t>
      </w:r>
      <w:r w:rsidR="000B562B" w:rsidRPr="005B2775">
        <w:rPr>
          <w:lang w:val="fr-FR"/>
        </w:rPr>
        <w:t>2015</w:t>
      </w:r>
      <w:r w:rsidR="00490A55" w:rsidRPr="005B2775">
        <w:rPr>
          <w:lang w:val="fr-FR"/>
        </w:rPr>
        <w:t>)</w:t>
      </w:r>
      <w:r w:rsidR="000B562B" w:rsidRPr="005B2775">
        <w:rPr>
          <w:lang w:val="fr-FR"/>
        </w:rPr>
        <w:t xml:space="preserve">. </w:t>
      </w:r>
      <w:r w:rsidR="005B2775" w:rsidRPr="005B2775">
        <w:rPr>
          <w:lang w:val="fr-FR"/>
        </w:rPr>
        <w:t xml:space="preserve">Le Parlement </w:t>
      </w:r>
      <w:r w:rsidR="005B2775">
        <w:rPr>
          <w:lang w:val="fr-FR"/>
        </w:rPr>
        <w:t xml:space="preserve">ne pourra être dissous plus tôt que si au moins deux tiers de ses membres votent sa dissolution ou si le gouvernement </w:t>
      </w:r>
      <w:r w:rsidR="00C428D2">
        <w:rPr>
          <w:lang w:val="fr-FR"/>
        </w:rPr>
        <w:t xml:space="preserve">n’obtient pas la confiance de la Chambre des communes dans les 14 jours suivant </w:t>
      </w:r>
      <w:r w:rsidR="0084550A">
        <w:rPr>
          <w:lang w:val="fr-FR"/>
        </w:rPr>
        <w:t>une motion de censure. La Chambre des communes conservera la possibilité d’adopter une motion de censure contre le gouvernement, à la majorité simple. Cet aspect important de la façon dont l</w:t>
      </w:r>
      <w:r w:rsidR="0038760D">
        <w:rPr>
          <w:lang w:val="fr-FR"/>
        </w:rPr>
        <w:t>a</w:t>
      </w:r>
      <w:r w:rsidR="0084550A">
        <w:rPr>
          <w:lang w:val="fr-FR"/>
        </w:rPr>
        <w:t xml:space="preserve"> Chambre des communes </w:t>
      </w:r>
      <w:r w:rsidR="0038760D">
        <w:rPr>
          <w:lang w:val="fr-FR"/>
        </w:rPr>
        <w:t xml:space="preserve">oblige le gouvernement à rendre des comptes sera consacré par le droit. </w:t>
      </w:r>
      <w:r w:rsidR="003C6245">
        <w:rPr>
          <w:lang w:val="fr-FR"/>
        </w:rPr>
        <w:t>Par l</w:t>
      </w:r>
      <w:r w:rsidR="0038760D">
        <w:rPr>
          <w:lang w:val="fr-FR"/>
        </w:rPr>
        <w:t>’instauration d’un terme fixe</w:t>
      </w:r>
      <w:r w:rsidR="003C6245">
        <w:rPr>
          <w:lang w:val="fr-FR"/>
        </w:rPr>
        <w:t>,</w:t>
      </w:r>
      <w:r w:rsidR="0038760D">
        <w:rPr>
          <w:lang w:val="fr-FR"/>
        </w:rPr>
        <w:t xml:space="preserve"> les gouvernements ne pourront plus décider de la date des élections en fonction de leurs intérêts politiques </w:t>
      </w:r>
      <w:r w:rsidR="00D14367">
        <w:rPr>
          <w:lang w:val="fr-FR"/>
        </w:rPr>
        <w:t>et les citoyens connaîtront d’avance la date des prochaines élections législatives.</w:t>
      </w:r>
    </w:p>
    <w:p w:rsidR="000B562B" w:rsidRPr="00A176EA" w:rsidRDefault="002549A9" w:rsidP="00365910">
      <w:pPr>
        <w:pStyle w:val="SingleTxtG"/>
        <w:rPr>
          <w:bCs/>
          <w:lang w:val="fr-FR"/>
        </w:rPr>
      </w:pPr>
      <w:r w:rsidRPr="00A176EA">
        <w:rPr>
          <w:bCs/>
          <w:lang w:val="fr-FR"/>
        </w:rPr>
        <w:t>630.</w:t>
      </w:r>
      <w:r w:rsidRPr="00A176EA">
        <w:rPr>
          <w:bCs/>
          <w:lang w:val="fr-FR"/>
        </w:rPr>
        <w:tab/>
      </w:r>
      <w:r w:rsidR="00721368">
        <w:rPr>
          <w:bCs/>
          <w:lang w:val="fr-FR"/>
        </w:rPr>
        <w:t>En tant que représentant du peuple, tout député peut contester la politique exposée par un ministre du Gouvernement</w:t>
      </w:r>
      <w:r w:rsidR="00FC2B97">
        <w:rPr>
          <w:bCs/>
          <w:lang w:val="fr-FR"/>
        </w:rPr>
        <w:t>:</w:t>
      </w:r>
      <w:r w:rsidR="00721368">
        <w:rPr>
          <w:bCs/>
          <w:lang w:val="fr-FR"/>
        </w:rPr>
        <w:t xml:space="preserve"> i) l</w:t>
      </w:r>
      <w:r w:rsidR="00A01850" w:rsidRPr="00A01850">
        <w:rPr>
          <w:lang w:val="fr-FR"/>
        </w:rPr>
        <w:t xml:space="preserve">ors d’un débat consacré à un projet de loi précis, le </w:t>
      </w:r>
      <w:r w:rsidR="00721368">
        <w:rPr>
          <w:lang w:val="fr-FR"/>
        </w:rPr>
        <w:t>député</w:t>
      </w:r>
      <w:r w:rsidR="00A01850" w:rsidRPr="00A01850">
        <w:rPr>
          <w:lang w:val="fr-FR"/>
        </w:rPr>
        <w:t xml:space="preserve"> pouvant contester les grands principes du texte en seconde lecture ou, comme cela arrive fréquemment, proposer des amendements au cours de l’examen du texte en commission</w:t>
      </w:r>
      <w:r w:rsidR="00721368">
        <w:rPr>
          <w:lang w:val="fr-FR"/>
        </w:rPr>
        <w:t>,</w:t>
      </w:r>
      <w:r w:rsidR="00A01850" w:rsidRPr="00A01850">
        <w:rPr>
          <w:lang w:val="fr-FR"/>
        </w:rPr>
        <w:t xml:space="preserve"> ii) </w:t>
      </w:r>
      <w:r w:rsidR="00E361C5">
        <w:rPr>
          <w:lang w:val="fr-FR"/>
        </w:rPr>
        <w:t>par le biais du</w:t>
      </w:r>
      <w:r w:rsidR="00A01850" w:rsidRPr="00A01850">
        <w:rPr>
          <w:lang w:val="fr-FR"/>
        </w:rPr>
        <w:t xml:space="preserve"> mécanisme parlementaire des questions et réponses</w:t>
      </w:r>
      <w:r w:rsidR="00721368">
        <w:rPr>
          <w:lang w:val="fr-FR"/>
        </w:rPr>
        <w:t>,</w:t>
      </w:r>
      <w:r w:rsidR="00A01850" w:rsidRPr="00A01850">
        <w:rPr>
          <w:lang w:val="fr-FR"/>
        </w:rPr>
        <w:t xml:space="preserve"> iii) lors des débats précédant l’ajournement ou iv) lors des débats tenus durant les </w:t>
      </w:r>
      <w:r w:rsidR="00CD0110">
        <w:rPr>
          <w:lang w:val="fr-FR"/>
        </w:rPr>
        <w:t>«</w:t>
      </w:r>
      <w:r w:rsidR="00A01850" w:rsidRPr="00A01850">
        <w:rPr>
          <w:lang w:val="fr-FR"/>
        </w:rPr>
        <w:t>journées de l’opposition</w:t>
      </w:r>
      <w:r w:rsidR="00CD0110">
        <w:rPr>
          <w:lang w:val="fr-FR"/>
        </w:rPr>
        <w:t>»</w:t>
      </w:r>
      <w:r w:rsidR="00A01850" w:rsidRPr="00A01850">
        <w:rPr>
          <w:lang w:val="fr-FR"/>
        </w:rPr>
        <w:t>. De plus, les dépenses, l’administration et la politique des principaux ministères sont suivies de près par les commissions</w:t>
      </w:r>
      <w:r w:rsidR="00A01850">
        <w:rPr>
          <w:lang w:val="fr-FR"/>
        </w:rPr>
        <w:t xml:space="preserve"> parlementaires</w:t>
      </w:r>
      <w:r w:rsidR="000B562B" w:rsidRPr="00A176EA">
        <w:rPr>
          <w:bCs/>
          <w:lang w:val="fr-FR"/>
        </w:rPr>
        <w:t>.</w:t>
      </w:r>
    </w:p>
    <w:p w:rsidR="000B562B" w:rsidRPr="00A176EA" w:rsidRDefault="000244D8" w:rsidP="00A732D1">
      <w:pPr>
        <w:pStyle w:val="H23G"/>
        <w:rPr>
          <w:szCs w:val="24"/>
          <w:lang w:val="fr-FR"/>
        </w:rPr>
      </w:pPr>
      <w:r>
        <w:rPr>
          <w:lang w:val="fr-FR"/>
        </w:rPr>
        <w:t>Q</w:t>
      </w:r>
      <w:r w:rsidR="00622783">
        <w:rPr>
          <w:lang w:val="fr-FR"/>
        </w:rPr>
        <w:t>uestions orales au Gouvernement</w:t>
      </w:r>
    </w:p>
    <w:p w:rsidR="000B562B" w:rsidRPr="00A176EA" w:rsidRDefault="002549A9" w:rsidP="00365910">
      <w:pPr>
        <w:pStyle w:val="SingleTxtG"/>
        <w:rPr>
          <w:snapToGrid w:val="0"/>
          <w:lang w:val="fr-FR"/>
        </w:rPr>
      </w:pPr>
      <w:r w:rsidRPr="00A176EA">
        <w:rPr>
          <w:snapToGrid w:val="0"/>
          <w:lang w:val="fr-FR"/>
        </w:rPr>
        <w:t>631.</w:t>
      </w:r>
      <w:r w:rsidRPr="00A176EA">
        <w:rPr>
          <w:snapToGrid w:val="0"/>
          <w:lang w:val="fr-FR"/>
        </w:rPr>
        <w:tab/>
      </w:r>
      <w:r w:rsidR="00622783">
        <w:rPr>
          <w:snapToGrid w:val="0"/>
          <w:lang w:val="fr-FR"/>
        </w:rPr>
        <w:t>Les séances de questions orales au Gouvernement, qui se déroulent à la Chambre des communes, sont</w:t>
      </w:r>
      <w:r w:rsidR="00622783" w:rsidRPr="00622783">
        <w:rPr>
          <w:snapToGrid w:val="0"/>
          <w:lang w:val="fr-FR"/>
        </w:rPr>
        <w:t xml:space="preserve"> considérée</w:t>
      </w:r>
      <w:r w:rsidR="00622783">
        <w:rPr>
          <w:snapToGrid w:val="0"/>
          <w:lang w:val="fr-FR"/>
        </w:rPr>
        <w:t>s</w:t>
      </w:r>
      <w:r w:rsidR="00622783" w:rsidRPr="00622783">
        <w:rPr>
          <w:snapToGrid w:val="0"/>
          <w:lang w:val="fr-FR"/>
        </w:rPr>
        <w:t xml:space="preserve"> comme le meilleur moyen d’obtenir des informations (auxquelles les parlementaires n’auraient sans doute pas accès autrement) </w:t>
      </w:r>
      <w:r w:rsidR="00622783">
        <w:rPr>
          <w:snapToGrid w:val="0"/>
          <w:lang w:val="fr-FR"/>
        </w:rPr>
        <w:t>sur</w:t>
      </w:r>
      <w:r w:rsidR="00622783" w:rsidRPr="00622783">
        <w:rPr>
          <w:snapToGrid w:val="0"/>
          <w:lang w:val="fr-FR"/>
        </w:rPr>
        <w:t xml:space="preserve"> les intentions du Gouvernement</w:t>
      </w:r>
      <w:r w:rsidR="00622783">
        <w:rPr>
          <w:snapToGrid w:val="0"/>
          <w:lang w:val="fr-FR"/>
        </w:rPr>
        <w:t>,</w:t>
      </w:r>
      <w:r w:rsidR="00622783" w:rsidRPr="00622783">
        <w:rPr>
          <w:snapToGrid w:val="0"/>
          <w:lang w:val="fr-FR"/>
        </w:rPr>
        <w:t xml:space="preserve"> ainsi que comme le moyen le plus efficace d’exposer les griefs portés à la connaissance des </w:t>
      </w:r>
      <w:r w:rsidR="00622783">
        <w:rPr>
          <w:snapToGrid w:val="0"/>
          <w:lang w:val="fr-FR"/>
        </w:rPr>
        <w:t>députés</w:t>
      </w:r>
      <w:r w:rsidR="00622783" w:rsidRPr="00622783">
        <w:rPr>
          <w:snapToGrid w:val="0"/>
          <w:lang w:val="fr-FR"/>
        </w:rPr>
        <w:t xml:space="preserve"> par leurs électeurs et même d’y remédier dans une certaine mesure. Les ministres peuvent aussi faire des déclarations publiques </w:t>
      </w:r>
      <w:r w:rsidR="00E361C5">
        <w:rPr>
          <w:snapToGrid w:val="0"/>
          <w:lang w:val="fr-FR"/>
        </w:rPr>
        <w:t>sous forme de</w:t>
      </w:r>
      <w:r w:rsidR="00622783" w:rsidRPr="00622783">
        <w:rPr>
          <w:snapToGrid w:val="0"/>
          <w:lang w:val="fr-FR"/>
        </w:rPr>
        <w:t xml:space="preserve"> déclaration ministérielle écrite</w:t>
      </w:r>
      <w:r w:rsidR="00622783">
        <w:rPr>
          <w:snapToGrid w:val="0"/>
          <w:lang w:val="fr-FR"/>
        </w:rPr>
        <w:t xml:space="preserve"> ou orale</w:t>
      </w:r>
      <w:r w:rsidR="000B562B" w:rsidRPr="00A176EA">
        <w:rPr>
          <w:snapToGrid w:val="0"/>
          <w:lang w:val="fr-FR"/>
        </w:rPr>
        <w:t xml:space="preserve">, </w:t>
      </w:r>
      <w:r w:rsidR="00622783">
        <w:rPr>
          <w:snapToGrid w:val="0"/>
          <w:lang w:val="fr-FR"/>
        </w:rPr>
        <w:t>les deux pouvant déclencher un débat</w:t>
      </w:r>
      <w:r w:rsidR="000B562B" w:rsidRPr="00A176EA">
        <w:rPr>
          <w:snapToGrid w:val="0"/>
          <w:lang w:val="fr-FR"/>
        </w:rPr>
        <w:t>.</w:t>
      </w:r>
    </w:p>
    <w:p w:rsidR="000B562B" w:rsidRPr="00A176EA" w:rsidRDefault="002549A9" w:rsidP="00365910">
      <w:pPr>
        <w:pStyle w:val="SingleTxtG"/>
        <w:rPr>
          <w:snapToGrid w:val="0"/>
          <w:lang w:val="fr-FR"/>
        </w:rPr>
      </w:pPr>
      <w:r w:rsidRPr="00A176EA">
        <w:rPr>
          <w:snapToGrid w:val="0"/>
          <w:lang w:val="fr-FR"/>
        </w:rPr>
        <w:t>632.</w:t>
      </w:r>
      <w:r w:rsidRPr="00A176EA">
        <w:rPr>
          <w:snapToGrid w:val="0"/>
          <w:lang w:val="fr-FR"/>
        </w:rPr>
        <w:tab/>
      </w:r>
      <w:r w:rsidR="00622783">
        <w:rPr>
          <w:snapToGrid w:val="0"/>
          <w:lang w:val="fr-FR"/>
        </w:rPr>
        <w:t>Les principes régissant la recevabilité des questions</w:t>
      </w:r>
      <w:r w:rsidR="00015139">
        <w:rPr>
          <w:snapToGrid w:val="0"/>
          <w:lang w:val="fr-FR"/>
        </w:rPr>
        <w:t xml:space="preserve"> découlent des décisions prises par les présidents successifs à l’égard des questions individuelles. La procédure et la pratique des questions orales sont examinées périodiquement par la Commission spéciale de la Chambre des communes chargée de la procédure</w:t>
      </w:r>
      <w:r w:rsidR="000B562B" w:rsidRPr="00A176EA">
        <w:rPr>
          <w:snapToGrid w:val="0"/>
          <w:lang w:val="fr-FR"/>
        </w:rPr>
        <w:t>.</w:t>
      </w:r>
    </w:p>
    <w:p w:rsidR="000B562B" w:rsidRPr="00A176EA" w:rsidRDefault="009C6F6F" w:rsidP="00365910">
      <w:pPr>
        <w:pStyle w:val="H23G"/>
        <w:rPr>
          <w:snapToGrid w:val="0"/>
          <w:lang w:val="fr-FR"/>
        </w:rPr>
      </w:pPr>
      <w:r w:rsidRPr="0060684C">
        <w:rPr>
          <w:lang w:val="fr-FR"/>
        </w:rPr>
        <w:t>Organisations n</w:t>
      </w:r>
      <w:r w:rsidR="000B562B" w:rsidRPr="0060684C">
        <w:rPr>
          <w:lang w:val="fr-FR"/>
        </w:rPr>
        <w:t>on</w:t>
      </w:r>
      <w:r w:rsidRPr="0060684C">
        <w:rPr>
          <w:lang w:val="fr-FR"/>
        </w:rPr>
        <w:t xml:space="preserve"> </w:t>
      </w:r>
      <w:r w:rsidR="000B562B" w:rsidRPr="0060684C">
        <w:rPr>
          <w:lang w:val="fr-FR"/>
        </w:rPr>
        <w:t>go</w:t>
      </w:r>
      <w:r w:rsidRPr="0060684C">
        <w:rPr>
          <w:lang w:val="fr-FR"/>
        </w:rPr>
        <w:t>u</w:t>
      </w:r>
      <w:r w:rsidR="000B562B" w:rsidRPr="0060684C">
        <w:rPr>
          <w:lang w:val="fr-FR"/>
        </w:rPr>
        <w:t>vern</w:t>
      </w:r>
      <w:r w:rsidRPr="0060684C">
        <w:rPr>
          <w:lang w:val="fr-FR"/>
        </w:rPr>
        <w:t>e</w:t>
      </w:r>
      <w:r w:rsidR="000B562B" w:rsidRPr="0060684C">
        <w:rPr>
          <w:lang w:val="fr-FR"/>
        </w:rPr>
        <w:t>mental</w:t>
      </w:r>
      <w:r w:rsidRPr="0060684C">
        <w:rPr>
          <w:lang w:val="fr-FR"/>
        </w:rPr>
        <w:t>es</w:t>
      </w:r>
      <w:r w:rsidR="000B562B" w:rsidRPr="0060684C">
        <w:rPr>
          <w:lang w:val="fr-FR"/>
        </w:rPr>
        <w:t xml:space="preserve"> </w:t>
      </w:r>
      <w:r w:rsidRPr="0060684C">
        <w:rPr>
          <w:lang w:val="fr-FR"/>
        </w:rPr>
        <w:t>(ONG)</w:t>
      </w:r>
    </w:p>
    <w:p w:rsidR="000B562B" w:rsidRPr="00A176EA" w:rsidRDefault="002549A9" w:rsidP="00365910">
      <w:pPr>
        <w:pStyle w:val="SingleTxtG"/>
        <w:rPr>
          <w:snapToGrid w:val="0"/>
          <w:lang w:val="fr-FR"/>
        </w:rPr>
      </w:pPr>
      <w:r w:rsidRPr="00A176EA">
        <w:rPr>
          <w:snapToGrid w:val="0"/>
          <w:lang w:val="fr-FR"/>
        </w:rPr>
        <w:t>633.</w:t>
      </w:r>
      <w:r w:rsidRPr="00A176EA">
        <w:rPr>
          <w:snapToGrid w:val="0"/>
          <w:lang w:val="fr-FR"/>
        </w:rPr>
        <w:tab/>
      </w:r>
      <w:r w:rsidR="0060684C">
        <w:rPr>
          <w:snapToGrid w:val="0"/>
          <w:lang w:val="fr-FR"/>
        </w:rPr>
        <w:t xml:space="preserve">Un certain nombre d’ONG de défense des droits de l’homme opèrent au Royaume-Uni. Pour des raisons fiscales, ce sont généralement des associations </w:t>
      </w:r>
      <w:r w:rsidR="009A7887">
        <w:rPr>
          <w:snapToGrid w:val="0"/>
          <w:lang w:val="fr-FR"/>
        </w:rPr>
        <w:t>caritatives</w:t>
      </w:r>
      <w:r w:rsidR="0060684C">
        <w:rPr>
          <w:snapToGrid w:val="0"/>
          <w:lang w:val="fr-FR"/>
        </w:rPr>
        <w:t>. Il n’existe pas de système unifié régissant ces associations</w:t>
      </w:r>
      <w:r w:rsidR="00FC2B97">
        <w:rPr>
          <w:snapToGrid w:val="0"/>
          <w:lang w:val="fr-FR"/>
        </w:rPr>
        <w:t>:</w:t>
      </w:r>
      <w:r w:rsidR="0060684C">
        <w:rPr>
          <w:snapToGrid w:val="0"/>
          <w:lang w:val="fr-FR"/>
        </w:rPr>
        <w:t xml:space="preserve"> le</w:t>
      </w:r>
      <w:r w:rsidR="009A7887">
        <w:rPr>
          <w:snapToGrid w:val="0"/>
          <w:lang w:val="fr-FR"/>
        </w:rPr>
        <w:t>ur</w:t>
      </w:r>
      <w:r w:rsidR="0060684C">
        <w:rPr>
          <w:snapToGrid w:val="0"/>
          <w:lang w:val="fr-FR"/>
        </w:rPr>
        <w:t xml:space="preserve"> fonctionnement est régi par des lois différentes en Angleterre et au </w:t>
      </w:r>
      <w:r w:rsidR="0060684C">
        <w:rPr>
          <w:spacing w:val="-2"/>
          <w:lang w:val="fr-FR"/>
        </w:rPr>
        <w:t>p</w:t>
      </w:r>
      <w:r w:rsidR="005601A1">
        <w:rPr>
          <w:lang w:val="fr-FR"/>
        </w:rPr>
        <w:t>ays de Galles</w:t>
      </w:r>
      <w:r w:rsidR="000B562B" w:rsidRPr="00A176EA">
        <w:rPr>
          <w:lang w:val="fr-FR"/>
        </w:rPr>
        <w:t>,</w:t>
      </w:r>
      <w:r w:rsidR="0060684C">
        <w:rPr>
          <w:lang w:val="fr-FR"/>
        </w:rPr>
        <w:t xml:space="preserve"> </w:t>
      </w:r>
      <w:r w:rsidR="0060684C" w:rsidRPr="009A7887">
        <w:rPr>
          <w:lang w:val="fr-FR"/>
        </w:rPr>
        <w:t>en</w:t>
      </w:r>
      <w:r w:rsidR="000B562B" w:rsidRPr="009A7887">
        <w:rPr>
          <w:lang w:val="fr-FR"/>
        </w:rPr>
        <w:t xml:space="preserve"> </w:t>
      </w:r>
      <w:r w:rsidR="00FD2CE1" w:rsidRPr="009A7887">
        <w:rPr>
          <w:lang w:val="fr-FR"/>
        </w:rPr>
        <w:t>Écosse</w:t>
      </w:r>
      <w:r w:rsidR="000B562B" w:rsidRPr="009A7887">
        <w:rPr>
          <w:lang w:val="fr-FR"/>
        </w:rPr>
        <w:t xml:space="preserve"> </w:t>
      </w:r>
      <w:r w:rsidR="0060684C" w:rsidRPr="009A7887">
        <w:rPr>
          <w:lang w:val="fr-FR"/>
        </w:rPr>
        <w:t>et en</w:t>
      </w:r>
      <w:r w:rsidR="000B562B" w:rsidRPr="009A7887">
        <w:rPr>
          <w:lang w:val="fr-FR"/>
        </w:rPr>
        <w:t xml:space="preserve"> </w:t>
      </w:r>
      <w:r w:rsidR="008F3DA4" w:rsidRPr="009A7887">
        <w:rPr>
          <w:lang w:val="fr-FR"/>
        </w:rPr>
        <w:t>Irlande du Nord</w:t>
      </w:r>
      <w:r w:rsidR="000B562B" w:rsidRPr="009A7887">
        <w:rPr>
          <w:lang w:val="fr-FR"/>
        </w:rPr>
        <w:t>.</w:t>
      </w:r>
    </w:p>
    <w:p w:rsidR="000B562B" w:rsidRPr="00A176EA" w:rsidRDefault="002549A9" w:rsidP="00E87614">
      <w:pPr>
        <w:pStyle w:val="SingleTxtG"/>
        <w:rPr>
          <w:lang w:val="fr-FR"/>
        </w:rPr>
      </w:pPr>
      <w:r w:rsidRPr="00A176EA">
        <w:rPr>
          <w:lang w:val="fr-FR"/>
        </w:rPr>
        <w:t>634.</w:t>
      </w:r>
      <w:r w:rsidRPr="00A176EA">
        <w:rPr>
          <w:lang w:val="fr-FR"/>
        </w:rPr>
        <w:tab/>
      </w:r>
      <w:r w:rsidR="009A7887">
        <w:rPr>
          <w:lang w:val="fr-FR"/>
        </w:rPr>
        <w:t xml:space="preserve">Le statut d’association caritative donne droit à un certain nombre d’avantages fiscaux. </w:t>
      </w:r>
      <w:r w:rsidR="00FD6EEB">
        <w:rPr>
          <w:lang w:val="fr-FR"/>
        </w:rPr>
        <w:t xml:space="preserve">En règle générale, les associations caritatives britanniques peuvent bénéficier d’exonérations fiscales sur la plupart de leurs revenus ou gains, ainsi que sur les bénéfices générés par certaines activités. En outre, elles peuvent </w:t>
      </w:r>
      <w:r w:rsidR="00E87614">
        <w:rPr>
          <w:lang w:val="fr-FR"/>
        </w:rPr>
        <w:t>demander des remboursements d’impôts pour les revenus sur lesquels un impôt a déjà été acquitté.</w:t>
      </w:r>
    </w:p>
    <w:p w:rsidR="000B562B" w:rsidRPr="00A176EA" w:rsidRDefault="002549A9" w:rsidP="00365910">
      <w:pPr>
        <w:pStyle w:val="SingleTxtG"/>
        <w:rPr>
          <w:lang w:val="fr-FR"/>
        </w:rPr>
      </w:pPr>
      <w:r w:rsidRPr="00A176EA">
        <w:rPr>
          <w:lang w:val="fr-FR"/>
        </w:rPr>
        <w:t>635.</w:t>
      </w:r>
      <w:r w:rsidRPr="00A176EA">
        <w:rPr>
          <w:lang w:val="fr-FR"/>
        </w:rPr>
        <w:tab/>
      </w:r>
      <w:r w:rsidR="00847984" w:rsidRPr="009A7887">
        <w:rPr>
          <w:lang w:val="fr-FR"/>
        </w:rPr>
        <w:t>En Angleterre et au p</w:t>
      </w:r>
      <w:r w:rsidR="005601A1" w:rsidRPr="009A7887">
        <w:rPr>
          <w:lang w:val="fr-FR"/>
        </w:rPr>
        <w:t>ays de Galles</w:t>
      </w:r>
      <w:r w:rsidR="000B562B" w:rsidRPr="009A7887">
        <w:rPr>
          <w:lang w:val="fr-FR"/>
        </w:rPr>
        <w:t xml:space="preserve">, </w:t>
      </w:r>
      <w:r w:rsidR="009A7887" w:rsidRPr="009A7887">
        <w:rPr>
          <w:lang w:val="fr-FR"/>
        </w:rPr>
        <w:t>les organisations qui souhaitent bénéficier du statut d’association caritative doivent se faire enregistrer comme telles</w:t>
      </w:r>
      <w:r w:rsidR="00FC2B97">
        <w:rPr>
          <w:lang w:val="fr-FR"/>
        </w:rPr>
        <w:t>;</w:t>
      </w:r>
      <w:r w:rsidR="009A7887" w:rsidRPr="009A7887">
        <w:rPr>
          <w:lang w:val="fr-FR"/>
        </w:rPr>
        <w:t xml:space="preserve"> le processus est contrôlé par la Commission des associations caritatives. À un certain nombre d’exceptions près, les procédures d’enregistrement doivent être conformes à la loi de 1993 sur les associations caritatives (telle que modifiée par la loi de 2006 sur les associations caritatives</w:t>
      </w:r>
      <w:r w:rsidR="000B562B" w:rsidRPr="00A176EA">
        <w:rPr>
          <w:lang w:val="fr-FR"/>
        </w:rPr>
        <w:t>).</w:t>
      </w:r>
    </w:p>
    <w:p w:rsidR="000B562B" w:rsidRPr="00A176EA" w:rsidRDefault="002549A9" w:rsidP="00365910">
      <w:pPr>
        <w:pStyle w:val="SingleTxtG"/>
        <w:rPr>
          <w:lang w:val="fr-FR"/>
        </w:rPr>
      </w:pPr>
      <w:r w:rsidRPr="00A176EA">
        <w:rPr>
          <w:lang w:val="fr-FR"/>
        </w:rPr>
        <w:t>636.</w:t>
      </w:r>
      <w:r w:rsidRPr="00A176EA">
        <w:rPr>
          <w:lang w:val="fr-FR"/>
        </w:rPr>
        <w:tab/>
      </w:r>
      <w:r w:rsidR="00847984" w:rsidRPr="00386E16">
        <w:rPr>
          <w:lang w:val="fr-FR"/>
        </w:rPr>
        <w:t>E</w:t>
      </w:r>
      <w:r w:rsidR="000B562B" w:rsidRPr="00386E16">
        <w:rPr>
          <w:lang w:val="fr-FR"/>
        </w:rPr>
        <w:t xml:space="preserve">n </w:t>
      </w:r>
      <w:r w:rsidR="00FD2CE1" w:rsidRPr="00386E16">
        <w:rPr>
          <w:lang w:val="fr-FR"/>
        </w:rPr>
        <w:t>Écosse</w:t>
      </w:r>
      <w:r w:rsidR="000B562B" w:rsidRPr="00386E16">
        <w:rPr>
          <w:lang w:val="fr-FR"/>
        </w:rPr>
        <w:t>,</w:t>
      </w:r>
      <w:r w:rsidR="000B562B" w:rsidRPr="00A176EA">
        <w:rPr>
          <w:lang w:val="fr-FR"/>
        </w:rPr>
        <w:t xml:space="preserve"> </w:t>
      </w:r>
      <w:r w:rsidR="009A7887">
        <w:rPr>
          <w:lang w:val="fr-FR"/>
        </w:rPr>
        <w:t xml:space="preserve">le fonctionnement des associations caritatives est également contrôlé par un organe de supervision, le Bureau de l’organe </w:t>
      </w:r>
      <w:r w:rsidR="00386E16">
        <w:rPr>
          <w:lang w:val="fr-FR"/>
        </w:rPr>
        <w:t>écossais</w:t>
      </w:r>
      <w:r w:rsidR="00386E16" w:rsidRPr="00A176EA">
        <w:rPr>
          <w:lang w:val="fr-FR"/>
        </w:rPr>
        <w:t xml:space="preserve"> </w:t>
      </w:r>
      <w:r w:rsidR="009A7887">
        <w:rPr>
          <w:lang w:val="fr-FR"/>
        </w:rPr>
        <w:t>de réglementation des associations caritatives</w:t>
      </w:r>
      <w:r w:rsidR="000B562B" w:rsidRPr="00A176EA">
        <w:rPr>
          <w:lang w:val="fr-FR"/>
        </w:rPr>
        <w:t xml:space="preserve">. </w:t>
      </w:r>
      <w:r w:rsidR="00E825E0">
        <w:rPr>
          <w:lang w:val="fr-FR"/>
        </w:rPr>
        <w:t xml:space="preserve">Pour qu’une organisation </w:t>
      </w:r>
      <w:r w:rsidR="00DE3AC7">
        <w:rPr>
          <w:lang w:val="fr-FR"/>
        </w:rPr>
        <w:t>soit</w:t>
      </w:r>
      <w:r w:rsidR="00E825E0">
        <w:rPr>
          <w:lang w:val="fr-FR"/>
        </w:rPr>
        <w:t xml:space="preserve"> considérée comme une association caritative, elle doit se conformer aux dispositions</w:t>
      </w:r>
      <w:r w:rsidR="000B562B" w:rsidRPr="00A176EA">
        <w:rPr>
          <w:lang w:val="fr-FR"/>
        </w:rPr>
        <w:t xml:space="preserve"> </w:t>
      </w:r>
      <w:r w:rsidR="002810E9">
        <w:rPr>
          <w:lang w:val="fr-FR"/>
        </w:rPr>
        <w:t>de la loi de 2005</w:t>
      </w:r>
      <w:r w:rsidR="00DE3AC7">
        <w:rPr>
          <w:lang w:val="fr-FR"/>
        </w:rPr>
        <w:t xml:space="preserve"> sur</w:t>
      </w:r>
      <w:r w:rsidR="000B562B" w:rsidRPr="00A176EA">
        <w:rPr>
          <w:lang w:val="fr-FR"/>
        </w:rPr>
        <w:t xml:space="preserve"> </w:t>
      </w:r>
      <w:r w:rsidR="00DC42CB">
        <w:rPr>
          <w:lang w:val="fr-FR"/>
        </w:rPr>
        <w:t xml:space="preserve">les investissements des associations caritatives et des administrateurs </w:t>
      </w:r>
      <w:r w:rsidR="000B562B" w:rsidRPr="003D6D60">
        <w:rPr>
          <w:lang w:val="fr-FR"/>
        </w:rPr>
        <w:t>(</w:t>
      </w:r>
      <w:r w:rsidR="003D6D60" w:rsidRPr="00386E16">
        <w:rPr>
          <w:lang w:val="fr-FR"/>
        </w:rPr>
        <w:t>Écosse</w:t>
      </w:r>
      <w:r w:rsidR="000B562B" w:rsidRPr="003D6D60">
        <w:rPr>
          <w:lang w:val="fr-FR"/>
        </w:rPr>
        <w:t xml:space="preserve">) </w:t>
      </w:r>
      <w:r w:rsidR="00440353" w:rsidRPr="00440353">
        <w:rPr>
          <w:lang w:val="fr-FR"/>
        </w:rPr>
        <w:t>et être inscrite au Registre des associations caritatives écossaises</w:t>
      </w:r>
      <w:r w:rsidR="000B562B" w:rsidRPr="00A176EA">
        <w:rPr>
          <w:lang w:val="fr-FR"/>
        </w:rPr>
        <w:t>.</w:t>
      </w:r>
    </w:p>
    <w:p w:rsidR="000B562B" w:rsidRPr="00A176EA" w:rsidRDefault="002549A9" w:rsidP="00365910">
      <w:pPr>
        <w:pStyle w:val="SingleTxtG"/>
        <w:rPr>
          <w:snapToGrid w:val="0"/>
          <w:lang w:val="fr-FR"/>
        </w:rPr>
      </w:pPr>
      <w:r w:rsidRPr="00A176EA">
        <w:rPr>
          <w:snapToGrid w:val="0"/>
          <w:lang w:val="fr-FR"/>
        </w:rPr>
        <w:t>637.</w:t>
      </w:r>
      <w:r w:rsidRPr="00A176EA">
        <w:rPr>
          <w:snapToGrid w:val="0"/>
          <w:lang w:val="fr-FR"/>
        </w:rPr>
        <w:tab/>
      </w:r>
      <w:r w:rsidR="00847984" w:rsidRPr="00440353">
        <w:rPr>
          <w:lang w:val="fr-FR"/>
        </w:rPr>
        <w:t>E</w:t>
      </w:r>
      <w:r w:rsidR="000B562B" w:rsidRPr="00440353">
        <w:rPr>
          <w:lang w:val="fr-FR"/>
        </w:rPr>
        <w:t xml:space="preserve">n </w:t>
      </w:r>
      <w:r w:rsidR="008F3DA4" w:rsidRPr="00440353">
        <w:rPr>
          <w:lang w:val="fr-FR"/>
        </w:rPr>
        <w:t>Irlande du Nord</w:t>
      </w:r>
      <w:r w:rsidR="000B562B" w:rsidRPr="00440353">
        <w:rPr>
          <w:lang w:val="fr-FR"/>
        </w:rPr>
        <w:t xml:space="preserve">, </w:t>
      </w:r>
      <w:r w:rsidR="00440353" w:rsidRPr="00440353">
        <w:rPr>
          <w:lang w:val="fr-FR"/>
        </w:rPr>
        <w:t xml:space="preserve">la législation est tout à fait différente car les associations caritatives ne sont pas tenues de se faire enregistrer. Elles mènent leurs activités conformément à la loi de 1964 sur les associations caritatives </w:t>
      </w:r>
      <w:r w:rsidR="000B562B" w:rsidRPr="00440353">
        <w:rPr>
          <w:lang w:val="fr-FR"/>
        </w:rPr>
        <w:t>(</w:t>
      </w:r>
      <w:r w:rsidR="008F3DA4" w:rsidRPr="00440353">
        <w:rPr>
          <w:lang w:val="fr-FR"/>
        </w:rPr>
        <w:t>Irlande du Nord</w:t>
      </w:r>
      <w:r w:rsidR="000B562B" w:rsidRPr="00440353">
        <w:rPr>
          <w:lang w:val="fr-FR"/>
        </w:rPr>
        <w:t>)</w:t>
      </w:r>
      <w:r w:rsidR="000B562B" w:rsidRPr="00440353">
        <w:rPr>
          <w:i/>
          <w:lang w:val="fr-FR"/>
        </w:rPr>
        <w:t xml:space="preserve"> </w:t>
      </w:r>
      <w:r w:rsidR="00440353" w:rsidRPr="00440353">
        <w:rPr>
          <w:lang w:val="fr-FR"/>
        </w:rPr>
        <w:t>et à l’ordonnance de 1987 relative à la loi sur les associations caritatives</w:t>
      </w:r>
      <w:r w:rsidR="000B562B" w:rsidRPr="00440353">
        <w:rPr>
          <w:lang w:val="fr-FR"/>
        </w:rPr>
        <w:t xml:space="preserve"> (</w:t>
      </w:r>
      <w:r w:rsidR="008F3DA4" w:rsidRPr="00440353">
        <w:rPr>
          <w:lang w:val="fr-FR"/>
        </w:rPr>
        <w:t>Irlande du Nord</w:t>
      </w:r>
      <w:r w:rsidR="000B562B" w:rsidRPr="00440353">
        <w:rPr>
          <w:lang w:val="fr-FR"/>
        </w:rPr>
        <w:t xml:space="preserve">). </w:t>
      </w:r>
      <w:r w:rsidR="00440353" w:rsidRPr="00440353">
        <w:rPr>
          <w:lang w:val="fr-FR"/>
        </w:rPr>
        <w:t>Leur fonctionnement est contrôlé par le Ministère du développement social</w:t>
      </w:r>
      <w:r w:rsidR="000B562B" w:rsidRPr="00440353">
        <w:rPr>
          <w:rStyle w:val="FootnoteReference"/>
          <w:szCs w:val="22"/>
        </w:rPr>
        <w:footnoteReference w:id="126"/>
      </w:r>
      <w:r w:rsidR="0060684C" w:rsidRPr="00440353">
        <w:rPr>
          <w:lang w:val="fr-FR"/>
        </w:rPr>
        <w:t>.</w:t>
      </w:r>
    </w:p>
    <w:p w:rsidR="000B562B" w:rsidRPr="00A176EA" w:rsidRDefault="00EB4033" w:rsidP="00365910">
      <w:pPr>
        <w:pStyle w:val="H23G"/>
        <w:rPr>
          <w:lang w:val="fr-FR"/>
        </w:rPr>
      </w:pPr>
      <w:r>
        <w:rPr>
          <w:lang w:val="fr-FR"/>
        </w:rPr>
        <w:t>Le pouvoir judiciaire</w:t>
      </w:r>
    </w:p>
    <w:p w:rsidR="000B562B" w:rsidRPr="00A176EA" w:rsidRDefault="000B562B" w:rsidP="00365910">
      <w:pPr>
        <w:pStyle w:val="H23G"/>
        <w:rPr>
          <w:lang w:val="fr-FR"/>
        </w:rPr>
      </w:pPr>
      <w:r w:rsidRPr="00A176EA">
        <w:rPr>
          <w:lang w:val="fr-FR"/>
        </w:rPr>
        <w:t>Administration</w:t>
      </w:r>
      <w:r w:rsidR="00EB4033">
        <w:rPr>
          <w:lang w:val="fr-FR"/>
        </w:rPr>
        <w:t xml:space="preserve"> de la justice</w:t>
      </w:r>
    </w:p>
    <w:p w:rsidR="000B562B" w:rsidRPr="00A176EA" w:rsidRDefault="002549A9" w:rsidP="00365910">
      <w:pPr>
        <w:pStyle w:val="SingleTxtG"/>
        <w:rPr>
          <w:lang w:val="fr-FR"/>
        </w:rPr>
      </w:pPr>
      <w:r w:rsidRPr="00A176EA">
        <w:rPr>
          <w:lang w:val="fr-FR"/>
        </w:rPr>
        <w:t>638.</w:t>
      </w:r>
      <w:r w:rsidRPr="00A176EA">
        <w:rPr>
          <w:lang w:val="fr-FR"/>
        </w:rPr>
        <w:tab/>
      </w:r>
      <w:r w:rsidR="006671B9" w:rsidRPr="006671B9">
        <w:rPr>
          <w:lang w:val="fr-FR"/>
        </w:rPr>
        <w:t xml:space="preserve">Le Royaume-Uni n’a pas de système judiciaire unifié, à </w:t>
      </w:r>
      <w:r w:rsidR="006671B9">
        <w:rPr>
          <w:lang w:val="fr-FR"/>
        </w:rPr>
        <w:t>l’exception d’un petit nombre de tribunaux à compétence nationale</w:t>
      </w:r>
      <w:r w:rsidR="000B562B" w:rsidRPr="00A176EA">
        <w:rPr>
          <w:rStyle w:val="FootnoteReference"/>
          <w:szCs w:val="22"/>
        </w:rPr>
        <w:footnoteReference w:id="127"/>
      </w:r>
      <w:r w:rsidR="00EB4033">
        <w:rPr>
          <w:lang w:val="fr-FR"/>
        </w:rPr>
        <w:t>.</w:t>
      </w:r>
      <w:r w:rsidR="000B562B" w:rsidRPr="00A176EA">
        <w:rPr>
          <w:lang w:val="fr-FR"/>
        </w:rPr>
        <w:t xml:space="preserve"> </w:t>
      </w:r>
      <w:r w:rsidR="00535735" w:rsidRPr="00535735">
        <w:rPr>
          <w:lang w:val="fr-FR"/>
        </w:rPr>
        <w:t>Le pouvoir judiciaire exercé par les juridictions du Royaume-Uni (Angleterre, pays de Galles, Écosse et Irlande du Nord) est indépendant du pouvoir exécutif</w:t>
      </w:r>
      <w:r w:rsidR="000B562B" w:rsidRPr="00A176EA">
        <w:rPr>
          <w:lang w:val="fr-FR"/>
        </w:rPr>
        <w:t xml:space="preserve">. </w:t>
      </w:r>
      <w:r w:rsidR="009D3F8C">
        <w:rPr>
          <w:lang w:val="fr-FR"/>
        </w:rPr>
        <w:t>La Cour suprême du Royaume-Uni est la plus haute juridiction d’appel du pays en matière civile et d’Angleterre, du pays de Galles et d’Irlande du Nord en matière pénale.</w:t>
      </w:r>
      <w:r w:rsidR="000B562B" w:rsidRPr="00A176EA">
        <w:rPr>
          <w:lang w:val="fr-FR"/>
        </w:rPr>
        <w:t xml:space="preserve"> </w:t>
      </w:r>
      <w:r w:rsidR="00535735" w:rsidRPr="00535735">
        <w:rPr>
          <w:lang w:val="fr-FR"/>
        </w:rPr>
        <w:t>Les nominations des hauts responsables sont faites par la Reine, sur recommandation du Premier Ministre</w:t>
      </w:r>
      <w:r w:rsidR="000B562B" w:rsidRPr="00A176EA">
        <w:rPr>
          <w:lang w:val="fr-FR"/>
        </w:rPr>
        <w:t xml:space="preserve">. </w:t>
      </w:r>
      <w:r w:rsidR="00535735" w:rsidRPr="00535735">
        <w:rPr>
          <w:lang w:val="fr-FR"/>
        </w:rPr>
        <w:t>L</w:t>
      </w:r>
      <w:r w:rsidR="000B562B" w:rsidRPr="00535735">
        <w:rPr>
          <w:lang w:val="fr-FR"/>
        </w:rPr>
        <w:t xml:space="preserve">e </w:t>
      </w:r>
      <w:r w:rsidR="000B562B" w:rsidRPr="00002802">
        <w:rPr>
          <w:lang w:val="fr-FR"/>
        </w:rPr>
        <w:t>Lord Chief Justice</w:t>
      </w:r>
      <w:r w:rsidR="000B562B" w:rsidRPr="00A176EA">
        <w:rPr>
          <w:lang w:val="fr-FR"/>
        </w:rPr>
        <w:t xml:space="preserve"> </w:t>
      </w:r>
      <w:r w:rsidR="00535735">
        <w:rPr>
          <w:lang w:val="fr-FR"/>
        </w:rPr>
        <w:t>d’Angleterre et du p</w:t>
      </w:r>
      <w:r w:rsidR="005601A1">
        <w:rPr>
          <w:lang w:val="fr-FR"/>
        </w:rPr>
        <w:t>ays de Galles</w:t>
      </w:r>
      <w:r w:rsidR="000B562B" w:rsidRPr="00A176EA">
        <w:rPr>
          <w:lang w:val="fr-FR"/>
        </w:rPr>
        <w:t xml:space="preserve"> </w:t>
      </w:r>
      <w:r w:rsidR="00EB3D30" w:rsidRPr="00EB3D30">
        <w:rPr>
          <w:lang w:val="fr-FR"/>
        </w:rPr>
        <w:t>est nommé de manière indépendante par un comité spécial convoqué par la Commission des nominations judiciaires</w:t>
      </w:r>
      <w:r w:rsidR="000B562B" w:rsidRPr="00A176EA">
        <w:rPr>
          <w:lang w:val="fr-FR"/>
        </w:rPr>
        <w:t xml:space="preserve">. </w:t>
      </w:r>
      <w:r w:rsidR="00EB3D30">
        <w:rPr>
          <w:lang w:val="fr-FR"/>
        </w:rPr>
        <w:t>La plupart des autres juges sont nommés par Sa Majesté la Reine, sur recommandation</w:t>
      </w:r>
      <w:r w:rsidR="000B562B" w:rsidRPr="00A176EA">
        <w:rPr>
          <w:lang w:val="fr-FR"/>
        </w:rPr>
        <w:t xml:space="preserve"> </w:t>
      </w:r>
      <w:r w:rsidR="00EB3D30">
        <w:rPr>
          <w:lang w:val="fr-FR"/>
        </w:rPr>
        <w:t xml:space="preserve">du Ministre concerné </w:t>
      </w:r>
      <w:r w:rsidR="000B562B" w:rsidRPr="00A176EA">
        <w:rPr>
          <w:lang w:val="fr-FR"/>
        </w:rPr>
        <w:t>(</w:t>
      </w:r>
      <w:r w:rsidR="00EB3D30">
        <w:rPr>
          <w:lang w:val="fr-FR"/>
        </w:rPr>
        <w:t>après sélection par les Commissions des nominations judiciaires respectives</w:t>
      </w:r>
      <w:r w:rsidR="000B562B" w:rsidRPr="00A176EA">
        <w:rPr>
          <w:lang w:val="fr-FR"/>
        </w:rPr>
        <w:t xml:space="preserve"> </w:t>
      </w:r>
      <w:r w:rsidR="00EB3D30">
        <w:rPr>
          <w:lang w:val="fr-FR"/>
        </w:rPr>
        <w:t>de chaque</w:t>
      </w:r>
      <w:r w:rsidR="000B562B" w:rsidRPr="00A176EA">
        <w:rPr>
          <w:lang w:val="fr-FR"/>
        </w:rPr>
        <w:t xml:space="preserve"> juridiction</w:t>
      </w:r>
      <w:r w:rsidR="00EB3D30">
        <w:rPr>
          <w:lang w:val="fr-FR"/>
        </w:rPr>
        <w:t>)</w:t>
      </w:r>
      <w:r w:rsidR="000B562B" w:rsidRPr="00A176EA">
        <w:rPr>
          <w:lang w:val="fr-FR"/>
        </w:rPr>
        <w:t>.</w:t>
      </w:r>
    </w:p>
    <w:p w:rsidR="000B562B" w:rsidRPr="00A176EA" w:rsidRDefault="0060684C" w:rsidP="00576F7E">
      <w:pPr>
        <w:pStyle w:val="H23G"/>
        <w:rPr>
          <w:snapToGrid w:val="0"/>
          <w:lang w:val="fr-FR"/>
        </w:rPr>
      </w:pPr>
      <w:r w:rsidRPr="00EB3D30">
        <w:rPr>
          <w:snapToGrid w:val="0"/>
          <w:lang w:val="fr-FR"/>
        </w:rPr>
        <w:t>Angleterre et p</w:t>
      </w:r>
      <w:r w:rsidR="005601A1" w:rsidRPr="00EB3D30">
        <w:rPr>
          <w:snapToGrid w:val="0"/>
          <w:lang w:val="fr-FR"/>
        </w:rPr>
        <w:t>ays de Galles</w:t>
      </w:r>
    </w:p>
    <w:p w:rsidR="000B562B" w:rsidRPr="00A176EA" w:rsidRDefault="002549A9" w:rsidP="00365910">
      <w:pPr>
        <w:pStyle w:val="SingleTxtG"/>
        <w:rPr>
          <w:lang w:val="fr-FR"/>
        </w:rPr>
      </w:pPr>
      <w:r w:rsidRPr="00A176EA">
        <w:rPr>
          <w:lang w:val="fr-FR"/>
        </w:rPr>
        <w:t>639.</w:t>
      </w:r>
      <w:r w:rsidRPr="00A176EA">
        <w:rPr>
          <w:lang w:val="fr-FR"/>
        </w:rPr>
        <w:tab/>
      </w:r>
      <w:r w:rsidR="00E91BCC" w:rsidRPr="00E91BCC">
        <w:rPr>
          <w:lang w:val="fr-FR"/>
        </w:rPr>
        <w:t xml:space="preserve">La loi de 2005 sur la réforme constitutionnelle a, pour la première fois, consacré l’indépendance judiciaire en Angleterre et au pays de Galles dans les textes législatifs. La loi a remplacé le </w:t>
      </w:r>
      <w:r w:rsidR="00CA4497">
        <w:rPr>
          <w:lang w:val="fr-FR"/>
        </w:rPr>
        <w:t>Lord Chancelier</w:t>
      </w:r>
      <w:r w:rsidR="00381DCB">
        <w:rPr>
          <w:lang w:val="fr-FR"/>
        </w:rPr>
        <w:t xml:space="preserve"> (Lord Chancellor)</w:t>
      </w:r>
      <w:r w:rsidR="00E91BCC" w:rsidRPr="00E91BCC">
        <w:rPr>
          <w:lang w:val="fr-FR"/>
        </w:rPr>
        <w:t xml:space="preserve"> à la tête de l’institution judiciaire par le </w:t>
      </w:r>
      <w:r w:rsidR="00E91BCC" w:rsidRPr="00CA4497">
        <w:rPr>
          <w:lang w:val="fr-FR"/>
        </w:rPr>
        <w:t>Lord Chief Justice</w:t>
      </w:r>
      <w:r w:rsidR="00E91BCC">
        <w:rPr>
          <w:lang w:val="fr-FR"/>
        </w:rPr>
        <w:t xml:space="preserve"> d’Angleterre et du p</w:t>
      </w:r>
      <w:r w:rsidR="005601A1">
        <w:rPr>
          <w:lang w:val="fr-FR"/>
        </w:rPr>
        <w:t>ays de Galles</w:t>
      </w:r>
      <w:r w:rsidR="000B562B" w:rsidRPr="00A176EA">
        <w:rPr>
          <w:lang w:val="fr-FR"/>
        </w:rPr>
        <w:t xml:space="preserve">, </w:t>
      </w:r>
      <w:r w:rsidR="00E91BCC" w:rsidRPr="00E91BCC">
        <w:rPr>
          <w:lang w:val="fr-FR"/>
        </w:rPr>
        <w:t>qui remplit également les fonctions de président des tribunaux</w:t>
      </w:r>
      <w:r w:rsidR="00E91BCC">
        <w:rPr>
          <w:lang w:val="fr-FR"/>
        </w:rPr>
        <w:t xml:space="preserve"> d’Angleterre et du p</w:t>
      </w:r>
      <w:r w:rsidR="005601A1">
        <w:rPr>
          <w:lang w:val="fr-FR"/>
        </w:rPr>
        <w:t>ays de Galles</w:t>
      </w:r>
      <w:r w:rsidR="000B562B" w:rsidRPr="00A176EA">
        <w:rPr>
          <w:lang w:val="fr-FR"/>
        </w:rPr>
        <w:t>.</w:t>
      </w:r>
    </w:p>
    <w:p w:rsidR="000B562B" w:rsidRPr="00A176EA" w:rsidRDefault="002549A9" w:rsidP="00365910">
      <w:pPr>
        <w:pStyle w:val="SingleTxtG"/>
        <w:rPr>
          <w:lang w:val="fr-FR"/>
        </w:rPr>
      </w:pPr>
      <w:r w:rsidRPr="00A176EA">
        <w:rPr>
          <w:lang w:val="fr-FR"/>
        </w:rPr>
        <w:t>640.</w:t>
      </w:r>
      <w:r w:rsidRPr="00A176EA">
        <w:rPr>
          <w:lang w:val="fr-FR"/>
        </w:rPr>
        <w:tab/>
      </w:r>
      <w:r w:rsidR="00381DCB">
        <w:rPr>
          <w:lang w:val="fr-FR"/>
        </w:rPr>
        <w:t>La loi a par ailleurs porté création d’une nouvelle Cour suprême, chargé le Gouvernement de garantir l’indépendance du pouvoir judiciaire et créé la Commission des nominations judiciaires et la fonction de Médiateur des nominations judiciaires et de la déontologie de la magistrature</w:t>
      </w:r>
      <w:r w:rsidR="000B562B" w:rsidRPr="00A176EA">
        <w:rPr>
          <w:lang w:val="fr-FR"/>
        </w:rPr>
        <w:t>.</w:t>
      </w:r>
    </w:p>
    <w:p w:rsidR="000B562B" w:rsidRPr="00A176EA" w:rsidRDefault="002549A9" w:rsidP="00365910">
      <w:pPr>
        <w:pStyle w:val="SingleTxtG"/>
        <w:rPr>
          <w:szCs w:val="24"/>
          <w:lang w:val="fr-FR"/>
        </w:rPr>
      </w:pPr>
      <w:r w:rsidRPr="00A176EA">
        <w:rPr>
          <w:szCs w:val="24"/>
          <w:lang w:val="fr-FR"/>
        </w:rPr>
        <w:t>641.</w:t>
      </w:r>
      <w:r w:rsidRPr="00A176EA">
        <w:rPr>
          <w:szCs w:val="24"/>
          <w:lang w:val="fr-FR"/>
        </w:rPr>
        <w:tab/>
      </w:r>
      <w:r w:rsidR="00381DCB">
        <w:rPr>
          <w:lang w:val="fr-FR"/>
        </w:rPr>
        <w:t>B</w:t>
      </w:r>
      <w:r w:rsidR="00381DCB" w:rsidRPr="00381DCB">
        <w:rPr>
          <w:lang w:val="fr-FR"/>
        </w:rPr>
        <w:t xml:space="preserve">ien que la loi n’ait pas aboli le rôle du Lord </w:t>
      </w:r>
      <w:r w:rsidR="00CA4497">
        <w:rPr>
          <w:lang w:val="fr-FR"/>
        </w:rPr>
        <w:t>Chancelier</w:t>
      </w:r>
      <w:r w:rsidR="00381DCB" w:rsidRPr="00381DCB">
        <w:rPr>
          <w:lang w:val="fr-FR"/>
        </w:rPr>
        <w:t xml:space="preserve">, le transfert de ses fonctions judiciaires au </w:t>
      </w:r>
      <w:r w:rsidR="00381DCB" w:rsidRPr="00CA4497">
        <w:rPr>
          <w:lang w:val="fr-FR"/>
        </w:rPr>
        <w:t>Lord Chief Justice</w:t>
      </w:r>
      <w:r w:rsidR="00381DCB" w:rsidRPr="00381DCB">
        <w:rPr>
          <w:lang w:val="fr-FR"/>
        </w:rPr>
        <w:t xml:space="preserve"> renforce l’indépendance du pouvoir judiciaire au Royaume-Uni</w:t>
      </w:r>
      <w:r w:rsidR="000B562B" w:rsidRPr="00A176EA">
        <w:rPr>
          <w:lang w:val="fr-FR"/>
        </w:rPr>
        <w:t xml:space="preserve">. </w:t>
      </w:r>
      <w:r w:rsidR="00381DCB" w:rsidRPr="00381DCB">
        <w:rPr>
          <w:lang w:val="fr-FR"/>
        </w:rPr>
        <w:t>Il incombe au Lord Chief Justice, en tant que chef de l’institution judiciaire, quelque 400 tâches réglementaires</w:t>
      </w:r>
      <w:r w:rsidR="000B562B" w:rsidRPr="00A176EA">
        <w:rPr>
          <w:rStyle w:val="FootnoteReference"/>
          <w:szCs w:val="22"/>
        </w:rPr>
        <w:footnoteReference w:id="128"/>
      </w:r>
      <w:r w:rsidR="008805D4">
        <w:rPr>
          <w:lang w:val="fr-FR"/>
        </w:rPr>
        <w:t>,</w:t>
      </w:r>
      <w:r w:rsidR="000B562B" w:rsidRPr="00A176EA">
        <w:rPr>
          <w:lang w:val="fr-FR"/>
        </w:rPr>
        <w:t xml:space="preserve"> </w:t>
      </w:r>
      <w:r w:rsidR="008805D4" w:rsidRPr="008805D4">
        <w:rPr>
          <w:lang w:val="fr-FR"/>
        </w:rPr>
        <w:t>dont les plus importantes sont l’affectation des magistrats, la répartition du travail, la formation des magistrats, et notamment son rôle de représentant des avis de la magistrature auprès de l’exécutif et du législatif</w:t>
      </w:r>
      <w:r w:rsidR="000B562B" w:rsidRPr="00A176EA">
        <w:rPr>
          <w:lang w:val="fr-FR"/>
        </w:rPr>
        <w:t>.</w:t>
      </w:r>
    </w:p>
    <w:p w:rsidR="000B562B" w:rsidRPr="00A176EA" w:rsidRDefault="002549A9" w:rsidP="00365910">
      <w:pPr>
        <w:pStyle w:val="SingleTxtG"/>
        <w:rPr>
          <w:lang w:val="fr-FR"/>
        </w:rPr>
      </w:pPr>
      <w:r w:rsidRPr="00A176EA">
        <w:rPr>
          <w:lang w:val="fr-FR"/>
        </w:rPr>
        <w:t>642.</w:t>
      </w:r>
      <w:r w:rsidRPr="00A176EA">
        <w:rPr>
          <w:lang w:val="fr-FR"/>
        </w:rPr>
        <w:tab/>
      </w:r>
      <w:r w:rsidR="008805D4">
        <w:rPr>
          <w:lang w:val="fr-FR"/>
        </w:rPr>
        <w:t>La</w:t>
      </w:r>
      <w:r w:rsidR="000B562B" w:rsidRPr="00A176EA">
        <w:rPr>
          <w:lang w:val="fr-FR"/>
        </w:rPr>
        <w:t xml:space="preserve"> </w:t>
      </w:r>
      <w:r w:rsidR="008805D4" w:rsidRPr="00A176EA">
        <w:rPr>
          <w:lang w:val="fr-FR"/>
        </w:rPr>
        <w:t xml:space="preserve">Commission </w:t>
      </w:r>
      <w:r w:rsidR="008805D4">
        <w:rPr>
          <w:lang w:val="fr-FR"/>
        </w:rPr>
        <w:t>des nominations judiciaire</w:t>
      </w:r>
      <w:r w:rsidR="008B3227">
        <w:rPr>
          <w:lang w:val="fr-FR"/>
        </w:rPr>
        <w:t>s</w:t>
      </w:r>
      <w:r w:rsidR="008805D4">
        <w:rPr>
          <w:lang w:val="fr-FR"/>
        </w:rPr>
        <w:t xml:space="preserve"> se compose de 15 membres, dont 12 (y compris le Président</w:t>
      </w:r>
      <w:r w:rsidR="000B562B" w:rsidRPr="00A176EA">
        <w:rPr>
          <w:lang w:val="fr-FR"/>
        </w:rPr>
        <w:t xml:space="preserve">) </w:t>
      </w:r>
      <w:r w:rsidR="008805D4">
        <w:rPr>
          <w:lang w:val="fr-FR"/>
        </w:rPr>
        <w:t>sont nommés pour 5 ans à l’issue d’un concours ouvert à tous</w:t>
      </w:r>
      <w:r w:rsidR="000B562B" w:rsidRPr="00A176EA">
        <w:rPr>
          <w:lang w:val="fr-FR"/>
        </w:rPr>
        <w:t xml:space="preserve">. </w:t>
      </w:r>
      <w:r w:rsidR="008805D4">
        <w:rPr>
          <w:lang w:val="fr-FR"/>
        </w:rPr>
        <w:t>N</w:t>
      </w:r>
      <w:r w:rsidR="008805D4" w:rsidRPr="008805D4">
        <w:rPr>
          <w:lang w:val="fr-FR"/>
        </w:rPr>
        <w:t>on seulement chargée de faire des recommandations au sujet de la nomination des titulaires de fonctions judiciaires</w:t>
      </w:r>
      <w:r w:rsidR="000B562B" w:rsidRPr="00A176EA">
        <w:rPr>
          <w:lang w:val="fr-FR"/>
        </w:rPr>
        <w:t xml:space="preserve">, </w:t>
      </w:r>
      <w:r w:rsidR="008805D4">
        <w:rPr>
          <w:lang w:val="fr-FR"/>
        </w:rPr>
        <w:t>la Commission a aussi pour rôle de s’assurer de la diversité des candidats</w:t>
      </w:r>
      <w:r w:rsidR="000B562B" w:rsidRPr="00A176EA">
        <w:rPr>
          <w:lang w:val="fr-FR"/>
        </w:rPr>
        <w:t>.</w:t>
      </w:r>
    </w:p>
    <w:p w:rsidR="000B562B" w:rsidRPr="00A176EA" w:rsidRDefault="002549A9" w:rsidP="00365910">
      <w:pPr>
        <w:pStyle w:val="SingleTxtG"/>
        <w:rPr>
          <w:szCs w:val="24"/>
          <w:lang w:val="fr-FR"/>
        </w:rPr>
      </w:pPr>
      <w:r w:rsidRPr="00A176EA">
        <w:rPr>
          <w:szCs w:val="24"/>
          <w:lang w:val="fr-FR"/>
        </w:rPr>
        <w:t>643.</w:t>
      </w:r>
      <w:r w:rsidRPr="00A176EA">
        <w:rPr>
          <w:szCs w:val="24"/>
          <w:lang w:val="fr-FR"/>
        </w:rPr>
        <w:tab/>
      </w:r>
      <w:r w:rsidR="008805D4" w:rsidRPr="008805D4">
        <w:rPr>
          <w:lang w:val="fr-FR"/>
        </w:rPr>
        <w:t xml:space="preserve">Le Bureau des plaintes judiciaires veille, sous la responsabilité conjointe du Lord </w:t>
      </w:r>
      <w:r w:rsidR="000B43D6">
        <w:rPr>
          <w:lang w:val="fr-FR"/>
        </w:rPr>
        <w:t xml:space="preserve">Chancelier </w:t>
      </w:r>
      <w:r w:rsidR="008805D4" w:rsidRPr="008805D4">
        <w:rPr>
          <w:lang w:val="fr-FR"/>
        </w:rPr>
        <w:t xml:space="preserve">et du </w:t>
      </w:r>
      <w:r w:rsidR="008805D4" w:rsidRPr="00CA4497">
        <w:rPr>
          <w:lang w:val="fr-FR"/>
        </w:rPr>
        <w:t>Lord Chief Justice</w:t>
      </w:r>
      <w:r w:rsidR="008805D4" w:rsidRPr="008805D4">
        <w:rPr>
          <w:lang w:val="fr-FR"/>
        </w:rPr>
        <w:t xml:space="preserve">, à ce que toutes les plaintes relatives à la conduite de membres du </w:t>
      </w:r>
      <w:r w:rsidR="008B3227">
        <w:rPr>
          <w:lang w:val="fr-FR"/>
        </w:rPr>
        <w:t>corps</w:t>
      </w:r>
      <w:r w:rsidR="008805D4" w:rsidRPr="008805D4">
        <w:rPr>
          <w:lang w:val="fr-FR"/>
        </w:rPr>
        <w:t xml:space="preserve"> judiciaire soient traitées de manière impartiale et à ce que</w:t>
      </w:r>
      <w:r w:rsidR="008805D4">
        <w:rPr>
          <w:lang w:val="fr-FR"/>
        </w:rPr>
        <w:t xml:space="preserve"> la </w:t>
      </w:r>
      <w:r w:rsidR="000B562B" w:rsidRPr="00A176EA">
        <w:rPr>
          <w:lang w:val="fr-FR"/>
        </w:rPr>
        <w:t xml:space="preserve">discipline </w:t>
      </w:r>
      <w:r w:rsidR="008805D4">
        <w:rPr>
          <w:lang w:val="fr-FR"/>
        </w:rPr>
        <w:t xml:space="preserve">judiciaire soit cohérente et appropriée. </w:t>
      </w:r>
      <w:r w:rsidR="00533A61" w:rsidRPr="00533A61">
        <w:rPr>
          <w:lang w:val="fr-FR"/>
        </w:rPr>
        <w:t xml:space="preserve">Il relève du Ministère de la justice, qui est chargé </w:t>
      </w:r>
      <w:r w:rsidR="00DC42CB">
        <w:rPr>
          <w:lang w:val="fr-FR"/>
        </w:rPr>
        <w:t>d’appuyer</w:t>
      </w:r>
      <w:r w:rsidR="00533A61" w:rsidRPr="00533A61">
        <w:rPr>
          <w:lang w:val="fr-FR"/>
        </w:rPr>
        <w:t xml:space="preserve"> l’institution judiciaire en Angleterre et au pays de Galles</w:t>
      </w:r>
      <w:r w:rsidR="000B562B" w:rsidRPr="00A176EA">
        <w:rPr>
          <w:lang w:val="fr-FR"/>
        </w:rPr>
        <w:t xml:space="preserve">. </w:t>
      </w:r>
      <w:r w:rsidR="0068366A">
        <w:rPr>
          <w:lang w:val="fr-FR"/>
        </w:rPr>
        <w:t>Indépendant du Bureau des plaintes judiciaires, le Médiateur des nominations judiciaires et de la déontologie de la magistrature</w:t>
      </w:r>
      <w:r w:rsidR="000B562B" w:rsidRPr="00A176EA">
        <w:rPr>
          <w:lang w:val="fr-FR"/>
        </w:rPr>
        <w:t xml:space="preserve"> </w:t>
      </w:r>
      <w:r w:rsidR="0068366A" w:rsidRPr="0068366A">
        <w:rPr>
          <w:lang w:val="fr-FR"/>
        </w:rPr>
        <w:t xml:space="preserve">traite </w:t>
      </w:r>
      <w:r w:rsidR="00DC42CB">
        <w:rPr>
          <w:lang w:val="fr-FR"/>
        </w:rPr>
        <w:t>l</w:t>
      </w:r>
      <w:r w:rsidR="0068366A" w:rsidRPr="0068366A">
        <w:rPr>
          <w:lang w:val="fr-FR"/>
        </w:rPr>
        <w:t>es plaintes se rapportant à la nomination des membres de la profession judiciaire et veille à l’application des mesures disciplinaires et au respect des règles de bonne conduite de la profession</w:t>
      </w:r>
      <w:r w:rsidR="000B562B" w:rsidRPr="00A176EA">
        <w:rPr>
          <w:lang w:val="fr-FR"/>
        </w:rPr>
        <w:t xml:space="preserve">. </w:t>
      </w:r>
      <w:r w:rsidR="0068366A">
        <w:rPr>
          <w:lang w:val="fr-FR"/>
        </w:rPr>
        <w:t xml:space="preserve">Bien qu’il </w:t>
      </w:r>
      <w:r w:rsidR="0068366A" w:rsidRPr="0068366A">
        <w:rPr>
          <w:lang w:val="fr-FR"/>
        </w:rPr>
        <w:t>relève également du Ministère de la justice, il travaille en toute autonomie par rapport à l’ordre judiciaire et au Gouvernement</w:t>
      </w:r>
      <w:r w:rsidR="000B562B" w:rsidRPr="00A176EA">
        <w:rPr>
          <w:lang w:val="fr-FR"/>
        </w:rPr>
        <w:t>.</w:t>
      </w:r>
    </w:p>
    <w:p w:rsidR="000B562B" w:rsidRPr="00A176EA" w:rsidRDefault="002549A9" w:rsidP="00365910">
      <w:pPr>
        <w:pStyle w:val="SingleTxtG"/>
        <w:rPr>
          <w:szCs w:val="24"/>
          <w:lang w:val="fr-FR"/>
        </w:rPr>
      </w:pPr>
      <w:r w:rsidRPr="00A176EA">
        <w:rPr>
          <w:szCs w:val="24"/>
          <w:lang w:val="fr-FR"/>
        </w:rPr>
        <w:t>644.</w:t>
      </w:r>
      <w:r w:rsidRPr="00A176EA">
        <w:rPr>
          <w:szCs w:val="24"/>
          <w:lang w:val="fr-FR"/>
        </w:rPr>
        <w:tab/>
      </w:r>
      <w:r w:rsidR="008A6443">
        <w:rPr>
          <w:lang w:val="fr-FR"/>
        </w:rPr>
        <w:t>Il y a environ</w:t>
      </w:r>
      <w:r w:rsidR="000B562B" w:rsidRPr="00A176EA">
        <w:rPr>
          <w:lang w:val="fr-FR"/>
        </w:rPr>
        <w:t xml:space="preserve"> 1</w:t>
      </w:r>
      <w:r w:rsidR="00B5125A">
        <w:rPr>
          <w:lang w:val="fr-FR"/>
        </w:rPr>
        <w:t> </w:t>
      </w:r>
      <w:r w:rsidR="000B562B" w:rsidRPr="00A176EA">
        <w:rPr>
          <w:lang w:val="fr-FR"/>
        </w:rPr>
        <w:t>448</w:t>
      </w:r>
      <w:r w:rsidR="000B562B" w:rsidRPr="00A176EA">
        <w:rPr>
          <w:rStyle w:val="FootnoteReference"/>
          <w:szCs w:val="22"/>
        </w:rPr>
        <w:footnoteReference w:id="129"/>
      </w:r>
      <w:r w:rsidR="000B562B" w:rsidRPr="00A176EA">
        <w:rPr>
          <w:lang w:val="fr-FR"/>
        </w:rPr>
        <w:t xml:space="preserve"> </w:t>
      </w:r>
      <w:r w:rsidR="008A6443">
        <w:rPr>
          <w:lang w:val="fr-FR"/>
        </w:rPr>
        <w:t>juges</w:t>
      </w:r>
      <w:r w:rsidR="000B562B" w:rsidRPr="00A176EA">
        <w:rPr>
          <w:lang w:val="fr-FR"/>
        </w:rPr>
        <w:t xml:space="preserve"> (salari</w:t>
      </w:r>
      <w:r w:rsidR="008A6443">
        <w:rPr>
          <w:lang w:val="fr-FR"/>
        </w:rPr>
        <w:t>és</w:t>
      </w:r>
      <w:r w:rsidR="000B562B" w:rsidRPr="00A176EA">
        <w:rPr>
          <w:lang w:val="fr-FR"/>
        </w:rPr>
        <w:t xml:space="preserve">) </w:t>
      </w:r>
      <w:r w:rsidR="008A6443">
        <w:rPr>
          <w:lang w:val="fr-FR"/>
        </w:rPr>
        <w:t>à plein temps</w:t>
      </w:r>
      <w:r w:rsidR="000B562B" w:rsidRPr="00A176EA">
        <w:rPr>
          <w:lang w:val="fr-FR"/>
        </w:rPr>
        <w:t xml:space="preserve"> </w:t>
      </w:r>
      <w:r w:rsidR="008A6443" w:rsidRPr="008A6443">
        <w:rPr>
          <w:lang w:val="fr-FR"/>
        </w:rPr>
        <w:t xml:space="preserve">en Angleterre et au pays </w:t>
      </w:r>
      <w:r w:rsidR="005601A1">
        <w:rPr>
          <w:lang w:val="fr-FR"/>
        </w:rPr>
        <w:t>de Galles</w:t>
      </w:r>
      <w:r w:rsidR="000B562B" w:rsidRPr="00A176EA">
        <w:rPr>
          <w:lang w:val="fr-FR"/>
        </w:rPr>
        <w:t xml:space="preserve">. </w:t>
      </w:r>
      <w:r w:rsidR="008A6443" w:rsidRPr="008A6443">
        <w:rPr>
          <w:lang w:val="fr-FR"/>
        </w:rPr>
        <w:t xml:space="preserve">En sus de ces juges à plein temps, il y a environ </w:t>
      </w:r>
      <w:r w:rsidR="000B562B" w:rsidRPr="00A176EA">
        <w:rPr>
          <w:lang w:val="fr-FR"/>
        </w:rPr>
        <w:t>1</w:t>
      </w:r>
      <w:r w:rsidR="008A6443">
        <w:rPr>
          <w:lang w:val="fr-FR"/>
        </w:rPr>
        <w:t xml:space="preserve"> </w:t>
      </w:r>
      <w:r w:rsidR="000B562B" w:rsidRPr="00A176EA">
        <w:rPr>
          <w:lang w:val="fr-FR"/>
        </w:rPr>
        <w:t>233</w:t>
      </w:r>
      <w:r w:rsidR="000B562B" w:rsidRPr="00A176EA">
        <w:rPr>
          <w:rStyle w:val="FootnoteReference"/>
          <w:szCs w:val="24"/>
        </w:rPr>
        <w:footnoteReference w:id="130"/>
      </w:r>
      <w:r w:rsidR="000B562B" w:rsidRPr="00A176EA">
        <w:rPr>
          <w:lang w:val="fr-FR"/>
        </w:rPr>
        <w:t xml:space="preserve"> </w:t>
      </w:r>
      <w:r w:rsidR="000B562B" w:rsidRPr="006D07AA">
        <w:rPr>
          <w:i/>
          <w:lang w:val="fr-FR"/>
        </w:rPr>
        <w:t>recorders</w:t>
      </w:r>
      <w:r w:rsidR="00C77239" w:rsidRPr="00C77239">
        <w:rPr>
          <w:lang w:val="fr-FR"/>
        </w:rPr>
        <w:t xml:space="preserve"> (juge</w:t>
      </w:r>
      <w:r w:rsidR="00C77239">
        <w:rPr>
          <w:lang w:val="fr-FR"/>
        </w:rPr>
        <w:t>s</w:t>
      </w:r>
      <w:r w:rsidR="00C77239" w:rsidRPr="00C77239">
        <w:rPr>
          <w:lang w:val="fr-FR"/>
        </w:rPr>
        <w:t xml:space="preserve"> rapporteur</w:t>
      </w:r>
      <w:r w:rsidR="00C77239">
        <w:rPr>
          <w:lang w:val="fr-FR"/>
        </w:rPr>
        <w:t>s</w:t>
      </w:r>
      <w:r w:rsidR="00C77239" w:rsidRPr="00C77239">
        <w:rPr>
          <w:lang w:val="fr-FR"/>
        </w:rPr>
        <w:t>)</w:t>
      </w:r>
      <w:r w:rsidR="00EF0787" w:rsidRPr="00C77239">
        <w:rPr>
          <w:lang w:val="fr-FR"/>
        </w:rPr>
        <w:t>,</w:t>
      </w:r>
      <w:r w:rsidR="000B562B" w:rsidRPr="00C77239">
        <w:rPr>
          <w:lang w:val="fr-FR"/>
        </w:rPr>
        <w:t xml:space="preserve"> </w:t>
      </w:r>
      <w:r w:rsidR="008A6443" w:rsidRPr="00C77239">
        <w:rPr>
          <w:lang w:val="fr-FR"/>
        </w:rPr>
        <w:t>d</w:t>
      </w:r>
      <w:r w:rsidR="008A6443" w:rsidRPr="008A6443">
        <w:rPr>
          <w:lang w:val="fr-FR"/>
        </w:rPr>
        <w:t xml:space="preserve">es avocats en exercice siégeant à temps partiel (rémunérés </w:t>
      </w:r>
      <w:r w:rsidR="008A6443">
        <w:rPr>
          <w:lang w:val="fr-FR"/>
        </w:rPr>
        <w:t>en honoraires</w:t>
      </w:r>
      <w:r w:rsidR="008A6443" w:rsidRPr="008A6443">
        <w:rPr>
          <w:lang w:val="fr-FR"/>
        </w:rPr>
        <w:t xml:space="preserve">) </w:t>
      </w:r>
      <w:r w:rsidR="00603914">
        <w:rPr>
          <w:lang w:val="fr-FR"/>
        </w:rPr>
        <w:t>à la</w:t>
      </w:r>
      <w:r w:rsidR="008A6443" w:rsidRPr="008A6443">
        <w:rPr>
          <w:lang w:val="fr-FR"/>
        </w:rPr>
        <w:t xml:space="preserve"> </w:t>
      </w:r>
      <w:r w:rsidR="00E857CF" w:rsidRPr="00E857CF">
        <w:rPr>
          <w:lang w:val="fr-FR"/>
        </w:rPr>
        <w:t xml:space="preserve">Cour de la Couronne </w:t>
      </w:r>
      <w:r w:rsidR="008A6443">
        <w:rPr>
          <w:lang w:val="fr-FR"/>
        </w:rPr>
        <w:t xml:space="preserve">et dans les </w:t>
      </w:r>
      <w:r w:rsidR="00000CC2">
        <w:rPr>
          <w:lang w:val="fr-FR"/>
        </w:rPr>
        <w:t>T</w:t>
      </w:r>
      <w:r w:rsidR="008A6443">
        <w:rPr>
          <w:lang w:val="fr-FR"/>
        </w:rPr>
        <w:t>ribunaux de comté</w:t>
      </w:r>
      <w:r w:rsidR="000B562B" w:rsidRPr="00A176EA">
        <w:rPr>
          <w:lang w:val="fr-FR"/>
        </w:rPr>
        <w:t xml:space="preserve">. </w:t>
      </w:r>
      <w:r w:rsidR="008A6443">
        <w:rPr>
          <w:lang w:val="fr-FR"/>
        </w:rPr>
        <w:t xml:space="preserve">Certains siègent </w:t>
      </w:r>
      <w:r w:rsidR="008A6443" w:rsidRPr="008A6443">
        <w:rPr>
          <w:lang w:val="fr-FR"/>
        </w:rPr>
        <w:t xml:space="preserve">aussi occasionnellement à la Haute Cour comme juges </w:t>
      </w:r>
      <w:r w:rsidR="00EF0787">
        <w:rPr>
          <w:lang w:val="fr-FR"/>
        </w:rPr>
        <w:t xml:space="preserve">de district </w:t>
      </w:r>
      <w:r w:rsidR="00DC42CB">
        <w:rPr>
          <w:lang w:val="fr-FR"/>
        </w:rPr>
        <w:t>suppléants</w:t>
      </w:r>
      <w:r w:rsidR="008A6443" w:rsidRPr="008A6443">
        <w:rPr>
          <w:lang w:val="fr-FR"/>
        </w:rPr>
        <w:t xml:space="preserve"> et d’autres </w:t>
      </w:r>
      <w:r w:rsidR="008A6443">
        <w:rPr>
          <w:lang w:val="fr-FR"/>
        </w:rPr>
        <w:t>à temps partiel dans</w:t>
      </w:r>
      <w:r w:rsidR="00EF0787">
        <w:rPr>
          <w:lang w:val="fr-FR"/>
        </w:rPr>
        <w:t xml:space="preserve"> </w:t>
      </w:r>
      <w:r w:rsidR="008A6443">
        <w:rPr>
          <w:lang w:val="fr-FR"/>
        </w:rPr>
        <w:t xml:space="preserve">les </w:t>
      </w:r>
      <w:r w:rsidR="00000CC2">
        <w:rPr>
          <w:lang w:val="fr-FR"/>
        </w:rPr>
        <w:t>T</w:t>
      </w:r>
      <w:r w:rsidR="008A6443">
        <w:rPr>
          <w:lang w:val="fr-FR"/>
        </w:rPr>
        <w:t xml:space="preserve">ribunaux de comté, également comme </w:t>
      </w:r>
      <w:r w:rsidR="00DC42CB">
        <w:rPr>
          <w:lang w:val="fr-FR"/>
        </w:rPr>
        <w:t>suppléants</w:t>
      </w:r>
      <w:r w:rsidR="000B562B" w:rsidRPr="00A176EA">
        <w:rPr>
          <w:lang w:val="fr-FR"/>
        </w:rPr>
        <w:t xml:space="preserve">. </w:t>
      </w:r>
      <w:r w:rsidR="00EF0787">
        <w:rPr>
          <w:lang w:val="fr-FR"/>
        </w:rPr>
        <w:t xml:space="preserve">Par ailleurs, environ 30 000 magistrats siègent dans les </w:t>
      </w:r>
      <w:r w:rsidR="000B0B40">
        <w:rPr>
          <w:lang w:val="fr-FR"/>
        </w:rPr>
        <w:t xml:space="preserve">Tribunaux </w:t>
      </w:r>
      <w:r w:rsidR="000B0B40" w:rsidRPr="000B0B40">
        <w:rPr>
          <w:lang w:val="fr-FR"/>
        </w:rPr>
        <w:t>d’instance (</w:t>
      </w:r>
      <w:r w:rsidR="00B30A43" w:rsidRPr="000B0B40">
        <w:rPr>
          <w:lang w:val="fr-FR"/>
        </w:rPr>
        <w:t>M</w:t>
      </w:r>
      <w:r w:rsidR="000B562B" w:rsidRPr="000B0B40">
        <w:rPr>
          <w:lang w:val="fr-FR"/>
        </w:rPr>
        <w:t>agistrates’ courts</w:t>
      </w:r>
      <w:r w:rsidR="000B0B40" w:rsidRPr="000B0B40">
        <w:rPr>
          <w:lang w:val="fr-FR"/>
        </w:rPr>
        <w:t>)</w:t>
      </w:r>
      <w:r w:rsidR="000B562B" w:rsidRPr="000B0B40">
        <w:rPr>
          <w:lang w:val="fr-FR"/>
        </w:rPr>
        <w:t xml:space="preserve">. </w:t>
      </w:r>
      <w:r w:rsidR="00207D38" w:rsidRPr="000B0B40">
        <w:rPr>
          <w:lang w:val="fr-FR"/>
        </w:rPr>
        <w:t>Ce sont de</w:t>
      </w:r>
      <w:r w:rsidR="00207D38" w:rsidRPr="00207D38">
        <w:rPr>
          <w:lang w:val="fr-FR"/>
        </w:rPr>
        <w:t xml:space="preserve"> simples citoyens qui consacrent bénévolement une partie de leur temps à administrer la justice locale</w:t>
      </w:r>
      <w:r w:rsidR="000B562B" w:rsidRPr="00A176EA">
        <w:rPr>
          <w:lang w:val="fr-FR"/>
        </w:rPr>
        <w:t xml:space="preserve">. </w:t>
      </w:r>
      <w:r w:rsidR="00207D38" w:rsidRPr="00207D38">
        <w:rPr>
          <w:lang w:val="fr-FR"/>
        </w:rPr>
        <w:t xml:space="preserve">Ils siègent habituellement à trois et sont secondés par un greffier qui possède une formation juridique et les conseille sur des points de droit. Ainsi, l’une des caractéristiques de l’administration de la justice dans ce pays tient à ce qu’un petit nombre de juges professionnels sont secondés par un grand nombre de magistrats </w:t>
      </w:r>
      <w:r w:rsidR="00285994">
        <w:rPr>
          <w:lang w:val="fr-FR"/>
        </w:rPr>
        <w:t xml:space="preserve">non professionnels </w:t>
      </w:r>
      <w:r w:rsidR="00207D38" w:rsidRPr="00207D38">
        <w:rPr>
          <w:lang w:val="fr-FR"/>
        </w:rPr>
        <w:t>qui connaissent de la grande majorité des affaires pénales mineures</w:t>
      </w:r>
      <w:r w:rsidR="000B562B" w:rsidRPr="00A176EA">
        <w:rPr>
          <w:lang w:val="fr-FR"/>
        </w:rPr>
        <w:t>.</w:t>
      </w:r>
    </w:p>
    <w:p w:rsidR="000B562B" w:rsidRPr="00A176EA" w:rsidRDefault="002549A9" w:rsidP="00365910">
      <w:pPr>
        <w:pStyle w:val="SingleTxtG"/>
        <w:rPr>
          <w:lang w:val="fr-FR"/>
        </w:rPr>
      </w:pPr>
      <w:r w:rsidRPr="00A176EA">
        <w:rPr>
          <w:lang w:val="fr-FR"/>
        </w:rPr>
        <w:t>645.</w:t>
      </w:r>
      <w:r w:rsidRPr="00A176EA">
        <w:rPr>
          <w:lang w:val="fr-FR"/>
        </w:rPr>
        <w:tab/>
      </w:r>
      <w:r w:rsidR="00EF338D" w:rsidRPr="00EF338D">
        <w:rPr>
          <w:lang w:val="fr-FR"/>
        </w:rPr>
        <w:t>La totale indépendance des juges dans l’exercice de leurs fonctions est un principe fondamental. Il est inévitable et approprié que le Parlement et l’exécutif surveillent de très près le pouvoir judiciaire et l’application du droit par les tribunaux. Mais il est généralement admis que les membres du Parlement et les politiques ne doivent pas critiquer les décisions de justice, même si le Parlement est habilité à en annuler le</w:t>
      </w:r>
      <w:r w:rsidR="00285994">
        <w:rPr>
          <w:lang w:val="fr-FR"/>
        </w:rPr>
        <w:t>ur</w:t>
      </w:r>
      <w:r w:rsidR="00EF338D" w:rsidRPr="00EF338D">
        <w:rPr>
          <w:lang w:val="fr-FR"/>
        </w:rPr>
        <w:t>s effets généraux en légiférant. Si le Parlement et l’exécutif ne doivent pas s’immiscer dans les affaires judiciaires, les juges sont censés se tenir à l’écart de la politique. Les juges à plein temps ne peuvent être membres de la Chambre des communes</w:t>
      </w:r>
      <w:r w:rsidR="00EF338D">
        <w:rPr>
          <w:lang w:val="fr-FR"/>
        </w:rPr>
        <w:t xml:space="preserve"> et</w:t>
      </w:r>
      <w:r w:rsidR="000B562B" w:rsidRPr="00A176EA">
        <w:rPr>
          <w:lang w:val="fr-FR"/>
        </w:rPr>
        <w:t xml:space="preserve"> </w:t>
      </w:r>
      <w:r w:rsidR="00EF338D">
        <w:rPr>
          <w:lang w:val="fr-FR"/>
        </w:rPr>
        <w:t>les Lords d’appel ordinaire et autres hauts magistrats membres de la Chambre des lords</w:t>
      </w:r>
      <w:r w:rsidR="000B562B" w:rsidRPr="00A176EA">
        <w:rPr>
          <w:lang w:val="fr-FR"/>
        </w:rPr>
        <w:t xml:space="preserve"> </w:t>
      </w:r>
      <w:r w:rsidR="00EF338D">
        <w:rPr>
          <w:lang w:val="fr-FR"/>
        </w:rPr>
        <w:t>n’y participent généralement pas, sauf</w:t>
      </w:r>
      <w:r w:rsidR="000B562B" w:rsidRPr="00A176EA">
        <w:rPr>
          <w:lang w:val="fr-FR"/>
        </w:rPr>
        <w:t xml:space="preserve"> </w:t>
      </w:r>
      <w:r w:rsidR="00EF338D">
        <w:rPr>
          <w:lang w:val="fr-FR"/>
        </w:rPr>
        <w:t>pour les questions juridiques</w:t>
      </w:r>
      <w:r w:rsidR="000B562B" w:rsidRPr="00A176EA">
        <w:rPr>
          <w:lang w:val="fr-FR"/>
        </w:rPr>
        <w:t xml:space="preserve">. </w:t>
      </w:r>
      <w:r w:rsidR="00EF338D" w:rsidRPr="00EF338D">
        <w:rPr>
          <w:lang w:val="fr-FR"/>
        </w:rPr>
        <w:t>En vertu de la loi de 2005 sur la réforme constitutionnelle, les juges de la Cour suprême ne peuvent ni siéger ni voter à la Chambre des lords, dans une commission de la Chambre ou dans une commission mixte des deux chambres</w:t>
      </w:r>
      <w:r w:rsidR="000B562B" w:rsidRPr="00A176EA">
        <w:rPr>
          <w:lang w:val="fr-FR"/>
        </w:rPr>
        <w:t>.</w:t>
      </w:r>
    </w:p>
    <w:p w:rsidR="000B562B" w:rsidRPr="00A176EA" w:rsidRDefault="002549A9" w:rsidP="00365910">
      <w:pPr>
        <w:pStyle w:val="SingleTxtG"/>
        <w:rPr>
          <w:szCs w:val="24"/>
          <w:lang w:val="fr-FR"/>
        </w:rPr>
      </w:pPr>
      <w:r w:rsidRPr="00A176EA">
        <w:rPr>
          <w:szCs w:val="24"/>
          <w:lang w:val="fr-FR"/>
        </w:rPr>
        <w:t>646.</w:t>
      </w:r>
      <w:r w:rsidRPr="00A176EA">
        <w:rPr>
          <w:szCs w:val="24"/>
          <w:lang w:val="fr-FR"/>
        </w:rPr>
        <w:tab/>
      </w:r>
      <w:r w:rsidR="005E486E">
        <w:rPr>
          <w:szCs w:val="24"/>
          <w:lang w:val="fr-FR"/>
        </w:rPr>
        <w:t>L</w:t>
      </w:r>
      <w:r w:rsidR="000B43D6">
        <w:rPr>
          <w:szCs w:val="24"/>
          <w:lang w:val="fr-FR"/>
        </w:rPr>
        <w:t xml:space="preserve">e Procureur général </w:t>
      </w:r>
      <w:r w:rsidR="00EF338D">
        <w:rPr>
          <w:szCs w:val="24"/>
          <w:lang w:val="fr-FR"/>
        </w:rPr>
        <w:t>(</w:t>
      </w:r>
      <w:r w:rsidR="000B43D6" w:rsidRPr="00A176EA">
        <w:rPr>
          <w:lang w:val="fr-FR"/>
        </w:rPr>
        <w:t>Attorney General</w:t>
      </w:r>
      <w:r w:rsidR="00EF338D">
        <w:rPr>
          <w:lang w:val="fr-FR"/>
        </w:rPr>
        <w:t>)</w:t>
      </w:r>
      <w:r w:rsidR="00EF338D">
        <w:rPr>
          <w:szCs w:val="24"/>
          <w:lang w:val="fr-FR"/>
        </w:rPr>
        <w:t xml:space="preserve"> et le </w:t>
      </w:r>
      <w:r w:rsidR="000B43D6">
        <w:rPr>
          <w:szCs w:val="24"/>
          <w:lang w:val="fr-FR"/>
        </w:rPr>
        <w:t xml:space="preserve">Procureur général adjoint </w:t>
      </w:r>
      <w:r w:rsidR="00EF338D">
        <w:rPr>
          <w:szCs w:val="24"/>
          <w:lang w:val="fr-FR"/>
        </w:rPr>
        <w:t>(</w:t>
      </w:r>
      <w:r w:rsidR="000B43D6" w:rsidRPr="00A176EA">
        <w:rPr>
          <w:lang w:val="fr-FR"/>
        </w:rPr>
        <w:t>Solicitor General</w:t>
      </w:r>
      <w:r w:rsidR="00EF338D">
        <w:rPr>
          <w:lang w:val="fr-FR"/>
        </w:rPr>
        <w:t>)</w:t>
      </w:r>
      <w:r w:rsidR="000B562B" w:rsidRPr="00A176EA">
        <w:rPr>
          <w:lang w:val="fr-FR"/>
        </w:rPr>
        <w:t xml:space="preserve"> </w:t>
      </w:r>
      <w:r w:rsidR="00F721F6" w:rsidRPr="00F721F6">
        <w:rPr>
          <w:lang w:val="fr-FR"/>
        </w:rPr>
        <w:t xml:space="preserve">sont les principaux conseillers juridiques du Gouvernement en matière de droit anglais et représentent la Couronne dans les affaires tant intérieures qu’internationales. Avocats </w:t>
      </w:r>
      <w:r w:rsidR="00965D05">
        <w:rPr>
          <w:lang w:val="fr-FR"/>
        </w:rPr>
        <w:t>expérimentés</w:t>
      </w:r>
      <w:r w:rsidR="00F721F6" w:rsidRPr="00F721F6">
        <w:rPr>
          <w:lang w:val="fr-FR"/>
        </w:rPr>
        <w:t>, ce</w:t>
      </w:r>
      <w:r w:rsidR="00DC42CB">
        <w:rPr>
          <w:lang w:val="fr-FR"/>
        </w:rPr>
        <w:t>s</w:t>
      </w:r>
      <w:r w:rsidR="00F721F6" w:rsidRPr="00F721F6">
        <w:rPr>
          <w:lang w:val="fr-FR"/>
        </w:rPr>
        <w:t xml:space="preserve"> membres élus de la Chambre des communes</w:t>
      </w:r>
      <w:r w:rsidR="00DC42CB">
        <w:rPr>
          <w:lang w:val="fr-FR"/>
        </w:rPr>
        <w:t xml:space="preserve"> sont</w:t>
      </w:r>
      <w:r w:rsidR="00F721F6" w:rsidRPr="00F721F6">
        <w:rPr>
          <w:lang w:val="fr-FR"/>
        </w:rPr>
        <w:t xml:space="preserve"> titulaires de postes ministériels. L</w:t>
      </w:r>
      <w:r w:rsidR="000B43D6">
        <w:rPr>
          <w:lang w:val="fr-FR"/>
        </w:rPr>
        <w:t>e Procureur général</w:t>
      </w:r>
      <w:r w:rsidR="000B43D6" w:rsidRPr="00F721F6">
        <w:rPr>
          <w:lang w:val="fr-FR"/>
        </w:rPr>
        <w:t xml:space="preserve"> </w:t>
      </w:r>
      <w:r w:rsidR="00F721F6" w:rsidRPr="00F721F6">
        <w:rPr>
          <w:lang w:val="fr-FR"/>
        </w:rPr>
        <w:t xml:space="preserve">est également </w:t>
      </w:r>
      <w:r w:rsidR="000B43D6">
        <w:rPr>
          <w:lang w:val="fr-FR"/>
        </w:rPr>
        <w:t>Procureur général</w:t>
      </w:r>
      <w:r w:rsidR="000B43D6" w:rsidRPr="00F721F6">
        <w:rPr>
          <w:lang w:val="fr-FR"/>
        </w:rPr>
        <w:t xml:space="preserve"> </w:t>
      </w:r>
      <w:r w:rsidR="00F721F6" w:rsidRPr="00F721F6">
        <w:rPr>
          <w:lang w:val="fr-FR"/>
        </w:rPr>
        <w:t xml:space="preserve">d’Irlande du Nord du fait que, depuis la dévolution des pouvoirs de police et de justice, en avril </w:t>
      </w:r>
      <w:r w:rsidR="000B562B" w:rsidRPr="00F721F6">
        <w:rPr>
          <w:lang w:val="fr-FR"/>
        </w:rPr>
        <w:t xml:space="preserve">2010, </w:t>
      </w:r>
      <w:r w:rsidR="00F721F6" w:rsidRPr="00F721F6">
        <w:rPr>
          <w:lang w:val="fr-FR"/>
        </w:rPr>
        <w:t>l’</w:t>
      </w:r>
      <w:r w:rsidR="008F3DA4" w:rsidRPr="00F721F6">
        <w:rPr>
          <w:lang w:val="fr-FR"/>
        </w:rPr>
        <w:t>Irlande du Nord</w:t>
      </w:r>
      <w:r w:rsidR="000B562B" w:rsidRPr="00F721F6">
        <w:rPr>
          <w:lang w:val="fr-FR"/>
        </w:rPr>
        <w:t xml:space="preserve"> </w:t>
      </w:r>
      <w:r w:rsidR="00F721F6" w:rsidRPr="00F721F6">
        <w:rPr>
          <w:lang w:val="fr-FR"/>
        </w:rPr>
        <w:t xml:space="preserve">a désormais son propre </w:t>
      </w:r>
      <w:r w:rsidR="000B43D6">
        <w:rPr>
          <w:lang w:val="fr-FR"/>
        </w:rPr>
        <w:t>Procureur général</w:t>
      </w:r>
      <w:r w:rsidR="000B562B" w:rsidRPr="00F721F6">
        <w:rPr>
          <w:lang w:val="fr-FR"/>
        </w:rPr>
        <w:t>.</w:t>
      </w:r>
      <w:r w:rsidR="000B562B" w:rsidRPr="00A176EA">
        <w:rPr>
          <w:lang w:val="fr-FR"/>
        </w:rPr>
        <w:t xml:space="preserve"> </w:t>
      </w:r>
      <w:r w:rsidR="00093AC8" w:rsidRPr="00093AC8">
        <w:rPr>
          <w:lang w:val="fr-FR"/>
        </w:rPr>
        <w:t>Outre de multiples fonctions de droit civil, il est responsable en dernier ressort de l’application de la législation pénale</w:t>
      </w:r>
      <w:r w:rsidR="00FC2B97">
        <w:rPr>
          <w:lang w:val="fr-FR"/>
        </w:rPr>
        <w:t>:</w:t>
      </w:r>
      <w:r w:rsidR="00093AC8" w:rsidRPr="00093AC8">
        <w:rPr>
          <w:lang w:val="fr-FR"/>
        </w:rPr>
        <w:t xml:space="preserve"> le </w:t>
      </w:r>
      <w:r w:rsidR="00FB00ED" w:rsidRPr="00FB00ED">
        <w:rPr>
          <w:lang w:val="fr-FR"/>
        </w:rPr>
        <w:t xml:space="preserve">Directeur du Parquet </w:t>
      </w:r>
      <w:r w:rsidR="000B562B" w:rsidRPr="00A176EA">
        <w:rPr>
          <w:lang w:val="fr-FR"/>
        </w:rPr>
        <w:t>(</w:t>
      </w:r>
      <w:r w:rsidR="00093AC8">
        <w:rPr>
          <w:lang w:val="fr-FR"/>
        </w:rPr>
        <w:t>voir</w:t>
      </w:r>
      <w:r w:rsidR="000B562B" w:rsidRPr="00A176EA">
        <w:rPr>
          <w:lang w:val="fr-FR"/>
        </w:rPr>
        <w:t xml:space="preserve"> </w:t>
      </w:r>
      <w:r w:rsidR="00250A6E">
        <w:rPr>
          <w:lang w:val="fr-FR"/>
        </w:rPr>
        <w:t>par.</w:t>
      </w:r>
      <w:r w:rsidR="000B562B" w:rsidRPr="00A176EA">
        <w:rPr>
          <w:lang w:val="fr-FR"/>
        </w:rPr>
        <w:t xml:space="preserve"> 660 </w:t>
      </w:r>
      <w:r w:rsidR="00093AC8">
        <w:rPr>
          <w:lang w:val="fr-FR"/>
        </w:rPr>
        <w:t>ci-après</w:t>
      </w:r>
      <w:r w:rsidR="000B562B" w:rsidRPr="00A176EA">
        <w:rPr>
          <w:lang w:val="fr-FR"/>
        </w:rPr>
        <w:t xml:space="preserve">) </w:t>
      </w:r>
      <w:r w:rsidR="003551A8" w:rsidRPr="003551A8">
        <w:rPr>
          <w:lang w:val="fr-FR"/>
        </w:rPr>
        <w:t xml:space="preserve">relève de l’autorité </w:t>
      </w:r>
      <w:r w:rsidR="000B43D6">
        <w:rPr>
          <w:lang w:val="fr-FR"/>
        </w:rPr>
        <w:t>du</w:t>
      </w:r>
      <w:r w:rsidR="003551A8" w:rsidRPr="003551A8">
        <w:rPr>
          <w:lang w:val="fr-FR"/>
        </w:rPr>
        <w:t xml:space="preserve"> </w:t>
      </w:r>
      <w:r w:rsidR="000B43D6">
        <w:rPr>
          <w:lang w:val="fr-FR"/>
        </w:rPr>
        <w:t>Procureur général</w:t>
      </w:r>
      <w:r w:rsidR="003551A8" w:rsidRPr="003551A8">
        <w:rPr>
          <w:lang w:val="fr-FR"/>
        </w:rPr>
        <w:t>. Ce dernier engage certaines procédures pénales mais doit faire preuve d’indépendance et de jugemen</w:t>
      </w:r>
      <w:r w:rsidR="006274B6">
        <w:rPr>
          <w:lang w:val="fr-FR"/>
        </w:rPr>
        <w:t>t</w:t>
      </w:r>
      <w:r w:rsidR="003551A8" w:rsidRPr="003551A8">
        <w:rPr>
          <w:lang w:val="fr-FR"/>
        </w:rPr>
        <w:t>, et ne doit pas se laisser influencer par les autres membres du gouvernement. Le Solicitor General est en fait l’adjoint de l’Attorney General</w:t>
      </w:r>
      <w:r w:rsidR="000B562B" w:rsidRPr="00A176EA">
        <w:rPr>
          <w:lang w:val="fr-FR"/>
        </w:rPr>
        <w:t>.</w:t>
      </w:r>
    </w:p>
    <w:p w:rsidR="000B562B" w:rsidRPr="00A176EA" w:rsidRDefault="00FD2CE1" w:rsidP="00576F7E">
      <w:pPr>
        <w:pStyle w:val="H23G"/>
        <w:rPr>
          <w:lang w:val="fr-FR"/>
        </w:rPr>
      </w:pPr>
      <w:r w:rsidRPr="006274B6">
        <w:rPr>
          <w:lang w:val="fr-FR"/>
        </w:rPr>
        <w:t>Écosse</w:t>
      </w:r>
    </w:p>
    <w:p w:rsidR="000B562B" w:rsidRPr="00A176EA" w:rsidRDefault="002549A9" w:rsidP="00365910">
      <w:pPr>
        <w:pStyle w:val="SingleTxtG"/>
        <w:rPr>
          <w:snapToGrid w:val="0"/>
          <w:lang w:val="fr-FR"/>
        </w:rPr>
      </w:pPr>
      <w:r w:rsidRPr="00A176EA">
        <w:rPr>
          <w:snapToGrid w:val="0"/>
          <w:lang w:val="fr-FR"/>
        </w:rPr>
        <w:t>647.</w:t>
      </w:r>
      <w:r w:rsidRPr="00A176EA">
        <w:rPr>
          <w:snapToGrid w:val="0"/>
          <w:lang w:val="fr-FR"/>
        </w:rPr>
        <w:tab/>
      </w:r>
      <w:r w:rsidR="006274B6">
        <w:rPr>
          <w:snapToGrid w:val="0"/>
          <w:lang w:val="fr-FR"/>
        </w:rPr>
        <w:t>Le système judiciaire écossais</w:t>
      </w:r>
      <w:r w:rsidR="000B562B" w:rsidRPr="00A176EA">
        <w:rPr>
          <w:snapToGrid w:val="0"/>
          <w:lang w:val="fr-FR"/>
        </w:rPr>
        <w:t xml:space="preserve"> </w:t>
      </w:r>
      <w:r w:rsidR="006274B6" w:rsidRPr="006274B6">
        <w:rPr>
          <w:snapToGrid w:val="0"/>
          <w:lang w:val="fr-FR"/>
        </w:rPr>
        <w:t>est distinct de celui du reste du Royaume-Uni</w:t>
      </w:r>
      <w:r w:rsidR="000B562B" w:rsidRPr="00A176EA">
        <w:rPr>
          <w:snapToGrid w:val="0"/>
          <w:lang w:val="fr-FR"/>
        </w:rPr>
        <w:t xml:space="preserve">. </w:t>
      </w:r>
      <w:r w:rsidR="004646FC">
        <w:rPr>
          <w:snapToGrid w:val="0"/>
          <w:lang w:val="fr-FR"/>
        </w:rPr>
        <w:t>La majeure partie de ses aspects sont dévolus au Parlement écossais en vertu de la loi de 1998 sur l’</w:t>
      </w:r>
      <w:r w:rsidR="004646FC" w:rsidRPr="004646FC">
        <w:rPr>
          <w:snapToGrid w:val="0"/>
          <w:lang w:val="fr-FR"/>
        </w:rPr>
        <w:t>Écosse</w:t>
      </w:r>
      <w:r w:rsidR="004646FC">
        <w:rPr>
          <w:snapToGrid w:val="0"/>
          <w:lang w:val="fr-FR"/>
        </w:rPr>
        <w:t>.</w:t>
      </w:r>
      <w:r w:rsidR="000B562B" w:rsidRPr="00A176EA">
        <w:rPr>
          <w:snapToGrid w:val="0"/>
          <w:lang w:val="fr-FR"/>
        </w:rPr>
        <w:t xml:space="preserve"> </w:t>
      </w:r>
      <w:r w:rsidR="006274B6">
        <w:rPr>
          <w:snapToGrid w:val="0"/>
          <w:lang w:val="fr-FR"/>
        </w:rPr>
        <w:t>Par conséquent</w:t>
      </w:r>
      <w:r w:rsidR="000B562B" w:rsidRPr="00A176EA">
        <w:rPr>
          <w:snapToGrid w:val="0"/>
          <w:lang w:val="fr-FR"/>
        </w:rPr>
        <w:t xml:space="preserve">, </w:t>
      </w:r>
      <w:r w:rsidR="006274B6">
        <w:rPr>
          <w:snapToGrid w:val="0"/>
          <w:lang w:val="fr-FR"/>
        </w:rPr>
        <w:t>le Gouvernement écossais</w:t>
      </w:r>
      <w:r w:rsidR="000B562B" w:rsidRPr="00A176EA">
        <w:rPr>
          <w:snapToGrid w:val="0"/>
          <w:lang w:val="fr-FR"/>
        </w:rPr>
        <w:t xml:space="preserve"> (</w:t>
      </w:r>
      <w:r w:rsidR="006274B6">
        <w:rPr>
          <w:snapToGrid w:val="0"/>
          <w:lang w:val="fr-FR"/>
        </w:rPr>
        <w:t>organe exécutif</w:t>
      </w:r>
      <w:r w:rsidR="000B562B" w:rsidRPr="00A176EA">
        <w:rPr>
          <w:snapToGrid w:val="0"/>
          <w:lang w:val="fr-FR"/>
        </w:rPr>
        <w:t xml:space="preserve"> </w:t>
      </w:r>
      <w:r w:rsidR="006274B6">
        <w:rPr>
          <w:snapToGrid w:val="0"/>
          <w:lang w:val="fr-FR"/>
        </w:rPr>
        <w:t>du</w:t>
      </w:r>
      <w:r w:rsidR="000B562B" w:rsidRPr="00A176EA">
        <w:rPr>
          <w:snapToGrid w:val="0"/>
          <w:lang w:val="fr-FR"/>
        </w:rPr>
        <w:t xml:space="preserve"> go</w:t>
      </w:r>
      <w:r w:rsidR="006274B6">
        <w:rPr>
          <w:snapToGrid w:val="0"/>
          <w:lang w:val="fr-FR"/>
        </w:rPr>
        <w:t>u</w:t>
      </w:r>
      <w:r w:rsidR="000B562B" w:rsidRPr="00A176EA">
        <w:rPr>
          <w:snapToGrid w:val="0"/>
          <w:lang w:val="fr-FR"/>
        </w:rPr>
        <w:t>vern</w:t>
      </w:r>
      <w:r w:rsidR="006274B6">
        <w:rPr>
          <w:snapToGrid w:val="0"/>
          <w:lang w:val="fr-FR"/>
        </w:rPr>
        <w:t>e</w:t>
      </w:r>
      <w:r w:rsidR="000B562B" w:rsidRPr="00A176EA">
        <w:rPr>
          <w:snapToGrid w:val="0"/>
          <w:lang w:val="fr-FR"/>
        </w:rPr>
        <w:t xml:space="preserve">ment </w:t>
      </w:r>
      <w:r w:rsidR="004646FC">
        <w:rPr>
          <w:snapToGrid w:val="0"/>
          <w:lang w:val="fr-FR"/>
        </w:rPr>
        <w:t>dévolu</w:t>
      </w:r>
      <w:r w:rsidR="006274B6">
        <w:rPr>
          <w:snapToGrid w:val="0"/>
          <w:lang w:val="fr-FR"/>
        </w:rPr>
        <w:t xml:space="preserve"> en</w:t>
      </w:r>
      <w:r w:rsidR="000B562B" w:rsidRPr="00A176EA">
        <w:rPr>
          <w:snapToGrid w:val="0"/>
          <w:lang w:val="fr-FR"/>
        </w:rPr>
        <w:t xml:space="preserve"> </w:t>
      </w:r>
      <w:r w:rsidR="00FD2CE1" w:rsidRPr="006274B6">
        <w:rPr>
          <w:lang w:val="fr-FR"/>
        </w:rPr>
        <w:t>Écosse</w:t>
      </w:r>
      <w:r w:rsidR="000B562B" w:rsidRPr="00A176EA">
        <w:rPr>
          <w:snapToGrid w:val="0"/>
          <w:lang w:val="fr-FR"/>
        </w:rPr>
        <w:t xml:space="preserve">) </w:t>
      </w:r>
      <w:r w:rsidR="006274B6" w:rsidRPr="006274B6">
        <w:rPr>
          <w:snapToGrid w:val="0"/>
          <w:lang w:val="fr-FR"/>
        </w:rPr>
        <w:t>est responsable du droit et de la justice, en matière civile et pénale, de l’administration des services sociaux, de la police, des établissements pénitentiaires et des tribunaux, de l’aide juridictionnelle et des relations avec la profession juridique en Écosse</w:t>
      </w:r>
      <w:r w:rsidR="000B562B" w:rsidRPr="00A176EA">
        <w:rPr>
          <w:snapToGrid w:val="0"/>
          <w:lang w:val="fr-FR"/>
        </w:rPr>
        <w:t>.</w:t>
      </w:r>
    </w:p>
    <w:p w:rsidR="000B562B" w:rsidRPr="00A176EA" w:rsidRDefault="002549A9" w:rsidP="00045969">
      <w:pPr>
        <w:pStyle w:val="SingleTxtG"/>
        <w:rPr>
          <w:snapToGrid w:val="0"/>
          <w:lang w:val="fr-FR"/>
        </w:rPr>
      </w:pPr>
      <w:r w:rsidRPr="004646FC">
        <w:rPr>
          <w:snapToGrid w:val="0"/>
          <w:lang w:val="fr-FR"/>
        </w:rPr>
        <w:t>648.</w:t>
      </w:r>
      <w:r w:rsidRPr="004646FC">
        <w:rPr>
          <w:snapToGrid w:val="0"/>
          <w:lang w:val="fr-FR"/>
        </w:rPr>
        <w:tab/>
      </w:r>
      <w:r w:rsidR="004646FC">
        <w:rPr>
          <w:snapToGrid w:val="0"/>
          <w:lang w:val="fr-FR"/>
        </w:rPr>
        <w:t>La loi de 2008 sur le pouvoir judiciaire et les tribunaux (</w:t>
      </w:r>
      <w:r w:rsidR="004646FC" w:rsidRPr="004646FC">
        <w:rPr>
          <w:snapToGrid w:val="0"/>
          <w:lang w:val="fr-FR"/>
        </w:rPr>
        <w:t>Écosse</w:t>
      </w:r>
      <w:r w:rsidR="004646FC">
        <w:rPr>
          <w:snapToGrid w:val="0"/>
          <w:lang w:val="fr-FR"/>
        </w:rPr>
        <w:t xml:space="preserve">) a introduit d’importants changements dans le système </w:t>
      </w:r>
      <w:r w:rsidR="00405166">
        <w:rPr>
          <w:snapToGrid w:val="0"/>
          <w:lang w:val="fr-FR"/>
        </w:rPr>
        <w:t xml:space="preserve">écossais. Elle a </w:t>
      </w:r>
      <w:r w:rsidR="00C648A0">
        <w:rPr>
          <w:snapToGrid w:val="0"/>
          <w:lang w:val="fr-FR"/>
        </w:rPr>
        <w:t xml:space="preserve">créé une garantie statutaire de l’indépendance judiciaire, donné une base légale au système des nominations judiciaires, </w:t>
      </w:r>
      <w:r w:rsidR="00FF4E49">
        <w:rPr>
          <w:snapToGrid w:val="0"/>
          <w:lang w:val="fr-FR"/>
        </w:rPr>
        <w:t>fait du Lord</w:t>
      </w:r>
      <w:r w:rsidR="00C648A0">
        <w:rPr>
          <w:snapToGrid w:val="0"/>
          <w:lang w:val="fr-FR"/>
        </w:rPr>
        <w:t xml:space="preserve"> </w:t>
      </w:r>
      <w:r w:rsidR="00FF4E49">
        <w:rPr>
          <w:snapToGrid w:val="0"/>
          <w:lang w:val="fr-FR"/>
        </w:rPr>
        <w:t>President (</w:t>
      </w:r>
      <w:r w:rsidR="00FF4E49" w:rsidRPr="00061A04">
        <w:rPr>
          <w:snapToGrid w:val="0"/>
          <w:lang w:val="fr-FR"/>
        </w:rPr>
        <w:t>doyen</w:t>
      </w:r>
      <w:r w:rsidR="00FF4E49">
        <w:rPr>
          <w:snapToGrid w:val="0"/>
          <w:lang w:val="fr-FR"/>
        </w:rPr>
        <w:t xml:space="preserve"> des juges </w:t>
      </w:r>
      <w:r w:rsidR="00405166" w:rsidRPr="00405166">
        <w:rPr>
          <w:snapToGrid w:val="0"/>
          <w:lang w:val="fr-FR"/>
        </w:rPr>
        <w:t>d’</w:t>
      </w:r>
      <w:r w:rsidR="00FD2CE1" w:rsidRPr="00405166">
        <w:rPr>
          <w:lang w:val="fr-FR"/>
        </w:rPr>
        <w:t>Écosse</w:t>
      </w:r>
      <w:r w:rsidR="000B562B" w:rsidRPr="00405166">
        <w:rPr>
          <w:snapToGrid w:val="0"/>
          <w:lang w:val="fr-FR"/>
        </w:rPr>
        <w:t xml:space="preserve">) </w:t>
      </w:r>
      <w:r w:rsidR="00FF4E49">
        <w:rPr>
          <w:snapToGrid w:val="0"/>
          <w:lang w:val="fr-FR"/>
        </w:rPr>
        <w:t>le Chef du pouvoir judiciaire écossais qui, à ce titre, est responsable de l’efficacité du traitement des affaires portées devant les tribunaux écossais, et créé le Service judiciaire écossais</w:t>
      </w:r>
      <w:r w:rsidR="00744D25">
        <w:rPr>
          <w:snapToGrid w:val="0"/>
          <w:lang w:val="fr-FR"/>
        </w:rPr>
        <w:t xml:space="preserve">. </w:t>
      </w:r>
      <w:r w:rsidR="001C15A9">
        <w:rPr>
          <w:snapToGrid w:val="0"/>
          <w:lang w:val="fr-FR"/>
        </w:rPr>
        <w:t xml:space="preserve">Ce département non ministériel présidé par le Lord President de la </w:t>
      </w:r>
      <w:r w:rsidR="001C15A9" w:rsidRPr="000B43D6">
        <w:rPr>
          <w:snapToGrid w:val="0"/>
          <w:lang w:val="fr-FR"/>
        </w:rPr>
        <w:t>Cour de session</w:t>
      </w:r>
      <w:r w:rsidR="001F7819">
        <w:rPr>
          <w:snapToGrid w:val="0"/>
          <w:lang w:val="fr-FR"/>
        </w:rPr>
        <w:t xml:space="preserve"> (Court of Session)</w:t>
      </w:r>
      <w:r w:rsidR="001C15A9">
        <w:rPr>
          <w:snapToGrid w:val="0"/>
          <w:lang w:val="fr-FR"/>
        </w:rPr>
        <w:t xml:space="preserve"> a pour principale fonction de fournir les locaux, le personnel et autres ressources nécessaires au fonctionnement des tribunaux</w:t>
      </w:r>
      <w:r w:rsidR="00045969">
        <w:rPr>
          <w:snapToGrid w:val="0"/>
          <w:lang w:val="fr-FR"/>
        </w:rPr>
        <w:t>.</w:t>
      </w:r>
    </w:p>
    <w:p w:rsidR="000B562B" w:rsidRPr="00A176EA" w:rsidRDefault="002549A9" w:rsidP="002C047C">
      <w:pPr>
        <w:pStyle w:val="SingleTxtG"/>
        <w:rPr>
          <w:snapToGrid w:val="0"/>
          <w:lang w:val="fr-FR"/>
        </w:rPr>
      </w:pPr>
      <w:r w:rsidRPr="00A176EA">
        <w:rPr>
          <w:snapToGrid w:val="0"/>
          <w:lang w:val="fr-FR"/>
        </w:rPr>
        <w:t>649.</w:t>
      </w:r>
      <w:r w:rsidRPr="00A176EA">
        <w:rPr>
          <w:snapToGrid w:val="0"/>
          <w:lang w:val="fr-FR"/>
        </w:rPr>
        <w:tab/>
      </w:r>
      <w:r w:rsidR="00E725D4">
        <w:rPr>
          <w:snapToGrid w:val="0"/>
          <w:lang w:val="fr-FR"/>
        </w:rPr>
        <w:t>La</w:t>
      </w:r>
      <w:r w:rsidR="000B562B" w:rsidRPr="00A176EA">
        <w:rPr>
          <w:snapToGrid w:val="0"/>
          <w:lang w:val="fr-FR"/>
        </w:rPr>
        <w:t xml:space="preserve"> </w:t>
      </w:r>
      <w:r w:rsidR="00933A27">
        <w:rPr>
          <w:snapToGrid w:val="0"/>
          <w:lang w:val="fr-FR"/>
        </w:rPr>
        <w:t xml:space="preserve">Haute Cour de </w:t>
      </w:r>
      <w:r w:rsidR="00933A27" w:rsidRPr="00933A27">
        <w:rPr>
          <w:snapToGrid w:val="0"/>
          <w:lang w:val="fr-FR"/>
        </w:rPr>
        <w:t>justice (</w:t>
      </w:r>
      <w:r w:rsidR="000B562B" w:rsidRPr="00933A27">
        <w:rPr>
          <w:snapToGrid w:val="0"/>
          <w:lang w:val="fr-FR"/>
        </w:rPr>
        <w:t>High Court of Justiciary</w:t>
      </w:r>
      <w:r w:rsidR="00933A27" w:rsidRPr="00933A27">
        <w:rPr>
          <w:snapToGrid w:val="0"/>
          <w:lang w:val="fr-FR"/>
        </w:rPr>
        <w:t>)</w:t>
      </w:r>
      <w:r w:rsidR="00E725D4" w:rsidRPr="00933A27">
        <w:rPr>
          <w:snapToGrid w:val="0"/>
          <w:lang w:val="fr-FR"/>
        </w:rPr>
        <w:t>,</w:t>
      </w:r>
      <w:r w:rsidR="000B562B" w:rsidRPr="00933A27">
        <w:rPr>
          <w:snapToGrid w:val="0"/>
          <w:lang w:val="fr-FR"/>
        </w:rPr>
        <w:t xml:space="preserve"> </w:t>
      </w:r>
      <w:r w:rsidR="00E725D4" w:rsidRPr="00933A27">
        <w:rPr>
          <w:snapToGrid w:val="0"/>
          <w:lang w:val="fr-FR"/>
        </w:rPr>
        <w:t>instance</w:t>
      </w:r>
      <w:r w:rsidR="00E725D4">
        <w:rPr>
          <w:snapToGrid w:val="0"/>
          <w:lang w:val="fr-FR"/>
        </w:rPr>
        <w:t xml:space="preserve"> pénale suprême </w:t>
      </w:r>
      <w:r w:rsidR="00E725D4" w:rsidRPr="00E725D4">
        <w:rPr>
          <w:snapToGrid w:val="0"/>
          <w:lang w:val="fr-FR"/>
        </w:rPr>
        <w:t>d’</w:t>
      </w:r>
      <w:r w:rsidR="00FD2CE1" w:rsidRPr="00E725D4">
        <w:rPr>
          <w:lang w:val="fr-FR"/>
        </w:rPr>
        <w:t>Écosse</w:t>
      </w:r>
      <w:r w:rsidR="00E725D4" w:rsidRPr="00E725D4">
        <w:rPr>
          <w:lang w:val="fr-FR"/>
        </w:rPr>
        <w:t>,</w:t>
      </w:r>
      <w:r w:rsidR="000B562B" w:rsidRPr="00A176EA">
        <w:rPr>
          <w:snapToGrid w:val="0"/>
          <w:lang w:val="fr-FR"/>
        </w:rPr>
        <w:t xml:space="preserve"> </w:t>
      </w:r>
      <w:r w:rsidR="00E725D4">
        <w:rPr>
          <w:snapToGrid w:val="0"/>
          <w:lang w:val="fr-FR"/>
        </w:rPr>
        <w:t>est présidée par</w:t>
      </w:r>
      <w:r w:rsidR="000B562B" w:rsidRPr="00A176EA">
        <w:rPr>
          <w:snapToGrid w:val="0"/>
          <w:lang w:val="fr-FR"/>
        </w:rPr>
        <w:t xml:space="preserve"> </w:t>
      </w:r>
      <w:r w:rsidR="00E725D4">
        <w:rPr>
          <w:snapToGrid w:val="0"/>
          <w:lang w:val="fr-FR"/>
        </w:rPr>
        <w:t>le</w:t>
      </w:r>
      <w:r w:rsidR="000B562B" w:rsidRPr="00A176EA">
        <w:rPr>
          <w:snapToGrid w:val="0"/>
          <w:lang w:val="fr-FR"/>
        </w:rPr>
        <w:t xml:space="preserve"> </w:t>
      </w:r>
      <w:r w:rsidR="000B562B" w:rsidRPr="002E14C3">
        <w:rPr>
          <w:snapToGrid w:val="0"/>
          <w:lang w:val="fr-FR"/>
        </w:rPr>
        <w:t xml:space="preserve">Lord Justice General </w:t>
      </w:r>
      <w:r w:rsidR="00E725D4" w:rsidRPr="002E14C3">
        <w:rPr>
          <w:snapToGrid w:val="0"/>
          <w:lang w:val="fr-FR"/>
        </w:rPr>
        <w:t>et le</w:t>
      </w:r>
      <w:r w:rsidR="000B562B" w:rsidRPr="002E14C3">
        <w:rPr>
          <w:snapToGrid w:val="0"/>
          <w:lang w:val="fr-FR"/>
        </w:rPr>
        <w:t xml:space="preserve"> Lord Justice Clerk, </w:t>
      </w:r>
      <w:r w:rsidR="002E14C3">
        <w:rPr>
          <w:snapToGrid w:val="0"/>
          <w:lang w:val="fr-FR"/>
        </w:rPr>
        <w:t xml:space="preserve">qui président généralement </w:t>
      </w:r>
      <w:r w:rsidR="00163954">
        <w:rPr>
          <w:snapToGrid w:val="0"/>
          <w:lang w:val="fr-FR"/>
        </w:rPr>
        <w:t xml:space="preserve">les appels en matière pénale. La Haute Cour fait également fonction de tribunal de première instance dans les affaires pénales graves. La </w:t>
      </w:r>
      <w:r w:rsidR="00163954" w:rsidRPr="000B43D6">
        <w:rPr>
          <w:snapToGrid w:val="0"/>
          <w:lang w:val="fr-FR"/>
        </w:rPr>
        <w:t>Cour</w:t>
      </w:r>
      <w:r w:rsidR="00163954">
        <w:rPr>
          <w:snapToGrid w:val="0"/>
          <w:lang w:val="fr-FR"/>
        </w:rPr>
        <w:t xml:space="preserve"> de session connaît des affaires civiles importantes en première instance et en appel. Les mêmes juges siègent à la Haute Cour et à </w:t>
      </w:r>
      <w:r w:rsidR="00163954" w:rsidRPr="000B43D6">
        <w:rPr>
          <w:snapToGrid w:val="0"/>
          <w:lang w:val="fr-FR"/>
        </w:rPr>
        <w:t>la Cour de session</w:t>
      </w:r>
      <w:r w:rsidR="00163954">
        <w:rPr>
          <w:snapToGrid w:val="0"/>
          <w:lang w:val="fr-FR"/>
        </w:rPr>
        <w:t xml:space="preserve">. Le niveau de juridiction suivant </w:t>
      </w:r>
      <w:r w:rsidR="00163954" w:rsidRPr="000B43D6">
        <w:rPr>
          <w:snapToGrid w:val="0"/>
          <w:lang w:val="fr-FR"/>
        </w:rPr>
        <w:t xml:space="preserve">est </w:t>
      </w:r>
      <w:r w:rsidR="000B0B40">
        <w:rPr>
          <w:snapToGrid w:val="0"/>
          <w:lang w:val="fr-FR"/>
        </w:rPr>
        <w:t>le Tribunal</w:t>
      </w:r>
      <w:r w:rsidR="00163954" w:rsidRPr="000B43D6">
        <w:rPr>
          <w:snapToGrid w:val="0"/>
          <w:lang w:val="fr-FR"/>
        </w:rPr>
        <w:t xml:space="preserve"> d</w:t>
      </w:r>
      <w:r w:rsidR="00251415" w:rsidRPr="000B43D6">
        <w:rPr>
          <w:snapToGrid w:val="0"/>
          <w:lang w:val="fr-FR"/>
        </w:rPr>
        <w:t>e</w:t>
      </w:r>
      <w:r w:rsidR="00163954" w:rsidRPr="000B43D6">
        <w:rPr>
          <w:snapToGrid w:val="0"/>
          <w:lang w:val="fr-FR"/>
        </w:rPr>
        <w:t xml:space="preserve"> shérif (Sheriff Court), </w:t>
      </w:r>
      <w:r w:rsidR="002C047C" w:rsidRPr="000B43D6">
        <w:rPr>
          <w:snapToGrid w:val="0"/>
          <w:lang w:val="fr-FR"/>
        </w:rPr>
        <w:t xml:space="preserve">qui fait fonction d’instance intermédiaire pour les affaires pénales et connaît de toutes les affaires civiles ne relevant pas de la Cour de session. Les affaires pénales mineures sont jugées par </w:t>
      </w:r>
      <w:r w:rsidR="00D12879" w:rsidRPr="000B43D6">
        <w:rPr>
          <w:snapToGrid w:val="0"/>
          <w:lang w:val="fr-FR"/>
        </w:rPr>
        <w:t>les juges de paix</w:t>
      </w:r>
      <w:r w:rsidR="000B562B" w:rsidRPr="000B43D6">
        <w:rPr>
          <w:snapToGrid w:val="0"/>
          <w:lang w:val="fr-FR"/>
        </w:rPr>
        <w:t xml:space="preserve"> (</w:t>
      </w:r>
      <w:r w:rsidR="00D12879" w:rsidRPr="000B43D6">
        <w:rPr>
          <w:snapToGrid w:val="0"/>
          <w:lang w:val="fr-FR"/>
        </w:rPr>
        <w:t>juges non professionnels</w:t>
      </w:r>
      <w:r w:rsidR="000B562B" w:rsidRPr="000B43D6">
        <w:rPr>
          <w:snapToGrid w:val="0"/>
          <w:lang w:val="fr-FR"/>
        </w:rPr>
        <w:t xml:space="preserve">) </w:t>
      </w:r>
      <w:r w:rsidR="008A4C4D" w:rsidRPr="000B43D6">
        <w:rPr>
          <w:snapToGrid w:val="0"/>
          <w:lang w:val="fr-FR"/>
        </w:rPr>
        <w:t>d’une</w:t>
      </w:r>
      <w:r w:rsidR="004156B3" w:rsidRPr="000B43D6">
        <w:rPr>
          <w:snapToGrid w:val="0"/>
          <w:lang w:val="fr-FR"/>
        </w:rPr>
        <w:t xml:space="preserve"> Cour</w:t>
      </w:r>
      <w:r w:rsidR="004156B3" w:rsidRPr="004156B3">
        <w:rPr>
          <w:snapToGrid w:val="0"/>
          <w:lang w:val="fr-FR"/>
        </w:rPr>
        <w:t xml:space="preserve"> des juges de paix.</w:t>
      </w:r>
    </w:p>
    <w:p w:rsidR="008A4C4D" w:rsidRDefault="002549A9" w:rsidP="00A8379B">
      <w:pPr>
        <w:pStyle w:val="SingleTxtG"/>
        <w:rPr>
          <w:snapToGrid w:val="0"/>
          <w:lang w:val="fr-FR"/>
        </w:rPr>
      </w:pPr>
      <w:r w:rsidRPr="00A176EA">
        <w:rPr>
          <w:snapToGrid w:val="0"/>
          <w:lang w:val="fr-FR"/>
        </w:rPr>
        <w:t>650.</w:t>
      </w:r>
      <w:r w:rsidRPr="00A176EA">
        <w:rPr>
          <w:snapToGrid w:val="0"/>
          <w:lang w:val="fr-FR"/>
        </w:rPr>
        <w:tab/>
      </w:r>
      <w:r w:rsidR="0002387A" w:rsidRPr="0002387A">
        <w:rPr>
          <w:snapToGrid w:val="0"/>
          <w:lang w:val="fr-FR"/>
        </w:rPr>
        <w:t xml:space="preserve">Les juges </w:t>
      </w:r>
      <w:r w:rsidR="0002387A" w:rsidRPr="008A4C4D">
        <w:rPr>
          <w:snapToGrid w:val="0"/>
          <w:lang w:val="fr-FR"/>
        </w:rPr>
        <w:t>et les sh</w:t>
      </w:r>
      <w:r w:rsidR="008A4C4D" w:rsidRPr="008A4C4D">
        <w:rPr>
          <w:snapToGrid w:val="0"/>
          <w:lang w:val="fr-FR"/>
        </w:rPr>
        <w:t>érif</w:t>
      </w:r>
      <w:r w:rsidR="0002387A" w:rsidRPr="008A4C4D">
        <w:rPr>
          <w:snapToGrid w:val="0"/>
          <w:lang w:val="fr-FR"/>
        </w:rPr>
        <w:t>s</w:t>
      </w:r>
      <w:r w:rsidR="0002387A" w:rsidRPr="0002387A">
        <w:rPr>
          <w:snapToGrid w:val="0"/>
          <w:lang w:val="fr-FR"/>
        </w:rPr>
        <w:t xml:space="preserve"> sont nommés par la Reine sur proposition du Premier Ministre (et sur recommandation d’une commission indépendante,</w:t>
      </w:r>
      <w:r w:rsidR="0002387A">
        <w:rPr>
          <w:snapToGrid w:val="0"/>
          <w:lang w:val="fr-FR"/>
        </w:rPr>
        <w:t xml:space="preserve"> le Comité des nominations judiciaires pour </w:t>
      </w:r>
      <w:r w:rsidR="0002387A" w:rsidRPr="0002387A">
        <w:rPr>
          <w:snapToGrid w:val="0"/>
          <w:lang w:val="fr-FR"/>
        </w:rPr>
        <w:t>l’</w:t>
      </w:r>
      <w:r w:rsidR="00FD2CE1" w:rsidRPr="0002387A">
        <w:rPr>
          <w:lang w:val="fr-FR"/>
        </w:rPr>
        <w:t>Écosse</w:t>
      </w:r>
      <w:r w:rsidR="000B562B" w:rsidRPr="00A176EA">
        <w:rPr>
          <w:snapToGrid w:val="0"/>
          <w:lang w:val="fr-FR"/>
        </w:rPr>
        <w:t xml:space="preserve">). </w:t>
      </w:r>
      <w:r w:rsidR="00D12879">
        <w:rPr>
          <w:snapToGrid w:val="0"/>
          <w:lang w:val="fr-FR"/>
        </w:rPr>
        <w:t xml:space="preserve">Les juges de paix </w:t>
      </w:r>
      <w:r w:rsidR="008A4C4D">
        <w:rPr>
          <w:snapToGrid w:val="0"/>
          <w:lang w:val="fr-FR"/>
        </w:rPr>
        <w:t>sont nommés pour le compte et au nom de la Reine par les ministres écossais.</w:t>
      </w:r>
    </w:p>
    <w:p w:rsidR="000B562B" w:rsidRPr="00A176EA" w:rsidRDefault="002549A9" w:rsidP="00A8379B">
      <w:pPr>
        <w:pStyle w:val="SingleTxtG"/>
        <w:rPr>
          <w:snapToGrid w:val="0"/>
          <w:lang w:val="fr-FR"/>
        </w:rPr>
      </w:pPr>
      <w:r w:rsidRPr="00A176EA">
        <w:rPr>
          <w:snapToGrid w:val="0"/>
          <w:lang w:val="fr-FR"/>
        </w:rPr>
        <w:t>651.</w:t>
      </w:r>
      <w:r w:rsidRPr="00A176EA">
        <w:rPr>
          <w:snapToGrid w:val="0"/>
          <w:lang w:val="fr-FR"/>
        </w:rPr>
        <w:tab/>
      </w:r>
      <w:r w:rsidR="00DC57CC" w:rsidRPr="00DC57CC">
        <w:rPr>
          <w:snapToGrid w:val="0"/>
          <w:lang w:val="fr-FR"/>
        </w:rPr>
        <w:t xml:space="preserve">Le </w:t>
      </w:r>
      <w:r w:rsidR="00461A4E" w:rsidRPr="00461A4E">
        <w:rPr>
          <w:snapToGrid w:val="0"/>
          <w:lang w:val="fr-FR"/>
        </w:rPr>
        <w:t xml:space="preserve">Procureur général </w:t>
      </w:r>
      <w:r w:rsidR="004E79A8" w:rsidRPr="00461A4E">
        <w:rPr>
          <w:snapToGrid w:val="0"/>
          <w:lang w:val="fr-FR"/>
        </w:rPr>
        <w:t>(</w:t>
      </w:r>
      <w:r w:rsidR="00461A4E" w:rsidRPr="00461A4E">
        <w:rPr>
          <w:snapToGrid w:val="0"/>
          <w:lang w:val="fr-FR"/>
        </w:rPr>
        <w:t>Lord Advocate</w:t>
      </w:r>
      <w:r w:rsidR="004E79A8" w:rsidRPr="00461A4E">
        <w:rPr>
          <w:snapToGrid w:val="0"/>
          <w:lang w:val="fr-FR"/>
        </w:rPr>
        <w:t>)</w:t>
      </w:r>
      <w:r w:rsidR="00DC57CC" w:rsidRPr="00DC57CC">
        <w:rPr>
          <w:snapToGrid w:val="0"/>
          <w:lang w:val="fr-FR"/>
        </w:rPr>
        <w:t xml:space="preserve"> est le principal conseiller juridique de l’exécutif écossais. Il est le plus haut conseiller juridique du Gouvernement et de la Couronne pour les questions relatives au droit civil et pénal en Écosse, sauf les questions réservées</w:t>
      </w:r>
      <w:r w:rsidR="004A6A6B">
        <w:rPr>
          <w:snapToGrid w:val="0"/>
          <w:lang w:val="fr-FR"/>
        </w:rPr>
        <w:t>.</w:t>
      </w:r>
    </w:p>
    <w:p w:rsidR="000B562B" w:rsidRPr="00A176EA" w:rsidRDefault="002549A9" w:rsidP="00B923C3">
      <w:pPr>
        <w:pStyle w:val="SingleTxtG"/>
        <w:rPr>
          <w:snapToGrid w:val="0"/>
          <w:lang w:val="fr-FR"/>
        </w:rPr>
      </w:pPr>
      <w:r w:rsidRPr="00A176EA">
        <w:rPr>
          <w:snapToGrid w:val="0"/>
          <w:lang w:val="fr-FR"/>
        </w:rPr>
        <w:t>652.</w:t>
      </w:r>
      <w:r w:rsidRPr="00A176EA">
        <w:rPr>
          <w:snapToGrid w:val="0"/>
          <w:lang w:val="fr-FR"/>
        </w:rPr>
        <w:tab/>
      </w:r>
      <w:r w:rsidR="004E79A8" w:rsidRPr="004E79A8">
        <w:rPr>
          <w:lang w:val="fr-FR"/>
        </w:rPr>
        <w:t>L</w:t>
      </w:r>
      <w:r w:rsidR="000B562B" w:rsidRPr="004E79A8">
        <w:rPr>
          <w:lang w:val="fr-FR"/>
        </w:rPr>
        <w:t xml:space="preserve">e </w:t>
      </w:r>
      <w:r w:rsidR="00461A4E" w:rsidRPr="00461A4E">
        <w:rPr>
          <w:snapToGrid w:val="0"/>
          <w:lang w:val="fr-FR"/>
        </w:rPr>
        <w:t xml:space="preserve">Procureur général </w:t>
      </w:r>
      <w:r w:rsidR="004A6A6B">
        <w:rPr>
          <w:lang w:val="fr-FR"/>
        </w:rPr>
        <w:t xml:space="preserve">dirige les poursuites et les enquêtes sur les décès en </w:t>
      </w:r>
      <w:r w:rsidR="00FD2CE1" w:rsidRPr="00A21540">
        <w:rPr>
          <w:lang w:val="fr-FR"/>
        </w:rPr>
        <w:t>Écosse</w:t>
      </w:r>
      <w:r w:rsidR="004A6A6B">
        <w:rPr>
          <w:lang w:val="fr-FR"/>
        </w:rPr>
        <w:t xml:space="preserve">, en toute indépendance des autres ministres écossais et </w:t>
      </w:r>
      <w:r w:rsidR="00061A04">
        <w:rPr>
          <w:lang w:val="fr-FR"/>
        </w:rPr>
        <w:t>de tout tiers</w:t>
      </w:r>
      <w:r w:rsidR="004A6A6B">
        <w:rPr>
          <w:lang w:val="fr-FR"/>
        </w:rPr>
        <w:t xml:space="preserve">. Cette indépendance est consacrée </w:t>
      </w:r>
      <w:r w:rsidR="007719F6">
        <w:rPr>
          <w:lang w:val="fr-FR"/>
        </w:rPr>
        <w:t>par</w:t>
      </w:r>
      <w:r w:rsidR="004A6A6B">
        <w:rPr>
          <w:lang w:val="fr-FR"/>
        </w:rPr>
        <w:t xml:space="preserve"> la législation. </w:t>
      </w:r>
      <w:r w:rsidR="005E486E" w:rsidRPr="005E486E">
        <w:rPr>
          <w:lang w:val="fr-FR"/>
        </w:rPr>
        <w:t>L</w:t>
      </w:r>
      <w:r w:rsidR="000B562B" w:rsidRPr="005E486E">
        <w:rPr>
          <w:lang w:val="fr-FR"/>
        </w:rPr>
        <w:t xml:space="preserve">e Solicitor General </w:t>
      </w:r>
      <w:r w:rsidR="005E486E" w:rsidRPr="005E486E">
        <w:rPr>
          <w:lang w:val="fr-FR"/>
        </w:rPr>
        <w:t>est l’adjoint du</w:t>
      </w:r>
      <w:r w:rsidR="000B562B" w:rsidRPr="005E486E">
        <w:rPr>
          <w:lang w:val="fr-FR"/>
        </w:rPr>
        <w:t xml:space="preserve"> Lord Advocate. </w:t>
      </w:r>
      <w:r w:rsidR="00B923C3">
        <w:rPr>
          <w:lang w:val="fr-FR"/>
        </w:rPr>
        <w:t xml:space="preserve">Le Bureau de la Couronne et le ministère public forment le </w:t>
      </w:r>
      <w:r w:rsidR="00061A04">
        <w:rPr>
          <w:lang w:val="fr-FR"/>
        </w:rPr>
        <w:t>P</w:t>
      </w:r>
      <w:r w:rsidR="00B923C3">
        <w:rPr>
          <w:lang w:val="fr-FR"/>
        </w:rPr>
        <w:t xml:space="preserve">arquet. Les procureurs agissent sur instruction du </w:t>
      </w:r>
      <w:r w:rsidR="00461A4E" w:rsidRPr="00461A4E">
        <w:rPr>
          <w:snapToGrid w:val="0"/>
          <w:lang w:val="fr-FR"/>
        </w:rPr>
        <w:t>Procureur général</w:t>
      </w:r>
      <w:r w:rsidR="000B562B" w:rsidRPr="005E486E">
        <w:rPr>
          <w:lang w:val="fr-FR"/>
        </w:rPr>
        <w:t>.</w:t>
      </w:r>
    </w:p>
    <w:p w:rsidR="000B562B" w:rsidRPr="00A21540" w:rsidRDefault="008F3DA4" w:rsidP="00576F7E">
      <w:pPr>
        <w:pStyle w:val="H23G"/>
        <w:rPr>
          <w:lang w:val="fr-FR"/>
        </w:rPr>
      </w:pPr>
      <w:r w:rsidRPr="00A21540">
        <w:rPr>
          <w:lang w:val="fr-FR"/>
        </w:rPr>
        <w:t>Irlande du Nord</w:t>
      </w:r>
    </w:p>
    <w:p w:rsidR="000B562B" w:rsidRPr="00A176EA" w:rsidRDefault="002549A9" w:rsidP="00A8379B">
      <w:pPr>
        <w:pStyle w:val="SingleTxtG"/>
        <w:rPr>
          <w:snapToGrid w:val="0"/>
          <w:lang w:val="fr-FR"/>
        </w:rPr>
      </w:pPr>
      <w:r w:rsidRPr="00A21540">
        <w:rPr>
          <w:snapToGrid w:val="0"/>
          <w:lang w:val="fr-FR"/>
        </w:rPr>
        <w:t>653.</w:t>
      </w:r>
      <w:r w:rsidRPr="00A21540">
        <w:rPr>
          <w:snapToGrid w:val="0"/>
          <w:lang w:val="fr-FR"/>
        </w:rPr>
        <w:tab/>
      </w:r>
      <w:r w:rsidR="00A21540" w:rsidRPr="00A21540">
        <w:rPr>
          <w:lang w:val="fr-FR"/>
        </w:rPr>
        <w:t>E</w:t>
      </w:r>
      <w:r w:rsidR="000B562B" w:rsidRPr="00A21540">
        <w:rPr>
          <w:lang w:val="fr-FR"/>
        </w:rPr>
        <w:t xml:space="preserve">n </w:t>
      </w:r>
      <w:r w:rsidR="008F3DA4" w:rsidRPr="00A21540">
        <w:rPr>
          <w:lang w:val="fr-FR"/>
        </w:rPr>
        <w:t>Irlande du Nord</w:t>
      </w:r>
      <w:r w:rsidR="000B562B" w:rsidRPr="00A21540">
        <w:rPr>
          <w:lang w:val="fr-FR"/>
        </w:rPr>
        <w:t xml:space="preserve">, </w:t>
      </w:r>
      <w:r w:rsidR="00A21540" w:rsidRPr="00A21540">
        <w:rPr>
          <w:lang w:val="fr-FR"/>
        </w:rPr>
        <w:t>la</w:t>
      </w:r>
      <w:r w:rsidR="00A21540">
        <w:rPr>
          <w:lang w:val="fr-FR"/>
        </w:rPr>
        <w:t xml:space="preserve"> responsabilité des questions de police et de justice (tribunaux inclus) a été dévolue à l’Assemblée d’Irlande du Nord le 12 avril </w:t>
      </w:r>
      <w:r w:rsidR="000B562B" w:rsidRPr="00A176EA">
        <w:rPr>
          <w:lang w:val="fr-FR"/>
        </w:rPr>
        <w:t>2010</w:t>
      </w:r>
      <w:r w:rsidR="00A21540">
        <w:rPr>
          <w:lang w:val="fr-FR"/>
        </w:rPr>
        <w:t>.</w:t>
      </w:r>
      <w:r w:rsidR="000B562B" w:rsidRPr="00A176EA">
        <w:rPr>
          <w:lang w:val="fr-FR"/>
        </w:rPr>
        <w:t xml:space="preserve"> </w:t>
      </w:r>
      <w:r w:rsidR="00A21540" w:rsidRPr="00E02764">
        <w:rPr>
          <w:lang w:val="fr-FR"/>
        </w:rPr>
        <w:t>Le Ministre de la justice d’</w:t>
      </w:r>
      <w:r w:rsidR="008F3DA4" w:rsidRPr="00E02764">
        <w:rPr>
          <w:lang w:val="fr-FR"/>
        </w:rPr>
        <w:t>Irlande du Nord</w:t>
      </w:r>
      <w:r w:rsidR="000B562B" w:rsidRPr="00E02764">
        <w:rPr>
          <w:lang w:val="fr-FR"/>
        </w:rPr>
        <w:t xml:space="preserve"> </w:t>
      </w:r>
      <w:r w:rsidR="00E02764" w:rsidRPr="00E02764">
        <w:rPr>
          <w:lang w:val="fr-FR"/>
        </w:rPr>
        <w:t>est chargé des questions de fond touchant le droit pénal et le maintien de l’ordre en Irlande du Nord</w:t>
      </w:r>
      <w:r w:rsidR="00461A4E">
        <w:rPr>
          <w:lang w:val="fr-FR"/>
        </w:rPr>
        <w:t>,</w:t>
      </w:r>
      <w:r w:rsidR="00E02764" w:rsidRPr="00E02764">
        <w:rPr>
          <w:lang w:val="fr-FR"/>
        </w:rPr>
        <w:t xml:space="preserve"> et s’acquitte de ses fonctions par l’intermédiaire du Ministère de la justice d’</w:t>
      </w:r>
      <w:r w:rsidR="008F3DA4" w:rsidRPr="00E02764">
        <w:rPr>
          <w:lang w:val="fr-FR"/>
        </w:rPr>
        <w:t>Irlande du Nord</w:t>
      </w:r>
      <w:r w:rsidR="000B562B" w:rsidRPr="00E02764">
        <w:rPr>
          <w:lang w:val="fr-FR"/>
        </w:rPr>
        <w:t>.</w:t>
      </w:r>
      <w:r w:rsidR="000B562B" w:rsidRPr="00A176EA">
        <w:rPr>
          <w:lang w:val="fr-FR"/>
        </w:rPr>
        <w:t xml:space="preserve"> </w:t>
      </w:r>
      <w:r w:rsidR="008B6F91">
        <w:rPr>
          <w:lang w:val="fr-FR"/>
        </w:rPr>
        <w:t xml:space="preserve">Le Service </w:t>
      </w:r>
      <w:r w:rsidR="008B6F91" w:rsidRPr="00461A4E">
        <w:rPr>
          <w:lang w:val="fr-FR"/>
        </w:rPr>
        <w:t xml:space="preserve">des </w:t>
      </w:r>
      <w:r w:rsidR="00461A4E" w:rsidRPr="00461A4E">
        <w:rPr>
          <w:lang w:val="fr-FR"/>
        </w:rPr>
        <w:t xml:space="preserve">tribunaux </w:t>
      </w:r>
      <w:r w:rsidR="008B6F91" w:rsidRPr="00461A4E">
        <w:rPr>
          <w:lang w:val="fr-FR"/>
        </w:rPr>
        <w:t xml:space="preserve">et des </w:t>
      </w:r>
      <w:r w:rsidR="00461A4E">
        <w:rPr>
          <w:lang w:val="fr-FR"/>
        </w:rPr>
        <w:t xml:space="preserve">juridictions spécialisées </w:t>
      </w:r>
      <w:r w:rsidR="008B6F91">
        <w:rPr>
          <w:lang w:val="fr-FR"/>
        </w:rPr>
        <w:t xml:space="preserve">d’Irlande du Nord est responsable de l’administration des </w:t>
      </w:r>
      <w:r w:rsidR="00461A4E">
        <w:rPr>
          <w:lang w:val="fr-FR"/>
        </w:rPr>
        <w:t>tribunaux</w:t>
      </w:r>
      <w:r w:rsidR="008B6F91">
        <w:rPr>
          <w:lang w:val="fr-FR"/>
        </w:rPr>
        <w:t xml:space="preserve"> et d’un certain nombre de </w:t>
      </w:r>
      <w:r w:rsidR="00461A4E">
        <w:rPr>
          <w:lang w:val="fr-FR"/>
        </w:rPr>
        <w:t>juridictions spécialisées</w:t>
      </w:r>
      <w:r w:rsidR="008B6F91">
        <w:rPr>
          <w:lang w:val="fr-FR"/>
        </w:rPr>
        <w:t xml:space="preserve">. L’appareil judiciaire compte 67 juges à plein temps et 2 à temps partiel, et environ 224 magistrats non professionnels. </w:t>
      </w:r>
      <w:r w:rsidR="00CC76E5">
        <w:rPr>
          <w:lang w:val="fr-FR"/>
        </w:rPr>
        <w:t>Des suppléants peuvent par ailleurs</w:t>
      </w:r>
      <w:r w:rsidR="00D953FD">
        <w:rPr>
          <w:lang w:val="fr-FR"/>
        </w:rPr>
        <w:t xml:space="preserve"> </w:t>
      </w:r>
      <w:r w:rsidR="001A43BE">
        <w:rPr>
          <w:lang w:val="fr-FR"/>
        </w:rPr>
        <w:t>être commis</w:t>
      </w:r>
      <w:r w:rsidR="00D953FD">
        <w:rPr>
          <w:lang w:val="fr-FR"/>
        </w:rPr>
        <w:t xml:space="preserve"> </w:t>
      </w:r>
      <w:r w:rsidR="001A43BE">
        <w:rPr>
          <w:lang w:val="fr-FR"/>
        </w:rPr>
        <w:t xml:space="preserve">si le volume des affaires l’exige. </w:t>
      </w:r>
      <w:r w:rsidR="002545A7">
        <w:rPr>
          <w:lang w:val="fr-FR"/>
        </w:rPr>
        <w:t>Enfin</w:t>
      </w:r>
      <w:r w:rsidR="001A43BE">
        <w:rPr>
          <w:lang w:val="fr-FR"/>
        </w:rPr>
        <w:t xml:space="preserve">, </w:t>
      </w:r>
      <w:r w:rsidR="002545A7">
        <w:rPr>
          <w:lang w:val="fr-FR"/>
        </w:rPr>
        <w:t xml:space="preserve">il y a actuellement 5 </w:t>
      </w:r>
      <w:r w:rsidR="002630CF">
        <w:rPr>
          <w:lang w:val="fr-FR"/>
        </w:rPr>
        <w:t>juges administratifs</w:t>
      </w:r>
      <w:r w:rsidR="002545A7">
        <w:rPr>
          <w:lang w:val="fr-FR"/>
        </w:rPr>
        <w:t xml:space="preserve"> salariés et environ 320 </w:t>
      </w:r>
      <w:r w:rsidR="00C2149F" w:rsidRPr="00C2149F">
        <w:rPr>
          <w:lang w:val="fr-FR"/>
        </w:rPr>
        <w:t>autres rémunérés en honoraires</w:t>
      </w:r>
      <w:r w:rsidR="00C2149F">
        <w:rPr>
          <w:lang w:val="fr-FR"/>
        </w:rPr>
        <w:t xml:space="preserve"> journaliers</w:t>
      </w:r>
      <w:r w:rsidR="00603914" w:rsidRPr="00C2149F">
        <w:rPr>
          <w:lang w:val="fr-FR"/>
        </w:rPr>
        <w:t>.</w:t>
      </w:r>
    </w:p>
    <w:p w:rsidR="000B562B" w:rsidRPr="00DC42CB" w:rsidRDefault="002549A9" w:rsidP="000D3E23">
      <w:pPr>
        <w:pStyle w:val="SingleTxtG"/>
        <w:rPr>
          <w:lang w:val="fr-FR"/>
        </w:rPr>
      </w:pPr>
      <w:r w:rsidRPr="00A176EA">
        <w:rPr>
          <w:lang w:val="fr-FR"/>
        </w:rPr>
        <w:t>654.</w:t>
      </w:r>
      <w:r w:rsidRPr="00A176EA">
        <w:rPr>
          <w:lang w:val="fr-FR"/>
        </w:rPr>
        <w:tab/>
      </w:r>
      <w:r w:rsidR="00E02764">
        <w:rPr>
          <w:lang w:val="fr-FR"/>
        </w:rPr>
        <w:t xml:space="preserve">La </w:t>
      </w:r>
      <w:r w:rsidR="00E02764" w:rsidRPr="00A176EA">
        <w:rPr>
          <w:lang w:val="fr-FR"/>
        </w:rPr>
        <w:t xml:space="preserve">Commission </w:t>
      </w:r>
      <w:r w:rsidR="00E02764">
        <w:rPr>
          <w:lang w:val="fr-FR"/>
        </w:rPr>
        <w:t xml:space="preserve">des nominations judiciaires </w:t>
      </w:r>
      <w:r w:rsidR="00E02764" w:rsidRPr="00E02764">
        <w:rPr>
          <w:lang w:val="fr-FR"/>
        </w:rPr>
        <w:t>d’</w:t>
      </w:r>
      <w:r w:rsidR="008F3DA4" w:rsidRPr="00E02764">
        <w:rPr>
          <w:lang w:val="fr-FR"/>
        </w:rPr>
        <w:t>Irlande du Nord</w:t>
      </w:r>
      <w:r w:rsidR="000B562B" w:rsidRPr="00A176EA">
        <w:rPr>
          <w:lang w:val="fr-FR"/>
        </w:rPr>
        <w:t xml:space="preserve"> </w:t>
      </w:r>
      <w:r w:rsidR="00E02764">
        <w:rPr>
          <w:lang w:val="fr-FR"/>
        </w:rPr>
        <w:t>relève</w:t>
      </w:r>
      <w:r w:rsidR="000B562B" w:rsidRPr="00A176EA">
        <w:rPr>
          <w:lang w:val="fr-FR"/>
        </w:rPr>
        <w:t xml:space="preserve"> </w:t>
      </w:r>
      <w:r w:rsidR="00E02764">
        <w:rPr>
          <w:lang w:val="fr-FR"/>
        </w:rPr>
        <w:t>du Bureau du Premier Ministre et du Vice-Premier Ministre. C</w:t>
      </w:r>
      <w:r w:rsidR="002545A7">
        <w:rPr>
          <w:lang w:val="fr-FR"/>
        </w:rPr>
        <w:t>e</w:t>
      </w:r>
      <w:r w:rsidR="00E02764">
        <w:rPr>
          <w:lang w:val="fr-FR"/>
        </w:rPr>
        <w:t xml:space="preserve">t organisme public indépendant sélectionne et recommande </w:t>
      </w:r>
      <w:r w:rsidR="007C57AF" w:rsidRPr="007C57AF">
        <w:rPr>
          <w:lang w:val="fr-FR"/>
        </w:rPr>
        <w:t xml:space="preserve">des candidats </w:t>
      </w:r>
      <w:r w:rsidR="00CC76E5">
        <w:rPr>
          <w:lang w:val="fr-FR"/>
        </w:rPr>
        <w:t>aux</w:t>
      </w:r>
      <w:r w:rsidR="007C57AF" w:rsidRPr="007C57AF">
        <w:rPr>
          <w:lang w:val="fr-FR"/>
        </w:rPr>
        <w:t xml:space="preserve"> fonctions judiciaires </w:t>
      </w:r>
      <w:r w:rsidR="00CC76E5">
        <w:rPr>
          <w:lang w:val="fr-FR"/>
        </w:rPr>
        <w:t>d’</w:t>
      </w:r>
      <w:r w:rsidR="007C57AF" w:rsidRPr="007C57AF">
        <w:rPr>
          <w:lang w:val="fr-FR"/>
        </w:rPr>
        <w:t>Irlande du Nord</w:t>
      </w:r>
      <w:r w:rsidR="002545A7">
        <w:rPr>
          <w:lang w:val="fr-FR"/>
        </w:rPr>
        <w:t xml:space="preserve">, et en nomme certains (comme les </w:t>
      </w:r>
      <w:r w:rsidR="00C2149F" w:rsidRPr="00C2149F">
        <w:rPr>
          <w:lang w:val="fr-FR"/>
        </w:rPr>
        <w:t xml:space="preserve">juges </w:t>
      </w:r>
      <w:r w:rsidR="00505462" w:rsidRPr="00C2149F">
        <w:rPr>
          <w:lang w:val="fr-FR"/>
        </w:rPr>
        <w:t>administratifs</w:t>
      </w:r>
      <w:r w:rsidR="00C2149F" w:rsidRPr="00C2149F">
        <w:rPr>
          <w:lang w:val="fr-FR"/>
        </w:rPr>
        <w:t xml:space="preserve"> à temps partiel</w:t>
      </w:r>
      <w:r w:rsidR="000B562B" w:rsidRPr="00C2149F">
        <w:rPr>
          <w:lang w:val="fr-FR"/>
        </w:rPr>
        <w:t xml:space="preserve"> </w:t>
      </w:r>
      <w:r w:rsidR="001735DE" w:rsidRPr="00C2149F">
        <w:rPr>
          <w:lang w:val="fr-FR"/>
        </w:rPr>
        <w:t>et</w:t>
      </w:r>
      <w:r w:rsidR="001735DE" w:rsidRPr="001735DE">
        <w:rPr>
          <w:lang w:val="fr-FR"/>
        </w:rPr>
        <w:t xml:space="preserve"> les juges suppléants</w:t>
      </w:r>
      <w:r w:rsidR="000B562B" w:rsidRPr="001735DE">
        <w:rPr>
          <w:lang w:val="fr-FR"/>
        </w:rPr>
        <w:t>)</w:t>
      </w:r>
      <w:r w:rsidR="007C57AF" w:rsidRPr="001735DE">
        <w:rPr>
          <w:lang w:val="fr-FR"/>
        </w:rPr>
        <w:t>.</w:t>
      </w:r>
      <w:r w:rsidR="000B562B" w:rsidRPr="001735DE">
        <w:rPr>
          <w:lang w:val="fr-FR"/>
        </w:rPr>
        <w:t xml:space="preserve"> </w:t>
      </w:r>
      <w:r w:rsidR="001735DE">
        <w:rPr>
          <w:lang w:val="fr-FR"/>
        </w:rPr>
        <w:t xml:space="preserve">Toutes les nominations sont fondées sur le mérite exclusivement. Toutefois, la Commission </w:t>
      </w:r>
      <w:r w:rsidR="000D3E23">
        <w:rPr>
          <w:lang w:val="fr-FR"/>
        </w:rPr>
        <w:t xml:space="preserve">est également tenue d’établir un programme d’action pour faire en sorte que, dans la mesure du possible, les nominations à des fonctions judiciaires, tout comme les candidatures, soient représentatives de la communauté </w:t>
      </w:r>
      <w:r w:rsidR="000D3E23" w:rsidRPr="000D3E23">
        <w:rPr>
          <w:lang w:val="fr-FR"/>
        </w:rPr>
        <w:t>d’</w:t>
      </w:r>
      <w:r w:rsidR="008F3DA4" w:rsidRPr="000D3E23">
        <w:rPr>
          <w:lang w:val="fr-FR"/>
        </w:rPr>
        <w:t>Irlande du Nord</w:t>
      </w:r>
      <w:r w:rsidR="000B562B" w:rsidRPr="000D3E23">
        <w:rPr>
          <w:lang w:val="fr-FR"/>
        </w:rPr>
        <w:t>.</w:t>
      </w:r>
      <w:r w:rsidR="007C57AF" w:rsidRPr="000D3E23">
        <w:rPr>
          <w:lang w:val="fr-FR"/>
        </w:rPr>
        <w:t xml:space="preserve"> Le</w:t>
      </w:r>
      <w:r w:rsidR="007C57AF" w:rsidRPr="007C57AF">
        <w:rPr>
          <w:lang w:val="fr-FR"/>
        </w:rPr>
        <w:t xml:space="preserve"> </w:t>
      </w:r>
      <w:r w:rsidR="007C57AF" w:rsidRPr="00DC42CB">
        <w:rPr>
          <w:lang w:val="fr-FR"/>
        </w:rPr>
        <w:t>Lord Chief Justice d’Irlande du Nord est le Président</w:t>
      </w:r>
      <w:r w:rsidR="00BA5B69" w:rsidRPr="00DC42CB">
        <w:rPr>
          <w:lang w:val="fr-FR"/>
        </w:rPr>
        <w:t xml:space="preserve"> de la Commission</w:t>
      </w:r>
      <w:r w:rsidR="000B562B" w:rsidRPr="00DC42CB">
        <w:rPr>
          <w:lang w:val="fr-FR"/>
        </w:rPr>
        <w:t>.</w:t>
      </w:r>
    </w:p>
    <w:p w:rsidR="000B562B" w:rsidRPr="00DC42CB" w:rsidRDefault="002549A9" w:rsidP="00A8379B">
      <w:pPr>
        <w:pStyle w:val="SingleTxtG"/>
        <w:rPr>
          <w:snapToGrid w:val="0"/>
          <w:lang w:val="fr-FR"/>
        </w:rPr>
      </w:pPr>
      <w:r w:rsidRPr="00DC42CB">
        <w:rPr>
          <w:snapToGrid w:val="0"/>
          <w:lang w:val="fr-FR"/>
        </w:rPr>
        <w:t>655.</w:t>
      </w:r>
      <w:r w:rsidRPr="00DC42CB">
        <w:rPr>
          <w:snapToGrid w:val="0"/>
          <w:lang w:val="fr-FR"/>
        </w:rPr>
        <w:tab/>
      </w:r>
      <w:r w:rsidR="000D3E23" w:rsidRPr="00DC42CB">
        <w:rPr>
          <w:snapToGrid w:val="0"/>
          <w:lang w:val="fr-FR"/>
        </w:rPr>
        <w:t>Le Médiateur des nominations judici</w:t>
      </w:r>
      <w:r w:rsidR="000D40A2" w:rsidRPr="00DC42CB">
        <w:rPr>
          <w:snapToGrid w:val="0"/>
          <w:lang w:val="fr-FR"/>
        </w:rPr>
        <w:t>a</w:t>
      </w:r>
      <w:r w:rsidR="000D3E23" w:rsidRPr="00DC42CB">
        <w:rPr>
          <w:snapToGrid w:val="0"/>
          <w:lang w:val="fr-FR"/>
        </w:rPr>
        <w:t xml:space="preserve">ires est un </w:t>
      </w:r>
      <w:r w:rsidR="0077512A" w:rsidRPr="00DC42CB">
        <w:rPr>
          <w:snapToGrid w:val="0"/>
          <w:lang w:val="fr-FR"/>
        </w:rPr>
        <w:t xml:space="preserve">titulaire de charge publique </w:t>
      </w:r>
      <w:r w:rsidR="00EB1337" w:rsidRPr="00DC42CB">
        <w:rPr>
          <w:lang w:val="fr-FR"/>
        </w:rPr>
        <w:t>indépendant chargé d’enquêter sur les plaintes relatives au processus des nominations judiciaires</w:t>
      </w:r>
      <w:r w:rsidR="000B562B" w:rsidRPr="00DC42CB">
        <w:rPr>
          <w:lang w:val="fr-FR"/>
        </w:rPr>
        <w:t xml:space="preserve">. </w:t>
      </w:r>
      <w:r w:rsidR="003E3E11" w:rsidRPr="00DC42CB">
        <w:rPr>
          <w:lang w:val="fr-FR"/>
        </w:rPr>
        <w:t xml:space="preserve">Créé en vertu de la loi de 2005 sur la réforme constitutionnelle, ce poste est financé par le Service des </w:t>
      </w:r>
      <w:r w:rsidR="00A072E6" w:rsidRPr="00DC42CB">
        <w:rPr>
          <w:lang w:val="fr-FR"/>
        </w:rPr>
        <w:t xml:space="preserve">tribunaux </w:t>
      </w:r>
      <w:r w:rsidR="003E3E11" w:rsidRPr="00DC42CB">
        <w:rPr>
          <w:lang w:val="fr-FR"/>
        </w:rPr>
        <w:t>et des</w:t>
      </w:r>
      <w:r w:rsidR="00A072E6" w:rsidRPr="00DC42CB">
        <w:rPr>
          <w:lang w:val="fr-FR"/>
        </w:rPr>
        <w:t xml:space="preserve"> juridictions administratives</w:t>
      </w:r>
      <w:r w:rsidR="00360B5C">
        <w:rPr>
          <w:lang w:val="fr-FR"/>
        </w:rPr>
        <w:t>.</w:t>
      </w:r>
    </w:p>
    <w:p w:rsidR="000B562B" w:rsidRPr="00A176EA" w:rsidRDefault="002549A9" w:rsidP="00A8379B">
      <w:pPr>
        <w:pStyle w:val="SingleTxtG"/>
        <w:rPr>
          <w:snapToGrid w:val="0"/>
          <w:lang w:val="fr-FR"/>
        </w:rPr>
      </w:pPr>
      <w:r w:rsidRPr="00DC42CB">
        <w:rPr>
          <w:snapToGrid w:val="0"/>
          <w:lang w:val="fr-FR"/>
        </w:rPr>
        <w:t>656.</w:t>
      </w:r>
      <w:r w:rsidRPr="00DC42CB">
        <w:rPr>
          <w:snapToGrid w:val="0"/>
          <w:lang w:val="fr-FR"/>
        </w:rPr>
        <w:tab/>
      </w:r>
      <w:r w:rsidR="005B5D73" w:rsidRPr="00DC42CB">
        <w:rPr>
          <w:snapToGrid w:val="0"/>
          <w:lang w:val="fr-FR"/>
        </w:rPr>
        <w:t xml:space="preserve">La </w:t>
      </w:r>
      <w:r w:rsidR="005B5D73" w:rsidRPr="00DC42CB">
        <w:rPr>
          <w:lang w:val="fr-FR"/>
        </w:rPr>
        <w:t>loi de 2005 sur la réforme constitutionnelle a désigné le Lord Chief Justice chef de l’ordre judiciaire d’Irlande du Nord et renforcé l’indépendance du pouvoir judiciaire</w:t>
      </w:r>
      <w:r w:rsidR="000B562B" w:rsidRPr="00DC42CB">
        <w:rPr>
          <w:lang w:val="fr-FR"/>
        </w:rPr>
        <w:t xml:space="preserve">. </w:t>
      </w:r>
      <w:r w:rsidR="005B5D73" w:rsidRPr="00DC42CB">
        <w:rPr>
          <w:lang w:val="fr-FR"/>
        </w:rPr>
        <w:t>En tant que chef de l’appareil judiciaire,</w:t>
      </w:r>
      <w:r w:rsidR="000B562B" w:rsidRPr="00DC42CB">
        <w:rPr>
          <w:lang w:val="fr-FR"/>
        </w:rPr>
        <w:t xml:space="preserve"> </w:t>
      </w:r>
      <w:r w:rsidR="005B5D73" w:rsidRPr="00DC42CB">
        <w:rPr>
          <w:lang w:val="fr-FR"/>
        </w:rPr>
        <w:t>l</w:t>
      </w:r>
      <w:r w:rsidR="000B562B" w:rsidRPr="00DC42CB">
        <w:rPr>
          <w:lang w:val="fr-FR"/>
        </w:rPr>
        <w:t xml:space="preserve">e Lord Chief Justice </w:t>
      </w:r>
      <w:r w:rsidR="005B5D73" w:rsidRPr="00DC42CB">
        <w:rPr>
          <w:lang w:val="fr-FR"/>
        </w:rPr>
        <w:t>a de nombreuses responsabilités</w:t>
      </w:r>
      <w:r w:rsidR="005B5D73">
        <w:rPr>
          <w:lang w:val="fr-FR"/>
        </w:rPr>
        <w:t xml:space="preserve"> énoncées dans la loi, dont l’affectation des juges, leur formation et leur supervision, ainsi que la discipline judiciaire. Il représente également leurs vues auprès du Parlement, de l’Assemblée d’Irlande du Nord et des ministres en général</w:t>
      </w:r>
      <w:r w:rsidR="000B562B" w:rsidRPr="00A176EA">
        <w:rPr>
          <w:lang w:val="fr-FR"/>
        </w:rPr>
        <w:t>.</w:t>
      </w:r>
    </w:p>
    <w:p w:rsidR="000B562B" w:rsidRPr="00A176EA" w:rsidRDefault="002549A9" w:rsidP="00A8379B">
      <w:pPr>
        <w:pStyle w:val="SingleTxtG"/>
        <w:rPr>
          <w:snapToGrid w:val="0"/>
          <w:lang w:val="fr-FR"/>
        </w:rPr>
      </w:pPr>
      <w:r w:rsidRPr="00A176EA">
        <w:rPr>
          <w:snapToGrid w:val="0"/>
          <w:lang w:val="fr-FR"/>
        </w:rPr>
        <w:t>657.</w:t>
      </w:r>
      <w:r w:rsidRPr="00A176EA">
        <w:rPr>
          <w:snapToGrid w:val="0"/>
          <w:lang w:val="fr-FR"/>
        </w:rPr>
        <w:tab/>
      </w:r>
      <w:r w:rsidR="0077512A" w:rsidRPr="00461A4E">
        <w:rPr>
          <w:snapToGrid w:val="0"/>
          <w:lang w:val="fr-FR"/>
        </w:rPr>
        <w:t>L</w:t>
      </w:r>
      <w:r w:rsidR="00461A4E" w:rsidRPr="00461A4E">
        <w:rPr>
          <w:snapToGrid w:val="0"/>
          <w:lang w:val="fr-FR"/>
        </w:rPr>
        <w:t>e Procureur général (</w:t>
      </w:r>
      <w:r w:rsidR="0077512A" w:rsidRPr="00461A4E">
        <w:rPr>
          <w:snapToGrid w:val="0"/>
          <w:lang w:val="fr-FR"/>
        </w:rPr>
        <w:t>Attorney General</w:t>
      </w:r>
      <w:r w:rsidR="00461A4E" w:rsidRPr="00461A4E">
        <w:rPr>
          <w:snapToGrid w:val="0"/>
          <w:lang w:val="fr-FR"/>
        </w:rPr>
        <w:t>)</w:t>
      </w:r>
      <w:r w:rsidR="0077512A">
        <w:rPr>
          <w:snapToGrid w:val="0"/>
          <w:lang w:val="fr-FR"/>
        </w:rPr>
        <w:t xml:space="preserve"> pour l’Irlande du Nord a été nommé par le </w:t>
      </w:r>
      <w:r w:rsidR="0077512A" w:rsidRPr="0077512A">
        <w:rPr>
          <w:snapToGrid w:val="0"/>
          <w:lang w:val="fr-FR"/>
        </w:rPr>
        <w:t xml:space="preserve">Premier Ministre et </w:t>
      </w:r>
      <w:r w:rsidR="0077512A">
        <w:rPr>
          <w:snapToGrid w:val="0"/>
          <w:lang w:val="fr-FR"/>
        </w:rPr>
        <w:t>le</w:t>
      </w:r>
      <w:r w:rsidR="0077512A" w:rsidRPr="0077512A">
        <w:rPr>
          <w:snapToGrid w:val="0"/>
          <w:lang w:val="fr-FR"/>
        </w:rPr>
        <w:t xml:space="preserve"> Vice-Premier Ministre</w:t>
      </w:r>
      <w:r w:rsidR="0077512A">
        <w:rPr>
          <w:snapToGrid w:val="0"/>
          <w:lang w:val="fr-FR"/>
        </w:rPr>
        <w:t xml:space="preserve"> après la dévolution des affaires de justice à l’Assemblée d’Irlande du Nord en avril 2010. </w:t>
      </w:r>
      <w:r w:rsidR="0020177A" w:rsidRPr="0077512A">
        <w:rPr>
          <w:lang w:val="fr-FR"/>
        </w:rPr>
        <w:t>Il est le principal conseiller juridique de l’exécutif d’</w:t>
      </w:r>
      <w:r w:rsidR="008F3DA4" w:rsidRPr="0077512A">
        <w:rPr>
          <w:lang w:val="fr-FR"/>
        </w:rPr>
        <w:t>Irlande du Nord</w:t>
      </w:r>
      <w:r w:rsidR="000B562B" w:rsidRPr="0077512A">
        <w:rPr>
          <w:lang w:val="fr-FR"/>
        </w:rPr>
        <w:t xml:space="preserve">. </w:t>
      </w:r>
      <w:r w:rsidR="0077512A" w:rsidRPr="0077512A">
        <w:rPr>
          <w:lang w:val="fr-FR"/>
        </w:rPr>
        <w:t>L</w:t>
      </w:r>
      <w:r w:rsidR="00461A4E">
        <w:rPr>
          <w:lang w:val="fr-FR"/>
        </w:rPr>
        <w:t xml:space="preserve">e Procureur général </w:t>
      </w:r>
      <w:r w:rsidR="0077512A" w:rsidRPr="0077512A">
        <w:rPr>
          <w:lang w:val="fr-FR"/>
        </w:rPr>
        <w:t>pour l’Angleterre et le pays</w:t>
      </w:r>
      <w:r w:rsidR="000B562B" w:rsidRPr="0077512A">
        <w:rPr>
          <w:lang w:val="fr-FR"/>
        </w:rPr>
        <w:t xml:space="preserve"> </w:t>
      </w:r>
      <w:r w:rsidR="005601A1" w:rsidRPr="0077512A">
        <w:rPr>
          <w:lang w:val="fr-FR"/>
        </w:rPr>
        <w:t>de Galles</w:t>
      </w:r>
      <w:r w:rsidR="000B562B" w:rsidRPr="0077512A">
        <w:rPr>
          <w:lang w:val="fr-FR"/>
        </w:rPr>
        <w:t xml:space="preserve"> </w:t>
      </w:r>
      <w:r w:rsidR="0077512A" w:rsidRPr="0077512A">
        <w:rPr>
          <w:lang w:val="fr-FR"/>
        </w:rPr>
        <w:t xml:space="preserve">exerce également certaines responsabilités en tant </w:t>
      </w:r>
      <w:r w:rsidR="00DC42CB" w:rsidRPr="00DC42CB">
        <w:rPr>
          <w:lang w:val="fr-FR"/>
        </w:rPr>
        <w:t>que Procureur général (</w:t>
      </w:r>
      <w:r w:rsidR="000B562B" w:rsidRPr="00DC42CB">
        <w:rPr>
          <w:lang w:val="fr-FR"/>
        </w:rPr>
        <w:t>Advocate General</w:t>
      </w:r>
      <w:r w:rsidR="00DC42CB" w:rsidRPr="00DC42CB">
        <w:rPr>
          <w:lang w:val="fr-FR"/>
        </w:rPr>
        <w:t>)</w:t>
      </w:r>
      <w:r w:rsidR="000B562B" w:rsidRPr="00DC42CB">
        <w:rPr>
          <w:lang w:val="fr-FR"/>
        </w:rPr>
        <w:t xml:space="preserve"> </w:t>
      </w:r>
      <w:r w:rsidR="0077512A" w:rsidRPr="00DC42CB">
        <w:rPr>
          <w:lang w:val="fr-FR"/>
        </w:rPr>
        <w:t>pour</w:t>
      </w:r>
      <w:r w:rsidR="000B562B" w:rsidRPr="00DC42CB">
        <w:rPr>
          <w:lang w:val="fr-FR"/>
        </w:rPr>
        <w:t xml:space="preserve"> </w:t>
      </w:r>
      <w:r w:rsidR="0077512A" w:rsidRPr="00DC42CB">
        <w:rPr>
          <w:lang w:val="fr-FR"/>
        </w:rPr>
        <w:t>l’</w:t>
      </w:r>
      <w:r w:rsidR="008F3DA4" w:rsidRPr="00DC42CB">
        <w:rPr>
          <w:lang w:val="fr-FR"/>
        </w:rPr>
        <w:t>Irlande du Nord</w:t>
      </w:r>
      <w:r w:rsidR="000B562B" w:rsidRPr="00DC42CB">
        <w:rPr>
          <w:lang w:val="fr-FR"/>
        </w:rPr>
        <w:t>.</w:t>
      </w:r>
    </w:p>
    <w:p w:rsidR="000B562B" w:rsidRPr="00A176EA" w:rsidRDefault="0020177A" w:rsidP="00A8379B">
      <w:pPr>
        <w:pStyle w:val="H23G"/>
        <w:rPr>
          <w:lang w:val="fr-FR"/>
        </w:rPr>
      </w:pPr>
      <w:r>
        <w:rPr>
          <w:lang w:val="fr-FR"/>
        </w:rPr>
        <w:t>Le droit pénal</w:t>
      </w:r>
    </w:p>
    <w:p w:rsidR="000B562B" w:rsidRPr="00A176EA" w:rsidRDefault="002549A9" w:rsidP="00A8379B">
      <w:pPr>
        <w:pStyle w:val="SingleTxtG"/>
        <w:rPr>
          <w:snapToGrid w:val="0"/>
          <w:lang w:val="fr-FR"/>
        </w:rPr>
      </w:pPr>
      <w:r w:rsidRPr="00A176EA">
        <w:rPr>
          <w:snapToGrid w:val="0"/>
          <w:lang w:val="fr-FR"/>
        </w:rPr>
        <w:t>658.</w:t>
      </w:r>
      <w:r w:rsidRPr="00A176EA">
        <w:rPr>
          <w:snapToGrid w:val="0"/>
          <w:lang w:val="fr-FR"/>
        </w:rPr>
        <w:tab/>
      </w:r>
      <w:r w:rsidR="0020177A">
        <w:rPr>
          <w:snapToGrid w:val="0"/>
          <w:lang w:val="fr-FR"/>
        </w:rPr>
        <w:t>En Angleterre et au</w:t>
      </w:r>
      <w:r w:rsidR="000B562B" w:rsidRPr="00A176EA">
        <w:rPr>
          <w:snapToGrid w:val="0"/>
          <w:lang w:val="fr-FR"/>
        </w:rPr>
        <w:t xml:space="preserve"> </w:t>
      </w:r>
      <w:r w:rsidR="0020177A">
        <w:rPr>
          <w:snapToGrid w:val="0"/>
          <w:lang w:val="fr-FR"/>
        </w:rPr>
        <w:t>p</w:t>
      </w:r>
      <w:r w:rsidR="005601A1">
        <w:rPr>
          <w:snapToGrid w:val="0"/>
          <w:lang w:val="fr-FR"/>
        </w:rPr>
        <w:t>ays de Galles</w:t>
      </w:r>
      <w:r w:rsidR="0020177A">
        <w:rPr>
          <w:snapToGrid w:val="0"/>
          <w:lang w:val="fr-FR"/>
        </w:rPr>
        <w:t>,</w:t>
      </w:r>
      <w:r w:rsidR="000B562B" w:rsidRPr="00A176EA">
        <w:rPr>
          <w:snapToGrid w:val="0"/>
          <w:lang w:val="fr-FR"/>
        </w:rPr>
        <w:t xml:space="preserve"> </w:t>
      </w:r>
      <w:r w:rsidR="0020177A" w:rsidRPr="0020177A">
        <w:rPr>
          <w:snapToGrid w:val="0"/>
          <w:lang w:val="fr-FR"/>
        </w:rPr>
        <w:t>c’est à la police qu’il appartient d’engager des poursuites au pénal pour les délits mineurs</w:t>
      </w:r>
      <w:r w:rsidR="00FC2B97">
        <w:rPr>
          <w:snapToGrid w:val="0"/>
          <w:lang w:val="fr-FR"/>
        </w:rPr>
        <w:t>;</w:t>
      </w:r>
      <w:r w:rsidR="0020177A" w:rsidRPr="0020177A">
        <w:rPr>
          <w:snapToGrid w:val="0"/>
          <w:lang w:val="fr-FR"/>
        </w:rPr>
        <w:t xml:space="preserve"> dans les autres cas, c’est au </w:t>
      </w:r>
      <w:r w:rsidR="007A1549">
        <w:rPr>
          <w:lang w:val="fr-FR"/>
        </w:rPr>
        <w:t>m</w:t>
      </w:r>
      <w:r w:rsidR="00327073" w:rsidRPr="0011745C">
        <w:rPr>
          <w:lang w:val="fr-FR"/>
        </w:rPr>
        <w:t>inistère public de la Couronne</w:t>
      </w:r>
      <w:r w:rsidR="0020177A" w:rsidRPr="0011745C">
        <w:rPr>
          <w:lang w:val="fr-FR"/>
        </w:rPr>
        <w:t>, indépendant, que cette décision revient</w:t>
      </w:r>
      <w:r w:rsidR="000B562B" w:rsidRPr="0011745C">
        <w:rPr>
          <w:snapToGrid w:val="0"/>
          <w:lang w:val="fr-FR"/>
        </w:rPr>
        <w:t xml:space="preserve">. </w:t>
      </w:r>
      <w:r w:rsidR="0011745C" w:rsidRPr="0011745C">
        <w:rPr>
          <w:snapToGrid w:val="0"/>
          <w:lang w:val="fr-FR"/>
        </w:rPr>
        <w:t>E</w:t>
      </w:r>
      <w:r w:rsidR="000B562B" w:rsidRPr="0011745C">
        <w:rPr>
          <w:snapToGrid w:val="0"/>
          <w:lang w:val="fr-FR"/>
        </w:rPr>
        <w:t>n </w:t>
      </w:r>
      <w:r w:rsidR="00FD2CE1" w:rsidRPr="0011745C">
        <w:rPr>
          <w:lang w:val="fr-FR"/>
        </w:rPr>
        <w:t>Écosse</w:t>
      </w:r>
      <w:r w:rsidR="0011745C">
        <w:rPr>
          <w:lang w:val="fr-FR"/>
        </w:rPr>
        <w:t>,</w:t>
      </w:r>
      <w:r w:rsidR="000B562B" w:rsidRPr="0011745C">
        <w:rPr>
          <w:snapToGrid w:val="0"/>
          <w:lang w:val="fr-FR"/>
        </w:rPr>
        <w:t xml:space="preserve"> </w:t>
      </w:r>
      <w:r w:rsidR="0011745C" w:rsidRPr="0011745C">
        <w:rPr>
          <w:snapToGrid w:val="0"/>
          <w:lang w:val="fr-FR"/>
        </w:rPr>
        <w:t>ce sont les p</w:t>
      </w:r>
      <w:r w:rsidR="0011745C">
        <w:rPr>
          <w:snapToGrid w:val="0"/>
          <w:lang w:val="fr-FR"/>
        </w:rPr>
        <w:t xml:space="preserve">rocureurs </w:t>
      </w:r>
      <w:r w:rsidR="000B562B" w:rsidRPr="00A176EA">
        <w:rPr>
          <w:snapToGrid w:val="0"/>
          <w:lang w:val="fr-FR"/>
        </w:rPr>
        <w:t xml:space="preserve">(procurators fiscal) </w:t>
      </w:r>
      <w:r w:rsidR="0011745C" w:rsidRPr="0011745C">
        <w:rPr>
          <w:snapToGrid w:val="0"/>
          <w:lang w:val="fr-FR"/>
        </w:rPr>
        <w:t>qui décident s’il y a lieu d’engager des poursuites. En Irlande du Nord, cette tâche revient au</w:t>
      </w:r>
      <w:r w:rsidR="0011745C">
        <w:rPr>
          <w:snapToGrid w:val="0"/>
          <w:lang w:val="fr-FR"/>
        </w:rPr>
        <w:t xml:space="preserve"> </w:t>
      </w:r>
      <w:r w:rsidR="00FB00ED" w:rsidRPr="0011745C">
        <w:rPr>
          <w:snapToGrid w:val="0"/>
          <w:lang w:val="fr-FR"/>
        </w:rPr>
        <w:t>Directeur du Parquet</w:t>
      </w:r>
      <w:r w:rsidR="000B562B" w:rsidRPr="0011745C">
        <w:rPr>
          <w:snapToGrid w:val="0"/>
          <w:lang w:val="fr-FR"/>
        </w:rPr>
        <w:t>.</w:t>
      </w:r>
      <w:r w:rsidR="000B562B" w:rsidRPr="00A176EA">
        <w:rPr>
          <w:snapToGrid w:val="0"/>
          <w:lang w:val="fr-FR"/>
        </w:rPr>
        <w:t xml:space="preserve"> </w:t>
      </w:r>
      <w:r w:rsidR="0011745C" w:rsidRPr="0011745C">
        <w:rPr>
          <w:snapToGrid w:val="0"/>
          <w:lang w:val="fr-FR"/>
        </w:rPr>
        <w:t>En Angleterre et au pays de Galles (et, à titre exceptionnel, en Écosse)</w:t>
      </w:r>
      <w:r w:rsidR="0011745C">
        <w:rPr>
          <w:snapToGrid w:val="0"/>
          <w:lang w:val="fr-FR"/>
        </w:rPr>
        <w:t>,</w:t>
      </w:r>
      <w:r w:rsidR="0011745C" w:rsidRPr="0011745C">
        <w:rPr>
          <w:snapToGrid w:val="0"/>
          <w:lang w:val="fr-FR"/>
        </w:rPr>
        <w:t xml:space="preserve"> un particulier peut également engager une action pénale</w:t>
      </w:r>
      <w:r w:rsidR="000B562B" w:rsidRPr="00A176EA">
        <w:rPr>
          <w:snapToGrid w:val="0"/>
          <w:lang w:val="fr-FR"/>
        </w:rPr>
        <w:t xml:space="preserve">. </w:t>
      </w:r>
      <w:r w:rsidR="0011745C">
        <w:rPr>
          <w:snapToGrid w:val="0"/>
          <w:lang w:val="fr-FR"/>
        </w:rPr>
        <w:t>E</w:t>
      </w:r>
      <w:r w:rsidR="000B562B" w:rsidRPr="00A176EA">
        <w:rPr>
          <w:snapToGrid w:val="0"/>
          <w:lang w:val="fr-FR"/>
        </w:rPr>
        <w:t xml:space="preserve">n </w:t>
      </w:r>
      <w:r w:rsidR="0011745C">
        <w:rPr>
          <w:snapToGrid w:val="0"/>
          <w:lang w:val="fr-FR"/>
        </w:rPr>
        <w:t>Angleterre et au</w:t>
      </w:r>
      <w:r w:rsidR="000B562B" w:rsidRPr="00A176EA">
        <w:rPr>
          <w:snapToGrid w:val="0"/>
          <w:lang w:val="fr-FR"/>
        </w:rPr>
        <w:t xml:space="preserve"> </w:t>
      </w:r>
      <w:r w:rsidR="0011745C">
        <w:rPr>
          <w:snapToGrid w:val="0"/>
          <w:lang w:val="fr-FR"/>
        </w:rPr>
        <w:t>p</w:t>
      </w:r>
      <w:r w:rsidR="005601A1">
        <w:rPr>
          <w:snapToGrid w:val="0"/>
          <w:lang w:val="fr-FR"/>
        </w:rPr>
        <w:t>ays de Galles</w:t>
      </w:r>
      <w:r w:rsidR="0011745C">
        <w:rPr>
          <w:snapToGrid w:val="0"/>
          <w:lang w:val="fr-FR"/>
        </w:rPr>
        <w:t>,</w:t>
      </w:r>
      <w:r w:rsidR="000B562B" w:rsidRPr="00A176EA">
        <w:rPr>
          <w:snapToGrid w:val="0"/>
          <w:lang w:val="fr-FR"/>
        </w:rPr>
        <w:t xml:space="preserve"> </w:t>
      </w:r>
      <w:r w:rsidR="00FD6B93">
        <w:rPr>
          <w:snapToGrid w:val="0"/>
          <w:lang w:val="fr-FR"/>
        </w:rPr>
        <w:t>les Procureurs de la Couronne peuvent formuler un avertissement conditionnel dans certains cas.</w:t>
      </w:r>
      <w:r w:rsidR="000B562B" w:rsidRPr="00A176EA">
        <w:rPr>
          <w:snapToGrid w:val="0"/>
          <w:lang w:val="fr-FR"/>
        </w:rPr>
        <w:t xml:space="preserve"> </w:t>
      </w:r>
      <w:r w:rsidR="0011745C">
        <w:rPr>
          <w:snapToGrid w:val="0"/>
          <w:lang w:val="fr-FR"/>
        </w:rPr>
        <w:t xml:space="preserve">La police peut émettre un avertissement simple et, en </w:t>
      </w:r>
      <w:r w:rsidR="00FD2CE1" w:rsidRPr="0011745C">
        <w:rPr>
          <w:lang w:val="fr-FR"/>
        </w:rPr>
        <w:t>Écosse</w:t>
      </w:r>
      <w:r w:rsidR="0011745C">
        <w:rPr>
          <w:lang w:val="fr-FR"/>
        </w:rPr>
        <w:t>,</w:t>
      </w:r>
      <w:r w:rsidR="000B562B" w:rsidRPr="00A176EA">
        <w:rPr>
          <w:snapToGrid w:val="0"/>
          <w:lang w:val="fr-FR"/>
        </w:rPr>
        <w:t xml:space="preserve"> </w:t>
      </w:r>
      <w:r w:rsidR="00360B5C">
        <w:rPr>
          <w:snapToGrid w:val="0"/>
          <w:lang w:val="fr-FR"/>
        </w:rPr>
        <w:t>un</w:t>
      </w:r>
      <w:r w:rsidR="0011745C">
        <w:rPr>
          <w:snapToGrid w:val="0"/>
          <w:lang w:val="fr-FR"/>
        </w:rPr>
        <w:t xml:space="preserve"> procureur a notamment la possibilité, au lieu d’engager des poursuites, de prononcer un avertissement ou de saisir le Département des services sociaux</w:t>
      </w:r>
      <w:r w:rsidR="000B562B" w:rsidRPr="00A176EA">
        <w:rPr>
          <w:snapToGrid w:val="0"/>
          <w:lang w:val="fr-FR"/>
        </w:rPr>
        <w:t>.</w:t>
      </w:r>
    </w:p>
    <w:p w:rsidR="000B562B" w:rsidRPr="00A176EA" w:rsidRDefault="002549A9" w:rsidP="00A8379B">
      <w:pPr>
        <w:pStyle w:val="SingleTxtG"/>
        <w:rPr>
          <w:snapToGrid w:val="0"/>
          <w:lang w:val="fr-FR"/>
        </w:rPr>
      </w:pPr>
      <w:r w:rsidRPr="00A176EA">
        <w:rPr>
          <w:snapToGrid w:val="0"/>
          <w:lang w:val="fr-FR"/>
        </w:rPr>
        <w:t>659.</w:t>
      </w:r>
      <w:r w:rsidRPr="00A176EA">
        <w:rPr>
          <w:snapToGrid w:val="0"/>
          <w:lang w:val="fr-FR"/>
        </w:rPr>
        <w:tab/>
      </w:r>
      <w:r w:rsidR="009B0111" w:rsidRPr="0011745C">
        <w:rPr>
          <w:snapToGrid w:val="0"/>
          <w:lang w:val="fr-FR"/>
        </w:rPr>
        <w:t>E</w:t>
      </w:r>
      <w:r w:rsidR="000B562B" w:rsidRPr="0011745C">
        <w:rPr>
          <w:snapToGrid w:val="0"/>
          <w:lang w:val="fr-FR"/>
        </w:rPr>
        <w:t xml:space="preserve">n </w:t>
      </w:r>
      <w:r w:rsidR="009B0111" w:rsidRPr="0011745C">
        <w:rPr>
          <w:snapToGrid w:val="0"/>
          <w:lang w:val="fr-FR"/>
        </w:rPr>
        <w:t>av</w:t>
      </w:r>
      <w:r w:rsidR="000B562B" w:rsidRPr="0011745C">
        <w:rPr>
          <w:snapToGrid w:val="0"/>
          <w:lang w:val="fr-FR"/>
        </w:rPr>
        <w:t>ril 1988</w:t>
      </w:r>
      <w:r w:rsidR="009B0111" w:rsidRPr="0011745C">
        <w:rPr>
          <w:snapToGrid w:val="0"/>
          <w:lang w:val="fr-FR"/>
        </w:rPr>
        <w:t>,</w:t>
      </w:r>
      <w:r w:rsidR="000B562B" w:rsidRPr="0011745C">
        <w:rPr>
          <w:snapToGrid w:val="0"/>
          <w:lang w:val="fr-FR"/>
        </w:rPr>
        <w:t xml:space="preserve"> </w:t>
      </w:r>
      <w:r w:rsidR="009B0111" w:rsidRPr="0011745C">
        <w:rPr>
          <w:snapToGrid w:val="0"/>
          <w:lang w:val="fr-FR"/>
        </w:rPr>
        <w:t>l</w:t>
      </w:r>
      <w:r w:rsidR="000B562B" w:rsidRPr="0011745C">
        <w:rPr>
          <w:snapToGrid w:val="0"/>
          <w:lang w:val="fr-FR"/>
        </w:rPr>
        <w:t xml:space="preserve">e </w:t>
      </w:r>
      <w:r w:rsidR="009B0111" w:rsidRPr="0011745C">
        <w:rPr>
          <w:snapToGrid w:val="0"/>
          <w:lang w:val="fr-FR"/>
        </w:rPr>
        <w:t>Bureau de lutte contre les fraudes graves</w:t>
      </w:r>
      <w:r w:rsidR="000B562B" w:rsidRPr="0011745C">
        <w:rPr>
          <w:snapToGrid w:val="0"/>
          <w:lang w:val="fr-FR"/>
        </w:rPr>
        <w:t xml:space="preserve">, </w:t>
      </w:r>
      <w:r w:rsidR="009B0111" w:rsidRPr="0011745C">
        <w:rPr>
          <w:snapToGrid w:val="0"/>
          <w:lang w:val="fr-FR"/>
        </w:rPr>
        <w:t>un organisme public,</w:t>
      </w:r>
      <w:r w:rsidR="009B0111">
        <w:rPr>
          <w:snapToGrid w:val="0"/>
          <w:lang w:val="fr-FR"/>
        </w:rPr>
        <w:t xml:space="preserve"> </w:t>
      </w:r>
      <w:r w:rsidR="0011745C" w:rsidRPr="0011745C">
        <w:rPr>
          <w:snapToGrid w:val="0"/>
          <w:lang w:val="fr-FR"/>
        </w:rPr>
        <w:t>a été créé pour enquêter sur les affaires de fraude les plus graves et les plus complexes en Angleterre, au pays de Galles et en Irlande du Nord, et engager les poursuites qui s’imposent.</w:t>
      </w:r>
      <w:r w:rsidR="00FD6B93">
        <w:rPr>
          <w:snapToGrid w:val="0"/>
          <w:lang w:val="fr-FR"/>
        </w:rPr>
        <w:t xml:space="preserve"> Un service analogue, l’Unité </w:t>
      </w:r>
      <w:r w:rsidR="00C87CB1">
        <w:rPr>
          <w:snapToGrid w:val="0"/>
          <w:lang w:val="fr-FR"/>
        </w:rPr>
        <w:t xml:space="preserve">du service des fraudes et </w:t>
      </w:r>
      <w:r w:rsidR="00FD6B93">
        <w:rPr>
          <w:snapToGrid w:val="0"/>
          <w:lang w:val="fr-FR"/>
        </w:rPr>
        <w:t>des services spéciali</w:t>
      </w:r>
      <w:r w:rsidR="00C87CB1">
        <w:rPr>
          <w:snapToGrid w:val="0"/>
          <w:lang w:val="fr-FR"/>
        </w:rPr>
        <w:t>sés</w:t>
      </w:r>
      <w:r w:rsidR="0011745C" w:rsidRPr="0011745C">
        <w:rPr>
          <w:snapToGrid w:val="0"/>
          <w:lang w:val="fr-FR"/>
        </w:rPr>
        <w:t xml:space="preserve"> </w:t>
      </w:r>
      <w:r w:rsidR="00C87CB1">
        <w:rPr>
          <w:snapToGrid w:val="0"/>
          <w:lang w:val="fr-FR"/>
        </w:rPr>
        <w:t>du Bureau de la Couronne,</w:t>
      </w:r>
      <w:r w:rsidR="0011745C" w:rsidRPr="0011745C">
        <w:rPr>
          <w:snapToGrid w:val="0"/>
          <w:lang w:val="fr-FR"/>
        </w:rPr>
        <w:t xml:space="preserve"> s’occupe de ce genre d’affaires en Écosse</w:t>
      </w:r>
      <w:r w:rsidR="000B562B" w:rsidRPr="00A176EA">
        <w:rPr>
          <w:snapToGrid w:val="0"/>
          <w:lang w:val="fr-FR"/>
        </w:rPr>
        <w:t>.</w:t>
      </w:r>
    </w:p>
    <w:p w:rsidR="000B562B" w:rsidRPr="0011745C" w:rsidRDefault="00327073" w:rsidP="00576F7E">
      <w:pPr>
        <w:pStyle w:val="H23G"/>
        <w:rPr>
          <w:szCs w:val="24"/>
          <w:lang w:val="fr-FR"/>
        </w:rPr>
      </w:pPr>
      <w:r w:rsidRPr="0011745C">
        <w:rPr>
          <w:lang w:val="fr-FR"/>
        </w:rPr>
        <w:t xml:space="preserve">Angleterre et </w:t>
      </w:r>
      <w:r w:rsidR="00EB4033" w:rsidRPr="0011745C">
        <w:rPr>
          <w:lang w:val="fr-FR"/>
        </w:rPr>
        <w:t>p</w:t>
      </w:r>
      <w:r w:rsidR="005601A1" w:rsidRPr="0011745C">
        <w:rPr>
          <w:lang w:val="fr-FR"/>
        </w:rPr>
        <w:t>ays de Galles</w:t>
      </w:r>
    </w:p>
    <w:p w:rsidR="000B562B" w:rsidRPr="00A176EA" w:rsidRDefault="002549A9" w:rsidP="00A8379B">
      <w:pPr>
        <w:pStyle w:val="SingleTxtG"/>
        <w:rPr>
          <w:snapToGrid w:val="0"/>
          <w:lang w:val="fr-FR"/>
        </w:rPr>
      </w:pPr>
      <w:r w:rsidRPr="0011745C">
        <w:rPr>
          <w:snapToGrid w:val="0"/>
          <w:lang w:val="fr-FR"/>
        </w:rPr>
        <w:t>660.</w:t>
      </w:r>
      <w:r w:rsidRPr="0011745C">
        <w:rPr>
          <w:snapToGrid w:val="0"/>
          <w:lang w:val="fr-FR"/>
        </w:rPr>
        <w:tab/>
      </w:r>
      <w:r w:rsidR="00327073" w:rsidRPr="0011745C">
        <w:rPr>
          <w:snapToGrid w:val="0"/>
          <w:lang w:val="fr-FR"/>
        </w:rPr>
        <w:t>L</w:t>
      </w:r>
      <w:r w:rsidR="000B562B" w:rsidRPr="0011745C">
        <w:rPr>
          <w:snapToGrid w:val="0"/>
          <w:lang w:val="fr-FR"/>
        </w:rPr>
        <w:t xml:space="preserve">e </w:t>
      </w:r>
      <w:r w:rsidR="007A1549">
        <w:rPr>
          <w:lang w:val="fr-FR"/>
        </w:rPr>
        <w:t>m</w:t>
      </w:r>
      <w:r w:rsidR="00327073" w:rsidRPr="0011745C">
        <w:rPr>
          <w:lang w:val="fr-FR"/>
        </w:rPr>
        <w:t>inistère public de la Couronne</w:t>
      </w:r>
      <w:r w:rsidR="00327073" w:rsidRPr="00A176EA">
        <w:rPr>
          <w:lang w:val="fr-FR"/>
        </w:rPr>
        <w:t xml:space="preserve"> </w:t>
      </w:r>
      <w:r w:rsidR="0011745C" w:rsidRPr="0011745C">
        <w:rPr>
          <w:snapToGrid w:val="0"/>
          <w:lang w:val="fr-FR"/>
        </w:rPr>
        <w:t>a été créé en Angleterre et au pays de Galles en vertu de la loi de 1985 relative aux poursuites pénales. Ce service, qui est dirigé par le</w:t>
      </w:r>
      <w:r w:rsidR="000B562B" w:rsidRPr="00A176EA">
        <w:rPr>
          <w:snapToGrid w:val="0"/>
          <w:lang w:val="fr-FR"/>
        </w:rPr>
        <w:t xml:space="preserve"> </w:t>
      </w:r>
      <w:r w:rsidR="00FB00ED" w:rsidRPr="00446D8C">
        <w:rPr>
          <w:snapToGrid w:val="0"/>
          <w:lang w:val="fr-FR"/>
        </w:rPr>
        <w:t>Directeur du Parquet</w:t>
      </w:r>
      <w:r w:rsidR="000B562B" w:rsidRPr="00446D8C">
        <w:rPr>
          <w:snapToGrid w:val="0"/>
          <w:lang w:val="fr-FR"/>
        </w:rPr>
        <w:t xml:space="preserve">, </w:t>
      </w:r>
      <w:r w:rsidR="00446D8C" w:rsidRPr="00446D8C">
        <w:rPr>
          <w:snapToGrid w:val="0"/>
          <w:lang w:val="fr-FR"/>
        </w:rPr>
        <w:t xml:space="preserve">engage des poursuites pénales devant les </w:t>
      </w:r>
      <w:r w:rsidR="000B0B40">
        <w:rPr>
          <w:snapToGrid w:val="0"/>
          <w:lang w:val="fr-FR"/>
        </w:rPr>
        <w:t>Tri</w:t>
      </w:r>
      <w:r w:rsidR="00000CC2">
        <w:rPr>
          <w:snapToGrid w:val="0"/>
          <w:lang w:val="fr-FR"/>
        </w:rPr>
        <w:t>bu</w:t>
      </w:r>
      <w:r w:rsidR="000B0B40">
        <w:rPr>
          <w:snapToGrid w:val="0"/>
          <w:lang w:val="fr-FR"/>
        </w:rPr>
        <w:t>naux d’instance</w:t>
      </w:r>
      <w:r w:rsidR="00446D8C" w:rsidRPr="00446D8C">
        <w:rPr>
          <w:snapToGrid w:val="0"/>
          <w:lang w:val="fr-FR"/>
        </w:rPr>
        <w:t xml:space="preserve"> et </w:t>
      </w:r>
      <w:r w:rsidR="00E857CF">
        <w:rPr>
          <w:snapToGrid w:val="0"/>
          <w:lang w:val="fr-FR"/>
        </w:rPr>
        <w:t>les</w:t>
      </w:r>
      <w:r w:rsidR="00446D8C" w:rsidRPr="00446D8C">
        <w:rPr>
          <w:snapToGrid w:val="0"/>
          <w:lang w:val="fr-FR"/>
        </w:rPr>
        <w:t xml:space="preserve"> </w:t>
      </w:r>
      <w:r w:rsidR="00E857CF">
        <w:rPr>
          <w:lang w:val="fr-FR"/>
        </w:rPr>
        <w:t>Cours de la Couronne</w:t>
      </w:r>
      <w:r w:rsidR="000B562B" w:rsidRPr="00446D8C">
        <w:rPr>
          <w:snapToGrid w:val="0"/>
          <w:lang w:val="fr-FR"/>
        </w:rPr>
        <w:t xml:space="preserve">. </w:t>
      </w:r>
      <w:r w:rsidR="00446D8C" w:rsidRPr="00446D8C">
        <w:rPr>
          <w:snapToGrid w:val="0"/>
          <w:lang w:val="fr-FR"/>
        </w:rPr>
        <w:t>L</w:t>
      </w:r>
      <w:r w:rsidR="000B562B" w:rsidRPr="00446D8C">
        <w:rPr>
          <w:snapToGrid w:val="0"/>
          <w:lang w:val="fr-FR"/>
        </w:rPr>
        <w:t xml:space="preserve">e </w:t>
      </w:r>
      <w:r w:rsidR="00FB00ED" w:rsidRPr="00446D8C">
        <w:rPr>
          <w:snapToGrid w:val="0"/>
          <w:lang w:val="fr-FR"/>
        </w:rPr>
        <w:t>Directeur du Parquet</w:t>
      </w:r>
      <w:r w:rsidR="00FB00ED" w:rsidRPr="00A176EA">
        <w:rPr>
          <w:snapToGrid w:val="0"/>
          <w:lang w:val="fr-FR"/>
        </w:rPr>
        <w:t xml:space="preserve"> </w:t>
      </w:r>
      <w:r w:rsidR="00FE7A26">
        <w:rPr>
          <w:snapToGrid w:val="0"/>
          <w:lang w:val="fr-FR"/>
        </w:rPr>
        <w:t>rend compte au</w:t>
      </w:r>
      <w:r w:rsidR="00FE7A26" w:rsidRPr="00FE7A26">
        <w:rPr>
          <w:snapToGrid w:val="0"/>
          <w:lang w:val="fr-FR"/>
        </w:rPr>
        <w:t xml:space="preserve"> Parlement par l’intermédiaire d</w:t>
      </w:r>
      <w:r w:rsidR="000B43D6">
        <w:rPr>
          <w:snapToGrid w:val="0"/>
          <w:lang w:val="fr-FR"/>
        </w:rPr>
        <w:t>u</w:t>
      </w:r>
      <w:r w:rsidR="00FE7A26" w:rsidRPr="00FE7A26">
        <w:rPr>
          <w:snapToGrid w:val="0"/>
          <w:lang w:val="fr-FR"/>
        </w:rPr>
        <w:t xml:space="preserve"> </w:t>
      </w:r>
      <w:r w:rsidR="000B43D6">
        <w:rPr>
          <w:lang w:val="fr-FR"/>
        </w:rPr>
        <w:t>Procureur général</w:t>
      </w:r>
      <w:r w:rsidR="000B562B" w:rsidRPr="00A176EA">
        <w:rPr>
          <w:lang w:val="fr-FR"/>
        </w:rPr>
        <w:t xml:space="preserve">. </w:t>
      </w:r>
      <w:r w:rsidR="00FE7A26">
        <w:rPr>
          <w:lang w:val="fr-FR"/>
        </w:rPr>
        <w:t xml:space="preserve">Les juristes du </w:t>
      </w:r>
      <w:r w:rsidR="007A1549">
        <w:rPr>
          <w:lang w:val="fr-FR"/>
        </w:rPr>
        <w:t>m</w:t>
      </w:r>
      <w:r w:rsidR="00327073" w:rsidRPr="00FE7A26">
        <w:rPr>
          <w:lang w:val="fr-FR"/>
        </w:rPr>
        <w:t>inistère public de la Couronne</w:t>
      </w:r>
      <w:r w:rsidR="000B562B" w:rsidRPr="00A176EA">
        <w:rPr>
          <w:snapToGrid w:val="0"/>
          <w:lang w:val="fr-FR"/>
        </w:rPr>
        <w:t xml:space="preserve"> </w:t>
      </w:r>
      <w:r w:rsidR="00FE7A26">
        <w:rPr>
          <w:snapToGrid w:val="0"/>
          <w:lang w:val="fr-FR"/>
        </w:rPr>
        <w:t xml:space="preserve">mènent les poursuites devant les </w:t>
      </w:r>
      <w:r w:rsidR="000B0B40">
        <w:rPr>
          <w:snapToGrid w:val="0"/>
          <w:lang w:val="fr-FR"/>
        </w:rPr>
        <w:t>Tri</w:t>
      </w:r>
      <w:r w:rsidR="00000CC2">
        <w:rPr>
          <w:snapToGrid w:val="0"/>
          <w:lang w:val="fr-FR"/>
        </w:rPr>
        <w:t>bu</w:t>
      </w:r>
      <w:r w:rsidR="000B0B40">
        <w:rPr>
          <w:snapToGrid w:val="0"/>
          <w:lang w:val="fr-FR"/>
        </w:rPr>
        <w:t>naux d’instance</w:t>
      </w:r>
      <w:r w:rsidR="00FE7A26">
        <w:rPr>
          <w:snapToGrid w:val="0"/>
          <w:lang w:val="fr-FR"/>
        </w:rPr>
        <w:t xml:space="preserve"> et, dans certains cas, devant les</w:t>
      </w:r>
      <w:r w:rsidR="000B562B" w:rsidRPr="00A176EA">
        <w:rPr>
          <w:snapToGrid w:val="0"/>
          <w:lang w:val="fr-FR"/>
        </w:rPr>
        <w:t xml:space="preserve"> </w:t>
      </w:r>
      <w:r w:rsidR="00E857CF">
        <w:rPr>
          <w:lang w:val="fr-FR"/>
        </w:rPr>
        <w:t>Cours de la Couronne</w:t>
      </w:r>
      <w:r w:rsidR="000B562B" w:rsidRPr="00A176EA">
        <w:rPr>
          <w:snapToGrid w:val="0"/>
          <w:lang w:val="fr-FR"/>
        </w:rPr>
        <w:t xml:space="preserve">. </w:t>
      </w:r>
      <w:r w:rsidR="00FE7A26">
        <w:rPr>
          <w:snapToGrid w:val="0"/>
          <w:lang w:val="fr-FR"/>
        </w:rPr>
        <w:t>L</w:t>
      </w:r>
      <w:r w:rsidR="000B562B" w:rsidRPr="00A176EA">
        <w:rPr>
          <w:snapToGrid w:val="0"/>
          <w:lang w:val="fr-FR"/>
        </w:rPr>
        <w:t xml:space="preserve">e </w:t>
      </w:r>
      <w:r w:rsidR="007A1549">
        <w:rPr>
          <w:snapToGrid w:val="0"/>
          <w:lang w:val="fr-FR"/>
        </w:rPr>
        <w:t>m</w:t>
      </w:r>
      <w:r w:rsidR="00327073" w:rsidRPr="00FE7A26">
        <w:rPr>
          <w:lang w:val="fr-FR"/>
        </w:rPr>
        <w:t>inistère public de la Couronne</w:t>
      </w:r>
      <w:r w:rsidR="00353AF4">
        <w:rPr>
          <w:lang w:val="fr-FR"/>
        </w:rPr>
        <w:t xml:space="preserve"> donne également des instructions à des avocats privés pour</w:t>
      </w:r>
      <w:r w:rsidR="000B562B" w:rsidRPr="00FE7A26">
        <w:rPr>
          <w:snapToGrid w:val="0"/>
          <w:lang w:val="fr-FR"/>
        </w:rPr>
        <w:t xml:space="preserve"> </w:t>
      </w:r>
      <w:r w:rsidR="00353AF4">
        <w:rPr>
          <w:snapToGrid w:val="0"/>
          <w:lang w:val="fr-FR"/>
        </w:rPr>
        <w:t>comparaître en son nom</w:t>
      </w:r>
      <w:r w:rsidR="000B562B" w:rsidRPr="00A176EA">
        <w:rPr>
          <w:snapToGrid w:val="0"/>
          <w:lang w:val="fr-FR"/>
        </w:rPr>
        <w:t xml:space="preserve">. </w:t>
      </w:r>
      <w:r w:rsidR="00353AF4">
        <w:rPr>
          <w:snapToGrid w:val="0"/>
          <w:lang w:val="fr-FR"/>
        </w:rPr>
        <w:t xml:space="preserve">Si la plupart des affaires sont traitées dans </w:t>
      </w:r>
      <w:r w:rsidR="0064574D">
        <w:rPr>
          <w:snapToGrid w:val="0"/>
          <w:lang w:val="fr-FR"/>
        </w:rPr>
        <w:t>la circonscription judiciaire où les faits sont survenus</w:t>
      </w:r>
      <w:r w:rsidR="000B562B" w:rsidRPr="00A176EA">
        <w:rPr>
          <w:snapToGrid w:val="0"/>
          <w:lang w:val="fr-FR"/>
        </w:rPr>
        <w:t xml:space="preserve">, </w:t>
      </w:r>
      <w:r w:rsidR="003726AF">
        <w:rPr>
          <w:snapToGrid w:val="0"/>
          <w:lang w:val="fr-FR"/>
        </w:rPr>
        <w:t xml:space="preserve">certaines sont examinées par la Division des </w:t>
      </w:r>
      <w:r w:rsidR="00B11287">
        <w:rPr>
          <w:snapToGrid w:val="0"/>
          <w:lang w:val="fr-FR"/>
        </w:rPr>
        <w:t xml:space="preserve">infractions graves, </w:t>
      </w:r>
      <w:r w:rsidR="00B11287" w:rsidRPr="00B11287">
        <w:rPr>
          <w:snapToGrid w:val="0"/>
          <w:lang w:val="fr-FR"/>
        </w:rPr>
        <w:t xml:space="preserve">en particulier les affaires d’importance nationale, celles qui posent des difficultés exceptionnelles ou qui préoccupent particulièrement l’opinion publique et celles pour lesquelles il convient d’éviter les influences locales. Il en est ainsi des actes de terrorisme, des infractions à la législation sur le secret d’État, des affaires de corruption et de certaines poursuites contre des </w:t>
      </w:r>
      <w:r w:rsidR="00B11287">
        <w:rPr>
          <w:snapToGrid w:val="0"/>
          <w:lang w:val="fr-FR"/>
        </w:rPr>
        <w:t>fonctionnaires de</w:t>
      </w:r>
      <w:r w:rsidR="00B11287" w:rsidRPr="00B11287">
        <w:rPr>
          <w:snapToGrid w:val="0"/>
          <w:lang w:val="fr-FR"/>
        </w:rPr>
        <w:t xml:space="preserve"> police</w:t>
      </w:r>
      <w:r w:rsidR="000B562B" w:rsidRPr="00A176EA">
        <w:rPr>
          <w:snapToGrid w:val="0"/>
          <w:lang w:val="fr-FR"/>
        </w:rPr>
        <w:t xml:space="preserve">. </w:t>
      </w:r>
      <w:r w:rsidR="00B11287">
        <w:rPr>
          <w:snapToGrid w:val="0"/>
          <w:lang w:val="fr-FR"/>
        </w:rPr>
        <w:t>Les a</w:t>
      </w:r>
      <w:r w:rsidR="000B562B" w:rsidRPr="00A176EA">
        <w:rPr>
          <w:snapToGrid w:val="0"/>
          <w:lang w:val="fr-FR"/>
        </w:rPr>
        <w:t>ll</w:t>
      </w:r>
      <w:r w:rsidR="00B11287">
        <w:rPr>
          <w:snapToGrid w:val="0"/>
          <w:lang w:val="fr-FR"/>
        </w:rPr>
        <w:t>é</w:t>
      </w:r>
      <w:r w:rsidR="000B562B" w:rsidRPr="00A176EA">
        <w:rPr>
          <w:snapToGrid w:val="0"/>
          <w:lang w:val="fr-FR"/>
        </w:rPr>
        <w:t xml:space="preserve">gations </w:t>
      </w:r>
      <w:r w:rsidR="00B11287">
        <w:rPr>
          <w:snapToGrid w:val="0"/>
          <w:lang w:val="fr-FR"/>
        </w:rPr>
        <w:t>de</w:t>
      </w:r>
      <w:r w:rsidR="000B562B" w:rsidRPr="00A176EA">
        <w:rPr>
          <w:snapToGrid w:val="0"/>
          <w:lang w:val="fr-FR"/>
        </w:rPr>
        <w:t xml:space="preserve"> torture </w:t>
      </w:r>
      <w:r w:rsidR="00B11287">
        <w:rPr>
          <w:snapToGrid w:val="0"/>
          <w:lang w:val="fr-FR"/>
        </w:rPr>
        <w:t>et les décès en garde à vue relèvent également de</w:t>
      </w:r>
      <w:r w:rsidR="000B562B" w:rsidRPr="00A176EA">
        <w:rPr>
          <w:snapToGrid w:val="0"/>
          <w:lang w:val="fr-FR"/>
        </w:rPr>
        <w:t xml:space="preserve"> </w:t>
      </w:r>
      <w:r w:rsidR="00B11287">
        <w:rPr>
          <w:snapToGrid w:val="0"/>
          <w:lang w:val="fr-FR"/>
        </w:rPr>
        <w:t>la</w:t>
      </w:r>
      <w:r w:rsidR="000B562B" w:rsidRPr="00A176EA">
        <w:rPr>
          <w:snapToGrid w:val="0"/>
          <w:lang w:val="fr-FR"/>
        </w:rPr>
        <w:t xml:space="preserve"> Division.</w:t>
      </w:r>
    </w:p>
    <w:p w:rsidR="000B562B" w:rsidRPr="00FD2CE1" w:rsidRDefault="00FD2CE1" w:rsidP="00576F7E">
      <w:pPr>
        <w:pStyle w:val="H23G"/>
        <w:rPr>
          <w:b w:val="0"/>
          <w:lang w:val="fr-FR"/>
        </w:rPr>
      </w:pPr>
      <w:r w:rsidRPr="00B11287">
        <w:rPr>
          <w:lang w:val="fr-FR"/>
        </w:rPr>
        <w:t>Écosse</w:t>
      </w:r>
    </w:p>
    <w:p w:rsidR="000B562B" w:rsidRPr="00A176EA" w:rsidRDefault="002549A9" w:rsidP="00A8379B">
      <w:pPr>
        <w:pStyle w:val="SingleTxtG"/>
        <w:rPr>
          <w:snapToGrid w:val="0"/>
          <w:lang w:val="fr-FR"/>
        </w:rPr>
      </w:pPr>
      <w:r w:rsidRPr="00A176EA">
        <w:rPr>
          <w:snapToGrid w:val="0"/>
          <w:lang w:val="fr-FR"/>
        </w:rPr>
        <w:t>661.</w:t>
      </w:r>
      <w:r w:rsidRPr="00A176EA">
        <w:rPr>
          <w:snapToGrid w:val="0"/>
          <w:lang w:val="fr-FR"/>
        </w:rPr>
        <w:tab/>
      </w:r>
      <w:r w:rsidR="004E79A8">
        <w:rPr>
          <w:snapToGrid w:val="0"/>
          <w:lang w:val="fr-FR"/>
        </w:rPr>
        <w:t>E</w:t>
      </w:r>
      <w:r w:rsidR="000B562B" w:rsidRPr="00A176EA">
        <w:rPr>
          <w:snapToGrid w:val="0"/>
          <w:lang w:val="fr-FR"/>
        </w:rPr>
        <w:t xml:space="preserve">n </w:t>
      </w:r>
      <w:r w:rsidR="00FD2CE1" w:rsidRPr="004E79A8">
        <w:rPr>
          <w:lang w:val="fr-FR"/>
        </w:rPr>
        <w:t>Écosse</w:t>
      </w:r>
      <w:r w:rsidR="000B562B" w:rsidRPr="00A176EA">
        <w:rPr>
          <w:snapToGrid w:val="0"/>
          <w:lang w:val="fr-FR"/>
        </w:rPr>
        <w:t xml:space="preserve">, </w:t>
      </w:r>
      <w:r w:rsidR="004E79A8" w:rsidRPr="001A6FB8">
        <w:rPr>
          <w:snapToGrid w:val="0"/>
          <w:lang w:val="fr-FR"/>
        </w:rPr>
        <w:t>l</w:t>
      </w:r>
      <w:r w:rsidR="000B562B" w:rsidRPr="001A6FB8">
        <w:rPr>
          <w:snapToGrid w:val="0"/>
          <w:lang w:val="fr-FR"/>
        </w:rPr>
        <w:t xml:space="preserve">e </w:t>
      </w:r>
      <w:r w:rsidR="001A6FB8" w:rsidRPr="001A6FB8">
        <w:rPr>
          <w:snapToGrid w:val="0"/>
          <w:lang w:val="fr-FR"/>
        </w:rPr>
        <w:t>Procureur général (</w:t>
      </w:r>
      <w:r w:rsidR="000B562B" w:rsidRPr="001A6FB8">
        <w:rPr>
          <w:snapToGrid w:val="0"/>
          <w:lang w:val="fr-FR"/>
        </w:rPr>
        <w:t>Lord Advocate</w:t>
      </w:r>
      <w:r w:rsidR="001A6FB8" w:rsidRPr="001A6FB8">
        <w:rPr>
          <w:snapToGrid w:val="0"/>
          <w:lang w:val="fr-FR"/>
        </w:rPr>
        <w:t>)</w:t>
      </w:r>
      <w:r w:rsidR="000B562B" w:rsidRPr="00A176EA">
        <w:rPr>
          <w:snapToGrid w:val="0"/>
          <w:lang w:val="fr-FR"/>
        </w:rPr>
        <w:t xml:space="preserve"> </w:t>
      </w:r>
      <w:r w:rsidR="00AE40E2" w:rsidRPr="00AE40E2">
        <w:rPr>
          <w:snapToGrid w:val="0"/>
          <w:lang w:val="fr-FR"/>
        </w:rPr>
        <w:t>est à la tête du système des poursuites pénales</w:t>
      </w:r>
      <w:r w:rsidR="00AE40E2">
        <w:rPr>
          <w:snapToGrid w:val="0"/>
          <w:lang w:val="fr-FR"/>
        </w:rPr>
        <w:t xml:space="preserve"> et</w:t>
      </w:r>
      <w:r w:rsidR="00AE40E2" w:rsidRPr="00AE40E2">
        <w:rPr>
          <w:snapToGrid w:val="0"/>
          <w:lang w:val="fr-FR"/>
        </w:rPr>
        <w:t xml:space="preserve"> des enquêtes sur les décès</w:t>
      </w:r>
      <w:r w:rsidR="000B562B" w:rsidRPr="00A176EA">
        <w:rPr>
          <w:snapToGrid w:val="0"/>
          <w:lang w:val="fr-FR"/>
        </w:rPr>
        <w:t xml:space="preserve">. </w:t>
      </w:r>
      <w:r w:rsidR="002662E8">
        <w:rPr>
          <w:lang w:val="fr-FR"/>
        </w:rPr>
        <w:t>Le</w:t>
      </w:r>
      <w:r w:rsidR="000B562B" w:rsidRPr="00A176EA">
        <w:rPr>
          <w:lang w:val="fr-FR"/>
        </w:rPr>
        <w:t xml:space="preserve"> </w:t>
      </w:r>
      <w:r w:rsidR="000B562B" w:rsidRPr="004C0E33">
        <w:rPr>
          <w:lang w:val="fr-FR"/>
        </w:rPr>
        <w:t xml:space="preserve">Procurator Fiscal </w:t>
      </w:r>
      <w:r w:rsidR="000B43D6" w:rsidRPr="004C0E33">
        <w:rPr>
          <w:lang w:val="fr-FR"/>
        </w:rPr>
        <w:t>Service</w:t>
      </w:r>
      <w:r w:rsidR="000B43D6">
        <w:rPr>
          <w:lang w:val="fr-FR"/>
        </w:rPr>
        <w:t xml:space="preserve"> </w:t>
      </w:r>
      <w:r w:rsidR="002662E8">
        <w:rPr>
          <w:lang w:val="fr-FR"/>
        </w:rPr>
        <w:t xml:space="preserve">est le </w:t>
      </w:r>
      <w:r w:rsidR="007A1549">
        <w:rPr>
          <w:lang w:val="fr-FR"/>
        </w:rPr>
        <w:t>m</w:t>
      </w:r>
      <w:r w:rsidR="002662E8">
        <w:rPr>
          <w:lang w:val="fr-FR"/>
        </w:rPr>
        <w:t xml:space="preserve">inistère public </w:t>
      </w:r>
      <w:r w:rsidR="002662E8" w:rsidRPr="002662E8">
        <w:rPr>
          <w:lang w:val="fr-FR"/>
        </w:rPr>
        <w:t>d’</w:t>
      </w:r>
      <w:r w:rsidR="00FD2CE1" w:rsidRPr="002662E8">
        <w:rPr>
          <w:lang w:val="fr-FR"/>
        </w:rPr>
        <w:t>Écosse</w:t>
      </w:r>
      <w:r w:rsidR="000B562B" w:rsidRPr="00A176EA">
        <w:rPr>
          <w:lang w:val="fr-FR"/>
        </w:rPr>
        <w:t xml:space="preserve">. </w:t>
      </w:r>
      <w:r w:rsidR="002662E8">
        <w:rPr>
          <w:lang w:val="fr-FR"/>
        </w:rPr>
        <w:t xml:space="preserve">Les </w:t>
      </w:r>
      <w:r w:rsidR="000B43D6" w:rsidRPr="004C0E33">
        <w:rPr>
          <w:lang w:val="fr-FR"/>
        </w:rPr>
        <w:t xml:space="preserve">Procureurs </w:t>
      </w:r>
      <w:r w:rsidR="00C87CB1">
        <w:rPr>
          <w:lang w:val="fr-FR"/>
        </w:rPr>
        <w:t xml:space="preserve">agissent sur instruction </w:t>
      </w:r>
      <w:r w:rsidR="00C87CB1" w:rsidRPr="00C87CB1">
        <w:rPr>
          <w:lang w:val="fr-FR"/>
        </w:rPr>
        <w:t>du</w:t>
      </w:r>
      <w:r w:rsidR="000B562B" w:rsidRPr="00C87CB1">
        <w:rPr>
          <w:lang w:val="fr-FR"/>
        </w:rPr>
        <w:t xml:space="preserve"> </w:t>
      </w:r>
      <w:r w:rsidR="001A6FB8" w:rsidRPr="001A6FB8">
        <w:rPr>
          <w:snapToGrid w:val="0"/>
          <w:lang w:val="fr-FR"/>
        </w:rPr>
        <w:t>Procureur général</w:t>
      </w:r>
      <w:r w:rsidR="000B562B" w:rsidRPr="00A176EA">
        <w:rPr>
          <w:lang w:val="fr-FR"/>
        </w:rPr>
        <w:t xml:space="preserve">. </w:t>
      </w:r>
      <w:r w:rsidR="00C87CB1">
        <w:rPr>
          <w:lang w:val="fr-FR"/>
        </w:rPr>
        <w:t xml:space="preserve">Les poursuites sont engagées auprès </w:t>
      </w:r>
      <w:r w:rsidR="000B0B40">
        <w:rPr>
          <w:lang w:val="fr-FR"/>
        </w:rPr>
        <w:t>du Tribunal</w:t>
      </w:r>
      <w:r w:rsidR="00C87CB1">
        <w:rPr>
          <w:lang w:val="fr-FR"/>
        </w:rPr>
        <w:t xml:space="preserve"> d</w:t>
      </w:r>
      <w:r w:rsidR="00251415">
        <w:rPr>
          <w:lang w:val="fr-FR"/>
        </w:rPr>
        <w:t>e</w:t>
      </w:r>
      <w:r w:rsidR="00C87CB1">
        <w:rPr>
          <w:lang w:val="fr-FR"/>
        </w:rPr>
        <w:t xml:space="preserve"> shérif local et des</w:t>
      </w:r>
      <w:r w:rsidR="00251415">
        <w:rPr>
          <w:lang w:val="fr-FR"/>
        </w:rPr>
        <w:t xml:space="preserve"> Cours des</w:t>
      </w:r>
      <w:r w:rsidR="00C87CB1">
        <w:rPr>
          <w:lang w:val="fr-FR"/>
        </w:rPr>
        <w:t xml:space="preserve"> juges de </w:t>
      </w:r>
      <w:r w:rsidR="00251415">
        <w:rPr>
          <w:lang w:val="fr-FR"/>
        </w:rPr>
        <w:t xml:space="preserve">paix par les </w:t>
      </w:r>
      <w:r w:rsidR="004C0E33">
        <w:rPr>
          <w:lang w:val="fr-FR"/>
        </w:rPr>
        <w:t>procureurs</w:t>
      </w:r>
      <w:r w:rsidR="000B562B" w:rsidRPr="00A176EA">
        <w:rPr>
          <w:lang w:val="fr-FR"/>
        </w:rPr>
        <w:t xml:space="preserve">. </w:t>
      </w:r>
      <w:r w:rsidR="005E486E">
        <w:rPr>
          <w:lang w:val="fr-FR"/>
        </w:rPr>
        <w:t xml:space="preserve">Les poursuites devant la Haute Cour sont engagées par le </w:t>
      </w:r>
      <w:r w:rsidR="001A6FB8" w:rsidRPr="001A6FB8">
        <w:rPr>
          <w:snapToGrid w:val="0"/>
          <w:lang w:val="fr-FR"/>
        </w:rPr>
        <w:t xml:space="preserve">Procureur </w:t>
      </w:r>
      <w:r w:rsidR="001A6FB8" w:rsidRPr="004C0E33">
        <w:rPr>
          <w:snapToGrid w:val="0"/>
          <w:lang w:val="fr-FR"/>
        </w:rPr>
        <w:t>général</w:t>
      </w:r>
      <w:r w:rsidR="000B562B" w:rsidRPr="004C0E33">
        <w:rPr>
          <w:lang w:val="fr-FR"/>
        </w:rPr>
        <w:t xml:space="preserve">, </w:t>
      </w:r>
      <w:r w:rsidR="001A6FB8" w:rsidRPr="004C0E33">
        <w:rPr>
          <w:lang w:val="fr-FR"/>
        </w:rPr>
        <w:t>l’Avocat général</w:t>
      </w:r>
      <w:r w:rsidR="005E486E" w:rsidRPr="004C0E33">
        <w:rPr>
          <w:lang w:val="fr-FR"/>
        </w:rPr>
        <w:t xml:space="preserve"> </w:t>
      </w:r>
      <w:r w:rsidR="001A6FB8" w:rsidRPr="004C0E33">
        <w:rPr>
          <w:lang w:val="fr-FR"/>
        </w:rPr>
        <w:t>(</w:t>
      </w:r>
      <w:r w:rsidR="000B562B" w:rsidRPr="004C0E33">
        <w:rPr>
          <w:lang w:val="fr-FR"/>
        </w:rPr>
        <w:t>Solicitor General</w:t>
      </w:r>
      <w:r w:rsidR="001A6FB8" w:rsidRPr="004C0E33">
        <w:rPr>
          <w:lang w:val="fr-FR"/>
        </w:rPr>
        <w:t>)</w:t>
      </w:r>
      <w:r w:rsidR="000B562B" w:rsidRPr="004C0E33">
        <w:rPr>
          <w:lang w:val="fr-FR"/>
        </w:rPr>
        <w:t xml:space="preserve"> </w:t>
      </w:r>
      <w:r w:rsidR="005E486E" w:rsidRPr="004C0E33">
        <w:rPr>
          <w:lang w:val="fr-FR"/>
        </w:rPr>
        <w:t>et les</w:t>
      </w:r>
      <w:r w:rsidR="000B562B" w:rsidRPr="004C0E33">
        <w:rPr>
          <w:lang w:val="fr-FR"/>
        </w:rPr>
        <w:t xml:space="preserve"> </w:t>
      </w:r>
      <w:r w:rsidR="004C0E33">
        <w:rPr>
          <w:lang w:val="fr-FR"/>
        </w:rPr>
        <w:t xml:space="preserve">Avocats adjoints </w:t>
      </w:r>
      <w:r w:rsidR="004C0E33" w:rsidRPr="004C0E33">
        <w:rPr>
          <w:lang w:val="fr-FR"/>
        </w:rPr>
        <w:t>(</w:t>
      </w:r>
      <w:r w:rsidR="000B562B" w:rsidRPr="004C0E33">
        <w:rPr>
          <w:lang w:val="fr-FR"/>
        </w:rPr>
        <w:t>Advocate Deputes</w:t>
      </w:r>
      <w:r w:rsidR="004C0E33" w:rsidRPr="004C0E33">
        <w:rPr>
          <w:lang w:val="fr-FR"/>
        </w:rPr>
        <w:t>)</w:t>
      </w:r>
      <w:r w:rsidR="008C5858" w:rsidRPr="004C0E33">
        <w:rPr>
          <w:lang w:val="fr-FR"/>
        </w:rPr>
        <w:t>,</w:t>
      </w:r>
      <w:r w:rsidR="008C5858">
        <w:rPr>
          <w:lang w:val="fr-FR"/>
        </w:rPr>
        <w:t xml:space="preserve"> </w:t>
      </w:r>
      <w:r w:rsidR="007C5E86">
        <w:rPr>
          <w:lang w:val="fr-FR"/>
        </w:rPr>
        <w:t xml:space="preserve">qui sont appelés collectivement Avocat de la </w:t>
      </w:r>
      <w:r w:rsidR="007C5E86" w:rsidRPr="007C5E86">
        <w:rPr>
          <w:lang w:val="fr-FR"/>
        </w:rPr>
        <w:t>Couronne</w:t>
      </w:r>
      <w:r w:rsidR="008C5858" w:rsidRPr="007C5E86">
        <w:rPr>
          <w:lang w:val="fr-FR"/>
        </w:rPr>
        <w:t xml:space="preserve"> </w:t>
      </w:r>
      <w:r w:rsidR="007C5E86" w:rsidRPr="007C5E86">
        <w:rPr>
          <w:lang w:val="fr-FR"/>
        </w:rPr>
        <w:t>(</w:t>
      </w:r>
      <w:r w:rsidR="000B562B" w:rsidRPr="007C5E86">
        <w:rPr>
          <w:lang w:val="fr-FR"/>
        </w:rPr>
        <w:t>Crown Counsel</w:t>
      </w:r>
      <w:r w:rsidR="007C5E86" w:rsidRPr="007C5E86">
        <w:rPr>
          <w:lang w:val="fr-FR"/>
        </w:rPr>
        <w:t>)</w:t>
      </w:r>
      <w:r w:rsidR="000B562B" w:rsidRPr="007C5E86">
        <w:rPr>
          <w:lang w:val="fr-FR"/>
        </w:rPr>
        <w:t>.</w:t>
      </w:r>
    </w:p>
    <w:p w:rsidR="000B562B" w:rsidRPr="00A176EA" w:rsidRDefault="002549A9" w:rsidP="00A8379B">
      <w:pPr>
        <w:pStyle w:val="SingleTxtG"/>
        <w:rPr>
          <w:snapToGrid w:val="0"/>
          <w:lang w:val="fr-FR"/>
        </w:rPr>
      </w:pPr>
      <w:r w:rsidRPr="00A176EA">
        <w:rPr>
          <w:snapToGrid w:val="0"/>
          <w:lang w:val="fr-FR"/>
        </w:rPr>
        <w:t>662.</w:t>
      </w:r>
      <w:r w:rsidRPr="00A176EA">
        <w:rPr>
          <w:snapToGrid w:val="0"/>
          <w:lang w:val="fr-FR"/>
        </w:rPr>
        <w:tab/>
      </w:r>
      <w:r w:rsidR="008C5858" w:rsidRPr="008C5858">
        <w:rPr>
          <w:snapToGrid w:val="0"/>
          <w:lang w:val="fr-FR"/>
        </w:rPr>
        <w:t>En vertu de la loi de 1995 sur la procédure pénale en Écosse</w:t>
      </w:r>
      <w:r w:rsidR="008C5858">
        <w:rPr>
          <w:snapToGrid w:val="0"/>
          <w:lang w:val="fr-FR"/>
        </w:rPr>
        <w:t>,</w:t>
      </w:r>
      <w:r w:rsidR="008C5858" w:rsidRPr="008C5858">
        <w:rPr>
          <w:snapToGrid w:val="0"/>
          <w:lang w:val="fr-FR"/>
        </w:rPr>
        <w:t xml:space="preserve"> </w:t>
      </w:r>
      <w:r w:rsidR="004C0E33">
        <w:rPr>
          <w:snapToGrid w:val="0"/>
          <w:lang w:val="fr-FR"/>
        </w:rPr>
        <w:t>un procureur</w:t>
      </w:r>
      <w:r w:rsidR="008C5858" w:rsidRPr="008C5858">
        <w:rPr>
          <w:snapToGrid w:val="0"/>
          <w:lang w:val="fr-FR"/>
        </w:rPr>
        <w:t xml:space="preserve"> peut</w:t>
      </w:r>
      <w:r w:rsidR="00FA7FDC">
        <w:rPr>
          <w:snapToGrid w:val="0"/>
          <w:lang w:val="fr-FR"/>
        </w:rPr>
        <w:t>, s’il s’agit d’une infraction mineure,</w:t>
      </w:r>
      <w:r w:rsidR="008C5858" w:rsidRPr="008C5858">
        <w:rPr>
          <w:snapToGrid w:val="0"/>
          <w:lang w:val="fr-FR"/>
        </w:rPr>
        <w:t xml:space="preserve"> </w:t>
      </w:r>
      <w:r w:rsidR="00FA7FDC">
        <w:rPr>
          <w:snapToGrid w:val="0"/>
          <w:lang w:val="fr-FR"/>
        </w:rPr>
        <w:t>faire à son auteur une offre conditionnelle d’amende forfaitaire au lieu d’engager des poursuites</w:t>
      </w:r>
      <w:r w:rsidR="00FC2B97">
        <w:rPr>
          <w:snapToGrid w:val="0"/>
          <w:lang w:val="fr-FR"/>
        </w:rPr>
        <w:t>:</w:t>
      </w:r>
      <w:r w:rsidR="000B562B" w:rsidRPr="00A176EA">
        <w:rPr>
          <w:snapToGrid w:val="0"/>
          <w:lang w:val="fr-FR"/>
        </w:rPr>
        <w:t xml:space="preserve"> </w:t>
      </w:r>
      <w:r w:rsidR="00FA7FDC" w:rsidRPr="00FA7FDC">
        <w:rPr>
          <w:snapToGrid w:val="0"/>
          <w:lang w:val="fr-FR"/>
        </w:rPr>
        <w:t>l’intéressé n’est pas tenu d’accepter l’offre mais, s’il le fait, le ministère public n’a plus la possibilité de le poursuivre</w:t>
      </w:r>
      <w:r w:rsidR="000B562B" w:rsidRPr="00A176EA">
        <w:rPr>
          <w:snapToGrid w:val="0"/>
          <w:lang w:val="fr-FR"/>
        </w:rPr>
        <w:t xml:space="preserve">. </w:t>
      </w:r>
      <w:r w:rsidR="00251415">
        <w:rPr>
          <w:snapToGrid w:val="0"/>
          <w:lang w:val="fr-FR"/>
        </w:rPr>
        <w:t xml:space="preserve">Le procureur peut opter pour une solution autre que les poursuites </w:t>
      </w:r>
      <w:r w:rsidR="007C5E86">
        <w:rPr>
          <w:snapToGrid w:val="0"/>
          <w:lang w:val="fr-FR"/>
        </w:rPr>
        <w:t>telle qu’</w:t>
      </w:r>
      <w:r w:rsidR="00251415">
        <w:rPr>
          <w:snapToGrid w:val="0"/>
          <w:lang w:val="fr-FR"/>
        </w:rPr>
        <w:t xml:space="preserve">une ordonnance d’indemnisation </w:t>
      </w:r>
      <w:r w:rsidR="007C5E86">
        <w:rPr>
          <w:snapToGrid w:val="0"/>
          <w:lang w:val="fr-FR"/>
        </w:rPr>
        <w:t>ou</w:t>
      </w:r>
      <w:r w:rsidR="00251415">
        <w:rPr>
          <w:snapToGrid w:val="0"/>
          <w:lang w:val="fr-FR"/>
        </w:rPr>
        <w:t xml:space="preserve"> </w:t>
      </w:r>
      <w:r w:rsidR="007C5E86">
        <w:rPr>
          <w:snapToGrid w:val="0"/>
          <w:lang w:val="fr-FR"/>
        </w:rPr>
        <w:t>un</w:t>
      </w:r>
      <w:r w:rsidR="00251415">
        <w:rPr>
          <w:snapToGrid w:val="0"/>
          <w:lang w:val="fr-FR"/>
        </w:rPr>
        <w:t xml:space="preserve"> </w:t>
      </w:r>
      <w:r w:rsidR="00251415" w:rsidRPr="00251415">
        <w:rPr>
          <w:snapToGrid w:val="0"/>
          <w:lang w:val="fr-FR"/>
        </w:rPr>
        <w:t>avertissement</w:t>
      </w:r>
      <w:r w:rsidR="000B562B" w:rsidRPr="00251415">
        <w:rPr>
          <w:lang w:val="fr-FR"/>
        </w:rPr>
        <w:t>.</w:t>
      </w:r>
    </w:p>
    <w:p w:rsidR="000B562B" w:rsidRPr="00A176EA" w:rsidRDefault="008F3DA4" w:rsidP="00576F7E">
      <w:pPr>
        <w:pStyle w:val="H23G"/>
        <w:rPr>
          <w:szCs w:val="24"/>
          <w:lang w:val="fr-FR"/>
        </w:rPr>
      </w:pPr>
      <w:r w:rsidRPr="00FA7FDC">
        <w:rPr>
          <w:lang w:val="fr-FR"/>
        </w:rPr>
        <w:t>Irlande du Nord</w:t>
      </w:r>
    </w:p>
    <w:p w:rsidR="000B562B" w:rsidRPr="00A176EA" w:rsidRDefault="002549A9" w:rsidP="00A8379B">
      <w:pPr>
        <w:pStyle w:val="SingleTxtG"/>
        <w:rPr>
          <w:snapToGrid w:val="0"/>
          <w:lang w:val="fr-FR"/>
        </w:rPr>
      </w:pPr>
      <w:r w:rsidRPr="00A176EA">
        <w:rPr>
          <w:snapToGrid w:val="0"/>
          <w:lang w:val="fr-FR"/>
        </w:rPr>
        <w:t>663.</w:t>
      </w:r>
      <w:r w:rsidRPr="00A176EA">
        <w:rPr>
          <w:snapToGrid w:val="0"/>
          <w:lang w:val="fr-FR"/>
        </w:rPr>
        <w:tab/>
      </w:r>
      <w:r w:rsidR="00C22514" w:rsidRPr="00C22514">
        <w:rPr>
          <w:snapToGrid w:val="0"/>
          <w:lang w:val="fr-FR"/>
        </w:rPr>
        <w:t xml:space="preserve">Le système de justice pénale de l’Irlande du Nord comporte sept subdivisions, dont chacune est responsable de différents domaines, notamment </w:t>
      </w:r>
      <w:r w:rsidR="00C22514">
        <w:rPr>
          <w:snapToGrid w:val="0"/>
          <w:lang w:val="fr-FR"/>
        </w:rPr>
        <w:t>l’Administration</w:t>
      </w:r>
      <w:r w:rsidR="00C22514" w:rsidRPr="00C22514">
        <w:rPr>
          <w:snapToGrid w:val="0"/>
          <w:lang w:val="fr-FR"/>
        </w:rPr>
        <w:t xml:space="preserve"> pénitentiaire, la probation, la police, la justice des mineurs, les tribunaux et le ministère public</w:t>
      </w:r>
      <w:r w:rsidR="000B562B" w:rsidRPr="00A176EA">
        <w:rPr>
          <w:snapToGrid w:val="0"/>
          <w:lang w:val="fr-FR"/>
        </w:rPr>
        <w:t>.</w:t>
      </w:r>
    </w:p>
    <w:p w:rsidR="000B562B" w:rsidRPr="00A176EA" w:rsidRDefault="002549A9" w:rsidP="00A8379B">
      <w:pPr>
        <w:pStyle w:val="SingleTxtG"/>
        <w:rPr>
          <w:lang w:val="fr-FR"/>
        </w:rPr>
      </w:pPr>
      <w:r w:rsidRPr="00A176EA">
        <w:rPr>
          <w:lang w:val="fr-FR"/>
        </w:rPr>
        <w:t>664.</w:t>
      </w:r>
      <w:r w:rsidRPr="00A176EA">
        <w:rPr>
          <w:lang w:val="fr-FR"/>
        </w:rPr>
        <w:tab/>
      </w:r>
      <w:r w:rsidR="009454F9" w:rsidRPr="009454F9">
        <w:rPr>
          <w:lang w:val="fr-FR"/>
        </w:rPr>
        <w:t xml:space="preserve">Le </w:t>
      </w:r>
      <w:r w:rsidR="007A1549">
        <w:rPr>
          <w:lang w:val="fr-FR"/>
        </w:rPr>
        <w:t>m</w:t>
      </w:r>
      <w:r w:rsidR="009454F9" w:rsidRPr="009454F9">
        <w:rPr>
          <w:lang w:val="fr-FR"/>
        </w:rPr>
        <w:t>inistère public d’</w:t>
      </w:r>
      <w:r w:rsidR="008F3DA4" w:rsidRPr="009454F9">
        <w:rPr>
          <w:lang w:val="fr-FR"/>
        </w:rPr>
        <w:t>Irlande du Nord</w:t>
      </w:r>
      <w:r w:rsidR="009454F9">
        <w:rPr>
          <w:lang w:val="fr-FR"/>
        </w:rPr>
        <w:t>,</w:t>
      </w:r>
      <w:r w:rsidR="000B562B" w:rsidRPr="009454F9">
        <w:rPr>
          <w:lang w:val="fr-FR"/>
        </w:rPr>
        <w:t xml:space="preserve"> </w:t>
      </w:r>
      <w:r w:rsidR="009454F9" w:rsidRPr="009454F9">
        <w:rPr>
          <w:lang w:val="fr-FR"/>
        </w:rPr>
        <w:t>organe chargé des poursuites en</w:t>
      </w:r>
      <w:r w:rsidR="000B562B" w:rsidRPr="009454F9">
        <w:rPr>
          <w:lang w:val="fr-FR"/>
        </w:rPr>
        <w:t xml:space="preserve"> </w:t>
      </w:r>
      <w:r w:rsidR="008F3DA4" w:rsidRPr="009454F9">
        <w:rPr>
          <w:lang w:val="fr-FR"/>
        </w:rPr>
        <w:t>Irlande du Nord</w:t>
      </w:r>
      <w:r w:rsidR="009454F9">
        <w:rPr>
          <w:lang w:val="fr-FR"/>
        </w:rPr>
        <w:t>,</w:t>
      </w:r>
      <w:r w:rsidR="000B562B" w:rsidRPr="00A176EA">
        <w:rPr>
          <w:lang w:val="fr-FR"/>
        </w:rPr>
        <w:t xml:space="preserve"> </w:t>
      </w:r>
      <w:r w:rsidR="009454F9">
        <w:rPr>
          <w:lang w:val="fr-FR"/>
        </w:rPr>
        <w:t xml:space="preserve">est indépendant de la police et du Gouvernement. </w:t>
      </w:r>
      <w:r w:rsidR="00A70A9C">
        <w:rPr>
          <w:lang w:val="fr-FR"/>
        </w:rPr>
        <w:t xml:space="preserve">Si les services de police procèdent aux enquêtes criminelles, le </w:t>
      </w:r>
      <w:r w:rsidR="007A1549">
        <w:rPr>
          <w:lang w:val="fr-FR"/>
        </w:rPr>
        <w:t>m</w:t>
      </w:r>
      <w:r w:rsidR="00A70A9C">
        <w:rPr>
          <w:lang w:val="fr-FR"/>
        </w:rPr>
        <w:t xml:space="preserve">inistère public prend toutes les décisions en matière de poursuites et </w:t>
      </w:r>
      <w:r w:rsidR="00A00149">
        <w:rPr>
          <w:lang w:val="fr-FR"/>
        </w:rPr>
        <w:t>renvoie</w:t>
      </w:r>
      <w:r w:rsidR="00A70A9C">
        <w:rPr>
          <w:lang w:val="fr-FR"/>
        </w:rPr>
        <w:t xml:space="preserve"> les affaires au tribunal. Par ailleurs, il fournit des conseils aux services de police, à leur demande, et autorise les mises en accusation</w:t>
      </w:r>
      <w:r w:rsidR="000B562B" w:rsidRPr="00A176EA">
        <w:rPr>
          <w:lang w:val="fr-FR"/>
        </w:rPr>
        <w:t>.</w:t>
      </w:r>
    </w:p>
    <w:p w:rsidR="000B562B" w:rsidRPr="00A176EA" w:rsidRDefault="002549A9" w:rsidP="00326A37">
      <w:pPr>
        <w:pStyle w:val="SingleTxtG"/>
        <w:rPr>
          <w:lang w:val="fr-FR"/>
        </w:rPr>
      </w:pPr>
      <w:r w:rsidRPr="00A176EA">
        <w:rPr>
          <w:lang w:val="fr-FR"/>
        </w:rPr>
        <w:t>665.</w:t>
      </w:r>
      <w:r w:rsidRPr="00A176EA">
        <w:rPr>
          <w:lang w:val="fr-FR"/>
        </w:rPr>
        <w:tab/>
      </w:r>
      <w:r w:rsidR="00A70A9C" w:rsidRPr="00A70A9C">
        <w:rPr>
          <w:lang w:val="fr-FR"/>
        </w:rPr>
        <w:t xml:space="preserve">Le </w:t>
      </w:r>
      <w:r w:rsidR="007A1549">
        <w:rPr>
          <w:lang w:val="fr-FR"/>
        </w:rPr>
        <w:t>m</w:t>
      </w:r>
      <w:r w:rsidR="00A70A9C" w:rsidRPr="00A70A9C">
        <w:rPr>
          <w:lang w:val="fr-FR"/>
        </w:rPr>
        <w:t xml:space="preserve">inistère public est dirigé par le </w:t>
      </w:r>
      <w:r w:rsidR="00FB00ED" w:rsidRPr="00A70A9C">
        <w:rPr>
          <w:snapToGrid w:val="0"/>
          <w:lang w:val="fr-FR"/>
        </w:rPr>
        <w:t>Directeur du Parquet</w:t>
      </w:r>
      <w:r w:rsidR="00C77A8D">
        <w:rPr>
          <w:snapToGrid w:val="0"/>
          <w:lang w:val="fr-FR"/>
        </w:rPr>
        <w:t>, assisté d’un Directeur adjoint</w:t>
      </w:r>
      <w:r w:rsidR="000B562B" w:rsidRPr="00A70A9C">
        <w:rPr>
          <w:lang w:val="fr-FR"/>
        </w:rPr>
        <w:t>.</w:t>
      </w:r>
      <w:r w:rsidR="000B562B" w:rsidRPr="00A176EA">
        <w:rPr>
          <w:lang w:val="fr-FR"/>
        </w:rPr>
        <w:t xml:space="preserve"> </w:t>
      </w:r>
      <w:r w:rsidR="00A00149">
        <w:rPr>
          <w:lang w:val="fr-FR"/>
        </w:rPr>
        <w:t xml:space="preserve">Ces deux postes sont attribués par nomination </w:t>
      </w:r>
      <w:r w:rsidR="000B43D6">
        <w:rPr>
          <w:lang w:val="fr-FR"/>
        </w:rPr>
        <w:t>du</w:t>
      </w:r>
      <w:r w:rsidR="00A00149">
        <w:rPr>
          <w:lang w:val="fr-FR"/>
        </w:rPr>
        <w:t xml:space="preserve"> </w:t>
      </w:r>
      <w:r w:rsidR="000B43D6">
        <w:rPr>
          <w:lang w:val="fr-FR"/>
        </w:rPr>
        <w:t xml:space="preserve">Procureur général </w:t>
      </w:r>
      <w:r w:rsidR="00A00149">
        <w:rPr>
          <w:lang w:val="fr-FR"/>
        </w:rPr>
        <w:t xml:space="preserve">pour l’Irlande du Nord. Suite à la dévolution des affaires de police et de justice, en avril 2010, un nouveau poste vient d’être créé. En vertu des nouvelles dispositions, les relations entre le Directeur </w:t>
      </w:r>
      <w:r w:rsidR="00326A37">
        <w:rPr>
          <w:lang w:val="fr-FR"/>
        </w:rPr>
        <w:t xml:space="preserve">du Parquet </w:t>
      </w:r>
      <w:r w:rsidR="00360B5C">
        <w:rPr>
          <w:lang w:val="fr-FR"/>
        </w:rPr>
        <w:t>et le</w:t>
      </w:r>
      <w:r w:rsidR="00A00149">
        <w:rPr>
          <w:lang w:val="fr-FR"/>
        </w:rPr>
        <w:t xml:space="preserve"> </w:t>
      </w:r>
      <w:r w:rsidR="000B43D6">
        <w:rPr>
          <w:lang w:val="fr-FR"/>
        </w:rPr>
        <w:t xml:space="preserve">Procureur général </w:t>
      </w:r>
      <w:r w:rsidR="00A00149">
        <w:rPr>
          <w:lang w:val="fr-FR"/>
        </w:rPr>
        <w:t>sont</w:t>
      </w:r>
      <w:r w:rsidR="00326A37">
        <w:rPr>
          <w:lang w:val="fr-FR"/>
        </w:rPr>
        <w:t xml:space="preserve"> </w:t>
      </w:r>
      <w:r w:rsidR="00360B5C">
        <w:rPr>
          <w:lang w:val="fr-FR"/>
        </w:rPr>
        <w:t xml:space="preserve">de nature </w:t>
      </w:r>
      <w:r w:rsidR="00326A37">
        <w:rPr>
          <w:lang w:val="fr-FR"/>
        </w:rPr>
        <w:t xml:space="preserve">consultative, le Directeur agissant en toute indépendance pour chaque affaire et pour la politique générale. En matière de budget et d’administration, le Directeur rend compte à </w:t>
      </w:r>
      <w:r w:rsidR="00326A37" w:rsidRPr="00326A37">
        <w:rPr>
          <w:lang w:val="fr-FR"/>
        </w:rPr>
        <w:t>l’Assemblée d’</w:t>
      </w:r>
      <w:r w:rsidR="008F3DA4" w:rsidRPr="00326A37">
        <w:rPr>
          <w:lang w:val="fr-FR"/>
        </w:rPr>
        <w:t>Irlande du Nord</w:t>
      </w:r>
      <w:r w:rsidR="000B562B" w:rsidRPr="00326A37">
        <w:rPr>
          <w:lang w:val="fr-FR"/>
        </w:rPr>
        <w:t>.</w:t>
      </w:r>
    </w:p>
    <w:p w:rsidR="000B562B" w:rsidRPr="00A176EA" w:rsidRDefault="00C77A8D" w:rsidP="00A8379B">
      <w:pPr>
        <w:pStyle w:val="H23G"/>
        <w:rPr>
          <w:lang w:val="fr-FR"/>
        </w:rPr>
      </w:pPr>
      <w:r>
        <w:rPr>
          <w:lang w:val="fr-FR"/>
        </w:rPr>
        <w:t>Les juridictions pénales</w:t>
      </w:r>
    </w:p>
    <w:p w:rsidR="000B562B" w:rsidRPr="00A176EA" w:rsidRDefault="00EB4033" w:rsidP="00576F7E">
      <w:pPr>
        <w:pStyle w:val="H23G"/>
        <w:rPr>
          <w:lang w:val="fr-FR"/>
        </w:rPr>
      </w:pPr>
      <w:r w:rsidRPr="00C77A8D">
        <w:rPr>
          <w:lang w:val="fr-FR"/>
        </w:rPr>
        <w:t>Angleterre et p</w:t>
      </w:r>
      <w:r w:rsidR="005601A1" w:rsidRPr="00C77A8D">
        <w:rPr>
          <w:lang w:val="fr-FR"/>
        </w:rPr>
        <w:t>ays de Galles</w:t>
      </w:r>
    </w:p>
    <w:p w:rsidR="000B562B" w:rsidRPr="00A176EA" w:rsidRDefault="002549A9" w:rsidP="00A8379B">
      <w:pPr>
        <w:pStyle w:val="SingleTxtG"/>
        <w:rPr>
          <w:szCs w:val="24"/>
          <w:lang w:val="fr-FR"/>
        </w:rPr>
      </w:pPr>
      <w:r w:rsidRPr="00A176EA">
        <w:rPr>
          <w:szCs w:val="24"/>
          <w:lang w:val="fr-FR"/>
        </w:rPr>
        <w:t>666.</w:t>
      </w:r>
      <w:r w:rsidRPr="00A176EA">
        <w:rPr>
          <w:szCs w:val="24"/>
          <w:lang w:val="fr-FR"/>
        </w:rPr>
        <w:tab/>
      </w:r>
      <w:r w:rsidR="00C77A8D" w:rsidRPr="00C77A8D">
        <w:rPr>
          <w:lang w:val="fr-FR"/>
        </w:rPr>
        <w:t xml:space="preserve">En Angleterre et au pays de Galles, les infractions peuvent être divisées en trois catégories. En premier lieu, celles qui doivent être jugées, après mise en accusation, devant </w:t>
      </w:r>
      <w:r w:rsidR="00603914">
        <w:rPr>
          <w:lang w:val="fr-FR"/>
        </w:rPr>
        <w:t>la</w:t>
      </w:r>
      <w:r w:rsidR="00C77A8D" w:rsidRPr="00C77A8D">
        <w:rPr>
          <w:lang w:val="fr-FR"/>
        </w:rPr>
        <w:t xml:space="preserve"> </w:t>
      </w:r>
      <w:r w:rsidR="00E857CF">
        <w:rPr>
          <w:lang w:val="fr-FR"/>
        </w:rPr>
        <w:t>Cour de la Couronne</w:t>
      </w:r>
      <w:r w:rsidR="00C77A8D" w:rsidRPr="00C77A8D">
        <w:rPr>
          <w:lang w:val="fr-FR"/>
        </w:rPr>
        <w:t xml:space="preserve"> présidée par un magistrat assisté d’un jury</w:t>
      </w:r>
      <w:r w:rsidR="00FC2B97">
        <w:rPr>
          <w:lang w:val="fr-FR"/>
        </w:rPr>
        <w:t>:</w:t>
      </w:r>
      <w:r w:rsidR="00C77A8D" w:rsidRPr="00C77A8D">
        <w:rPr>
          <w:lang w:val="fr-FR"/>
        </w:rPr>
        <w:t xml:space="preserve"> il s’agit des infractions les plus graves telles que le meurtre, l’homicide volontaire, le viol et le vol qualifié. En deuxième lieu, les infractions mineures − les moins graves, qui constituent l’immense majorité des affaires − sont examinées par des magistrats non rémunérés ou des </w:t>
      </w:r>
      <w:r w:rsidR="00360B5C">
        <w:rPr>
          <w:lang w:val="fr-FR"/>
        </w:rPr>
        <w:t>J</w:t>
      </w:r>
      <w:r w:rsidR="00C77A8D" w:rsidRPr="00C77A8D">
        <w:rPr>
          <w:lang w:val="fr-FR"/>
        </w:rPr>
        <w:t xml:space="preserve">uges de district rétribués qui siègent sans jury. Enfin, les délits tels que le vol, le vol avec effraction ou les blessures volontaires (dits infractions </w:t>
      </w:r>
      <w:r w:rsidR="00CD0110">
        <w:rPr>
          <w:lang w:val="fr-FR"/>
        </w:rPr>
        <w:t>«</w:t>
      </w:r>
      <w:r w:rsidR="00C77A8D" w:rsidRPr="00C77A8D">
        <w:rPr>
          <w:lang w:val="fr-FR"/>
        </w:rPr>
        <w:t>hybrides</w:t>
      </w:r>
      <w:r w:rsidR="00CD0110">
        <w:rPr>
          <w:lang w:val="fr-FR"/>
        </w:rPr>
        <w:t>»</w:t>
      </w:r>
      <w:r w:rsidR="00C77A8D" w:rsidRPr="00C77A8D">
        <w:rPr>
          <w:lang w:val="fr-FR"/>
        </w:rPr>
        <w:t xml:space="preserve">) peuvent être examinés soit par des juges non professionnels, soit par </w:t>
      </w:r>
      <w:r w:rsidR="00603914">
        <w:rPr>
          <w:lang w:val="fr-FR"/>
        </w:rPr>
        <w:t>la</w:t>
      </w:r>
      <w:r w:rsidR="00C77A8D" w:rsidRPr="00C77A8D">
        <w:rPr>
          <w:lang w:val="fr-FR"/>
        </w:rPr>
        <w:t xml:space="preserve"> </w:t>
      </w:r>
      <w:r w:rsidR="00E857CF">
        <w:rPr>
          <w:lang w:val="fr-FR"/>
        </w:rPr>
        <w:t>Cour de la Couronne</w:t>
      </w:r>
      <w:r w:rsidR="00C77A8D" w:rsidRPr="00C77A8D">
        <w:rPr>
          <w:lang w:val="fr-FR"/>
        </w:rPr>
        <w:t xml:space="preserve">, selon les circonstances de l’espèce et </w:t>
      </w:r>
      <w:r w:rsidR="00C77A8D">
        <w:rPr>
          <w:lang w:val="fr-FR"/>
        </w:rPr>
        <w:t>le souhait</w:t>
      </w:r>
      <w:r w:rsidR="00C77A8D" w:rsidRPr="00C77A8D">
        <w:rPr>
          <w:lang w:val="fr-FR"/>
        </w:rPr>
        <w:t xml:space="preserve"> du prévenu</w:t>
      </w:r>
      <w:r w:rsidR="000B562B" w:rsidRPr="00A176EA">
        <w:rPr>
          <w:lang w:val="fr-FR"/>
        </w:rPr>
        <w:t>.</w:t>
      </w:r>
    </w:p>
    <w:p w:rsidR="000B562B" w:rsidRPr="00A176EA" w:rsidRDefault="002549A9" w:rsidP="00A8379B">
      <w:pPr>
        <w:pStyle w:val="SingleTxtG"/>
        <w:rPr>
          <w:lang w:val="fr-FR"/>
        </w:rPr>
      </w:pPr>
      <w:r w:rsidRPr="00A176EA">
        <w:rPr>
          <w:lang w:val="fr-FR"/>
        </w:rPr>
        <w:t>667.</w:t>
      </w:r>
      <w:r w:rsidRPr="00A176EA">
        <w:rPr>
          <w:lang w:val="fr-FR"/>
        </w:rPr>
        <w:tab/>
      </w:r>
      <w:r w:rsidR="00C77A8D" w:rsidRPr="00C77A8D">
        <w:rPr>
          <w:lang w:val="fr-FR"/>
        </w:rPr>
        <w:t xml:space="preserve">La </w:t>
      </w:r>
      <w:r w:rsidR="00E857CF">
        <w:rPr>
          <w:lang w:val="fr-FR"/>
        </w:rPr>
        <w:t xml:space="preserve">Cour de la Couronne </w:t>
      </w:r>
      <w:r w:rsidR="00C77A8D" w:rsidRPr="00C77A8D">
        <w:rPr>
          <w:lang w:val="fr-FR"/>
        </w:rPr>
        <w:t xml:space="preserve">juge les affaires les plus graves, prononce la peine dans les affaires qui lui sont renvoyées par les </w:t>
      </w:r>
      <w:r w:rsidR="000B0B40">
        <w:rPr>
          <w:snapToGrid w:val="0"/>
          <w:lang w:val="fr-FR"/>
        </w:rPr>
        <w:t>Tribunaux d’instance</w:t>
      </w:r>
      <w:r w:rsidR="00C77A8D" w:rsidRPr="00C77A8D">
        <w:rPr>
          <w:lang w:val="fr-FR"/>
        </w:rPr>
        <w:t xml:space="preserve"> et juge en appel les affaires examinées par </w:t>
      </w:r>
      <w:r w:rsidR="00360B5C">
        <w:rPr>
          <w:lang w:val="fr-FR"/>
        </w:rPr>
        <w:t>ceux</w:t>
      </w:r>
      <w:r w:rsidR="00C77A8D" w:rsidRPr="00C77A8D">
        <w:rPr>
          <w:lang w:val="fr-FR"/>
        </w:rPr>
        <w:t xml:space="preserve">-ci. Elle siège dans environ 78 centres. Tous les procès contentieux se déroulent devant un juge, qui peut être un juge de la </w:t>
      </w:r>
      <w:r w:rsidR="00C77239">
        <w:rPr>
          <w:lang w:val="fr-FR"/>
        </w:rPr>
        <w:t xml:space="preserve">Haute </w:t>
      </w:r>
      <w:r w:rsidR="00C77239" w:rsidRPr="00326A37">
        <w:rPr>
          <w:lang w:val="fr-FR"/>
        </w:rPr>
        <w:t>C</w:t>
      </w:r>
      <w:r w:rsidR="00C77239">
        <w:rPr>
          <w:lang w:val="fr-FR"/>
        </w:rPr>
        <w:t>our</w:t>
      </w:r>
      <w:r w:rsidR="00C77A8D" w:rsidRPr="00C77A8D">
        <w:rPr>
          <w:lang w:val="fr-FR"/>
        </w:rPr>
        <w:t xml:space="preserve">, un </w:t>
      </w:r>
      <w:r w:rsidR="00360B5C" w:rsidRPr="00C77A8D">
        <w:rPr>
          <w:lang w:val="fr-FR"/>
        </w:rPr>
        <w:t xml:space="preserve">juge de circuit </w:t>
      </w:r>
      <w:r w:rsidR="00C77A8D" w:rsidRPr="00C77A8D">
        <w:rPr>
          <w:lang w:val="fr-FR"/>
        </w:rPr>
        <w:t>(</w:t>
      </w:r>
      <w:r w:rsidR="00360B5C">
        <w:rPr>
          <w:lang w:val="fr-FR"/>
        </w:rPr>
        <w:t>c</w:t>
      </w:r>
      <w:r w:rsidR="00360B5C" w:rsidRPr="00C77A8D">
        <w:rPr>
          <w:lang w:val="fr-FR"/>
        </w:rPr>
        <w:t>ircuit judge</w:t>
      </w:r>
      <w:r w:rsidR="00C77A8D" w:rsidRPr="00C77A8D">
        <w:rPr>
          <w:lang w:val="fr-FR"/>
        </w:rPr>
        <w:t xml:space="preserve">) ou un </w:t>
      </w:r>
      <w:r w:rsidR="00C77239">
        <w:rPr>
          <w:lang w:val="fr-FR"/>
        </w:rPr>
        <w:t xml:space="preserve">juge rapporteur </w:t>
      </w:r>
      <w:r w:rsidR="00C77A8D" w:rsidRPr="00C77A8D">
        <w:rPr>
          <w:lang w:val="fr-FR"/>
        </w:rPr>
        <w:t>(</w:t>
      </w:r>
      <w:r w:rsidR="00C77239" w:rsidRPr="00360B5C">
        <w:rPr>
          <w:i/>
          <w:lang w:val="fr-FR"/>
        </w:rPr>
        <w:t>recorder</w:t>
      </w:r>
      <w:r w:rsidR="00C77239">
        <w:rPr>
          <w:lang w:val="fr-FR"/>
        </w:rPr>
        <w:t>,</w:t>
      </w:r>
      <w:r w:rsidR="00C77239" w:rsidRPr="00C77A8D">
        <w:rPr>
          <w:lang w:val="fr-FR"/>
        </w:rPr>
        <w:t xml:space="preserve"> </w:t>
      </w:r>
      <w:r w:rsidR="00C77A8D" w:rsidRPr="00C77A8D">
        <w:rPr>
          <w:lang w:val="fr-FR"/>
        </w:rPr>
        <w:t>juge professionnel), et un jury composé de 12 personnes</w:t>
      </w:r>
      <w:r w:rsidR="000B562B" w:rsidRPr="00A176EA">
        <w:rPr>
          <w:lang w:val="fr-FR"/>
        </w:rPr>
        <w:t>.</w:t>
      </w:r>
    </w:p>
    <w:p w:rsidR="000B562B" w:rsidRPr="00A176EA" w:rsidRDefault="002549A9" w:rsidP="00A8379B">
      <w:pPr>
        <w:pStyle w:val="SingleTxtG"/>
        <w:rPr>
          <w:lang w:val="fr-FR"/>
        </w:rPr>
      </w:pPr>
      <w:r w:rsidRPr="00A176EA">
        <w:rPr>
          <w:lang w:val="fr-FR"/>
        </w:rPr>
        <w:t>668.</w:t>
      </w:r>
      <w:r w:rsidRPr="00A176EA">
        <w:rPr>
          <w:lang w:val="fr-FR"/>
        </w:rPr>
        <w:tab/>
      </w:r>
      <w:r w:rsidR="005F4ED9" w:rsidRPr="005F4ED9">
        <w:rPr>
          <w:lang w:val="fr-FR"/>
        </w:rPr>
        <w:t xml:space="preserve">Les </w:t>
      </w:r>
      <w:r w:rsidR="000B0B40">
        <w:rPr>
          <w:snapToGrid w:val="0"/>
          <w:lang w:val="fr-FR"/>
        </w:rPr>
        <w:t>Tribunaux d’instance</w:t>
      </w:r>
      <w:r w:rsidR="000B0B40" w:rsidRPr="00C77A8D">
        <w:rPr>
          <w:lang w:val="fr-FR"/>
        </w:rPr>
        <w:t xml:space="preserve"> </w:t>
      </w:r>
      <w:r w:rsidR="005F4ED9" w:rsidRPr="005F4ED9">
        <w:rPr>
          <w:lang w:val="fr-FR"/>
        </w:rPr>
        <w:t xml:space="preserve">connaissent des infractions mineures et des infractions </w:t>
      </w:r>
      <w:r w:rsidR="00CD0110">
        <w:rPr>
          <w:lang w:val="fr-FR"/>
        </w:rPr>
        <w:t>«</w:t>
      </w:r>
      <w:r w:rsidR="005F4ED9" w:rsidRPr="005F4ED9">
        <w:rPr>
          <w:lang w:val="fr-FR"/>
        </w:rPr>
        <w:t>hybrides</w:t>
      </w:r>
      <w:r w:rsidR="00CD0110">
        <w:rPr>
          <w:lang w:val="fr-FR"/>
        </w:rPr>
        <w:t>»</w:t>
      </w:r>
      <w:r w:rsidR="005F4ED9" w:rsidRPr="005F4ED9">
        <w:rPr>
          <w:lang w:val="fr-FR"/>
        </w:rPr>
        <w:t xml:space="preserve"> </w:t>
      </w:r>
      <w:r w:rsidR="008902E0">
        <w:rPr>
          <w:lang w:val="fr-FR"/>
        </w:rPr>
        <w:t>qu’</w:t>
      </w:r>
      <w:r w:rsidR="001D7381">
        <w:rPr>
          <w:lang w:val="fr-FR"/>
        </w:rPr>
        <w:t>elle</w:t>
      </w:r>
      <w:r w:rsidR="008902E0">
        <w:rPr>
          <w:lang w:val="fr-FR"/>
        </w:rPr>
        <w:t xml:space="preserve">s jugent </w:t>
      </w:r>
      <w:r w:rsidR="006D07AA">
        <w:rPr>
          <w:lang w:val="fr-FR"/>
        </w:rPr>
        <w:t>appropriées</w:t>
      </w:r>
      <w:r w:rsidR="008902E0">
        <w:rPr>
          <w:lang w:val="fr-FR"/>
        </w:rPr>
        <w:t xml:space="preserve"> et lorsque le </w:t>
      </w:r>
      <w:r w:rsidR="008F5658">
        <w:rPr>
          <w:lang w:val="fr-FR"/>
        </w:rPr>
        <w:t>prévenu</w:t>
      </w:r>
      <w:r w:rsidR="008902E0">
        <w:rPr>
          <w:lang w:val="fr-FR"/>
        </w:rPr>
        <w:t xml:space="preserve"> consent à un procès simplifié. </w:t>
      </w:r>
      <w:r w:rsidR="00360B5C" w:rsidRPr="00285EB5">
        <w:rPr>
          <w:lang w:val="fr-FR"/>
        </w:rPr>
        <w:t xml:space="preserve">Ils </w:t>
      </w:r>
      <w:r w:rsidR="00FD72AF" w:rsidRPr="00285EB5">
        <w:rPr>
          <w:lang w:val="fr-FR"/>
        </w:rPr>
        <w:t xml:space="preserve">ne renvoient </w:t>
      </w:r>
      <w:r w:rsidR="0098370E" w:rsidRPr="00285EB5">
        <w:rPr>
          <w:lang w:val="fr-FR"/>
        </w:rPr>
        <w:t xml:space="preserve">devant la </w:t>
      </w:r>
      <w:r w:rsidR="00E857CF" w:rsidRPr="00285EB5">
        <w:rPr>
          <w:lang w:val="fr-FR"/>
        </w:rPr>
        <w:t xml:space="preserve">Cour de la Couronne </w:t>
      </w:r>
      <w:r w:rsidR="00FD72AF" w:rsidRPr="00285EB5">
        <w:rPr>
          <w:lang w:val="fr-FR"/>
        </w:rPr>
        <w:t xml:space="preserve">que les affaires </w:t>
      </w:r>
      <w:r w:rsidR="0098370E" w:rsidRPr="00285EB5">
        <w:rPr>
          <w:lang w:val="fr-FR"/>
        </w:rPr>
        <w:t>qui doivent être jugées sur mise en accusation</w:t>
      </w:r>
      <w:r w:rsidR="00326A37" w:rsidRPr="00285EB5">
        <w:rPr>
          <w:lang w:val="fr-FR"/>
        </w:rPr>
        <w:t>,</w:t>
      </w:r>
      <w:r w:rsidR="00FD72AF" w:rsidRPr="00285EB5">
        <w:rPr>
          <w:lang w:val="fr-FR"/>
        </w:rPr>
        <w:t xml:space="preserve"> </w:t>
      </w:r>
      <w:r w:rsidR="00326A37" w:rsidRPr="00285EB5">
        <w:rPr>
          <w:lang w:val="fr-FR"/>
        </w:rPr>
        <w:t>celles</w:t>
      </w:r>
      <w:r w:rsidR="00FD72AF" w:rsidRPr="00285EB5">
        <w:rPr>
          <w:lang w:val="fr-FR"/>
        </w:rPr>
        <w:t xml:space="preserve"> relatives à des infractions </w:t>
      </w:r>
      <w:r w:rsidR="00CD0110">
        <w:rPr>
          <w:lang w:val="fr-FR"/>
        </w:rPr>
        <w:t>«</w:t>
      </w:r>
      <w:r w:rsidR="00FD72AF" w:rsidRPr="00285EB5">
        <w:rPr>
          <w:lang w:val="fr-FR"/>
        </w:rPr>
        <w:t>hybrides</w:t>
      </w:r>
      <w:r w:rsidR="00CD0110">
        <w:rPr>
          <w:lang w:val="fr-FR"/>
        </w:rPr>
        <w:t>»</w:t>
      </w:r>
      <w:r w:rsidR="00FD72AF" w:rsidRPr="00285EB5">
        <w:rPr>
          <w:lang w:val="fr-FR"/>
        </w:rPr>
        <w:t xml:space="preserve"> lorsque le </w:t>
      </w:r>
      <w:r w:rsidR="008F5658" w:rsidRPr="00285EB5">
        <w:rPr>
          <w:lang w:val="fr-FR"/>
        </w:rPr>
        <w:t>prévenu</w:t>
      </w:r>
      <w:r w:rsidR="00FD72AF" w:rsidRPr="00285EB5">
        <w:rPr>
          <w:lang w:val="fr-FR"/>
        </w:rPr>
        <w:t xml:space="preserve"> a </w:t>
      </w:r>
      <w:r w:rsidR="00360B5C" w:rsidRPr="00285EB5">
        <w:rPr>
          <w:lang w:val="fr-FR"/>
        </w:rPr>
        <w:t>choisi</w:t>
      </w:r>
      <w:r w:rsidR="00FD72AF" w:rsidRPr="00285EB5">
        <w:rPr>
          <w:lang w:val="fr-FR"/>
        </w:rPr>
        <w:t xml:space="preserve"> </w:t>
      </w:r>
      <w:r w:rsidR="00360B5C" w:rsidRPr="00285EB5">
        <w:rPr>
          <w:lang w:val="fr-FR"/>
        </w:rPr>
        <w:t>cette option</w:t>
      </w:r>
      <w:r w:rsidR="00E857CF" w:rsidRPr="00285EB5">
        <w:rPr>
          <w:lang w:val="fr-FR"/>
        </w:rPr>
        <w:t xml:space="preserve"> </w:t>
      </w:r>
      <w:r w:rsidR="00326A37" w:rsidRPr="00285EB5">
        <w:rPr>
          <w:lang w:val="fr-FR"/>
        </w:rPr>
        <w:t>et celles</w:t>
      </w:r>
      <w:r w:rsidR="00FD72AF" w:rsidRPr="00285EB5">
        <w:rPr>
          <w:lang w:val="fr-FR"/>
        </w:rPr>
        <w:t xml:space="preserve"> dont </w:t>
      </w:r>
      <w:r w:rsidR="00360B5C" w:rsidRPr="00285EB5">
        <w:rPr>
          <w:lang w:val="fr-FR"/>
        </w:rPr>
        <w:t>ils</w:t>
      </w:r>
      <w:r w:rsidR="00FD72AF" w:rsidRPr="00285EB5">
        <w:rPr>
          <w:lang w:val="fr-FR"/>
        </w:rPr>
        <w:t xml:space="preserve"> ont décidé qu’elles </w:t>
      </w:r>
      <w:r w:rsidR="00285EB5" w:rsidRPr="00285EB5">
        <w:rPr>
          <w:lang w:val="fr-FR"/>
        </w:rPr>
        <w:t>relèvent de cette juridiction</w:t>
      </w:r>
      <w:r w:rsidR="00FD72AF" w:rsidRPr="00285EB5">
        <w:rPr>
          <w:lang w:val="fr-FR"/>
        </w:rPr>
        <w:t xml:space="preserve">. </w:t>
      </w:r>
      <w:r w:rsidR="00285EB5" w:rsidRPr="00326A37">
        <w:rPr>
          <w:lang w:val="fr-FR"/>
        </w:rPr>
        <w:t>Dans</w:t>
      </w:r>
      <w:r w:rsidR="00285EB5">
        <w:rPr>
          <w:lang w:val="fr-FR"/>
        </w:rPr>
        <w:t xml:space="preserve"> </w:t>
      </w:r>
      <w:r w:rsidR="00285EB5" w:rsidRPr="00326A37">
        <w:rPr>
          <w:lang w:val="fr-FR"/>
        </w:rPr>
        <w:t xml:space="preserve">une affaire d’infraction </w:t>
      </w:r>
      <w:r w:rsidR="00CD0110">
        <w:rPr>
          <w:lang w:val="fr-FR"/>
        </w:rPr>
        <w:t>«</w:t>
      </w:r>
      <w:r w:rsidR="00285EB5" w:rsidRPr="00326A37">
        <w:rPr>
          <w:lang w:val="fr-FR"/>
        </w:rPr>
        <w:t>hybride</w:t>
      </w:r>
      <w:r w:rsidR="00CD0110">
        <w:rPr>
          <w:lang w:val="fr-FR"/>
        </w:rPr>
        <w:t>»</w:t>
      </w:r>
      <w:r w:rsidR="00285EB5" w:rsidRPr="00326A37">
        <w:rPr>
          <w:lang w:val="fr-FR"/>
        </w:rPr>
        <w:t xml:space="preserve">, </w:t>
      </w:r>
      <w:r w:rsidR="00285EB5">
        <w:rPr>
          <w:lang w:val="fr-FR"/>
        </w:rPr>
        <w:t>l</w:t>
      </w:r>
      <w:r w:rsidR="00326A37" w:rsidRPr="00326A37">
        <w:rPr>
          <w:lang w:val="fr-FR"/>
        </w:rPr>
        <w:t xml:space="preserve">orsque le </w:t>
      </w:r>
      <w:r w:rsidR="008F5658">
        <w:rPr>
          <w:lang w:val="fr-FR"/>
        </w:rPr>
        <w:t>prévenu</w:t>
      </w:r>
      <w:r w:rsidR="00326A37" w:rsidRPr="00326A37">
        <w:rPr>
          <w:lang w:val="fr-FR"/>
        </w:rPr>
        <w:t xml:space="preserve"> a été condamné par l</w:t>
      </w:r>
      <w:r w:rsidR="00000CC2">
        <w:rPr>
          <w:lang w:val="fr-FR"/>
        </w:rPr>
        <w:t>e</w:t>
      </w:r>
      <w:r w:rsidR="00326A37" w:rsidRPr="00326A37">
        <w:rPr>
          <w:lang w:val="fr-FR"/>
        </w:rPr>
        <w:t xml:space="preserve"> </w:t>
      </w:r>
      <w:r w:rsidR="00000CC2">
        <w:rPr>
          <w:snapToGrid w:val="0"/>
          <w:lang w:val="fr-FR"/>
        </w:rPr>
        <w:t>Tribunal d’instance</w:t>
      </w:r>
      <w:r w:rsidR="00000CC2" w:rsidRPr="00C77A8D">
        <w:rPr>
          <w:lang w:val="fr-FR"/>
        </w:rPr>
        <w:t xml:space="preserve"> </w:t>
      </w:r>
      <w:r w:rsidR="000B562B" w:rsidRPr="00326A37">
        <w:rPr>
          <w:lang w:val="fr-FR"/>
        </w:rPr>
        <w:t>(</w:t>
      </w:r>
      <w:r w:rsidR="00D6561F">
        <w:rPr>
          <w:lang w:val="fr-FR"/>
        </w:rPr>
        <w:t>soit qu’il a</w:t>
      </w:r>
      <w:r w:rsidR="00285EB5">
        <w:rPr>
          <w:lang w:val="fr-FR"/>
        </w:rPr>
        <w:t>it</w:t>
      </w:r>
      <w:r w:rsidR="00D6561F">
        <w:rPr>
          <w:lang w:val="fr-FR"/>
        </w:rPr>
        <w:t xml:space="preserve"> plaidé coupable, soit après un procès simplifié</w:t>
      </w:r>
      <w:r w:rsidR="000B562B" w:rsidRPr="00326A37">
        <w:rPr>
          <w:lang w:val="fr-FR"/>
        </w:rPr>
        <w:t>)</w:t>
      </w:r>
      <w:r w:rsidR="00D6561F">
        <w:rPr>
          <w:lang w:val="fr-FR"/>
        </w:rPr>
        <w:t>,</w:t>
      </w:r>
      <w:r w:rsidR="000B562B" w:rsidRPr="00326A37">
        <w:rPr>
          <w:lang w:val="fr-FR"/>
        </w:rPr>
        <w:t xml:space="preserve"> </w:t>
      </w:r>
      <w:r w:rsidR="00D6561F">
        <w:rPr>
          <w:lang w:val="fr-FR"/>
        </w:rPr>
        <w:t>l</w:t>
      </w:r>
      <w:r w:rsidR="00000CC2">
        <w:rPr>
          <w:lang w:val="fr-FR"/>
        </w:rPr>
        <w:t>e</w:t>
      </w:r>
      <w:r w:rsidR="000B562B" w:rsidRPr="00326A37">
        <w:rPr>
          <w:lang w:val="fr-FR"/>
        </w:rPr>
        <w:t xml:space="preserve"> </w:t>
      </w:r>
      <w:r w:rsidR="00000CC2">
        <w:rPr>
          <w:lang w:val="fr-FR"/>
        </w:rPr>
        <w:t xml:space="preserve">Tribunal d’instance </w:t>
      </w:r>
      <w:r w:rsidR="00D6561F">
        <w:rPr>
          <w:lang w:val="fr-FR"/>
        </w:rPr>
        <w:t>peut</w:t>
      </w:r>
      <w:r w:rsidR="000B562B" w:rsidRPr="00326A37">
        <w:rPr>
          <w:lang w:val="fr-FR"/>
        </w:rPr>
        <w:t xml:space="preserve"> d</w:t>
      </w:r>
      <w:r w:rsidR="00D6561F">
        <w:rPr>
          <w:lang w:val="fr-FR"/>
        </w:rPr>
        <w:t>é</w:t>
      </w:r>
      <w:r w:rsidR="000B562B" w:rsidRPr="00326A37">
        <w:rPr>
          <w:lang w:val="fr-FR"/>
        </w:rPr>
        <w:t>cide</w:t>
      </w:r>
      <w:r w:rsidR="00D6561F">
        <w:rPr>
          <w:lang w:val="fr-FR"/>
        </w:rPr>
        <w:t>r de le renvoyer</w:t>
      </w:r>
      <w:r w:rsidR="000B562B" w:rsidRPr="00326A37">
        <w:rPr>
          <w:lang w:val="fr-FR"/>
        </w:rPr>
        <w:t xml:space="preserve"> </w:t>
      </w:r>
      <w:r w:rsidR="00D6561F">
        <w:rPr>
          <w:lang w:val="fr-FR"/>
        </w:rPr>
        <w:t>à la</w:t>
      </w:r>
      <w:r w:rsidR="000B562B" w:rsidRPr="00326A37">
        <w:rPr>
          <w:lang w:val="fr-FR"/>
        </w:rPr>
        <w:t xml:space="preserve"> </w:t>
      </w:r>
      <w:r w:rsidR="00E857CF">
        <w:rPr>
          <w:lang w:val="fr-FR"/>
        </w:rPr>
        <w:t xml:space="preserve">Cour de la Couronne </w:t>
      </w:r>
      <w:r w:rsidR="00D6561F">
        <w:rPr>
          <w:lang w:val="fr-FR"/>
        </w:rPr>
        <w:t>pour la détermination de la peine</w:t>
      </w:r>
      <w:r w:rsidR="000B562B" w:rsidRPr="00326A37">
        <w:rPr>
          <w:lang w:val="fr-FR"/>
        </w:rPr>
        <w:t>.</w:t>
      </w:r>
    </w:p>
    <w:p w:rsidR="000B562B" w:rsidRPr="00A176EA" w:rsidRDefault="002549A9" w:rsidP="00A8379B">
      <w:pPr>
        <w:pStyle w:val="SingleTxtG"/>
        <w:rPr>
          <w:lang w:val="fr-FR"/>
        </w:rPr>
      </w:pPr>
      <w:r w:rsidRPr="00A176EA">
        <w:rPr>
          <w:lang w:val="fr-FR"/>
        </w:rPr>
        <w:t>669.</w:t>
      </w:r>
      <w:r w:rsidRPr="00A176EA">
        <w:rPr>
          <w:lang w:val="fr-FR"/>
        </w:rPr>
        <w:tab/>
      </w:r>
      <w:r w:rsidR="00F25390" w:rsidRPr="00F25390">
        <w:rPr>
          <w:lang w:val="fr-FR"/>
        </w:rPr>
        <w:t xml:space="preserve">Par ailleurs, les </w:t>
      </w:r>
      <w:r w:rsidR="007C5E86">
        <w:rPr>
          <w:lang w:val="fr-FR"/>
        </w:rPr>
        <w:t>J</w:t>
      </w:r>
      <w:r w:rsidR="007C5E86" w:rsidRPr="00F25390">
        <w:rPr>
          <w:lang w:val="fr-FR"/>
        </w:rPr>
        <w:t xml:space="preserve">uges de district </w:t>
      </w:r>
      <w:r w:rsidR="00F25390" w:rsidRPr="007C5E86">
        <w:rPr>
          <w:lang w:val="fr-FR"/>
        </w:rPr>
        <w:t>(</w:t>
      </w:r>
      <w:r w:rsidR="007C5E86" w:rsidRPr="007C5E86">
        <w:rPr>
          <w:lang w:val="fr-FR"/>
        </w:rPr>
        <w:t>District Judges</w:t>
      </w:r>
      <w:r w:rsidR="00F25390" w:rsidRPr="007C5E86">
        <w:rPr>
          <w:lang w:val="fr-FR"/>
        </w:rPr>
        <w:t>)</w:t>
      </w:r>
      <w:r w:rsidR="00F25390" w:rsidRPr="00F25390">
        <w:rPr>
          <w:lang w:val="fr-FR"/>
        </w:rPr>
        <w:t xml:space="preserve"> (</w:t>
      </w:r>
      <w:r w:rsidR="00000CC2">
        <w:rPr>
          <w:snapToGrid w:val="0"/>
          <w:lang w:val="fr-FR"/>
        </w:rPr>
        <w:t>Tribunaux d’instance</w:t>
      </w:r>
      <w:r w:rsidR="00F25390" w:rsidRPr="00F25390">
        <w:rPr>
          <w:lang w:val="fr-FR"/>
        </w:rPr>
        <w:t xml:space="preserve">), qui sont au nombre d’environ 136, s’occupent des affaires plus complexes ou sensibles. Ces juges sont tenus d’avoir au moins </w:t>
      </w:r>
      <w:r w:rsidR="00F25390">
        <w:rPr>
          <w:lang w:val="fr-FR"/>
        </w:rPr>
        <w:t>7</w:t>
      </w:r>
      <w:r w:rsidR="00F25390" w:rsidRPr="00F25390">
        <w:rPr>
          <w:lang w:val="fr-FR"/>
        </w:rPr>
        <w:t xml:space="preserve"> ans d’expérience en tant que </w:t>
      </w:r>
      <w:r w:rsidR="00F25390" w:rsidRPr="00F25390">
        <w:rPr>
          <w:i/>
          <w:lang w:val="fr-FR"/>
        </w:rPr>
        <w:t>solicitor</w:t>
      </w:r>
      <w:r w:rsidR="00F25390" w:rsidRPr="00F25390">
        <w:rPr>
          <w:lang w:val="fr-FR"/>
        </w:rPr>
        <w:t xml:space="preserve"> ou </w:t>
      </w:r>
      <w:r w:rsidR="00F25390" w:rsidRPr="00F25390">
        <w:rPr>
          <w:i/>
          <w:lang w:val="fr-FR"/>
        </w:rPr>
        <w:t>barrister</w:t>
      </w:r>
      <w:r w:rsidR="00F25390">
        <w:rPr>
          <w:lang w:val="fr-FR"/>
        </w:rPr>
        <w:t xml:space="preserve">, </w:t>
      </w:r>
      <w:r w:rsidR="00F25390" w:rsidRPr="00F25390">
        <w:rPr>
          <w:lang w:val="fr-FR"/>
        </w:rPr>
        <w:t xml:space="preserve"> plus </w:t>
      </w:r>
      <w:r w:rsidR="00F25390">
        <w:rPr>
          <w:lang w:val="fr-FR"/>
        </w:rPr>
        <w:t>2</w:t>
      </w:r>
      <w:r w:rsidR="00F25390" w:rsidRPr="00F25390">
        <w:rPr>
          <w:lang w:val="fr-FR"/>
        </w:rPr>
        <w:t xml:space="preserve"> ans d’expérience à titre rémunéré</w:t>
      </w:r>
      <w:r w:rsidR="000B562B" w:rsidRPr="00A176EA">
        <w:rPr>
          <w:lang w:val="fr-FR"/>
        </w:rPr>
        <w:t>.</w:t>
      </w:r>
    </w:p>
    <w:p w:rsidR="000B562B" w:rsidRPr="00A176EA" w:rsidRDefault="002549A9" w:rsidP="00A8379B">
      <w:pPr>
        <w:pStyle w:val="SingleTxtG"/>
        <w:rPr>
          <w:szCs w:val="24"/>
          <w:lang w:val="fr-FR"/>
        </w:rPr>
      </w:pPr>
      <w:r w:rsidRPr="00A176EA">
        <w:rPr>
          <w:szCs w:val="24"/>
          <w:lang w:val="fr-FR"/>
        </w:rPr>
        <w:t>670.</w:t>
      </w:r>
      <w:r w:rsidRPr="00A176EA">
        <w:rPr>
          <w:szCs w:val="24"/>
          <w:lang w:val="fr-FR"/>
        </w:rPr>
        <w:tab/>
      </w:r>
      <w:r w:rsidR="00F25390">
        <w:rPr>
          <w:szCs w:val="24"/>
          <w:lang w:val="fr-FR"/>
        </w:rPr>
        <w:t>Les mineurs de moins de 18 ans accusés d’une infraction pénale relèvent généralement des tribunaux pour mineurs</w:t>
      </w:r>
      <w:r w:rsidR="000B562B" w:rsidRPr="00A176EA">
        <w:rPr>
          <w:rStyle w:val="FootnoteReference"/>
          <w:szCs w:val="24"/>
        </w:rPr>
        <w:footnoteReference w:id="131"/>
      </w:r>
      <w:r w:rsidR="00F25390">
        <w:rPr>
          <w:lang w:val="fr-FR"/>
        </w:rPr>
        <w:t>.</w:t>
      </w:r>
      <w:r w:rsidR="000B562B" w:rsidRPr="00A176EA">
        <w:rPr>
          <w:lang w:val="fr-FR"/>
        </w:rPr>
        <w:t xml:space="preserve"> </w:t>
      </w:r>
      <w:r w:rsidR="007F140A">
        <w:rPr>
          <w:lang w:val="fr-FR"/>
        </w:rPr>
        <w:t xml:space="preserve">Il s’agit de </w:t>
      </w:r>
      <w:r w:rsidR="00000CC2">
        <w:rPr>
          <w:snapToGrid w:val="0"/>
          <w:lang w:val="fr-FR"/>
        </w:rPr>
        <w:t>Tribunaux d’instance</w:t>
      </w:r>
      <w:r w:rsidR="00000CC2" w:rsidRPr="00C77A8D">
        <w:rPr>
          <w:lang w:val="fr-FR"/>
        </w:rPr>
        <w:t xml:space="preserve"> </w:t>
      </w:r>
      <w:r w:rsidR="007F140A">
        <w:rPr>
          <w:lang w:val="fr-FR"/>
        </w:rPr>
        <w:t>spécialement constitu</w:t>
      </w:r>
      <w:r w:rsidR="00285EB5">
        <w:rPr>
          <w:lang w:val="fr-FR"/>
        </w:rPr>
        <w:t>é</w:t>
      </w:r>
      <w:r w:rsidR="007F140A" w:rsidRPr="00D6561F">
        <w:rPr>
          <w:lang w:val="fr-FR"/>
        </w:rPr>
        <w:t>s</w:t>
      </w:r>
      <w:r w:rsidR="007F140A">
        <w:rPr>
          <w:lang w:val="fr-FR"/>
        </w:rPr>
        <w:t xml:space="preserve">, qui siègent en un autre lieu que les autres tribunaux ou à un autre moment. </w:t>
      </w:r>
      <w:r w:rsidR="00730F0F" w:rsidRPr="00730F0F">
        <w:rPr>
          <w:lang w:val="fr-FR"/>
        </w:rPr>
        <w:t xml:space="preserve">Seules certaines catégories précises de personnes peuvent assister aux audiences et les médias ne doivent pas divulguer l’identité des mineurs, que ceux-ci comparaissent en tant que prévenus ou comme témoins. Toute affaire mettant en cause un mineur de moins de 18 ans inculpé conjointement avec une personne âgée de 18 ans révolus est portée devant un </w:t>
      </w:r>
      <w:r w:rsidR="00000CC2">
        <w:rPr>
          <w:lang w:val="fr-FR"/>
        </w:rPr>
        <w:t>Tribunal d’instance</w:t>
      </w:r>
      <w:r w:rsidR="00730F0F" w:rsidRPr="00730F0F">
        <w:rPr>
          <w:lang w:val="fr-FR"/>
        </w:rPr>
        <w:t xml:space="preserve"> ordinaire ou devant </w:t>
      </w:r>
      <w:r w:rsidR="00603914">
        <w:rPr>
          <w:lang w:val="fr-FR"/>
        </w:rPr>
        <w:t>la</w:t>
      </w:r>
      <w:r w:rsidR="00730F0F" w:rsidRPr="00730F0F">
        <w:rPr>
          <w:lang w:val="fr-FR"/>
        </w:rPr>
        <w:t xml:space="preserve"> </w:t>
      </w:r>
      <w:r w:rsidR="00E857CF">
        <w:rPr>
          <w:lang w:val="fr-FR"/>
        </w:rPr>
        <w:t>Cour de la Couronne</w:t>
      </w:r>
      <w:r w:rsidR="00730F0F" w:rsidRPr="00730F0F">
        <w:rPr>
          <w:lang w:val="fr-FR"/>
        </w:rPr>
        <w:t>. Si le mineur est reconnu coupable, le tribunal peut renvoyer l’affaire à un tribunal pour mineurs</w:t>
      </w:r>
      <w:r w:rsidR="00285EB5" w:rsidRPr="00285EB5">
        <w:rPr>
          <w:lang w:val="fr-FR"/>
        </w:rPr>
        <w:t xml:space="preserve"> </w:t>
      </w:r>
      <w:r w:rsidR="00285EB5" w:rsidRPr="00730F0F">
        <w:rPr>
          <w:lang w:val="fr-FR"/>
        </w:rPr>
        <w:t>pour prononcer de la peine</w:t>
      </w:r>
      <w:r w:rsidR="00730F0F" w:rsidRPr="00730F0F">
        <w:rPr>
          <w:lang w:val="fr-FR"/>
        </w:rPr>
        <w:t>, à moins qu’il n’estime que cela n’est pas souhaitable</w:t>
      </w:r>
      <w:r w:rsidR="000B562B" w:rsidRPr="00A176EA">
        <w:rPr>
          <w:lang w:val="fr-FR"/>
        </w:rPr>
        <w:t>.</w:t>
      </w:r>
    </w:p>
    <w:p w:rsidR="000B562B" w:rsidRPr="007C5E86" w:rsidRDefault="002549A9" w:rsidP="00A8379B">
      <w:pPr>
        <w:pStyle w:val="SingleTxtG"/>
        <w:rPr>
          <w:lang w:val="fr-FR"/>
        </w:rPr>
      </w:pPr>
      <w:r w:rsidRPr="00A176EA">
        <w:rPr>
          <w:lang w:val="fr-FR"/>
        </w:rPr>
        <w:t>671.</w:t>
      </w:r>
      <w:r w:rsidRPr="00A176EA">
        <w:rPr>
          <w:lang w:val="fr-FR"/>
        </w:rPr>
        <w:tab/>
      </w:r>
      <w:r w:rsidR="00EF0C88" w:rsidRPr="00EF0C88">
        <w:rPr>
          <w:lang w:val="fr-FR"/>
        </w:rPr>
        <w:t xml:space="preserve">Une personne condamnée </w:t>
      </w:r>
      <w:r w:rsidR="00EF0C88" w:rsidRPr="00D6561F">
        <w:rPr>
          <w:lang w:val="fr-FR"/>
        </w:rPr>
        <w:t>par un</w:t>
      </w:r>
      <w:r w:rsidR="00EF0C88" w:rsidRPr="00EF0C88">
        <w:rPr>
          <w:lang w:val="fr-FR"/>
        </w:rPr>
        <w:t xml:space="preserve"> </w:t>
      </w:r>
      <w:r w:rsidR="00000CC2">
        <w:rPr>
          <w:lang w:val="fr-FR"/>
        </w:rPr>
        <w:t>Tribunal d’instance</w:t>
      </w:r>
      <w:r w:rsidR="00EF0C88" w:rsidRPr="00EF0C88">
        <w:rPr>
          <w:lang w:val="fr-FR"/>
        </w:rPr>
        <w:t xml:space="preserve"> peut faire appel devant la </w:t>
      </w:r>
      <w:r w:rsidR="00E857CF">
        <w:rPr>
          <w:lang w:val="fr-FR"/>
        </w:rPr>
        <w:t xml:space="preserve">Cour de la Couronne </w:t>
      </w:r>
      <w:r w:rsidR="00EF0C88" w:rsidRPr="00EF0C88">
        <w:rPr>
          <w:lang w:val="fr-FR"/>
        </w:rPr>
        <w:t xml:space="preserve">de la peine infligée, si elle a plaidé coupable, ou de la condamnation ou de la peine prononcée, si elle a plaidé non coupable. Lorsque le recours porte sur un point de droit ou sur la compétence, le ministère public ou le </w:t>
      </w:r>
      <w:r w:rsidR="00285EB5">
        <w:rPr>
          <w:lang w:val="fr-FR"/>
        </w:rPr>
        <w:t>condamné</w:t>
      </w:r>
      <w:r w:rsidR="00EF0C88" w:rsidRPr="00EF0C88">
        <w:rPr>
          <w:lang w:val="fr-FR"/>
        </w:rPr>
        <w:t xml:space="preserve"> peut </w:t>
      </w:r>
      <w:r w:rsidR="00C1146C">
        <w:rPr>
          <w:lang w:val="fr-FR"/>
        </w:rPr>
        <w:t>saisir</w:t>
      </w:r>
      <w:r w:rsidR="00EF0C88" w:rsidRPr="00EF0C88">
        <w:rPr>
          <w:lang w:val="fr-FR"/>
        </w:rPr>
        <w:t xml:space="preserve"> la </w:t>
      </w:r>
      <w:r w:rsidR="00C1146C">
        <w:rPr>
          <w:lang w:val="fr-FR"/>
        </w:rPr>
        <w:t>Haute</w:t>
      </w:r>
      <w:r w:rsidR="00EF0C88" w:rsidRPr="00EF0C88">
        <w:rPr>
          <w:lang w:val="fr-FR"/>
        </w:rPr>
        <w:t xml:space="preserve"> Cour. Les recours contre une condamnation ou une peine prononcée par la </w:t>
      </w:r>
      <w:r w:rsidR="00E857CF">
        <w:rPr>
          <w:lang w:val="fr-FR"/>
        </w:rPr>
        <w:t xml:space="preserve">Cour de la Couronne </w:t>
      </w:r>
      <w:r w:rsidR="00EF0C88" w:rsidRPr="00EF0C88">
        <w:rPr>
          <w:lang w:val="fr-FR"/>
        </w:rPr>
        <w:t xml:space="preserve">sont formés devant la Division pénale de la Cour </w:t>
      </w:r>
      <w:r w:rsidR="00EF0C88">
        <w:rPr>
          <w:lang w:val="fr-FR"/>
        </w:rPr>
        <w:t>d’</w:t>
      </w:r>
      <w:r w:rsidR="00285EB5">
        <w:rPr>
          <w:lang w:val="fr-FR"/>
        </w:rPr>
        <w:t>a</w:t>
      </w:r>
      <w:r w:rsidR="00EF0C88" w:rsidRPr="00EF0C88">
        <w:rPr>
          <w:lang w:val="fr-FR"/>
        </w:rPr>
        <w:t>ppe</w:t>
      </w:r>
      <w:r w:rsidR="00C1146C">
        <w:rPr>
          <w:lang w:val="fr-FR"/>
        </w:rPr>
        <w:t>l. La Cour</w:t>
      </w:r>
      <w:r w:rsidR="000B562B" w:rsidRPr="00A176EA">
        <w:rPr>
          <w:lang w:val="fr-FR"/>
        </w:rPr>
        <w:t xml:space="preserve"> </w:t>
      </w:r>
      <w:r w:rsidR="00600FD3">
        <w:rPr>
          <w:lang w:val="fr-FR"/>
        </w:rPr>
        <w:t>s</w:t>
      </w:r>
      <w:r w:rsidR="000B562B" w:rsidRPr="00A176EA">
        <w:rPr>
          <w:lang w:val="fr-FR"/>
        </w:rPr>
        <w:t>upr</w:t>
      </w:r>
      <w:r w:rsidR="00C1146C">
        <w:rPr>
          <w:lang w:val="fr-FR"/>
        </w:rPr>
        <w:t>ê</w:t>
      </w:r>
      <w:r w:rsidR="000B562B" w:rsidRPr="00A176EA">
        <w:rPr>
          <w:lang w:val="fr-FR"/>
        </w:rPr>
        <w:t>me, [</w:t>
      </w:r>
      <w:r w:rsidR="00081ED7">
        <w:rPr>
          <w:lang w:val="fr-FR"/>
        </w:rPr>
        <w:t>qui se compose des</w:t>
      </w:r>
      <w:r w:rsidR="000B562B" w:rsidRPr="00A176EA">
        <w:rPr>
          <w:lang w:val="fr-FR"/>
        </w:rPr>
        <w:t xml:space="preserve"> 11 </w:t>
      </w:r>
      <w:r w:rsidR="000B562B" w:rsidRPr="007C5E86">
        <w:rPr>
          <w:lang w:val="fr-FR"/>
        </w:rPr>
        <w:t xml:space="preserve">Lords </w:t>
      </w:r>
      <w:r w:rsidR="00081ED7" w:rsidRPr="007C5E86">
        <w:rPr>
          <w:lang w:val="fr-FR"/>
        </w:rPr>
        <w:t>d’appel ordinaire</w:t>
      </w:r>
      <w:r w:rsidR="000B562B" w:rsidRPr="007C5E86">
        <w:rPr>
          <w:lang w:val="fr-FR"/>
        </w:rPr>
        <w:t xml:space="preserve"> (</w:t>
      </w:r>
      <w:r w:rsidR="007C5E86" w:rsidRPr="007C5E86">
        <w:rPr>
          <w:lang w:val="fr-FR"/>
        </w:rPr>
        <w:t>Lords of Appeal in Ordinary ou</w:t>
      </w:r>
      <w:r w:rsidR="000B562B" w:rsidRPr="007C5E86">
        <w:rPr>
          <w:lang w:val="fr-FR"/>
        </w:rPr>
        <w:t xml:space="preserve"> Law Lords)] </w:t>
      </w:r>
      <w:r w:rsidR="00600FD3" w:rsidRPr="007C5E86">
        <w:rPr>
          <w:lang w:val="fr-FR"/>
        </w:rPr>
        <w:t>examine en dernier ressort les recours contre les jugements de la Haute Cour et de la Cour d’appel</w:t>
      </w:r>
      <w:r w:rsidR="000B562B" w:rsidRPr="007C5E86">
        <w:rPr>
          <w:lang w:val="fr-FR"/>
        </w:rPr>
        <w:t xml:space="preserve">. </w:t>
      </w:r>
      <w:r w:rsidR="00600FD3" w:rsidRPr="007C5E86">
        <w:rPr>
          <w:lang w:val="fr-FR"/>
        </w:rPr>
        <w:t xml:space="preserve">Pour que l’affaire </w:t>
      </w:r>
      <w:r w:rsidR="00603914" w:rsidRPr="007C5E86">
        <w:rPr>
          <w:lang w:val="fr-FR"/>
        </w:rPr>
        <w:t>soit</w:t>
      </w:r>
      <w:r w:rsidR="00600FD3" w:rsidRPr="007C5E86">
        <w:rPr>
          <w:lang w:val="fr-FR"/>
        </w:rPr>
        <w:t xml:space="preserve"> portée devant la Cour suprême, la juridiction ayant examiné en dernier le recours en appel doit certifier qu’elle porte sur un point de droit d’intérêt public et ladite juridiction ou la Cour suprême elle-même doit accorder à l’intéressé l’autorisation de faire appel</w:t>
      </w:r>
      <w:r w:rsidR="000B562B" w:rsidRPr="007C5E86">
        <w:rPr>
          <w:lang w:val="fr-FR"/>
        </w:rPr>
        <w:t>.</w:t>
      </w:r>
    </w:p>
    <w:p w:rsidR="000B562B" w:rsidRPr="00A176EA" w:rsidRDefault="002549A9" w:rsidP="00A8379B">
      <w:pPr>
        <w:pStyle w:val="SingleTxtG"/>
        <w:rPr>
          <w:szCs w:val="24"/>
          <w:lang w:val="fr-FR"/>
        </w:rPr>
      </w:pPr>
      <w:r w:rsidRPr="007C5E86">
        <w:rPr>
          <w:szCs w:val="24"/>
          <w:lang w:val="fr-FR"/>
        </w:rPr>
        <w:t>672.</w:t>
      </w:r>
      <w:r w:rsidRPr="007C5E86">
        <w:rPr>
          <w:szCs w:val="24"/>
          <w:lang w:val="fr-FR"/>
        </w:rPr>
        <w:tab/>
      </w:r>
      <w:r w:rsidR="00CE0B67" w:rsidRPr="007C5E86">
        <w:rPr>
          <w:szCs w:val="24"/>
          <w:lang w:val="fr-FR"/>
        </w:rPr>
        <w:t>Lorsqu’un individu a été jugé, après un</w:t>
      </w:r>
      <w:r w:rsidR="00285EB5">
        <w:rPr>
          <w:szCs w:val="24"/>
          <w:lang w:val="fr-FR"/>
        </w:rPr>
        <w:t>e</w:t>
      </w:r>
      <w:r w:rsidR="00CE0B67" w:rsidRPr="007C5E86">
        <w:rPr>
          <w:szCs w:val="24"/>
          <w:lang w:val="fr-FR"/>
        </w:rPr>
        <w:t xml:space="preserve"> </w:t>
      </w:r>
      <w:r w:rsidR="00285EB5">
        <w:rPr>
          <w:szCs w:val="24"/>
          <w:lang w:val="fr-FR"/>
        </w:rPr>
        <w:t>mise</w:t>
      </w:r>
      <w:r w:rsidR="00CE0B67" w:rsidRPr="007C5E86">
        <w:rPr>
          <w:szCs w:val="24"/>
          <w:lang w:val="fr-FR"/>
        </w:rPr>
        <w:t xml:space="preserve"> d’accusation, et acquitté (que ce soit de l’intégralité ou d’une partie des chefs d’accusation), </w:t>
      </w:r>
      <w:r w:rsidR="000B43D6" w:rsidRPr="007C5E86">
        <w:rPr>
          <w:lang w:val="fr-FR"/>
        </w:rPr>
        <w:t xml:space="preserve">le Procureur général </w:t>
      </w:r>
      <w:r w:rsidR="00CE0B67" w:rsidRPr="007C5E86">
        <w:rPr>
          <w:lang w:val="fr-FR"/>
        </w:rPr>
        <w:t>peut solliciter l’avis de la Cour d’appel sur tout</w:t>
      </w:r>
      <w:r w:rsidR="000B562B" w:rsidRPr="007C5E86">
        <w:rPr>
          <w:lang w:val="fr-FR"/>
        </w:rPr>
        <w:t xml:space="preserve"> point </w:t>
      </w:r>
      <w:r w:rsidR="00CE0B67" w:rsidRPr="007C5E86">
        <w:rPr>
          <w:lang w:val="fr-FR"/>
        </w:rPr>
        <w:t xml:space="preserve">de droit concernant </w:t>
      </w:r>
      <w:r w:rsidR="00285EB5">
        <w:rPr>
          <w:lang w:val="fr-FR"/>
        </w:rPr>
        <w:t>l’</w:t>
      </w:r>
      <w:r w:rsidR="00CE0B67" w:rsidRPr="007C5E86">
        <w:rPr>
          <w:lang w:val="fr-FR"/>
        </w:rPr>
        <w:t>affaire</w:t>
      </w:r>
      <w:r w:rsidR="000B562B" w:rsidRPr="007C5E86">
        <w:rPr>
          <w:lang w:val="fr-FR"/>
        </w:rPr>
        <w:t xml:space="preserve">. </w:t>
      </w:r>
      <w:r w:rsidR="00CE0B67" w:rsidRPr="007C5E86">
        <w:rPr>
          <w:lang w:val="fr-FR"/>
        </w:rPr>
        <w:t>Avant de donner son avis à ce sujet, la Cour doit entendre les arguments présentés par l</w:t>
      </w:r>
      <w:r w:rsidR="000B43D6" w:rsidRPr="007C5E86">
        <w:rPr>
          <w:lang w:val="fr-FR"/>
        </w:rPr>
        <w:t>e Procureur général</w:t>
      </w:r>
      <w:r w:rsidR="00CE0B67" w:rsidRPr="007C5E86">
        <w:rPr>
          <w:lang w:val="fr-FR"/>
        </w:rPr>
        <w:t xml:space="preserve"> ou en son nom</w:t>
      </w:r>
      <w:r w:rsidR="000B562B" w:rsidRPr="007C5E86">
        <w:rPr>
          <w:lang w:val="fr-FR"/>
        </w:rPr>
        <w:t xml:space="preserve">. </w:t>
      </w:r>
      <w:r w:rsidR="00F20651" w:rsidRPr="007C5E86">
        <w:rPr>
          <w:lang w:val="fr-FR"/>
        </w:rPr>
        <w:t>L’individu acquitté</w:t>
      </w:r>
      <w:r w:rsidR="000B562B" w:rsidRPr="007C5E86">
        <w:rPr>
          <w:lang w:val="fr-FR"/>
        </w:rPr>
        <w:t xml:space="preserve"> </w:t>
      </w:r>
      <w:r w:rsidR="00D6561F" w:rsidRPr="007C5E86">
        <w:rPr>
          <w:lang w:val="fr-FR"/>
        </w:rPr>
        <w:t>a également le droit que son conseil présente des arguments pour son compte</w:t>
      </w:r>
      <w:r w:rsidR="000B562B" w:rsidRPr="007C5E86">
        <w:rPr>
          <w:lang w:val="fr-FR"/>
        </w:rPr>
        <w:t xml:space="preserve">. </w:t>
      </w:r>
      <w:r w:rsidR="009266F2" w:rsidRPr="007C5E86">
        <w:rPr>
          <w:lang w:val="fr-FR"/>
        </w:rPr>
        <w:t>Quelle que soit l’opinion exprimée par la Cour d’appel, le verdict d’acquittement ne peut être modifié</w:t>
      </w:r>
      <w:r w:rsidR="000B562B" w:rsidRPr="007C5E86">
        <w:rPr>
          <w:lang w:val="fr-FR"/>
        </w:rPr>
        <w:t xml:space="preserve">. </w:t>
      </w:r>
      <w:r w:rsidR="009266F2" w:rsidRPr="007C5E86">
        <w:rPr>
          <w:lang w:val="fr-FR"/>
        </w:rPr>
        <w:t>En saisissant la Cour, l</w:t>
      </w:r>
      <w:r w:rsidR="000B43D6" w:rsidRPr="007C5E86">
        <w:rPr>
          <w:lang w:val="fr-FR"/>
        </w:rPr>
        <w:t xml:space="preserve">e Procureur général </w:t>
      </w:r>
      <w:r w:rsidR="009266F2" w:rsidRPr="007C5E86">
        <w:rPr>
          <w:lang w:val="fr-FR"/>
        </w:rPr>
        <w:t>peut obtenir un avis qui sera utile au ministère public à l’avenir, mais il ne peut demander à la Cour d’annuler la décision d’acquittement. L’affaire peut aussi être déférée à la Chambre des lords si la Cour d’</w:t>
      </w:r>
      <w:r w:rsidR="00285EB5">
        <w:rPr>
          <w:lang w:val="fr-FR"/>
        </w:rPr>
        <w:t>a</w:t>
      </w:r>
      <w:r w:rsidR="009266F2" w:rsidRPr="007C5E86">
        <w:rPr>
          <w:lang w:val="fr-FR"/>
        </w:rPr>
        <w:t>ppel estime qu’elle devrait être examinée par les Law Lords</w:t>
      </w:r>
      <w:r w:rsidR="000B562B" w:rsidRPr="007C5E86">
        <w:rPr>
          <w:lang w:val="fr-FR"/>
        </w:rPr>
        <w:t>.</w:t>
      </w:r>
    </w:p>
    <w:p w:rsidR="000B562B" w:rsidRPr="00A176EA" w:rsidRDefault="002549A9" w:rsidP="00A86580">
      <w:pPr>
        <w:pStyle w:val="SingleTxtG"/>
        <w:rPr>
          <w:szCs w:val="24"/>
          <w:lang w:val="fr-FR"/>
        </w:rPr>
      </w:pPr>
      <w:r w:rsidRPr="00A176EA">
        <w:rPr>
          <w:szCs w:val="24"/>
          <w:lang w:val="fr-FR"/>
        </w:rPr>
        <w:t>673.</w:t>
      </w:r>
      <w:r w:rsidRPr="00A176EA">
        <w:rPr>
          <w:szCs w:val="24"/>
          <w:lang w:val="fr-FR"/>
        </w:rPr>
        <w:tab/>
      </w:r>
      <w:r w:rsidR="009266F2">
        <w:rPr>
          <w:lang w:val="fr-FR"/>
        </w:rPr>
        <w:t>L</w:t>
      </w:r>
      <w:r w:rsidR="000B43D6">
        <w:rPr>
          <w:lang w:val="fr-FR"/>
        </w:rPr>
        <w:t xml:space="preserve">e Procureur général </w:t>
      </w:r>
      <w:r w:rsidR="009266F2">
        <w:rPr>
          <w:lang w:val="fr-FR"/>
        </w:rPr>
        <w:t xml:space="preserve">peut également saisir la Cour d’appel si la peine prononcée par le juge de la </w:t>
      </w:r>
      <w:r w:rsidR="00E857CF">
        <w:rPr>
          <w:lang w:val="fr-FR"/>
        </w:rPr>
        <w:t xml:space="preserve">Cour de la Couronne </w:t>
      </w:r>
      <w:r w:rsidR="009266F2">
        <w:rPr>
          <w:lang w:val="fr-FR"/>
        </w:rPr>
        <w:t xml:space="preserve">lui paraît indûment clémente ou illégale. </w:t>
      </w:r>
      <w:r w:rsidR="00A86580">
        <w:rPr>
          <w:lang w:val="fr-FR"/>
        </w:rPr>
        <w:t xml:space="preserve">Cette possibilité ne s’applique qu’aux infractions </w:t>
      </w:r>
      <w:r w:rsidR="003B64F4">
        <w:rPr>
          <w:lang w:val="fr-FR"/>
        </w:rPr>
        <w:t>qui ont fait l’objet d’une mise en accusation</w:t>
      </w:r>
      <w:r w:rsidR="00A86580">
        <w:rPr>
          <w:lang w:val="fr-FR"/>
        </w:rPr>
        <w:t xml:space="preserve"> et à certaines infractions </w:t>
      </w:r>
      <w:r w:rsidR="00CD0110">
        <w:rPr>
          <w:lang w:val="fr-FR"/>
        </w:rPr>
        <w:t>«</w:t>
      </w:r>
      <w:r w:rsidR="00A86580">
        <w:rPr>
          <w:lang w:val="fr-FR"/>
        </w:rPr>
        <w:t>hybrides</w:t>
      </w:r>
      <w:r w:rsidR="00CD0110">
        <w:rPr>
          <w:lang w:val="fr-FR"/>
        </w:rPr>
        <w:t>»</w:t>
      </w:r>
      <w:r w:rsidR="00A86580">
        <w:rPr>
          <w:lang w:val="fr-FR"/>
        </w:rPr>
        <w:t xml:space="preserve"> jugées par la </w:t>
      </w:r>
      <w:r w:rsidR="00E857CF">
        <w:rPr>
          <w:lang w:val="fr-FR"/>
        </w:rPr>
        <w:t>Cour de la Couronne</w:t>
      </w:r>
      <w:r w:rsidR="00A86580">
        <w:rPr>
          <w:lang w:val="fr-FR"/>
        </w:rPr>
        <w:t xml:space="preserve">. La saisine doit être autorisée par la Cour d’appel. </w:t>
      </w:r>
      <w:r w:rsidR="00A86580" w:rsidRPr="00A86580">
        <w:rPr>
          <w:lang w:val="fr-FR"/>
        </w:rPr>
        <w:t xml:space="preserve">Celle-ci peut annuler toute condamnation et prononcer une peine plus lourde ou plus légère si cela lui paraît opportun, pour autant que cette peine relève de la compétence du juge de la </w:t>
      </w:r>
      <w:r w:rsidR="00245A8E">
        <w:rPr>
          <w:lang w:val="fr-FR"/>
        </w:rPr>
        <w:t xml:space="preserve">Cour de la Couronne </w:t>
      </w:r>
      <w:r w:rsidR="00A86580" w:rsidRPr="00A86580">
        <w:rPr>
          <w:lang w:val="fr-FR"/>
        </w:rPr>
        <w:t>qui a prononcé la peine initiale. En général</w:t>
      </w:r>
      <w:r w:rsidR="00A86580">
        <w:rPr>
          <w:lang w:val="fr-FR"/>
        </w:rPr>
        <w:t>,</w:t>
      </w:r>
      <w:r w:rsidR="00A86580" w:rsidRPr="00A86580">
        <w:rPr>
          <w:lang w:val="fr-FR"/>
        </w:rPr>
        <w:t xml:space="preserve"> </w:t>
      </w:r>
      <w:r w:rsidR="00A86580">
        <w:rPr>
          <w:lang w:val="fr-FR"/>
        </w:rPr>
        <w:t xml:space="preserve">la règle </w:t>
      </w:r>
      <w:r w:rsidR="00A86580" w:rsidRPr="00A86580">
        <w:rPr>
          <w:i/>
          <w:lang w:val="fr-FR"/>
        </w:rPr>
        <w:t>non bis in idem</w:t>
      </w:r>
      <w:r w:rsidR="00A86580">
        <w:rPr>
          <w:lang w:val="fr-FR"/>
        </w:rPr>
        <w:t xml:space="preserve"> veut qu’une personne qui a été acquittée ne </w:t>
      </w:r>
      <w:r w:rsidR="00C91840">
        <w:rPr>
          <w:lang w:val="fr-FR"/>
        </w:rPr>
        <w:t>peut</w:t>
      </w:r>
      <w:r w:rsidR="00A86580">
        <w:rPr>
          <w:lang w:val="fr-FR"/>
        </w:rPr>
        <w:t xml:space="preserve"> être rejugée</w:t>
      </w:r>
      <w:r w:rsidR="000B562B" w:rsidRPr="00A176EA">
        <w:rPr>
          <w:lang w:val="fr-FR"/>
        </w:rPr>
        <w:t xml:space="preserve">. </w:t>
      </w:r>
      <w:r w:rsidR="00804621">
        <w:rPr>
          <w:lang w:val="fr-FR"/>
        </w:rPr>
        <w:t>Cependant, aux termes de la partie 10 de la loi de 2003 sur la justice pénale, un deuxième procès peut avoir lieu pour certaines infractions très graves, lorsque de nouvelles preuves irréfutables surviennent après l’acquittement</w:t>
      </w:r>
      <w:r w:rsidR="000B562B" w:rsidRPr="00A176EA">
        <w:rPr>
          <w:lang w:val="fr-FR"/>
        </w:rPr>
        <w:t>.</w:t>
      </w:r>
    </w:p>
    <w:p w:rsidR="000B562B" w:rsidRPr="00A176EA" w:rsidRDefault="00FD2CE1" w:rsidP="00DC1857">
      <w:pPr>
        <w:pStyle w:val="H23G"/>
        <w:rPr>
          <w:lang w:val="fr-FR"/>
        </w:rPr>
      </w:pPr>
      <w:r w:rsidRPr="003B64F4">
        <w:rPr>
          <w:lang w:val="fr-FR"/>
        </w:rPr>
        <w:t>Écosse</w:t>
      </w:r>
    </w:p>
    <w:p w:rsidR="000B562B" w:rsidRPr="00A176EA" w:rsidRDefault="002549A9" w:rsidP="00A8379B">
      <w:pPr>
        <w:pStyle w:val="SingleTxtG"/>
        <w:rPr>
          <w:lang w:val="fr-FR"/>
        </w:rPr>
      </w:pPr>
      <w:r w:rsidRPr="00A176EA">
        <w:rPr>
          <w:lang w:val="fr-FR"/>
        </w:rPr>
        <w:t>674.</w:t>
      </w:r>
      <w:r w:rsidRPr="00A176EA">
        <w:rPr>
          <w:lang w:val="fr-FR"/>
        </w:rPr>
        <w:tab/>
      </w:r>
      <w:r w:rsidR="003B64F4">
        <w:rPr>
          <w:lang w:val="fr-FR"/>
        </w:rPr>
        <w:t>E</w:t>
      </w:r>
      <w:r w:rsidR="000B562B" w:rsidRPr="00A176EA">
        <w:rPr>
          <w:lang w:val="fr-FR"/>
        </w:rPr>
        <w:t xml:space="preserve">n </w:t>
      </w:r>
      <w:r w:rsidR="00FD2CE1" w:rsidRPr="003B64F4">
        <w:rPr>
          <w:lang w:val="fr-FR"/>
        </w:rPr>
        <w:t>Écosse</w:t>
      </w:r>
      <w:r w:rsidR="003B64F4">
        <w:rPr>
          <w:lang w:val="fr-FR"/>
        </w:rPr>
        <w:t>,</w:t>
      </w:r>
      <w:r w:rsidR="000B562B" w:rsidRPr="00A176EA">
        <w:rPr>
          <w:lang w:val="fr-FR"/>
        </w:rPr>
        <w:t xml:space="preserve"> </w:t>
      </w:r>
      <w:r w:rsidR="003B64F4" w:rsidRPr="003B64F4">
        <w:rPr>
          <w:lang w:val="fr-FR"/>
        </w:rPr>
        <w:t xml:space="preserve">toutes les infractions graves telles que le meurtre, la trahison ou le viol relèvent de la </w:t>
      </w:r>
      <w:r w:rsidR="007853D8">
        <w:rPr>
          <w:lang w:val="fr-FR"/>
        </w:rPr>
        <w:t xml:space="preserve">Haute Cour de </w:t>
      </w:r>
      <w:r w:rsidR="007853D8" w:rsidRPr="007853D8">
        <w:rPr>
          <w:lang w:val="fr-FR"/>
        </w:rPr>
        <w:t>justice (</w:t>
      </w:r>
      <w:r w:rsidR="003B64F4" w:rsidRPr="007853D8">
        <w:rPr>
          <w:lang w:val="fr-FR"/>
        </w:rPr>
        <w:t>High Court of Justiciary</w:t>
      </w:r>
      <w:r w:rsidR="007853D8" w:rsidRPr="007853D8">
        <w:rPr>
          <w:lang w:val="fr-FR"/>
        </w:rPr>
        <w:t>)</w:t>
      </w:r>
      <w:r w:rsidR="003B64F4" w:rsidRPr="007853D8">
        <w:rPr>
          <w:lang w:val="fr-FR"/>
        </w:rPr>
        <w:t>, les</w:t>
      </w:r>
      <w:r w:rsidR="003B64F4" w:rsidRPr="003B64F4">
        <w:rPr>
          <w:lang w:val="fr-FR"/>
        </w:rPr>
        <w:t xml:space="preserve"> infractions moins graves des </w:t>
      </w:r>
      <w:r w:rsidR="000B0B40">
        <w:rPr>
          <w:lang w:val="fr-FR"/>
        </w:rPr>
        <w:t>Tribunaux de shérif</w:t>
      </w:r>
      <w:r w:rsidR="003B64F4" w:rsidRPr="003B64F4">
        <w:rPr>
          <w:lang w:val="fr-FR"/>
        </w:rPr>
        <w:t xml:space="preserve"> et les infractions mineures des </w:t>
      </w:r>
      <w:r w:rsidR="000B0B40">
        <w:rPr>
          <w:lang w:val="fr-FR"/>
        </w:rPr>
        <w:t xml:space="preserve">Tribunaux de </w:t>
      </w:r>
      <w:r w:rsidR="003B64F4" w:rsidRPr="003B64F4">
        <w:rPr>
          <w:lang w:val="fr-FR"/>
        </w:rPr>
        <w:t xml:space="preserve">district. Les infractions sont examinées soit selon la procédure formelle, avec </w:t>
      </w:r>
      <w:r w:rsidR="000F3716">
        <w:rPr>
          <w:lang w:val="fr-FR"/>
        </w:rPr>
        <w:t>mise en</w:t>
      </w:r>
      <w:r w:rsidR="003B64F4" w:rsidRPr="003B64F4">
        <w:rPr>
          <w:lang w:val="fr-FR"/>
        </w:rPr>
        <w:t xml:space="preserve"> accusation, où le juge est assisté d’un jury de 15 membres, soit selon la procédure simplifiée, où le juge siège sans jury. Toutes les affaires portées devant la </w:t>
      </w:r>
      <w:r w:rsidR="007853D8">
        <w:rPr>
          <w:lang w:val="fr-FR"/>
        </w:rPr>
        <w:t>Haute Cour de justice</w:t>
      </w:r>
      <w:r w:rsidR="003B64F4">
        <w:rPr>
          <w:lang w:val="fr-FR"/>
        </w:rPr>
        <w:t xml:space="preserve"> </w:t>
      </w:r>
      <w:r w:rsidR="003B64F4" w:rsidRPr="003B64F4">
        <w:rPr>
          <w:lang w:val="fr-FR"/>
        </w:rPr>
        <w:t xml:space="preserve">et les affaires les plus graves dont connaissent les </w:t>
      </w:r>
      <w:r w:rsidR="000B0B40">
        <w:rPr>
          <w:lang w:val="fr-FR"/>
        </w:rPr>
        <w:t>Tribunaux de shérif</w:t>
      </w:r>
      <w:r w:rsidR="000B0B40" w:rsidRPr="003B64F4">
        <w:rPr>
          <w:lang w:val="fr-FR"/>
        </w:rPr>
        <w:t xml:space="preserve"> </w:t>
      </w:r>
      <w:r w:rsidR="003B64F4" w:rsidRPr="003B64F4">
        <w:rPr>
          <w:lang w:val="fr-FR"/>
        </w:rPr>
        <w:t>sont jugées</w:t>
      </w:r>
      <w:r w:rsidR="003B64F4">
        <w:rPr>
          <w:lang w:val="fr-FR"/>
        </w:rPr>
        <w:t xml:space="preserve"> par un juge et un jury</w:t>
      </w:r>
      <w:r w:rsidR="000B562B" w:rsidRPr="00A176EA">
        <w:rPr>
          <w:lang w:val="fr-FR"/>
        </w:rPr>
        <w:t xml:space="preserve">. </w:t>
      </w:r>
      <w:r w:rsidR="003B64F4" w:rsidRPr="003B64F4">
        <w:rPr>
          <w:lang w:val="fr-FR"/>
        </w:rPr>
        <w:t xml:space="preserve">Les </w:t>
      </w:r>
      <w:r w:rsidR="000B0B40">
        <w:rPr>
          <w:lang w:val="fr-FR"/>
        </w:rPr>
        <w:t>Tribunaux de shérif</w:t>
      </w:r>
      <w:r w:rsidR="000B0B40" w:rsidRPr="003B64F4">
        <w:rPr>
          <w:lang w:val="fr-FR"/>
        </w:rPr>
        <w:t xml:space="preserve"> </w:t>
      </w:r>
      <w:r w:rsidR="003B64F4" w:rsidRPr="003B64F4">
        <w:rPr>
          <w:lang w:val="fr-FR"/>
        </w:rPr>
        <w:t xml:space="preserve">appliquent aux infractions mineures une procédure simplifiée, qui est de règle dans les </w:t>
      </w:r>
      <w:r w:rsidR="000F3716">
        <w:rPr>
          <w:lang w:val="fr-FR"/>
        </w:rPr>
        <w:t>T</w:t>
      </w:r>
      <w:r w:rsidR="00F875C2">
        <w:rPr>
          <w:lang w:val="fr-FR"/>
        </w:rPr>
        <w:t>ribunaux de district</w:t>
      </w:r>
      <w:r w:rsidR="003B64F4" w:rsidRPr="003B64F4">
        <w:rPr>
          <w:lang w:val="fr-FR"/>
        </w:rPr>
        <w:t xml:space="preserve">. La peine maximale que le juge est </w:t>
      </w:r>
      <w:r w:rsidR="00F875C2">
        <w:rPr>
          <w:lang w:val="fr-FR"/>
        </w:rPr>
        <w:t>habilité</w:t>
      </w:r>
      <w:r w:rsidR="003B64F4" w:rsidRPr="003B64F4">
        <w:rPr>
          <w:lang w:val="fr-FR"/>
        </w:rPr>
        <w:t xml:space="preserve"> à prononcer varie</w:t>
      </w:r>
      <w:r w:rsidR="000B562B" w:rsidRPr="00A176EA">
        <w:rPr>
          <w:lang w:val="fr-FR"/>
        </w:rPr>
        <w:t>.</w:t>
      </w:r>
    </w:p>
    <w:p w:rsidR="000B562B" w:rsidRPr="00A176EA" w:rsidRDefault="002549A9" w:rsidP="00757E15">
      <w:pPr>
        <w:pStyle w:val="SingleTxtG"/>
        <w:rPr>
          <w:lang w:val="fr-FR"/>
        </w:rPr>
      </w:pPr>
      <w:r w:rsidRPr="00A176EA">
        <w:rPr>
          <w:lang w:val="fr-FR"/>
        </w:rPr>
        <w:t>675.</w:t>
      </w:r>
      <w:r w:rsidRPr="00A176EA">
        <w:rPr>
          <w:lang w:val="fr-FR"/>
        </w:rPr>
        <w:tab/>
      </w:r>
      <w:r w:rsidR="003B64F4" w:rsidRPr="003B64F4">
        <w:rPr>
          <w:lang w:val="fr-FR"/>
        </w:rPr>
        <w:t xml:space="preserve">En Écosse, les mineurs de moins de 16 ans ayant commis une ou plusieurs infractions ou qui, pour toute autre raison prévue par la loi, sont considérés comme nécessitant une prise en charge ou une protection obligatoires, peuvent être traduits devant un jury pour mineurs composé de trois membres choisis parmi un groupe de </w:t>
      </w:r>
      <w:r w:rsidR="003B64F4">
        <w:rPr>
          <w:lang w:val="fr-FR"/>
        </w:rPr>
        <w:t>bénévoles</w:t>
      </w:r>
      <w:r w:rsidR="003B64F4" w:rsidRPr="003B64F4">
        <w:rPr>
          <w:lang w:val="fr-FR"/>
        </w:rPr>
        <w:t xml:space="preserve"> sélectionnés par </w:t>
      </w:r>
      <w:r w:rsidR="003B64F4">
        <w:rPr>
          <w:lang w:val="fr-FR"/>
        </w:rPr>
        <w:t>le</w:t>
      </w:r>
      <w:r w:rsidR="000B562B" w:rsidRPr="00A176EA">
        <w:rPr>
          <w:lang w:val="fr-FR"/>
        </w:rPr>
        <w:t xml:space="preserve"> </w:t>
      </w:r>
      <w:r w:rsidR="00326A37">
        <w:rPr>
          <w:lang w:val="fr-FR"/>
        </w:rPr>
        <w:t>Secrétaire d</w:t>
      </w:r>
      <w:r w:rsidR="00326A37" w:rsidRPr="00326A37">
        <w:rPr>
          <w:lang w:val="fr-FR"/>
        </w:rPr>
        <w:t>’Ét</w:t>
      </w:r>
      <w:r w:rsidR="00326A37">
        <w:rPr>
          <w:lang w:val="fr-FR"/>
        </w:rPr>
        <w:t>at</w:t>
      </w:r>
      <w:r w:rsidR="000B562B" w:rsidRPr="00A176EA">
        <w:rPr>
          <w:lang w:val="fr-FR"/>
        </w:rPr>
        <w:t xml:space="preserve">. </w:t>
      </w:r>
      <w:r w:rsidR="00653E95" w:rsidRPr="00653E95">
        <w:rPr>
          <w:lang w:val="fr-FR"/>
        </w:rPr>
        <w:t xml:space="preserve">Les jurys doivent être composés de personnes des deux sexes. L’enfant ou ses parents peuvent par la suite faire appel de la décision du jury, dans un délai de </w:t>
      </w:r>
      <w:r w:rsidR="00C37A01">
        <w:rPr>
          <w:lang w:val="fr-FR"/>
        </w:rPr>
        <w:t>21</w:t>
      </w:r>
      <w:r w:rsidR="00653E95" w:rsidRPr="00653E95">
        <w:rPr>
          <w:lang w:val="fr-FR"/>
        </w:rPr>
        <w:t xml:space="preserve"> jours. Cet appel est aussi porté </w:t>
      </w:r>
      <w:r w:rsidR="00653E95" w:rsidRPr="000B0B40">
        <w:rPr>
          <w:lang w:val="fr-FR"/>
        </w:rPr>
        <w:t>devant un sh</w:t>
      </w:r>
      <w:r w:rsidR="000B0B40" w:rsidRPr="000B0B40">
        <w:rPr>
          <w:lang w:val="fr-FR"/>
        </w:rPr>
        <w:t>érif</w:t>
      </w:r>
      <w:r w:rsidR="00653E95" w:rsidRPr="000B0B40">
        <w:rPr>
          <w:lang w:val="fr-FR"/>
        </w:rPr>
        <w:t>. Un</w:t>
      </w:r>
      <w:r w:rsidR="00653E95" w:rsidRPr="00653E95">
        <w:rPr>
          <w:lang w:val="fr-FR"/>
        </w:rPr>
        <w:t xml:space="preserve"> nombre limité de mineurs ayant commis des infractions graves peuvent aussi être jugés dans le cadre du système de justice pénale pour adultes</w:t>
      </w:r>
      <w:r w:rsidR="00C37A01">
        <w:rPr>
          <w:lang w:val="fr-FR"/>
        </w:rPr>
        <w:t>. Un programme pilote de Tribunal pour</w:t>
      </w:r>
      <w:r w:rsidR="00757E15">
        <w:rPr>
          <w:lang w:val="fr-FR"/>
        </w:rPr>
        <w:t xml:space="preserve"> mineurs est actuellement testé pour les jeunes récidivistes</w:t>
      </w:r>
      <w:r w:rsidR="000B562B" w:rsidRPr="00A176EA">
        <w:rPr>
          <w:lang w:val="fr-FR"/>
        </w:rPr>
        <w:t>.</w:t>
      </w:r>
    </w:p>
    <w:p w:rsidR="000B562B" w:rsidRPr="00A176EA" w:rsidRDefault="002549A9" w:rsidP="00757E15">
      <w:pPr>
        <w:pStyle w:val="SingleTxtG"/>
        <w:rPr>
          <w:snapToGrid w:val="0"/>
          <w:lang w:val="fr-FR"/>
        </w:rPr>
      </w:pPr>
      <w:r w:rsidRPr="00A176EA">
        <w:rPr>
          <w:snapToGrid w:val="0"/>
          <w:lang w:val="fr-FR"/>
        </w:rPr>
        <w:t>676.</w:t>
      </w:r>
      <w:r w:rsidRPr="00A176EA">
        <w:rPr>
          <w:snapToGrid w:val="0"/>
          <w:lang w:val="fr-FR"/>
        </w:rPr>
        <w:tab/>
      </w:r>
      <w:r w:rsidR="00757E15" w:rsidRPr="00757E15">
        <w:rPr>
          <w:snapToGrid w:val="0"/>
          <w:lang w:val="fr-FR"/>
        </w:rPr>
        <w:t xml:space="preserve">Les six circonscriptions judiciaires écossaises correspondant aux </w:t>
      </w:r>
      <w:r w:rsidR="000B0B40">
        <w:rPr>
          <w:snapToGrid w:val="0"/>
          <w:lang w:val="fr-FR"/>
        </w:rPr>
        <w:t>Tribunaux</w:t>
      </w:r>
      <w:r w:rsidR="002E0C2B">
        <w:rPr>
          <w:snapToGrid w:val="0"/>
          <w:lang w:val="fr-FR"/>
        </w:rPr>
        <w:t xml:space="preserve"> de shérif</w:t>
      </w:r>
      <w:r w:rsidR="00757E15" w:rsidRPr="00757E15">
        <w:rPr>
          <w:snapToGrid w:val="0"/>
          <w:lang w:val="fr-FR"/>
        </w:rPr>
        <w:t xml:space="preserve"> sont subdivisées en districts comptant chacun un ou plusieurs sh</w:t>
      </w:r>
      <w:r w:rsidR="00757E15">
        <w:rPr>
          <w:snapToGrid w:val="0"/>
          <w:lang w:val="fr-FR"/>
        </w:rPr>
        <w:t>é</w:t>
      </w:r>
      <w:r w:rsidR="00757E15" w:rsidRPr="00757E15">
        <w:rPr>
          <w:snapToGrid w:val="0"/>
          <w:lang w:val="fr-FR"/>
        </w:rPr>
        <w:t>rifs, qui sont les juges de</w:t>
      </w:r>
      <w:r w:rsidR="00757E15">
        <w:rPr>
          <w:snapToGrid w:val="0"/>
          <w:lang w:val="fr-FR"/>
        </w:rPr>
        <w:t xml:space="preserve"> ces cours. La</w:t>
      </w:r>
      <w:r w:rsidR="00757E15" w:rsidRPr="00A176EA">
        <w:rPr>
          <w:snapToGrid w:val="0"/>
          <w:lang w:val="fr-FR"/>
        </w:rPr>
        <w:t xml:space="preserve"> </w:t>
      </w:r>
      <w:r w:rsidR="007853D8" w:rsidRPr="007853D8">
        <w:rPr>
          <w:snapToGrid w:val="0"/>
          <w:lang w:val="fr-FR"/>
        </w:rPr>
        <w:t xml:space="preserve">Haute Cour de justice </w:t>
      </w:r>
      <w:r w:rsidR="00757E15" w:rsidRPr="007853D8">
        <w:rPr>
          <w:snapToGrid w:val="0"/>
          <w:lang w:val="fr-FR"/>
        </w:rPr>
        <w:t>(</w:t>
      </w:r>
      <w:r w:rsidR="007853D8" w:rsidRPr="007853D8">
        <w:rPr>
          <w:snapToGrid w:val="0"/>
          <w:lang w:val="fr-FR"/>
        </w:rPr>
        <w:t>High Court of Justiciary</w:t>
      </w:r>
      <w:r w:rsidR="00757E15" w:rsidRPr="007853D8">
        <w:rPr>
          <w:snapToGrid w:val="0"/>
          <w:lang w:val="fr-FR"/>
        </w:rPr>
        <w:t>),</w:t>
      </w:r>
      <w:r w:rsidR="00757E15">
        <w:rPr>
          <w:snapToGrid w:val="0"/>
          <w:lang w:val="fr-FR"/>
        </w:rPr>
        <w:t xml:space="preserve"> </w:t>
      </w:r>
      <w:r w:rsidR="00757E15" w:rsidRPr="00757E15">
        <w:rPr>
          <w:snapToGrid w:val="0"/>
          <w:lang w:val="fr-FR"/>
        </w:rPr>
        <w:t xml:space="preserve">l’instance pénale suprême en Écosse, est à la fois une juridiction de première instance et d’appel. Le </w:t>
      </w:r>
      <w:r w:rsidR="00757E15" w:rsidRPr="000F3716">
        <w:rPr>
          <w:snapToGrid w:val="0"/>
          <w:lang w:val="fr-FR"/>
        </w:rPr>
        <w:t xml:space="preserve">Lord Justice General (Président de la </w:t>
      </w:r>
      <w:r w:rsidR="002E0C2B" w:rsidRPr="000F3716">
        <w:rPr>
          <w:snapToGrid w:val="0"/>
          <w:lang w:val="fr-FR"/>
        </w:rPr>
        <w:t>Haute Cour</w:t>
      </w:r>
      <w:r w:rsidR="00757E15" w:rsidRPr="000F3716">
        <w:rPr>
          <w:snapToGrid w:val="0"/>
          <w:lang w:val="fr-FR"/>
        </w:rPr>
        <w:t>), le Lord Justice Clerk (qui le suit hiérarchiquement) et l’un des Lord Commissioners of Justiciary sont habilités à juger des affaires</w:t>
      </w:r>
      <w:r w:rsidR="00757E15" w:rsidRPr="00757E15">
        <w:rPr>
          <w:snapToGrid w:val="0"/>
          <w:lang w:val="fr-FR"/>
        </w:rPr>
        <w:t xml:space="preserve"> à la </w:t>
      </w:r>
      <w:r w:rsidR="00757E15">
        <w:rPr>
          <w:snapToGrid w:val="0"/>
          <w:lang w:val="fr-FR"/>
        </w:rPr>
        <w:t>Haute Cour</w:t>
      </w:r>
      <w:r w:rsidR="000B562B" w:rsidRPr="00A176EA">
        <w:rPr>
          <w:snapToGrid w:val="0"/>
          <w:lang w:val="fr-FR"/>
        </w:rPr>
        <w:t>.</w:t>
      </w:r>
    </w:p>
    <w:p w:rsidR="000B562B" w:rsidRPr="00A176EA" w:rsidRDefault="002549A9" w:rsidP="00757E15">
      <w:pPr>
        <w:pStyle w:val="SingleTxtG"/>
        <w:rPr>
          <w:lang w:val="fr-FR"/>
        </w:rPr>
      </w:pPr>
      <w:r w:rsidRPr="00A176EA">
        <w:rPr>
          <w:lang w:val="fr-FR"/>
        </w:rPr>
        <w:t>677.</w:t>
      </w:r>
      <w:r w:rsidRPr="00A176EA">
        <w:rPr>
          <w:lang w:val="fr-FR"/>
        </w:rPr>
        <w:tab/>
      </w:r>
      <w:r w:rsidR="00757E15">
        <w:rPr>
          <w:lang w:val="fr-FR"/>
        </w:rPr>
        <w:t xml:space="preserve">Tous les recours en appel sont examinés par la Haute Cour. </w:t>
      </w:r>
      <w:r w:rsidR="00757E15" w:rsidRPr="00757E15">
        <w:rPr>
          <w:lang w:val="fr-FR"/>
        </w:rPr>
        <w:t xml:space="preserve">Les recours en appel d’une condamnation, d’une peine, ou des deux, peuvent faire l’objet d’une procédure formelle ou d’une procédure simplifiée. La </w:t>
      </w:r>
      <w:r w:rsidR="002E0C2B">
        <w:rPr>
          <w:lang w:val="fr-FR"/>
        </w:rPr>
        <w:t>Haute Cour</w:t>
      </w:r>
      <w:r w:rsidR="002E0C2B" w:rsidRPr="00757E15">
        <w:rPr>
          <w:lang w:val="fr-FR"/>
        </w:rPr>
        <w:t xml:space="preserve"> </w:t>
      </w:r>
      <w:r w:rsidR="00757E15" w:rsidRPr="00757E15">
        <w:rPr>
          <w:lang w:val="fr-FR"/>
        </w:rPr>
        <w:t xml:space="preserve">peut autoriser </w:t>
      </w:r>
      <w:r w:rsidR="000F3716">
        <w:rPr>
          <w:lang w:val="fr-FR"/>
        </w:rPr>
        <w:t>qu</w:t>
      </w:r>
      <w:r w:rsidR="000F3716" w:rsidRPr="00757E15">
        <w:rPr>
          <w:lang w:val="fr-FR"/>
        </w:rPr>
        <w:t xml:space="preserve">e l’affaire </w:t>
      </w:r>
      <w:r w:rsidR="000F3716">
        <w:rPr>
          <w:lang w:val="fr-FR"/>
        </w:rPr>
        <w:t>soit rejugée</w:t>
      </w:r>
      <w:r w:rsidR="00757E15" w:rsidRPr="00757E15">
        <w:rPr>
          <w:lang w:val="fr-FR"/>
        </w:rPr>
        <w:t xml:space="preserve"> si elle annule la condamnation. Il n’existe pas de possibilité de recours ultérieur devant la Chambre des lords. Lorsqu’il s’agit d’une procédure simplifiée, le ministère public peut faire appel d’un acquittement ou d’une condamnation, à condition que ce recours porte sur un point de droit. Le </w:t>
      </w:r>
      <w:r w:rsidR="00000CC2">
        <w:rPr>
          <w:lang w:val="fr-FR"/>
        </w:rPr>
        <w:t>Procureur général</w:t>
      </w:r>
      <w:r w:rsidR="00757E15" w:rsidRPr="00757E15">
        <w:rPr>
          <w:lang w:val="fr-FR"/>
        </w:rPr>
        <w:t xml:space="preserve"> peut demander l’avis de la </w:t>
      </w:r>
      <w:r w:rsidR="002E0C2B">
        <w:rPr>
          <w:lang w:val="fr-FR"/>
        </w:rPr>
        <w:t>Haute Cour</w:t>
      </w:r>
      <w:r w:rsidR="002E0C2B" w:rsidRPr="00757E15">
        <w:rPr>
          <w:lang w:val="fr-FR"/>
        </w:rPr>
        <w:t xml:space="preserve"> </w:t>
      </w:r>
      <w:r w:rsidR="00757E15" w:rsidRPr="00757E15">
        <w:rPr>
          <w:lang w:val="fr-FR"/>
        </w:rPr>
        <w:t>sur un point de droit soulevé dans une affaire où une personne jugée devant jury sur mise en accusation a été acquittée. L’acquittement initialement prononcé n’est cependant pas remis en question</w:t>
      </w:r>
      <w:r w:rsidR="000B562B" w:rsidRPr="00A176EA">
        <w:rPr>
          <w:snapToGrid w:val="0"/>
          <w:lang w:val="fr-FR"/>
        </w:rPr>
        <w:t>.</w:t>
      </w:r>
    </w:p>
    <w:p w:rsidR="000B562B" w:rsidRPr="00A176EA" w:rsidRDefault="008F3DA4" w:rsidP="00DC1857">
      <w:pPr>
        <w:pStyle w:val="H23G"/>
        <w:rPr>
          <w:snapToGrid w:val="0"/>
          <w:lang w:val="fr-FR"/>
        </w:rPr>
      </w:pPr>
      <w:r w:rsidRPr="00757E15">
        <w:rPr>
          <w:lang w:val="fr-FR"/>
        </w:rPr>
        <w:t>Irlande du Nord</w:t>
      </w:r>
    </w:p>
    <w:p w:rsidR="000B562B" w:rsidRPr="00A176EA" w:rsidRDefault="002549A9" w:rsidP="00A8379B">
      <w:pPr>
        <w:pStyle w:val="SingleTxtG"/>
        <w:rPr>
          <w:lang w:val="fr-FR"/>
        </w:rPr>
      </w:pPr>
      <w:r w:rsidRPr="00A176EA">
        <w:rPr>
          <w:lang w:val="fr-FR"/>
        </w:rPr>
        <w:t>678.</w:t>
      </w:r>
      <w:r w:rsidRPr="00A176EA">
        <w:rPr>
          <w:lang w:val="fr-FR"/>
        </w:rPr>
        <w:tab/>
      </w:r>
      <w:r w:rsidR="00412C1F">
        <w:rPr>
          <w:lang w:val="fr-FR"/>
        </w:rPr>
        <w:t>L’organisation judiciaire</w:t>
      </w:r>
      <w:r w:rsidR="00757E15">
        <w:rPr>
          <w:lang w:val="fr-FR"/>
        </w:rPr>
        <w:t xml:space="preserve"> </w:t>
      </w:r>
      <w:r w:rsidR="00412C1F">
        <w:rPr>
          <w:lang w:val="fr-FR"/>
        </w:rPr>
        <w:t xml:space="preserve">en </w:t>
      </w:r>
      <w:r w:rsidR="008F3DA4" w:rsidRPr="00757E15">
        <w:rPr>
          <w:lang w:val="fr-FR"/>
        </w:rPr>
        <w:t>Irlande du Nord</w:t>
      </w:r>
      <w:r w:rsidR="000B562B" w:rsidRPr="00757E15">
        <w:rPr>
          <w:lang w:val="fr-FR"/>
        </w:rPr>
        <w:t xml:space="preserve"> </w:t>
      </w:r>
      <w:r w:rsidR="00757E15" w:rsidRPr="00757E15">
        <w:rPr>
          <w:lang w:val="fr-FR"/>
        </w:rPr>
        <w:t>est à bien</w:t>
      </w:r>
      <w:r w:rsidR="00757E15">
        <w:rPr>
          <w:lang w:val="fr-FR"/>
        </w:rPr>
        <w:t xml:space="preserve"> des égards analogue à celle d</w:t>
      </w:r>
      <w:r w:rsidR="00412C1F">
        <w:rPr>
          <w:lang w:val="fr-FR"/>
        </w:rPr>
        <w:t>e l</w:t>
      </w:r>
      <w:r w:rsidR="00757E15">
        <w:rPr>
          <w:lang w:val="fr-FR"/>
        </w:rPr>
        <w:t xml:space="preserve">’Angleterre et du pays </w:t>
      </w:r>
      <w:r w:rsidR="005601A1">
        <w:rPr>
          <w:lang w:val="fr-FR"/>
        </w:rPr>
        <w:t>de Galles</w:t>
      </w:r>
      <w:r w:rsidR="000B562B" w:rsidRPr="00A176EA">
        <w:rPr>
          <w:lang w:val="fr-FR"/>
        </w:rPr>
        <w:t xml:space="preserve">. </w:t>
      </w:r>
      <w:r w:rsidR="00757E15" w:rsidRPr="00757E15">
        <w:rPr>
          <w:lang w:val="fr-FR"/>
        </w:rPr>
        <w:t xml:space="preserve">Le travail courant consistant à juger les affaires mineures </w:t>
      </w:r>
      <w:r w:rsidR="00FA6809">
        <w:rPr>
          <w:lang w:val="fr-FR"/>
        </w:rPr>
        <w:t>selon une</w:t>
      </w:r>
      <w:r w:rsidR="00757E15" w:rsidRPr="00757E15">
        <w:rPr>
          <w:lang w:val="fr-FR"/>
        </w:rPr>
        <w:t xml:space="preserve"> procédure simplifiée est effectué par des </w:t>
      </w:r>
      <w:r w:rsidR="00000CC2">
        <w:rPr>
          <w:snapToGrid w:val="0"/>
          <w:lang w:val="fr-FR"/>
        </w:rPr>
        <w:t>Tribunaux d’instance</w:t>
      </w:r>
      <w:r w:rsidR="00000CC2" w:rsidRPr="00C77A8D">
        <w:rPr>
          <w:lang w:val="fr-FR"/>
        </w:rPr>
        <w:t xml:space="preserve"> </w:t>
      </w:r>
      <w:r w:rsidR="00757E15" w:rsidRPr="00757E15">
        <w:rPr>
          <w:lang w:val="fr-FR"/>
        </w:rPr>
        <w:t xml:space="preserve">présidés par </w:t>
      </w:r>
      <w:r w:rsidR="00412C1F">
        <w:rPr>
          <w:lang w:val="fr-FR"/>
        </w:rPr>
        <w:t>un</w:t>
      </w:r>
      <w:r w:rsidR="00757E15" w:rsidRPr="00757E15">
        <w:rPr>
          <w:lang w:val="fr-FR"/>
        </w:rPr>
        <w:t xml:space="preserve"> </w:t>
      </w:r>
      <w:r w:rsidR="00220DDC">
        <w:rPr>
          <w:lang w:val="fr-FR"/>
        </w:rPr>
        <w:t>j</w:t>
      </w:r>
      <w:r w:rsidR="00412C1F">
        <w:rPr>
          <w:lang w:val="fr-FR"/>
        </w:rPr>
        <w:t>uge professionnel à plein temps, le</w:t>
      </w:r>
      <w:r w:rsidR="000B562B" w:rsidRPr="00A176EA">
        <w:rPr>
          <w:lang w:val="fr-FR"/>
        </w:rPr>
        <w:t xml:space="preserve"> </w:t>
      </w:r>
      <w:r w:rsidR="008B380B">
        <w:rPr>
          <w:lang w:val="fr-FR"/>
        </w:rPr>
        <w:t>Juge de district</w:t>
      </w:r>
      <w:r w:rsidR="000B562B" w:rsidRPr="00A176EA">
        <w:rPr>
          <w:lang w:val="fr-FR"/>
        </w:rPr>
        <w:t>.</w:t>
      </w:r>
    </w:p>
    <w:p w:rsidR="000B562B" w:rsidRPr="00A176EA" w:rsidRDefault="002549A9" w:rsidP="00A8379B">
      <w:pPr>
        <w:pStyle w:val="SingleTxtG"/>
        <w:rPr>
          <w:snapToGrid w:val="0"/>
          <w:lang w:val="fr-FR"/>
        </w:rPr>
      </w:pPr>
      <w:r w:rsidRPr="00A176EA">
        <w:rPr>
          <w:snapToGrid w:val="0"/>
          <w:lang w:val="fr-FR"/>
        </w:rPr>
        <w:t>679.</w:t>
      </w:r>
      <w:r w:rsidRPr="00A176EA">
        <w:rPr>
          <w:snapToGrid w:val="0"/>
          <w:lang w:val="fr-FR"/>
        </w:rPr>
        <w:tab/>
      </w:r>
      <w:r w:rsidR="00220DDC" w:rsidRPr="00220DDC">
        <w:rPr>
          <w:snapToGrid w:val="0"/>
          <w:lang w:val="fr-FR"/>
        </w:rPr>
        <w:t xml:space="preserve">La </w:t>
      </w:r>
      <w:r w:rsidR="00E857CF">
        <w:rPr>
          <w:lang w:val="fr-FR"/>
        </w:rPr>
        <w:t>Cour de la Couronne</w:t>
      </w:r>
      <w:r w:rsidR="00220DDC" w:rsidRPr="00220DDC">
        <w:rPr>
          <w:snapToGrid w:val="0"/>
          <w:lang w:val="fr-FR"/>
        </w:rPr>
        <w:t xml:space="preserve">, qui connaît des procédures pénales sur mise en accusation, comprend des magistrats de la </w:t>
      </w:r>
      <w:r w:rsidR="00220DDC">
        <w:rPr>
          <w:snapToGrid w:val="0"/>
          <w:lang w:val="fr-FR"/>
        </w:rPr>
        <w:t>Haute Cour</w:t>
      </w:r>
      <w:r w:rsidR="00220DDC" w:rsidRPr="00220DDC">
        <w:rPr>
          <w:snapToGrid w:val="0"/>
          <w:lang w:val="fr-FR"/>
        </w:rPr>
        <w:t xml:space="preserve"> et </w:t>
      </w:r>
      <w:r w:rsidR="007853D8">
        <w:rPr>
          <w:snapToGrid w:val="0"/>
          <w:lang w:val="fr-FR"/>
        </w:rPr>
        <w:t xml:space="preserve">du </w:t>
      </w:r>
      <w:r w:rsidR="00000CC2">
        <w:rPr>
          <w:snapToGrid w:val="0"/>
          <w:lang w:val="fr-FR"/>
        </w:rPr>
        <w:t>T</w:t>
      </w:r>
      <w:r w:rsidR="007853D8">
        <w:rPr>
          <w:snapToGrid w:val="0"/>
          <w:lang w:val="fr-FR"/>
        </w:rPr>
        <w:t>ribunal</w:t>
      </w:r>
      <w:r w:rsidR="00EF2170">
        <w:rPr>
          <w:snapToGrid w:val="0"/>
          <w:lang w:val="fr-FR"/>
        </w:rPr>
        <w:t xml:space="preserve"> de comté</w:t>
      </w:r>
      <w:r w:rsidR="00220DDC" w:rsidRPr="00220DDC">
        <w:rPr>
          <w:snapToGrid w:val="0"/>
          <w:lang w:val="fr-FR"/>
        </w:rPr>
        <w:t>. La procédure a généralement lieu devant un juge unique</w:t>
      </w:r>
      <w:r w:rsidR="00FA6809">
        <w:rPr>
          <w:snapToGrid w:val="0"/>
          <w:lang w:val="fr-FR"/>
        </w:rPr>
        <w:t>,</w:t>
      </w:r>
      <w:r w:rsidR="00220DDC" w:rsidRPr="00220DDC">
        <w:rPr>
          <w:snapToGrid w:val="0"/>
          <w:lang w:val="fr-FR"/>
        </w:rPr>
        <w:t xml:space="preserve"> mais toutes les affaires </w:t>
      </w:r>
      <w:r w:rsidR="00B16899">
        <w:rPr>
          <w:snapToGrid w:val="0"/>
          <w:lang w:val="fr-FR"/>
        </w:rPr>
        <w:t xml:space="preserve">dans lesquelles le prévenu plaide non coupable </w:t>
      </w:r>
      <w:r w:rsidR="008B380B">
        <w:rPr>
          <w:snapToGrid w:val="0"/>
          <w:lang w:val="fr-FR"/>
        </w:rPr>
        <w:t xml:space="preserve">sont jugées en présence d’un </w:t>
      </w:r>
      <w:r w:rsidR="008B380B" w:rsidRPr="00A176EA">
        <w:rPr>
          <w:snapToGrid w:val="0"/>
          <w:lang w:val="fr-FR"/>
        </w:rPr>
        <w:t>jury</w:t>
      </w:r>
      <w:r w:rsidR="008B380B">
        <w:rPr>
          <w:snapToGrid w:val="0"/>
          <w:lang w:val="fr-FR"/>
        </w:rPr>
        <w:t>, sauf si</w:t>
      </w:r>
      <w:r w:rsidR="00220DDC">
        <w:rPr>
          <w:snapToGrid w:val="0"/>
          <w:lang w:val="fr-FR"/>
        </w:rPr>
        <w:t xml:space="preserve"> le</w:t>
      </w:r>
      <w:r w:rsidR="000B562B" w:rsidRPr="00A176EA">
        <w:rPr>
          <w:snapToGrid w:val="0"/>
          <w:lang w:val="fr-FR"/>
        </w:rPr>
        <w:t xml:space="preserve"> </w:t>
      </w:r>
      <w:r w:rsidR="00FB00ED" w:rsidRPr="00220DDC">
        <w:rPr>
          <w:snapToGrid w:val="0"/>
          <w:lang w:val="fr-FR"/>
        </w:rPr>
        <w:t>Directeur du Parquet</w:t>
      </w:r>
      <w:r w:rsidR="000B562B" w:rsidRPr="00A176EA">
        <w:rPr>
          <w:snapToGrid w:val="0"/>
          <w:lang w:val="fr-FR"/>
        </w:rPr>
        <w:t xml:space="preserve"> a</w:t>
      </w:r>
      <w:r w:rsidR="00220DDC">
        <w:rPr>
          <w:snapToGrid w:val="0"/>
          <w:lang w:val="fr-FR"/>
        </w:rPr>
        <w:t xml:space="preserve"> déclaré </w:t>
      </w:r>
      <w:r w:rsidR="008B380B">
        <w:rPr>
          <w:snapToGrid w:val="0"/>
          <w:lang w:val="fr-FR"/>
        </w:rPr>
        <w:t>qu’elles pouvaient l’être</w:t>
      </w:r>
      <w:r w:rsidR="00220DDC">
        <w:rPr>
          <w:snapToGrid w:val="0"/>
          <w:lang w:val="fr-FR"/>
        </w:rPr>
        <w:t xml:space="preserve"> sans jury</w:t>
      </w:r>
      <w:r w:rsidR="008B380B">
        <w:rPr>
          <w:snapToGrid w:val="0"/>
          <w:lang w:val="fr-FR"/>
        </w:rPr>
        <w:t>)</w:t>
      </w:r>
      <w:r w:rsidR="000B562B" w:rsidRPr="00A176EA">
        <w:rPr>
          <w:snapToGrid w:val="0"/>
          <w:lang w:val="fr-FR"/>
        </w:rPr>
        <w:t>.</w:t>
      </w:r>
    </w:p>
    <w:p w:rsidR="000B562B" w:rsidRPr="00A176EA" w:rsidRDefault="002549A9" w:rsidP="00A8379B">
      <w:pPr>
        <w:pStyle w:val="SingleTxtG"/>
        <w:rPr>
          <w:snapToGrid w:val="0"/>
          <w:lang w:val="fr-FR"/>
        </w:rPr>
      </w:pPr>
      <w:r w:rsidRPr="00A176EA">
        <w:rPr>
          <w:snapToGrid w:val="0"/>
          <w:lang w:val="fr-FR"/>
        </w:rPr>
        <w:t>680.</w:t>
      </w:r>
      <w:r w:rsidRPr="00A176EA">
        <w:rPr>
          <w:snapToGrid w:val="0"/>
          <w:lang w:val="fr-FR"/>
        </w:rPr>
        <w:tab/>
      </w:r>
      <w:r w:rsidR="00220DDC" w:rsidRPr="00220DDC">
        <w:rPr>
          <w:lang w:val="fr-FR"/>
        </w:rPr>
        <w:t xml:space="preserve">Les affaires mettant en cause des délinquants âgés de moins de 18 ans sont traitées par </w:t>
      </w:r>
      <w:r w:rsidR="00220DDC">
        <w:rPr>
          <w:lang w:val="fr-FR"/>
        </w:rPr>
        <w:t>le Tribunal pour mineurs (</w:t>
      </w:r>
      <w:r w:rsidR="00220DDC" w:rsidRPr="00220DDC">
        <w:rPr>
          <w:lang w:val="fr-FR"/>
        </w:rPr>
        <w:t>Youth Court</w:t>
      </w:r>
      <w:r w:rsidR="00220DDC">
        <w:rPr>
          <w:lang w:val="fr-FR"/>
        </w:rPr>
        <w:t>),</w:t>
      </w:r>
      <w:r w:rsidR="00220DDC" w:rsidRPr="00220DDC">
        <w:rPr>
          <w:lang w:val="fr-FR"/>
        </w:rPr>
        <w:t xml:space="preserve"> qui comprend un </w:t>
      </w:r>
      <w:r w:rsidR="00E857CF" w:rsidRPr="00F875C2">
        <w:rPr>
          <w:lang w:val="fr-FR"/>
        </w:rPr>
        <w:t>J</w:t>
      </w:r>
      <w:r w:rsidR="00EF2170" w:rsidRPr="00F875C2">
        <w:rPr>
          <w:lang w:val="fr-FR"/>
        </w:rPr>
        <w:t xml:space="preserve">uge de district </w:t>
      </w:r>
      <w:r w:rsidR="00220DDC" w:rsidRPr="00F875C2">
        <w:rPr>
          <w:lang w:val="fr-FR"/>
        </w:rPr>
        <w:t>(</w:t>
      </w:r>
      <w:r w:rsidR="00000CC2">
        <w:rPr>
          <w:snapToGrid w:val="0"/>
          <w:lang w:val="fr-FR"/>
        </w:rPr>
        <w:t>Tribunal d’instance</w:t>
      </w:r>
      <w:r w:rsidR="00220DDC" w:rsidRPr="00220DDC">
        <w:rPr>
          <w:lang w:val="fr-FR"/>
        </w:rPr>
        <w:t xml:space="preserve">) et deux juges non professionnels (dont au moins une femme) spécialement formés pour s’occuper des mineurs. Comme en Angleterre et au pays de Galles, des </w:t>
      </w:r>
      <w:r w:rsidR="00220DDC" w:rsidRPr="008E46A5">
        <w:rPr>
          <w:lang w:val="fr-FR"/>
        </w:rPr>
        <w:t xml:space="preserve">restrictions </w:t>
      </w:r>
      <w:r w:rsidR="00220DDC" w:rsidRPr="00220DDC">
        <w:rPr>
          <w:lang w:val="fr-FR"/>
        </w:rPr>
        <w:t xml:space="preserve">s’appliquent aux affaires portées devant </w:t>
      </w:r>
      <w:r w:rsidR="00220DDC">
        <w:rPr>
          <w:lang w:val="fr-FR"/>
        </w:rPr>
        <w:t>le Tribunal pour mineurs</w:t>
      </w:r>
      <w:r w:rsidR="00220DDC" w:rsidRPr="00220DDC">
        <w:rPr>
          <w:lang w:val="fr-FR"/>
        </w:rPr>
        <w:t xml:space="preserve"> pour empêcher la publication du nom ou de la photo </w:t>
      </w:r>
      <w:r w:rsidR="00220DDC">
        <w:rPr>
          <w:lang w:val="fr-FR"/>
        </w:rPr>
        <w:t>de l’accusé</w:t>
      </w:r>
      <w:r w:rsidR="00220DDC" w:rsidRPr="00220DDC">
        <w:rPr>
          <w:lang w:val="fr-FR"/>
        </w:rPr>
        <w:t xml:space="preserve">. Les recours en appel des décisions des </w:t>
      </w:r>
      <w:r w:rsidR="00000CC2">
        <w:rPr>
          <w:snapToGrid w:val="0"/>
          <w:lang w:val="fr-FR"/>
        </w:rPr>
        <w:t>Tribunaux d’instance</w:t>
      </w:r>
      <w:r w:rsidR="00000CC2" w:rsidRPr="00C77A8D">
        <w:rPr>
          <w:lang w:val="fr-FR"/>
        </w:rPr>
        <w:t xml:space="preserve"> </w:t>
      </w:r>
      <w:r w:rsidR="00220DDC" w:rsidRPr="00220DDC">
        <w:rPr>
          <w:lang w:val="fr-FR"/>
        </w:rPr>
        <w:t xml:space="preserve">sont portés devant </w:t>
      </w:r>
      <w:r w:rsidR="007853D8">
        <w:rPr>
          <w:lang w:val="fr-FR"/>
        </w:rPr>
        <w:t xml:space="preserve">le </w:t>
      </w:r>
      <w:r w:rsidR="00000CC2">
        <w:rPr>
          <w:snapToGrid w:val="0"/>
          <w:lang w:val="fr-FR"/>
        </w:rPr>
        <w:t xml:space="preserve">Tribunal </w:t>
      </w:r>
      <w:r w:rsidR="008E0BD6">
        <w:rPr>
          <w:lang w:val="fr-FR"/>
        </w:rPr>
        <w:t xml:space="preserve">de </w:t>
      </w:r>
      <w:r w:rsidR="00220DDC" w:rsidRPr="00220DDC">
        <w:rPr>
          <w:lang w:val="fr-FR"/>
        </w:rPr>
        <w:t>comté</w:t>
      </w:r>
      <w:r w:rsidR="000B562B" w:rsidRPr="00A176EA">
        <w:rPr>
          <w:lang w:val="fr-FR"/>
        </w:rPr>
        <w:t>.</w:t>
      </w:r>
    </w:p>
    <w:p w:rsidR="000B562B" w:rsidRPr="00A176EA" w:rsidRDefault="002549A9" w:rsidP="00A8379B">
      <w:pPr>
        <w:pStyle w:val="SingleTxtG"/>
        <w:rPr>
          <w:lang w:val="fr-FR"/>
        </w:rPr>
      </w:pPr>
      <w:r w:rsidRPr="00A176EA">
        <w:rPr>
          <w:lang w:val="fr-FR"/>
        </w:rPr>
        <w:t>681.</w:t>
      </w:r>
      <w:r w:rsidRPr="00A176EA">
        <w:rPr>
          <w:lang w:val="fr-FR"/>
        </w:rPr>
        <w:tab/>
      </w:r>
      <w:r w:rsidR="001B6C98">
        <w:rPr>
          <w:lang w:val="fr-FR"/>
        </w:rPr>
        <w:t>Dur</w:t>
      </w:r>
      <w:r w:rsidR="00220DDC" w:rsidRPr="00220DDC">
        <w:rPr>
          <w:snapToGrid w:val="0"/>
          <w:lang w:val="fr-FR"/>
        </w:rPr>
        <w:t>ant la période de violence sectaire et d</w:t>
      </w:r>
      <w:r w:rsidR="00220DDC">
        <w:rPr>
          <w:snapToGrid w:val="0"/>
          <w:lang w:val="fr-FR"/>
        </w:rPr>
        <w:t>e terrorisme qui a débuté dans les années 70</w:t>
      </w:r>
      <w:r w:rsidR="000B562B" w:rsidRPr="00A176EA">
        <w:rPr>
          <w:snapToGrid w:val="0"/>
          <w:lang w:val="fr-FR"/>
        </w:rPr>
        <w:t xml:space="preserve">, </w:t>
      </w:r>
      <w:r w:rsidR="001B6C98" w:rsidRPr="001B6C98">
        <w:rPr>
          <w:snapToGrid w:val="0"/>
          <w:lang w:val="fr-FR"/>
        </w:rPr>
        <w:t xml:space="preserve">l’examen des affaires relevant de la législation d’exception a dû être confié à un juge siégeant sans jury </w:t>
      </w:r>
      <w:r w:rsidR="001B6C98">
        <w:rPr>
          <w:snapToGrid w:val="0"/>
          <w:lang w:val="fr-FR"/>
        </w:rPr>
        <w:t>(le</w:t>
      </w:r>
      <w:r w:rsidR="000B562B" w:rsidRPr="00A176EA">
        <w:rPr>
          <w:snapToGrid w:val="0"/>
          <w:lang w:val="fr-FR"/>
        </w:rPr>
        <w:t xml:space="preserve"> </w:t>
      </w:r>
      <w:r w:rsidR="00CD0110">
        <w:rPr>
          <w:snapToGrid w:val="0"/>
          <w:lang w:val="fr-FR"/>
        </w:rPr>
        <w:t>«</w:t>
      </w:r>
      <w:r w:rsidR="001B6C98" w:rsidRPr="00A176EA">
        <w:rPr>
          <w:snapToGrid w:val="0"/>
          <w:lang w:val="fr-FR"/>
        </w:rPr>
        <w:t>syst</w:t>
      </w:r>
      <w:r w:rsidR="001B6C98">
        <w:rPr>
          <w:snapToGrid w:val="0"/>
          <w:lang w:val="fr-FR"/>
        </w:rPr>
        <w:t>è</w:t>
      </w:r>
      <w:r w:rsidR="001B6C98" w:rsidRPr="00A176EA">
        <w:rPr>
          <w:snapToGrid w:val="0"/>
          <w:lang w:val="fr-FR"/>
        </w:rPr>
        <w:t>m</w:t>
      </w:r>
      <w:r w:rsidR="001B6C98">
        <w:rPr>
          <w:snapToGrid w:val="0"/>
          <w:lang w:val="fr-FR"/>
        </w:rPr>
        <w:t>e</w:t>
      </w:r>
      <w:r w:rsidR="001B6C98" w:rsidRPr="00A176EA">
        <w:rPr>
          <w:snapToGrid w:val="0"/>
          <w:lang w:val="fr-FR"/>
        </w:rPr>
        <w:t xml:space="preserve"> </w:t>
      </w:r>
      <w:r w:rsidR="000B562B" w:rsidRPr="00A176EA">
        <w:rPr>
          <w:snapToGrid w:val="0"/>
          <w:lang w:val="fr-FR"/>
        </w:rPr>
        <w:t>Diplock</w:t>
      </w:r>
      <w:r w:rsidR="00CD0110">
        <w:rPr>
          <w:snapToGrid w:val="0"/>
          <w:lang w:val="fr-FR"/>
        </w:rPr>
        <w:t>»</w:t>
      </w:r>
      <w:r w:rsidR="000B562B" w:rsidRPr="00A176EA">
        <w:rPr>
          <w:snapToGrid w:val="0"/>
          <w:lang w:val="fr-FR"/>
        </w:rPr>
        <w:t>)</w:t>
      </w:r>
      <w:r w:rsidR="00EF2170">
        <w:rPr>
          <w:snapToGrid w:val="0"/>
          <w:lang w:val="fr-FR"/>
        </w:rPr>
        <w:t xml:space="preserve"> car</w:t>
      </w:r>
      <w:r w:rsidR="001B6C98">
        <w:rPr>
          <w:snapToGrid w:val="0"/>
          <w:lang w:val="fr-FR"/>
        </w:rPr>
        <w:t xml:space="preserve"> les jurés faisa</w:t>
      </w:r>
      <w:r w:rsidR="00EF2170">
        <w:rPr>
          <w:snapToGrid w:val="0"/>
          <w:lang w:val="fr-FR"/>
        </w:rPr>
        <w:t>ie</w:t>
      </w:r>
      <w:r w:rsidR="001B6C98">
        <w:rPr>
          <w:snapToGrid w:val="0"/>
          <w:lang w:val="fr-FR"/>
        </w:rPr>
        <w:t>nt l’objet d’actes d’intimidation</w:t>
      </w:r>
      <w:r w:rsidR="000B562B" w:rsidRPr="00A176EA">
        <w:rPr>
          <w:snapToGrid w:val="0"/>
          <w:lang w:val="fr-FR"/>
        </w:rPr>
        <w:t xml:space="preserve">. </w:t>
      </w:r>
      <w:r w:rsidR="001B6C98">
        <w:rPr>
          <w:lang w:val="fr-FR"/>
        </w:rPr>
        <w:t>Le système</w:t>
      </w:r>
      <w:r w:rsidR="000B562B" w:rsidRPr="00A176EA">
        <w:rPr>
          <w:lang w:val="fr-FR"/>
        </w:rPr>
        <w:t xml:space="preserve"> Diplock </w:t>
      </w:r>
      <w:r w:rsidR="001B6C98" w:rsidRPr="001B6C98">
        <w:rPr>
          <w:lang w:val="fr-FR"/>
        </w:rPr>
        <w:t xml:space="preserve">a été abrogé le 31 juillet 2007 et remplacé par un nouveau système de procès sans jury en vertu de la loi 2007 sur la justice et la sécurité (Irlande du Nord). Le nouveau système met l’accent sur les circonstances dans lesquelles l’infraction a été commise, et non sur l’infraction proprement dite, et prévoit que soit évalué le risque que l’administration de la justice puisse être entravée. Toutes les affaires sont désormais examinées dans le cadre de procès avec jury à moins que le </w:t>
      </w:r>
      <w:r w:rsidR="00874F67" w:rsidRPr="00874F67">
        <w:rPr>
          <w:snapToGrid w:val="0"/>
          <w:lang w:val="fr-FR"/>
        </w:rPr>
        <w:t>Directeur du Parquet</w:t>
      </w:r>
      <w:r w:rsidR="00874F67" w:rsidRPr="00A176EA">
        <w:rPr>
          <w:lang w:val="fr-FR"/>
        </w:rPr>
        <w:t xml:space="preserve"> </w:t>
      </w:r>
      <w:r w:rsidR="001B6C98" w:rsidRPr="001B6C98">
        <w:rPr>
          <w:lang w:val="fr-FR"/>
        </w:rPr>
        <w:t>ne décide qu’une affaire peut être jugée sans</w:t>
      </w:r>
      <w:r w:rsidR="00874F67">
        <w:rPr>
          <w:lang w:val="fr-FR"/>
        </w:rPr>
        <w:t xml:space="preserve"> jury</w:t>
      </w:r>
      <w:r w:rsidR="000B562B" w:rsidRPr="00A176EA">
        <w:rPr>
          <w:lang w:val="fr-FR"/>
        </w:rPr>
        <w:t>.</w:t>
      </w:r>
    </w:p>
    <w:p w:rsidR="000B562B" w:rsidRPr="00A176EA" w:rsidRDefault="002549A9" w:rsidP="00A8379B">
      <w:pPr>
        <w:pStyle w:val="SingleTxtG"/>
        <w:rPr>
          <w:snapToGrid w:val="0"/>
          <w:lang w:val="fr-FR"/>
        </w:rPr>
      </w:pPr>
      <w:r w:rsidRPr="00A176EA">
        <w:rPr>
          <w:snapToGrid w:val="0"/>
          <w:lang w:val="fr-FR"/>
        </w:rPr>
        <w:t>682.</w:t>
      </w:r>
      <w:r w:rsidRPr="00A176EA">
        <w:rPr>
          <w:snapToGrid w:val="0"/>
          <w:lang w:val="fr-FR"/>
        </w:rPr>
        <w:tab/>
      </w:r>
      <w:r w:rsidR="00874F67">
        <w:rPr>
          <w:snapToGrid w:val="0"/>
          <w:lang w:val="fr-FR"/>
        </w:rPr>
        <w:t xml:space="preserve">Les recours en appel contre les jugements </w:t>
      </w:r>
      <w:r w:rsidR="00603914">
        <w:rPr>
          <w:snapToGrid w:val="0"/>
          <w:lang w:val="fr-FR"/>
        </w:rPr>
        <w:t>de la</w:t>
      </w:r>
      <w:r w:rsidR="00874F67">
        <w:rPr>
          <w:snapToGrid w:val="0"/>
          <w:lang w:val="fr-FR"/>
        </w:rPr>
        <w:t xml:space="preserve"> </w:t>
      </w:r>
      <w:r w:rsidR="00E857CF">
        <w:rPr>
          <w:lang w:val="fr-FR"/>
        </w:rPr>
        <w:t xml:space="preserve">Cour de la Couronne </w:t>
      </w:r>
      <w:r w:rsidR="00874F67">
        <w:rPr>
          <w:snapToGrid w:val="0"/>
          <w:lang w:val="fr-FR"/>
        </w:rPr>
        <w:t>sont examinés par la Cour d’appel d’Irlande du Nord. Les modalités d’un recours ultérieur devant la Cour suprême sont les mêmes qu’en Angleterre et au p</w:t>
      </w:r>
      <w:r w:rsidR="005601A1">
        <w:rPr>
          <w:snapToGrid w:val="0"/>
          <w:lang w:val="fr-FR"/>
        </w:rPr>
        <w:t>ays de Galles</w:t>
      </w:r>
      <w:r w:rsidR="000B562B" w:rsidRPr="00A176EA">
        <w:rPr>
          <w:snapToGrid w:val="0"/>
          <w:lang w:val="fr-FR"/>
        </w:rPr>
        <w:t>.</w:t>
      </w:r>
    </w:p>
    <w:p w:rsidR="000B562B" w:rsidRPr="00A176EA" w:rsidRDefault="00874F67" w:rsidP="00A8379B">
      <w:pPr>
        <w:pStyle w:val="H23G"/>
        <w:rPr>
          <w:lang w:val="fr-FR"/>
        </w:rPr>
      </w:pPr>
      <w:r>
        <w:rPr>
          <w:lang w:val="fr-FR"/>
        </w:rPr>
        <w:t>Procédures pénales</w:t>
      </w:r>
    </w:p>
    <w:p w:rsidR="000B562B" w:rsidRPr="00A176EA" w:rsidRDefault="00874F67" w:rsidP="00A8379B">
      <w:pPr>
        <w:pStyle w:val="H23G"/>
        <w:rPr>
          <w:snapToGrid w:val="0"/>
          <w:lang w:val="fr-FR"/>
        </w:rPr>
      </w:pPr>
      <w:r>
        <w:rPr>
          <w:lang w:val="fr-FR"/>
        </w:rPr>
        <w:t>Le procès</w:t>
      </w:r>
    </w:p>
    <w:p w:rsidR="000B562B" w:rsidRPr="00A176EA" w:rsidRDefault="002549A9" w:rsidP="00A8379B">
      <w:pPr>
        <w:pStyle w:val="SingleTxtG"/>
        <w:rPr>
          <w:snapToGrid w:val="0"/>
          <w:lang w:val="fr-FR"/>
        </w:rPr>
      </w:pPr>
      <w:r w:rsidRPr="00A176EA">
        <w:rPr>
          <w:snapToGrid w:val="0"/>
          <w:lang w:val="fr-FR"/>
        </w:rPr>
        <w:t>683.</w:t>
      </w:r>
      <w:r w:rsidRPr="00A176EA">
        <w:rPr>
          <w:snapToGrid w:val="0"/>
          <w:lang w:val="fr-FR"/>
        </w:rPr>
        <w:tab/>
      </w:r>
      <w:r w:rsidR="008F5658">
        <w:rPr>
          <w:snapToGrid w:val="0"/>
          <w:lang w:val="fr-FR"/>
        </w:rPr>
        <w:t xml:space="preserve">Les procès pénaux au </w:t>
      </w:r>
      <w:r w:rsidR="008F5658" w:rsidRPr="008F5658">
        <w:rPr>
          <w:lang w:val="fr-FR"/>
        </w:rPr>
        <w:t xml:space="preserve">Royaume-Uni prennent la forme d’un débat contradictoire entre le ministère public et la défense. Le prévenu étant, de par la loi, présumé innocent tant que sa culpabilité n’a pas été établie, le ministère public ne bénéficie d’aucun avantage apparent ou réel sur la défense. Le prévenu (ou accusé, en Écosse) a le droit d’engager un conseil juridique pour sa défense et peut bénéficier d’une aide </w:t>
      </w:r>
      <w:r w:rsidR="008F5658">
        <w:rPr>
          <w:lang w:val="fr-FR"/>
        </w:rPr>
        <w:t>juridictionnelle</w:t>
      </w:r>
      <w:r w:rsidR="008F5658" w:rsidRPr="008F5658">
        <w:rPr>
          <w:lang w:val="fr-FR"/>
        </w:rPr>
        <w:t xml:space="preserve"> prise en charge par l’État. Toute personne placée en détention provisoire peut recevoir la visite de son conseil pour préparer convenablement sa défense</w:t>
      </w:r>
      <w:r w:rsidR="000B562B" w:rsidRPr="00A176EA">
        <w:rPr>
          <w:lang w:val="fr-FR"/>
        </w:rPr>
        <w:t>.</w:t>
      </w:r>
    </w:p>
    <w:p w:rsidR="000B562B" w:rsidRPr="00A176EA" w:rsidRDefault="002549A9" w:rsidP="00A8379B">
      <w:pPr>
        <w:pStyle w:val="SingleTxtG"/>
        <w:rPr>
          <w:snapToGrid w:val="0"/>
          <w:lang w:val="fr-FR"/>
        </w:rPr>
      </w:pPr>
      <w:r w:rsidRPr="00A176EA">
        <w:rPr>
          <w:snapToGrid w:val="0"/>
          <w:lang w:val="fr-FR"/>
        </w:rPr>
        <w:t>684.</w:t>
      </w:r>
      <w:r w:rsidRPr="00A176EA">
        <w:rPr>
          <w:snapToGrid w:val="0"/>
          <w:lang w:val="fr-FR"/>
        </w:rPr>
        <w:tab/>
      </w:r>
      <w:r w:rsidR="0005734B">
        <w:rPr>
          <w:snapToGrid w:val="0"/>
          <w:lang w:val="fr-FR"/>
        </w:rPr>
        <w:t>En Angleterre et au p</w:t>
      </w:r>
      <w:r w:rsidR="005601A1">
        <w:rPr>
          <w:snapToGrid w:val="0"/>
          <w:lang w:val="fr-FR"/>
        </w:rPr>
        <w:t>ays de Galles</w:t>
      </w:r>
      <w:r w:rsidR="0005734B">
        <w:rPr>
          <w:snapToGrid w:val="0"/>
          <w:lang w:val="fr-FR"/>
        </w:rPr>
        <w:t xml:space="preserve">, le ministère public est tenu de communiquer à la défense, avant le procès, les éléments de preuve sur lesquels il compte fonder l’accusation, ainsi que tout élément de preuve à décharge. </w:t>
      </w:r>
      <w:r w:rsidR="009960AF">
        <w:rPr>
          <w:snapToGrid w:val="0"/>
          <w:lang w:val="fr-FR"/>
        </w:rPr>
        <w:t xml:space="preserve">Pour les affaires jugées par </w:t>
      </w:r>
      <w:r w:rsidR="00603914">
        <w:rPr>
          <w:snapToGrid w:val="0"/>
          <w:lang w:val="fr-FR"/>
        </w:rPr>
        <w:t>la</w:t>
      </w:r>
      <w:r w:rsidR="009960AF">
        <w:rPr>
          <w:snapToGrid w:val="0"/>
          <w:lang w:val="fr-FR"/>
        </w:rPr>
        <w:t xml:space="preserve"> </w:t>
      </w:r>
      <w:r w:rsidR="00245A8E">
        <w:rPr>
          <w:lang w:val="fr-FR"/>
        </w:rPr>
        <w:t>Cour de la Couronne</w:t>
      </w:r>
      <w:r w:rsidR="009960AF">
        <w:rPr>
          <w:snapToGrid w:val="0"/>
          <w:lang w:val="fr-FR"/>
        </w:rPr>
        <w:t xml:space="preserve">, la défense doit déposer un mémoire indiquant la nature de la défense du prévenu. </w:t>
      </w:r>
      <w:r w:rsidR="00146D48">
        <w:rPr>
          <w:snapToGrid w:val="0"/>
          <w:lang w:val="fr-FR"/>
        </w:rPr>
        <w:t>Ce mémoire</w:t>
      </w:r>
      <w:r w:rsidR="009960AF">
        <w:rPr>
          <w:snapToGrid w:val="0"/>
          <w:lang w:val="fr-FR"/>
        </w:rPr>
        <w:t xml:space="preserve"> n’est pas obligatoire </w:t>
      </w:r>
      <w:r w:rsidR="00146D48">
        <w:rPr>
          <w:snapToGrid w:val="0"/>
          <w:lang w:val="fr-FR"/>
        </w:rPr>
        <w:t>devant</w:t>
      </w:r>
      <w:r w:rsidR="009960AF">
        <w:rPr>
          <w:snapToGrid w:val="0"/>
          <w:lang w:val="fr-FR"/>
        </w:rPr>
        <w:t xml:space="preserve"> les </w:t>
      </w:r>
      <w:r w:rsidR="00000CC2">
        <w:rPr>
          <w:snapToGrid w:val="0"/>
          <w:lang w:val="fr-FR"/>
        </w:rPr>
        <w:t>Tribunaux d’instance</w:t>
      </w:r>
      <w:r w:rsidR="009960AF">
        <w:rPr>
          <w:snapToGrid w:val="0"/>
          <w:lang w:val="fr-FR"/>
        </w:rPr>
        <w:t xml:space="preserve">. Le ministère public doit en permanence, en particulier après avoir reçu </w:t>
      </w:r>
      <w:r w:rsidR="00146D48">
        <w:rPr>
          <w:snapToGrid w:val="0"/>
          <w:lang w:val="fr-FR"/>
        </w:rPr>
        <w:t>un mémoire de défense, vérifier qu’il n’a pas en sa possession des éléments non encore communiqués. En outre, le prévenu est tenu de fournir avant le procès les renseignements concernant les témoins qu’il a l’intention de citer</w:t>
      </w:r>
      <w:r w:rsidR="000B562B" w:rsidRPr="00A176EA">
        <w:rPr>
          <w:lang w:val="fr-FR"/>
        </w:rPr>
        <w:t>.</w:t>
      </w:r>
    </w:p>
    <w:p w:rsidR="000B562B" w:rsidRPr="00A176EA" w:rsidRDefault="002549A9" w:rsidP="00A8379B">
      <w:pPr>
        <w:pStyle w:val="SingleTxtG"/>
        <w:rPr>
          <w:snapToGrid w:val="0"/>
          <w:lang w:val="fr-FR"/>
        </w:rPr>
      </w:pPr>
      <w:r w:rsidRPr="00A176EA">
        <w:rPr>
          <w:snapToGrid w:val="0"/>
          <w:lang w:val="fr-FR"/>
        </w:rPr>
        <w:t>685.</w:t>
      </w:r>
      <w:r w:rsidRPr="00A176EA">
        <w:rPr>
          <w:snapToGrid w:val="0"/>
          <w:lang w:val="fr-FR"/>
        </w:rPr>
        <w:tab/>
      </w:r>
      <w:r w:rsidR="00146D48">
        <w:rPr>
          <w:snapToGrid w:val="0"/>
          <w:lang w:val="fr-FR"/>
        </w:rPr>
        <w:t>En Angleterre, au p</w:t>
      </w:r>
      <w:r w:rsidR="005601A1">
        <w:rPr>
          <w:snapToGrid w:val="0"/>
          <w:lang w:val="fr-FR"/>
        </w:rPr>
        <w:t>ays de Galles</w:t>
      </w:r>
      <w:r w:rsidR="000B562B" w:rsidRPr="00A176EA">
        <w:rPr>
          <w:snapToGrid w:val="0"/>
          <w:lang w:val="fr-FR"/>
        </w:rPr>
        <w:t xml:space="preserve"> </w:t>
      </w:r>
      <w:r w:rsidR="00146D48">
        <w:rPr>
          <w:snapToGrid w:val="0"/>
          <w:lang w:val="fr-FR"/>
        </w:rPr>
        <w:t>et en</w:t>
      </w:r>
      <w:r w:rsidR="000B562B" w:rsidRPr="00A176EA">
        <w:rPr>
          <w:snapToGrid w:val="0"/>
          <w:lang w:val="fr-FR"/>
        </w:rPr>
        <w:t xml:space="preserve"> </w:t>
      </w:r>
      <w:r w:rsidR="008F3DA4" w:rsidRPr="00146D48">
        <w:rPr>
          <w:lang w:val="fr-FR"/>
        </w:rPr>
        <w:t>Irlande du Nord</w:t>
      </w:r>
      <w:r w:rsidR="00EF2170">
        <w:rPr>
          <w:lang w:val="fr-FR"/>
        </w:rPr>
        <w:t>,</w:t>
      </w:r>
      <w:r w:rsidR="000B562B" w:rsidRPr="00A176EA">
        <w:rPr>
          <w:snapToGrid w:val="0"/>
          <w:lang w:val="fr-FR"/>
        </w:rPr>
        <w:t xml:space="preserve"> </w:t>
      </w:r>
      <w:r w:rsidR="00146D48" w:rsidRPr="00146D48">
        <w:rPr>
          <w:snapToGrid w:val="0"/>
          <w:lang w:val="fr-FR"/>
        </w:rPr>
        <w:t xml:space="preserve">le ministère public est tenu pendant la préparation du procès, excepté </w:t>
      </w:r>
      <w:r w:rsidR="008E46A5">
        <w:rPr>
          <w:snapToGrid w:val="0"/>
          <w:lang w:val="fr-FR"/>
        </w:rPr>
        <w:t>pour les</w:t>
      </w:r>
      <w:r w:rsidR="00146D48" w:rsidRPr="00146D48">
        <w:rPr>
          <w:snapToGrid w:val="0"/>
          <w:lang w:val="fr-FR"/>
        </w:rPr>
        <w:t xml:space="preserve"> infractions mineures, d’informer la défense, soit automatiquement, soit sur demande, de tous les éléments de preuve à la charge du prévenu sur lesquels il a l’intention de se fonder. Par ailleurs, selon les règles concernant la divulgation d’informations, le ministère public sera tenu de divulguer tous les éléments qui n’ont pas encore été vus par le prévenu et qui sont susceptibles d’infirmer la thèse de l’accusation ou de soutenir celle de la défense. Toutefois, en vertu de la législation en vigueur, il est toujours possible de ne pas divulguer certaines pièces non versées au dossier si le tribunal décide qu’elles doivent demeurer confidentielles dans l’intérêt public (et si leur divulgation n’est pas nécessaire pour garantir un procès équitable</w:t>
      </w:r>
      <w:r w:rsidR="000B562B" w:rsidRPr="00A176EA">
        <w:rPr>
          <w:snapToGrid w:val="0"/>
          <w:lang w:val="fr-FR"/>
        </w:rPr>
        <w:t>).</w:t>
      </w:r>
    </w:p>
    <w:p w:rsidR="000B562B" w:rsidRPr="00A176EA" w:rsidRDefault="002549A9" w:rsidP="002C404A">
      <w:pPr>
        <w:pStyle w:val="SingleTxtG"/>
        <w:rPr>
          <w:snapToGrid w:val="0"/>
          <w:lang w:val="fr-FR"/>
        </w:rPr>
      </w:pPr>
      <w:r w:rsidRPr="00A176EA">
        <w:rPr>
          <w:snapToGrid w:val="0"/>
          <w:lang w:val="fr-FR"/>
        </w:rPr>
        <w:t>686.</w:t>
      </w:r>
      <w:r w:rsidRPr="00A176EA">
        <w:rPr>
          <w:snapToGrid w:val="0"/>
          <w:lang w:val="fr-FR"/>
        </w:rPr>
        <w:tab/>
      </w:r>
      <w:r w:rsidR="00146D48">
        <w:rPr>
          <w:snapToGrid w:val="0"/>
          <w:lang w:val="fr-FR"/>
        </w:rPr>
        <w:t xml:space="preserve">Depuis l’affaire </w:t>
      </w:r>
      <w:r w:rsidR="00146D48" w:rsidRPr="00DC5441">
        <w:rPr>
          <w:i/>
          <w:iCs/>
          <w:snapToGrid w:val="0"/>
          <w:lang w:val="fr-FR"/>
        </w:rPr>
        <w:t>Sinclair</w:t>
      </w:r>
      <w:r w:rsidR="00146D48">
        <w:rPr>
          <w:snapToGrid w:val="0"/>
          <w:lang w:val="fr-FR"/>
        </w:rPr>
        <w:t xml:space="preserve"> c.</w:t>
      </w:r>
      <w:r w:rsidR="002C404A">
        <w:rPr>
          <w:snapToGrid w:val="0"/>
          <w:lang w:val="fr-FR"/>
        </w:rPr>
        <w:t xml:space="preserve"> </w:t>
      </w:r>
      <w:r w:rsidR="002C404A" w:rsidRPr="00DC5441">
        <w:rPr>
          <w:i/>
          <w:iCs/>
          <w:snapToGrid w:val="0"/>
          <w:lang w:val="fr-FR"/>
        </w:rPr>
        <w:t>HMA</w:t>
      </w:r>
      <w:r w:rsidR="002C404A">
        <w:rPr>
          <w:snapToGrid w:val="0"/>
          <w:lang w:val="fr-FR"/>
        </w:rPr>
        <w:t>, en 2005, la Couronne est tenu de communiquer à la défense toutes les informations à décharge ou à charge</w:t>
      </w:r>
      <w:r w:rsidR="000B562B" w:rsidRPr="00A176EA">
        <w:rPr>
          <w:lang w:val="fr-FR"/>
        </w:rPr>
        <w:t>.</w:t>
      </w:r>
    </w:p>
    <w:p w:rsidR="000B562B" w:rsidRPr="00A176EA" w:rsidRDefault="002549A9" w:rsidP="00A8379B">
      <w:pPr>
        <w:pStyle w:val="SingleTxtG"/>
        <w:rPr>
          <w:snapToGrid w:val="0"/>
          <w:lang w:val="fr-FR"/>
        </w:rPr>
      </w:pPr>
      <w:r w:rsidRPr="00A176EA">
        <w:rPr>
          <w:snapToGrid w:val="0"/>
          <w:lang w:val="fr-FR"/>
        </w:rPr>
        <w:t>687.</w:t>
      </w:r>
      <w:r w:rsidRPr="00A176EA">
        <w:rPr>
          <w:snapToGrid w:val="0"/>
          <w:lang w:val="fr-FR"/>
        </w:rPr>
        <w:tab/>
      </w:r>
      <w:r w:rsidR="002C404A" w:rsidRPr="002C404A">
        <w:rPr>
          <w:lang w:val="fr-FR"/>
        </w:rPr>
        <w:t>La défense ou le ministère public peuvent faire valoir que l’état mental du prévenu ne lui permet pas de comparaître devant le tribunal. Si le juge décide qu’il en est bien ainsi, le prévenu est admis dans un hôpital désigné</w:t>
      </w:r>
      <w:r w:rsidR="000B562B" w:rsidRPr="00A176EA">
        <w:rPr>
          <w:lang w:val="fr-FR"/>
        </w:rPr>
        <w:t>.</w:t>
      </w:r>
    </w:p>
    <w:p w:rsidR="000B562B" w:rsidRPr="00A176EA" w:rsidRDefault="002C404A" w:rsidP="00A8379B">
      <w:pPr>
        <w:pStyle w:val="H23G"/>
        <w:rPr>
          <w:lang w:val="fr-FR"/>
        </w:rPr>
      </w:pPr>
      <w:r>
        <w:rPr>
          <w:lang w:val="fr-FR"/>
        </w:rPr>
        <w:t>Le j</w:t>
      </w:r>
      <w:r w:rsidR="000B562B" w:rsidRPr="00A176EA">
        <w:rPr>
          <w:lang w:val="fr-FR"/>
        </w:rPr>
        <w:t>ury</w:t>
      </w:r>
    </w:p>
    <w:p w:rsidR="000B562B" w:rsidRPr="00A176EA" w:rsidRDefault="002549A9" w:rsidP="00A8379B">
      <w:pPr>
        <w:pStyle w:val="SingleTxtG"/>
        <w:rPr>
          <w:snapToGrid w:val="0"/>
          <w:lang w:val="fr-FR"/>
        </w:rPr>
      </w:pPr>
      <w:r w:rsidRPr="00A176EA">
        <w:rPr>
          <w:snapToGrid w:val="0"/>
          <w:lang w:val="fr-FR"/>
        </w:rPr>
        <w:t>688.</w:t>
      </w:r>
      <w:r w:rsidRPr="00A176EA">
        <w:rPr>
          <w:snapToGrid w:val="0"/>
          <w:lang w:val="fr-FR"/>
        </w:rPr>
        <w:tab/>
      </w:r>
      <w:r w:rsidR="004C6422" w:rsidRPr="004C6422">
        <w:rPr>
          <w:snapToGrid w:val="0"/>
          <w:lang w:val="fr-FR"/>
        </w:rPr>
        <w:t>Dans les procès devant jury, c’est le juge qui détermine les questions de droit en cause, résume les éléments de preuve à l’intention du jury, attire son attention sur les dispositions applicables et acquitte le prévenu ou le condamne à une peine. Seul le jury décide si l’intéressé est coupable ou innocent. En Angleterre, au pays de Galles et en Irlande du Nord, si le jury ne peut parvenir à une décision unanime, le juge peut lui conseiller de rendre un verdict à la majorité, à condition toutefois que, parmi les 12 membres constituant normalement le jury, il n’y ait pas plus de deux opinions dissidentes. En Écosse, où le jury est composé de 15 membres, le verdict peut être rendu à la majorité simple, mais en règle générale nul ne peut être condamné sur la base de preuves qui n’ont pas été confirmées. Si le jury déclare le prévenu non coupable (ou, en Écosse, déclare que la culpabilité n’a pas été prouvée, ce qui correspond à un verdict d’acquittement), le ministère public ne peut faire appel de la décision et le prévenu ne peut être jugé à nouveau pour la même infraction. En revanche, si le jury rend un verdict de culpabilité, le condamné peut se pourvoir en appel devant la juridiction compétente</w:t>
      </w:r>
      <w:r w:rsidR="000B562B" w:rsidRPr="00A176EA">
        <w:rPr>
          <w:snapToGrid w:val="0"/>
          <w:lang w:val="fr-FR"/>
        </w:rPr>
        <w:t>.</w:t>
      </w:r>
    </w:p>
    <w:p w:rsidR="000B562B" w:rsidRPr="00A176EA" w:rsidRDefault="002549A9" w:rsidP="00A8379B">
      <w:pPr>
        <w:pStyle w:val="SingleTxtG"/>
        <w:rPr>
          <w:snapToGrid w:val="0"/>
          <w:lang w:val="fr-FR"/>
        </w:rPr>
      </w:pPr>
      <w:r w:rsidRPr="00A176EA">
        <w:rPr>
          <w:snapToGrid w:val="0"/>
          <w:lang w:val="fr-FR"/>
        </w:rPr>
        <w:t>689.</w:t>
      </w:r>
      <w:r w:rsidRPr="00A176EA">
        <w:rPr>
          <w:snapToGrid w:val="0"/>
          <w:lang w:val="fr-FR"/>
        </w:rPr>
        <w:tab/>
      </w:r>
      <w:r w:rsidR="004C6422" w:rsidRPr="004C6422">
        <w:rPr>
          <w:snapToGrid w:val="0"/>
          <w:lang w:val="fr-FR"/>
        </w:rPr>
        <w:t>Le jury est entièrement indépendant du pouvoir judiciaire. Toute tentative d’ingérence dans l’activité d’un jury une fois que les jurés ont prêté serment est punissable aux termes de la loi de 1981</w:t>
      </w:r>
      <w:r w:rsidR="004C6422">
        <w:rPr>
          <w:snapToGrid w:val="0"/>
          <w:lang w:val="fr-FR"/>
        </w:rPr>
        <w:t xml:space="preserve"> sur</w:t>
      </w:r>
      <w:r w:rsidR="004C6422" w:rsidRPr="004C6422">
        <w:rPr>
          <w:snapToGrid w:val="0"/>
          <w:lang w:val="fr-FR"/>
        </w:rPr>
        <w:t xml:space="preserve"> l’outrage à l’autorité de la justice</w:t>
      </w:r>
      <w:r w:rsidR="000B562B" w:rsidRPr="00A176EA">
        <w:rPr>
          <w:snapToGrid w:val="0"/>
          <w:lang w:val="fr-FR"/>
        </w:rPr>
        <w:t>.</w:t>
      </w:r>
    </w:p>
    <w:p w:rsidR="000B562B" w:rsidRPr="00A176EA" w:rsidRDefault="002549A9" w:rsidP="00A8379B">
      <w:pPr>
        <w:pStyle w:val="SingleTxtG"/>
        <w:rPr>
          <w:snapToGrid w:val="0"/>
          <w:lang w:val="fr-FR"/>
        </w:rPr>
      </w:pPr>
      <w:r w:rsidRPr="00A176EA">
        <w:rPr>
          <w:snapToGrid w:val="0"/>
          <w:lang w:val="fr-FR"/>
        </w:rPr>
        <w:t>690.</w:t>
      </w:r>
      <w:r w:rsidRPr="00A176EA">
        <w:rPr>
          <w:snapToGrid w:val="0"/>
          <w:lang w:val="fr-FR"/>
        </w:rPr>
        <w:tab/>
      </w:r>
      <w:r w:rsidR="004C6422" w:rsidRPr="004C6422">
        <w:rPr>
          <w:snapToGrid w:val="0"/>
          <w:lang w:val="fr-FR"/>
        </w:rPr>
        <w:t>L’accusation et la défense ont le droit de récuser des membres potentiels du jury en expliquant pourquoi elles estiment que ceux-ci risquent d’être partiaux. Il n’existe aucun droit de récusation automatique sans indication de motifs. En outre, le ministère public peut également exercer son droit de demander la récusation d’un juré et le juge peut user de son pouvoir discrétionnaire pour relever un juré de ses fonctions si les circonstances l’exigent. La loi de 1995 sur la justice pénale (Écosse) a aboli le droit de récusation péremptoire en Écosse</w:t>
      </w:r>
      <w:r w:rsidR="000B562B" w:rsidRPr="00A176EA">
        <w:rPr>
          <w:snapToGrid w:val="0"/>
          <w:lang w:val="fr-FR"/>
        </w:rPr>
        <w:t>.</w:t>
      </w:r>
    </w:p>
    <w:p w:rsidR="000B562B" w:rsidRPr="00A176EA" w:rsidRDefault="002549A9" w:rsidP="00A8379B">
      <w:pPr>
        <w:pStyle w:val="SingleTxtG"/>
        <w:rPr>
          <w:snapToGrid w:val="0"/>
          <w:lang w:val="fr-FR"/>
        </w:rPr>
      </w:pPr>
      <w:r w:rsidRPr="00A176EA">
        <w:rPr>
          <w:snapToGrid w:val="0"/>
          <w:lang w:val="fr-FR"/>
        </w:rPr>
        <w:t>691.</w:t>
      </w:r>
      <w:r w:rsidRPr="00A176EA">
        <w:rPr>
          <w:snapToGrid w:val="0"/>
          <w:lang w:val="fr-FR"/>
        </w:rPr>
        <w:tab/>
      </w:r>
      <w:r w:rsidR="00757297" w:rsidRPr="00757297">
        <w:rPr>
          <w:snapToGrid w:val="0"/>
          <w:lang w:val="fr-FR"/>
        </w:rPr>
        <w:t xml:space="preserve">Toute personne âgée de 18 à 70 ans inscrite sur les listes électorales et ayant vécu au Royaume-Uni pendant une période continue d’au moins cinq ans depuis qu’elle a atteint l’âge de 13 ans peut faire partie d’un jury, à moins d’être privée de ce droit ou exemptée. Ne peuvent faire partie d’un jury les personnes ayant été condamnées au Royaume-Uni à cinq ans d’emprisonnement ou plus, les personnes condamnées au cours des dix années précédentes </w:t>
      </w:r>
      <w:r w:rsidR="00757297">
        <w:rPr>
          <w:snapToGrid w:val="0"/>
          <w:lang w:val="fr-FR"/>
        </w:rPr>
        <w:t>à une peine privative de liberté</w:t>
      </w:r>
      <w:r w:rsidR="000B562B" w:rsidRPr="00A176EA">
        <w:rPr>
          <w:snapToGrid w:val="0"/>
          <w:lang w:val="fr-FR"/>
        </w:rPr>
        <w:t xml:space="preserve">, </w:t>
      </w:r>
      <w:r w:rsidR="002E1FCB" w:rsidRPr="002E1FCB">
        <w:rPr>
          <w:snapToGrid w:val="0"/>
          <w:lang w:val="fr-FR"/>
        </w:rPr>
        <w:t>de placement dans un centre de détention ou de réadaptation, les personnes ayant été condamnées à une peine assortie d’un sursis ou à une peine d’intérêt général</w:t>
      </w:r>
      <w:r w:rsidR="008E46A5">
        <w:rPr>
          <w:snapToGrid w:val="0"/>
          <w:lang w:val="fr-FR"/>
        </w:rPr>
        <w:t>,</w:t>
      </w:r>
      <w:r w:rsidR="002E1FCB" w:rsidRPr="002E1FCB">
        <w:rPr>
          <w:snapToGrid w:val="0"/>
          <w:lang w:val="fr-FR"/>
        </w:rPr>
        <w:t xml:space="preserve"> ainsi que les personnes régulièrement soignées par un médecin ou séjournant dans un hôpital ou un établissement analogue pour une forme ou une autre de troubles mentaux</w:t>
      </w:r>
      <w:r w:rsidR="000B562B" w:rsidRPr="00A176EA">
        <w:rPr>
          <w:snapToGrid w:val="0"/>
          <w:lang w:val="fr-FR"/>
        </w:rPr>
        <w:t>.</w:t>
      </w:r>
    </w:p>
    <w:p w:rsidR="000B562B" w:rsidRPr="00A176EA" w:rsidRDefault="0081430F" w:rsidP="00A8379B">
      <w:pPr>
        <w:pStyle w:val="H23G"/>
        <w:rPr>
          <w:lang w:val="fr-FR"/>
        </w:rPr>
      </w:pPr>
      <w:r>
        <w:rPr>
          <w:lang w:val="fr-FR"/>
        </w:rPr>
        <w:t>E</w:t>
      </w:r>
      <w:r w:rsidR="002E1FCB">
        <w:rPr>
          <w:lang w:val="fr-FR"/>
        </w:rPr>
        <w:t>nquêtes sur les décès</w:t>
      </w:r>
    </w:p>
    <w:p w:rsidR="000B562B" w:rsidRPr="00A176EA" w:rsidRDefault="002549A9" w:rsidP="00A8379B">
      <w:pPr>
        <w:pStyle w:val="SingleTxtG"/>
        <w:rPr>
          <w:snapToGrid w:val="0"/>
          <w:lang w:val="fr-FR"/>
        </w:rPr>
      </w:pPr>
      <w:r w:rsidRPr="00A176EA">
        <w:rPr>
          <w:snapToGrid w:val="0"/>
          <w:lang w:val="fr-FR"/>
        </w:rPr>
        <w:t>692.</w:t>
      </w:r>
      <w:r w:rsidRPr="00A176EA">
        <w:rPr>
          <w:snapToGrid w:val="0"/>
          <w:lang w:val="fr-FR"/>
        </w:rPr>
        <w:tab/>
      </w:r>
      <w:r w:rsidR="002E1FCB" w:rsidRPr="002E1FCB">
        <w:rPr>
          <w:snapToGrid w:val="0"/>
          <w:lang w:val="fr-FR"/>
        </w:rPr>
        <w:t xml:space="preserve">En Angleterre, au pays de Galles et en Irlande du Nord, les </w:t>
      </w:r>
      <w:r w:rsidR="002E1FCB" w:rsidRPr="002E1FCB">
        <w:rPr>
          <w:i/>
          <w:snapToGrid w:val="0"/>
          <w:lang w:val="fr-FR"/>
        </w:rPr>
        <w:t>coroners</w:t>
      </w:r>
      <w:r w:rsidR="002E1FCB" w:rsidRPr="002E1FCB">
        <w:rPr>
          <w:snapToGrid w:val="0"/>
          <w:lang w:val="fr-FR"/>
        </w:rPr>
        <w:t xml:space="preserve"> enquêtent sur les morts violentes, non naturelles ou subites de cause inconnue. Un décès peut être signalé au </w:t>
      </w:r>
      <w:r w:rsidR="002E1FCB" w:rsidRPr="002E1FCB">
        <w:rPr>
          <w:i/>
          <w:snapToGrid w:val="0"/>
          <w:lang w:val="fr-FR"/>
        </w:rPr>
        <w:t>coroner</w:t>
      </w:r>
      <w:r w:rsidR="002E1FCB" w:rsidRPr="002E1FCB">
        <w:rPr>
          <w:snapToGrid w:val="0"/>
          <w:lang w:val="fr-FR"/>
        </w:rPr>
        <w:t xml:space="preserve"> local (qui est soit un médecin, soit un </w:t>
      </w:r>
      <w:r w:rsidR="008E46A5">
        <w:rPr>
          <w:snapToGrid w:val="0"/>
          <w:lang w:val="fr-FR"/>
        </w:rPr>
        <w:t>juriste</w:t>
      </w:r>
      <w:r w:rsidR="002E1FCB" w:rsidRPr="002E1FCB">
        <w:rPr>
          <w:snapToGrid w:val="0"/>
          <w:lang w:val="fr-FR"/>
        </w:rPr>
        <w:t xml:space="preserve">, soit les deux) par un membre du corps médical, un </w:t>
      </w:r>
      <w:r w:rsidR="001A3D6D">
        <w:rPr>
          <w:snapToGrid w:val="0"/>
          <w:lang w:val="fr-FR"/>
        </w:rPr>
        <w:t>fonctionnaire de police</w:t>
      </w:r>
      <w:r w:rsidR="002E1FCB" w:rsidRPr="002E1FCB">
        <w:rPr>
          <w:snapToGrid w:val="0"/>
          <w:lang w:val="fr-FR"/>
        </w:rPr>
        <w:t xml:space="preserve">, un officier d’état civil, un organisme public ou un particulier. Dans le cas d’une mort subite de cause inconnue, le </w:t>
      </w:r>
      <w:r w:rsidR="002E1FCB" w:rsidRPr="002E1FCB">
        <w:rPr>
          <w:i/>
          <w:snapToGrid w:val="0"/>
          <w:lang w:val="fr-FR"/>
        </w:rPr>
        <w:t>coroner</w:t>
      </w:r>
      <w:r w:rsidR="002E1FCB" w:rsidRPr="002E1FCB">
        <w:rPr>
          <w:snapToGrid w:val="0"/>
          <w:lang w:val="fr-FR"/>
        </w:rPr>
        <w:t xml:space="preserve"> n’est pas tenu de procéder à une enquête si l’autopsie révèle que le décès est dû à des causes naturelles. S’il a des raisons de penser qu’il y a eu mort violente ou non naturelle, ou si le défunt est décédé en prison ou dans d’autres circonstances prévues par la loi, le </w:t>
      </w:r>
      <w:r w:rsidR="002E1FCB" w:rsidRPr="002E1FCB">
        <w:rPr>
          <w:i/>
          <w:snapToGrid w:val="0"/>
          <w:lang w:val="fr-FR"/>
        </w:rPr>
        <w:t>coroner</w:t>
      </w:r>
      <w:r w:rsidR="002E1FCB" w:rsidRPr="002E1FCB">
        <w:rPr>
          <w:snapToGrid w:val="0"/>
          <w:lang w:val="fr-FR"/>
        </w:rPr>
        <w:t xml:space="preserve"> doit mener une enquête et il revient </w:t>
      </w:r>
      <w:r w:rsidR="008E46A5">
        <w:rPr>
          <w:snapToGrid w:val="0"/>
          <w:lang w:val="fr-FR"/>
        </w:rPr>
        <w:t>au Tribunal du</w:t>
      </w:r>
      <w:r w:rsidR="002E1FCB" w:rsidRPr="002E1FCB">
        <w:rPr>
          <w:snapToGrid w:val="0"/>
          <w:lang w:val="fr-FR"/>
        </w:rPr>
        <w:t xml:space="preserve"> </w:t>
      </w:r>
      <w:r w:rsidR="008E46A5" w:rsidRPr="008E46A5">
        <w:rPr>
          <w:snapToGrid w:val="0"/>
          <w:lang w:val="fr-FR"/>
        </w:rPr>
        <w:t>coroner</w:t>
      </w:r>
      <w:r w:rsidR="002E1FCB" w:rsidRPr="002E1FCB">
        <w:rPr>
          <w:snapToGrid w:val="0"/>
          <w:lang w:val="fr-FR"/>
        </w:rPr>
        <w:t xml:space="preserve"> de déterminer le moment, le lieu et les circonstances du décès. Le </w:t>
      </w:r>
      <w:r w:rsidR="002E1FCB" w:rsidRPr="002E1FCB">
        <w:rPr>
          <w:i/>
          <w:snapToGrid w:val="0"/>
          <w:lang w:val="fr-FR"/>
        </w:rPr>
        <w:t>coroner</w:t>
      </w:r>
      <w:r w:rsidR="002E1FCB" w:rsidRPr="002E1FCB">
        <w:rPr>
          <w:snapToGrid w:val="0"/>
          <w:lang w:val="fr-FR"/>
        </w:rPr>
        <w:t xml:space="preserve"> peut siéger seul ou, dans certains cas, avec un jury. Ni le </w:t>
      </w:r>
      <w:r w:rsidR="002E1FCB" w:rsidRPr="002E1FCB">
        <w:rPr>
          <w:i/>
          <w:snapToGrid w:val="0"/>
          <w:lang w:val="fr-FR"/>
        </w:rPr>
        <w:t>coroner</w:t>
      </w:r>
      <w:r w:rsidR="002E1FCB" w:rsidRPr="002E1FCB">
        <w:rPr>
          <w:snapToGrid w:val="0"/>
          <w:lang w:val="fr-FR"/>
        </w:rPr>
        <w:t xml:space="preserve"> ni le jury ne peuvent exprimer une opinion sur des questions de responsabilité pénale et civile, sur lesquelles il incombe à d’autres juridictions de se prononcer</w:t>
      </w:r>
      <w:r w:rsidR="000B562B" w:rsidRPr="00A176EA">
        <w:rPr>
          <w:snapToGrid w:val="0"/>
          <w:lang w:val="fr-FR"/>
        </w:rPr>
        <w:t>.</w:t>
      </w:r>
    </w:p>
    <w:p w:rsidR="000B562B" w:rsidRPr="00A176EA" w:rsidRDefault="002549A9" w:rsidP="00A8379B">
      <w:pPr>
        <w:pStyle w:val="SingleTxtG"/>
        <w:rPr>
          <w:snapToGrid w:val="0"/>
          <w:lang w:val="fr-FR"/>
        </w:rPr>
      </w:pPr>
      <w:r w:rsidRPr="00A176EA">
        <w:rPr>
          <w:snapToGrid w:val="0"/>
          <w:lang w:val="fr-FR"/>
        </w:rPr>
        <w:t>693.</w:t>
      </w:r>
      <w:r w:rsidRPr="00A176EA">
        <w:rPr>
          <w:snapToGrid w:val="0"/>
          <w:lang w:val="fr-FR"/>
        </w:rPr>
        <w:tab/>
      </w:r>
      <w:r w:rsidR="002E1FCB" w:rsidRPr="002E1FCB">
        <w:rPr>
          <w:snapToGrid w:val="0"/>
          <w:lang w:val="fr-FR"/>
        </w:rPr>
        <w:t xml:space="preserve">En Écosse, le </w:t>
      </w:r>
      <w:r w:rsidR="000B0B40">
        <w:rPr>
          <w:snapToGrid w:val="0"/>
          <w:lang w:val="fr-FR"/>
        </w:rPr>
        <w:t>Procureur</w:t>
      </w:r>
      <w:r w:rsidR="002E1FCB" w:rsidRPr="002E1FCB">
        <w:rPr>
          <w:snapToGrid w:val="0"/>
          <w:lang w:val="fr-FR"/>
        </w:rPr>
        <w:t xml:space="preserve"> local enquête sur </w:t>
      </w:r>
      <w:r w:rsidR="00FD1E7B">
        <w:rPr>
          <w:snapToGrid w:val="0"/>
          <w:lang w:val="fr-FR"/>
        </w:rPr>
        <w:t>tous</w:t>
      </w:r>
      <w:r w:rsidR="002E1FCB" w:rsidRPr="002E1FCB">
        <w:rPr>
          <w:snapToGrid w:val="0"/>
          <w:lang w:val="fr-FR"/>
        </w:rPr>
        <w:t xml:space="preserve"> les </w:t>
      </w:r>
      <w:r w:rsidR="00FD1E7B">
        <w:rPr>
          <w:snapToGrid w:val="0"/>
          <w:lang w:val="fr-FR"/>
        </w:rPr>
        <w:t>décès</w:t>
      </w:r>
      <w:r w:rsidR="002E1FCB" w:rsidRPr="002E1FCB">
        <w:rPr>
          <w:snapToGrid w:val="0"/>
          <w:lang w:val="fr-FR"/>
        </w:rPr>
        <w:t xml:space="preserve"> </w:t>
      </w:r>
      <w:r w:rsidR="00FD1E7B">
        <w:rPr>
          <w:snapToGrid w:val="0"/>
          <w:lang w:val="fr-FR"/>
        </w:rPr>
        <w:t>subits, suspects, accidentels, inattendus et inexpliqués</w:t>
      </w:r>
      <w:r w:rsidR="003363FE">
        <w:rPr>
          <w:snapToGrid w:val="0"/>
          <w:lang w:val="fr-FR"/>
        </w:rPr>
        <w:t>,</w:t>
      </w:r>
      <w:r w:rsidR="002E1FCB" w:rsidRPr="002E1FCB">
        <w:rPr>
          <w:snapToGrid w:val="0"/>
          <w:lang w:val="fr-FR"/>
        </w:rPr>
        <w:t xml:space="preserve"> et peut f</w:t>
      </w:r>
      <w:r w:rsidR="00674DD3">
        <w:rPr>
          <w:snapToGrid w:val="0"/>
          <w:lang w:val="fr-FR"/>
        </w:rPr>
        <w:t xml:space="preserve">aire part de ses conclusions aux Services administratifs de la </w:t>
      </w:r>
      <w:r w:rsidR="00674DD3" w:rsidRPr="00674DD3">
        <w:rPr>
          <w:snapToGrid w:val="0"/>
          <w:lang w:val="fr-FR"/>
        </w:rPr>
        <w:t>Couronne (</w:t>
      </w:r>
      <w:r w:rsidR="002E1FCB" w:rsidRPr="00674DD3">
        <w:rPr>
          <w:snapToGrid w:val="0"/>
          <w:lang w:val="fr-FR"/>
        </w:rPr>
        <w:t>Crown Office</w:t>
      </w:r>
      <w:r w:rsidR="00674DD3" w:rsidRPr="00674DD3">
        <w:rPr>
          <w:snapToGrid w:val="0"/>
          <w:lang w:val="fr-FR"/>
        </w:rPr>
        <w:t>)</w:t>
      </w:r>
      <w:r w:rsidR="002E1FCB" w:rsidRPr="00674DD3">
        <w:rPr>
          <w:snapToGrid w:val="0"/>
          <w:lang w:val="fr-FR"/>
        </w:rPr>
        <w:t xml:space="preserve"> </w:t>
      </w:r>
      <w:r w:rsidR="00FD1E7B" w:rsidRPr="00674DD3">
        <w:rPr>
          <w:snapToGrid w:val="0"/>
          <w:lang w:val="fr-FR"/>
        </w:rPr>
        <w:t>qui</w:t>
      </w:r>
      <w:r w:rsidR="00FD1E7B">
        <w:rPr>
          <w:snapToGrid w:val="0"/>
          <w:lang w:val="fr-FR"/>
        </w:rPr>
        <w:t xml:space="preserve"> lui donner</w:t>
      </w:r>
      <w:r w:rsidR="00674DD3">
        <w:rPr>
          <w:snapToGrid w:val="0"/>
          <w:lang w:val="fr-FR"/>
        </w:rPr>
        <w:t>ont</w:t>
      </w:r>
      <w:r w:rsidR="002E1FCB">
        <w:rPr>
          <w:snapToGrid w:val="0"/>
          <w:lang w:val="fr-FR"/>
        </w:rPr>
        <w:t xml:space="preserve"> des instructions </w:t>
      </w:r>
      <w:r w:rsidR="000B0B40">
        <w:rPr>
          <w:snapToGrid w:val="0"/>
          <w:lang w:val="fr-FR"/>
        </w:rPr>
        <w:t>de l’Avocat de la Couronne</w:t>
      </w:r>
      <w:r w:rsidR="002E1FCB">
        <w:rPr>
          <w:lang w:val="fr-FR"/>
        </w:rPr>
        <w:t xml:space="preserve"> pour </w:t>
      </w:r>
      <w:r w:rsidR="00FD1E7B">
        <w:rPr>
          <w:lang w:val="fr-FR"/>
        </w:rPr>
        <w:t xml:space="preserve">procéder à </w:t>
      </w:r>
      <w:r w:rsidR="002E1FCB">
        <w:rPr>
          <w:lang w:val="fr-FR"/>
        </w:rPr>
        <w:t xml:space="preserve">un complément d’enquête, engager ou non des poursuites pénales ou </w:t>
      </w:r>
      <w:r w:rsidR="00FD1E7B">
        <w:rPr>
          <w:lang w:val="fr-FR"/>
        </w:rPr>
        <w:t xml:space="preserve">mener </w:t>
      </w:r>
      <w:r w:rsidR="002E1FCB">
        <w:rPr>
          <w:lang w:val="fr-FR"/>
        </w:rPr>
        <w:t xml:space="preserve">une enquête </w:t>
      </w:r>
      <w:r w:rsidR="00FD1E7B">
        <w:rPr>
          <w:lang w:val="fr-FR"/>
        </w:rPr>
        <w:t>pour</w:t>
      </w:r>
      <w:r w:rsidR="002E1FCB">
        <w:rPr>
          <w:lang w:val="fr-FR"/>
        </w:rPr>
        <w:t xml:space="preserve"> accident mortel. </w:t>
      </w:r>
      <w:r w:rsidR="00551DD8">
        <w:rPr>
          <w:lang w:val="fr-FR"/>
        </w:rPr>
        <w:t>Aux termes de la loi de 1976 sur les enquêtes relatives aux acciden</w:t>
      </w:r>
      <w:r w:rsidR="00FD1E7B">
        <w:rPr>
          <w:lang w:val="fr-FR"/>
        </w:rPr>
        <w:t>ts mortels et aux décès subits (</w:t>
      </w:r>
      <w:r w:rsidR="00FD1E7B" w:rsidRPr="00FD1E7B">
        <w:rPr>
          <w:lang w:val="fr-FR"/>
        </w:rPr>
        <w:t>Écosse</w:t>
      </w:r>
      <w:r w:rsidR="00FD1E7B">
        <w:rPr>
          <w:lang w:val="fr-FR"/>
        </w:rPr>
        <w:t>), une enquête pour accident mortel, qui est publique, est ouverte à la demande d</w:t>
      </w:r>
      <w:r w:rsidR="00674DD3">
        <w:rPr>
          <w:lang w:val="fr-FR"/>
        </w:rPr>
        <w:t>’</w:t>
      </w:r>
      <w:r w:rsidR="00FD1E7B">
        <w:rPr>
          <w:lang w:val="fr-FR"/>
        </w:rPr>
        <w:t>u</w:t>
      </w:r>
      <w:r w:rsidR="00674DD3">
        <w:rPr>
          <w:lang w:val="fr-FR"/>
        </w:rPr>
        <w:t>n</w:t>
      </w:r>
      <w:r w:rsidR="00FD1E7B">
        <w:rPr>
          <w:lang w:val="fr-FR"/>
        </w:rPr>
        <w:t xml:space="preserve"> </w:t>
      </w:r>
      <w:r w:rsidR="00674DD3" w:rsidRPr="00674DD3">
        <w:rPr>
          <w:lang w:val="fr-FR"/>
        </w:rPr>
        <w:t>Procureur</w:t>
      </w:r>
      <w:r w:rsidR="00FD1E7B" w:rsidRPr="00674DD3">
        <w:rPr>
          <w:lang w:val="fr-FR"/>
        </w:rPr>
        <w:t xml:space="preserve"> au </w:t>
      </w:r>
      <w:r w:rsidR="00F875C2" w:rsidRPr="00674DD3">
        <w:rPr>
          <w:lang w:val="fr-FR"/>
        </w:rPr>
        <w:t>S</w:t>
      </w:r>
      <w:r w:rsidR="00FD1E7B" w:rsidRPr="00674DD3">
        <w:rPr>
          <w:lang w:val="fr-FR"/>
        </w:rPr>
        <w:t>hérif lorsque</w:t>
      </w:r>
      <w:r w:rsidR="00FD1E7B">
        <w:rPr>
          <w:lang w:val="fr-FR"/>
        </w:rPr>
        <w:t xml:space="preserve"> le défunt est décédé en garde à vue ou en détention. </w:t>
      </w:r>
      <w:r w:rsidR="003363FE">
        <w:rPr>
          <w:snapToGrid w:val="0"/>
          <w:lang w:val="fr-FR"/>
        </w:rPr>
        <w:t>Cette enquête est obligatoire pour certains types de décès (en garde en vue et en détention, par exemple). Par ailleurs, le</w:t>
      </w:r>
      <w:r w:rsidR="000B562B" w:rsidRPr="00A176EA">
        <w:rPr>
          <w:snapToGrid w:val="0"/>
          <w:lang w:val="fr-FR"/>
        </w:rPr>
        <w:t xml:space="preserve"> </w:t>
      </w:r>
      <w:r w:rsidR="00674DD3">
        <w:rPr>
          <w:snapToGrid w:val="0"/>
          <w:lang w:val="fr-FR"/>
        </w:rPr>
        <w:t>Procureur général</w:t>
      </w:r>
      <w:r w:rsidR="000B562B" w:rsidRPr="00A176EA">
        <w:rPr>
          <w:snapToGrid w:val="0"/>
          <w:lang w:val="fr-FR"/>
        </w:rPr>
        <w:t xml:space="preserve"> </w:t>
      </w:r>
      <w:r w:rsidR="003363FE">
        <w:rPr>
          <w:snapToGrid w:val="0"/>
          <w:lang w:val="fr-FR"/>
        </w:rPr>
        <w:t xml:space="preserve">peut d’office ouvrir une enquête d’intérêt public </w:t>
      </w:r>
      <w:r w:rsidR="0081430F">
        <w:rPr>
          <w:snapToGrid w:val="0"/>
          <w:lang w:val="fr-FR"/>
        </w:rPr>
        <w:t>si les circonstances de l’affaire suscitent l’inquiétude du public</w:t>
      </w:r>
      <w:r w:rsidR="000B562B" w:rsidRPr="00A176EA">
        <w:rPr>
          <w:snapToGrid w:val="0"/>
          <w:lang w:val="fr-FR"/>
        </w:rPr>
        <w:t>.</w:t>
      </w:r>
    </w:p>
    <w:p w:rsidR="000B562B" w:rsidRPr="00A176EA" w:rsidRDefault="0081430F" w:rsidP="00A8379B">
      <w:pPr>
        <w:pStyle w:val="H23G"/>
        <w:rPr>
          <w:lang w:val="fr-FR"/>
        </w:rPr>
      </w:pPr>
      <w:r>
        <w:rPr>
          <w:lang w:val="fr-FR"/>
        </w:rPr>
        <w:t>Le droit civil</w:t>
      </w:r>
    </w:p>
    <w:p w:rsidR="000B562B" w:rsidRPr="00A176EA" w:rsidRDefault="002549A9" w:rsidP="00A8379B">
      <w:pPr>
        <w:pStyle w:val="SingleTxtG"/>
        <w:rPr>
          <w:snapToGrid w:val="0"/>
          <w:lang w:val="fr-FR"/>
        </w:rPr>
      </w:pPr>
      <w:r w:rsidRPr="00A176EA">
        <w:rPr>
          <w:snapToGrid w:val="0"/>
          <w:lang w:val="fr-FR"/>
        </w:rPr>
        <w:t>694.</w:t>
      </w:r>
      <w:r w:rsidRPr="00A176EA">
        <w:rPr>
          <w:snapToGrid w:val="0"/>
          <w:lang w:val="fr-FR"/>
        </w:rPr>
        <w:tab/>
      </w:r>
      <w:r w:rsidR="0081430F" w:rsidRPr="0081430F">
        <w:rPr>
          <w:snapToGrid w:val="0"/>
          <w:lang w:val="fr-FR"/>
        </w:rPr>
        <w:t xml:space="preserve">Les principales branches du droit civil en Angleterre, au pays de Galles et en Irlande du Nord sont le droit de la famille, le droit de la propriété, le droit des contrats et le droit </w:t>
      </w:r>
      <w:r w:rsidR="0081430F">
        <w:rPr>
          <w:snapToGrid w:val="0"/>
          <w:lang w:val="fr-FR"/>
        </w:rPr>
        <w:t xml:space="preserve">préjudiciel </w:t>
      </w:r>
      <w:r w:rsidR="000B562B" w:rsidRPr="00A176EA">
        <w:rPr>
          <w:snapToGrid w:val="0"/>
          <w:lang w:val="fr-FR"/>
        </w:rPr>
        <w:t>(</w:t>
      </w:r>
      <w:r w:rsidR="00F9002C">
        <w:rPr>
          <w:snapToGrid w:val="0"/>
          <w:lang w:val="fr-FR"/>
        </w:rPr>
        <w:t>concernant les préjudices subis par une personne du fait d’une autre personne, qu’il y ait eu contact ou non entre elles</w:t>
      </w:r>
      <w:r w:rsidR="00FC2B97">
        <w:rPr>
          <w:snapToGrid w:val="0"/>
          <w:lang w:val="fr-FR"/>
        </w:rPr>
        <w:t>;</w:t>
      </w:r>
      <w:r w:rsidR="00F9002C">
        <w:rPr>
          <w:snapToGrid w:val="0"/>
          <w:lang w:val="fr-FR"/>
        </w:rPr>
        <w:t xml:space="preserve"> ce domaine fait appel à des notions telles que la négligence, la diffamation et le</w:t>
      </w:r>
      <w:r w:rsidR="000B562B" w:rsidRPr="00A176EA">
        <w:rPr>
          <w:snapToGrid w:val="0"/>
          <w:lang w:val="fr-FR"/>
        </w:rPr>
        <w:t xml:space="preserve"> </w:t>
      </w:r>
      <w:r w:rsidR="00F9002C">
        <w:rPr>
          <w:snapToGrid w:val="0"/>
          <w:lang w:val="fr-FR"/>
        </w:rPr>
        <w:t>trouble de jouissance</w:t>
      </w:r>
      <w:r w:rsidR="000B562B" w:rsidRPr="00A176EA">
        <w:rPr>
          <w:snapToGrid w:val="0"/>
          <w:lang w:val="fr-FR"/>
        </w:rPr>
        <w:t xml:space="preserve">). </w:t>
      </w:r>
      <w:r w:rsidR="00F9002C">
        <w:rPr>
          <w:snapToGrid w:val="0"/>
          <w:lang w:val="fr-FR"/>
        </w:rPr>
        <w:t>L</w:t>
      </w:r>
      <w:r w:rsidR="00F9002C" w:rsidRPr="00F9002C">
        <w:rPr>
          <w:snapToGrid w:val="0"/>
          <w:lang w:val="fr-FR"/>
        </w:rPr>
        <w:t>e droit civil comprend également le droit constitutionnel et administratif</w:t>
      </w:r>
      <w:r w:rsidR="000B562B" w:rsidRPr="00A176EA">
        <w:rPr>
          <w:snapToGrid w:val="0"/>
          <w:lang w:val="fr-FR"/>
        </w:rPr>
        <w:t xml:space="preserve"> (</w:t>
      </w:r>
      <w:r w:rsidR="00F9002C">
        <w:rPr>
          <w:snapToGrid w:val="0"/>
          <w:lang w:val="fr-FR"/>
        </w:rPr>
        <w:t xml:space="preserve">qui porte en particulier sur l’exercice du pouvoir exécutif), </w:t>
      </w:r>
      <w:r w:rsidR="000B562B" w:rsidRPr="00A176EA">
        <w:rPr>
          <w:snapToGrid w:val="0"/>
          <w:lang w:val="fr-FR"/>
        </w:rPr>
        <w:t xml:space="preserve"> </w:t>
      </w:r>
      <w:r w:rsidR="00F9002C">
        <w:rPr>
          <w:snapToGrid w:val="0"/>
          <w:lang w:val="fr-FR"/>
        </w:rPr>
        <w:t>le droit du travail, le droit</w:t>
      </w:r>
      <w:r w:rsidR="000B562B" w:rsidRPr="00A176EA">
        <w:rPr>
          <w:snapToGrid w:val="0"/>
          <w:lang w:val="fr-FR"/>
        </w:rPr>
        <w:t xml:space="preserve"> maritime </w:t>
      </w:r>
      <w:r w:rsidR="00F9002C">
        <w:rPr>
          <w:snapToGrid w:val="0"/>
          <w:lang w:val="fr-FR"/>
        </w:rPr>
        <w:t>et le droit ecclésiastique</w:t>
      </w:r>
      <w:r w:rsidR="000B562B" w:rsidRPr="00A176EA">
        <w:rPr>
          <w:snapToGrid w:val="0"/>
          <w:lang w:val="fr-FR"/>
        </w:rPr>
        <w:t xml:space="preserve">. </w:t>
      </w:r>
      <w:r w:rsidR="00F9002C">
        <w:rPr>
          <w:snapToGrid w:val="0"/>
          <w:lang w:val="fr-FR"/>
        </w:rPr>
        <w:t>Les branches du droit civil écossais sont sensiblement comparables</w:t>
      </w:r>
      <w:r w:rsidR="000B562B" w:rsidRPr="00A176EA">
        <w:rPr>
          <w:snapToGrid w:val="0"/>
          <w:lang w:val="fr-FR"/>
        </w:rPr>
        <w:t>.</w:t>
      </w:r>
    </w:p>
    <w:p w:rsidR="000B562B" w:rsidRPr="00A176EA" w:rsidRDefault="002549A9" w:rsidP="009525F1">
      <w:pPr>
        <w:pStyle w:val="SingleTxtG"/>
        <w:rPr>
          <w:snapToGrid w:val="0"/>
          <w:lang w:val="fr-FR"/>
        </w:rPr>
      </w:pPr>
      <w:r w:rsidRPr="00A176EA">
        <w:rPr>
          <w:snapToGrid w:val="0"/>
          <w:lang w:val="fr-FR"/>
        </w:rPr>
        <w:t>695.</w:t>
      </w:r>
      <w:r w:rsidRPr="00A176EA">
        <w:rPr>
          <w:snapToGrid w:val="0"/>
          <w:lang w:val="fr-FR"/>
        </w:rPr>
        <w:tab/>
      </w:r>
      <w:r w:rsidR="00C30D68">
        <w:rPr>
          <w:snapToGrid w:val="0"/>
          <w:lang w:val="fr-FR"/>
        </w:rPr>
        <w:t xml:space="preserve">Des règles de procédure unifiées, les règles de procédure civile, ont été introduites en 1999 pour garantir que </w:t>
      </w:r>
      <w:r w:rsidR="007853D8">
        <w:rPr>
          <w:snapToGrid w:val="0"/>
          <w:lang w:val="fr-FR"/>
        </w:rPr>
        <w:t xml:space="preserve">le </w:t>
      </w:r>
      <w:r w:rsidR="00000CC2">
        <w:rPr>
          <w:snapToGrid w:val="0"/>
          <w:lang w:val="fr-FR"/>
        </w:rPr>
        <w:t xml:space="preserve">Tribunal </w:t>
      </w:r>
      <w:r w:rsidR="008E0BD6">
        <w:rPr>
          <w:snapToGrid w:val="0"/>
          <w:lang w:val="fr-FR"/>
        </w:rPr>
        <w:t>de comté</w:t>
      </w:r>
      <w:r w:rsidR="00C30D68">
        <w:rPr>
          <w:snapToGrid w:val="0"/>
          <w:lang w:val="fr-FR"/>
        </w:rPr>
        <w:t xml:space="preserve"> et la Haute Cour traitent en toute équité les affaires dont elles sont saisies. Le Conseil de la justice civile a par ailleurs été créé pour superviser et coordonner la modernisation du système </w:t>
      </w:r>
      <w:r w:rsidR="009525F1">
        <w:rPr>
          <w:snapToGrid w:val="0"/>
          <w:lang w:val="fr-FR"/>
        </w:rPr>
        <w:t xml:space="preserve">de justice civile en Angleterre et au pays </w:t>
      </w:r>
      <w:r w:rsidR="005601A1">
        <w:rPr>
          <w:snapToGrid w:val="0"/>
          <w:lang w:val="fr-FR"/>
        </w:rPr>
        <w:t>de Galles</w:t>
      </w:r>
      <w:r w:rsidR="000B562B" w:rsidRPr="00A176EA">
        <w:rPr>
          <w:snapToGrid w:val="0"/>
          <w:lang w:val="fr-FR"/>
        </w:rPr>
        <w:t xml:space="preserve">. </w:t>
      </w:r>
      <w:r w:rsidR="009525F1">
        <w:rPr>
          <w:snapToGrid w:val="0"/>
          <w:lang w:val="fr-FR"/>
        </w:rPr>
        <w:t>Son rôle principal est de contrôler constamment le système et de le réformer en conséquence</w:t>
      </w:r>
      <w:r w:rsidR="000B562B" w:rsidRPr="00A176EA">
        <w:rPr>
          <w:snapToGrid w:val="0"/>
          <w:lang w:val="fr-FR"/>
        </w:rPr>
        <w:t>.</w:t>
      </w:r>
    </w:p>
    <w:p w:rsidR="000B562B" w:rsidRPr="009525F1" w:rsidRDefault="00BD0B56" w:rsidP="00A8379B">
      <w:pPr>
        <w:pStyle w:val="H23G"/>
        <w:rPr>
          <w:lang w:val="fr-FR"/>
        </w:rPr>
      </w:pPr>
      <w:r w:rsidRPr="009525F1">
        <w:rPr>
          <w:lang w:val="fr-FR"/>
        </w:rPr>
        <w:t>Juridictions civiles</w:t>
      </w:r>
    </w:p>
    <w:p w:rsidR="000B562B" w:rsidRPr="00A176EA" w:rsidRDefault="00BD0B56" w:rsidP="00DC1857">
      <w:pPr>
        <w:pStyle w:val="H23G"/>
        <w:rPr>
          <w:lang w:val="fr-FR"/>
        </w:rPr>
      </w:pPr>
      <w:r w:rsidRPr="009525F1">
        <w:rPr>
          <w:lang w:val="fr-FR"/>
        </w:rPr>
        <w:t>Angleterre et</w:t>
      </w:r>
      <w:r w:rsidR="000B562B" w:rsidRPr="009525F1">
        <w:rPr>
          <w:lang w:val="fr-FR"/>
        </w:rPr>
        <w:t xml:space="preserve"> </w:t>
      </w:r>
      <w:r w:rsidRPr="009525F1">
        <w:rPr>
          <w:lang w:val="fr-FR"/>
        </w:rPr>
        <w:t>p</w:t>
      </w:r>
      <w:r w:rsidR="005601A1" w:rsidRPr="009525F1">
        <w:rPr>
          <w:lang w:val="fr-FR"/>
        </w:rPr>
        <w:t>ays de Galles</w:t>
      </w:r>
    </w:p>
    <w:p w:rsidR="000B562B" w:rsidRPr="00A176EA" w:rsidRDefault="002549A9" w:rsidP="009525F1">
      <w:pPr>
        <w:pStyle w:val="SingleTxtG"/>
        <w:rPr>
          <w:lang w:val="fr-FR"/>
        </w:rPr>
      </w:pPr>
      <w:r w:rsidRPr="00A176EA">
        <w:rPr>
          <w:lang w:val="fr-FR"/>
        </w:rPr>
        <w:t>696.</w:t>
      </w:r>
      <w:r w:rsidRPr="00A176EA">
        <w:rPr>
          <w:lang w:val="fr-FR"/>
        </w:rPr>
        <w:tab/>
      </w:r>
      <w:r w:rsidR="009525F1">
        <w:rPr>
          <w:lang w:val="fr-FR"/>
        </w:rPr>
        <w:t>En Angleterre et au</w:t>
      </w:r>
      <w:r w:rsidR="000B562B" w:rsidRPr="00A176EA">
        <w:rPr>
          <w:lang w:val="fr-FR"/>
        </w:rPr>
        <w:t xml:space="preserve"> </w:t>
      </w:r>
      <w:r w:rsidR="009525F1">
        <w:rPr>
          <w:lang w:val="fr-FR"/>
        </w:rPr>
        <w:t>p</w:t>
      </w:r>
      <w:r w:rsidR="005601A1">
        <w:rPr>
          <w:lang w:val="fr-FR"/>
        </w:rPr>
        <w:t>ays de Galles</w:t>
      </w:r>
      <w:r w:rsidR="000B562B" w:rsidRPr="00A176EA">
        <w:rPr>
          <w:lang w:val="fr-FR"/>
        </w:rPr>
        <w:t xml:space="preserve">, </w:t>
      </w:r>
      <w:r w:rsidR="009525F1">
        <w:rPr>
          <w:lang w:val="fr-FR"/>
        </w:rPr>
        <w:t xml:space="preserve">les affaires civiles relèvent des </w:t>
      </w:r>
      <w:r w:rsidR="00000CC2">
        <w:rPr>
          <w:snapToGrid w:val="0"/>
          <w:lang w:val="fr-FR"/>
        </w:rPr>
        <w:t>Tribunaux d’instance</w:t>
      </w:r>
      <w:r w:rsidR="009525F1">
        <w:rPr>
          <w:lang w:val="fr-FR"/>
        </w:rPr>
        <w:t>, de</w:t>
      </w:r>
      <w:r w:rsidR="00FA6809">
        <w:rPr>
          <w:lang w:val="fr-FR"/>
        </w:rPr>
        <w:t>s</w:t>
      </w:r>
      <w:r w:rsidR="009525F1">
        <w:rPr>
          <w:lang w:val="fr-FR"/>
        </w:rPr>
        <w:t xml:space="preserve"> </w:t>
      </w:r>
      <w:r w:rsidR="00000CC2">
        <w:rPr>
          <w:snapToGrid w:val="0"/>
          <w:lang w:val="fr-FR"/>
        </w:rPr>
        <w:t xml:space="preserve">Tribunaux </w:t>
      </w:r>
      <w:r w:rsidR="008E0BD6">
        <w:rPr>
          <w:snapToGrid w:val="0"/>
          <w:lang w:val="fr-FR"/>
        </w:rPr>
        <w:t>de comté</w:t>
      </w:r>
      <w:r w:rsidR="009525F1">
        <w:rPr>
          <w:lang w:val="fr-FR"/>
        </w:rPr>
        <w:t xml:space="preserve"> et des juridictions supérieures, jusqu’à la Cour suprême</w:t>
      </w:r>
      <w:r w:rsidR="000B562B" w:rsidRPr="00A176EA">
        <w:rPr>
          <w:lang w:val="fr-FR"/>
        </w:rPr>
        <w:t>.</w:t>
      </w:r>
    </w:p>
    <w:p w:rsidR="000B562B" w:rsidRPr="00A176EA" w:rsidRDefault="002549A9" w:rsidP="00FA6809">
      <w:pPr>
        <w:pStyle w:val="SingleTxtG"/>
        <w:rPr>
          <w:lang w:val="fr-FR"/>
        </w:rPr>
      </w:pPr>
      <w:r w:rsidRPr="00A176EA">
        <w:rPr>
          <w:lang w:val="fr-FR"/>
        </w:rPr>
        <w:t>697.</w:t>
      </w:r>
      <w:r w:rsidRPr="00A176EA">
        <w:rPr>
          <w:lang w:val="fr-FR"/>
        </w:rPr>
        <w:tab/>
      </w:r>
      <w:r w:rsidR="00632789" w:rsidRPr="00632789">
        <w:rPr>
          <w:lang w:val="fr-FR"/>
        </w:rPr>
        <w:t xml:space="preserve">La compétence des </w:t>
      </w:r>
      <w:r w:rsidR="00000CC2">
        <w:rPr>
          <w:snapToGrid w:val="0"/>
          <w:lang w:val="fr-FR"/>
        </w:rPr>
        <w:t>Tribunaux d’instance</w:t>
      </w:r>
      <w:r w:rsidR="00000CC2" w:rsidRPr="00C77A8D">
        <w:rPr>
          <w:lang w:val="fr-FR"/>
        </w:rPr>
        <w:t xml:space="preserve"> </w:t>
      </w:r>
      <w:r w:rsidR="00632789" w:rsidRPr="00632789">
        <w:rPr>
          <w:lang w:val="fr-FR"/>
        </w:rPr>
        <w:t>en matière civile est limitée. Elle couvre certaines procédures ayant trait au droit de la famille,</w:t>
      </w:r>
      <w:r w:rsidR="00632789">
        <w:rPr>
          <w:lang w:val="fr-FR"/>
        </w:rPr>
        <w:t xml:space="preserve"> les atteintes relevant d</w:t>
      </w:r>
      <w:r w:rsidR="003C448B">
        <w:rPr>
          <w:lang w:val="fr-FR"/>
        </w:rPr>
        <w:t xml:space="preserve">e la législation sur la santé publique et le recouvrement des impôts. Elle siège par ailleurs en juridiction d’appel pour les décisions prises par les comités locaux responsables des licences d’exploitation concernant les débits de boissons, </w:t>
      </w:r>
      <w:r w:rsidR="00FA6809">
        <w:rPr>
          <w:lang w:val="fr-FR"/>
        </w:rPr>
        <w:t xml:space="preserve">les bureaux de paris et les </w:t>
      </w:r>
      <w:r w:rsidR="000B562B" w:rsidRPr="00A176EA">
        <w:rPr>
          <w:lang w:val="fr-FR"/>
        </w:rPr>
        <w:t>clubs.</w:t>
      </w:r>
    </w:p>
    <w:p w:rsidR="000B562B" w:rsidRPr="00A176EA" w:rsidRDefault="002549A9" w:rsidP="00A8379B">
      <w:pPr>
        <w:pStyle w:val="SingleTxtG"/>
        <w:rPr>
          <w:lang w:val="fr-FR"/>
        </w:rPr>
      </w:pPr>
      <w:r w:rsidRPr="00A176EA">
        <w:rPr>
          <w:lang w:val="fr-FR"/>
        </w:rPr>
        <w:t>698.</w:t>
      </w:r>
      <w:r w:rsidRPr="00A176EA">
        <w:rPr>
          <w:lang w:val="fr-FR"/>
        </w:rPr>
        <w:tab/>
      </w:r>
      <w:r w:rsidR="00B16899">
        <w:rPr>
          <w:lang w:val="fr-FR"/>
        </w:rPr>
        <w:t xml:space="preserve">Relèvent de la compétence des </w:t>
      </w:r>
      <w:r w:rsidR="00000CC2">
        <w:rPr>
          <w:lang w:val="fr-FR"/>
        </w:rPr>
        <w:t>T</w:t>
      </w:r>
      <w:r w:rsidR="007853D8">
        <w:rPr>
          <w:lang w:val="fr-FR"/>
        </w:rPr>
        <w:t>ribunaux</w:t>
      </w:r>
      <w:r w:rsidR="00B16899">
        <w:rPr>
          <w:lang w:val="fr-FR"/>
        </w:rPr>
        <w:t xml:space="preserve"> de comté les actions en responsabilité contractuelle et extracontractuelle </w:t>
      </w:r>
      <w:r w:rsidR="000B562B" w:rsidRPr="00A176EA">
        <w:rPr>
          <w:snapToGrid w:val="0"/>
          <w:lang w:val="fr-FR"/>
        </w:rPr>
        <w:t>(</w:t>
      </w:r>
      <w:r w:rsidR="00B16899" w:rsidRPr="00B16899">
        <w:rPr>
          <w:snapToGrid w:val="0"/>
          <w:lang w:val="fr-FR"/>
        </w:rPr>
        <w:t>à quelques exceptions mineures près</w:t>
      </w:r>
      <w:r w:rsidR="000B562B" w:rsidRPr="00A176EA">
        <w:rPr>
          <w:snapToGrid w:val="0"/>
          <w:lang w:val="fr-FR"/>
        </w:rPr>
        <w:t xml:space="preserve">), </w:t>
      </w:r>
      <w:r w:rsidR="00981019">
        <w:rPr>
          <w:snapToGrid w:val="0"/>
          <w:lang w:val="fr-FR"/>
        </w:rPr>
        <w:t>les affaires portant sur les fiducies et les hypothèques, et</w:t>
      </w:r>
      <w:r w:rsidR="000B562B" w:rsidRPr="00A176EA">
        <w:rPr>
          <w:snapToGrid w:val="0"/>
          <w:lang w:val="fr-FR"/>
        </w:rPr>
        <w:t xml:space="preserve"> </w:t>
      </w:r>
      <w:r w:rsidR="00981019">
        <w:rPr>
          <w:snapToGrid w:val="0"/>
          <w:lang w:val="fr-FR"/>
        </w:rPr>
        <w:t>les revendications foncières</w:t>
      </w:r>
      <w:r w:rsidR="000B562B" w:rsidRPr="00A176EA">
        <w:rPr>
          <w:snapToGrid w:val="0"/>
          <w:lang w:val="fr-FR"/>
        </w:rPr>
        <w:t xml:space="preserve">. </w:t>
      </w:r>
      <w:r w:rsidR="00981019" w:rsidRPr="00981019">
        <w:rPr>
          <w:snapToGrid w:val="0"/>
          <w:lang w:val="fr-FR"/>
        </w:rPr>
        <w:t>Les affaires portant sur des montants dépassant les limites prévues par la loi peuvent être jugées par l</w:t>
      </w:r>
      <w:r w:rsidR="007853D8">
        <w:rPr>
          <w:snapToGrid w:val="0"/>
          <w:lang w:val="fr-FR"/>
        </w:rPr>
        <w:t>e</w:t>
      </w:r>
      <w:r w:rsidR="00981019" w:rsidRPr="00981019">
        <w:rPr>
          <w:snapToGrid w:val="0"/>
          <w:lang w:val="fr-FR"/>
        </w:rPr>
        <w:t xml:space="preserve"> </w:t>
      </w:r>
      <w:r w:rsidR="00000CC2">
        <w:rPr>
          <w:snapToGrid w:val="0"/>
          <w:lang w:val="fr-FR"/>
        </w:rPr>
        <w:t>T</w:t>
      </w:r>
      <w:r w:rsidR="007853D8">
        <w:rPr>
          <w:snapToGrid w:val="0"/>
          <w:lang w:val="fr-FR"/>
        </w:rPr>
        <w:t>ribunal</w:t>
      </w:r>
      <w:r w:rsidR="00981019">
        <w:rPr>
          <w:snapToGrid w:val="0"/>
          <w:lang w:val="fr-FR"/>
        </w:rPr>
        <w:t xml:space="preserve"> de comté</w:t>
      </w:r>
      <w:r w:rsidR="00981019" w:rsidRPr="00981019">
        <w:rPr>
          <w:snapToGrid w:val="0"/>
          <w:lang w:val="fr-FR"/>
        </w:rPr>
        <w:t xml:space="preserve"> avec le consentement des parties ou, dans certaines circonstances, si elles lui ont été renvoyées par la</w:t>
      </w:r>
      <w:r w:rsidR="00981019">
        <w:rPr>
          <w:snapToGrid w:val="0"/>
          <w:lang w:val="fr-FR"/>
        </w:rPr>
        <w:t xml:space="preserve"> Haute Cour</w:t>
      </w:r>
      <w:r w:rsidR="000B562B" w:rsidRPr="00A176EA">
        <w:rPr>
          <w:snapToGrid w:val="0"/>
          <w:lang w:val="fr-FR"/>
        </w:rPr>
        <w:t>.</w:t>
      </w:r>
    </w:p>
    <w:p w:rsidR="000B562B" w:rsidRPr="00A176EA" w:rsidRDefault="002549A9" w:rsidP="00A8379B">
      <w:pPr>
        <w:pStyle w:val="SingleTxtG"/>
        <w:rPr>
          <w:snapToGrid w:val="0"/>
          <w:lang w:val="fr-FR"/>
        </w:rPr>
      </w:pPr>
      <w:r w:rsidRPr="00A176EA">
        <w:rPr>
          <w:snapToGrid w:val="0"/>
          <w:lang w:val="fr-FR"/>
        </w:rPr>
        <w:t>699.</w:t>
      </w:r>
      <w:r w:rsidRPr="00A176EA">
        <w:rPr>
          <w:snapToGrid w:val="0"/>
          <w:lang w:val="fr-FR"/>
        </w:rPr>
        <w:tab/>
      </w:r>
      <w:r w:rsidR="00981019">
        <w:rPr>
          <w:snapToGrid w:val="0"/>
          <w:lang w:val="fr-FR"/>
        </w:rPr>
        <w:t xml:space="preserve">Parmi les autres </w:t>
      </w:r>
      <w:r w:rsidR="00CD4611">
        <w:rPr>
          <w:snapToGrid w:val="0"/>
          <w:lang w:val="fr-FR"/>
        </w:rPr>
        <w:t>catégories d’</w:t>
      </w:r>
      <w:r w:rsidR="00981019">
        <w:rPr>
          <w:snapToGrid w:val="0"/>
          <w:lang w:val="fr-FR"/>
        </w:rPr>
        <w:t xml:space="preserve">affaires examinées par les </w:t>
      </w:r>
      <w:r w:rsidR="00000CC2">
        <w:rPr>
          <w:snapToGrid w:val="0"/>
          <w:lang w:val="fr-FR"/>
        </w:rPr>
        <w:t>T</w:t>
      </w:r>
      <w:r w:rsidR="007853D8">
        <w:rPr>
          <w:snapToGrid w:val="0"/>
          <w:lang w:val="fr-FR"/>
        </w:rPr>
        <w:t>ribunaux</w:t>
      </w:r>
      <w:r w:rsidR="00981019">
        <w:rPr>
          <w:snapToGrid w:val="0"/>
          <w:lang w:val="fr-FR"/>
        </w:rPr>
        <w:t xml:space="preserve"> de comté figurent les ventes à crédit,</w:t>
      </w:r>
      <w:r w:rsidR="000B562B" w:rsidRPr="00A176EA">
        <w:rPr>
          <w:snapToGrid w:val="0"/>
          <w:lang w:val="fr-FR"/>
        </w:rPr>
        <w:t xml:space="preserve"> </w:t>
      </w:r>
      <w:r w:rsidR="00981019">
        <w:rPr>
          <w:snapToGrid w:val="0"/>
          <w:lang w:val="fr-FR"/>
        </w:rPr>
        <w:t>la législation sur les loyers, les litiges entre propriétaires et locataires</w:t>
      </w:r>
      <w:r w:rsidR="00CD4611">
        <w:rPr>
          <w:snapToGrid w:val="0"/>
          <w:lang w:val="fr-FR"/>
        </w:rPr>
        <w:t>,</w:t>
      </w:r>
      <w:r w:rsidR="00981019">
        <w:rPr>
          <w:snapToGrid w:val="0"/>
          <w:lang w:val="fr-FR"/>
        </w:rPr>
        <w:t xml:space="preserve"> </w:t>
      </w:r>
      <w:r w:rsidR="00CD4611">
        <w:rPr>
          <w:snapToGrid w:val="0"/>
          <w:lang w:val="fr-FR"/>
        </w:rPr>
        <w:t>et les adoptions</w:t>
      </w:r>
      <w:r w:rsidR="000B562B" w:rsidRPr="00A176EA">
        <w:rPr>
          <w:snapToGrid w:val="0"/>
          <w:lang w:val="fr-FR"/>
        </w:rPr>
        <w:t xml:space="preserve">. </w:t>
      </w:r>
      <w:r w:rsidR="00CD4611">
        <w:rPr>
          <w:snapToGrid w:val="0"/>
          <w:lang w:val="fr-FR"/>
        </w:rPr>
        <w:t xml:space="preserve">Les </w:t>
      </w:r>
      <w:r w:rsidR="00000CC2">
        <w:rPr>
          <w:snapToGrid w:val="0"/>
          <w:lang w:val="fr-FR"/>
        </w:rPr>
        <w:t>T</w:t>
      </w:r>
      <w:r w:rsidR="007853D8">
        <w:rPr>
          <w:snapToGrid w:val="0"/>
          <w:lang w:val="fr-FR"/>
        </w:rPr>
        <w:t>ribunaux</w:t>
      </w:r>
      <w:r w:rsidR="00CD4611">
        <w:rPr>
          <w:snapToGrid w:val="0"/>
          <w:lang w:val="fr-FR"/>
        </w:rPr>
        <w:t xml:space="preserve"> de comté siégeant comme tribunal des divorces jugent les affaires de divorce et, en dehors de Londres, certaines ont à connaître des affaires de faillite. Ces instances examinent également les plaintes pour discrimination fondée sur la race et le sexe. </w:t>
      </w:r>
      <w:r w:rsidR="00A478A9">
        <w:rPr>
          <w:snapToGrid w:val="0"/>
          <w:lang w:val="fr-FR"/>
        </w:rPr>
        <w:t>Les petits litiges (notamment en matière de consommation) font l’objet d’une procédure simplifiée</w:t>
      </w:r>
      <w:r w:rsidR="000B562B" w:rsidRPr="00A176EA">
        <w:rPr>
          <w:snapToGrid w:val="0"/>
          <w:lang w:val="fr-FR"/>
        </w:rPr>
        <w:t>.</w:t>
      </w:r>
    </w:p>
    <w:p w:rsidR="000B562B" w:rsidRPr="00A176EA" w:rsidRDefault="002549A9" w:rsidP="00A8379B">
      <w:pPr>
        <w:pStyle w:val="SingleTxtG"/>
        <w:rPr>
          <w:lang w:val="fr-FR"/>
        </w:rPr>
      </w:pPr>
      <w:r w:rsidRPr="00A176EA">
        <w:rPr>
          <w:lang w:val="fr-FR"/>
        </w:rPr>
        <w:t>700.</w:t>
      </w:r>
      <w:r w:rsidRPr="00A176EA">
        <w:rPr>
          <w:lang w:val="fr-FR"/>
        </w:rPr>
        <w:tab/>
      </w:r>
      <w:r w:rsidR="00AB5AA3">
        <w:rPr>
          <w:snapToGrid w:val="0"/>
          <w:lang w:val="fr-FR"/>
        </w:rPr>
        <w:t>La Haute Cour de justice</w:t>
      </w:r>
      <w:r w:rsidR="000B562B" w:rsidRPr="00A176EA">
        <w:rPr>
          <w:snapToGrid w:val="0"/>
          <w:lang w:val="fr-FR"/>
        </w:rPr>
        <w:t xml:space="preserve"> </w:t>
      </w:r>
      <w:r w:rsidR="00AB5AA3">
        <w:rPr>
          <w:snapToGrid w:val="0"/>
          <w:lang w:val="fr-FR"/>
        </w:rPr>
        <w:t>(</w:t>
      </w:r>
      <w:r w:rsidR="000B562B" w:rsidRPr="00A176EA">
        <w:rPr>
          <w:snapToGrid w:val="0"/>
          <w:lang w:val="fr-FR"/>
        </w:rPr>
        <w:t>High Court of Justice</w:t>
      </w:r>
      <w:r w:rsidR="00AB5AA3">
        <w:rPr>
          <w:snapToGrid w:val="0"/>
          <w:lang w:val="fr-FR"/>
        </w:rPr>
        <w:t xml:space="preserve">) comprend la </w:t>
      </w:r>
      <w:r w:rsidR="00F875C2">
        <w:rPr>
          <w:snapToGrid w:val="0"/>
          <w:lang w:val="fr-FR"/>
        </w:rPr>
        <w:t xml:space="preserve">Division de la </w:t>
      </w:r>
      <w:r w:rsidR="00D8070A">
        <w:rPr>
          <w:snapToGrid w:val="0"/>
          <w:lang w:val="fr-FR"/>
        </w:rPr>
        <w:t>C</w:t>
      </w:r>
      <w:r w:rsidR="00F875C2">
        <w:rPr>
          <w:snapToGrid w:val="0"/>
          <w:lang w:val="fr-FR"/>
        </w:rPr>
        <w:t xml:space="preserve">hancellerie </w:t>
      </w:r>
      <w:r w:rsidR="00AB5AA3">
        <w:rPr>
          <w:snapToGrid w:val="0"/>
          <w:lang w:val="fr-FR"/>
        </w:rPr>
        <w:t>(</w:t>
      </w:r>
      <w:r w:rsidR="00F875C2" w:rsidRPr="00A176EA">
        <w:rPr>
          <w:snapToGrid w:val="0"/>
          <w:lang w:val="fr-FR"/>
        </w:rPr>
        <w:t>Chancery Division</w:t>
      </w:r>
      <w:r w:rsidR="00AB5AA3">
        <w:rPr>
          <w:snapToGrid w:val="0"/>
          <w:lang w:val="fr-FR"/>
        </w:rPr>
        <w:t>)</w:t>
      </w:r>
      <w:r w:rsidR="000B562B" w:rsidRPr="00A176EA">
        <w:rPr>
          <w:snapToGrid w:val="0"/>
          <w:lang w:val="fr-FR"/>
        </w:rPr>
        <w:t xml:space="preserve">, </w:t>
      </w:r>
      <w:r w:rsidR="00AB5AA3">
        <w:rPr>
          <w:snapToGrid w:val="0"/>
          <w:lang w:val="fr-FR"/>
        </w:rPr>
        <w:t xml:space="preserve">la </w:t>
      </w:r>
      <w:r w:rsidR="00F875C2">
        <w:rPr>
          <w:snapToGrid w:val="0"/>
          <w:lang w:val="fr-FR"/>
        </w:rPr>
        <w:t xml:space="preserve">Division du Banc de la Reine </w:t>
      </w:r>
      <w:r w:rsidR="00AB5AA3">
        <w:rPr>
          <w:snapToGrid w:val="0"/>
          <w:lang w:val="fr-FR"/>
        </w:rPr>
        <w:t>(</w:t>
      </w:r>
      <w:r w:rsidR="00F875C2" w:rsidRPr="00A176EA">
        <w:rPr>
          <w:snapToGrid w:val="0"/>
          <w:lang w:val="fr-FR"/>
        </w:rPr>
        <w:t>Queen’s Bench Division</w:t>
      </w:r>
      <w:r w:rsidR="00AB5AA3">
        <w:rPr>
          <w:snapToGrid w:val="0"/>
          <w:lang w:val="fr-FR"/>
        </w:rPr>
        <w:t>)</w:t>
      </w:r>
      <w:r w:rsidR="000B562B" w:rsidRPr="00A176EA">
        <w:rPr>
          <w:snapToGrid w:val="0"/>
          <w:lang w:val="fr-FR"/>
        </w:rPr>
        <w:t xml:space="preserve"> </w:t>
      </w:r>
      <w:r w:rsidR="00AB5AA3">
        <w:rPr>
          <w:snapToGrid w:val="0"/>
          <w:lang w:val="fr-FR"/>
        </w:rPr>
        <w:t>et</w:t>
      </w:r>
      <w:r w:rsidR="000B562B" w:rsidRPr="00A176EA">
        <w:rPr>
          <w:snapToGrid w:val="0"/>
          <w:lang w:val="fr-FR"/>
        </w:rPr>
        <w:t xml:space="preserve"> </w:t>
      </w:r>
      <w:r w:rsidR="00AB5AA3">
        <w:rPr>
          <w:snapToGrid w:val="0"/>
          <w:lang w:val="fr-FR"/>
        </w:rPr>
        <w:t xml:space="preserve">la </w:t>
      </w:r>
      <w:r w:rsidR="00F875C2">
        <w:rPr>
          <w:snapToGrid w:val="0"/>
          <w:lang w:val="fr-FR"/>
        </w:rPr>
        <w:t xml:space="preserve">Division des affaires familiales </w:t>
      </w:r>
      <w:r w:rsidR="00AB5AA3">
        <w:rPr>
          <w:snapToGrid w:val="0"/>
          <w:lang w:val="fr-FR"/>
        </w:rPr>
        <w:t>(</w:t>
      </w:r>
      <w:r w:rsidR="00F875C2" w:rsidRPr="00A176EA">
        <w:rPr>
          <w:snapToGrid w:val="0"/>
          <w:lang w:val="fr-FR"/>
        </w:rPr>
        <w:t>Family Division</w:t>
      </w:r>
      <w:r w:rsidR="00AB5AA3">
        <w:rPr>
          <w:snapToGrid w:val="0"/>
          <w:lang w:val="fr-FR"/>
        </w:rPr>
        <w:t>)</w:t>
      </w:r>
      <w:r w:rsidR="000B562B" w:rsidRPr="00A176EA">
        <w:rPr>
          <w:snapToGrid w:val="0"/>
          <w:lang w:val="fr-FR"/>
        </w:rPr>
        <w:t xml:space="preserve">. </w:t>
      </w:r>
      <w:r w:rsidR="00157107" w:rsidRPr="00157107">
        <w:rPr>
          <w:snapToGrid w:val="0"/>
          <w:lang w:val="fr-FR"/>
        </w:rPr>
        <w:t xml:space="preserve">C’est à la fois une juridiction de première instance et une juridiction d’appel, qui connaît des procédures civiles et de certaines procédures pénales. Les affaires sont, suivant leur nature, réparties entre ces trois chambres. La </w:t>
      </w:r>
      <w:r w:rsidR="00F875C2" w:rsidRPr="00157107">
        <w:rPr>
          <w:snapToGrid w:val="0"/>
          <w:lang w:val="fr-FR"/>
        </w:rPr>
        <w:t xml:space="preserve">Division </w:t>
      </w:r>
      <w:r w:rsidR="00F875C2">
        <w:rPr>
          <w:snapToGrid w:val="0"/>
          <w:lang w:val="fr-FR"/>
        </w:rPr>
        <w:t>des affaires familiales</w:t>
      </w:r>
      <w:r w:rsidR="00157107" w:rsidRPr="00157107">
        <w:rPr>
          <w:snapToGrid w:val="0"/>
          <w:lang w:val="fr-FR"/>
        </w:rPr>
        <w:t xml:space="preserve"> s’occupe de tout ce qui touche à la famille, notamment les problèmes d’adoption et de garde des enfants. La Division </w:t>
      </w:r>
      <w:r w:rsidR="00F875C2">
        <w:rPr>
          <w:snapToGrid w:val="0"/>
          <w:lang w:val="fr-FR"/>
        </w:rPr>
        <w:t xml:space="preserve">de la </w:t>
      </w:r>
      <w:r w:rsidR="00D8070A">
        <w:rPr>
          <w:snapToGrid w:val="0"/>
          <w:lang w:val="fr-FR"/>
        </w:rPr>
        <w:t>C</w:t>
      </w:r>
      <w:r w:rsidR="00F875C2">
        <w:rPr>
          <w:snapToGrid w:val="0"/>
          <w:lang w:val="fr-FR"/>
        </w:rPr>
        <w:t xml:space="preserve">hancellerie </w:t>
      </w:r>
      <w:r w:rsidR="00157107" w:rsidRPr="00157107">
        <w:rPr>
          <w:snapToGrid w:val="0"/>
          <w:lang w:val="fr-FR"/>
        </w:rPr>
        <w:t xml:space="preserve">est spécialisée dans les affaires de succession. Le droit maritime </w:t>
      </w:r>
      <w:r w:rsidR="00D8070A">
        <w:rPr>
          <w:snapToGrid w:val="0"/>
          <w:lang w:val="fr-FR"/>
        </w:rPr>
        <w:t xml:space="preserve">le droit </w:t>
      </w:r>
      <w:r w:rsidR="00157107" w:rsidRPr="00157107">
        <w:rPr>
          <w:snapToGrid w:val="0"/>
          <w:lang w:val="fr-FR"/>
        </w:rPr>
        <w:t>et commercial relève</w:t>
      </w:r>
      <w:r w:rsidR="00D8070A">
        <w:rPr>
          <w:snapToGrid w:val="0"/>
          <w:lang w:val="fr-FR"/>
        </w:rPr>
        <w:t>nt</w:t>
      </w:r>
      <w:r w:rsidR="00157107" w:rsidRPr="00157107">
        <w:rPr>
          <w:snapToGrid w:val="0"/>
          <w:lang w:val="fr-FR"/>
        </w:rPr>
        <w:t xml:space="preserve"> des </w:t>
      </w:r>
      <w:r w:rsidR="00D8070A">
        <w:rPr>
          <w:snapToGrid w:val="0"/>
          <w:lang w:val="fr-FR"/>
        </w:rPr>
        <w:t>T</w:t>
      </w:r>
      <w:r w:rsidR="00157107" w:rsidRPr="00157107">
        <w:rPr>
          <w:snapToGrid w:val="0"/>
          <w:lang w:val="fr-FR"/>
        </w:rPr>
        <w:t xml:space="preserve">ribunaux des affaires maritimes et des </w:t>
      </w:r>
      <w:r w:rsidR="00D8070A">
        <w:rPr>
          <w:snapToGrid w:val="0"/>
          <w:lang w:val="fr-FR"/>
        </w:rPr>
        <w:t>T</w:t>
      </w:r>
      <w:r w:rsidR="00157107" w:rsidRPr="00157107">
        <w:rPr>
          <w:snapToGrid w:val="0"/>
          <w:lang w:val="fr-FR"/>
        </w:rPr>
        <w:t xml:space="preserve">ribunaux de commerce de la </w:t>
      </w:r>
      <w:r w:rsidR="00F875C2" w:rsidRPr="00157107">
        <w:rPr>
          <w:snapToGrid w:val="0"/>
          <w:lang w:val="fr-FR"/>
        </w:rPr>
        <w:t xml:space="preserve">Division </w:t>
      </w:r>
      <w:r w:rsidR="00F875C2">
        <w:rPr>
          <w:snapToGrid w:val="0"/>
          <w:lang w:val="fr-FR"/>
        </w:rPr>
        <w:t>du Banc de la Reine</w:t>
      </w:r>
      <w:r w:rsidR="000B562B" w:rsidRPr="00A176EA">
        <w:rPr>
          <w:snapToGrid w:val="0"/>
          <w:lang w:val="fr-FR"/>
        </w:rPr>
        <w:t>.</w:t>
      </w:r>
    </w:p>
    <w:p w:rsidR="000B562B" w:rsidRPr="00A176EA" w:rsidRDefault="002549A9" w:rsidP="00A8379B">
      <w:pPr>
        <w:pStyle w:val="SingleTxtG"/>
        <w:rPr>
          <w:snapToGrid w:val="0"/>
          <w:lang w:val="fr-FR"/>
        </w:rPr>
      </w:pPr>
      <w:r w:rsidRPr="00A176EA">
        <w:rPr>
          <w:snapToGrid w:val="0"/>
          <w:lang w:val="fr-FR"/>
        </w:rPr>
        <w:t>701.</w:t>
      </w:r>
      <w:r w:rsidRPr="00A176EA">
        <w:rPr>
          <w:snapToGrid w:val="0"/>
          <w:lang w:val="fr-FR"/>
        </w:rPr>
        <w:tab/>
      </w:r>
      <w:r w:rsidR="00004DE8">
        <w:rPr>
          <w:snapToGrid w:val="0"/>
          <w:lang w:val="fr-FR"/>
        </w:rPr>
        <w:t xml:space="preserve">En Angleterre et au pays </w:t>
      </w:r>
      <w:r w:rsidR="005601A1">
        <w:rPr>
          <w:snapToGrid w:val="0"/>
          <w:lang w:val="fr-FR"/>
        </w:rPr>
        <w:t>de Galles</w:t>
      </w:r>
      <w:r w:rsidR="000B562B" w:rsidRPr="00A176EA">
        <w:rPr>
          <w:snapToGrid w:val="0"/>
          <w:lang w:val="fr-FR"/>
        </w:rPr>
        <w:t xml:space="preserve">, </w:t>
      </w:r>
      <w:r w:rsidR="00004DE8">
        <w:rPr>
          <w:snapToGrid w:val="0"/>
          <w:lang w:val="fr-FR"/>
        </w:rPr>
        <w:t>la</w:t>
      </w:r>
      <w:r w:rsidR="000B562B" w:rsidRPr="00A176EA">
        <w:rPr>
          <w:snapToGrid w:val="0"/>
          <w:lang w:val="fr-FR"/>
        </w:rPr>
        <w:t xml:space="preserve"> Division </w:t>
      </w:r>
      <w:r w:rsidR="00F875C2">
        <w:rPr>
          <w:snapToGrid w:val="0"/>
          <w:lang w:val="fr-FR"/>
        </w:rPr>
        <w:t xml:space="preserve">des affaires familiales de la Haute Cour </w:t>
      </w:r>
      <w:r w:rsidR="00004DE8">
        <w:rPr>
          <w:snapToGrid w:val="0"/>
          <w:lang w:val="fr-FR"/>
        </w:rPr>
        <w:t xml:space="preserve">examine les </w:t>
      </w:r>
      <w:r w:rsidR="00D8070A">
        <w:rPr>
          <w:snapToGrid w:val="0"/>
          <w:lang w:val="fr-FR"/>
        </w:rPr>
        <w:t>pourvois en appel</w:t>
      </w:r>
      <w:r w:rsidR="00004DE8">
        <w:rPr>
          <w:snapToGrid w:val="0"/>
          <w:lang w:val="fr-FR"/>
        </w:rPr>
        <w:t xml:space="preserve"> contre les décisions des </w:t>
      </w:r>
      <w:r w:rsidR="00000CC2">
        <w:rPr>
          <w:snapToGrid w:val="0"/>
          <w:lang w:val="fr-FR"/>
        </w:rPr>
        <w:t>Tribunaux d’instance</w:t>
      </w:r>
      <w:r w:rsidR="00000CC2" w:rsidRPr="00C77A8D">
        <w:rPr>
          <w:lang w:val="fr-FR"/>
        </w:rPr>
        <w:t xml:space="preserve"> </w:t>
      </w:r>
      <w:r w:rsidR="00004DE8">
        <w:rPr>
          <w:snapToGrid w:val="0"/>
          <w:lang w:val="fr-FR"/>
        </w:rPr>
        <w:t xml:space="preserve">en matière d’affaires matrimoniales, d’adoption et de garde des enfants. </w:t>
      </w:r>
      <w:r w:rsidR="00004DE8" w:rsidRPr="00004DE8">
        <w:rPr>
          <w:snapToGrid w:val="0"/>
          <w:lang w:val="fr-FR"/>
        </w:rPr>
        <w:t xml:space="preserve">Les recours formés contre les décisions de la </w:t>
      </w:r>
      <w:r w:rsidR="00004DE8">
        <w:rPr>
          <w:snapToGrid w:val="0"/>
          <w:lang w:val="fr-FR"/>
        </w:rPr>
        <w:t>Haute Cour</w:t>
      </w:r>
      <w:r w:rsidR="00004DE8" w:rsidRPr="00004DE8">
        <w:rPr>
          <w:snapToGrid w:val="0"/>
          <w:lang w:val="fr-FR"/>
        </w:rPr>
        <w:t xml:space="preserve"> et des </w:t>
      </w:r>
      <w:r w:rsidR="00000CC2">
        <w:rPr>
          <w:snapToGrid w:val="0"/>
          <w:lang w:val="fr-FR"/>
        </w:rPr>
        <w:t>T</w:t>
      </w:r>
      <w:r w:rsidR="007853D8">
        <w:rPr>
          <w:snapToGrid w:val="0"/>
          <w:lang w:val="fr-FR"/>
        </w:rPr>
        <w:t>ribunaux</w:t>
      </w:r>
      <w:r w:rsidR="00004DE8">
        <w:rPr>
          <w:snapToGrid w:val="0"/>
          <w:lang w:val="fr-FR"/>
        </w:rPr>
        <w:t xml:space="preserve"> de comté</w:t>
      </w:r>
      <w:r w:rsidR="00004DE8" w:rsidRPr="00004DE8">
        <w:rPr>
          <w:snapToGrid w:val="0"/>
          <w:lang w:val="fr-FR"/>
        </w:rPr>
        <w:t xml:space="preserve"> relèvent de la chambre civile de la </w:t>
      </w:r>
      <w:r w:rsidR="00004DE8">
        <w:rPr>
          <w:snapToGrid w:val="0"/>
          <w:lang w:val="fr-FR"/>
        </w:rPr>
        <w:t>Cour d’appel (</w:t>
      </w:r>
      <w:r w:rsidR="00004DE8" w:rsidRPr="00004DE8">
        <w:rPr>
          <w:snapToGrid w:val="0"/>
          <w:lang w:val="fr-FR"/>
        </w:rPr>
        <w:t>Court of Appeal</w:t>
      </w:r>
      <w:r w:rsidR="00004DE8">
        <w:rPr>
          <w:snapToGrid w:val="0"/>
          <w:lang w:val="fr-FR"/>
        </w:rPr>
        <w:t>)</w:t>
      </w:r>
      <w:r w:rsidR="00004DE8" w:rsidRPr="00004DE8">
        <w:rPr>
          <w:snapToGrid w:val="0"/>
          <w:lang w:val="fr-FR"/>
        </w:rPr>
        <w:t>, qui comprend le Master of the Rolls (Président) et 35 Lords Justice of Appeal (juges</w:t>
      </w:r>
      <w:r w:rsidR="005031B9">
        <w:rPr>
          <w:snapToGrid w:val="0"/>
          <w:lang w:val="fr-FR"/>
        </w:rPr>
        <w:t>). La</w:t>
      </w:r>
      <w:r w:rsidR="000B562B" w:rsidRPr="00A176EA">
        <w:rPr>
          <w:snapToGrid w:val="0"/>
          <w:lang w:val="fr-FR"/>
        </w:rPr>
        <w:t xml:space="preserve"> </w:t>
      </w:r>
      <w:r w:rsidR="005031B9">
        <w:rPr>
          <w:snapToGrid w:val="0"/>
          <w:lang w:val="fr-FR"/>
        </w:rPr>
        <w:t>Cour suprême est la juridiction de dernier ressort, en matière civile comme pénale. Elle est présidée par 12 juges</w:t>
      </w:r>
      <w:r w:rsidR="000844D4">
        <w:rPr>
          <w:snapToGrid w:val="0"/>
          <w:lang w:val="fr-FR"/>
        </w:rPr>
        <w:t>, les J</w:t>
      </w:r>
      <w:r w:rsidR="000B562B" w:rsidRPr="00A176EA">
        <w:rPr>
          <w:snapToGrid w:val="0"/>
          <w:lang w:val="fr-FR"/>
        </w:rPr>
        <w:t>ustices of the Supreme Court</w:t>
      </w:r>
      <w:r w:rsidR="00597417">
        <w:rPr>
          <w:snapToGrid w:val="0"/>
          <w:lang w:val="fr-FR"/>
        </w:rPr>
        <w:t>,</w:t>
      </w:r>
      <w:r w:rsidR="00597417" w:rsidRPr="00597417">
        <w:rPr>
          <w:snapToGrid w:val="0"/>
          <w:lang w:val="fr-FR"/>
        </w:rPr>
        <w:t xml:space="preserve"> </w:t>
      </w:r>
      <w:r w:rsidR="00597417">
        <w:rPr>
          <w:snapToGrid w:val="0"/>
          <w:lang w:val="fr-FR"/>
        </w:rPr>
        <w:t>nommés par un</w:t>
      </w:r>
      <w:r w:rsidR="006F1F43">
        <w:rPr>
          <w:snapToGrid w:val="0"/>
          <w:lang w:val="fr-FR"/>
        </w:rPr>
        <w:t>e</w:t>
      </w:r>
      <w:r w:rsidR="00597417">
        <w:rPr>
          <w:snapToGrid w:val="0"/>
          <w:lang w:val="fr-FR"/>
        </w:rPr>
        <w:t xml:space="preserve"> </w:t>
      </w:r>
      <w:r w:rsidR="006F1F43">
        <w:rPr>
          <w:snapToGrid w:val="0"/>
          <w:lang w:val="fr-FR"/>
        </w:rPr>
        <w:t>commission</w:t>
      </w:r>
      <w:r w:rsidR="00597417">
        <w:rPr>
          <w:snapToGrid w:val="0"/>
          <w:lang w:val="fr-FR"/>
        </w:rPr>
        <w:t xml:space="preserve"> indépendant</w:t>
      </w:r>
      <w:r w:rsidR="006F1F43">
        <w:rPr>
          <w:snapToGrid w:val="0"/>
          <w:lang w:val="fr-FR"/>
        </w:rPr>
        <w:t>e</w:t>
      </w:r>
      <w:r w:rsidR="000B562B" w:rsidRPr="00A176EA">
        <w:rPr>
          <w:snapToGrid w:val="0"/>
          <w:lang w:val="fr-FR"/>
        </w:rPr>
        <w:t>.</w:t>
      </w:r>
    </w:p>
    <w:p w:rsidR="000B562B" w:rsidRPr="00910FBC" w:rsidRDefault="00FD2CE1" w:rsidP="00DC1857">
      <w:pPr>
        <w:pStyle w:val="H23G"/>
        <w:rPr>
          <w:lang w:val="fr-FR"/>
        </w:rPr>
      </w:pPr>
      <w:r w:rsidRPr="00910FBC">
        <w:rPr>
          <w:lang w:val="fr-FR"/>
        </w:rPr>
        <w:t>Écosse</w:t>
      </w:r>
    </w:p>
    <w:p w:rsidR="000B562B" w:rsidRPr="00A176EA" w:rsidRDefault="002549A9" w:rsidP="00A8379B">
      <w:pPr>
        <w:pStyle w:val="SingleTxtG"/>
        <w:rPr>
          <w:lang w:val="fr-FR"/>
        </w:rPr>
      </w:pPr>
      <w:r w:rsidRPr="00910FBC">
        <w:rPr>
          <w:lang w:val="fr-FR"/>
        </w:rPr>
        <w:t>702.</w:t>
      </w:r>
      <w:r w:rsidRPr="00910FBC">
        <w:rPr>
          <w:lang w:val="fr-FR"/>
        </w:rPr>
        <w:tab/>
      </w:r>
      <w:r w:rsidR="00910FBC" w:rsidRPr="00910FBC">
        <w:rPr>
          <w:lang w:val="fr-FR"/>
        </w:rPr>
        <w:t>Les principales juridictions civiles d’</w:t>
      </w:r>
      <w:r w:rsidR="00FD2CE1" w:rsidRPr="00910FBC">
        <w:rPr>
          <w:lang w:val="fr-FR"/>
        </w:rPr>
        <w:t>Écosse</w:t>
      </w:r>
      <w:r w:rsidR="000B562B" w:rsidRPr="00910FBC">
        <w:rPr>
          <w:lang w:val="fr-FR"/>
        </w:rPr>
        <w:t xml:space="preserve"> </w:t>
      </w:r>
      <w:r w:rsidR="00910FBC">
        <w:rPr>
          <w:lang w:val="fr-FR"/>
        </w:rPr>
        <w:t xml:space="preserve">sont le </w:t>
      </w:r>
      <w:r w:rsidR="000B0B40">
        <w:rPr>
          <w:lang w:val="fr-FR"/>
        </w:rPr>
        <w:t>Tribunal</w:t>
      </w:r>
      <w:r w:rsidR="00910FBC">
        <w:rPr>
          <w:lang w:val="fr-FR"/>
        </w:rPr>
        <w:t xml:space="preserve"> de </w:t>
      </w:r>
      <w:r w:rsidR="002E0C2B">
        <w:rPr>
          <w:lang w:val="fr-FR"/>
        </w:rPr>
        <w:t xml:space="preserve">shérif et la </w:t>
      </w:r>
      <w:r w:rsidR="002E0C2B" w:rsidRPr="000B43D6">
        <w:rPr>
          <w:lang w:val="fr-FR"/>
        </w:rPr>
        <w:t>Cour</w:t>
      </w:r>
      <w:r w:rsidR="002E0C2B">
        <w:rPr>
          <w:lang w:val="fr-FR"/>
        </w:rPr>
        <w:t xml:space="preserve"> de session</w:t>
      </w:r>
      <w:r w:rsidR="000B562B" w:rsidRPr="00910FBC">
        <w:rPr>
          <w:lang w:val="fr-FR"/>
        </w:rPr>
        <w:t xml:space="preserve"> </w:t>
      </w:r>
      <w:r w:rsidR="002E0C2B">
        <w:rPr>
          <w:lang w:val="fr-FR"/>
        </w:rPr>
        <w:t>(</w:t>
      </w:r>
      <w:r w:rsidR="000B562B" w:rsidRPr="00910FBC">
        <w:rPr>
          <w:lang w:val="fr-FR"/>
        </w:rPr>
        <w:t>Court of Session</w:t>
      </w:r>
      <w:r w:rsidR="002E0C2B">
        <w:rPr>
          <w:lang w:val="fr-FR"/>
        </w:rPr>
        <w:t>)</w:t>
      </w:r>
      <w:r w:rsidR="000B562B" w:rsidRPr="00910FBC">
        <w:rPr>
          <w:lang w:val="fr-FR"/>
        </w:rPr>
        <w:t xml:space="preserve">. </w:t>
      </w:r>
      <w:r w:rsidR="002E0C2B" w:rsidRPr="002E0C2B">
        <w:rPr>
          <w:lang w:val="fr-FR"/>
        </w:rPr>
        <w:t xml:space="preserve">La compétence des </w:t>
      </w:r>
      <w:r w:rsidR="000B0B40">
        <w:rPr>
          <w:lang w:val="fr-FR"/>
        </w:rPr>
        <w:t>Tribunaux</w:t>
      </w:r>
      <w:r w:rsidR="002E0C2B">
        <w:rPr>
          <w:lang w:val="fr-FR"/>
        </w:rPr>
        <w:t xml:space="preserve"> de shérif</w:t>
      </w:r>
      <w:r w:rsidR="002E0C2B" w:rsidRPr="002E0C2B">
        <w:rPr>
          <w:lang w:val="fr-FR"/>
        </w:rPr>
        <w:t xml:space="preserve"> couvre la quasi-totalité des affaires de droit civil et tous les types de procédure </w:t>
      </w:r>
      <w:r w:rsidR="002E0C2B">
        <w:rPr>
          <w:lang w:val="fr-FR"/>
        </w:rPr>
        <w:t xml:space="preserve">hormis </w:t>
      </w:r>
      <w:r w:rsidR="002E0C2B" w:rsidRPr="002E0C2B">
        <w:rPr>
          <w:lang w:val="fr-FR"/>
        </w:rPr>
        <w:t xml:space="preserve">certains recours et requêtes qui relèvent </w:t>
      </w:r>
      <w:r w:rsidR="002E0C2B" w:rsidRPr="000B43D6">
        <w:rPr>
          <w:lang w:val="fr-FR"/>
        </w:rPr>
        <w:t>de la Cour de</w:t>
      </w:r>
      <w:r w:rsidR="002E0C2B" w:rsidRPr="002E0C2B">
        <w:rPr>
          <w:lang w:val="fr-FR"/>
        </w:rPr>
        <w:t xml:space="preserve"> </w:t>
      </w:r>
      <w:r w:rsidR="002E0C2B">
        <w:rPr>
          <w:lang w:val="fr-FR"/>
        </w:rPr>
        <w:t>s</w:t>
      </w:r>
      <w:r w:rsidR="002E0C2B" w:rsidRPr="002E0C2B">
        <w:rPr>
          <w:lang w:val="fr-FR"/>
        </w:rPr>
        <w:t xml:space="preserve">ession. Une bonne part des affaires sont jugées par le </w:t>
      </w:r>
      <w:r w:rsidR="00D8070A">
        <w:rPr>
          <w:lang w:val="fr-FR"/>
        </w:rPr>
        <w:t>S</w:t>
      </w:r>
      <w:r w:rsidR="002E0C2B">
        <w:rPr>
          <w:lang w:val="fr-FR"/>
        </w:rPr>
        <w:t>h</w:t>
      </w:r>
      <w:r w:rsidR="006F1F43">
        <w:rPr>
          <w:lang w:val="fr-FR"/>
        </w:rPr>
        <w:t>é</w:t>
      </w:r>
      <w:r w:rsidR="002E0C2B">
        <w:rPr>
          <w:lang w:val="fr-FR"/>
        </w:rPr>
        <w:t>rif</w:t>
      </w:r>
      <w:r w:rsidR="002E0C2B" w:rsidRPr="002E0C2B">
        <w:rPr>
          <w:lang w:val="fr-FR"/>
        </w:rPr>
        <w:t xml:space="preserve">, dont les décisions sont susceptibles d’appel auprès du </w:t>
      </w:r>
      <w:r w:rsidR="00D8070A">
        <w:rPr>
          <w:lang w:val="fr-FR"/>
        </w:rPr>
        <w:t>S</w:t>
      </w:r>
      <w:r w:rsidR="002E0C2B" w:rsidRPr="002E0C2B">
        <w:rPr>
          <w:lang w:val="fr-FR"/>
        </w:rPr>
        <w:t>h</w:t>
      </w:r>
      <w:r w:rsidR="006F1F43">
        <w:rPr>
          <w:lang w:val="fr-FR"/>
        </w:rPr>
        <w:t>é</w:t>
      </w:r>
      <w:r w:rsidR="002E0C2B" w:rsidRPr="002E0C2B">
        <w:rPr>
          <w:lang w:val="fr-FR"/>
        </w:rPr>
        <w:t>rif</w:t>
      </w:r>
      <w:r w:rsidR="006F1F43">
        <w:rPr>
          <w:lang w:val="fr-FR"/>
        </w:rPr>
        <w:t xml:space="preserve"> </w:t>
      </w:r>
      <w:r w:rsidR="002E0C2B" w:rsidRPr="002E0C2B">
        <w:rPr>
          <w:lang w:val="fr-FR"/>
        </w:rPr>
        <w:t xml:space="preserve">principal ou directement devant la Cour </w:t>
      </w:r>
      <w:r w:rsidR="002E0C2B">
        <w:rPr>
          <w:lang w:val="fr-FR"/>
        </w:rPr>
        <w:t>de</w:t>
      </w:r>
      <w:r w:rsidR="002E0C2B" w:rsidRPr="002E0C2B">
        <w:rPr>
          <w:lang w:val="fr-FR"/>
        </w:rPr>
        <w:t xml:space="preserve"> </w:t>
      </w:r>
      <w:r w:rsidR="002E0C2B">
        <w:rPr>
          <w:lang w:val="fr-FR"/>
        </w:rPr>
        <w:t>s</w:t>
      </w:r>
      <w:r w:rsidR="002E0C2B" w:rsidRPr="002E0C2B">
        <w:rPr>
          <w:lang w:val="fr-FR"/>
        </w:rPr>
        <w:t xml:space="preserve">ession. Le </w:t>
      </w:r>
      <w:r w:rsidR="00D8070A">
        <w:rPr>
          <w:lang w:val="fr-FR"/>
        </w:rPr>
        <w:t>S</w:t>
      </w:r>
      <w:r w:rsidR="002E0C2B" w:rsidRPr="002E0C2B">
        <w:rPr>
          <w:lang w:val="fr-FR"/>
        </w:rPr>
        <w:t>h</w:t>
      </w:r>
      <w:r w:rsidR="002E0C2B">
        <w:rPr>
          <w:lang w:val="fr-FR"/>
        </w:rPr>
        <w:t>é</w:t>
      </w:r>
      <w:r w:rsidR="002E0C2B" w:rsidRPr="002E0C2B">
        <w:rPr>
          <w:lang w:val="fr-FR"/>
        </w:rPr>
        <w:t xml:space="preserve">rif connaît aussi d’un certain nombre d’appels et de requêtes, par exemple contre les décisions des </w:t>
      </w:r>
      <w:r w:rsidR="006F1F43">
        <w:rPr>
          <w:lang w:val="fr-FR"/>
        </w:rPr>
        <w:t>comités délivrant les licences d’exploitation</w:t>
      </w:r>
      <w:r w:rsidR="000B562B" w:rsidRPr="00A176EA">
        <w:rPr>
          <w:lang w:val="fr-FR"/>
        </w:rPr>
        <w:t>.</w:t>
      </w:r>
    </w:p>
    <w:p w:rsidR="000B562B" w:rsidRPr="00A176EA" w:rsidRDefault="002549A9" w:rsidP="00A8379B">
      <w:pPr>
        <w:pStyle w:val="SingleTxtG"/>
        <w:rPr>
          <w:lang w:val="fr-FR"/>
        </w:rPr>
      </w:pPr>
      <w:r w:rsidRPr="00A176EA">
        <w:rPr>
          <w:lang w:val="fr-FR"/>
        </w:rPr>
        <w:t>703.</w:t>
      </w:r>
      <w:r w:rsidRPr="00A176EA">
        <w:rPr>
          <w:lang w:val="fr-FR"/>
        </w:rPr>
        <w:tab/>
      </w:r>
      <w:r w:rsidR="006F1F43" w:rsidRPr="000B43D6">
        <w:rPr>
          <w:snapToGrid w:val="0"/>
          <w:lang w:val="fr-FR"/>
        </w:rPr>
        <w:t>La</w:t>
      </w:r>
      <w:r w:rsidR="000B562B" w:rsidRPr="000B43D6">
        <w:rPr>
          <w:snapToGrid w:val="0"/>
          <w:lang w:val="fr-FR"/>
        </w:rPr>
        <w:t xml:space="preserve"> Cour </w:t>
      </w:r>
      <w:r w:rsidR="006F1F43" w:rsidRPr="000B43D6">
        <w:rPr>
          <w:snapToGrid w:val="0"/>
          <w:lang w:val="fr-FR"/>
        </w:rPr>
        <w:t>de</w:t>
      </w:r>
      <w:r w:rsidR="000B562B" w:rsidRPr="000B43D6">
        <w:rPr>
          <w:snapToGrid w:val="0"/>
          <w:lang w:val="fr-FR"/>
        </w:rPr>
        <w:t xml:space="preserve"> </w:t>
      </w:r>
      <w:r w:rsidR="006F1F43" w:rsidRPr="000B43D6">
        <w:rPr>
          <w:snapToGrid w:val="0"/>
          <w:lang w:val="fr-FR"/>
        </w:rPr>
        <w:t>s</w:t>
      </w:r>
      <w:r w:rsidR="000B562B" w:rsidRPr="000B43D6">
        <w:rPr>
          <w:snapToGrid w:val="0"/>
          <w:lang w:val="fr-FR"/>
        </w:rPr>
        <w:t>ession</w:t>
      </w:r>
      <w:r w:rsidR="000B562B" w:rsidRPr="00A176EA">
        <w:rPr>
          <w:snapToGrid w:val="0"/>
          <w:lang w:val="fr-FR"/>
        </w:rPr>
        <w:t xml:space="preserve"> </w:t>
      </w:r>
      <w:r w:rsidR="006F1F43">
        <w:rPr>
          <w:snapToGrid w:val="0"/>
          <w:lang w:val="fr-FR"/>
        </w:rPr>
        <w:t xml:space="preserve">ne siège qu’à Édimbourg et, de façon générale, connaît de tous types d’affaires. </w:t>
      </w:r>
      <w:r w:rsidR="00870748">
        <w:rPr>
          <w:snapToGrid w:val="0"/>
          <w:lang w:val="fr-FR"/>
        </w:rPr>
        <w:t xml:space="preserve">Toutefois, celles portant sur un montant inférieur à une limite prévue par la loi relève </w:t>
      </w:r>
      <w:r w:rsidR="000B0B40">
        <w:rPr>
          <w:snapToGrid w:val="0"/>
          <w:lang w:val="fr-FR"/>
        </w:rPr>
        <w:t>du Tribunal</w:t>
      </w:r>
      <w:r w:rsidR="00870748">
        <w:rPr>
          <w:snapToGrid w:val="0"/>
          <w:lang w:val="fr-FR"/>
        </w:rPr>
        <w:t xml:space="preserve"> de shérif. La </w:t>
      </w:r>
      <w:r w:rsidR="00870748" w:rsidRPr="000B43D6">
        <w:rPr>
          <w:snapToGrid w:val="0"/>
          <w:lang w:val="fr-FR"/>
        </w:rPr>
        <w:t>Cour de</w:t>
      </w:r>
      <w:r w:rsidR="000B562B" w:rsidRPr="000B43D6">
        <w:rPr>
          <w:snapToGrid w:val="0"/>
          <w:lang w:val="fr-FR"/>
        </w:rPr>
        <w:t xml:space="preserve"> </w:t>
      </w:r>
      <w:r w:rsidR="00870748" w:rsidRPr="000B43D6">
        <w:rPr>
          <w:snapToGrid w:val="0"/>
          <w:lang w:val="fr-FR"/>
        </w:rPr>
        <w:t>s</w:t>
      </w:r>
      <w:r w:rsidR="000B562B" w:rsidRPr="000B43D6">
        <w:rPr>
          <w:snapToGrid w:val="0"/>
          <w:lang w:val="fr-FR"/>
        </w:rPr>
        <w:t xml:space="preserve">ession </w:t>
      </w:r>
      <w:r w:rsidR="00870748" w:rsidRPr="000B43D6">
        <w:rPr>
          <w:snapToGrid w:val="0"/>
          <w:lang w:val="fr-FR"/>
        </w:rPr>
        <w:t xml:space="preserve">dispose de plusieurs procédures </w:t>
      </w:r>
      <w:r w:rsidR="00740894" w:rsidRPr="000B43D6">
        <w:rPr>
          <w:snapToGrid w:val="0"/>
          <w:lang w:val="fr-FR"/>
        </w:rPr>
        <w:t xml:space="preserve">spéciales </w:t>
      </w:r>
      <w:r w:rsidR="00870748" w:rsidRPr="000B43D6">
        <w:rPr>
          <w:snapToGrid w:val="0"/>
          <w:lang w:val="fr-FR"/>
        </w:rPr>
        <w:t>applicables aux différents types d’affaires</w:t>
      </w:r>
      <w:r w:rsidR="00870748" w:rsidRPr="00870748">
        <w:rPr>
          <w:snapToGrid w:val="0"/>
          <w:lang w:val="fr-FR"/>
        </w:rPr>
        <w:t xml:space="preserve">, notamment aux affaires commerciales et aux </w:t>
      </w:r>
      <w:r w:rsidR="00B1165F">
        <w:rPr>
          <w:snapToGrid w:val="0"/>
          <w:lang w:val="fr-FR"/>
        </w:rPr>
        <w:t>recours indemnitaires</w:t>
      </w:r>
      <w:r w:rsidR="00870748" w:rsidRPr="00870748">
        <w:rPr>
          <w:snapToGrid w:val="0"/>
          <w:lang w:val="fr-FR"/>
        </w:rPr>
        <w:t xml:space="preserve"> en cas de </w:t>
      </w:r>
      <w:r w:rsidR="00870748">
        <w:rPr>
          <w:snapToGrid w:val="0"/>
          <w:lang w:val="fr-FR"/>
        </w:rPr>
        <w:t>préjudice</w:t>
      </w:r>
      <w:r w:rsidR="00870748" w:rsidRPr="00870748">
        <w:rPr>
          <w:snapToGrid w:val="0"/>
          <w:lang w:val="fr-FR"/>
        </w:rPr>
        <w:t xml:space="preserve"> corporel ou de décès. Elle a compétence exclusive pour certaines affaires de caractère international, notamment au titre des conventions internationales relatives à l’enlèvement </w:t>
      </w:r>
      <w:r w:rsidR="00740894">
        <w:rPr>
          <w:snapToGrid w:val="0"/>
          <w:lang w:val="fr-FR"/>
        </w:rPr>
        <w:t>d’enfants</w:t>
      </w:r>
      <w:r w:rsidR="00740894" w:rsidRPr="00870748">
        <w:rPr>
          <w:snapToGrid w:val="0"/>
          <w:lang w:val="fr-FR"/>
        </w:rPr>
        <w:t xml:space="preserve"> </w:t>
      </w:r>
      <w:r w:rsidR="00870748" w:rsidRPr="00870748">
        <w:rPr>
          <w:snapToGrid w:val="0"/>
          <w:lang w:val="fr-FR"/>
        </w:rPr>
        <w:t xml:space="preserve">et à </w:t>
      </w:r>
      <w:r w:rsidR="00870748">
        <w:rPr>
          <w:snapToGrid w:val="0"/>
          <w:lang w:val="fr-FR"/>
        </w:rPr>
        <w:t>la garde</w:t>
      </w:r>
      <w:r w:rsidR="00740894">
        <w:rPr>
          <w:snapToGrid w:val="0"/>
          <w:lang w:val="fr-FR"/>
        </w:rPr>
        <w:t xml:space="preserve"> des enfants</w:t>
      </w:r>
      <w:r w:rsidR="000B562B" w:rsidRPr="00A176EA">
        <w:rPr>
          <w:snapToGrid w:val="0"/>
          <w:lang w:val="fr-FR"/>
        </w:rPr>
        <w:t xml:space="preserve">. </w:t>
      </w:r>
      <w:r w:rsidR="00740894">
        <w:rPr>
          <w:snapToGrid w:val="0"/>
          <w:lang w:val="fr-FR"/>
        </w:rPr>
        <w:t xml:space="preserve">En matière civile, les appels formés contre une décision de la Chambre intérieure (Inner House) de la </w:t>
      </w:r>
      <w:r w:rsidR="00740894" w:rsidRPr="000B43D6">
        <w:rPr>
          <w:snapToGrid w:val="0"/>
          <w:lang w:val="fr-FR"/>
        </w:rPr>
        <w:t>Cour de</w:t>
      </w:r>
      <w:r w:rsidR="00740894">
        <w:rPr>
          <w:snapToGrid w:val="0"/>
          <w:lang w:val="fr-FR"/>
        </w:rPr>
        <w:t xml:space="preserve"> session peuvent </w:t>
      </w:r>
      <w:r w:rsidR="00D92661">
        <w:rPr>
          <w:snapToGrid w:val="0"/>
          <w:lang w:val="fr-FR"/>
        </w:rPr>
        <w:t>être examinés par</w:t>
      </w:r>
      <w:r w:rsidR="00740894">
        <w:rPr>
          <w:snapToGrid w:val="0"/>
          <w:lang w:val="fr-FR"/>
        </w:rPr>
        <w:t xml:space="preserve"> la Cour suprême </w:t>
      </w:r>
      <w:r w:rsidR="00D92661">
        <w:rPr>
          <w:snapToGrid w:val="0"/>
          <w:lang w:val="fr-FR"/>
        </w:rPr>
        <w:t>du Royaume-Uni</w:t>
      </w:r>
      <w:r w:rsidR="00B1165F" w:rsidRPr="00B1165F">
        <w:rPr>
          <w:snapToGrid w:val="0"/>
          <w:lang w:val="fr-FR"/>
        </w:rPr>
        <w:t xml:space="preserve"> </w:t>
      </w:r>
      <w:r w:rsidR="00B1165F">
        <w:rPr>
          <w:snapToGrid w:val="0"/>
          <w:lang w:val="fr-FR"/>
        </w:rPr>
        <w:t>qui</w:t>
      </w:r>
      <w:r w:rsidR="000B562B" w:rsidRPr="00A176EA">
        <w:rPr>
          <w:snapToGrid w:val="0"/>
          <w:lang w:val="fr-FR"/>
        </w:rPr>
        <w:t xml:space="preserve">, </w:t>
      </w:r>
      <w:r w:rsidR="00B1165F" w:rsidRPr="00EF5973">
        <w:rPr>
          <w:snapToGrid w:val="0"/>
          <w:lang w:val="fr-FR"/>
        </w:rPr>
        <w:t>pour l’</w:t>
      </w:r>
      <w:r w:rsidR="00B1165F" w:rsidRPr="00EF5973">
        <w:rPr>
          <w:lang w:val="fr-FR"/>
        </w:rPr>
        <w:t>Écosse</w:t>
      </w:r>
      <w:r w:rsidR="00B1165F">
        <w:rPr>
          <w:lang w:val="fr-FR"/>
        </w:rPr>
        <w:t xml:space="preserve">, </w:t>
      </w:r>
      <w:r w:rsidR="00EF5973">
        <w:rPr>
          <w:snapToGrid w:val="0"/>
          <w:lang w:val="fr-FR"/>
        </w:rPr>
        <w:t>est</w:t>
      </w:r>
      <w:r w:rsidR="000B562B" w:rsidRPr="00A176EA">
        <w:rPr>
          <w:snapToGrid w:val="0"/>
          <w:lang w:val="fr-FR"/>
        </w:rPr>
        <w:t xml:space="preserve"> </w:t>
      </w:r>
      <w:r w:rsidR="00EF5973">
        <w:rPr>
          <w:snapToGrid w:val="0"/>
          <w:lang w:val="fr-FR"/>
        </w:rPr>
        <w:t xml:space="preserve">la juridiction d’appel de dernier ressort </w:t>
      </w:r>
      <w:r w:rsidR="00EF5973">
        <w:rPr>
          <w:lang w:val="fr-FR"/>
        </w:rPr>
        <w:t>en matière civile</w:t>
      </w:r>
      <w:r w:rsidR="000B562B" w:rsidRPr="00EF5973">
        <w:rPr>
          <w:snapToGrid w:val="0"/>
          <w:lang w:val="fr-FR"/>
        </w:rPr>
        <w:t>.</w:t>
      </w:r>
    </w:p>
    <w:p w:rsidR="000B562B" w:rsidRPr="00A176EA" w:rsidRDefault="002549A9" w:rsidP="00A8379B">
      <w:pPr>
        <w:pStyle w:val="SingleTxtG"/>
        <w:rPr>
          <w:lang w:val="fr-FR"/>
        </w:rPr>
      </w:pPr>
      <w:r w:rsidRPr="00A176EA">
        <w:rPr>
          <w:lang w:val="fr-FR"/>
        </w:rPr>
        <w:t>704.</w:t>
      </w:r>
      <w:r w:rsidRPr="00A176EA">
        <w:rPr>
          <w:lang w:val="fr-FR"/>
        </w:rPr>
        <w:tab/>
      </w:r>
      <w:r w:rsidR="00EF5973" w:rsidRPr="00EF5973">
        <w:rPr>
          <w:snapToGrid w:val="0"/>
          <w:lang w:val="fr-FR"/>
        </w:rPr>
        <w:t>L</w:t>
      </w:r>
      <w:r w:rsidR="00EF5973">
        <w:rPr>
          <w:snapToGrid w:val="0"/>
          <w:lang w:val="fr-FR"/>
        </w:rPr>
        <w:t>e Tribunal foncier écossais</w:t>
      </w:r>
      <w:r w:rsidR="00EF5973" w:rsidRPr="00EF5973">
        <w:rPr>
          <w:snapToGrid w:val="0"/>
          <w:lang w:val="fr-FR"/>
        </w:rPr>
        <w:t xml:space="preserve"> </w:t>
      </w:r>
      <w:r w:rsidR="00EF5973">
        <w:rPr>
          <w:snapToGrid w:val="0"/>
          <w:lang w:val="fr-FR"/>
        </w:rPr>
        <w:t>(</w:t>
      </w:r>
      <w:r w:rsidR="00EF5973" w:rsidRPr="00EF5973">
        <w:rPr>
          <w:snapToGrid w:val="0"/>
          <w:lang w:val="fr-FR"/>
        </w:rPr>
        <w:t>Scottish Land Court</w:t>
      </w:r>
      <w:r w:rsidR="00EF5973">
        <w:rPr>
          <w:snapToGrid w:val="0"/>
          <w:lang w:val="fr-FR"/>
        </w:rPr>
        <w:t>)</w:t>
      </w:r>
      <w:r w:rsidR="00EF5973" w:rsidRPr="00EF5973">
        <w:rPr>
          <w:snapToGrid w:val="0"/>
          <w:lang w:val="fr-FR"/>
        </w:rPr>
        <w:t xml:space="preserve"> est une juridiction spécialisée dans les questions agricoles. Son président a le même rang et un mandat de mê</w:t>
      </w:r>
      <w:r w:rsidR="00CD63FF">
        <w:rPr>
          <w:snapToGrid w:val="0"/>
          <w:lang w:val="fr-FR"/>
        </w:rPr>
        <w:t>me durée qu’un juge de la Cour</w:t>
      </w:r>
      <w:r w:rsidR="00EF5973" w:rsidRPr="00EF5973">
        <w:rPr>
          <w:snapToGrid w:val="0"/>
          <w:lang w:val="fr-FR"/>
        </w:rPr>
        <w:t xml:space="preserve"> </w:t>
      </w:r>
      <w:r w:rsidR="00CD63FF">
        <w:rPr>
          <w:snapToGrid w:val="0"/>
          <w:lang w:val="fr-FR"/>
        </w:rPr>
        <w:t>de</w:t>
      </w:r>
      <w:r w:rsidR="00EF5973" w:rsidRPr="00EF5973">
        <w:rPr>
          <w:snapToGrid w:val="0"/>
          <w:lang w:val="fr-FR"/>
        </w:rPr>
        <w:t xml:space="preserve"> </w:t>
      </w:r>
      <w:r w:rsidR="00CD63FF">
        <w:rPr>
          <w:snapToGrid w:val="0"/>
          <w:lang w:val="fr-FR"/>
        </w:rPr>
        <w:t>s</w:t>
      </w:r>
      <w:r w:rsidR="00EF5973" w:rsidRPr="00EF5973">
        <w:rPr>
          <w:snapToGrid w:val="0"/>
          <w:lang w:val="fr-FR"/>
        </w:rPr>
        <w:t>ession, et ses membres sont des juges non professionnels spécialistes des questions agricoles</w:t>
      </w:r>
      <w:r w:rsidR="00CD63FF">
        <w:rPr>
          <w:snapToGrid w:val="0"/>
          <w:lang w:val="fr-FR"/>
        </w:rPr>
        <w:t>.</w:t>
      </w:r>
    </w:p>
    <w:p w:rsidR="000B562B" w:rsidRPr="00A176EA" w:rsidRDefault="008F3DA4" w:rsidP="00DC1857">
      <w:pPr>
        <w:pStyle w:val="H23G"/>
        <w:rPr>
          <w:lang w:val="fr-FR"/>
        </w:rPr>
      </w:pPr>
      <w:r w:rsidRPr="00CD63FF">
        <w:rPr>
          <w:lang w:val="fr-FR"/>
        </w:rPr>
        <w:t>Irlande du Nord</w:t>
      </w:r>
    </w:p>
    <w:p w:rsidR="000B562B" w:rsidRPr="00A176EA" w:rsidRDefault="002549A9" w:rsidP="00A8379B">
      <w:pPr>
        <w:pStyle w:val="SingleTxtG"/>
        <w:rPr>
          <w:lang w:val="fr-FR"/>
        </w:rPr>
      </w:pPr>
      <w:r w:rsidRPr="00A176EA">
        <w:rPr>
          <w:lang w:val="fr-FR"/>
        </w:rPr>
        <w:t>705.</w:t>
      </w:r>
      <w:r w:rsidRPr="00A176EA">
        <w:rPr>
          <w:lang w:val="fr-FR"/>
        </w:rPr>
        <w:tab/>
      </w:r>
      <w:r w:rsidR="000A2097">
        <w:rPr>
          <w:lang w:val="fr-FR"/>
        </w:rPr>
        <w:t xml:space="preserve">En </w:t>
      </w:r>
      <w:r w:rsidR="000A2097" w:rsidRPr="000A2097">
        <w:rPr>
          <w:lang w:val="fr-FR"/>
        </w:rPr>
        <w:t>Irlande du Nord, les</w:t>
      </w:r>
      <w:r w:rsidR="000A2097">
        <w:rPr>
          <w:lang w:val="fr-FR"/>
        </w:rPr>
        <w:t xml:space="preserve"> affaires civiles les moins importantes relèvent des </w:t>
      </w:r>
      <w:r w:rsidR="00000CC2">
        <w:rPr>
          <w:snapToGrid w:val="0"/>
          <w:lang w:val="fr-FR"/>
        </w:rPr>
        <w:t>T</w:t>
      </w:r>
      <w:r w:rsidR="007853D8">
        <w:rPr>
          <w:snapToGrid w:val="0"/>
          <w:lang w:val="fr-FR"/>
        </w:rPr>
        <w:t>ribunaux</w:t>
      </w:r>
      <w:r w:rsidR="000A2097">
        <w:rPr>
          <w:lang w:val="fr-FR"/>
        </w:rPr>
        <w:t xml:space="preserve"> de comté, quoique certaines catégories d’affaires puissent aussi être jugées par</w:t>
      </w:r>
      <w:r w:rsidR="000A2097" w:rsidRPr="00A176EA">
        <w:rPr>
          <w:snapToGrid w:val="0"/>
          <w:lang w:val="fr-FR"/>
        </w:rPr>
        <w:t xml:space="preserve"> </w:t>
      </w:r>
      <w:r w:rsidR="00604D17">
        <w:rPr>
          <w:snapToGrid w:val="0"/>
          <w:lang w:val="fr-FR"/>
        </w:rPr>
        <w:t>les</w:t>
      </w:r>
      <w:r w:rsidR="000B562B" w:rsidRPr="00A176EA">
        <w:rPr>
          <w:snapToGrid w:val="0"/>
          <w:lang w:val="fr-FR"/>
        </w:rPr>
        <w:t xml:space="preserve"> </w:t>
      </w:r>
      <w:r w:rsidR="00000CC2">
        <w:rPr>
          <w:snapToGrid w:val="0"/>
          <w:lang w:val="fr-FR"/>
        </w:rPr>
        <w:t>Tribunaux d’instance</w:t>
      </w:r>
      <w:r w:rsidR="000B562B" w:rsidRPr="00A176EA">
        <w:rPr>
          <w:snapToGrid w:val="0"/>
          <w:lang w:val="fr-FR"/>
        </w:rPr>
        <w:t xml:space="preserve">. </w:t>
      </w:r>
      <w:r w:rsidR="00604D17">
        <w:rPr>
          <w:snapToGrid w:val="0"/>
          <w:lang w:val="fr-FR"/>
        </w:rPr>
        <w:t>La juridiction civile supérieure est la Haute Cour</w:t>
      </w:r>
      <w:r w:rsidR="00600EFA">
        <w:rPr>
          <w:snapToGrid w:val="0"/>
          <w:lang w:val="fr-FR"/>
        </w:rPr>
        <w:t xml:space="preserve"> de justice (High Court of Justice)</w:t>
      </w:r>
      <w:r w:rsidR="00604D17">
        <w:rPr>
          <w:snapToGrid w:val="0"/>
          <w:lang w:val="fr-FR"/>
        </w:rPr>
        <w:t>, dont les décisions sont susceptibles</w:t>
      </w:r>
      <w:r w:rsidR="00D8070A">
        <w:rPr>
          <w:snapToGrid w:val="0"/>
          <w:lang w:val="fr-FR"/>
        </w:rPr>
        <w:t xml:space="preserve"> de</w:t>
      </w:r>
      <w:r w:rsidR="00604D17">
        <w:rPr>
          <w:snapToGrid w:val="0"/>
          <w:lang w:val="fr-FR"/>
        </w:rPr>
        <w:t xml:space="preserve"> </w:t>
      </w:r>
      <w:r w:rsidR="00245A8E">
        <w:rPr>
          <w:snapToGrid w:val="0"/>
          <w:lang w:val="fr-FR"/>
        </w:rPr>
        <w:t>recours</w:t>
      </w:r>
      <w:r w:rsidR="00604D17">
        <w:rPr>
          <w:snapToGrid w:val="0"/>
          <w:lang w:val="fr-FR"/>
        </w:rPr>
        <w:t xml:space="preserve"> auprès de la Cour d’appel. Ces deux juridictions forment, avec la </w:t>
      </w:r>
      <w:r w:rsidR="00245A8E">
        <w:rPr>
          <w:lang w:val="fr-FR"/>
        </w:rPr>
        <w:t>Cour de la Couronne</w:t>
      </w:r>
      <w:r w:rsidR="00604D17">
        <w:rPr>
          <w:snapToGrid w:val="0"/>
          <w:lang w:val="fr-FR"/>
        </w:rPr>
        <w:t xml:space="preserve">, la </w:t>
      </w:r>
      <w:r w:rsidR="00600EFA">
        <w:rPr>
          <w:snapToGrid w:val="0"/>
          <w:lang w:val="fr-FR"/>
        </w:rPr>
        <w:t xml:space="preserve">Cour suprême </w:t>
      </w:r>
      <w:r w:rsidR="00600EFA" w:rsidRPr="00600EFA">
        <w:rPr>
          <w:snapToGrid w:val="0"/>
          <w:lang w:val="fr-FR"/>
        </w:rPr>
        <w:t>d’</w:t>
      </w:r>
      <w:r w:rsidR="00600EFA" w:rsidRPr="00600EFA">
        <w:rPr>
          <w:lang w:val="fr-FR"/>
        </w:rPr>
        <w:t>Irlande du Nord</w:t>
      </w:r>
      <w:r w:rsidR="00600EFA" w:rsidRPr="00600EFA">
        <w:rPr>
          <w:snapToGrid w:val="0"/>
          <w:lang w:val="fr-FR"/>
        </w:rPr>
        <w:t xml:space="preserve"> (Supreme</w:t>
      </w:r>
      <w:r w:rsidR="00600EFA">
        <w:rPr>
          <w:snapToGrid w:val="0"/>
          <w:lang w:val="fr-FR"/>
        </w:rPr>
        <w:t xml:space="preserve"> </w:t>
      </w:r>
      <w:r w:rsidR="000B562B" w:rsidRPr="00A176EA">
        <w:rPr>
          <w:snapToGrid w:val="0"/>
          <w:lang w:val="fr-FR"/>
        </w:rPr>
        <w:t xml:space="preserve">Court of Judicature of </w:t>
      </w:r>
      <w:r w:rsidR="00604D17">
        <w:rPr>
          <w:snapToGrid w:val="0"/>
          <w:lang w:val="fr-FR"/>
        </w:rPr>
        <w:t>Northern Ireland</w:t>
      </w:r>
      <w:r w:rsidR="00600EFA">
        <w:rPr>
          <w:snapToGrid w:val="0"/>
          <w:lang w:val="fr-FR"/>
        </w:rPr>
        <w:t>).</w:t>
      </w:r>
      <w:r w:rsidR="00604D17">
        <w:rPr>
          <w:snapToGrid w:val="0"/>
          <w:lang w:val="fr-FR"/>
        </w:rPr>
        <w:t xml:space="preserve"> </w:t>
      </w:r>
      <w:r w:rsidR="00600EFA">
        <w:rPr>
          <w:snapToGrid w:val="0"/>
          <w:lang w:val="fr-FR"/>
        </w:rPr>
        <w:t xml:space="preserve">Leurs pratiques et leurs procédures </w:t>
      </w:r>
      <w:r w:rsidR="00D8070A">
        <w:rPr>
          <w:snapToGrid w:val="0"/>
          <w:lang w:val="fr-FR"/>
        </w:rPr>
        <w:t>s</w:t>
      </w:r>
      <w:r w:rsidR="00600EFA" w:rsidRPr="00600EFA">
        <w:rPr>
          <w:snapToGrid w:val="0"/>
          <w:lang w:val="fr-FR"/>
        </w:rPr>
        <w:t>ont analogues à celles des juridictions correspondantes en Angleterre et au pays de Galles</w:t>
      </w:r>
      <w:r w:rsidR="000B562B" w:rsidRPr="00A176EA">
        <w:rPr>
          <w:snapToGrid w:val="0"/>
          <w:lang w:val="fr-FR"/>
        </w:rPr>
        <w:t xml:space="preserve">. </w:t>
      </w:r>
      <w:r w:rsidR="007F3AAA">
        <w:rPr>
          <w:snapToGrid w:val="0"/>
          <w:lang w:val="fr-FR"/>
        </w:rPr>
        <w:t>La Cour suprême du Royaume-Uni est la juridiction d’appel de dernier ressort en matière civile</w:t>
      </w:r>
      <w:r w:rsidR="000B562B" w:rsidRPr="00A176EA">
        <w:rPr>
          <w:snapToGrid w:val="0"/>
          <w:lang w:val="fr-FR"/>
        </w:rPr>
        <w:t>.</w:t>
      </w:r>
    </w:p>
    <w:p w:rsidR="000B562B" w:rsidRPr="00A176EA" w:rsidRDefault="007F3AAA" w:rsidP="00A8379B">
      <w:pPr>
        <w:pStyle w:val="H23G"/>
        <w:rPr>
          <w:lang w:val="fr-FR"/>
        </w:rPr>
      </w:pPr>
      <w:r>
        <w:rPr>
          <w:lang w:val="fr-FR"/>
        </w:rPr>
        <w:t>Procédures civiles</w:t>
      </w:r>
    </w:p>
    <w:p w:rsidR="000B562B" w:rsidRPr="00A176EA" w:rsidRDefault="00BD0B56" w:rsidP="00DC1857">
      <w:pPr>
        <w:pStyle w:val="H23G"/>
        <w:rPr>
          <w:lang w:val="fr-FR"/>
        </w:rPr>
      </w:pPr>
      <w:r w:rsidRPr="007F3AAA">
        <w:rPr>
          <w:snapToGrid w:val="0"/>
          <w:lang w:val="fr-FR"/>
        </w:rPr>
        <w:t>Angleterre et</w:t>
      </w:r>
      <w:r w:rsidR="000B562B" w:rsidRPr="007F3AAA">
        <w:rPr>
          <w:snapToGrid w:val="0"/>
          <w:lang w:val="fr-FR"/>
        </w:rPr>
        <w:t xml:space="preserve"> </w:t>
      </w:r>
      <w:r w:rsidRPr="007F3AAA">
        <w:rPr>
          <w:snapToGrid w:val="0"/>
          <w:lang w:val="fr-FR"/>
        </w:rPr>
        <w:t>p</w:t>
      </w:r>
      <w:r w:rsidR="005601A1" w:rsidRPr="007F3AAA">
        <w:rPr>
          <w:snapToGrid w:val="0"/>
          <w:lang w:val="fr-FR"/>
        </w:rPr>
        <w:t>ays de Galles</w:t>
      </w:r>
    </w:p>
    <w:p w:rsidR="000B562B" w:rsidRPr="00A176EA" w:rsidRDefault="002549A9" w:rsidP="00A8379B">
      <w:pPr>
        <w:pStyle w:val="SingleTxtG"/>
        <w:rPr>
          <w:snapToGrid w:val="0"/>
          <w:lang w:val="fr-FR"/>
        </w:rPr>
      </w:pPr>
      <w:r w:rsidRPr="00A176EA">
        <w:rPr>
          <w:snapToGrid w:val="0"/>
          <w:lang w:val="fr-FR"/>
        </w:rPr>
        <w:t>706.</w:t>
      </w:r>
      <w:r w:rsidRPr="00A176EA">
        <w:rPr>
          <w:snapToGrid w:val="0"/>
          <w:lang w:val="fr-FR"/>
        </w:rPr>
        <w:tab/>
      </w:r>
      <w:r w:rsidR="007F3AAA" w:rsidRPr="007F3AAA">
        <w:rPr>
          <w:snapToGrid w:val="0"/>
          <w:lang w:val="fr-FR"/>
        </w:rPr>
        <w:t>En Angleterre et au pays de Galles, l’action civile est engagée par la personne qui s’estime lésée</w:t>
      </w:r>
      <w:r w:rsidR="000B0B40">
        <w:rPr>
          <w:snapToGrid w:val="0"/>
          <w:lang w:val="fr-FR"/>
        </w:rPr>
        <w:t>,</w:t>
      </w:r>
      <w:r w:rsidR="007F3AAA" w:rsidRPr="007F3AAA">
        <w:rPr>
          <w:snapToGrid w:val="0"/>
          <w:lang w:val="fr-FR"/>
        </w:rPr>
        <w:t xml:space="preserve"> appelée </w:t>
      </w:r>
      <w:r w:rsidR="00CD0110">
        <w:rPr>
          <w:snapToGrid w:val="0"/>
          <w:lang w:val="fr-FR"/>
        </w:rPr>
        <w:t>«</w:t>
      </w:r>
      <w:r w:rsidR="007F3AAA" w:rsidRPr="007F3AAA">
        <w:rPr>
          <w:snapToGrid w:val="0"/>
          <w:lang w:val="fr-FR"/>
        </w:rPr>
        <w:t>plaignant</w:t>
      </w:r>
      <w:r w:rsidR="00CD0110">
        <w:rPr>
          <w:snapToGrid w:val="0"/>
          <w:lang w:val="fr-FR"/>
        </w:rPr>
        <w:t>»</w:t>
      </w:r>
      <w:r w:rsidR="007F3AAA" w:rsidRPr="007F3AAA">
        <w:rPr>
          <w:snapToGrid w:val="0"/>
          <w:lang w:val="fr-FR"/>
        </w:rPr>
        <w:t>. Une enquête préalable sur la validité de la plainte n’est pas nécessaire</w:t>
      </w:r>
      <w:r w:rsidR="000B562B" w:rsidRPr="00A176EA">
        <w:rPr>
          <w:snapToGrid w:val="0"/>
          <w:lang w:val="fr-FR"/>
        </w:rPr>
        <w:t xml:space="preserve">. </w:t>
      </w:r>
      <w:r w:rsidR="007F3AAA" w:rsidRPr="007F3AAA">
        <w:rPr>
          <w:snapToGrid w:val="0"/>
          <w:lang w:val="fr-FR"/>
        </w:rPr>
        <w:t xml:space="preserve">L’action civile commence généralement, que ce soit devant la </w:t>
      </w:r>
      <w:r w:rsidR="007F3AAA">
        <w:rPr>
          <w:snapToGrid w:val="0"/>
          <w:lang w:val="fr-FR"/>
        </w:rPr>
        <w:t>Haute Cour</w:t>
      </w:r>
      <w:r w:rsidR="007F3AAA" w:rsidRPr="007F3AAA">
        <w:rPr>
          <w:snapToGrid w:val="0"/>
          <w:lang w:val="fr-FR"/>
        </w:rPr>
        <w:t xml:space="preserve"> ou devant </w:t>
      </w:r>
      <w:r w:rsidR="007853D8">
        <w:rPr>
          <w:snapToGrid w:val="0"/>
          <w:lang w:val="fr-FR"/>
        </w:rPr>
        <w:t xml:space="preserve">le </w:t>
      </w:r>
      <w:r w:rsidR="00000CC2">
        <w:rPr>
          <w:snapToGrid w:val="0"/>
          <w:lang w:val="fr-FR"/>
        </w:rPr>
        <w:t>T</w:t>
      </w:r>
      <w:r w:rsidR="007853D8">
        <w:rPr>
          <w:snapToGrid w:val="0"/>
          <w:lang w:val="fr-FR"/>
        </w:rPr>
        <w:t>ribunal</w:t>
      </w:r>
      <w:r w:rsidR="007F3AAA">
        <w:rPr>
          <w:snapToGrid w:val="0"/>
          <w:lang w:val="fr-FR"/>
        </w:rPr>
        <w:t xml:space="preserve"> de comté</w:t>
      </w:r>
      <w:r w:rsidR="007F3AAA" w:rsidRPr="007F3AAA">
        <w:rPr>
          <w:snapToGrid w:val="0"/>
          <w:lang w:val="fr-FR"/>
        </w:rPr>
        <w:t xml:space="preserve">, par la présentation d’un document appelé </w:t>
      </w:r>
      <w:r w:rsidR="00CD0110">
        <w:rPr>
          <w:snapToGrid w:val="0"/>
          <w:lang w:val="fr-FR"/>
        </w:rPr>
        <w:t>«</w:t>
      </w:r>
      <w:r w:rsidR="007F3AAA" w:rsidRPr="007F3AAA">
        <w:rPr>
          <w:snapToGrid w:val="0"/>
          <w:lang w:val="fr-FR"/>
        </w:rPr>
        <w:t>formul</w:t>
      </w:r>
      <w:r w:rsidR="007F3AAA">
        <w:rPr>
          <w:snapToGrid w:val="0"/>
          <w:lang w:val="fr-FR"/>
        </w:rPr>
        <w:t>air</w:t>
      </w:r>
      <w:r w:rsidR="007F3AAA" w:rsidRPr="007F3AAA">
        <w:rPr>
          <w:snapToGrid w:val="0"/>
          <w:lang w:val="fr-FR"/>
        </w:rPr>
        <w:t xml:space="preserve">e de </w:t>
      </w:r>
      <w:r w:rsidR="009F604C">
        <w:rPr>
          <w:snapToGrid w:val="0"/>
          <w:lang w:val="fr-FR"/>
        </w:rPr>
        <w:t>demande</w:t>
      </w:r>
      <w:r w:rsidR="00CD0110">
        <w:rPr>
          <w:snapToGrid w:val="0"/>
          <w:lang w:val="fr-FR"/>
        </w:rPr>
        <w:t>»</w:t>
      </w:r>
      <w:r w:rsidR="007F3AAA" w:rsidRPr="007F3AAA">
        <w:rPr>
          <w:snapToGrid w:val="0"/>
          <w:lang w:val="fr-FR"/>
        </w:rPr>
        <w:t>. Le début de l’action civile est généralement consacré à un échange de mémoires officiels entre les parties</w:t>
      </w:r>
      <w:r w:rsidR="000B562B" w:rsidRPr="00A176EA">
        <w:rPr>
          <w:snapToGrid w:val="0"/>
          <w:lang w:val="fr-FR"/>
        </w:rPr>
        <w:t>.</w:t>
      </w:r>
    </w:p>
    <w:p w:rsidR="000B562B" w:rsidRPr="00A176EA" w:rsidRDefault="002549A9" w:rsidP="00A8379B">
      <w:pPr>
        <w:pStyle w:val="SingleTxtG"/>
        <w:rPr>
          <w:lang w:val="fr-FR"/>
        </w:rPr>
      </w:pPr>
      <w:r w:rsidRPr="00A176EA">
        <w:rPr>
          <w:lang w:val="fr-FR"/>
        </w:rPr>
        <w:t>707.</w:t>
      </w:r>
      <w:r w:rsidRPr="00A176EA">
        <w:rPr>
          <w:lang w:val="fr-FR"/>
        </w:rPr>
        <w:tab/>
      </w:r>
      <w:r w:rsidR="00DB56FB" w:rsidRPr="00DB56FB">
        <w:rPr>
          <w:snapToGrid w:val="0"/>
          <w:lang w:val="fr-FR"/>
        </w:rPr>
        <w:t xml:space="preserve">Il est possible de renoncer aux poursuites civiles ou de trouver une solution de compromis à tout moment. Les affaires portées devant les tribunaux sont généralement jugées sans jury. Toutefois, sous réserve que le tribunal donne son accord, le procès peut avoir lieu devant un jury dans les cas de </w:t>
      </w:r>
      <w:r w:rsidR="00DB56FB">
        <w:rPr>
          <w:snapToGrid w:val="0"/>
          <w:lang w:val="fr-FR"/>
        </w:rPr>
        <w:t>tromperie</w:t>
      </w:r>
      <w:r w:rsidR="000B562B" w:rsidRPr="00A176EA">
        <w:rPr>
          <w:snapToGrid w:val="0"/>
          <w:lang w:val="fr-FR"/>
        </w:rPr>
        <w:t xml:space="preserve">, </w:t>
      </w:r>
      <w:r w:rsidR="00DB56FB">
        <w:rPr>
          <w:snapToGrid w:val="0"/>
          <w:lang w:val="fr-FR"/>
        </w:rPr>
        <w:t>de diffamation écrite ou orale</w:t>
      </w:r>
      <w:r w:rsidR="000B562B" w:rsidRPr="00A176EA">
        <w:rPr>
          <w:snapToGrid w:val="0"/>
          <w:lang w:val="fr-FR"/>
        </w:rPr>
        <w:t xml:space="preserve">, </w:t>
      </w:r>
      <w:r w:rsidR="00DB56FB">
        <w:rPr>
          <w:snapToGrid w:val="0"/>
          <w:lang w:val="fr-FR"/>
        </w:rPr>
        <w:t>de poursuites abusives et de</w:t>
      </w:r>
      <w:r w:rsidR="000B562B" w:rsidRPr="00A176EA">
        <w:rPr>
          <w:snapToGrid w:val="0"/>
          <w:lang w:val="fr-FR"/>
        </w:rPr>
        <w:t xml:space="preserve"> </w:t>
      </w:r>
      <w:r w:rsidR="00DB56FB">
        <w:rPr>
          <w:snapToGrid w:val="0"/>
          <w:lang w:val="fr-FR"/>
        </w:rPr>
        <w:t>séquestration</w:t>
      </w:r>
      <w:r w:rsidR="000B562B" w:rsidRPr="00A176EA">
        <w:rPr>
          <w:snapToGrid w:val="0"/>
          <w:lang w:val="fr-FR"/>
        </w:rPr>
        <w:t xml:space="preserve">. </w:t>
      </w:r>
      <w:r w:rsidR="00D10FF3" w:rsidRPr="00D10FF3">
        <w:rPr>
          <w:snapToGrid w:val="0"/>
          <w:lang w:val="fr-FR"/>
        </w:rPr>
        <w:t xml:space="preserve">Le jury détermine les questions de fait et le montant des dommages-intérêts à accorder à la partie lésée. Le verdict doit normalement être rendu à l’unanimité. Toutefois, si l’un des jurés </w:t>
      </w:r>
      <w:r w:rsidR="00D10FF3">
        <w:rPr>
          <w:snapToGrid w:val="0"/>
          <w:lang w:val="fr-FR"/>
        </w:rPr>
        <w:t>n’est pas d’</w:t>
      </w:r>
      <w:r w:rsidR="00D10FF3" w:rsidRPr="00D10FF3">
        <w:rPr>
          <w:snapToGrid w:val="0"/>
          <w:lang w:val="fr-FR"/>
        </w:rPr>
        <w:t>accord, un verdict rendu à la majorité peut être accepté</w:t>
      </w:r>
      <w:r w:rsidR="000B562B" w:rsidRPr="00A176EA">
        <w:rPr>
          <w:snapToGrid w:val="0"/>
          <w:lang w:val="fr-FR"/>
        </w:rPr>
        <w:t>.</w:t>
      </w:r>
    </w:p>
    <w:p w:rsidR="000B562B" w:rsidRPr="00A176EA" w:rsidRDefault="002549A9" w:rsidP="00A8379B">
      <w:pPr>
        <w:pStyle w:val="SingleTxtG"/>
        <w:rPr>
          <w:lang w:val="fr-FR"/>
        </w:rPr>
      </w:pPr>
      <w:r w:rsidRPr="00A176EA">
        <w:rPr>
          <w:lang w:val="fr-FR"/>
        </w:rPr>
        <w:t>708.</w:t>
      </w:r>
      <w:r w:rsidRPr="00A176EA">
        <w:rPr>
          <w:lang w:val="fr-FR"/>
        </w:rPr>
        <w:tab/>
      </w:r>
      <w:r w:rsidR="00D10FF3">
        <w:rPr>
          <w:lang w:val="fr-FR"/>
        </w:rPr>
        <w:t xml:space="preserve">Si une partie refuse de se conformer à un jugement ou à une ordonnance du tribunal, diverses mesures d’exécution peuvent être prises. </w:t>
      </w:r>
      <w:r w:rsidR="00D10FF3" w:rsidRPr="00D10FF3">
        <w:rPr>
          <w:snapToGrid w:val="0"/>
          <w:lang w:val="fr-FR"/>
        </w:rPr>
        <w:t xml:space="preserve">Si le jugement porte sur le versement d’une somme d’argent, les moyens de contrainte les plus courants sont la saisie des biens du débiteur ou une saisie-arrêt sur salaire. Si le jugement prend la forme d’une injonction, le refus </w:t>
      </w:r>
      <w:r w:rsidR="00D10FF3">
        <w:rPr>
          <w:snapToGrid w:val="0"/>
          <w:lang w:val="fr-FR"/>
        </w:rPr>
        <w:t>d’exécuter</w:t>
      </w:r>
      <w:r w:rsidR="00D10FF3" w:rsidRPr="00D10FF3">
        <w:rPr>
          <w:snapToGrid w:val="0"/>
          <w:lang w:val="fr-FR"/>
        </w:rPr>
        <w:t xml:space="preserve"> celle-ci peut entraîner une peine de prison pour outrage à magistrat. Le tribunal </w:t>
      </w:r>
      <w:r w:rsidR="008B6B3A">
        <w:rPr>
          <w:snapToGrid w:val="0"/>
          <w:lang w:val="fr-FR"/>
        </w:rPr>
        <w:t>condamne</w:t>
      </w:r>
      <w:r w:rsidR="00D10FF3" w:rsidRPr="00D10FF3">
        <w:rPr>
          <w:snapToGrid w:val="0"/>
          <w:lang w:val="fr-FR"/>
        </w:rPr>
        <w:t xml:space="preserve"> généralement la partie perdante </w:t>
      </w:r>
      <w:r w:rsidR="008B6B3A">
        <w:rPr>
          <w:snapToGrid w:val="0"/>
          <w:lang w:val="fr-FR"/>
        </w:rPr>
        <w:t>à supporter</w:t>
      </w:r>
      <w:r w:rsidR="00D10FF3" w:rsidRPr="00D10FF3">
        <w:rPr>
          <w:snapToGrid w:val="0"/>
          <w:lang w:val="fr-FR"/>
        </w:rPr>
        <w:t xml:space="preserve"> les frais de justice</w:t>
      </w:r>
      <w:r w:rsidR="000B562B" w:rsidRPr="00A176EA">
        <w:rPr>
          <w:snapToGrid w:val="0"/>
          <w:lang w:val="fr-FR"/>
        </w:rPr>
        <w:t xml:space="preserve">, </w:t>
      </w:r>
      <w:r w:rsidR="00D10FF3">
        <w:rPr>
          <w:snapToGrid w:val="0"/>
          <w:lang w:val="fr-FR"/>
        </w:rPr>
        <w:t xml:space="preserve">sauf pour les petits litiges, où chaque partie paie ses propres frais mais peut </w:t>
      </w:r>
      <w:r w:rsidR="00E1260C">
        <w:rPr>
          <w:snapToGrid w:val="0"/>
          <w:lang w:val="fr-FR"/>
        </w:rPr>
        <w:t>parfois</w:t>
      </w:r>
      <w:r w:rsidR="00D10FF3">
        <w:rPr>
          <w:snapToGrid w:val="0"/>
          <w:lang w:val="fr-FR"/>
        </w:rPr>
        <w:t xml:space="preserve"> demander le remboursement</w:t>
      </w:r>
      <w:r w:rsidR="00E1260C">
        <w:rPr>
          <w:snapToGrid w:val="0"/>
          <w:lang w:val="fr-FR"/>
        </w:rPr>
        <w:t xml:space="preserve"> </w:t>
      </w:r>
      <w:r w:rsidR="00AD647F">
        <w:rPr>
          <w:snapToGrid w:val="0"/>
          <w:lang w:val="fr-FR"/>
        </w:rPr>
        <w:t xml:space="preserve">des </w:t>
      </w:r>
      <w:r w:rsidR="000B43D6">
        <w:rPr>
          <w:snapToGrid w:val="0"/>
          <w:lang w:val="fr-FR"/>
        </w:rPr>
        <w:t>frais de procédure</w:t>
      </w:r>
      <w:r w:rsidR="00D10FF3">
        <w:rPr>
          <w:snapToGrid w:val="0"/>
          <w:lang w:val="fr-FR"/>
        </w:rPr>
        <w:t xml:space="preserve"> à la partie perdante. </w:t>
      </w:r>
      <w:r w:rsidR="00C25FC0">
        <w:rPr>
          <w:snapToGrid w:val="0"/>
          <w:lang w:val="fr-FR"/>
        </w:rPr>
        <w:t>L</w:t>
      </w:r>
      <w:r w:rsidR="00A56D48">
        <w:rPr>
          <w:snapToGrid w:val="0"/>
          <w:lang w:val="fr-FR"/>
        </w:rPr>
        <w:t>a</w:t>
      </w:r>
      <w:r w:rsidR="00C25FC0">
        <w:rPr>
          <w:snapToGrid w:val="0"/>
          <w:lang w:val="fr-FR"/>
        </w:rPr>
        <w:t xml:space="preserve"> procédure de règlement des petits litiges </w:t>
      </w:r>
      <w:r w:rsidR="00A56D48">
        <w:rPr>
          <w:snapToGrid w:val="0"/>
          <w:lang w:val="fr-FR"/>
        </w:rPr>
        <w:t>vise à ce que les parties puissent régler leur différend sans avoir à se faire représenter par un avocat</w:t>
      </w:r>
      <w:r w:rsidR="000B562B" w:rsidRPr="00A176EA">
        <w:rPr>
          <w:snapToGrid w:val="0"/>
          <w:lang w:val="fr-FR"/>
        </w:rPr>
        <w:t>.</w:t>
      </w:r>
    </w:p>
    <w:p w:rsidR="000B562B" w:rsidRPr="00E1260C" w:rsidRDefault="00FD2CE1" w:rsidP="00DC1857">
      <w:pPr>
        <w:pStyle w:val="H23G"/>
        <w:rPr>
          <w:lang w:val="fr-FR"/>
        </w:rPr>
      </w:pPr>
      <w:r w:rsidRPr="00E1260C">
        <w:rPr>
          <w:lang w:val="fr-FR"/>
        </w:rPr>
        <w:t>Écosse</w:t>
      </w:r>
    </w:p>
    <w:p w:rsidR="000B562B" w:rsidRPr="00A176EA" w:rsidRDefault="002549A9" w:rsidP="00A8379B">
      <w:pPr>
        <w:pStyle w:val="SingleTxtG"/>
        <w:rPr>
          <w:lang w:val="fr-FR"/>
        </w:rPr>
      </w:pPr>
      <w:r w:rsidRPr="00E1260C">
        <w:rPr>
          <w:lang w:val="fr-FR"/>
        </w:rPr>
        <w:t>709.</w:t>
      </w:r>
      <w:r w:rsidRPr="00E1260C">
        <w:rPr>
          <w:lang w:val="fr-FR"/>
        </w:rPr>
        <w:tab/>
      </w:r>
      <w:r w:rsidR="005B6409" w:rsidRPr="005B6409">
        <w:rPr>
          <w:lang w:val="fr-FR"/>
        </w:rPr>
        <w:t xml:space="preserve">En Écosse, les procédures civiles devant </w:t>
      </w:r>
      <w:r w:rsidR="005B6409" w:rsidRPr="000B43D6">
        <w:rPr>
          <w:lang w:val="fr-FR"/>
        </w:rPr>
        <w:t>la Cour</w:t>
      </w:r>
      <w:r w:rsidR="005B6409" w:rsidRPr="005B6409">
        <w:rPr>
          <w:lang w:val="fr-FR"/>
        </w:rPr>
        <w:t xml:space="preserve"> </w:t>
      </w:r>
      <w:r w:rsidR="005B6409">
        <w:rPr>
          <w:lang w:val="fr-FR"/>
        </w:rPr>
        <w:t>de</w:t>
      </w:r>
      <w:r w:rsidR="005B6409" w:rsidRPr="005B6409">
        <w:rPr>
          <w:lang w:val="fr-FR"/>
        </w:rPr>
        <w:t xml:space="preserve"> </w:t>
      </w:r>
      <w:r w:rsidR="005B6409">
        <w:rPr>
          <w:lang w:val="fr-FR"/>
        </w:rPr>
        <w:t>s</w:t>
      </w:r>
      <w:r w:rsidR="005B6409" w:rsidRPr="005B6409">
        <w:rPr>
          <w:lang w:val="fr-FR"/>
        </w:rPr>
        <w:t xml:space="preserve">ession et les actions ordinaires devant les </w:t>
      </w:r>
      <w:r w:rsidR="000B0B40">
        <w:rPr>
          <w:lang w:val="fr-FR"/>
        </w:rPr>
        <w:t>Tribunaux</w:t>
      </w:r>
      <w:r w:rsidR="005B6409" w:rsidRPr="005B6409">
        <w:rPr>
          <w:lang w:val="fr-FR"/>
        </w:rPr>
        <w:t xml:space="preserve"> </w:t>
      </w:r>
      <w:r w:rsidR="005B6409">
        <w:rPr>
          <w:lang w:val="fr-FR"/>
        </w:rPr>
        <w:t xml:space="preserve">de </w:t>
      </w:r>
      <w:r w:rsidR="005B6409" w:rsidRPr="005B6409">
        <w:rPr>
          <w:lang w:val="fr-FR"/>
        </w:rPr>
        <w:t>sh</w:t>
      </w:r>
      <w:r w:rsidR="005B6409">
        <w:rPr>
          <w:lang w:val="fr-FR"/>
        </w:rPr>
        <w:t>é</w:t>
      </w:r>
      <w:r w:rsidR="005B6409" w:rsidRPr="005B6409">
        <w:rPr>
          <w:lang w:val="fr-FR"/>
        </w:rPr>
        <w:t>rif sont engagées au moyen d’une assignation signifiée au défendeur. Si le défendeur a l’intention de contester l’action, il doit en informer le tribunal</w:t>
      </w:r>
      <w:r w:rsidR="00FC2B97">
        <w:rPr>
          <w:lang w:val="fr-FR"/>
        </w:rPr>
        <w:t>;</w:t>
      </w:r>
      <w:r w:rsidR="005B6409" w:rsidRPr="005B6409">
        <w:rPr>
          <w:lang w:val="fr-FR"/>
        </w:rPr>
        <w:t xml:space="preserve"> s’il ne comparaît pas, le tribunal rend un jugement par défaut en faveur du demandeur. Pour ce qui est des actions ordinaires jugées par </w:t>
      </w:r>
      <w:r w:rsidR="000B0B40">
        <w:rPr>
          <w:lang w:val="fr-FR"/>
        </w:rPr>
        <w:t>le Tribunal</w:t>
      </w:r>
      <w:r w:rsidR="005B6409">
        <w:rPr>
          <w:lang w:val="fr-FR"/>
        </w:rPr>
        <w:t xml:space="preserve"> de </w:t>
      </w:r>
      <w:r w:rsidR="00AD647F">
        <w:rPr>
          <w:lang w:val="fr-FR"/>
        </w:rPr>
        <w:t>S</w:t>
      </w:r>
      <w:r w:rsidR="005B6409">
        <w:rPr>
          <w:lang w:val="fr-FR"/>
        </w:rPr>
        <w:t>hérif</w:t>
      </w:r>
      <w:r w:rsidR="005B6409" w:rsidRPr="005B6409">
        <w:rPr>
          <w:lang w:val="fr-FR"/>
        </w:rPr>
        <w:t xml:space="preserve">, l’instance est </w:t>
      </w:r>
      <w:r w:rsidR="005B6409">
        <w:rPr>
          <w:lang w:val="fr-FR"/>
        </w:rPr>
        <w:t>engagée au moyen d’une requête introductive et</w:t>
      </w:r>
      <w:r w:rsidR="005B6409" w:rsidRPr="005B6409">
        <w:rPr>
          <w:lang w:val="fr-FR"/>
        </w:rPr>
        <w:t xml:space="preserve"> </w:t>
      </w:r>
      <w:r w:rsidR="005B6409">
        <w:rPr>
          <w:lang w:val="fr-FR"/>
        </w:rPr>
        <w:t>le défendeur</w:t>
      </w:r>
      <w:r w:rsidR="000B562B" w:rsidRPr="00A176EA">
        <w:rPr>
          <w:lang w:val="fr-FR"/>
        </w:rPr>
        <w:t xml:space="preserve"> </w:t>
      </w:r>
      <w:r w:rsidR="00832780">
        <w:rPr>
          <w:lang w:val="fr-FR"/>
        </w:rPr>
        <w:t xml:space="preserve">doit </w:t>
      </w:r>
      <w:r w:rsidR="00AC6438">
        <w:rPr>
          <w:lang w:val="fr-FR"/>
        </w:rPr>
        <w:t>notifier par écrit son intention de se défendre, puis</w:t>
      </w:r>
      <w:r w:rsidR="000B562B" w:rsidRPr="00A176EA">
        <w:rPr>
          <w:lang w:val="fr-FR"/>
        </w:rPr>
        <w:t xml:space="preserve"> </w:t>
      </w:r>
      <w:r w:rsidR="0041584C">
        <w:rPr>
          <w:lang w:val="fr-FR"/>
        </w:rPr>
        <w:t>présenter un dossier pour sa défense.</w:t>
      </w:r>
      <w:r w:rsidR="000B562B" w:rsidRPr="00A176EA">
        <w:rPr>
          <w:lang w:val="fr-FR"/>
        </w:rPr>
        <w:t xml:space="preserve"> </w:t>
      </w:r>
      <w:r w:rsidR="00E51C58">
        <w:rPr>
          <w:lang w:val="fr-FR"/>
        </w:rPr>
        <w:t xml:space="preserve">Suit l’audience de mise en état. En matière d’affaires familiales, les parties assistent à </w:t>
      </w:r>
      <w:r w:rsidR="00AD647F">
        <w:rPr>
          <w:lang w:val="fr-FR"/>
        </w:rPr>
        <w:t>l’</w:t>
      </w:r>
      <w:r w:rsidR="00E51C58">
        <w:rPr>
          <w:lang w:val="fr-FR"/>
        </w:rPr>
        <w:t xml:space="preserve">audience et le tribunal peut ordonner une procédure de médiation. À l’issue de l’audience de mise en état s’ouvre le débat consacré aux points de droit et à l’examen des </w:t>
      </w:r>
      <w:r w:rsidR="00AD647F">
        <w:rPr>
          <w:lang w:val="fr-FR"/>
        </w:rPr>
        <w:t xml:space="preserve">éléments de </w:t>
      </w:r>
      <w:r w:rsidR="00E51C58">
        <w:rPr>
          <w:lang w:val="fr-FR"/>
        </w:rPr>
        <w:t>preuve</w:t>
      </w:r>
      <w:r w:rsidR="000B562B" w:rsidRPr="00A176EA">
        <w:rPr>
          <w:lang w:val="fr-FR"/>
        </w:rPr>
        <w:t>.</w:t>
      </w:r>
    </w:p>
    <w:p w:rsidR="000B562B" w:rsidRPr="00A176EA" w:rsidRDefault="002549A9" w:rsidP="00A8379B">
      <w:pPr>
        <w:pStyle w:val="SingleTxtG"/>
        <w:rPr>
          <w:lang w:val="fr-FR"/>
        </w:rPr>
      </w:pPr>
      <w:r w:rsidRPr="00A176EA">
        <w:rPr>
          <w:lang w:val="fr-FR"/>
        </w:rPr>
        <w:t>710.</w:t>
      </w:r>
      <w:r w:rsidRPr="00A176EA">
        <w:rPr>
          <w:lang w:val="fr-FR"/>
        </w:rPr>
        <w:tab/>
      </w:r>
      <w:r w:rsidR="00E51C58">
        <w:rPr>
          <w:lang w:val="fr-FR"/>
        </w:rPr>
        <w:t>Pour les affaires de moindre importance (portant sur des montants de 750 à 1 500 </w:t>
      </w:r>
      <w:r w:rsidR="009801B6">
        <w:rPr>
          <w:lang w:val="fr-FR"/>
        </w:rPr>
        <w:t>livres sterling</w:t>
      </w:r>
      <w:r w:rsidR="00E51C58">
        <w:rPr>
          <w:lang w:val="fr-FR"/>
        </w:rPr>
        <w:t xml:space="preserve">) devant </w:t>
      </w:r>
      <w:r w:rsidR="000B0B40">
        <w:rPr>
          <w:lang w:val="fr-FR"/>
        </w:rPr>
        <w:t>le Tribunal</w:t>
      </w:r>
      <w:r w:rsidR="00E51C58">
        <w:rPr>
          <w:lang w:val="fr-FR"/>
        </w:rPr>
        <w:t xml:space="preserve"> de </w:t>
      </w:r>
      <w:r w:rsidR="00AD647F">
        <w:rPr>
          <w:lang w:val="fr-FR"/>
        </w:rPr>
        <w:t>S</w:t>
      </w:r>
      <w:r w:rsidR="00E51C58">
        <w:rPr>
          <w:lang w:val="fr-FR"/>
        </w:rPr>
        <w:t>hérif,</w:t>
      </w:r>
      <w:r w:rsidR="000B562B" w:rsidRPr="00A176EA">
        <w:rPr>
          <w:lang w:val="fr-FR"/>
        </w:rPr>
        <w:t xml:space="preserve"> </w:t>
      </w:r>
      <w:r w:rsidR="00E51C58">
        <w:rPr>
          <w:lang w:val="fr-FR"/>
        </w:rPr>
        <w:t>l’énoncé de la demande figure dans l’assignation. Cette procédure simplifiée vise à éviter aux parties d’avoir à comparaître devant le tribunal. En règle générale, les parties (ou leurs représentants) ne comparaissent que lorsque le défendeur plaide non coupable</w:t>
      </w:r>
      <w:r w:rsidR="000B562B" w:rsidRPr="00A176EA">
        <w:rPr>
          <w:lang w:val="fr-FR"/>
        </w:rPr>
        <w:t xml:space="preserve">. </w:t>
      </w:r>
      <w:r w:rsidR="00E51C58">
        <w:rPr>
          <w:lang w:val="fr-FR"/>
        </w:rPr>
        <w:t xml:space="preserve">Ce type de procédure se déroule suivant un calendrier fixe et nécessite un minimum de conclusions écrites. Il s’agit essentiellement </w:t>
      </w:r>
      <w:r w:rsidR="00230CE5">
        <w:rPr>
          <w:lang w:val="fr-FR"/>
        </w:rPr>
        <w:t>d’actions en paiement ou en récupération de biens immobiliers</w:t>
      </w:r>
      <w:r w:rsidR="000B562B" w:rsidRPr="00A176EA">
        <w:rPr>
          <w:lang w:val="fr-FR"/>
        </w:rPr>
        <w:t>.</w:t>
      </w:r>
    </w:p>
    <w:p w:rsidR="000B562B" w:rsidRPr="00A176EA" w:rsidRDefault="002549A9" w:rsidP="00A8379B">
      <w:pPr>
        <w:pStyle w:val="SingleTxtG"/>
        <w:rPr>
          <w:lang w:val="fr-FR"/>
        </w:rPr>
      </w:pPr>
      <w:r w:rsidRPr="00A176EA">
        <w:rPr>
          <w:lang w:val="fr-FR"/>
        </w:rPr>
        <w:t>711.</w:t>
      </w:r>
      <w:r w:rsidRPr="00A176EA">
        <w:rPr>
          <w:lang w:val="fr-FR"/>
        </w:rPr>
        <w:tab/>
      </w:r>
      <w:r w:rsidR="00B4543A" w:rsidRPr="00B4543A">
        <w:rPr>
          <w:lang w:val="fr-FR"/>
        </w:rPr>
        <w:t>En Écosse,</w:t>
      </w:r>
      <w:r w:rsidR="00B4543A" w:rsidRPr="00B4543A">
        <w:rPr>
          <w:snapToGrid w:val="0"/>
          <w:lang w:val="fr-FR"/>
        </w:rPr>
        <w:t xml:space="preserve"> </w:t>
      </w:r>
      <w:r w:rsidR="00B4543A">
        <w:rPr>
          <w:snapToGrid w:val="0"/>
          <w:lang w:val="fr-FR"/>
        </w:rPr>
        <w:t>u</w:t>
      </w:r>
      <w:r w:rsidR="00B4543A" w:rsidRPr="00B4543A">
        <w:rPr>
          <w:lang w:val="fr-FR"/>
        </w:rPr>
        <w:t>ne procédur</w:t>
      </w:r>
      <w:r w:rsidR="00B4543A">
        <w:rPr>
          <w:lang w:val="fr-FR"/>
        </w:rPr>
        <w:t xml:space="preserve">e de  règlement des petits litiges a été introduite </w:t>
      </w:r>
      <w:r w:rsidR="00B4543A">
        <w:rPr>
          <w:snapToGrid w:val="0"/>
          <w:lang w:val="fr-FR"/>
        </w:rPr>
        <w:t>e</w:t>
      </w:r>
      <w:r w:rsidR="000B562B" w:rsidRPr="00A176EA">
        <w:rPr>
          <w:snapToGrid w:val="0"/>
          <w:lang w:val="fr-FR"/>
        </w:rPr>
        <w:t xml:space="preserve">n 1988, </w:t>
      </w:r>
      <w:r w:rsidR="00B4543A" w:rsidRPr="00B4543A">
        <w:rPr>
          <w:snapToGrid w:val="0"/>
          <w:lang w:val="fr-FR"/>
        </w:rPr>
        <w:t xml:space="preserve">en vertu de laquelle toutes les actions portant sur des montants inférieurs à 750 livres sterling peuvent être introduites selon une procédure analogue à la procédure simplifiée. Si le demandeur n’a pas de représentant légal, le tribunal l’aide à rédiger et à signifier l’assignation. Bien qu’elle soit voisine de la procédure simplifiée, cette procédure se veut très informelle et le tribunal est encouragé à adopter des règles moins rigoureuses relatives à la procédure et à l’administration de la preuve. Il n’est pas octroyé d’aide </w:t>
      </w:r>
      <w:r w:rsidR="00B4543A">
        <w:rPr>
          <w:snapToGrid w:val="0"/>
          <w:lang w:val="fr-FR"/>
        </w:rPr>
        <w:t>juridictionnelle</w:t>
      </w:r>
      <w:r w:rsidR="00B4543A" w:rsidRPr="00B4543A">
        <w:rPr>
          <w:snapToGrid w:val="0"/>
          <w:lang w:val="fr-FR"/>
        </w:rPr>
        <w:t xml:space="preserve"> pour ce genre d’affaires et les frais sont réduits au minimum</w:t>
      </w:r>
      <w:r w:rsidR="000B562B" w:rsidRPr="00A176EA">
        <w:rPr>
          <w:snapToGrid w:val="0"/>
          <w:lang w:val="fr-FR"/>
        </w:rPr>
        <w:t>.</w:t>
      </w:r>
    </w:p>
    <w:p w:rsidR="000B562B" w:rsidRPr="00B4543A" w:rsidRDefault="008F3DA4" w:rsidP="00DC1857">
      <w:pPr>
        <w:pStyle w:val="H23G"/>
        <w:rPr>
          <w:lang w:val="fr-FR"/>
        </w:rPr>
      </w:pPr>
      <w:r w:rsidRPr="00B4543A">
        <w:rPr>
          <w:lang w:val="fr-FR"/>
        </w:rPr>
        <w:t>Irlande du Nord</w:t>
      </w:r>
    </w:p>
    <w:p w:rsidR="000B562B" w:rsidRPr="00A176EA" w:rsidRDefault="002549A9" w:rsidP="00A8379B">
      <w:pPr>
        <w:pStyle w:val="SingleTxtG"/>
        <w:rPr>
          <w:lang w:val="fr-FR"/>
        </w:rPr>
      </w:pPr>
      <w:r w:rsidRPr="00B4543A">
        <w:rPr>
          <w:lang w:val="fr-FR"/>
        </w:rPr>
        <w:t>712.</w:t>
      </w:r>
      <w:r w:rsidRPr="00B4543A">
        <w:rPr>
          <w:lang w:val="fr-FR"/>
        </w:rPr>
        <w:tab/>
      </w:r>
      <w:r w:rsidR="00B4543A">
        <w:rPr>
          <w:lang w:val="fr-FR"/>
        </w:rPr>
        <w:t xml:space="preserve">En </w:t>
      </w:r>
      <w:r w:rsidR="00B4543A" w:rsidRPr="00B4543A">
        <w:rPr>
          <w:lang w:val="fr-FR"/>
        </w:rPr>
        <w:t>Irlande du Nord</w:t>
      </w:r>
      <w:r w:rsidR="00B4543A">
        <w:rPr>
          <w:lang w:val="fr-FR"/>
        </w:rPr>
        <w:t>, les procédures sont similaires à celles</w:t>
      </w:r>
      <w:r w:rsidR="008D7695">
        <w:rPr>
          <w:lang w:val="fr-FR"/>
        </w:rPr>
        <w:t xml:space="preserve"> de l’Angleterre et du p</w:t>
      </w:r>
      <w:r w:rsidR="005601A1">
        <w:rPr>
          <w:lang w:val="fr-FR"/>
        </w:rPr>
        <w:t>ays de Galles</w:t>
      </w:r>
      <w:r w:rsidR="000B562B" w:rsidRPr="00A176EA">
        <w:rPr>
          <w:lang w:val="fr-FR"/>
        </w:rPr>
        <w:t xml:space="preserve">. </w:t>
      </w:r>
      <w:r w:rsidR="008D7695">
        <w:rPr>
          <w:lang w:val="fr-FR"/>
        </w:rPr>
        <w:t xml:space="preserve">Les actions devant </w:t>
      </w:r>
      <w:r w:rsidR="007853D8">
        <w:rPr>
          <w:lang w:val="fr-FR"/>
        </w:rPr>
        <w:t xml:space="preserve">un </w:t>
      </w:r>
      <w:r w:rsidR="00000CC2">
        <w:rPr>
          <w:lang w:val="fr-FR"/>
        </w:rPr>
        <w:t>T</w:t>
      </w:r>
      <w:r w:rsidR="007853D8">
        <w:rPr>
          <w:lang w:val="fr-FR"/>
        </w:rPr>
        <w:t>ribunal</w:t>
      </w:r>
      <w:r w:rsidR="008D7695">
        <w:rPr>
          <w:lang w:val="fr-FR"/>
        </w:rPr>
        <w:t xml:space="preserve"> de comté sont introduites par </w:t>
      </w:r>
      <w:r w:rsidR="00BF48EC">
        <w:rPr>
          <w:lang w:val="fr-FR"/>
        </w:rPr>
        <w:t>une notification (</w:t>
      </w:r>
      <w:r w:rsidR="00CD0110">
        <w:rPr>
          <w:lang w:val="fr-FR"/>
        </w:rPr>
        <w:t>«</w:t>
      </w:r>
      <w:r w:rsidR="00BF48EC">
        <w:rPr>
          <w:lang w:val="fr-FR"/>
        </w:rPr>
        <w:t>civil bill</w:t>
      </w:r>
      <w:r w:rsidR="00CD0110">
        <w:rPr>
          <w:lang w:val="fr-FR"/>
        </w:rPr>
        <w:t>»</w:t>
      </w:r>
      <w:r w:rsidR="00BF48EC">
        <w:rPr>
          <w:lang w:val="fr-FR"/>
        </w:rPr>
        <w:t>) à la partie adverse</w:t>
      </w:r>
      <w:r w:rsidR="000B562B" w:rsidRPr="00A176EA">
        <w:rPr>
          <w:lang w:val="fr-FR"/>
        </w:rPr>
        <w:t xml:space="preserve">. </w:t>
      </w:r>
      <w:r w:rsidR="00BF48EC">
        <w:rPr>
          <w:lang w:val="fr-FR"/>
        </w:rPr>
        <w:t xml:space="preserve">La procédure d’exécution des jugements des juridictions civiles est centralisée et administrée par le Bureau d’exécution des </w:t>
      </w:r>
      <w:r w:rsidR="007F3B1C">
        <w:rPr>
          <w:lang w:val="fr-FR"/>
        </w:rPr>
        <w:t>décisions de justice</w:t>
      </w:r>
      <w:r w:rsidR="000B562B" w:rsidRPr="00A176EA">
        <w:rPr>
          <w:lang w:val="fr-FR"/>
        </w:rPr>
        <w:t xml:space="preserve"> </w:t>
      </w:r>
      <w:r w:rsidR="007F3B1C">
        <w:rPr>
          <w:lang w:val="fr-FR"/>
        </w:rPr>
        <w:t>(</w:t>
      </w:r>
      <w:r w:rsidR="000B562B" w:rsidRPr="00A176EA">
        <w:rPr>
          <w:lang w:val="fr-FR"/>
        </w:rPr>
        <w:t>Enforcement of Judgments Office</w:t>
      </w:r>
      <w:r w:rsidR="007F3B1C">
        <w:rPr>
          <w:lang w:val="fr-FR"/>
        </w:rPr>
        <w:t>)</w:t>
      </w:r>
      <w:r w:rsidR="000B562B" w:rsidRPr="00A176EA">
        <w:rPr>
          <w:lang w:val="fr-FR"/>
        </w:rPr>
        <w:t>.</w:t>
      </w:r>
    </w:p>
    <w:p w:rsidR="000B562B" w:rsidRPr="00A176EA" w:rsidRDefault="007F3B1C" w:rsidP="00A8379B">
      <w:pPr>
        <w:pStyle w:val="H23G"/>
        <w:rPr>
          <w:lang w:val="fr-FR"/>
        </w:rPr>
      </w:pPr>
      <w:r>
        <w:rPr>
          <w:snapToGrid w:val="0"/>
          <w:lang w:val="fr-FR"/>
        </w:rPr>
        <w:t xml:space="preserve">Le </w:t>
      </w:r>
      <w:r w:rsidR="000B562B" w:rsidRPr="00A176EA">
        <w:rPr>
          <w:snapToGrid w:val="0"/>
          <w:lang w:val="fr-FR"/>
        </w:rPr>
        <w:t>Restrictive Practices Court</w:t>
      </w:r>
      <w:r>
        <w:rPr>
          <w:snapToGrid w:val="0"/>
          <w:lang w:val="fr-FR"/>
        </w:rPr>
        <w:t xml:space="preserve"> (Tribunal des pratiques restrictives)</w:t>
      </w:r>
    </w:p>
    <w:p w:rsidR="000B562B" w:rsidRPr="00A176EA" w:rsidRDefault="002549A9" w:rsidP="00017939">
      <w:pPr>
        <w:pStyle w:val="SingleTxtG"/>
        <w:rPr>
          <w:lang w:val="fr-FR"/>
        </w:rPr>
      </w:pPr>
      <w:r w:rsidRPr="00A176EA">
        <w:rPr>
          <w:lang w:val="fr-FR"/>
        </w:rPr>
        <w:t>713.</w:t>
      </w:r>
      <w:r w:rsidRPr="00A176EA">
        <w:rPr>
          <w:lang w:val="fr-FR"/>
        </w:rPr>
        <w:tab/>
      </w:r>
      <w:r w:rsidR="007F3B1C">
        <w:rPr>
          <w:lang w:val="fr-FR"/>
        </w:rPr>
        <w:t>Cette juridiction spécialisée du Royaume-Uni traite des questions de monopole et de pratiques commerciales r</w:t>
      </w:r>
      <w:r w:rsidR="000B562B" w:rsidRPr="00A176EA">
        <w:rPr>
          <w:snapToGrid w:val="0"/>
          <w:lang w:val="fr-FR"/>
        </w:rPr>
        <w:t>estrictive</w:t>
      </w:r>
      <w:r w:rsidR="007F3B1C">
        <w:rPr>
          <w:snapToGrid w:val="0"/>
          <w:lang w:val="fr-FR"/>
        </w:rPr>
        <w:t>s</w:t>
      </w:r>
      <w:r w:rsidR="000B562B" w:rsidRPr="00A176EA">
        <w:rPr>
          <w:snapToGrid w:val="0"/>
          <w:lang w:val="fr-FR"/>
        </w:rPr>
        <w:t xml:space="preserve">. </w:t>
      </w:r>
      <w:r w:rsidR="007F3B1C">
        <w:rPr>
          <w:snapToGrid w:val="0"/>
          <w:lang w:val="fr-FR"/>
        </w:rPr>
        <w:t>Elle se compose de 5 juges et d’un maximum de 10</w:t>
      </w:r>
      <w:r w:rsidR="00017939">
        <w:rPr>
          <w:snapToGrid w:val="0"/>
          <w:lang w:val="fr-FR"/>
        </w:rPr>
        <w:t> </w:t>
      </w:r>
      <w:r w:rsidR="007F3B1C">
        <w:rPr>
          <w:snapToGrid w:val="0"/>
          <w:lang w:val="fr-FR"/>
        </w:rPr>
        <w:t>autres personnes spécialisées dans le domaine de l’industrie, du commerce ou de la vie publique</w:t>
      </w:r>
      <w:r w:rsidR="000B562B" w:rsidRPr="00A176EA">
        <w:rPr>
          <w:snapToGrid w:val="0"/>
          <w:lang w:val="fr-FR"/>
        </w:rPr>
        <w:t>.</w:t>
      </w:r>
    </w:p>
    <w:p w:rsidR="000B562B" w:rsidRPr="00A176EA" w:rsidRDefault="00493287" w:rsidP="00A8379B">
      <w:pPr>
        <w:pStyle w:val="H23G"/>
        <w:rPr>
          <w:snapToGrid w:val="0"/>
          <w:lang w:val="fr-FR"/>
        </w:rPr>
      </w:pPr>
      <w:r>
        <w:rPr>
          <w:snapToGrid w:val="0"/>
          <w:lang w:val="fr-FR"/>
        </w:rPr>
        <w:t>L</w:t>
      </w:r>
      <w:r w:rsidR="001F4D85">
        <w:rPr>
          <w:snapToGrid w:val="0"/>
          <w:lang w:val="fr-FR"/>
        </w:rPr>
        <w:t>e système d</w:t>
      </w:r>
      <w:r>
        <w:rPr>
          <w:snapToGrid w:val="0"/>
          <w:lang w:val="fr-FR"/>
        </w:rPr>
        <w:t>e</w:t>
      </w:r>
      <w:r w:rsidR="00B8240E">
        <w:rPr>
          <w:snapToGrid w:val="0"/>
          <w:lang w:val="fr-FR"/>
        </w:rPr>
        <w:t>s juridictions administratives spécialisées</w:t>
      </w:r>
      <w:r>
        <w:rPr>
          <w:snapToGrid w:val="0"/>
          <w:lang w:val="fr-FR"/>
        </w:rPr>
        <w:t xml:space="preserve"> </w:t>
      </w:r>
      <w:r w:rsidR="00B8240E">
        <w:rPr>
          <w:snapToGrid w:val="0"/>
          <w:lang w:val="fr-FR"/>
        </w:rPr>
        <w:t>(</w:t>
      </w:r>
      <w:r w:rsidR="000B562B" w:rsidRPr="00A176EA">
        <w:rPr>
          <w:snapToGrid w:val="0"/>
          <w:lang w:val="fr-FR"/>
        </w:rPr>
        <w:t>Tribunals Service</w:t>
      </w:r>
      <w:r w:rsidR="00B8240E">
        <w:rPr>
          <w:snapToGrid w:val="0"/>
          <w:lang w:val="fr-FR"/>
        </w:rPr>
        <w:t>)</w:t>
      </w:r>
    </w:p>
    <w:p w:rsidR="000B562B" w:rsidRPr="00A176EA" w:rsidRDefault="002549A9" w:rsidP="00017939">
      <w:pPr>
        <w:pStyle w:val="SingleTxtG"/>
        <w:rPr>
          <w:lang w:val="fr-FR"/>
        </w:rPr>
      </w:pPr>
      <w:r w:rsidRPr="00A176EA">
        <w:rPr>
          <w:lang w:val="fr-FR"/>
        </w:rPr>
        <w:t>714.</w:t>
      </w:r>
      <w:r w:rsidRPr="00A176EA">
        <w:rPr>
          <w:lang w:val="fr-FR"/>
        </w:rPr>
        <w:tab/>
      </w:r>
      <w:r w:rsidR="00493287">
        <w:rPr>
          <w:lang w:val="fr-FR"/>
        </w:rPr>
        <w:t xml:space="preserve">Les </w:t>
      </w:r>
      <w:r w:rsidR="00B8240E">
        <w:rPr>
          <w:snapToGrid w:val="0"/>
          <w:lang w:val="fr-FR"/>
        </w:rPr>
        <w:t>juridictions administratives</w:t>
      </w:r>
      <w:r w:rsidR="00493287">
        <w:rPr>
          <w:lang w:val="fr-FR"/>
        </w:rPr>
        <w:t xml:space="preserve"> connaissent d’un vaste éventail de litiges, la plupart entre des particuliers et l’État, </w:t>
      </w:r>
      <w:r w:rsidR="00B8240E">
        <w:rPr>
          <w:lang w:val="fr-FR"/>
        </w:rPr>
        <w:t>et</w:t>
      </w:r>
      <w:r w:rsidR="00493287">
        <w:rPr>
          <w:lang w:val="fr-FR"/>
        </w:rPr>
        <w:t xml:space="preserve"> relevaient autrefois du ministère même dont </w:t>
      </w:r>
      <w:r w:rsidR="00AD647F">
        <w:rPr>
          <w:lang w:val="fr-FR"/>
        </w:rPr>
        <w:t>elles</w:t>
      </w:r>
      <w:r w:rsidR="00493287">
        <w:rPr>
          <w:lang w:val="fr-FR"/>
        </w:rPr>
        <w:t xml:space="preserve"> examinaient les décisions. </w:t>
      </w:r>
      <w:r w:rsidR="00983D71" w:rsidRPr="00983D71">
        <w:rPr>
          <w:lang w:val="fr-FR"/>
        </w:rPr>
        <w:t>C’est Sir Andrew Leggatt qui</w:t>
      </w:r>
      <w:r w:rsidR="00294A7B">
        <w:rPr>
          <w:lang w:val="fr-FR"/>
        </w:rPr>
        <w:t>,</w:t>
      </w:r>
      <w:r w:rsidR="00983D71" w:rsidRPr="00983D71">
        <w:rPr>
          <w:lang w:val="fr-FR"/>
        </w:rPr>
        <w:t xml:space="preserve"> le premier, dans son étude intitulée </w:t>
      </w:r>
      <w:r w:rsidR="00CD0110">
        <w:rPr>
          <w:lang w:val="fr-FR"/>
        </w:rPr>
        <w:t>«</w:t>
      </w:r>
      <w:r w:rsidR="00983D71" w:rsidRPr="00983D71">
        <w:rPr>
          <w:lang w:val="fr-FR"/>
        </w:rPr>
        <w:t xml:space="preserve">Tribunals for Users </w:t>
      </w:r>
      <w:r w:rsidR="00017939">
        <w:rPr>
          <w:lang w:val="fr-FR"/>
        </w:rPr>
        <w:t>–</w:t>
      </w:r>
      <w:r w:rsidR="00983D71" w:rsidRPr="00983D71">
        <w:rPr>
          <w:lang w:val="fr-FR"/>
        </w:rPr>
        <w:t xml:space="preserve"> One System, One Service</w:t>
      </w:r>
      <w:r w:rsidR="00CD0110">
        <w:rPr>
          <w:lang w:val="fr-FR"/>
        </w:rPr>
        <w:t>»</w:t>
      </w:r>
      <w:r w:rsidR="00983D71" w:rsidRPr="00983D71">
        <w:rPr>
          <w:lang w:val="fr-FR"/>
        </w:rPr>
        <w:t xml:space="preserve">, a évoqué la nécessité de réformer le système. Le Gouvernement a accepté ses propositions et le </w:t>
      </w:r>
      <w:r w:rsidR="00AD647F" w:rsidRPr="00A176EA">
        <w:rPr>
          <w:snapToGrid w:val="0"/>
          <w:lang w:val="fr-FR"/>
        </w:rPr>
        <w:t>Tribunals Service</w:t>
      </w:r>
      <w:r w:rsidR="00983D71" w:rsidRPr="00983D71">
        <w:rPr>
          <w:lang w:val="fr-FR"/>
        </w:rPr>
        <w:t xml:space="preserve">, </w:t>
      </w:r>
      <w:r w:rsidR="00B8240E">
        <w:rPr>
          <w:lang w:val="fr-FR"/>
        </w:rPr>
        <w:t xml:space="preserve">qui </w:t>
      </w:r>
      <w:r w:rsidR="00983D71" w:rsidRPr="00983D71">
        <w:rPr>
          <w:lang w:val="fr-FR"/>
        </w:rPr>
        <w:t>regroup</w:t>
      </w:r>
      <w:r w:rsidR="00B8240E">
        <w:rPr>
          <w:lang w:val="fr-FR"/>
        </w:rPr>
        <w:t>e</w:t>
      </w:r>
      <w:r w:rsidR="00983D71" w:rsidRPr="00983D71">
        <w:rPr>
          <w:lang w:val="fr-FR"/>
        </w:rPr>
        <w:t xml:space="preserve"> plus de 16 </w:t>
      </w:r>
      <w:r w:rsidR="00B8240E">
        <w:rPr>
          <w:lang w:val="fr-FR"/>
        </w:rPr>
        <w:t>juridictions administratives spécialisées déjà</w:t>
      </w:r>
      <w:r w:rsidR="00983D71" w:rsidRPr="00983D71">
        <w:rPr>
          <w:lang w:val="fr-FR"/>
        </w:rPr>
        <w:t xml:space="preserve"> existant</w:t>
      </w:r>
      <w:r w:rsidR="00B8240E">
        <w:rPr>
          <w:lang w:val="fr-FR"/>
        </w:rPr>
        <w:t>es, a été créé le 3 avril 2006</w:t>
      </w:r>
      <w:r w:rsidR="00983D71" w:rsidRPr="00983D71">
        <w:rPr>
          <w:lang w:val="fr-FR"/>
        </w:rPr>
        <w:t xml:space="preserve"> en tant qu’organe exécutif du Ministère de la justice. Il s’agit du changement le plus radical qui ait été apporté à ce secteur du système judiciaire en </w:t>
      </w:r>
      <w:r w:rsidR="00983D71">
        <w:rPr>
          <w:lang w:val="fr-FR"/>
        </w:rPr>
        <w:t>50</w:t>
      </w:r>
      <w:r w:rsidR="00983D71" w:rsidRPr="00983D71">
        <w:rPr>
          <w:lang w:val="fr-FR"/>
        </w:rPr>
        <w:t xml:space="preserve"> ans</w:t>
      </w:r>
      <w:r w:rsidR="000B562B" w:rsidRPr="00A176EA">
        <w:rPr>
          <w:snapToGrid w:val="0"/>
          <w:lang w:val="fr-FR"/>
        </w:rPr>
        <w:t>.</w:t>
      </w:r>
    </w:p>
    <w:p w:rsidR="000B562B" w:rsidRPr="00A176EA" w:rsidRDefault="002549A9" w:rsidP="00A8379B">
      <w:pPr>
        <w:pStyle w:val="SingleTxtG"/>
        <w:rPr>
          <w:lang w:val="fr-FR"/>
        </w:rPr>
      </w:pPr>
      <w:r w:rsidRPr="00A176EA">
        <w:rPr>
          <w:lang w:val="fr-FR"/>
        </w:rPr>
        <w:t>715.</w:t>
      </w:r>
      <w:r w:rsidRPr="00A176EA">
        <w:rPr>
          <w:lang w:val="fr-FR"/>
        </w:rPr>
        <w:tab/>
      </w:r>
      <w:r w:rsidR="00847FE5">
        <w:rPr>
          <w:lang w:val="fr-FR"/>
        </w:rPr>
        <w:t>Aux termes de l</w:t>
      </w:r>
      <w:r w:rsidR="00294A7B" w:rsidRPr="00294A7B">
        <w:rPr>
          <w:snapToGrid w:val="0"/>
          <w:lang w:val="fr-FR"/>
        </w:rPr>
        <w:t xml:space="preserve">a loi de 2007 sur les </w:t>
      </w:r>
      <w:r w:rsidR="00BD7499">
        <w:rPr>
          <w:snapToGrid w:val="0"/>
          <w:lang w:val="fr-FR"/>
        </w:rPr>
        <w:t xml:space="preserve">juridictions </w:t>
      </w:r>
      <w:r w:rsidR="00294A7B" w:rsidRPr="00294A7B">
        <w:rPr>
          <w:snapToGrid w:val="0"/>
          <w:lang w:val="fr-FR"/>
        </w:rPr>
        <w:t>spécialisé</w:t>
      </w:r>
      <w:r w:rsidR="00BD7499">
        <w:rPr>
          <w:snapToGrid w:val="0"/>
          <w:lang w:val="fr-FR"/>
        </w:rPr>
        <w:t>e</w:t>
      </w:r>
      <w:r w:rsidR="00294A7B" w:rsidRPr="00294A7B">
        <w:rPr>
          <w:snapToGrid w:val="0"/>
          <w:lang w:val="fr-FR"/>
        </w:rPr>
        <w:t xml:space="preserve">s, les </w:t>
      </w:r>
      <w:r w:rsidR="00BD7499" w:rsidRPr="00294A7B">
        <w:rPr>
          <w:snapToGrid w:val="0"/>
          <w:lang w:val="fr-FR"/>
        </w:rPr>
        <w:t xml:space="preserve">tribunaux </w:t>
      </w:r>
      <w:r w:rsidR="00294A7B" w:rsidRPr="00294A7B">
        <w:rPr>
          <w:snapToGrid w:val="0"/>
          <w:lang w:val="fr-FR"/>
        </w:rPr>
        <w:t>et les voies d’exécution</w:t>
      </w:r>
      <w:r w:rsidR="001F4D85">
        <w:rPr>
          <w:snapToGrid w:val="0"/>
          <w:lang w:val="fr-FR"/>
        </w:rPr>
        <w:t>,</w:t>
      </w:r>
      <w:r w:rsidR="00B8240E">
        <w:rPr>
          <w:snapToGrid w:val="0"/>
          <w:lang w:val="fr-FR"/>
        </w:rPr>
        <w:t xml:space="preserve"> </w:t>
      </w:r>
      <w:r w:rsidR="001F4D85">
        <w:rPr>
          <w:snapToGrid w:val="0"/>
          <w:lang w:val="fr-FR"/>
        </w:rPr>
        <w:t>les juridictions administratives spécialisées</w:t>
      </w:r>
      <w:r w:rsidR="000B562B" w:rsidRPr="00A176EA">
        <w:rPr>
          <w:snapToGrid w:val="0"/>
          <w:lang w:val="fr-FR"/>
        </w:rPr>
        <w:t xml:space="preserve"> </w:t>
      </w:r>
      <w:r w:rsidR="001F4D85">
        <w:rPr>
          <w:snapToGrid w:val="0"/>
          <w:lang w:val="fr-FR"/>
        </w:rPr>
        <w:t xml:space="preserve">ont été divisées en </w:t>
      </w:r>
      <w:r w:rsidR="000B562B" w:rsidRPr="00A176EA">
        <w:rPr>
          <w:snapToGrid w:val="0"/>
          <w:lang w:val="fr-FR"/>
        </w:rPr>
        <w:t xml:space="preserve">First-tier Tribunal </w:t>
      </w:r>
      <w:r w:rsidR="001F4D85">
        <w:rPr>
          <w:snapToGrid w:val="0"/>
          <w:lang w:val="fr-FR"/>
        </w:rPr>
        <w:t>(</w:t>
      </w:r>
      <w:r w:rsidR="00CA4B14">
        <w:rPr>
          <w:snapToGrid w:val="0"/>
          <w:lang w:val="fr-FR"/>
        </w:rPr>
        <w:t>premier degré</w:t>
      </w:r>
      <w:r w:rsidR="001F4D85">
        <w:rPr>
          <w:snapToGrid w:val="0"/>
          <w:lang w:val="fr-FR"/>
        </w:rPr>
        <w:t>) et</w:t>
      </w:r>
      <w:r w:rsidR="000B562B" w:rsidRPr="00A176EA">
        <w:rPr>
          <w:snapToGrid w:val="0"/>
          <w:lang w:val="fr-FR"/>
        </w:rPr>
        <w:t xml:space="preserve"> Upper Tribunal </w:t>
      </w:r>
      <w:r w:rsidR="001F4D85">
        <w:rPr>
          <w:snapToGrid w:val="0"/>
          <w:lang w:val="fr-FR"/>
        </w:rPr>
        <w:t>(</w:t>
      </w:r>
      <w:r w:rsidR="005A36C9">
        <w:rPr>
          <w:snapToGrid w:val="0"/>
          <w:lang w:val="fr-FR"/>
        </w:rPr>
        <w:t xml:space="preserve">degré </w:t>
      </w:r>
      <w:r w:rsidR="001F4D85">
        <w:rPr>
          <w:snapToGrid w:val="0"/>
          <w:lang w:val="fr-FR"/>
        </w:rPr>
        <w:t>supérieur) le</w:t>
      </w:r>
      <w:r w:rsidR="000B562B" w:rsidRPr="00A176EA">
        <w:rPr>
          <w:snapToGrid w:val="0"/>
          <w:lang w:val="fr-FR"/>
        </w:rPr>
        <w:t xml:space="preserve"> 3 </w:t>
      </w:r>
      <w:r w:rsidR="001F4D85">
        <w:rPr>
          <w:snapToGrid w:val="0"/>
          <w:lang w:val="fr-FR"/>
        </w:rPr>
        <w:t>novembre</w:t>
      </w:r>
      <w:r w:rsidR="000B562B" w:rsidRPr="00A176EA">
        <w:rPr>
          <w:snapToGrid w:val="0"/>
          <w:lang w:val="fr-FR"/>
        </w:rPr>
        <w:t xml:space="preserve"> 2008. </w:t>
      </w:r>
      <w:r w:rsidR="00CA4B14">
        <w:rPr>
          <w:snapToGrid w:val="0"/>
          <w:lang w:val="fr-FR"/>
        </w:rPr>
        <w:t>L</w:t>
      </w:r>
      <w:r w:rsidR="000B562B" w:rsidRPr="00A176EA">
        <w:rPr>
          <w:snapToGrid w:val="0"/>
          <w:lang w:val="fr-FR"/>
        </w:rPr>
        <w:t xml:space="preserve">e First-tier Tribunal </w:t>
      </w:r>
      <w:r w:rsidR="00CA4B14">
        <w:rPr>
          <w:snapToGrid w:val="0"/>
          <w:lang w:val="fr-FR"/>
        </w:rPr>
        <w:t xml:space="preserve">est le tribunal de première </w:t>
      </w:r>
      <w:r w:rsidR="000B562B" w:rsidRPr="00A176EA">
        <w:rPr>
          <w:snapToGrid w:val="0"/>
          <w:lang w:val="fr-FR"/>
        </w:rPr>
        <w:t xml:space="preserve">instance </w:t>
      </w:r>
      <w:r w:rsidR="00CA4B14" w:rsidRPr="00AD647F">
        <w:rPr>
          <w:snapToGrid w:val="0"/>
          <w:lang w:val="fr-FR"/>
        </w:rPr>
        <w:t>pour</w:t>
      </w:r>
      <w:r w:rsidR="00CA4B14">
        <w:rPr>
          <w:snapToGrid w:val="0"/>
          <w:lang w:val="fr-FR"/>
        </w:rPr>
        <w:t xml:space="preserve"> la plupart</w:t>
      </w:r>
      <w:r w:rsidR="000B562B" w:rsidRPr="00A176EA">
        <w:rPr>
          <w:snapToGrid w:val="0"/>
          <w:lang w:val="fr-FR"/>
        </w:rPr>
        <w:t xml:space="preserve"> </w:t>
      </w:r>
      <w:r w:rsidR="00CA4B14">
        <w:rPr>
          <w:snapToGrid w:val="0"/>
          <w:lang w:val="fr-FR"/>
        </w:rPr>
        <w:t>des</w:t>
      </w:r>
      <w:r w:rsidR="000B562B" w:rsidRPr="00A176EA">
        <w:rPr>
          <w:snapToGrid w:val="0"/>
          <w:lang w:val="fr-FR"/>
        </w:rPr>
        <w:t xml:space="preserve"> juridictions. </w:t>
      </w:r>
      <w:r w:rsidR="00CA4B14">
        <w:rPr>
          <w:snapToGrid w:val="0"/>
          <w:lang w:val="fr-FR"/>
        </w:rPr>
        <w:t>L</w:t>
      </w:r>
      <w:r w:rsidR="000B562B" w:rsidRPr="00A176EA">
        <w:rPr>
          <w:snapToGrid w:val="0"/>
          <w:lang w:val="fr-FR"/>
        </w:rPr>
        <w:t xml:space="preserve">e Upper Tribunal </w:t>
      </w:r>
      <w:r w:rsidR="00CA4B14">
        <w:rPr>
          <w:snapToGrid w:val="0"/>
          <w:lang w:val="fr-FR"/>
        </w:rPr>
        <w:t xml:space="preserve">a pour rôle essentiel, mais non exclusif, d’examiner en appel les décisions rendues par </w:t>
      </w:r>
      <w:r w:rsidR="005A36C9">
        <w:rPr>
          <w:snapToGrid w:val="0"/>
          <w:lang w:val="fr-FR"/>
        </w:rPr>
        <w:t>le</w:t>
      </w:r>
      <w:r w:rsidR="000B562B" w:rsidRPr="00A176EA">
        <w:rPr>
          <w:snapToGrid w:val="0"/>
          <w:lang w:val="fr-FR"/>
        </w:rPr>
        <w:t xml:space="preserve"> First-tier Tribunal</w:t>
      </w:r>
      <w:r w:rsidR="005A36C9">
        <w:rPr>
          <w:snapToGrid w:val="0"/>
          <w:lang w:val="fr-FR"/>
        </w:rPr>
        <w:t>, et de statuer</w:t>
      </w:r>
      <w:r w:rsidR="000B562B" w:rsidRPr="00A176EA">
        <w:rPr>
          <w:snapToGrid w:val="0"/>
          <w:lang w:val="fr-FR"/>
        </w:rPr>
        <w:t xml:space="preserve">. </w:t>
      </w:r>
      <w:r w:rsidR="005A36C9">
        <w:rPr>
          <w:snapToGrid w:val="0"/>
          <w:lang w:val="fr-FR"/>
        </w:rPr>
        <w:t xml:space="preserve">Il est également habilité à </w:t>
      </w:r>
      <w:r w:rsidR="00B343B8">
        <w:rPr>
          <w:snapToGrid w:val="0"/>
          <w:lang w:val="fr-FR"/>
        </w:rPr>
        <w:t>examiner les recours en</w:t>
      </w:r>
      <w:r w:rsidR="005A36C9">
        <w:rPr>
          <w:snapToGrid w:val="0"/>
          <w:lang w:val="fr-FR"/>
        </w:rPr>
        <w:t xml:space="preserve"> contrôle juridictionnel qui lui </w:t>
      </w:r>
      <w:r w:rsidR="00B343B8">
        <w:rPr>
          <w:snapToGrid w:val="0"/>
          <w:lang w:val="fr-FR"/>
        </w:rPr>
        <w:t>sont transférés</w:t>
      </w:r>
      <w:r w:rsidR="005A36C9">
        <w:rPr>
          <w:snapToGrid w:val="0"/>
          <w:lang w:val="fr-FR"/>
        </w:rPr>
        <w:t xml:space="preserve"> par la Haute Cour et la Cour de session. Les deux tribunaux relèvent du</w:t>
      </w:r>
      <w:r w:rsidR="000B562B" w:rsidRPr="00A176EA">
        <w:rPr>
          <w:snapToGrid w:val="0"/>
          <w:lang w:val="fr-FR"/>
        </w:rPr>
        <w:t xml:space="preserve"> Tribunals Service.</w:t>
      </w:r>
    </w:p>
    <w:p w:rsidR="000B562B" w:rsidRPr="00A176EA" w:rsidRDefault="002549A9" w:rsidP="00A8379B">
      <w:pPr>
        <w:pStyle w:val="SingleTxtG"/>
        <w:rPr>
          <w:lang w:val="fr-FR"/>
        </w:rPr>
      </w:pPr>
      <w:r w:rsidRPr="00A176EA">
        <w:rPr>
          <w:lang w:val="fr-FR"/>
        </w:rPr>
        <w:t>716.</w:t>
      </w:r>
      <w:r w:rsidRPr="00A176EA">
        <w:rPr>
          <w:lang w:val="fr-FR"/>
        </w:rPr>
        <w:tab/>
      </w:r>
      <w:r w:rsidR="0063675F">
        <w:rPr>
          <w:lang w:val="fr-FR"/>
        </w:rPr>
        <w:t>L</w:t>
      </w:r>
      <w:r w:rsidR="000B562B" w:rsidRPr="00A176EA">
        <w:rPr>
          <w:snapToGrid w:val="0"/>
          <w:lang w:val="fr-FR"/>
        </w:rPr>
        <w:t xml:space="preserve">e First-tier Tribunal </w:t>
      </w:r>
      <w:r w:rsidR="0063675F">
        <w:rPr>
          <w:snapToGrid w:val="0"/>
          <w:lang w:val="fr-FR"/>
        </w:rPr>
        <w:t>et le</w:t>
      </w:r>
      <w:r w:rsidR="000B562B" w:rsidRPr="00A176EA">
        <w:rPr>
          <w:snapToGrid w:val="0"/>
          <w:lang w:val="fr-FR"/>
        </w:rPr>
        <w:t xml:space="preserve"> Upper Tribunal </w:t>
      </w:r>
      <w:r w:rsidR="0063675F">
        <w:rPr>
          <w:snapToGrid w:val="0"/>
          <w:lang w:val="fr-FR"/>
        </w:rPr>
        <w:t xml:space="preserve">sont divisés en chambres regroupant des juridictions traitant les mêmes domaines ou </w:t>
      </w:r>
      <w:r w:rsidR="00AD647F">
        <w:rPr>
          <w:snapToGrid w:val="0"/>
          <w:lang w:val="fr-FR"/>
        </w:rPr>
        <w:t xml:space="preserve">des collèges de juges ayant les mêmes </w:t>
      </w:r>
      <w:r w:rsidR="00505462">
        <w:rPr>
          <w:snapToGrid w:val="0"/>
          <w:lang w:val="fr-FR"/>
        </w:rPr>
        <w:t>qualifications</w:t>
      </w:r>
      <w:r w:rsidR="000B562B" w:rsidRPr="00A176EA">
        <w:rPr>
          <w:snapToGrid w:val="0"/>
          <w:lang w:val="fr-FR"/>
        </w:rPr>
        <w:t xml:space="preserve">. </w:t>
      </w:r>
      <w:r w:rsidR="00B343B8" w:rsidRPr="00B343B8">
        <w:rPr>
          <w:snapToGrid w:val="0"/>
          <w:lang w:val="fr-FR"/>
        </w:rPr>
        <w:t xml:space="preserve">La structure étant souple, si le Parlement décide à l’avenir de créer un nouveau droit </w:t>
      </w:r>
      <w:r w:rsidR="00B343B8">
        <w:rPr>
          <w:snapToGrid w:val="0"/>
          <w:lang w:val="fr-FR"/>
        </w:rPr>
        <w:t xml:space="preserve">de recours </w:t>
      </w:r>
      <w:r w:rsidR="00B343B8" w:rsidRPr="00B343B8">
        <w:rPr>
          <w:snapToGrid w:val="0"/>
          <w:lang w:val="fr-FR"/>
        </w:rPr>
        <w:t xml:space="preserve">ou une nouvelle juridiction de recours, il ne sera pas nécessaire de créer un nouveau tribunal </w:t>
      </w:r>
      <w:r w:rsidR="00B343B8">
        <w:rPr>
          <w:snapToGrid w:val="0"/>
          <w:lang w:val="fr-FR"/>
        </w:rPr>
        <w:t>à cet effet</w:t>
      </w:r>
      <w:r w:rsidR="000B562B" w:rsidRPr="00A176EA">
        <w:rPr>
          <w:snapToGrid w:val="0"/>
          <w:lang w:val="fr-FR"/>
        </w:rPr>
        <w:t>.</w:t>
      </w:r>
      <w:r w:rsidR="00B343B8">
        <w:rPr>
          <w:snapToGrid w:val="0"/>
          <w:lang w:val="fr-FR"/>
        </w:rPr>
        <w:t xml:space="preserve"> </w:t>
      </w:r>
    </w:p>
    <w:p w:rsidR="000B562B" w:rsidRPr="00A176EA" w:rsidRDefault="002549A9" w:rsidP="00A8379B">
      <w:pPr>
        <w:pStyle w:val="SingleTxtG"/>
        <w:rPr>
          <w:lang w:val="fr-FR"/>
        </w:rPr>
      </w:pPr>
      <w:r w:rsidRPr="00A176EA">
        <w:rPr>
          <w:lang w:val="fr-FR"/>
        </w:rPr>
        <w:t>717.</w:t>
      </w:r>
      <w:r w:rsidRPr="00A176EA">
        <w:rPr>
          <w:lang w:val="fr-FR"/>
        </w:rPr>
        <w:tab/>
      </w:r>
      <w:r w:rsidR="00B343B8">
        <w:rPr>
          <w:lang w:val="fr-FR"/>
        </w:rPr>
        <w:t xml:space="preserve">La première phase de la mise en œuvre de ladite loi a été achevée en novembre </w:t>
      </w:r>
      <w:r w:rsidR="000B562B" w:rsidRPr="00A176EA">
        <w:rPr>
          <w:lang w:val="fr-FR"/>
        </w:rPr>
        <w:t xml:space="preserve">2008. </w:t>
      </w:r>
      <w:r w:rsidR="00B343B8">
        <w:rPr>
          <w:lang w:val="fr-FR"/>
        </w:rPr>
        <w:t>Le nouveau système</w:t>
      </w:r>
      <w:r w:rsidR="006515E4">
        <w:rPr>
          <w:lang w:val="fr-FR"/>
        </w:rPr>
        <w:t xml:space="preserve"> ses compose de deux degrés de juridiction</w:t>
      </w:r>
      <w:r w:rsidR="00FC2B97">
        <w:rPr>
          <w:lang w:val="fr-FR"/>
        </w:rPr>
        <w:t>:</w:t>
      </w:r>
      <w:r w:rsidR="006515E4">
        <w:rPr>
          <w:lang w:val="fr-FR"/>
        </w:rPr>
        <w:t xml:space="preserve"> un</w:t>
      </w:r>
      <w:r w:rsidR="00B343B8">
        <w:rPr>
          <w:lang w:val="fr-FR"/>
        </w:rPr>
        <w:t xml:space="preserve"> </w:t>
      </w:r>
      <w:r w:rsidR="000B562B" w:rsidRPr="00A176EA">
        <w:rPr>
          <w:lang w:val="fr-FR"/>
        </w:rPr>
        <w:t xml:space="preserve">First-tier Tribunal </w:t>
      </w:r>
      <w:r w:rsidR="006515E4">
        <w:rPr>
          <w:lang w:val="fr-FR"/>
        </w:rPr>
        <w:t>et un</w:t>
      </w:r>
      <w:r w:rsidR="000B562B" w:rsidRPr="00A176EA">
        <w:rPr>
          <w:lang w:val="fr-FR"/>
        </w:rPr>
        <w:t xml:space="preserve"> Upper Tribunal. </w:t>
      </w:r>
      <w:r w:rsidR="006515E4">
        <w:rPr>
          <w:lang w:val="fr-FR"/>
        </w:rPr>
        <w:t xml:space="preserve">Chaque degré compte un certain nombre de </w:t>
      </w:r>
      <w:r w:rsidR="00CD0110">
        <w:rPr>
          <w:lang w:val="fr-FR"/>
        </w:rPr>
        <w:t>«</w:t>
      </w:r>
      <w:r w:rsidR="006515E4">
        <w:rPr>
          <w:lang w:val="fr-FR"/>
        </w:rPr>
        <w:t>chambres</w:t>
      </w:r>
      <w:r w:rsidR="00CD0110">
        <w:rPr>
          <w:lang w:val="fr-FR"/>
        </w:rPr>
        <w:t>»</w:t>
      </w:r>
      <w:r w:rsidR="006515E4">
        <w:rPr>
          <w:lang w:val="fr-FR"/>
        </w:rPr>
        <w:t xml:space="preserve"> qui est fonction des matières faisant l’objet de recours</w:t>
      </w:r>
      <w:r w:rsidR="00FC2B97">
        <w:rPr>
          <w:lang w:val="fr-FR"/>
        </w:rPr>
        <w:t>:</w:t>
      </w:r>
    </w:p>
    <w:p w:rsidR="000B562B" w:rsidRPr="008A4260" w:rsidRDefault="000B562B" w:rsidP="008A4260">
      <w:pPr>
        <w:pStyle w:val="SingleTxtG"/>
        <w:rPr>
          <w:b/>
          <w:bCs/>
          <w:lang w:val="fr-FR"/>
        </w:rPr>
      </w:pPr>
      <w:r w:rsidRPr="008A4260">
        <w:rPr>
          <w:b/>
          <w:bCs/>
          <w:lang w:val="fr-FR"/>
        </w:rPr>
        <w:t>Upper Tribunal</w:t>
      </w:r>
    </w:p>
    <w:p w:rsidR="00EB4033" w:rsidRPr="006D07AA" w:rsidRDefault="00BC79B4" w:rsidP="00BC0033">
      <w:pPr>
        <w:pStyle w:val="Bullet1G"/>
      </w:pPr>
      <w:r w:rsidRPr="006D07AA">
        <w:t>Chambre des recours administratifs</w:t>
      </w:r>
    </w:p>
    <w:p w:rsidR="000B562B" w:rsidRPr="008A4260" w:rsidRDefault="000B562B" w:rsidP="008A4260">
      <w:pPr>
        <w:pStyle w:val="SingleTxtG"/>
        <w:rPr>
          <w:b/>
          <w:bCs/>
          <w:lang w:val="fr-FR"/>
        </w:rPr>
      </w:pPr>
      <w:r w:rsidRPr="008A4260">
        <w:rPr>
          <w:b/>
          <w:bCs/>
          <w:lang w:val="fr-FR"/>
        </w:rPr>
        <w:t>First-tier Tribunal</w:t>
      </w:r>
    </w:p>
    <w:p w:rsidR="006515E4" w:rsidRPr="006D07AA" w:rsidRDefault="00BC79B4" w:rsidP="00BC0033">
      <w:pPr>
        <w:pStyle w:val="Bullet1G"/>
      </w:pPr>
      <w:r w:rsidRPr="006D07AA">
        <w:t>Chamb</w:t>
      </w:r>
      <w:r w:rsidR="006D07AA" w:rsidRPr="006D07AA">
        <w:t>re</w:t>
      </w:r>
      <w:r w:rsidRPr="006D07AA">
        <w:t xml:space="preserve"> des prestations sociales</w:t>
      </w:r>
    </w:p>
    <w:p w:rsidR="006515E4" w:rsidRPr="006D07AA" w:rsidRDefault="00BC79B4" w:rsidP="00BC0033">
      <w:pPr>
        <w:pStyle w:val="Bullet1G"/>
      </w:pPr>
      <w:r w:rsidRPr="006D07AA">
        <w:t>Chamb</w:t>
      </w:r>
      <w:r w:rsidR="006D07AA" w:rsidRPr="006D07AA">
        <w:t>re</w:t>
      </w:r>
      <w:r w:rsidRPr="006D07AA">
        <w:t xml:space="preserve"> des questions relatives à la santé, à l’éducation et à l’aide sociale</w:t>
      </w:r>
    </w:p>
    <w:p w:rsidR="006515E4" w:rsidRPr="006D07AA" w:rsidRDefault="00BC79B4" w:rsidP="00BC0033">
      <w:pPr>
        <w:pStyle w:val="Bullet1G"/>
        <w:rPr>
          <w:color w:val="000000"/>
        </w:rPr>
      </w:pPr>
      <w:r w:rsidRPr="006D07AA">
        <w:t>Chambre de l’indemnisation des forces armées et des pensionnés de guerre</w:t>
      </w:r>
      <w:r w:rsidR="00BD7499">
        <w:t>.</w:t>
      </w:r>
    </w:p>
    <w:p w:rsidR="000B562B" w:rsidRPr="00A176EA" w:rsidRDefault="002549A9" w:rsidP="00EB4033">
      <w:pPr>
        <w:pStyle w:val="SingleTxtG"/>
        <w:rPr>
          <w:lang w:val="fr-FR"/>
        </w:rPr>
      </w:pPr>
      <w:r w:rsidRPr="006D07AA">
        <w:rPr>
          <w:lang w:val="fr-FR"/>
        </w:rPr>
        <w:t>718.</w:t>
      </w:r>
      <w:r w:rsidRPr="006D07AA">
        <w:rPr>
          <w:lang w:val="fr-FR"/>
        </w:rPr>
        <w:tab/>
      </w:r>
      <w:r w:rsidR="00BC79B4" w:rsidRPr="006D07AA">
        <w:rPr>
          <w:snapToGrid w:val="0"/>
          <w:lang w:val="fr-FR"/>
        </w:rPr>
        <w:t>Le Premier Président du tribunal</w:t>
      </w:r>
      <w:r w:rsidR="00BC79B4" w:rsidRPr="00BC79B4">
        <w:rPr>
          <w:snapToGrid w:val="0"/>
          <w:lang w:val="fr-FR"/>
        </w:rPr>
        <w:t xml:space="preserve"> a pour fonction d’exposer les vues des juges aux ministres, aux parlementaires et aux autorités chargées de la formation, de l’orientation et de la protection sociale. D’autre part, le Lord Chief Justice a délégué au Premier Président certains de ses pouvoirs suite à </w:t>
      </w:r>
      <w:r w:rsidR="00AD647F">
        <w:rPr>
          <w:snapToGrid w:val="0"/>
          <w:lang w:val="fr-FR"/>
        </w:rPr>
        <w:t xml:space="preserve">l’adoption de </w:t>
      </w:r>
      <w:r w:rsidR="00BC79B4" w:rsidRPr="00BC79B4">
        <w:rPr>
          <w:snapToGrid w:val="0"/>
          <w:lang w:val="fr-FR"/>
        </w:rPr>
        <w:t xml:space="preserve">la loi de 2005 sur la réforme constitutionnelle, en ce qui concerne notamment les sanctions disciplinaires à l’égard de la plupart des juges et membres des </w:t>
      </w:r>
      <w:r w:rsidR="00AD647F">
        <w:rPr>
          <w:snapToGrid w:val="0"/>
          <w:lang w:val="fr-FR"/>
        </w:rPr>
        <w:t>juridictions administratives</w:t>
      </w:r>
      <w:r w:rsidR="000B562B" w:rsidRPr="00A176EA">
        <w:rPr>
          <w:snapToGrid w:val="0"/>
          <w:lang w:val="fr-FR"/>
        </w:rPr>
        <w:t>.</w:t>
      </w:r>
    </w:p>
    <w:p w:rsidR="000B562B" w:rsidRPr="00A176EA" w:rsidRDefault="00BC79B4" w:rsidP="00A8379B">
      <w:pPr>
        <w:pStyle w:val="H23G"/>
        <w:rPr>
          <w:snapToGrid w:val="0"/>
          <w:lang w:val="fr-FR"/>
        </w:rPr>
      </w:pPr>
      <w:r>
        <w:rPr>
          <w:snapToGrid w:val="0"/>
          <w:lang w:val="fr-FR"/>
        </w:rPr>
        <w:t xml:space="preserve">Conseil de la justice et des </w:t>
      </w:r>
      <w:r w:rsidR="00F874CA">
        <w:rPr>
          <w:snapToGrid w:val="0"/>
          <w:lang w:val="fr-FR"/>
        </w:rPr>
        <w:t>juridictions</w:t>
      </w:r>
      <w:r w:rsidR="000B562B" w:rsidRPr="00A176EA">
        <w:rPr>
          <w:snapToGrid w:val="0"/>
          <w:lang w:val="fr-FR"/>
        </w:rPr>
        <w:t xml:space="preserve"> </w:t>
      </w:r>
      <w:r w:rsidR="00F874CA">
        <w:rPr>
          <w:snapToGrid w:val="0"/>
          <w:lang w:val="fr-FR"/>
        </w:rPr>
        <w:t>a</w:t>
      </w:r>
      <w:r w:rsidR="000B562B" w:rsidRPr="00A176EA">
        <w:rPr>
          <w:snapToGrid w:val="0"/>
          <w:lang w:val="fr-FR"/>
        </w:rPr>
        <w:t>dministrative</w:t>
      </w:r>
      <w:r w:rsidR="00F874CA">
        <w:rPr>
          <w:snapToGrid w:val="0"/>
          <w:lang w:val="fr-FR"/>
        </w:rPr>
        <w:t>s</w:t>
      </w:r>
    </w:p>
    <w:p w:rsidR="000B562B" w:rsidRPr="00A176EA" w:rsidRDefault="002549A9" w:rsidP="008D2B6F">
      <w:pPr>
        <w:pStyle w:val="SingleTxtG"/>
        <w:rPr>
          <w:snapToGrid w:val="0"/>
          <w:lang w:val="fr-FR"/>
        </w:rPr>
      </w:pPr>
      <w:r w:rsidRPr="00A176EA">
        <w:rPr>
          <w:snapToGrid w:val="0"/>
          <w:lang w:val="fr-FR"/>
        </w:rPr>
        <w:t>719.</w:t>
      </w:r>
      <w:r w:rsidRPr="00A176EA">
        <w:rPr>
          <w:snapToGrid w:val="0"/>
          <w:lang w:val="fr-FR"/>
        </w:rPr>
        <w:tab/>
      </w:r>
      <w:r w:rsidR="004139C3">
        <w:rPr>
          <w:snapToGrid w:val="0"/>
          <w:lang w:val="fr-FR"/>
        </w:rPr>
        <w:t>Le Conseil de la justice et des juridictions administratives (Administrative Justice and Tribunal Council, AJTC) est un organisme public consultatif non rattaché à un ministère, qui a succédé au Conseil des juridictions administratives</w:t>
      </w:r>
      <w:r w:rsidR="000B562B" w:rsidRPr="00A176EA">
        <w:rPr>
          <w:snapToGrid w:val="0"/>
          <w:lang w:val="fr-FR"/>
        </w:rPr>
        <w:t xml:space="preserve"> </w:t>
      </w:r>
      <w:r w:rsidR="004139C3">
        <w:rPr>
          <w:snapToGrid w:val="0"/>
          <w:lang w:val="fr-FR"/>
        </w:rPr>
        <w:t>(</w:t>
      </w:r>
      <w:r w:rsidR="000B562B" w:rsidRPr="00A176EA">
        <w:rPr>
          <w:snapToGrid w:val="0"/>
          <w:lang w:val="fr-FR"/>
        </w:rPr>
        <w:t>Council on Tribunals</w:t>
      </w:r>
      <w:r w:rsidR="004139C3">
        <w:rPr>
          <w:snapToGrid w:val="0"/>
          <w:lang w:val="fr-FR"/>
        </w:rPr>
        <w:t>)</w:t>
      </w:r>
      <w:r w:rsidR="000B562B" w:rsidRPr="00A176EA">
        <w:rPr>
          <w:snapToGrid w:val="0"/>
          <w:lang w:val="fr-FR"/>
        </w:rPr>
        <w:t xml:space="preserve">. </w:t>
      </w:r>
      <w:r w:rsidR="004139C3">
        <w:rPr>
          <w:snapToGrid w:val="0"/>
          <w:lang w:val="fr-FR"/>
        </w:rPr>
        <w:t xml:space="preserve">Outre avoir repris les fonctions de son </w:t>
      </w:r>
      <w:r w:rsidR="006D07AA">
        <w:rPr>
          <w:snapToGrid w:val="0"/>
          <w:lang w:val="fr-FR"/>
        </w:rPr>
        <w:t>prédécesseur</w:t>
      </w:r>
      <w:r w:rsidR="004139C3">
        <w:rPr>
          <w:snapToGrid w:val="0"/>
          <w:lang w:val="fr-FR"/>
        </w:rPr>
        <w:t xml:space="preserve"> en matière de juridictions administratives et d’enquêtes, il examine régulièrement l’ensemble du système de justice administrative en vue de le rendre accessible, équitable et efficace. </w:t>
      </w:r>
      <w:r w:rsidR="004139C3" w:rsidRPr="004139C3">
        <w:rPr>
          <w:snapToGrid w:val="0"/>
          <w:lang w:val="fr-FR"/>
        </w:rPr>
        <w:t>Il conseille également les ministres et le Premier Président au sujet du perfectionnement du nouveau système et leur transmet des propositions de changement</w:t>
      </w:r>
      <w:r w:rsidR="004139C3">
        <w:rPr>
          <w:snapToGrid w:val="0"/>
          <w:lang w:val="fr-FR"/>
        </w:rPr>
        <w:t xml:space="preserve">. Le Conseil s’attache à garantir que les relations entre les tribunaux, </w:t>
      </w:r>
      <w:r w:rsidR="00AD647F">
        <w:rPr>
          <w:snapToGrid w:val="0"/>
          <w:lang w:val="fr-FR"/>
        </w:rPr>
        <w:t xml:space="preserve">les juridictions administratives, </w:t>
      </w:r>
      <w:r w:rsidR="004139C3">
        <w:rPr>
          <w:snapToGrid w:val="0"/>
          <w:lang w:val="fr-FR"/>
        </w:rPr>
        <w:t xml:space="preserve">les médiateurs et autres organes chargés des modes alternatifs de règlement des différends correspondent aux besoins des usagers. La loi lui confère un siège au sein </w:t>
      </w:r>
      <w:r w:rsidR="004139C3" w:rsidRPr="005C3A37">
        <w:rPr>
          <w:snapToGrid w:val="0"/>
          <w:lang w:val="fr-FR"/>
        </w:rPr>
        <w:t>d</w:t>
      </w:r>
      <w:r w:rsidR="005C3A37" w:rsidRPr="005C3A37">
        <w:rPr>
          <w:snapToGrid w:val="0"/>
          <w:lang w:val="fr-FR"/>
        </w:rPr>
        <w:t>e</w:t>
      </w:r>
      <w:r w:rsidR="004139C3" w:rsidRPr="005C3A37">
        <w:rPr>
          <w:snapToGrid w:val="0"/>
          <w:lang w:val="fr-FR"/>
        </w:rPr>
        <w:t xml:space="preserve"> </w:t>
      </w:r>
      <w:r w:rsidR="005C3A37" w:rsidRPr="005C3A37">
        <w:rPr>
          <w:snapToGrid w:val="0"/>
          <w:lang w:val="fr-FR"/>
        </w:rPr>
        <w:t>la Commission de la procédure administrative contentieuse</w:t>
      </w:r>
      <w:r w:rsidR="00322D1A">
        <w:rPr>
          <w:snapToGrid w:val="0"/>
          <w:lang w:val="fr-FR"/>
        </w:rPr>
        <w:t>, de sorte qu’il</w:t>
      </w:r>
      <w:r w:rsidR="008D2B6F" w:rsidRPr="008D2B6F">
        <w:rPr>
          <w:snapToGrid w:val="0"/>
          <w:lang w:val="fr-FR"/>
        </w:rPr>
        <w:t xml:space="preserve"> est au centre du processus d’élaboration des règles concernant les </w:t>
      </w:r>
      <w:r w:rsidR="00322D1A">
        <w:rPr>
          <w:snapToGrid w:val="0"/>
          <w:lang w:val="fr-FR"/>
        </w:rPr>
        <w:t>juridictions administratives</w:t>
      </w:r>
      <w:r w:rsidR="000B562B" w:rsidRPr="00A176EA">
        <w:rPr>
          <w:snapToGrid w:val="0"/>
          <w:lang w:val="fr-FR"/>
        </w:rPr>
        <w:t>.</w:t>
      </w:r>
    </w:p>
    <w:p w:rsidR="000B562B" w:rsidRPr="005C3A37" w:rsidRDefault="00ED1CEC" w:rsidP="00A8379B">
      <w:pPr>
        <w:pStyle w:val="H23G"/>
        <w:rPr>
          <w:lang w:val="fr-FR"/>
        </w:rPr>
      </w:pPr>
      <w:r w:rsidRPr="005C3A37">
        <w:rPr>
          <w:lang w:val="fr-FR"/>
        </w:rPr>
        <w:t>Établissements pénitentiaires, liberté surveillée, libération conditionnelle</w:t>
      </w:r>
    </w:p>
    <w:p w:rsidR="000B562B" w:rsidRPr="00A176EA" w:rsidRDefault="002549A9" w:rsidP="00A8379B">
      <w:pPr>
        <w:pStyle w:val="SingleTxtG"/>
        <w:rPr>
          <w:snapToGrid w:val="0"/>
          <w:lang w:val="fr-FR"/>
        </w:rPr>
      </w:pPr>
      <w:r w:rsidRPr="005C3A37">
        <w:rPr>
          <w:snapToGrid w:val="0"/>
          <w:lang w:val="fr-FR"/>
        </w:rPr>
        <w:t>720.</w:t>
      </w:r>
      <w:r w:rsidRPr="005C3A37">
        <w:rPr>
          <w:snapToGrid w:val="0"/>
          <w:lang w:val="fr-FR"/>
        </w:rPr>
        <w:tab/>
      </w:r>
      <w:r w:rsidR="00ED1CEC" w:rsidRPr="005C3A37">
        <w:rPr>
          <w:snapToGrid w:val="0"/>
          <w:lang w:val="fr-FR"/>
        </w:rPr>
        <w:t xml:space="preserve">En Angleterre et au </w:t>
      </w:r>
      <w:r w:rsidR="005C3A37">
        <w:rPr>
          <w:snapToGrid w:val="0"/>
          <w:lang w:val="fr-FR"/>
        </w:rPr>
        <w:t>p</w:t>
      </w:r>
      <w:r w:rsidR="005601A1" w:rsidRPr="005C3A37">
        <w:rPr>
          <w:snapToGrid w:val="0"/>
          <w:lang w:val="fr-FR"/>
        </w:rPr>
        <w:t>ays de Galles</w:t>
      </w:r>
      <w:r w:rsidR="00ED1CEC" w:rsidRPr="005C3A37">
        <w:rPr>
          <w:snapToGrid w:val="0"/>
          <w:lang w:val="fr-FR"/>
        </w:rPr>
        <w:t>, la mise en place et l’exécution des services de gestion</w:t>
      </w:r>
      <w:r w:rsidR="000B562B" w:rsidRPr="005C3A37">
        <w:rPr>
          <w:snapToGrid w:val="0"/>
          <w:lang w:val="fr-FR"/>
        </w:rPr>
        <w:t xml:space="preserve"> </w:t>
      </w:r>
      <w:r w:rsidR="00ED1CEC" w:rsidRPr="005C3A37">
        <w:rPr>
          <w:snapToGrid w:val="0"/>
          <w:lang w:val="fr-FR"/>
        </w:rPr>
        <w:t>des détenus adultes dans les centres de détention et au sein de la communauté</w:t>
      </w:r>
      <w:r w:rsidR="000B562B" w:rsidRPr="005C3A37">
        <w:rPr>
          <w:snapToGrid w:val="0"/>
          <w:lang w:val="fr-FR"/>
        </w:rPr>
        <w:t xml:space="preserve"> </w:t>
      </w:r>
      <w:r w:rsidR="00ED1CEC" w:rsidRPr="005C3A37">
        <w:rPr>
          <w:snapToGrid w:val="0"/>
          <w:lang w:val="fr-FR"/>
        </w:rPr>
        <w:t>relève</w:t>
      </w:r>
      <w:r w:rsidR="005C3A37">
        <w:rPr>
          <w:snapToGrid w:val="0"/>
          <w:lang w:val="fr-FR"/>
        </w:rPr>
        <w:t>nt</w:t>
      </w:r>
      <w:r w:rsidR="00ED1CEC" w:rsidRPr="005C3A37">
        <w:rPr>
          <w:snapToGrid w:val="0"/>
          <w:lang w:val="fr-FR"/>
        </w:rPr>
        <w:t xml:space="preserve"> du</w:t>
      </w:r>
      <w:r w:rsidR="000B562B" w:rsidRPr="005C3A37">
        <w:rPr>
          <w:snapToGrid w:val="0"/>
          <w:lang w:val="fr-FR"/>
        </w:rPr>
        <w:t xml:space="preserve"> </w:t>
      </w:r>
      <w:r w:rsidR="00ED1CEC" w:rsidRPr="005C3A37">
        <w:rPr>
          <w:lang w:val="fr-FR"/>
        </w:rPr>
        <w:t xml:space="preserve">Service national de gestion des </w:t>
      </w:r>
      <w:r w:rsidR="000423A5" w:rsidRPr="005C3A37">
        <w:rPr>
          <w:lang w:val="fr-FR"/>
        </w:rPr>
        <w:t>détenus</w:t>
      </w:r>
      <w:r w:rsidR="00ED1CEC" w:rsidRPr="005C3A37">
        <w:rPr>
          <w:snapToGrid w:val="0"/>
          <w:lang w:val="fr-FR"/>
        </w:rPr>
        <w:t xml:space="preserve"> </w:t>
      </w:r>
      <w:r w:rsidR="000B562B" w:rsidRPr="005C3A37">
        <w:rPr>
          <w:snapToGrid w:val="0"/>
          <w:lang w:val="fr-FR"/>
        </w:rPr>
        <w:t>(</w:t>
      </w:r>
      <w:r w:rsidR="00ED1CEC" w:rsidRPr="005C3A37">
        <w:rPr>
          <w:snapToGrid w:val="0"/>
          <w:lang w:val="fr-FR"/>
        </w:rPr>
        <w:t>un organisme qui dépend du Ministère de la j</w:t>
      </w:r>
      <w:r w:rsidR="000B562B" w:rsidRPr="005C3A37">
        <w:rPr>
          <w:snapToGrid w:val="0"/>
          <w:lang w:val="fr-FR"/>
        </w:rPr>
        <w:t>ustice).</w:t>
      </w:r>
    </w:p>
    <w:p w:rsidR="000B562B" w:rsidRPr="00A176EA" w:rsidRDefault="002549A9" w:rsidP="00A8379B">
      <w:pPr>
        <w:pStyle w:val="SingleTxtG"/>
        <w:rPr>
          <w:snapToGrid w:val="0"/>
          <w:lang w:val="fr-FR"/>
        </w:rPr>
      </w:pPr>
      <w:r w:rsidRPr="00A176EA">
        <w:rPr>
          <w:snapToGrid w:val="0"/>
          <w:lang w:val="fr-FR"/>
        </w:rPr>
        <w:t>721.</w:t>
      </w:r>
      <w:r w:rsidRPr="00A176EA">
        <w:rPr>
          <w:snapToGrid w:val="0"/>
          <w:lang w:val="fr-FR"/>
        </w:rPr>
        <w:tab/>
      </w:r>
      <w:r w:rsidR="005C3A37">
        <w:rPr>
          <w:snapToGrid w:val="0"/>
          <w:lang w:val="fr-FR"/>
        </w:rPr>
        <w:t>E</w:t>
      </w:r>
      <w:r w:rsidR="000B562B" w:rsidRPr="00A176EA">
        <w:rPr>
          <w:snapToGrid w:val="0"/>
          <w:lang w:val="fr-FR"/>
        </w:rPr>
        <w:t xml:space="preserve">n </w:t>
      </w:r>
      <w:r w:rsidR="00FD2CE1" w:rsidRPr="005C3A37">
        <w:rPr>
          <w:lang w:val="fr-FR"/>
        </w:rPr>
        <w:t>Écosse</w:t>
      </w:r>
      <w:r w:rsidR="005C3A37" w:rsidRPr="005C3A37">
        <w:rPr>
          <w:lang w:val="fr-FR"/>
        </w:rPr>
        <w:t>,</w:t>
      </w:r>
      <w:r w:rsidR="000B562B" w:rsidRPr="005C3A37">
        <w:rPr>
          <w:snapToGrid w:val="0"/>
          <w:lang w:val="fr-FR"/>
        </w:rPr>
        <w:t xml:space="preserve"> </w:t>
      </w:r>
      <w:r w:rsidR="005C3A37" w:rsidRPr="005C3A37">
        <w:rPr>
          <w:snapToGrid w:val="0"/>
          <w:lang w:val="fr-FR"/>
        </w:rPr>
        <w:t xml:space="preserve">les établissements </w:t>
      </w:r>
      <w:r w:rsidR="006D07AA" w:rsidRPr="005C3A37">
        <w:rPr>
          <w:snapToGrid w:val="0"/>
          <w:lang w:val="fr-FR"/>
        </w:rPr>
        <w:t>pénitentiaires</w:t>
      </w:r>
      <w:r w:rsidR="005C3A37" w:rsidRPr="005C3A37">
        <w:rPr>
          <w:snapToGrid w:val="0"/>
          <w:lang w:val="fr-FR"/>
        </w:rPr>
        <w:t xml:space="preserve"> relèvent de la </w:t>
      </w:r>
      <w:r w:rsidR="006D07AA" w:rsidRPr="005C3A37">
        <w:rPr>
          <w:snapToGrid w:val="0"/>
          <w:lang w:val="fr-FR"/>
        </w:rPr>
        <w:t>responsabilité</w:t>
      </w:r>
      <w:r w:rsidR="000B562B" w:rsidRPr="005C3A37">
        <w:rPr>
          <w:snapToGrid w:val="0"/>
          <w:lang w:val="fr-FR"/>
        </w:rPr>
        <w:t xml:space="preserve"> </w:t>
      </w:r>
      <w:r w:rsidR="005C3A37" w:rsidRPr="005C3A37">
        <w:rPr>
          <w:snapToGrid w:val="0"/>
          <w:lang w:val="fr-FR"/>
        </w:rPr>
        <w:t>de</w:t>
      </w:r>
      <w:r w:rsidR="000B562B" w:rsidRPr="005C3A37">
        <w:rPr>
          <w:snapToGrid w:val="0"/>
          <w:lang w:val="fr-FR"/>
        </w:rPr>
        <w:t xml:space="preserve"> </w:t>
      </w:r>
      <w:r w:rsidR="005C3A37" w:rsidRPr="005C3A37">
        <w:rPr>
          <w:snapToGrid w:val="0"/>
          <w:lang w:val="fr-FR"/>
        </w:rPr>
        <w:t>l’</w:t>
      </w:r>
      <w:r w:rsidR="005C3A37" w:rsidRPr="005C3A37">
        <w:rPr>
          <w:lang w:val="fr-FR"/>
        </w:rPr>
        <w:t>Administration pénitentiaire</w:t>
      </w:r>
      <w:r w:rsidR="005C3A37" w:rsidRPr="005C3A37">
        <w:rPr>
          <w:snapToGrid w:val="0"/>
          <w:lang w:val="fr-FR"/>
        </w:rPr>
        <w:t xml:space="preserve"> écossaise</w:t>
      </w:r>
      <w:r w:rsidR="000B562B" w:rsidRPr="005C3A37">
        <w:rPr>
          <w:snapToGrid w:val="0"/>
          <w:lang w:val="fr-FR"/>
        </w:rPr>
        <w:t xml:space="preserve">, </w:t>
      </w:r>
      <w:r w:rsidR="005C3A37" w:rsidRPr="005C3A37">
        <w:rPr>
          <w:snapToGrid w:val="0"/>
          <w:lang w:val="fr-FR"/>
        </w:rPr>
        <w:t xml:space="preserve">un organe exécutif du Gouvernement écossais. </w:t>
      </w:r>
      <w:r w:rsidR="000B562B" w:rsidRPr="005C3A37">
        <w:rPr>
          <w:snapToGrid w:val="0"/>
          <w:lang w:val="fr-FR"/>
        </w:rPr>
        <w:t xml:space="preserve"> </w:t>
      </w:r>
      <w:r w:rsidR="007A7E38">
        <w:rPr>
          <w:snapToGrid w:val="0"/>
          <w:lang w:val="fr-FR"/>
        </w:rPr>
        <w:t>La responsabilité principale en matière de liberté surveillée et de services après la libération incombe aux autorités locales</w:t>
      </w:r>
      <w:r w:rsidR="000B562B" w:rsidRPr="00A176EA">
        <w:rPr>
          <w:snapToGrid w:val="0"/>
          <w:lang w:val="fr-FR"/>
        </w:rPr>
        <w:t>.</w:t>
      </w:r>
    </w:p>
    <w:p w:rsidR="000B562B" w:rsidRPr="007A7E38" w:rsidRDefault="002549A9" w:rsidP="00CA78FA">
      <w:pPr>
        <w:pStyle w:val="SingleTxtG"/>
        <w:rPr>
          <w:snapToGrid w:val="0"/>
          <w:lang w:val="fr-FR"/>
        </w:rPr>
      </w:pPr>
      <w:r w:rsidRPr="00A176EA">
        <w:rPr>
          <w:snapToGrid w:val="0"/>
          <w:lang w:val="fr-FR"/>
        </w:rPr>
        <w:t>722.</w:t>
      </w:r>
      <w:r w:rsidRPr="00A176EA">
        <w:rPr>
          <w:snapToGrid w:val="0"/>
          <w:lang w:val="fr-FR"/>
        </w:rPr>
        <w:tab/>
      </w:r>
      <w:r w:rsidR="00ED1CEC" w:rsidRPr="007A7E38">
        <w:rPr>
          <w:snapToGrid w:val="0"/>
          <w:lang w:val="fr-FR"/>
        </w:rPr>
        <w:t xml:space="preserve">En Angleterre et au </w:t>
      </w:r>
      <w:r w:rsidR="007A7E38" w:rsidRPr="007A7E38">
        <w:rPr>
          <w:snapToGrid w:val="0"/>
          <w:lang w:val="fr-FR"/>
        </w:rPr>
        <w:t>p</w:t>
      </w:r>
      <w:r w:rsidR="005601A1" w:rsidRPr="007A7E38">
        <w:rPr>
          <w:snapToGrid w:val="0"/>
          <w:lang w:val="fr-FR"/>
        </w:rPr>
        <w:t>ays de Galles</w:t>
      </w:r>
      <w:r w:rsidR="00ED1CEC" w:rsidRPr="007A7E38">
        <w:rPr>
          <w:snapToGrid w:val="0"/>
          <w:lang w:val="fr-FR"/>
        </w:rPr>
        <w:t xml:space="preserve">, le Ministre de la justice nomme pour chaque établissement pénitentiaire un Comité de surveillance indépendant qui représente la communauté locale. </w:t>
      </w:r>
      <w:r w:rsidR="00CA78FA" w:rsidRPr="007A7E38">
        <w:rPr>
          <w:snapToGrid w:val="0"/>
          <w:lang w:val="fr-FR"/>
        </w:rPr>
        <w:t>L</w:t>
      </w:r>
      <w:r w:rsidR="00ED1CEC" w:rsidRPr="007A7E38">
        <w:rPr>
          <w:snapToGrid w:val="0"/>
          <w:lang w:val="fr-FR"/>
        </w:rPr>
        <w:t xml:space="preserve">e </w:t>
      </w:r>
      <w:r w:rsidR="00CA78FA" w:rsidRPr="007A7E38">
        <w:rPr>
          <w:snapToGrid w:val="0"/>
          <w:lang w:val="fr-FR"/>
        </w:rPr>
        <w:t>C</w:t>
      </w:r>
      <w:r w:rsidR="00ED1CEC" w:rsidRPr="007A7E38">
        <w:rPr>
          <w:snapToGrid w:val="0"/>
          <w:lang w:val="fr-FR"/>
        </w:rPr>
        <w:t>omité donne un avis indépendant sur le degré d’équité et d’humanité avec lequel les personnes placées en détention sont traitées</w:t>
      </w:r>
      <w:r w:rsidR="00CA78FA" w:rsidRPr="007A7E38">
        <w:rPr>
          <w:snapToGrid w:val="0"/>
          <w:lang w:val="fr-FR"/>
        </w:rPr>
        <w:t>,</w:t>
      </w:r>
      <w:r w:rsidR="00ED1CEC" w:rsidRPr="007A7E38">
        <w:rPr>
          <w:snapToGrid w:val="0"/>
          <w:lang w:val="fr-FR"/>
        </w:rPr>
        <w:t xml:space="preserve"> ainsi que sur l’éventail et la pertinence des programmes </w:t>
      </w:r>
      <w:r w:rsidR="00CA78FA" w:rsidRPr="007A7E38">
        <w:rPr>
          <w:snapToGrid w:val="0"/>
          <w:lang w:val="fr-FR"/>
        </w:rPr>
        <w:t>de préparation</w:t>
      </w:r>
      <w:r w:rsidR="00ED1CEC" w:rsidRPr="007A7E38">
        <w:rPr>
          <w:snapToGrid w:val="0"/>
          <w:lang w:val="fr-FR"/>
        </w:rPr>
        <w:t xml:space="preserve"> à la libération. Le </w:t>
      </w:r>
      <w:r w:rsidR="00B60E7B">
        <w:rPr>
          <w:snapToGrid w:val="0"/>
          <w:lang w:val="fr-FR"/>
        </w:rPr>
        <w:t>C</w:t>
      </w:r>
      <w:r w:rsidR="00ED1CEC" w:rsidRPr="007A7E38">
        <w:rPr>
          <w:snapToGrid w:val="0"/>
          <w:lang w:val="fr-FR"/>
        </w:rPr>
        <w:t xml:space="preserve">omité fait part </w:t>
      </w:r>
      <w:r w:rsidR="00CA78FA" w:rsidRPr="007A7E38">
        <w:rPr>
          <w:snapToGrid w:val="0"/>
          <w:lang w:val="fr-FR"/>
        </w:rPr>
        <w:t xml:space="preserve">de ses préoccupations </w:t>
      </w:r>
      <w:r w:rsidR="00ED1CEC" w:rsidRPr="007A7E38">
        <w:rPr>
          <w:snapToGrid w:val="0"/>
          <w:lang w:val="fr-FR"/>
        </w:rPr>
        <w:t>au Ministre de la justice et lui présente un rapport annuel sur la manière dont l’établissement s’est conformé aux normes et a rempli les critères fixés</w:t>
      </w:r>
      <w:r w:rsidR="00CA78FA" w:rsidRPr="007A7E38">
        <w:rPr>
          <w:snapToGrid w:val="0"/>
          <w:lang w:val="fr-FR"/>
        </w:rPr>
        <w:t>,</w:t>
      </w:r>
      <w:r w:rsidR="00ED1CEC" w:rsidRPr="007A7E38">
        <w:rPr>
          <w:snapToGrid w:val="0"/>
          <w:lang w:val="fr-FR"/>
        </w:rPr>
        <w:t xml:space="preserve"> et sur les effets obtenus sur la population carcérale.</w:t>
      </w:r>
      <w:r w:rsidR="00CA78FA" w:rsidRPr="007A7E38">
        <w:rPr>
          <w:snapToGrid w:val="0"/>
          <w:lang w:val="fr-FR"/>
        </w:rPr>
        <w:t xml:space="preserve"> E</w:t>
      </w:r>
      <w:r w:rsidR="000B562B" w:rsidRPr="007A7E38">
        <w:rPr>
          <w:snapToGrid w:val="0"/>
          <w:lang w:val="fr-FR"/>
        </w:rPr>
        <w:t xml:space="preserve">n </w:t>
      </w:r>
      <w:r w:rsidR="00FD2CE1" w:rsidRPr="007A7E38">
        <w:rPr>
          <w:lang w:val="fr-FR"/>
        </w:rPr>
        <w:t>Écosse</w:t>
      </w:r>
      <w:r w:rsidR="000B562B" w:rsidRPr="007A7E38">
        <w:rPr>
          <w:snapToGrid w:val="0"/>
          <w:lang w:val="fr-FR"/>
        </w:rPr>
        <w:t xml:space="preserve">, </w:t>
      </w:r>
      <w:r w:rsidR="007A7E38" w:rsidRPr="007A7E38">
        <w:rPr>
          <w:snapToGrid w:val="0"/>
          <w:lang w:val="fr-FR"/>
        </w:rPr>
        <w:t xml:space="preserve">le </w:t>
      </w:r>
      <w:r w:rsidR="00B60E7B">
        <w:rPr>
          <w:snapToGrid w:val="0"/>
          <w:lang w:val="fr-FR"/>
        </w:rPr>
        <w:t>C</w:t>
      </w:r>
      <w:r w:rsidR="007A7E38" w:rsidRPr="007A7E38">
        <w:rPr>
          <w:snapToGrid w:val="0"/>
          <w:lang w:val="fr-FR"/>
        </w:rPr>
        <w:t>omité d’inspection de chaque établissement assure des activités similaires</w:t>
      </w:r>
      <w:r w:rsidR="000B562B" w:rsidRPr="007A7E38">
        <w:rPr>
          <w:snapToGrid w:val="0"/>
          <w:lang w:val="fr-FR"/>
        </w:rPr>
        <w:t>.</w:t>
      </w:r>
    </w:p>
    <w:p w:rsidR="000B562B" w:rsidRPr="00A176EA" w:rsidRDefault="002549A9" w:rsidP="00F03237">
      <w:pPr>
        <w:pStyle w:val="SingleTxtG"/>
        <w:rPr>
          <w:snapToGrid w:val="0"/>
          <w:lang w:val="fr-FR"/>
        </w:rPr>
      </w:pPr>
      <w:r w:rsidRPr="007A7E38">
        <w:rPr>
          <w:snapToGrid w:val="0"/>
          <w:lang w:val="fr-FR"/>
        </w:rPr>
        <w:t>723.</w:t>
      </w:r>
      <w:r w:rsidRPr="007A7E38">
        <w:rPr>
          <w:snapToGrid w:val="0"/>
          <w:lang w:val="fr-FR"/>
        </w:rPr>
        <w:tab/>
      </w:r>
      <w:r w:rsidR="00CA78FA" w:rsidRPr="007A7E38">
        <w:rPr>
          <w:snapToGrid w:val="0"/>
          <w:lang w:val="fr-FR"/>
        </w:rPr>
        <w:t xml:space="preserve">Les établissements pénitentiaires d’Angleterre et du </w:t>
      </w:r>
      <w:r w:rsidR="007A7E38">
        <w:rPr>
          <w:snapToGrid w:val="0"/>
          <w:lang w:val="fr-FR"/>
        </w:rPr>
        <w:t>p</w:t>
      </w:r>
      <w:r w:rsidR="005601A1" w:rsidRPr="007A7E38">
        <w:rPr>
          <w:snapToGrid w:val="0"/>
          <w:lang w:val="fr-FR"/>
        </w:rPr>
        <w:t>ays de Galles</w:t>
      </w:r>
      <w:r w:rsidR="00CA78FA" w:rsidRPr="007A7E38">
        <w:rPr>
          <w:snapToGrid w:val="0"/>
          <w:lang w:val="fr-FR"/>
        </w:rPr>
        <w:t xml:space="preserve"> sont inspectés par l’Inspecteur en chef des établissements pénitentiaires, qui est nommé par la Reine et fait rapport directement au Ministre de la justice. L’efficacité du travail de probation est </w:t>
      </w:r>
      <w:r w:rsidR="00E96BB0" w:rsidRPr="007A7E38">
        <w:rPr>
          <w:snapToGrid w:val="0"/>
          <w:lang w:val="fr-FR"/>
        </w:rPr>
        <w:t>contrôlée</w:t>
      </w:r>
      <w:r w:rsidR="00CA78FA" w:rsidRPr="007A7E38">
        <w:rPr>
          <w:snapToGrid w:val="0"/>
          <w:lang w:val="fr-FR"/>
        </w:rPr>
        <w:t xml:space="preserve"> par l’Inspecteur en chef </w:t>
      </w:r>
      <w:r w:rsidR="00E96BB0" w:rsidRPr="007A7E38">
        <w:rPr>
          <w:snapToGrid w:val="0"/>
          <w:lang w:val="fr-FR"/>
        </w:rPr>
        <w:t>de la probation, qui est nommé par le Ministre et lui fait rapport directement</w:t>
      </w:r>
      <w:r w:rsidR="000B562B" w:rsidRPr="007A7E38">
        <w:rPr>
          <w:snapToGrid w:val="0"/>
          <w:lang w:val="fr-FR"/>
        </w:rPr>
        <w:t xml:space="preserve">. </w:t>
      </w:r>
      <w:r w:rsidR="00E96BB0" w:rsidRPr="007A7E38">
        <w:rPr>
          <w:snapToGrid w:val="0"/>
          <w:lang w:val="fr-FR"/>
        </w:rPr>
        <w:t>E</w:t>
      </w:r>
      <w:r w:rsidR="000B562B" w:rsidRPr="007A7E38">
        <w:rPr>
          <w:snapToGrid w:val="0"/>
          <w:lang w:val="fr-FR"/>
        </w:rPr>
        <w:t xml:space="preserve">n </w:t>
      </w:r>
      <w:r w:rsidR="00FD2CE1" w:rsidRPr="007A7E38">
        <w:rPr>
          <w:lang w:val="fr-FR"/>
        </w:rPr>
        <w:t>Écosse</w:t>
      </w:r>
      <w:r w:rsidR="000B562B" w:rsidRPr="007A7E38">
        <w:rPr>
          <w:snapToGrid w:val="0"/>
          <w:lang w:val="fr-FR"/>
        </w:rPr>
        <w:t xml:space="preserve">, </w:t>
      </w:r>
      <w:r w:rsidR="00F03237">
        <w:rPr>
          <w:snapToGrid w:val="0"/>
          <w:lang w:val="fr-FR"/>
        </w:rPr>
        <w:t xml:space="preserve">les établissements pénitentiaires sont inspectés par l’Inspection générale des établissements pénitentiaires de Sa Majesté </w:t>
      </w:r>
      <w:r w:rsidR="00F03237" w:rsidRPr="00F03237">
        <w:rPr>
          <w:snapToGrid w:val="0"/>
          <w:lang w:val="fr-FR"/>
        </w:rPr>
        <w:t>pour l’</w:t>
      </w:r>
      <w:r w:rsidR="00FD2CE1" w:rsidRPr="00F03237">
        <w:rPr>
          <w:lang w:val="fr-FR"/>
        </w:rPr>
        <w:t>Écosse</w:t>
      </w:r>
      <w:r w:rsidR="000B562B" w:rsidRPr="00F03237">
        <w:rPr>
          <w:snapToGrid w:val="0"/>
          <w:lang w:val="fr-FR"/>
        </w:rPr>
        <w:t xml:space="preserve"> </w:t>
      </w:r>
      <w:r w:rsidR="00F03237" w:rsidRPr="00F03237">
        <w:rPr>
          <w:snapToGrid w:val="0"/>
          <w:lang w:val="fr-FR"/>
        </w:rPr>
        <w:t>et</w:t>
      </w:r>
      <w:r w:rsidR="00F03237">
        <w:rPr>
          <w:snapToGrid w:val="0"/>
          <w:lang w:val="fr-FR"/>
        </w:rPr>
        <w:t xml:space="preserve"> les services sociaux de la justice pénale sont supervisés par l’Organisme d’inspection du travail social, un organisme public indépendant</w:t>
      </w:r>
      <w:r w:rsidR="000B562B" w:rsidRPr="00A176EA">
        <w:rPr>
          <w:snapToGrid w:val="0"/>
          <w:lang w:val="fr-FR"/>
        </w:rPr>
        <w:t>.</w:t>
      </w:r>
    </w:p>
    <w:p w:rsidR="000B562B" w:rsidRPr="00A176EA" w:rsidRDefault="002549A9" w:rsidP="00A8379B">
      <w:pPr>
        <w:pStyle w:val="SingleTxtG"/>
        <w:rPr>
          <w:snapToGrid w:val="0"/>
          <w:lang w:val="fr-FR"/>
        </w:rPr>
      </w:pPr>
      <w:r w:rsidRPr="00A176EA">
        <w:rPr>
          <w:snapToGrid w:val="0"/>
          <w:lang w:val="fr-FR"/>
        </w:rPr>
        <w:t>724.</w:t>
      </w:r>
      <w:r w:rsidRPr="00A176EA">
        <w:rPr>
          <w:snapToGrid w:val="0"/>
          <w:lang w:val="fr-FR"/>
        </w:rPr>
        <w:tab/>
      </w:r>
      <w:r w:rsidR="00BF42ED" w:rsidRPr="00F03237">
        <w:rPr>
          <w:snapToGrid w:val="0"/>
          <w:lang w:val="fr-FR"/>
        </w:rPr>
        <w:t xml:space="preserve">En Angleterre et au </w:t>
      </w:r>
      <w:r w:rsidR="00F03237" w:rsidRPr="00F03237">
        <w:rPr>
          <w:snapToGrid w:val="0"/>
          <w:lang w:val="fr-FR"/>
        </w:rPr>
        <w:t>p</w:t>
      </w:r>
      <w:r w:rsidR="005601A1" w:rsidRPr="00F03237">
        <w:rPr>
          <w:snapToGrid w:val="0"/>
          <w:lang w:val="fr-FR"/>
        </w:rPr>
        <w:t>ays de Galles</w:t>
      </w:r>
      <w:r w:rsidR="00BF42ED" w:rsidRPr="00F03237">
        <w:rPr>
          <w:snapToGrid w:val="0"/>
          <w:lang w:val="fr-FR"/>
        </w:rPr>
        <w:t xml:space="preserve">, le Ministre de la justice nomme également le Médiateur </w:t>
      </w:r>
      <w:r w:rsidR="00BF42ED" w:rsidRPr="00F03237">
        <w:rPr>
          <w:lang w:val="fr-FR"/>
        </w:rPr>
        <w:t>des établissements pénitentiaires et de la probation</w:t>
      </w:r>
      <w:r w:rsidR="000B562B" w:rsidRPr="00F03237">
        <w:rPr>
          <w:snapToGrid w:val="0"/>
          <w:lang w:val="fr-FR"/>
        </w:rPr>
        <w:t>.</w:t>
      </w:r>
      <w:r w:rsidR="000B562B" w:rsidRPr="00A176EA">
        <w:rPr>
          <w:snapToGrid w:val="0"/>
          <w:lang w:val="fr-FR"/>
        </w:rPr>
        <w:t xml:space="preserve"> </w:t>
      </w:r>
      <w:r w:rsidR="00F03237">
        <w:rPr>
          <w:snapToGrid w:val="0"/>
          <w:lang w:val="fr-FR"/>
        </w:rPr>
        <w:t xml:space="preserve">Son rôle est de procéder à des enquêtes et de formuler des recommandations en cas de plaintes émanant de détenus, de délinquants en liberté surveillée ou de personnes </w:t>
      </w:r>
      <w:r w:rsidR="00B60E7B">
        <w:rPr>
          <w:snapToGrid w:val="0"/>
          <w:lang w:val="fr-FR"/>
        </w:rPr>
        <w:t>re</w:t>
      </w:r>
      <w:r w:rsidR="00F03237">
        <w:rPr>
          <w:snapToGrid w:val="0"/>
          <w:lang w:val="fr-FR"/>
        </w:rPr>
        <w:t xml:space="preserve">tenues par les services d’immigration. </w:t>
      </w:r>
      <w:r w:rsidR="00F03237" w:rsidRPr="00F03237">
        <w:rPr>
          <w:snapToGrid w:val="0"/>
          <w:lang w:val="fr-FR"/>
        </w:rPr>
        <w:t xml:space="preserve">Le Médiateur est également chargé d’enquêter sur tout décès survenu dans un établissement pénitentiaire, des locaux agréés et des </w:t>
      </w:r>
      <w:r w:rsidR="009B7D65">
        <w:rPr>
          <w:snapToGrid w:val="0"/>
          <w:lang w:val="fr-FR"/>
        </w:rPr>
        <w:t>locaux</w:t>
      </w:r>
      <w:r w:rsidR="00F03237" w:rsidRPr="00F03237">
        <w:rPr>
          <w:snapToGrid w:val="0"/>
          <w:lang w:val="fr-FR"/>
        </w:rPr>
        <w:t xml:space="preserve"> de </w:t>
      </w:r>
      <w:r w:rsidR="009B7D65">
        <w:rPr>
          <w:snapToGrid w:val="0"/>
          <w:lang w:val="fr-FR"/>
        </w:rPr>
        <w:t>r</w:t>
      </w:r>
      <w:r w:rsidR="00F03237" w:rsidRPr="00F03237">
        <w:rPr>
          <w:snapToGrid w:val="0"/>
          <w:lang w:val="fr-FR"/>
        </w:rPr>
        <w:t xml:space="preserve">étention </w:t>
      </w:r>
      <w:r w:rsidR="009B7D65">
        <w:rPr>
          <w:snapToGrid w:val="0"/>
          <w:lang w:val="fr-FR"/>
        </w:rPr>
        <w:t xml:space="preserve">des </w:t>
      </w:r>
      <w:r w:rsidR="006D07AA">
        <w:rPr>
          <w:snapToGrid w:val="0"/>
          <w:lang w:val="fr-FR"/>
        </w:rPr>
        <w:t>services</w:t>
      </w:r>
      <w:r w:rsidR="009B7D65">
        <w:rPr>
          <w:snapToGrid w:val="0"/>
          <w:lang w:val="fr-FR"/>
        </w:rPr>
        <w:t xml:space="preserve"> d’immigration</w:t>
      </w:r>
      <w:r w:rsidR="00F03237" w:rsidRPr="00F03237">
        <w:rPr>
          <w:snapToGrid w:val="0"/>
          <w:lang w:val="fr-FR"/>
        </w:rPr>
        <w:t>. Il présente un rapport annuel au Ministre de la justice</w:t>
      </w:r>
      <w:r w:rsidR="000B562B" w:rsidRPr="00A176EA">
        <w:rPr>
          <w:snapToGrid w:val="0"/>
          <w:lang w:val="fr-FR"/>
        </w:rPr>
        <w:t>.</w:t>
      </w:r>
    </w:p>
    <w:p w:rsidR="000B562B" w:rsidRPr="00A176EA" w:rsidRDefault="002549A9" w:rsidP="00A8379B">
      <w:pPr>
        <w:pStyle w:val="SingleTxtG"/>
        <w:rPr>
          <w:snapToGrid w:val="0"/>
          <w:lang w:val="fr-FR"/>
        </w:rPr>
      </w:pPr>
      <w:r w:rsidRPr="00A176EA">
        <w:rPr>
          <w:snapToGrid w:val="0"/>
          <w:lang w:val="fr-FR"/>
        </w:rPr>
        <w:t>725.</w:t>
      </w:r>
      <w:r w:rsidRPr="00A176EA">
        <w:rPr>
          <w:snapToGrid w:val="0"/>
          <w:lang w:val="fr-FR"/>
        </w:rPr>
        <w:tab/>
      </w:r>
      <w:r w:rsidR="009B7D65">
        <w:rPr>
          <w:snapToGrid w:val="0"/>
          <w:lang w:val="fr-FR"/>
        </w:rPr>
        <w:t xml:space="preserve">Un Comité </w:t>
      </w:r>
      <w:r w:rsidR="00CE6AB7">
        <w:rPr>
          <w:lang w:val="fr-FR"/>
        </w:rPr>
        <w:t>des libérations conditionnelles</w:t>
      </w:r>
      <w:r w:rsidR="00CE6AB7">
        <w:rPr>
          <w:snapToGrid w:val="0"/>
          <w:lang w:val="fr-FR"/>
        </w:rPr>
        <w:t xml:space="preserve"> </w:t>
      </w:r>
      <w:r w:rsidR="009B7D65">
        <w:rPr>
          <w:snapToGrid w:val="0"/>
          <w:lang w:val="fr-FR"/>
        </w:rPr>
        <w:t>conseille le Ministre de la justice au sujet des détenus pouvant bénéficier d’une libération conditionnelle</w:t>
      </w:r>
      <w:r w:rsidR="000B562B" w:rsidRPr="00A176EA">
        <w:rPr>
          <w:snapToGrid w:val="0"/>
          <w:lang w:val="fr-FR"/>
        </w:rPr>
        <w:t>.</w:t>
      </w:r>
    </w:p>
    <w:p w:rsidR="000B562B" w:rsidRPr="00A176EA" w:rsidRDefault="002549A9" w:rsidP="00A8379B">
      <w:pPr>
        <w:pStyle w:val="SingleTxtG"/>
        <w:rPr>
          <w:snapToGrid w:val="0"/>
          <w:lang w:val="fr-FR"/>
        </w:rPr>
      </w:pPr>
      <w:r w:rsidRPr="00A176EA">
        <w:rPr>
          <w:snapToGrid w:val="0"/>
          <w:lang w:val="fr-FR"/>
        </w:rPr>
        <w:t>726.</w:t>
      </w:r>
      <w:r w:rsidRPr="00A176EA">
        <w:rPr>
          <w:snapToGrid w:val="0"/>
          <w:lang w:val="fr-FR"/>
        </w:rPr>
        <w:tab/>
      </w:r>
      <w:r w:rsidR="00EB10E0" w:rsidRPr="009B7D65">
        <w:rPr>
          <w:snapToGrid w:val="0"/>
          <w:lang w:val="fr-FR"/>
        </w:rPr>
        <w:t>E</w:t>
      </w:r>
      <w:r w:rsidR="000B562B" w:rsidRPr="009B7D65">
        <w:rPr>
          <w:snapToGrid w:val="0"/>
          <w:lang w:val="fr-FR"/>
        </w:rPr>
        <w:t xml:space="preserve">n </w:t>
      </w:r>
      <w:r w:rsidR="00FD2CE1" w:rsidRPr="009B7D65">
        <w:rPr>
          <w:lang w:val="fr-FR"/>
        </w:rPr>
        <w:t>Écosse</w:t>
      </w:r>
      <w:r w:rsidR="000B562B" w:rsidRPr="009B7D65">
        <w:rPr>
          <w:snapToGrid w:val="0"/>
          <w:lang w:val="fr-FR"/>
        </w:rPr>
        <w:t>,</w:t>
      </w:r>
      <w:r w:rsidR="000B562B" w:rsidRPr="00A176EA">
        <w:rPr>
          <w:snapToGrid w:val="0"/>
          <w:lang w:val="fr-FR"/>
        </w:rPr>
        <w:t xml:space="preserve"> </w:t>
      </w:r>
      <w:r w:rsidR="009B7D65">
        <w:rPr>
          <w:snapToGrid w:val="0"/>
          <w:lang w:val="fr-FR"/>
        </w:rPr>
        <w:t xml:space="preserve">les plaintes de détenus qui n’ont pas été résolues par la procédure de plainte de l’Administration pénitentiaire écossaise sont examinées </w:t>
      </w:r>
      <w:r w:rsidR="00B60E7B">
        <w:rPr>
          <w:snapToGrid w:val="0"/>
          <w:lang w:val="fr-FR"/>
        </w:rPr>
        <w:t xml:space="preserve">par </w:t>
      </w:r>
      <w:r w:rsidR="009B7D65">
        <w:rPr>
          <w:snapToGrid w:val="0"/>
          <w:lang w:val="fr-FR"/>
        </w:rPr>
        <w:t xml:space="preserve">la Commission chargée des plaintes contre l’Administration pénitentiaire, une instance indépendante. Les plaintes relatives aux services sociaux de la justice pénale, concernant par exemple la libération conditionnelle, peuvent être examinées </w:t>
      </w:r>
      <w:r w:rsidR="007821FF">
        <w:rPr>
          <w:snapToGrid w:val="0"/>
          <w:lang w:val="fr-FR"/>
        </w:rPr>
        <w:t>par le Médiateur des services publics écossais, lui aussi indépendant</w:t>
      </w:r>
      <w:r w:rsidR="000B562B" w:rsidRPr="00A176EA">
        <w:rPr>
          <w:snapToGrid w:val="0"/>
          <w:lang w:val="fr-FR"/>
        </w:rPr>
        <w:t>.</w:t>
      </w:r>
    </w:p>
    <w:p w:rsidR="000B562B" w:rsidRPr="00A176EA" w:rsidRDefault="00EB10E0" w:rsidP="00A8379B">
      <w:pPr>
        <w:pStyle w:val="H23G"/>
        <w:rPr>
          <w:lang w:val="fr-FR"/>
        </w:rPr>
      </w:pPr>
      <w:r w:rsidRPr="007821FF">
        <w:rPr>
          <w:lang w:val="fr-FR"/>
        </w:rPr>
        <w:t>Santé des détenus</w:t>
      </w:r>
    </w:p>
    <w:p w:rsidR="000B562B" w:rsidRPr="00A176EA" w:rsidRDefault="002549A9" w:rsidP="00AE5844">
      <w:pPr>
        <w:pStyle w:val="SingleTxtG"/>
        <w:rPr>
          <w:lang w:val="fr-FR"/>
        </w:rPr>
      </w:pPr>
      <w:r w:rsidRPr="00A176EA">
        <w:rPr>
          <w:lang w:val="fr-FR"/>
        </w:rPr>
        <w:t>727.</w:t>
      </w:r>
      <w:r w:rsidRPr="00A176EA">
        <w:rPr>
          <w:lang w:val="fr-FR"/>
        </w:rPr>
        <w:tab/>
      </w:r>
      <w:r w:rsidR="003E1C98">
        <w:rPr>
          <w:lang w:val="fr-FR"/>
        </w:rPr>
        <w:t xml:space="preserve">L’offre de services de santé dans les établissements pénitentiaires publics d’Angleterre relève des Structures de soins primaires du Service national de santé. Des propositions ont été faites pour remplacer les Structures de soins primaires par </w:t>
      </w:r>
      <w:r w:rsidR="00AE5844">
        <w:rPr>
          <w:lang w:val="fr-FR"/>
        </w:rPr>
        <w:t>une Centrale d’achat du Service national de santé. Elles figurent dans le livre blanc publié en 2010 par le Ministère de la santé à la suite d’une consultation</w:t>
      </w:r>
      <w:r w:rsidR="000B562B" w:rsidRPr="00A176EA">
        <w:rPr>
          <w:lang w:val="fr-FR"/>
        </w:rPr>
        <w:t>.</w:t>
      </w:r>
    </w:p>
    <w:p w:rsidR="000B562B" w:rsidRPr="00A176EA" w:rsidRDefault="002549A9" w:rsidP="00AE5844">
      <w:pPr>
        <w:pStyle w:val="SingleTxtG"/>
        <w:rPr>
          <w:lang w:val="fr-FR"/>
        </w:rPr>
      </w:pPr>
      <w:r w:rsidRPr="00A176EA">
        <w:rPr>
          <w:lang w:val="fr-FR"/>
        </w:rPr>
        <w:t>728.</w:t>
      </w:r>
      <w:r w:rsidRPr="00A176EA">
        <w:rPr>
          <w:lang w:val="fr-FR"/>
        </w:rPr>
        <w:tab/>
      </w:r>
      <w:r w:rsidR="00AE5844" w:rsidRPr="002961D4">
        <w:rPr>
          <w:lang w:val="fr-FR"/>
        </w:rPr>
        <w:t xml:space="preserve">En Écosse, </w:t>
      </w:r>
      <w:r w:rsidR="00AE5844">
        <w:rPr>
          <w:lang w:val="fr-FR"/>
        </w:rPr>
        <w:t>les services médicaux des établissements gérés par l’Administration pénitentiaire font l’objet d’un contrat national. L’une des clauses de ce contrat est que tous les médecins doivent posséder les qualifications requises pour travailler en milieu pénitentiaire et être inscrits au Tableau de l’ordre des médecins. Tous doivent suivre une formation d’entrée en fonctions, une formation continue et une formation propre au milieu carcéral, dont la gestion des risques de suicide. L’éthique et la morale font partie de la stratégie de formation et d’enseignement destinée au personnel infirmier travaillant en milieu pénitentiaire</w:t>
      </w:r>
      <w:r w:rsidR="00AE5844" w:rsidRPr="00A176EA">
        <w:rPr>
          <w:lang w:val="fr-FR"/>
        </w:rPr>
        <w:t>.</w:t>
      </w:r>
    </w:p>
    <w:p w:rsidR="000B562B" w:rsidRPr="00A176EA" w:rsidRDefault="00AE5844" w:rsidP="00A8379B">
      <w:pPr>
        <w:pStyle w:val="H23G"/>
        <w:rPr>
          <w:szCs w:val="24"/>
          <w:lang w:val="fr-FR"/>
        </w:rPr>
      </w:pPr>
      <w:r>
        <w:rPr>
          <w:lang w:val="fr-FR"/>
        </w:rPr>
        <w:t>Grâce</w:t>
      </w:r>
    </w:p>
    <w:p w:rsidR="000B562B" w:rsidRPr="00A176EA" w:rsidRDefault="002549A9" w:rsidP="00A8379B">
      <w:pPr>
        <w:pStyle w:val="SingleTxtG"/>
        <w:rPr>
          <w:lang w:val="fr-FR"/>
        </w:rPr>
      </w:pPr>
      <w:r w:rsidRPr="00A176EA">
        <w:rPr>
          <w:lang w:val="fr-FR"/>
        </w:rPr>
        <w:t>729.</w:t>
      </w:r>
      <w:r w:rsidRPr="00A176EA">
        <w:rPr>
          <w:lang w:val="fr-FR"/>
        </w:rPr>
        <w:tab/>
      </w:r>
      <w:r w:rsidR="00AE5844">
        <w:rPr>
          <w:lang w:val="fr-FR"/>
        </w:rPr>
        <w:t>Pour l’Angleterre et le pays de Galles, le Ministre de la j</w:t>
      </w:r>
      <w:r w:rsidR="000B562B" w:rsidRPr="00A176EA">
        <w:rPr>
          <w:lang w:val="fr-FR"/>
        </w:rPr>
        <w:t xml:space="preserve">ustice </w:t>
      </w:r>
      <w:r w:rsidR="00AE5844">
        <w:rPr>
          <w:lang w:val="fr-FR"/>
        </w:rPr>
        <w:t xml:space="preserve">conseille la Reine sur la question de savoir s’il existe des raisons exceptionnelles justifiant l’exercice de son droit de grâce, prérogative par laquelle Sa Majesté peut, en l’absence d’un recours judiciaire, </w:t>
      </w:r>
      <w:r w:rsidR="002C643E">
        <w:rPr>
          <w:lang w:val="fr-FR"/>
        </w:rPr>
        <w:t>gracier une personne condamnée ou accorder une remise partielle ou totale de la peine prononcée par un tribunal</w:t>
      </w:r>
      <w:r w:rsidR="000B562B" w:rsidRPr="00A176EA">
        <w:rPr>
          <w:lang w:val="fr-FR"/>
        </w:rPr>
        <w:t>.</w:t>
      </w:r>
    </w:p>
    <w:p w:rsidR="000B562B" w:rsidRPr="00A176EA" w:rsidRDefault="002549A9" w:rsidP="00A8379B">
      <w:pPr>
        <w:pStyle w:val="SingleTxtG"/>
        <w:rPr>
          <w:lang w:val="fr-FR"/>
        </w:rPr>
      </w:pPr>
      <w:r w:rsidRPr="00A176EA">
        <w:rPr>
          <w:lang w:val="fr-FR"/>
        </w:rPr>
        <w:t>730.</w:t>
      </w:r>
      <w:r w:rsidRPr="00A176EA">
        <w:rPr>
          <w:lang w:val="fr-FR"/>
        </w:rPr>
        <w:tab/>
      </w:r>
      <w:r w:rsidR="00FE578E">
        <w:rPr>
          <w:lang w:val="fr-FR"/>
        </w:rPr>
        <w:t xml:space="preserve">Le Ministre de la justice écossais exerce des responsabilités analogues en </w:t>
      </w:r>
      <w:r w:rsidR="00FD2CE1" w:rsidRPr="00FE578E">
        <w:rPr>
          <w:lang w:val="fr-FR"/>
        </w:rPr>
        <w:t>Écosse</w:t>
      </w:r>
      <w:r w:rsidR="000B562B" w:rsidRPr="00A176EA">
        <w:rPr>
          <w:lang w:val="fr-FR"/>
        </w:rPr>
        <w:t xml:space="preserve">. </w:t>
      </w:r>
      <w:r w:rsidR="00FE578E">
        <w:rPr>
          <w:lang w:val="fr-FR"/>
        </w:rPr>
        <w:t>En Irlande du Nord, le Ministre de la justice traite les demandes d’exercice de la prérogative royale du droit de grâce pour les infractions non liées au terrorisme, celles relevant du terrorisme étant traitées par le Secrétaire d’État</w:t>
      </w:r>
      <w:r w:rsidR="000B562B" w:rsidRPr="00A176EA">
        <w:rPr>
          <w:lang w:val="fr-FR"/>
        </w:rPr>
        <w:t>.</w:t>
      </w:r>
    </w:p>
    <w:p w:rsidR="00AF1987" w:rsidRPr="00FE578E" w:rsidRDefault="00AF1987" w:rsidP="00017939">
      <w:pPr>
        <w:pStyle w:val="HChG"/>
      </w:pPr>
      <w:bookmarkStart w:id="73" w:name="_Toc299724765"/>
      <w:bookmarkStart w:id="74" w:name="_Toc299724764"/>
      <w:r w:rsidRPr="00AF1987">
        <w:tab/>
      </w:r>
      <w:r w:rsidRPr="00AF1987">
        <w:tab/>
      </w:r>
      <w:r w:rsidR="00B37B01" w:rsidRPr="00FE578E">
        <w:t>Cadre juridique général de la protection des droits de l’homme</w:t>
      </w:r>
      <w:bookmarkEnd w:id="74"/>
    </w:p>
    <w:p w:rsidR="000B562B" w:rsidRPr="00FE578E" w:rsidRDefault="00A8379B" w:rsidP="00017939">
      <w:pPr>
        <w:pStyle w:val="H1G"/>
        <w:rPr>
          <w:szCs w:val="24"/>
        </w:rPr>
      </w:pPr>
      <w:r w:rsidRPr="00FE578E">
        <w:tab/>
      </w:r>
      <w:r w:rsidR="000B562B" w:rsidRPr="00FE578E">
        <w:t>C.</w:t>
      </w:r>
      <w:r w:rsidRPr="00FE578E">
        <w:tab/>
      </w:r>
      <w:r w:rsidR="000B562B" w:rsidRPr="00FE578E">
        <w:t>Accepta</w:t>
      </w:r>
      <w:r w:rsidR="00B37B01" w:rsidRPr="00FE578E">
        <w:t>tion des</w:t>
      </w:r>
      <w:r w:rsidR="00220850" w:rsidRPr="00FE578E">
        <w:t xml:space="preserve"> </w:t>
      </w:r>
      <w:r w:rsidR="00B37B01" w:rsidRPr="00FE578E">
        <w:t xml:space="preserve">normes </w:t>
      </w:r>
      <w:r w:rsidR="00220850" w:rsidRPr="00FE578E">
        <w:t>international</w:t>
      </w:r>
      <w:r w:rsidR="00B37B01" w:rsidRPr="00FE578E">
        <w:t>es relatives aux droits de l’homme</w:t>
      </w:r>
      <w:bookmarkEnd w:id="73"/>
    </w:p>
    <w:p w:rsidR="00D07CB1" w:rsidRPr="00D07CB1" w:rsidRDefault="00D07CB1" w:rsidP="00D07CB1">
      <w:pPr>
        <w:pStyle w:val="SingleTxtG"/>
        <w:rPr>
          <w:lang w:val="fr-FR"/>
        </w:rPr>
      </w:pPr>
      <w:r w:rsidRPr="00D07CB1">
        <w:rPr>
          <w:lang w:val="fr-FR"/>
        </w:rPr>
        <w:t>731.</w:t>
      </w:r>
      <w:r w:rsidRPr="00D07CB1">
        <w:rPr>
          <w:lang w:val="fr-FR"/>
        </w:rPr>
        <w:tab/>
        <w:t>Le Royaume-Uni a ratifié les instruments des Nations Unies relatifs aux droits de l’homme suivants</w:t>
      </w:r>
      <w:r w:rsidR="00FC2B97">
        <w:rPr>
          <w:lang w:val="fr-FR"/>
        </w:rPr>
        <w:t>:</w:t>
      </w:r>
    </w:p>
    <w:p w:rsidR="00D07CB1" w:rsidRPr="00D07CB1" w:rsidRDefault="00D07CB1" w:rsidP="00BC0033">
      <w:pPr>
        <w:pStyle w:val="Bullet1G"/>
      </w:pPr>
      <w:r w:rsidRPr="00D07CB1">
        <w:t>Convention internationale sur l’élimination de toutes les formes de discrimination raciale,</w:t>
      </w:r>
    </w:p>
    <w:p w:rsidR="00D07CB1" w:rsidRPr="00A31E61" w:rsidRDefault="00D07CB1" w:rsidP="00BC0033">
      <w:pPr>
        <w:pStyle w:val="Bullet1G"/>
      </w:pPr>
      <w:r w:rsidRPr="00A31E61">
        <w:t>Pacte international relatif aux droits civils et politiques,</w:t>
      </w:r>
    </w:p>
    <w:p w:rsidR="00D07CB1" w:rsidRPr="00A31E61" w:rsidRDefault="00D07CB1" w:rsidP="00BC0033">
      <w:pPr>
        <w:pStyle w:val="Bullet1G"/>
      </w:pPr>
      <w:r w:rsidRPr="00A31E61">
        <w:t>Pacte international relatif aux droits économiques, sociaux et culturels,</w:t>
      </w:r>
    </w:p>
    <w:p w:rsidR="00D07CB1" w:rsidRPr="00A31E61" w:rsidRDefault="00D07CB1" w:rsidP="00BC0033">
      <w:pPr>
        <w:pStyle w:val="Bullet1G"/>
      </w:pPr>
      <w:r w:rsidRPr="00A31E61">
        <w:t>Convention contre la torture et autres peines ou traitements cruels, inhumains ou dégradants,</w:t>
      </w:r>
    </w:p>
    <w:p w:rsidR="00D07CB1" w:rsidRPr="00A31E61" w:rsidRDefault="00D07CB1" w:rsidP="00BC0033">
      <w:pPr>
        <w:pStyle w:val="Bullet1G"/>
      </w:pPr>
      <w:r w:rsidRPr="00A31E61">
        <w:t>Convention relative aux droits de l’enfant,</w:t>
      </w:r>
    </w:p>
    <w:p w:rsidR="00D07CB1" w:rsidRPr="00A31E61" w:rsidRDefault="00D07CB1" w:rsidP="00BC0033">
      <w:pPr>
        <w:pStyle w:val="Bullet1G"/>
      </w:pPr>
      <w:r w:rsidRPr="00A31E61">
        <w:t>Convention sur l’élimination de toutes les formes de discrimination à l’égard des femmes,</w:t>
      </w:r>
    </w:p>
    <w:p w:rsidR="00D07CB1" w:rsidRPr="00A31E61" w:rsidRDefault="00D07CB1" w:rsidP="00BC0033">
      <w:pPr>
        <w:pStyle w:val="Bullet1G"/>
      </w:pPr>
      <w:r w:rsidRPr="00A31E61">
        <w:t>Convention relative aux droits des personnes handicapées.</w:t>
      </w:r>
    </w:p>
    <w:p w:rsidR="000B562B" w:rsidRPr="00D07CB1" w:rsidRDefault="002549A9" w:rsidP="00A8379B">
      <w:pPr>
        <w:pStyle w:val="SingleTxtG"/>
        <w:rPr>
          <w:lang w:val="fr-FR"/>
        </w:rPr>
      </w:pPr>
      <w:r w:rsidRPr="00D07CB1">
        <w:rPr>
          <w:lang w:val="fr-FR"/>
        </w:rPr>
        <w:t>732.</w:t>
      </w:r>
      <w:r w:rsidRPr="00D07CB1">
        <w:rPr>
          <w:lang w:val="fr-FR"/>
        </w:rPr>
        <w:tab/>
      </w:r>
      <w:r w:rsidR="00B37B01" w:rsidRPr="00D07CB1">
        <w:rPr>
          <w:lang w:val="fr-FR"/>
        </w:rPr>
        <w:t>Le Royaume-Uni a également ratifié les Protocoles facultatifs à la Convention contre la torture et autres peines ou traitements cruels, inhumains ou dégradants, à la Convention sur l’élimination de toutes les formes de discrimination</w:t>
      </w:r>
      <w:r w:rsidR="006D07AA">
        <w:rPr>
          <w:lang w:val="fr-FR"/>
        </w:rPr>
        <w:t xml:space="preserve"> </w:t>
      </w:r>
      <w:r w:rsidR="00B37B01" w:rsidRPr="00D07CB1">
        <w:rPr>
          <w:lang w:val="fr-FR"/>
        </w:rPr>
        <w:t>à l’égard des femmes, à la Convention relative aux droits de l’enfant et à</w:t>
      </w:r>
      <w:r w:rsidR="001829BD" w:rsidRPr="00D07CB1">
        <w:rPr>
          <w:lang w:val="fr-FR"/>
        </w:rPr>
        <w:t xml:space="preserve"> la Convention relative aux droits des personnes handicapées</w:t>
      </w:r>
      <w:r w:rsidR="000B562B" w:rsidRPr="00D07CB1">
        <w:rPr>
          <w:lang w:val="fr-FR"/>
        </w:rPr>
        <w:t>.</w:t>
      </w:r>
    </w:p>
    <w:p w:rsidR="000B562B" w:rsidRPr="00D07CB1" w:rsidRDefault="002549A9" w:rsidP="00A8379B">
      <w:pPr>
        <w:pStyle w:val="SingleTxtG"/>
        <w:rPr>
          <w:lang w:val="fr-FR"/>
        </w:rPr>
      </w:pPr>
      <w:r w:rsidRPr="00D07CB1">
        <w:rPr>
          <w:lang w:val="fr-FR"/>
        </w:rPr>
        <w:t>733.</w:t>
      </w:r>
      <w:r w:rsidRPr="00D07CB1">
        <w:rPr>
          <w:lang w:val="fr-FR"/>
        </w:rPr>
        <w:tab/>
      </w:r>
      <w:r w:rsidR="00B26733">
        <w:rPr>
          <w:lang w:val="fr-FR"/>
        </w:rPr>
        <w:t>L</w:t>
      </w:r>
      <w:r w:rsidR="00B26733" w:rsidRPr="00D07CB1">
        <w:rPr>
          <w:lang w:val="fr-FR"/>
        </w:rPr>
        <w:t xml:space="preserve">’Examen périodique universel </w:t>
      </w:r>
      <w:r w:rsidR="00B26733">
        <w:rPr>
          <w:lang w:val="fr-FR"/>
        </w:rPr>
        <w:t>du</w:t>
      </w:r>
      <w:r w:rsidR="001829BD" w:rsidRPr="00D07CB1">
        <w:rPr>
          <w:lang w:val="fr-FR"/>
        </w:rPr>
        <w:t xml:space="preserve"> Royaume-Uni a </w:t>
      </w:r>
      <w:r w:rsidR="00B26733">
        <w:rPr>
          <w:lang w:val="fr-FR"/>
        </w:rPr>
        <w:t>eu lieu</w:t>
      </w:r>
      <w:r w:rsidR="001829BD" w:rsidRPr="00D07CB1">
        <w:rPr>
          <w:lang w:val="fr-FR"/>
        </w:rPr>
        <w:t xml:space="preserve"> en avril </w:t>
      </w:r>
      <w:r w:rsidR="000B562B" w:rsidRPr="00D07CB1">
        <w:rPr>
          <w:lang w:val="fr-FR"/>
        </w:rPr>
        <w:t>2008.</w:t>
      </w:r>
    </w:p>
    <w:p w:rsidR="000B562B" w:rsidRPr="00A176EA" w:rsidRDefault="002549A9" w:rsidP="001829BD">
      <w:pPr>
        <w:pStyle w:val="SingleTxtG"/>
        <w:rPr>
          <w:snapToGrid w:val="0"/>
          <w:lang w:val="fr-FR"/>
        </w:rPr>
      </w:pPr>
      <w:r w:rsidRPr="00D07CB1">
        <w:rPr>
          <w:snapToGrid w:val="0"/>
          <w:lang w:val="fr-FR"/>
        </w:rPr>
        <w:t>734.</w:t>
      </w:r>
      <w:r w:rsidRPr="00D07CB1">
        <w:rPr>
          <w:snapToGrid w:val="0"/>
          <w:lang w:val="fr-FR"/>
        </w:rPr>
        <w:tab/>
      </w:r>
      <w:r w:rsidR="001829BD" w:rsidRPr="00D07CB1">
        <w:rPr>
          <w:snapToGrid w:val="0"/>
          <w:lang w:val="fr-FR"/>
        </w:rPr>
        <w:t>Le Royaume-Uni est par ailleurs partie à la Convention européenne pour la prévention de la torture et des peines ou traitements cruels, inhumains ou dégradants, entrée en vigueur le 1</w:t>
      </w:r>
      <w:r w:rsidR="001829BD" w:rsidRPr="00D07CB1">
        <w:rPr>
          <w:snapToGrid w:val="0"/>
          <w:vertAlign w:val="superscript"/>
          <w:lang w:val="fr-FR"/>
        </w:rPr>
        <w:t>er</w:t>
      </w:r>
      <w:r w:rsidR="001829BD" w:rsidRPr="00D07CB1">
        <w:rPr>
          <w:snapToGrid w:val="0"/>
          <w:lang w:val="fr-FR"/>
        </w:rPr>
        <w:t xml:space="preserve"> février 1989 au Royaume-Uni, et </w:t>
      </w:r>
      <w:r w:rsidR="00B91217">
        <w:rPr>
          <w:snapToGrid w:val="0"/>
          <w:lang w:val="fr-FR"/>
        </w:rPr>
        <w:t xml:space="preserve">à </w:t>
      </w:r>
      <w:r w:rsidR="001829BD" w:rsidRPr="00D07CB1">
        <w:rPr>
          <w:snapToGrid w:val="0"/>
          <w:lang w:val="fr-FR"/>
        </w:rPr>
        <w:t xml:space="preserve">la </w:t>
      </w:r>
      <w:r w:rsidR="007A4C1B" w:rsidRPr="00D07CB1">
        <w:rPr>
          <w:lang w:val="fr-FR"/>
        </w:rPr>
        <w:t>Convention européenne des droits de l’homme</w:t>
      </w:r>
      <w:r w:rsidR="000B562B" w:rsidRPr="00D07CB1">
        <w:rPr>
          <w:snapToGrid w:val="0"/>
          <w:lang w:val="fr-FR"/>
        </w:rPr>
        <w:t xml:space="preserve">, </w:t>
      </w:r>
      <w:r w:rsidR="001829BD" w:rsidRPr="00D07CB1">
        <w:rPr>
          <w:snapToGrid w:val="0"/>
          <w:lang w:val="fr-FR"/>
        </w:rPr>
        <w:t xml:space="preserve">qu’il a ratifiée en </w:t>
      </w:r>
      <w:r w:rsidR="000B562B" w:rsidRPr="00D07CB1">
        <w:rPr>
          <w:snapToGrid w:val="0"/>
          <w:lang w:val="fr-FR"/>
        </w:rPr>
        <w:t>1951.</w:t>
      </w:r>
    </w:p>
    <w:p w:rsidR="000B562B" w:rsidRPr="00A176EA" w:rsidRDefault="002549A9" w:rsidP="00325125">
      <w:pPr>
        <w:pStyle w:val="SingleTxtG"/>
        <w:rPr>
          <w:lang w:val="fr-FR"/>
        </w:rPr>
      </w:pPr>
      <w:r w:rsidRPr="00A176EA">
        <w:rPr>
          <w:lang w:val="fr-FR"/>
        </w:rPr>
        <w:t>735.</w:t>
      </w:r>
      <w:r w:rsidRPr="00A176EA">
        <w:rPr>
          <w:lang w:val="fr-FR"/>
        </w:rPr>
        <w:tab/>
      </w:r>
      <w:r w:rsidR="0083340D" w:rsidRPr="00D07CB1">
        <w:rPr>
          <w:lang w:val="fr-FR"/>
        </w:rPr>
        <w:t>Les instruments i</w:t>
      </w:r>
      <w:r w:rsidR="000B562B" w:rsidRPr="00D07CB1">
        <w:rPr>
          <w:lang w:val="fr-FR"/>
        </w:rPr>
        <w:t>nternationa</w:t>
      </w:r>
      <w:r w:rsidR="0083340D" w:rsidRPr="00D07CB1">
        <w:rPr>
          <w:lang w:val="fr-FR"/>
        </w:rPr>
        <w:t xml:space="preserve">ux ratifiés par le Royaume-Uni ne sont pas systématiquement intégrés dans </w:t>
      </w:r>
      <w:r w:rsidR="00B91217">
        <w:rPr>
          <w:lang w:val="fr-FR"/>
        </w:rPr>
        <w:t>le droit</w:t>
      </w:r>
      <w:r w:rsidR="0083340D" w:rsidRPr="00D07CB1">
        <w:rPr>
          <w:lang w:val="fr-FR"/>
        </w:rPr>
        <w:t xml:space="preserve"> britannique. En règle générale</w:t>
      </w:r>
      <w:r w:rsidR="000B562B" w:rsidRPr="00D07CB1">
        <w:rPr>
          <w:lang w:val="fr-FR"/>
        </w:rPr>
        <w:t>,</w:t>
      </w:r>
      <w:r w:rsidR="000B562B" w:rsidRPr="00A176EA">
        <w:rPr>
          <w:lang w:val="fr-FR"/>
        </w:rPr>
        <w:t xml:space="preserve"> </w:t>
      </w:r>
      <w:r w:rsidR="00C34AEA" w:rsidRPr="00C34AEA">
        <w:rPr>
          <w:lang w:val="fr-FR"/>
        </w:rPr>
        <w:t>le Royaume-Uni s’acquitte de ses obligations internationales en adoptant des lois ou en modifiant la législation existante pour garantir sa compatibilité avec ses obligations conventionnelles</w:t>
      </w:r>
      <w:r w:rsidR="000B562B" w:rsidRPr="00A176EA">
        <w:rPr>
          <w:lang w:val="fr-FR"/>
        </w:rPr>
        <w:t xml:space="preserve">. </w:t>
      </w:r>
      <w:r w:rsidR="00325125">
        <w:rPr>
          <w:lang w:val="fr-FR"/>
        </w:rPr>
        <w:t xml:space="preserve">Le Gouvernement prend les mesures qui s’imposent en suivant les procédures parlementaires normales avant de devenir partie à un instrument. </w:t>
      </w:r>
      <w:r w:rsidR="00325125" w:rsidRPr="00325125">
        <w:rPr>
          <w:lang w:val="fr-FR"/>
        </w:rPr>
        <w:t xml:space="preserve">Le Royaume-Uni ne ratifie un traité qu’après s’être assuré que son droit interne et sa jurisprudence lui permettent de s’y conformer. C’est </w:t>
      </w:r>
      <w:r w:rsidR="00325125">
        <w:rPr>
          <w:lang w:val="fr-FR"/>
        </w:rPr>
        <w:t xml:space="preserve">ainsi qu’il a procédé </w:t>
      </w:r>
      <w:r w:rsidR="00B91217">
        <w:rPr>
          <w:lang w:val="fr-FR"/>
        </w:rPr>
        <w:t>entre</w:t>
      </w:r>
      <w:r w:rsidR="00325125">
        <w:rPr>
          <w:lang w:val="fr-FR"/>
        </w:rPr>
        <w:t xml:space="preserve"> la signature de la Convention européenne des droits de l’homme, en 1951, jusqu’à l’entrée en vigueur de la loi de 1998 sur les droits de l’homme, en 2000. Cette dernière donne effet, dans la législation britannique, aux droits énoncés dans la Convention qui, de ce fait, sont directement applicables par les tribunaux britanniques</w:t>
      </w:r>
      <w:r w:rsidR="000B562B" w:rsidRPr="00A176EA">
        <w:rPr>
          <w:lang w:val="fr-FR"/>
        </w:rPr>
        <w:t>.</w:t>
      </w:r>
    </w:p>
    <w:p w:rsidR="000B562B" w:rsidRPr="00325125" w:rsidRDefault="002549A9" w:rsidP="00A8379B">
      <w:pPr>
        <w:pStyle w:val="SingleTxtG"/>
        <w:rPr>
          <w:lang w:val="fr-FR"/>
        </w:rPr>
      </w:pPr>
      <w:r w:rsidRPr="00325125">
        <w:rPr>
          <w:lang w:val="fr-FR"/>
        </w:rPr>
        <w:t>736.</w:t>
      </w:r>
      <w:r w:rsidRPr="00325125">
        <w:rPr>
          <w:lang w:val="fr-FR"/>
        </w:rPr>
        <w:tab/>
      </w:r>
      <w:r w:rsidR="004A4AC3" w:rsidRPr="00325125">
        <w:rPr>
          <w:lang w:val="fr-FR"/>
        </w:rPr>
        <w:t>Les</w:t>
      </w:r>
      <w:r w:rsidR="000B562B" w:rsidRPr="00325125">
        <w:rPr>
          <w:lang w:val="fr-FR"/>
        </w:rPr>
        <w:t xml:space="preserve"> d</w:t>
      </w:r>
      <w:r w:rsidR="004A4AC3" w:rsidRPr="00325125">
        <w:rPr>
          <w:lang w:val="fr-FR"/>
        </w:rPr>
        <w:t>é</w:t>
      </w:r>
      <w:r w:rsidR="000B562B" w:rsidRPr="00325125">
        <w:rPr>
          <w:lang w:val="fr-FR"/>
        </w:rPr>
        <w:t>rogations, r</w:t>
      </w:r>
      <w:r w:rsidR="004A4AC3" w:rsidRPr="00325125">
        <w:rPr>
          <w:lang w:val="fr-FR"/>
        </w:rPr>
        <w:t>é</w:t>
      </w:r>
      <w:r w:rsidR="000B562B" w:rsidRPr="00325125">
        <w:rPr>
          <w:lang w:val="fr-FR"/>
        </w:rPr>
        <w:t>serv</w:t>
      </w:r>
      <w:r w:rsidR="004A4AC3" w:rsidRPr="00325125">
        <w:rPr>
          <w:lang w:val="fr-FR"/>
        </w:rPr>
        <w:t>e</w:t>
      </w:r>
      <w:r w:rsidR="000B562B" w:rsidRPr="00325125">
        <w:rPr>
          <w:lang w:val="fr-FR"/>
        </w:rPr>
        <w:t xml:space="preserve">s </w:t>
      </w:r>
      <w:r w:rsidR="004A4AC3" w:rsidRPr="00325125">
        <w:rPr>
          <w:lang w:val="fr-FR"/>
        </w:rPr>
        <w:t>et</w:t>
      </w:r>
      <w:r w:rsidR="000B562B" w:rsidRPr="00325125">
        <w:rPr>
          <w:lang w:val="fr-FR"/>
        </w:rPr>
        <w:t xml:space="preserve"> d</w:t>
      </w:r>
      <w:r w:rsidR="004A4AC3" w:rsidRPr="00325125">
        <w:rPr>
          <w:lang w:val="fr-FR"/>
        </w:rPr>
        <w:t>é</w:t>
      </w:r>
      <w:r w:rsidR="000B562B" w:rsidRPr="00325125">
        <w:rPr>
          <w:lang w:val="fr-FR"/>
        </w:rPr>
        <w:t xml:space="preserve">clarations </w:t>
      </w:r>
      <w:r w:rsidR="004A4AC3" w:rsidRPr="00325125">
        <w:rPr>
          <w:lang w:val="fr-FR"/>
        </w:rPr>
        <w:t>du Royaume-Uni concernant ces instruments internationaux sont résumées</w:t>
      </w:r>
      <w:r w:rsidR="000B562B" w:rsidRPr="00325125">
        <w:rPr>
          <w:lang w:val="fr-FR"/>
        </w:rPr>
        <w:t xml:space="preserve"> </w:t>
      </w:r>
      <w:r w:rsidR="007F3281" w:rsidRPr="00325125">
        <w:rPr>
          <w:lang w:val="fr-FR"/>
        </w:rPr>
        <w:t>dans la Collection des traités du</w:t>
      </w:r>
      <w:r w:rsidR="00C16298" w:rsidRPr="00325125">
        <w:rPr>
          <w:lang w:val="fr-FR"/>
        </w:rPr>
        <w:t xml:space="preserve"> site Internet des Nat</w:t>
      </w:r>
      <w:r w:rsidR="007F3281" w:rsidRPr="00325125">
        <w:rPr>
          <w:lang w:val="fr-FR"/>
        </w:rPr>
        <w:t>ions Unies</w:t>
      </w:r>
      <w:r w:rsidR="000B562B" w:rsidRPr="00325125">
        <w:rPr>
          <w:rStyle w:val="FootnoteReference"/>
          <w:szCs w:val="22"/>
        </w:rPr>
        <w:footnoteReference w:id="132"/>
      </w:r>
      <w:r w:rsidR="00B45553" w:rsidRPr="00325125">
        <w:rPr>
          <w:lang w:val="fr-FR"/>
        </w:rPr>
        <w:t>.</w:t>
      </w:r>
    </w:p>
    <w:p w:rsidR="000B562B" w:rsidRPr="00325125" w:rsidRDefault="000B562B" w:rsidP="00A8379B">
      <w:pPr>
        <w:pStyle w:val="H23G"/>
        <w:rPr>
          <w:lang w:val="fr-FR"/>
        </w:rPr>
      </w:pPr>
      <w:r w:rsidRPr="00325125">
        <w:rPr>
          <w:lang w:val="fr-FR"/>
        </w:rPr>
        <w:t>Conventi</w:t>
      </w:r>
      <w:r w:rsidR="00A8379B" w:rsidRPr="00325125">
        <w:rPr>
          <w:lang w:val="fr-FR"/>
        </w:rPr>
        <w:t xml:space="preserve">on </w:t>
      </w:r>
      <w:r w:rsidR="00B45553" w:rsidRPr="00325125">
        <w:rPr>
          <w:lang w:val="fr-FR"/>
        </w:rPr>
        <w:t>contre la torture</w:t>
      </w:r>
    </w:p>
    <w:p w:rsidR="000B562B" w:rsidRPr="00A176EA" w:rsidRDefault="002549A9" w:rsidP="00040439">
      <w:pPr>
        <w:pStyle w:val="SingleTxtG"/>
        <w:rPr>
          <w:lang w:val="fr-FR"/>
        </w:rPr>
      </w:pPr>
      <w:r w:rsidRPr="00325125">
        <w:rPr>
          <w:lang w:val="fr-FR"/>
        </w:rPr>
        <w:t>737.</w:t>
      </w:r>
      <w:r w:rsidRPr="00325125">
        <w:rPr>
          <w:lang w:val="fr-FR"/>
        </w:rPr>
        <w:tab/>
      </w:r>
      <w:r w:rsidR="00325125">
        <w:rPr>
          <w:lang w:val="fr-FR"/>
        </w:rPr>
        <w:t>L</w:t>
      </w:r>
      <w:r w:rsidR="00325125" w:rsidRPr="00325125">
        <w:rPr>
          <w:lang w:val="fr-FR"/>
        </w:rPr>
        <w:t xml:space="preserve">’article 134 de la loi de 1988 sur la justice pénale </w:t>
      </w:r>
      <w:r w:rsidR="00325125">
        <w:rPr>
          <w:lang w:val="fr-FR"/>
        </w:rPr>
        <w:t>satisfait à l</w:t>
      </w:r>
      <w:r w:rsidR="00663F21" w:rsidRPr="00325125">
        <w:rPr>
          <w:lang w:val="fr-FR"/>
        </w:rPr>
        <w:t>’obligation faite au Royaume-Uni,</w:t>
      </w:r>
      <w:r w:rsidR="000B562B" w:rsidRPr="00325125">
        <w:rPr>
          <w:lang w:val="fr-FR"/>
        </w:rPr>
        <w:t xml:space="preserve"> </w:t>
      </w:r>
      <w:r w:rsidR="00663F21" w:rsidRPr="00325125">
        <w:rPr>
          <w:lang w:val="fr-FR"/>
        </w:rPr>
        <w:t>au titre de l’a</w:t>
      </w:r>
      <w:r w:rsidR="000B562B" w:rsidRPr="00325125">
        <w:rPr>
          <w:lang w:val="fr-FR"/>
        </w:rPr>
        <w:t xml:space="preserve">rticle 4 </w:t>
      </w:r>
      <w:r w:rsidR="00663F21" w:rsidRPr="00325125">
        <w:rPr>
          <w:lang w:val="fr-FR"/>
        </w:rPr>
        <w:t>de la</w:t>
      </w:r>
      <w:r w:rsidR="000B562B" w:rsidRPr="00325125">
        <w:rPr>
          <w:lang w:val="fr-FR"/>
        </w:rPr>
        <w:t xml:space="preserve"> Convention </w:t>
      </w:r>
      <w:r w:rsidR="00663F21" w:rsidRPr="00325125">
        <w:rPr>
          <w:lang w:val="fr-FR"/>
        </w:rPr>
        <w:t>contre la</w:t>
      </w:r>
      <w:r w:rsidR="000B562B" w:rsidRPr="00325125">
        <w:rPr>
          <w:lang w:val="fr-FR"/>
        </w:rPr>
        <w:t xml:space="preserve"> </w:t>
      </w:r>
      <w:r w:rsidR="00663F21" w:rsidRPr="00325125">
        <w:rPr>
          <w:lang w:val="fr-FR"/>
        </w:rPr>
        <w:t>t</w:t>
      </w:r>
      <w:r w:rsidR="000B562B" w:rsidRPr="00325125">
        <w:rPr>
          <w:lang w:val="fr-FR"/>
        </w:rPr>
        <w:t xml:space="preserve">orture, </w:t>
      </w:r>
      <w:r w:rsidR="00663F21" w:rsidRPr="00325125">
        <w:rPr>
          <w:lang w:val="fr-FR"/>
        </w:rPr>
        <w:t xml:space="preserve">d’ériger la torture en infraction pénale dans </w:t>
      </w:r>
      <w:r w:rsidR="00325125">
        <w:rPr>
          <w:lang w:val="fr-FR"/>
        </w:rPr>
        <w:t>son droit interne</w:t>
      </w:r>
      <w:r w:rsidR="00B45553" w:rsidRPr="00325125">
        <w:rPr>
          <w:lang w:val="fr-FR"/>
        </w:rPr>
        <w:t>. Cet article</w:t>
      </w:r>
      <w:r w:rsidR="000B562B" w:rsidRPr="00325125">
        <w:rPr>
          <w:lang w:val="fr-FR"/>
        </w:rPr>
        <w:t xml:space="preserve"> </w:t>
      </w:r>
      <w:r w:rsidR="00B45553" w:rsidRPr="00325125">
        <w:rPr>
          <w:lang w:val="fr-FR"/>
        </w:rPr>
        <w:t>érige la</w:t>
      </w:r>
      <w:r w:rsidR="000B562B" w:rsidRPr="00325125">
        <w:rPr>
          <w:lang w:val="fr-FR"/>
        </w:rPr>
        <w:t xml:space="preserve"> torture</w:t>
      </w:r>
      <w:r w:rsidR="00B45553" w:rsidRPr="00325125">
        <w:rPr>
          <w:lang w:val="fr-FR"/>
        </w:rPr>
        <w:t xml:space="preserve"> en infraction pénale,</w:t>
      </w:r>
      <w:r w:rsidR="000B562B" w:rsidRPr="00325125">
        <w:rPr>
          <w:lang w:val="fr-FR"/>
        </w:rPr>
        <w:t xml:space="preserve"> </w:t>
      </w:r>
      <w:r w:rsidR="00B45553" w:rsidRPr="00325125">
        <w:rPr>
          <w:lang w:val="fr-FR"/>
        </w:rPr>
        <w:t xml:space="preserve">où qu’elle soit commise et quelle que soit la nationalité de l’auteur. </w:t>
      </w:r>
      <w:r w:rsidR="00325125">
        <w:rPr>
          <w:lang w:val="fr-FR"/>
        </w:rPr>
        <w:t xml:space="preserve">Les premières poursuites engagées en </w:t>
      </w:r>
      <w:r w:rsidR="00040439">
        <w:rPr>
          <w:lang w:val="fr-FR"/>
        </w:rPr>
        <w:t>application</w:t>
      </w:r>
      <w:r w:rsidR="00325125">
        <w:rPr>
          <w:lang w:val="fr-FR"/>
        </w:rPr>
        <w:t xml:space="preserve"> de l’article 134 de la loi sur la justice pénale, </w:t>
      </w:r>
      <w:r w:rsidR="00040439">
        <w:rPr>
          <w:lang w:val="fr-FR"/>
        </w:rPr>
        <w:t>qui donnent</w:t>
      </w:r>
      <w:r w:rsidR="00325125">
        <w:rPr>
          <w:lang w:val="fr-FR"/>
        </w:rPr>
        <w:t xml:space="preserve"> effet </w:t>
      </w:r>
      <w:r w:rsidR="00040439">
        <w:rPr>
          <w:lang w:val="fr-FR"/>
        </w:rPr>
        <w:t xml:space="preserve">au Royaume-Uni </w:t>
      </w:r>
      <w:r w:rsidR="00325125">
        <w:rPr>
          <w:lang w:val="fr-FR"/>
        </w:rPr>
        <w:t xml:space="preserve">à l’article 7 de la Convention, ont </w:t>
      </w:r>
      <w:r w:rsidR="00040439">
        <w:rPr>
          <w:lang w:val="fr-FR"/>
        </w:rPr>
        <w:t>abouti</w:t>
      </w:r>
      <w:r w:rsidR="00325125">
        <w:rPr>
          <w:lang w:val="fr-FR"/>
        </w:rPr>
        <w:t xml:space="preserve"> en juillet 2005 </w:t>
      </w:r>
      <w:r w:rsidR="00040439">
        <w:rPr>
          <w:lang w:val="fr-FR"/>
        </w:rPr>
        <w:t>à</w:t>
      </w:r>
      <w:r w:rsidR="00325125">
        <w:rPr>
          <w:lang w:val="fr-FR"/>
        </w:rPr>
        <w:t xml:space="preserve"> la condamnation </w:t>
      </w:r>
      <w:r w:rsidR="00040439">
        <w:rPr>
          <w:lang w:val="fr-FR"/>
        </w:rPr>
        <w:t xml:space="preserve">de l’ancien chef de guerre afghan </w:t>
      </w:r>
      <w:r w:rsidR="000B562B" w:rsidRPr="00A176EA">
        <w:rPr>
          <w:lang w:val="fr-FR"/>
        </w:rPr>
        <w:t>Faryadi Zardad.</w:t>
      </w:r>
    </w:p>
    <w:p w:rsidR="00661C57" w:rsidRPr="006D07AA" w:rsidRDefault="00661C57" w:rsidP="00017939">
      <w:pPr>
        <w:pStyle w:val="H1G"/>
      </w:pPr>
      <w:bookmarkStart w:id="75" w:name="_Toc299724766"/>
      <w:r>
        <w:tab/>
      </w:r>
      <w:r w:rsidRPr="006D07AA">
        <w:t>D.</w:t>
      </w:r>
      <w:r w:rsidRPr="006D07AA">
        <w:tab/>
        <w:t xml:space="preserve">Cadre juridique </w:t>
      </w:r>
      <w:r w:rsidR="00BF0074" w:rsidRPr="006D07AA">
        <w:t>de la</w:t>
      </w:r>
      <w:r w:rsidRPr="006D07AA">
        <w:t xml:space="preserve"> </w:t>
      </w:r>
      <w:r w:rsidR="00BF0074" w:rsidRPr="006D07AA">
        <w:t>p</w:t>
      </w:r>
      <w:r w:rsidRPr="006D07AA">
        <w:t xml:space="preserve">rotection </w:t>
      </w:r>
      <w:r w:rsidR="00BF0074" w:rsidRPr="006D07AA">
        <w:t>des droits de l’homme à l’échelon</w:t>
      </w:r>
      <w:r w:rsidRPr="006D07AA">
        <w:t xml:space="preserve"> </w:t>
      </w:r>
      <w:r w:rsidR="00BF0074" w:rsidRPr="006D07AA">
        <w:t>n</w:t>
      </w:r>
      <w:r w:rsidRPr="006D07AA">
        <w:t>ational</w:t>
      </w:r>
      <w:bookmarkEnd w:id="75"/>
    </w:p>
    <w:p w:rsidR="000B562B" w:rsidRPr="00A176EA" w:rsidRDefault="006F4B46" w:rsidP="00434B45">
      <w:pPr>
        <w:pStyle w:val="H23G"/>
        <w:rPr>
          <w:lang w:val="fr-FR"/>
        </w:rPr>
      </w:pPr>
      <w:r w:rsidRPr="00040439">
        <w:rPr>
          <w:lang w:val="fr-FR"/>
        </w:rPr>
        <w:t>La</w:t>
      </w:r>
      <w:r w:rsidR="000B562B" w:rsidRPr="00040439">
        <w:rPr>
          <w:lang w:val="fr-FR"/>
        </w:rPr>
        <w:t xml:space="preserve"> </w:t>
      </w:r>
      <w:r w:rsidRPr="00040439">
        <w:rPr>
          <w:lang w:val="fr-FR"/>
        </w:rPr>
        <w:t>Convention européenne des droits de l’homme et la loi sur les droits de l’homme</w:t>
      </w:r>
    </w:p>
    <w:p w:rsidR="000B562B" w:rsidRPr="00A176EA" w:rsidRDefault="002549A9" w:rsidP="00040439">
      <w:pPr>
        <w:pStyle w:val="SingleTxtG"/>
        <w:rPr>
          <w:snapToGrid w:val="0"/>
          <w:lang w:val="fr-FR"/>
        </w:rPr>
      </w:pPr>
      <w:r w:rsidRPr="00A176EA">
        <w:rPr>
          <w:snapToGrid w:val="0"/>
          <w:lang w:val="fr-FR"/>
        </w:rPr>
        <w:t>738.</w:t>
      </w:r>
      <w:r w:rsidRPr="00A176EA">
        <w:rPr>
          <w:snapToGrid w:val="0"/>
          <w:lang w:val="fr-FR"/>
        </w:rPr>
        <w:tab/>
      </w:r>
      <w:r w:rsidR="00040439" w:rsidRPr="00040439">
        <w:rPr>
          <w:snapToGrid w:val="0"/>
          <w:lang w:val="fr-FR"/>
        </w:rPr>
        <w:t xml:space="preserve">Le Royaume-Uni n’a pas de Constitution écrite. </w:t>
      </w:r>
      <w:r w:rsidR="00040439">
        <w:rPr>
          <w:snapToGrid w:val="0"/>
          <w:lang w:val="fr-FR"/>
        </w:rPr>
        <w:t>S</w:t>
      </w:r>
      <w:r w:rsidR="00040439" w:rsidRPr="00040439">
        <w:rPr>
          <w:snapToGrid w:val="0"/>
          <w:lang w:val="fr-FR"/>
        </w:rPr>
        <w:t>es habitants jouissent depuis longtemps d’une solide tradition de respect des libertés individuelles</w:t>
      </w:r>
      <w:r w:rsidR="00040439">
        <w:rPr>
          <w:snapToGrid w:val="0"/>
          <w:lang w:val="fr-FR"/>
        </w:rPr>
        <w:t>,</w:t>
      </w:r>
      <w:r w:rsidR="00040439" w:rsidRPr="00040439">
        <w:rPr>
          <w:snapToGrid w:val="0"/>
          <w:lang w:val="fr-FR"/>
        </w:rPr>
        <w:t xml:space="preserve"> même s’il n’a pas toujours été facile d’expliquer précisément ce que cela impliquait ni ce qu’il fallait faire quand des libertés </w:t>
      </w:r>
      <w:r w:rsidR="00040439">
        <w:rPr>
          <w:snapToGrid w:val="0"/>
          <w:lang w:val="fr-FR"/>
        </w:rPr>
        <w:t>non</w:t>
      </w:r>
      <w:r w:rsidR="00040439" w:rsidRPr="00040439">
        <w:rPr>
          <w:snapToGrid w:val="0"/>
          <w:lang w:val="fr-FR"/>
        </w:rPr>
        <w:t xml:space="preserve"> consacrées </w:t>
      </w:r>
      <w:r w:rsidR="007719F6">
        <w:rPr>
          <w:snapToGrid w:val="0"/>
          <w:lang w:val="fr-FR"/>
        </w:rPr>
        <w:t>par</w:t>
      </w:r>
      <w:r w:rsidR="00040439" w:rsidRPr="00040439">
        <w:rPr>
          <w:snapToGrid w:val="0"/>
          <w:lang w:val="fr-FR"/>
        </w:rPr>
        <w:t xml:space="preserve"> des instruments écrits étaient i</w:t>
      </w:r>
      <w:r w:rsidR="00040439">
        <w:rPr>
          <w:snapToGrid w:val="0"/>
          <w:lang w:val="fr-FR"/>
        </w:rPr>
        <w:t>ncompatibles avec d’autres lois</w:t>
      </w:r>
      <w:r w:rsidR="000B562B" w:rsidRPr="00A176EA">
        <w:rPr>
          <w:snapToGrid w:val="0"/>
          <w:lang w:val="fr-FR"/>
        </w:rPr>
        <w:t>.</w:t>
      </w:r>
    </w:p>
    <w:p w:rsidR="000B562B" w:rsidRPr="00A176EA" w:rsidRDefault="002549A9" w:rsidP="00A155A6">
      <w:pPr>
        <w:pStyle w:val="SingleTxtG"/>
        <w:rPr>
          <w:snapToGrid w:val="0"/>
          <w:lang w:val="fr-FR"/>
        </w:rPr>
      </w:pPr>
      <w:r w:rsidRPr="00A176EA">
        <w:rPr>
          <w:snapToGrid w:val="0"/>
          <w:lang w:val="fr-FR"/>
        </w:rPr>
        <w:t>739.</w:t>
      </w:r>
      <w:r w:rsidRPr="00A176EA">
        <w:rPr>
          <w:snapToGrid w:val="0"/>
          <w:lang w:val="fr-FR"/>
        </w:rPr>
        <w:tab/>
      </w:r>
      <w:r w:rsidR="006F4B46" w:rsidRPr="00040439">
        <w:rPr>
          <w:snapToGrid w:val="0"/>
          <w:lang w:val="fr-FR"/>
        </w:rPr>
        <w:t>La</w:t>
      </w:r>
      <w:r w:rsidR="000B562B" w:rsidRPr="00040439">
        <w:rPr>
          <w:snapToGrid w:val="0"/>
          <w:lang w:val="fr-FR"/>
        </w:rPr>
        <w:t xml:space="preserve"> </w:t>
      </w:r>
      <w:r w:rsidR="007A4C1B" w:rsidRPr="00040439">
        <w:rPr>
          <w:lang w:val="fr-FR"/>
        </w:rPr>
        <w:t>Convention européenne des droits de l’homme</w:t>
      </w:r>
      <w:r w:rsidR="000B562B" w:rsidRPr="00040439">
        <w:rPr>
          <w:snapToGrid w:val="0"/>
          <w:lang w:val="fr-FR"/>
        </w:rPr>
        <w:t xml:space="preserve">, </w:t>
      </w:r>
      <w:r w:rsidR="006F4B46" w:rsidRPr="00040439">
        <w:rPr>
          <w:snapToGrid w:val="0"/>
          <w:lang w:val="fr-FR"/>
        </w:rPr>
        <w:t>ratifiée en 1951 par le Royaume-Uni</w:t>
      </w:r>
      <w:r w:rsidR="000B562B" w:rsidRPr="00040439">
        <w:rPr>
          <w:snapToGrid w:val="0"/>
          <w:lang w:val="fr-FR"/>
        </w:rPr>
        <w:t xml:space="preserve">, </w:t>
      </w:r>
      <w:r w:rsidR="006F4B46" w:rsidRPr="00040439">
        <w:rPr>
          <w:snapToGrid w:val="0"/>
          <w:lang w:val="fr-FR"/>
        </w:rPr>
        <w:t>consacre les droits civils et politiques fondamentaux</w:t>
      </w:r>
      <w:r w:rsidR="000B562B" w:rsidRPr="00040439">
        <w:rPr>
          <w:snapToGrid w:val="0"/>
          <w:lang w:val="fr-FR"/>
        </w:rPr>
        <w:t>.</w:t>
      </w:r>
      <w:r w:rsidR="000B562B" w:rsidRPr="00A176EA">
        <w:rPr>
          <w:snapToGrid w:val="0"/>
          <w:lang w:val="fr-FR"/>
        </w:rPr>
        <w:t xml:space="preserve"> </w:t>
      </w:r>
      <w:r w:rsidR="00040439">
        <w:rPr>
          <w:snapToGrid w:val="0"/>
          <w:lang w:val="fr-FR"/>
        </w:rPr>
        <w:t xml:space="preserve">Si le Royaume-Uni était tenu de se conformer à ses obligations découlant de la Convention au regard du droit international, depuis </w:t>
      </w:r>
      <w:r w:rsidR="00A155A6">
        <w:rPr>
          <w:snapToGrid w:val="0"/>
          <w:lang w:val="fr-FR"/>
        </w:rPr>
        <w:t>s</w:t>
      </w:r>
      <w:r w:rsidR="00040439">
        <w:rPr>
          <w:snapToGrid w:val="0"/>
          <w:lang w:val="fr-FR"/>
        </w:rPr>
        <w:t xml:space="preserve">a ratification, la Convention n’a pas été directement incorporée en droit interne et les droits qui y sont énoncés n’étaient pas directement applicables par les juridictions britanniques. </w:t>
      </w:r>
      <w:r w:rsidR="00A155A6">
        <w:rPr>
          <w:snapToGrid w:val="0"/>
          <w:lang w:val="fr-FR"/>
        </w:rPr>
        <w:t xml:space="preserve">Le Gouvernement a introduit la loi de 1998 sur les droits de l’homme (ci-après </w:t>
      </w:r>
      <w:r w:rsidR="00CD0110">
        <w:rPr>
          <w:snapToGrid w:val="0"/>
          <w:lang w:val="fr-FR"/>
        </w:rPr>
        <w:t>«</w:t>
      </w:r>
      <w:r w:rsidR="00A155A6">
        <w:rPr>
          <w:snapToGrid w:val="0"/>
          <w:lang w:val="fr-FR"/>
        </w:rPr>
        <w:t>la loi</w:t>
      </w:r>
      <w:r w:rsidR="00CD0110">
        <w:rPr>
          <w:snapToGrid w:val="0"/>
          <w:lang w:val="fr-FR"/>
        </w:rPr>
        <w:t>»</w:t>
      </w:r>
      <w:r w:rsidR="00A155A6">
        <w:rPr>
          <w:snapToGrid w:val="0"/>
          <w:lang w:val="fr-FR"/>
        </w:rPr>
        <w:t xml:space="preserve">) pour donner davantage d’effet aux droits consacrés </w:t>
      </w:r>
      <w:r w:rsidR="007719F6">
        <w:rPr>
          <w:snapToGrid w:val="0"/>
          <w:lang w:val="fr-FR"/>
        </w:rPr>
        <w:t>par</w:t>
      </w:r>
      <w:r w:rsidR="00A155A6">
        <w:rPr>
          <w:snapToGrid w:val="0"/>
          <w:lang w:val="fr-FR"/>
        </w:rPr>
        <w:t xml:space="preserve"> la Convention, loi qui est entrée en vigueur le 2 octobre </w:t>
      </w:r>
      <w:r w:rsidR="000B562B" w:rsidRPr="00A176EA">
        <w:rPr>
          <w:snapToGrid w:val="0"/>
          <w:lang w:val="fr-FR"/>
        </w:rPr>
        <w:t>2000.</w:t>
      </w:r>
    </w:p>
    <w:p w:rsidR="000B562B" w:rsidRPr="00A176EA" w:rsidRDefault="002549A9" w:rsidP="0010799D">
      <w:pPr>
        <w:pStyle w:val="SingleTxtG"/>
        <w:rPr>
          <w:snapToGrid w:val="0"/>
          <w:lang w:val="fr-FR"/>
        </w:rPr>
      </w:pPr>
      <w:r w:rsidRPr="00A176EA">
        <w:rPr>
          <w:snapToGrid w:val="0"/>
          <w:lang w:val="fr-FR"/>
        </w:rPr>
        <w:t>740.</w:t>
      </w:r>
      <w:r w:rsidRPr="00A176EA">
        <w:rPr>
          <w:snapToGrid w:val="0"/>
          <w:lang w:val="fr-FR"/>
        </w:rPr>
        <w:tab/>
      </w:r>
      <w:r w:rsidR="00A155A6" w:rsidRPr="00A155A6">
        <w:rPr>
          <w:snapToGrid w:val="0"/>
          <w:lang w:val="fr-FR"/>
        </w:rPr>
        <w:t xml:space="preserve">La loi permet aux victimes d’une violation des droits consacrés </w:t>
      </w:r>
      <w:r w:rsidR="007719F6">
        <w:rPr>
          <w:snapToGrid w:val="0"/>
          <w:lang w:val="fr-FR"/>
        </w:rPr>
        <w:t>par</w:t>
      </w:r>
      <w:r w:rsidR="00A155A6" w:rsidRPr="00A155A6">
        <w:rPr>
          <w:snapToGrid w:val="0"/>
          <w:lang w:val="fr-FR"/>
        </w:rPr>
        <w:t xml:space="preserve"> la Convention de porter plainte directement auprès d’une juridiction </w:t>
      </w:r>
      <w:r w:rsidR="00A155A6">
        <w:rPr>
          <w:snapToGrid w:val="0"/>
          <w:lang w:val="fr-FR"/>
        </w:rPr>
        <w:t>britannique</w:t>
      </w:r>
      <w:r w:rsidR="00A155A6" w:rsidRPr="00A155A6">
        <w:rPr>
          <w:snapToGrid w:val="0"/>
          <w:lang w:val="fr-FR"/>
        </w:rPr>
        <w:t xml:space="preserve"> et d’obtenir réparation</w:t>
      </w:r>
      <w:r w:rsidR="002C7A9F" w:rsidRPr="002C7A9F">
        <w:rPr>
          <w:snapToGrid w:val="0"/>
          <w:lang w:val="fr-FR"/>
        </w:rPr>
        <w:t xml:space="preserve"> </w:t>
      </w:r>
      <w:r w:rsidR="002C7A9F" w:rsidRPr="00A155A6">
        <w:rPr>
          <w:snapToGrid w:val="0"/>
          <w:lang w:val="fr-FR"/>
        </w:rPr>
        <w:t>si la violation est constatée</w:t>
      </w:r>
      <w:r w:rsidR="00A155A6" w:rsidRPr="00A155A6">
        <w:rPr>
          <w:snapToGrid w:val="0"/>
          <w:lang w:val="fr-FR"/>
        </w:rPr>
        <w:t xml:space="preserve">, y compris le versement de dommages-intérêts. Elle garantit que les droits reconnus par la Convention et les </w:t>
      </w:r>
      <w:r w:rsidR="00A155A6">
        <w:rPr>
          <w:snapToGrid w:val="0"/>
          <w:lang w:val="fr-FR"/>
        </w:rPr>
        <w:t>arrêts</w:t>
      </w:r>
      <w:r w:rsidR="00A155A6" w:rsidRPr="00A155A6">
        <w:rPr>
          <w:snapToGrid w:val="0"/>
          <w:lang w:val="fr-FR"/>
        </w:rPr>
        <w:t xml:space="preserve"> de la Cour européenne des droits de l’homme </w:t>
      </w:r>
      <w:r w:rsidR="00A155A6">
        <w:rPr>
          <w:snapToGrid w:val="0"/>
          <w:lang w:val="fr-FR"/>
        </w:rPr>
        <w:t>s’y rapportant</w:t>
      </w:r>
      <w:r w:rsidR="00A155A6" w:rsidRPr="00A155A6">
        <w:rPr>
          <w:snapToGrid w:val="0"/>
          <w:lang w:val="fr-FR"/>
        </w:rPr>
        <w:t xml:space="preserve"> soient pleinement pris en compte par les juridictions du Royaume-Uni. Elle garantit aussi que le Parlement, lorsqu’il examine </w:t>
      </w:r>
      <w:r w:rsidR="00A155A6">
        <w:rPr>
          <w:snapToGrid w:val="0"/>
          <w:lang w:val="fr-FR"/>
        </w:rPr>
        <w:t>un</w:t>
      </w:r>
      <w:r w:rsidR="00A155A6" w:rsidRPr="00A155A6">
        <w:rPr>
          <w:snapToGrid w:val="0"/>
          <w:lang w:val="fr-FR"/>
        </w:rPr>
        <w:t xml:space="preserve"> projet de loi, prête attention à l’équilibre difficile à obtenir entre les droits individuels et les besoins de la communauté en général. La loi repose sur le principe fondamental selon lequel la législation doit, autant que faire se peut, être compatible avec les droi</w:t>
      </w:r>
      <w:r w:rsidR="00A155A6">
        <w:rPr>
          <w:snapToGrid w:val="0"/>
          <w:lang w:val="fr-FR"/>
        </w:rPr>
        <w:t xml:space="preserve">ts consacrés </w:t>
      </w:r>
      <w:r w:rsidR="007719F6">
        <w:rPr>
          <w:snapToGrid w:val="0"/>
          <w:lang w:val="fr-FR"/>
        </w:rPr>
        <w:t>par</w:t>
      </w:r>
      <w:r w:rsidR="00A155A6">
        <w:rPr>
          <w:snapToGrid w:val="0"/>
          <w:lang w:val="fr-FR"/>
        </w:rPr>
        <w:t xml:space="preserve"> la Convention</w:t>
      </w:r>
      <w:r w:rsidR="0010799D">
        <w:rPr>
          <w:snapToGrid w:val="0"/>
          <w:lang w:val="fr-FR"/>
        </w:rPr>
        <w:t xml:space="preserve"> et énonce clairement la valeur juridique des droits de l’homme et des libertés fondamentales</w:t>
      </w:r>
      <w:r w:rsidR="000B562B" w:rsidRPr="00A176EA">
        <w:rPr>
          <w:snapToGrid w:val="0"/>
          <w:lang w:val="fr-FR"/>
        </w:rPr>
        <w:t>.</w:t>
      </w:r>
    </w:p>
    <w:p w:rsidR="000B562B" w:rsidRPr="00A176EA" w:rsidRDefault="002549A9" w:rsidP="005E7E1A">
      <w:pPr>
        <w:pStyle w:val="SingleTxtG"/>
        <w:rPr>
          <w:snapToGrid w:val="0"/>
          <w:lang w:val="fr-FR"/>
        </w:rPr>
      </w:pPr>
      <w:r w:rsidRPr="00A176EA">
        <w:rPr>
          <w:snapToGrid w:val="0"/>
          <w:lang w:val="fr-FR"/>
        </w:rPr>
        <w:t>741.</w:t>
      </w:r>
      <w:r w:rsidRPr="00A176EA">
        <w:rPr>
          <w:snapToGrid w:val="0"/>
          <w:lang w:val="fr-FR"/>
        </w:rPr>
        <w:tab/>
      </w:r>
      <w:r w:rsidR="005E7E1A" w:rsidRPr="005E7E1A">
        <w:rPr>
          <w:snapToGrid w:val="0"/>
          <w:lang w:val="fr-FR"/>
        </w:rPr>
        <w:t xml:space="preserve">La loi </w:t>
      </w:r>
      <w:r w:rsidR="005E7E1A">
        <w:rPr>
          <w:snapToGrid w:val="0"/>
          <w:lang w:val="fr-FR"/>
        </w:rPr>
        <w:t>impose aux</w:t>
      </w:r>
      <w:r w:rsidR="005E7E1A" w:rsidRPr="005E7E1A">
        <w:rPr>
          <w:snapToGrid w:val="0"/>
          <w:lang w:val="fr-FR"/>
        </w:rPr>
        <w:t xml:space="preserve"> juridictions du Royaume-Uni </w:t>
      </w:r>
      <w:r w:rsidR="005E7E1A">
        <w:rPr>
          <w:snapToGrid w:val="0"/>
          <w:lang w:val="fr-FR"/>
        </w:rPr>
        <w:t xml:space="preserve">de </w:t>
      </w:r>
      <w:r w:rsidR="005E7E1A" w:rsidRPr="005E7E1A">
        <w:rPr>
          <w:snapToGrid w:val="0"/>
          <w:lang w:val="fr-FR"/>
        </w:rPr>
        <w:t>respecte</w:t>
      </w:r>
      <w:r w:rsidR="005E7E1A">
        <w:rPr>
          <w:snapToGrid w:val="0"/>
          <w:lang w:val="fr-FR"/>
        </w:rPr>
        <w:t xml:space="preserve">r </w:t>
      </w:r>
      <w:r w:rsidR="005E7E1A" w:rsidRPr="005E7E1A">
        <w:rPr>
          <w:snapToGrid w:val="0"/>
          <w:lang w:val="fr-FR"/>
        </w:rPr>
        <w:t xml:space="preserve">les lois adoptées par le Parlement. Toutefois, elle autorise une juridiction supérieure à déclarer qu’une loi ne peut être interprétée comme étant compatible avec les droits consacrés </w:t>
      </w:r>
      <w:r w:rsidR="007719F6">
        <w:rPr>
          <w:snapToGrid w:val="0"/>
          <w:lang w:val="fr-FR"/>
        </w:rPr>
        <w:t>par</w:t>
      </w:r>
      <w:r w:rsidR="005E7E1A" w:rsidRPr="005E7E1A">
        <w:rPr>
          <w:snapToGrid w:val="0"/>
          <w:lang w:val="fr-FR"/>
        </w:rPr>
        <w:t xml:space="preserve"> la Convention. Le Parlement peut alors décider de modifier</w:t>
      </w:r>
      <w:r w:rsidR="005E7E1A">
        <w:rPr>
          <w:snapToGrid w:val="0"/>
          <w:lang w:val="fr-FR"/>
        </w:rPr>
        <w:t xml:space="preserve"> ou non</w:t>
      </w:r>
      <w:r w:rsidR="005E7E1A" w:rsidRPr="005E7E1A">
        <w:rPr>
          <w:snapToGrid w:val="0"/>
          <w:lang w:val="fr-FR"/>
        </w:rPr>
        <w:t xml:space="preserve"> la loi. Ainsi, la loi assure un équilibre entre les droits et les responsabilités </w:t>
      </w:r>
      <w:r w:rsidR="005E7E1A">
        <w:rPr>
          <w:snapToGrid w:val="0"/>
          <w:lang w:val="fr-FR"/>
        </w:rPr>
        <w:t xml:space="preserve">découlant des éléments </w:t>
      </w:r>
      <w:r w:rsidR="005E7E1A" w:rsidRPr="005E7E1A">
        <w:rPr>
          <w:snapToGrid w:val="0"/>
          <w:lang w:val="fr-FR"/>
        </w:rPr>
        <w:t>législatif</w:t>
      </w:r>
      <w:r w:rsidR="005E7E1A">
        <w:rPr>
          <w:snapToGrid w:val="0"/>
          <w:lang w:val="fr-FR"/>
        </w:rPr>
        <w:t>s</w:t>
      </w:r>
      <w:r w:rsidR="005E7E1A" w:rsidRPr="005E7E1A">
        <w:rPr>
          <w:snapToGrid w:val="0"/>
          <w:lang w:val="fr-FR"/>
        </w:rPr>
        <w:t xml:space="preserve"> et judiciaire</w:t>
      </w:r>
      <w:r w:rsidR="005E7E1A">
        <w:rPr>
          <w:snapToGrid w:val="0"/>
          <w:lang w:val="fr-FR"/>
        </w:rPr>
        <w:t>s de la Constitution britannique</w:t>
      </w:r>
      <w:r w:rsidR="005E7E1A" w:rsidRPr="005E7E1A">
        <w:rPr>
          <w:snapToGrid w:val="0"/>
          <w:lang w:val="fr-FR"/>
        </w:rPr>
        <w:t>, le dernier mot revenant toujours au processus démocratique</w:t>
      </w:r>
      <w:r w:rsidR="000B562B" w:rsidRPr="00A176EA">
        <w:rPr>
          <w:snapToGrid w:val="0"/>
          <w:lang w:val="fr-FR"/>
        </w:rPr>
        <w:t>.</w:t>
      </w:r>
    </w:p>
    <w:p w:rsidR="000B562B" w:rsidRPr="00A176EA" w:rsidRDefault="002549A9" w:rsidP="005E7E1A">
      <w:pPr>
        <w:pStyle w:val="SingleTxtG"/>
        <w:rPr>
          <w:snapToGrid w:val="0"/>
          <w:lang w:val="fr-FR"/>
        </w:rPr>
      </w:pPr>
      <w:r w:rsidRPr="00A176EA">
        <w:rPr>
          <w:snapToGrid w:val="0"/>
          <w:lang w:val="fr-FR"/>
        </w:rPr>
        <w:t>742.</w:t>
      </w:r>
      <w:r w:rsidRPr="00A176EA">
        <w:rPr>
          <w:snapToGrid w:val="0"/>
          <w:lang w:val="fr-FR"/>
        </w:rPr>
        <w:tab/>
      </w:r>
      <w:r w:rsidR="005E7E1A">
        <w:rPr>
          <w:snapToGrid w:val="0"/>
          <w:lang w:val="fr-FR"/>
        </w:rPr>
        <w:t xml:space="preserve">La loi constitue un changement majeur dans le fonctionnement du système politique et juridique du pays. Avant son adoption, </w:t>
      </w:r>
      <w:r w:rsidR="001A3D6D">
        <w:rPr>
          <w:snapToGrid w:val="0"/>
          <w:lang w:val="fr-FR"/>
        </w:rPr>
        <w:t>il n’était</w:t>
      </w:r>
      <w:r w:rsidR="005E7E1A">
        <w:rPr>
          <w:snapToGrid w:val="0"/>
          <w:lang w:val="fr-FR"/>
        </w:rPr>
        <w:t xml:space="preserve"> pas expressément établi que les pouvoirs publics et les tribunaux devaient respecter les droits énoncés dans la Convention européenne des droits de l’homme et les tribunaux n’en tenaient compte qu’à titre exceptionnel, par exemple lorsque la législation britannique manquait de clarté</w:t>
      </w:r>
      <w:r w:rsidR="000B562B" w:rsidRPr="00A176EA">
        <w:rPr>
          <w:snapToGrid w:val="0"/>
          <w:lang w:val="fr-FR"/>
        </w:rPr>
        <w:t>.</w:t>
      </w:r>
    </w:p>
    <w:p w:rsidR="000B562B" w:rsidRPr="00A176EA" w:rsidRDefault="002549A9" w:rsidP="00574B8E">
      <w:pPr>
        <w:pStyle w:val="SingleTxtG"/>
        <w:rPr>
          <w:snapToGrid w:val="0"/>
          <w:lang w:val="fr-FR"/>
        </w:rPr>
      </w:pPr>
      <w:r w:rsidRPr="00A176EA">
        <w:rPr>
          <w:snapToGrid w:val="0"/>
          <w:lang w:val="fr-FR"/>
        </w:rPr>
        <w:t>743.</w:t>
      </w:r>
      <w:r w:rsidRPr="00A176EA">
        <w:rPr>
          <w:snapToGrid w:val="0"/>
          <w:lang w:val="fr-FR"/>
        </w:rPr>
        <w:tab/>
      </w:r>
      <w:r w:rsidR="00574B8E">
        <w:rPr>
          <w:snapToGrid w:val="0"/>
          <w:lang w:val="fr-FR"/>
        </w:rPr>
        <w:t xml:space="preserve">La loi induit que les pouvoirs publics (notamment les autorités centrales et locales, l’armée, la police, etc.) doivent agir d’une manière compatible avec les droits consacrés </w:t>
      </w:r>
      <w:r w:rsidR="007719F6">
        <w:rPr>
          <w:snapToGrid w:val="0"/>
          <w:lang w:val="fr-FR"/>
        </w:rPr>
        <w:t>par</w:t>
      </w:r>
      <w:r w:rsidR="00574B8E">
        <w:rPr>
          <w:snapToGrid w:val="0"/>
          <w:lang w:val="fr-FR"/>
        </w:rPr>
        <w:t xml:space="preserve"> la Convention, à moins qu’une loi du Parlement les en empêche</w:t>
      </w:r>
      <w:r w:rsidR="000B562B" w:rsidRPr="00A176EA">
        <w:rPr>
          <w:snapToGrid w:val="0"/>
          <w:lang w:val="fr-FR"/>
        </w:rPr>
        <w:t>.</w:t>
      </w:r>
    </w:p>
    <w:p w:rsidR="000B562B" w:rsidRPr="00A176EA" w:rsidRDefault="002549A9" w:rsidP="00BE038B">
      <w:pPr>
        <w:pStyle w:val="SingleTxtG"/>
        <w:rPr>
          <w:snapToGrid w:val="0"/>
          <w:lang w:val="fr-FR"/>
        </w:rPr>
      </w:pPr>
      <w:r w:rsidRPr="00A176EA">
        <w:rPr>
          <w:snapToGrid w:val="0"/>
          <w:lang w:val="fr-FR"/>
        </w:rPr>
        <w:t>744.</w:t>
      </w:r>
      <w:r w:rsidRPr="00A176EA">
        <w:rPr>
          <w:snapToGrid w:val="0"/>
          <w:lang w:val="fr-FR"/>
        </w:rPr>
        <w:tab/>
      </w:r>
      <w:r w:rsidR="00574B8E">
        <w:rPr>
          <w:snapToGrid w:val="0"/>
          <w:lang w:val="fr-FR"/>
        </w:rPr>
        <w:t>La loi sur les droits de l’homme produit des effets à trois niveaux. En premier lieu, elle impose que toute loi soit interprétée et appliquée, autant que faire se peut, d’une manière compatible avec les droits reconnus par la Convention. Si la chose est impossible, un tribunal peut abroger ou ne pas appliquer une règle de droit secondaire (par exemple, un règlement ou une ordonnance) ou, s’il s’agit d’une juridiction supérieure, déclarer qu’une règle de droit primaire est incompatib</w:t>
      </w:r>
      <w:r w:rsidR="00BE038B">
        <w:rPr>
          <w:snapToGrid w:val="0"/>
          <w:lang w:val="fr-FR"/>
        </w:rPr>
        <w:t>le</w:t>
      </w:r>
      <w:r w:rsidR="00574B8E">
        <w:rPr>
          <w:snapToGrid w:val="0"/>
          <w:lang w:val="fr-FR"/>
        </w:rPr>
        <w:t xml:space="preserve"> avec la Convention. Cela ouvre la possibilité à un Ministre </w:t>
      </w:r>
      <w:r w:rsidR="00BE038B">
        <w:rPr>
          <w:snapToGrid w:val="0"/>
          <w:lang w:val="fr-FR"/>
        </w:rPr>
        <w:t>de prendre une ordonnance corrective pour modifier la législation et la mettre en conformité avec les droits énoncés dans la Convention</w:t>
      </w:r>
      <w:r w:rsidR="000B562B" w:rsidRPr="00A176EA">
        <w:rPr>
          <w:snapToGrid w:val="0"/>
          <w:lang w:val="fr-FR"/>
        </w:rPr>
        <w:t>.</w:t>
      </w:r>
    </w:p>
    <w:p w:rsidR="000B562B" w:rsidRPr="00A176EA" w:rsidRDefault="002549A9" w:rsidP="00BE038B">
      <w:pPr>
        <w:pStyle w:val="SingleTxtG"/>
        <w:rPr>
          <w:snapToGrid w:val="0"/>
          <w:lang w:val="fr-FR"/>
        </w:rPr>
      </w:pPr>
      <w:r w:rsidRPr="00A176EA">
        <w:rPr>
          <w:snapToGrid w:val="0"/>
          <w:lang w:val="fr-FR"/>
        </w:rPr>
        <w:t>745.</w:t>
      </w:r>
      <w:r w:rsidRPr="00A176EA">
        <w:rPr>
          <w:snapToGrid w:val="0"/>
          <w:lang w:val="fr-FR"/>
        </w:rPr>
        <w:tab/>
      </w:r>
      <w:r w:rsidR="00BE038B" w:rsidRPr="00BE038B">
        <w:rPr>
          <w:snapToGrid w:val="0"/>
          <w:lang w:val="fr-FR"/>
        </w:rPr>
        <w:t>À ce jour, chaque fois que les tribunaux ont déclaré une loi incompatible avec les droits énoncés dans la Convention (et que cette déclaration n’a pas été infirmée en appel), le Gouvernement a demandé au Parlement de trouver une solution législative, ou il se dispose à le faire</w:t>
      </w:r>
      <w:r w:rsidR="000B562B" w:rsidRPr="00A176EA">
        <w:rPr>
          <w:snapToGrid w:val="0"/>
          <w:lang w:val="fr-FR"/>
        </w:rPr>
        <w:t>.</w:t>
      </w:r>
    </w:p>
    <w:p w:rsidR="000B562B" w:rsidRPr="00A176EA" w:rsidRDefault="002549A9" w:rsidP="00BE038B">
      <w:pPr>
        <w:pStyle w:val="SingleTxtG"/>
        <w:rPr>
          <w:snapToGrid w:val="0"/>
          <w:lang w:val="fr-FR"/>
        </w:rPr>
      </w:pPr>
      <w:r w:rsidRPr="00A176EA">
        <w:rPr>
          <w:snapToGrid w:val="0"/>
          <w:lang w:val="fr-FR"/>
        </w:rPr>
        <w:t>746.</w:t>
      </w:r>
      <w:r w:rsidRPr="00A176EA">
        <w:rPr>
          <w:snapToGrid w:val="0"/>
          <w:lang w:val="fr-FR"/>
        </w:rPr>
        <w:tab/>
      </w:r>
      <w:r w:rsidR="00BE038B" w:rsidRPr="00BE038B">
        <w:rPr>
          <w:snapToGrid w:val="0"/>
          <w:lang w:val="fr-FR"/>
        </w:rPr>
        <w:t xml:space="preserve">En deuxième lieu, la loi interdit à un organisme public d’agir d’une manière incompatible avec les droits </w:t>
      </w:r>
      <w:r w:rsidR="00BE038B">
        <w:rPr>
          <w:snapToGrid w:val="0"/>
          <w:lang w:val="fr-FR"/>
        </w:rPr>
        <w:t>reconnus par</w:t>
      </w:r>
      <w:r w:rsidR="00BE038B" w:rsidRPr="00BE038B">
        <w:rPr>
          <w:snapToGrid w:val="0"/>
          <w:lang w:val="fr-FR"/>
        </w:rPr>
        <w:t xml:space="preserve"> la Convention et, si celui-ci passe outre cette interdiction, il peut être poursuivi devant une juridiction du Royaume-Uni. Toutefois, un organisme public n’aura pas agi de manière illégale si, à la suite d’une disposition de droit primaire (par exemple une autre loi du Parlement), il ne pouvait pas agir différemment</w:t>
      </w:r>
      <w:r w:rsidR="000B562B" w:rsidRPr="00A176EA">
        <w:rPr>
          <w:snapToGrid w:val="0"/>
          <w:lang w:val="fr-FR"/>
        </w:rPr>
        <w:t>.</w:t>
      </w:r>
    </w:p>
    <w:p w:rsidR="000B562B" w:rsidRPr="00A176EA" w:rsidRDefault="002549A9" w:rsidP="00B56EEF">
      <w:pPr>
        <w:pStyle w:val="SingleTxtG"/>
        <w:rPr>
          <w:snapToGrid w:val="0"/>
          <w:lang w:val="fr-FR"/>
        </w:rPr>
      </w:pPr>
      <w:r w:rsidRPr="00A176EA">
        <w:rPr>
          <w:snapToGrid w:val="0"/>
          <w:lang w:val="fr-FR"/>
        </w:rPr>
        <w:t>747.</w:t>
      </w:r>
      <w:r w:rsidRPr="00A176EA">
        <w:rPr>
          <w:snapToGrid w:val="0"/>
          <w:lang w:val="fr-FR"/>
        </w:rPr>
        <w:tab/>
      </w:r>
      <w:r w:rsidR="00BE038B">
        <w:rPr>
          <w:snapToGrid w:val="0"/>
          <w:lang w:val="fr-FR"/>
        </w:rPr>
        <w:t xml:space="preserve">Les tribunaux procèdent à un </w:t>
      </w:r>
      <w:r w:rsidR="00CD0110">
        <w:rPr>
          <w:snapToGrid w:val="0"/>
          <w:lang w:val="fr-FR"/>
        </w:rPr>
        <w:t>«</w:t>
      </w:r>
      <w:r w:rsidR="00BE038B">
        <w:rPr>
          <w:snapToGrid w:val="0"/>
          <w:lang w:val="fr-FR"/>
        </w:rPr>
        <w:t>examen minutieux</w:t>
      </w:r>
      <w:r w:rsidR="00CD0110">
        <w:rPr>
          <w:snapToGrid w:val="0"/>
          <w:lang w:val="fr-FR"/>
        </w:rPr>
        <w:t>»</w:t>
      </w:r>
      <w:r w:rsidR="00BE038B">
        <w:rPr>
          <w:snapToGrid w:val="0"/>
          <w:lang w:val="fr-FR"/>
        </w:rPr>
        <w:t xml:space="preserve"> </w:t>
      </w:r>
      <w:r w:rsidR="00BE038B" w:rsidRPr="00BE038B">
        <w:rPr>
          <w:snapToGrid w:val="0"/>
          <w:lang w:val="fr-FR"/>
        </w:rPr>
        <w:t xml:space="preserve">pour déterminer s’il était vraiment nécessaire de porter atteinte au droit en question pour </w:t>
      </w:r>
      <w:r w:rsidR="00BE038B">
        <w:rPr>
          <w:snapToGrid w:val="0"/>
          <w:lang w:val="fr-FR"/>
        </w:rPr>
        <w:t>parvenir à</w:t>
      </w:r>
      <w:r w:rsidR="00BE038B" w:rsidRPr="00BE038B">
        <w:rPr>
          <w:snapToGrid w:val="0"/>
          <w:lang w:val="fr-FR"/>
        </w:rPr>
        <w:t xml:space="preserve"> un ou plusieurs des objectifs reconnus par la Convention. Dans la négative, les tribunaux conclu</w:t>
      </w:r>
      <w:r w:rsidR="00BE038B">
        <w:rPr>
          <w:snapToGrid w:val="0"/>
          <w:lang w:val="fr-FR"/>
        </w:rPr>
        <w:t>ront</w:t>
      </w:r>
      <w:r w:rsidR="00BE038B" w:rsidRPr="00BE038B">
        <w:rPr>
          <w:snapToGrid w:val="0"/>
          <w:lang w:val="fr-FR"/>
        </w:rPr>
        <w:t xml:space="preserve"> que l’organisme public a agi de manière incompatible avec la Convention. Toutefois, les tribunaux ne peuvent pas aller contre l’opinion de l’organe qui a pris la décision</w:t>
      </w:r>
      <w:r w:rsidR="00B56EEF">
        <w:rPr>
          <w:snapToGrid w:val="0"/>
          <w:lang w:val="fr-FR"/>
        </w:rPr>
        <w:t>,</w:t>
      </w:r>
      <w:r w:rsidR="00BE038B" w:rsidRPr="00BE038B">
        <w:rPr>
          <w:snapToGrid w:val="0"/>
          <w:lang w:val="fr-FR"/>
        </w:rPr>
        <w:t xml:space="preserve"> de sorte que leur rôle se borne à examiner plutôt qu’à statuer sur la décision initiale. Il s’agit donc de procéder à un examen plus approfondi de la question</w:t>
      </w:r>
      <w:r w:rsidR="000B562B" w:rsidRPr="00A176EA">
        <w:rPr>
          <w:snapToGrid w:val="0"/>
          <w:lang w:val="fr-FR"/>
        </w:rPr>
        <w:t>.</w:t>
      </w:r>
    </w:p>
    <w:p w:rsidR="000B562B" w:rsidRPr="00A176EA" w:rsidRDefault="002549A9" w:rsidP="00B56EEF">
      <w:pPr>
        <w:pStyle w:val="SingleTxtG"/>
        <w:rPr>
          <w:snapToGrid w:val="0"/>
          <w:lang w:val="fr-FR"/>
        </w:rPr>
      </w:pPr>
      <w:r w:rsidRPr="00A176EA">
        <w:rPr>
          <w:snapToGrid w:val="0"/>
          <w:lang w:val="fr-FR"/>
        </w:rPr>
        <w:t>748.</w:t>
      </w:r>
      <w:r w:rsidRPr="00A176EA">
        <w:rPr>
          <w:snapToGrid w:val="0"/>
          <w:lang w:val="fr-FR"/>
        </w:rPr>
        <w:tab/>
      </w:r>
      <w:r w:rsidR="00B56EEF">
        <w:rPr>
          <w:snapToGrid w:val="0"/>
          <w:lang w:val="fr-FR"/>
        </w:rPr>
        <w:t xml:space="preserve">En troisième lieu, les juridictions doivent tenir compte des droits énoncés dans la Convention pour toutes les affaires dont elles sont saisies. Cela induit, par exemple, qu’elles doivent faire évoluer la </w:t>
      </w:r>
      <w:r w:rsidR="00B56EEF" w:rsidRPr="002C7A9F">
        <w:rPr>
          <w:i/>
          <w:snapToGrid w:val="0"/>
          <w:lang w:val="fr-FR"/>
        </w:rPr>
        <w:t>common law</w:t>
      </w:r>
      <w:r w:rsidR="00B56EEF">
        <w:rPr>
          <w:snapToGrid w:val="0"/>
          <w:lang w:val="fr-FR"/>
        </w:rPr>
        <w:t xml:space="preserve"> d’une manière compatible avec la Convention. Elles doivent également prendre en compte la jurisprudence de Strasbourg. Par exemple, la loi sur les droits de l’homme a été utilisée pour statuer dans des affaires d’intérêts contradictoires entre le respect de la vie privée et la liberté d’</w:t>
      </w:r>
      <w:r w:rsidR="000B562B" w:rsidRPr="00A176EA">
        <w:rPr>
          <w:snapToGrid w:val="0"/>
          <w:lang w:val="fr-FR"/>
        </w:rPr>
        <w:t>expression.</w:t>
      </w:r>
    </w:p>
    <w:p w:rsidR="000B562B" w:rsidRPr="00A176EA" w:rsidRDefault="002549A9" w:rsidP="00953E17">
      <w:pPr>
        <w:pStyle w:val="SingleTxtG"/>
        <w:rPr>
          <w:snapToGrid w:val="0"/>
          <w:lang w:val="fr-FR"/>
        </w:rPr>
      </w:pPr>
      <w:r w:rsidRPr="00A176EA">
        <w:rPr>
          <w:snapToGrid w:val="0"/>
          <w:lang w:val="fr-FR"/>
        </w:rPr>
        <w:t>749.</w:t>
      </w:r>
      <w:r w:rsidRPr="00A176EA">
        <w:rPr>
          <w:snapToGrid w:val="0"/>
          <w:lang w:val="fr-FR"/>
        </w:rPr>
        <w:tab/>
      </w:r>
      <w:r w:rsidR="00B56EEF">
        <w:rPr>
          <w:snapToGrid w:val="0"/>
          <w:lang w:val="fr-FR"/>
        </w:rPr>
        <w:t>La loi sur les droits de l’homme impose par ailleurs une obligation aux ministres qui déposent un projet de loi. Elle stipule que le ministre</w:t>
      </w:r>
      <w:r w:rsidR="00953E17">
        <w:rPr>
          <w:snapToGrid w:val="0"/>
          <w:lang w:val="fr-FR"/>
        </w:rPr>
        <w:t xml:space="preserve"> qui dépose un projet de loi primaire doit faire devant le Parlement une déclaration </w:t>
      </w:r>
      <w:r w:rsidR="002C7A9F">
        <w:rPr>
          <w:snapToGrid w:val="0"/>
          <w:lang w:val="fr-FR"/>
        </w:rPr>
        <w:t>sur</w:t>
      </w:r>
      <w:r w:rsidR="00953E17">
        <w:rPr>
          <w:snapToGrid w:val="0"/>
          <w:lang w:val="fr-FR"/>
        </w:rPr>
        <w:t xml:space="preserve"> la compatibilité des dispositions du projet de loi avec les droits </w:t>
      </w:r>
      <w:r w:rsidR="006D07AA">
        <w:rPr>
          <w:snapToGrid w:val="0"/>
          <w:lang w:val="fr-FR"/>
        </w:rPr>
        <w:t>reconnus</w:t>
      </w:r>
      <w:r w:rsidR="00953E17">
        <w:rPr>
          <w:snapToGrid w:val="0"/>
          <w:lang w:val="fr-FR"/>
        </w:rPr>
        <w:t xml:space="preserve"> par la Convention. Cela garantit que le Gouvernement ait examiné l’impact de cette loi sur les droits de l’homme avant que le projet de loi ne soit débattu au Parlement, et qu’il aide ce dernier à s’acquitter de sa tâche de vérification</w:t>
      </w:r>
      <w:r w:rsidR="000B562B" w:rsidRPr="00A176EA">
        <w:rPr>
          <w:lang w:val="fr-FR"/>
        </w:rPr>
        <w:t>.</w:t>
      </w:r>
    </w:p>
    <w:p w:rsidR="000B562B" w:rsidRPr="00A176EA" w:rsidRDefault="002549A9" w:rsidP="00953E17">
      <w:pPr>
        <w:pStyle w:val="SingleTxtG"/>
        <w:rPr>
          <w:lang w:val="fr-FR"/>
        </w:rPr>
      </w:pPr>
      <w:r w:rsidRPr="00A176EA">
        <w:rPr>
          <w:lang w:val="fr-FR"/>
        </w:rPr>
        <w:t>750.</w:t>
      </w:r>
      <w:r w:rsidRPr="00A176EA">
        <w:rPr>
          <w:lang w:val="fr-FR"/>
        </w:rPr>
        <w:tab/>
      </w:r>
      <w:r w:rsidR="00953E17" w:rsidRPr="00953E17">
        <w:rPr>
          <w:lang w:val="fr-FR"/>
        </w:rPr>
        <w:t xml:space="preserve">Dans les notes explicatives qui accompagnent le projet de loi, le Gouvernement appelle aussi l’attention sur les grandes questions relatives aux droits de l’homme que le texte soulève. La plupart des projets de loi sont examinés par la Commission parlementaire mixte des droits de l’homme, qui peut faire des propositions </w:t>
      </w:r>
      <w:r w:rsidR="00953E17">
        <w:rPr>
          <w:lang w:val="fr-FR"/>
        </w:rPr>
        <w:t>pour</w:t>
      </w:r>
      <w:r w:rsidR="00953E17" w:rsidRPr="00953E17">
        <w:rPr>
          <w:lang w:val="fr-FR"/>
        </w:rPr>
        <w:t xml:space="preserve"> rendre le projet de loi réellement compatible avec la Convention ou d’autres instruments relatifs aux droits de l’homme</w:t>
      </w:r>
      <w:r w:rsidR="000B562B" w:rsidRPr="00A176EA">
        <w:rPr>
          <w:lang w:val="fr-FR"/>
        </w:rPr>
        <w:t>.</w:t>
      </w:r>
    </w:p>
    <w:p w:rsidR="000B562B" w:rsidRPr="00A176EA" w:rsidRDefault="002549A9" w:rsidP="00953E17">
      <w:pPr>
        <w:pStyle w:val="SingleTxtG"/>
        <w:rPr>
          <w:lang w:val="fr-FR"/>
        </w:rPr>
      </w:pPr>
      <w:r w:rsidRPr="00A176EA">
        <w:rPr>
          <w:lang w:val="fr-FR"/>
        </w:rPr>
        <w:t>751.</w:t>
      </w:r>
      <w:r w:rsidRPr="00A176EA">
        <w:rPr>
          <w:lang w:val="fr-FR"/>
        </w:rPr>
        <w:tab/>
      </w:r>
      <w:r w:rsidR="00953E17">
        <w:rPr>
          <w:lang w:val="fr-FR"/>
        </w:rPr>
        <w:t xml:space="preserve">Depuis 2000, </w:t>
      </w:r>
      <w:r w:rsidR="00953E17" w:rsidRPr="00953E17">
        <w:rPr>
          <w:lang w:val="fr-FR"/>
        </w:rPr>
        <w:t xml:space="preserve">il n’est arrivé qu’une fois qu’un projet de loi déposé au Parlement soit accompagné d’une déclaration </w:t>
      </w:r>
      <w:r w:rsidR="00953E17">
        <w:rPr>
          <w:lang w:val="fr-FR"/>
        </w:rPr>
        <w:t>indiquant qu’</w:t>
      </w:r>
      <w:r w:rsidR="00953E17" w:rsidRPr="00953E17">
        <w:rPr>
          <w:lang w:val="fr-FR"/>
        </w:rPr>
        <w:t xml:space="preserve">il ne pouvait être certifié compatible avec les droits consacrés </w:t>
      </w:r>
      <w:r w:rsidR="007719F6">
        <w:rPr>
          <w:snapToGrid w:val="0"/>
          <w:lang w:val="fr-FR"/>
        </w:rPr>
        <w:t>par</w:t>
      </w:r>
      <w:r w:rsidR="00953E17" w:rsidRPr="00953E17">
        <w:rPr>
          <w:lang w:val="fr-FR"/>
        </w:rPr>
        <w:t xml:space="preserve"> la Convention. Il s’agissait du projet de loi</w:t>
      </w:r>
      <w:r w:rsidR="00953E17">
        <w:rPr>
          <w:lang w:val="fr-FR"/>
        </w:rPr>
        <w:t>,</w:t>
      </w:r>
      <w:r w:rsidR="00953E17" w:rsidRPr="00953E17">
        <w:rPr>
          <w:lang w:val="fr-FR"/>
        </w:rPr>
        <w:t xml:space="preserve"> devenu la loi de 2003 </w:t>
      </w:r>
      <w:r w:rsidR="00953E17">
        <w:rPr>
          <w:lang w:val="fr-FR"/>
        </w:rPr>
        <w:t>sur les</w:t>
      </w:r>
      <w:r w:rsidR="00953E17" w:rsidRPr="00953E17">
        <w:rPr>
          <w:lang w:val="fr-FR"/>
        </w:rPr>
        <w:t xml:space="preserve"> communications, </w:t>
      </w:r>
      <w:r w:rsidR="00953E17">
        <w:rPr>
          <w:lang w:val="fr-FR"/>
        </w:rPr>
        <w:t>traitant</w:t>
      </w:r>
      <w:r w:rsidR="00953E17" w:rsidRPr="00953E17">
        <w:rPr>
          <w:lang w:val="fr-FR"/>
        </w:rPr>
        <w:t xml:space="preserve"> de restrictions au financement de la publicité à des fins politiques. Cette approche a été soutenue à l’époque par la Commission parlementaire mixte des droits de l’homme et appuyée par le Parlement, qui a adopté le projet de loi. Par la suite, la </w:t>
      </w:r>
      <w:r w:rsidR="00953E17">
        <w:rPr>
          <w:lang w:val="fr-FR"/>
        </w:rPr>
        <w:t>Haute Cour</w:t>
      </w:r>
      <w:r w:rsidR="00953E17" w:rsidRPr="00953E17">
        <w:rPr>
          <w:lang w:val="fr-FR"/>
        </w:rPr>
        <w:t xml:space="preserve"> et la Chambre des lords ont </w:t>
      </w:r>
      <w:r w:rsidR="00953E17">
        <w:rPr>
          <w:lang w:val="fr-FR"/>
        </w:rPr>
        <w:t>jugé</w:t>
      </w:r>
      <w:r w:rsidR="00953E17" w:rsidRPr="00953E17">
        <w:rPr>
          <w:lang w:val="fr-FR"/>
        </w:rPr>
        <w:t xml:space="preserve"> que </w:t>
      </w:r>
      <w:r w:rsidR="00953E17">
        <w:rPr>
          <w:lang w:val="fr-FR"/>
        </w:rPr>
        <w:t xml:space="preserve">le texte était conforme à </w:t>
      </w:r>
      <w:r w:rsidR="00953E17" w:rsidRPr="00953E17">
        <w:rPr>
          <w:lang w:val="fr-FR"/>
        </w:rPr>
        <w:t>la Convention. La question sera examinée par la Cour européenne des droits de l’homme</w:t>
      </w:r>
      <w:r w:rsidR="000B562B" w:rsidRPr="00A176EA">
        <w:rPr>
          <w:lang w:val="fr-FR"/>
        </w:rPr>
        <w:t>.</w:t>
      </w:r>
    </w:p>
    <w:p w:rsidR="000B562B" w:rsidRPr="00A176EA" w:rsidRDefault="002549A9" w:rsidP="00B309CC">
      <w:pPr>
        <w:pStyle w:val="SingleTxtG"/>
        <w:rPr>
          <w:snapToGrid w:val="0"/>
          <w:lang w:val="fr-FR"/>
        </w:rPr>
      </w:pPr>
      <w:r w:rsidRPr="00A176EA">
        <w:rPr>
          <w:snapToGrid w:val="0"/>
          <w:lang w:val="fr-FR"/>
        </w:rPr>
        <w:t>752.</w:t>
      </w:r>
      <w:r w:rsidRPr="00A176EA">
        <w:rPr>
          <w:snapToGrid w:val="0"/>
          <w:lang w:val="fr-FR"/>
        </w:rPr>
        <w:tab/>
      </w:r>
      <w:r w:rsidR="00AC1EF8">
        <w:rPr>
          <w:snapToGrid w:val="0"/>
          <w:lang w:val="fr-FR"/>
        </w:rPr>
        <w:t>L</w:t>
      </w:r>
      <w:r w:rsidR="00AE2E20">
        <w:rPr>
          <w:snapToGrid w:val="0"/>
          <w:lang w:val="fr-FR"/>
        </w:rPr>
        <w:t>e paragraphe 2 de l</w:t>
      </w:r>
      <w:r w:rsidR="00AC1EF8">
        <w:rPr>
          <w:snapToGrid w:val="0"/>
          <w:lang w:val="fr-FR"/>
        </w:rPr>
        <w:t>’article 1</w:t>
      </w:r>
      <w:r w:rsidR="00AE2E20">
        <w:rPr>
          <w:snapToGrid w:val="0"/>
          <w:lang w:val="fr-FR"/>
        </w:rPr>
        <w:t xml:space="preserve"> </w:t>
      </w:r>
      <w:r w:rsidR="00AC1EF8">
        <w:rPr>
          <w:snapToGrid w:val="0"/>
          <w:lang w:val="fr-FR"/>
        </w:rPr>
        <w:t xml:space="preserve">de la loi dispose que les droits énoncés dans la Convention prennent effet en droit interne </w:t>
      </w:r>
      <w:r w:rsidR="00B309CC" w:rsidRPr="00B309CC">
        <w:rPr>
          <w:snapToGrid w:val="0"/>
          <w:lang w:val="fr-FR"/>
        </w:rPr>
        <w:t xml:space="preserve">à moins qu’une dérogation ou une réserve </w:t>
      </w:r>
      <w:r w:rsidR="002C7A9F">
        <w:rPr>
          <w:snapToGrid w:val="0"/>
          <w:lang w:val="fr-FR"/>
        </w:rPr>
        <w:t xml:space="preserve">ne </w:t>
      </w:r>
      <w:r w:rsidR="00B309CC" w:rsidRPr="00B309CC">
        <w:rPr>
          <w:snapToGrid w:val="0"/>
          <w:lang w:val="fr-FR"/>
        </w:rPr>
        <w:t xml:space="preserve">s’applique. En vertu de l’article 15 de la Convention, le Royaume-Uni </w:t>
      </w:r>
      <w:r w:rsidR="00B309CC">
        <w:rPr>
          <w:snapToGrid w:val="0"/>
          <w:lang w:val="fr-FR"/>
        </w:rPr>
        <w:t>a le droit de déroger à ses</w:t>
      </w:r>
      <w:r w:rsidR="00B309CC" w:rsidRPr="00B309CC">
        <w:rPr>
          <w:snapToGrid w:val="0"/>
          <w:lang w:val="fr-FR"/>
        </w:rPr>
        <w:t xml:space="preserve"> obligations dans des circonstances exceptionnelles et bien délimitées. L’article 14 de la loi </w:t>
      </w:r>
      <w:r w:rsidR="00B309CC">
        <w:rPr>
          <w:snapToGrid w:val="0"/>
          <w:lang w:val="fr-FR"/>
        </w:rPr>
        <w:t>sur les</w:t>
      </w:r>
      <w:r w:rsidR="00B309CC" w:rsidRPr="00B309CC">
        <w:rPr>
          <w:snapToGrid w:val="0"/>
          <w:lang w:val="fr-FR"/>
        </w:rPr>
        <w:t xml:space="preserve"> droits de l’homme maintient ce droit en droit interne pour garantir la cohérence avec les dérogations du Royaume-Uni en vertu du droit international. De même, conformément à l’article 57 de la Convention, le Royaume-Uni a le droit, dans des circonstances clairement définies, de formuler une réserve à l’égard de ses obligations </w:t>
      </w:r>
      <w:r w:rsidR="00B309CC">
        <w:rPr>
          <w:snapToGrid w:val="0"/>
          <w:lang w:val="fr-FR"/>
        </w:rPr>
        <w:t>découlant</w:t>
      </w:r>
      <w:r w:rsidR="00B309CC" w:rsidRPr="00B309CC">
        <w:rPr>
          <w:snapToGrid w:val="0"/>
          <w:lang w:val="fr-FR"/>
        </w:rPr>
        <w:t xml:space="preserve"> de la Convention. L’article 15 de la loi garantit que ces réserves s’appliquent au droit interne pour garantir la cohérence avec les réserves formulées par le Royaume-Uni en vertu du droit international. Actuellement, le Royaume-Uni a émis une réserve à la Convention au sujet de l’article 2 du premier Protocole</w:t>
      </w:r>
      <w:r w:rsidR="00B309CC">
        <w:rPr>
          <w:snapToGrid w:val="0"/>
          <w:lang w:val="fr-FR"/>
        </w:rPr>
        <w:t xml:space="preserve"> facultatif</w:t>
      </w:r>
      <w:r w:rsidR="00B309CC" w:rsidRPr="00B309CC">
        <w:rPr>
          <w:snapToGrid w:val="0"/>
          <w:lang w:val="fr-FR"/>
        </w:rPr>
        <w:t xml:space="preserve">. Cette réserve est expressément maintenue dans l’article 15 de la loi, en vertu duquel le </w:t>
      </w:r>
      <w:r w:rsidR="00B309CC">
        <w:rPr>
          <w:snapToGrid w:val="0"/>
          <w:lang w:val="fr-FR"/>
        </w:rPr>
        <w:t>Secrétaire d’État</w:t>
      </w:r>
      <w:r w:rsidR="00B309CC" w:rsidRPr="00B309CC">
        <w:rPr>
          <w:snapToGrid w:val="0"/>
          <w:lang w:val="fr-FR"/>
        </w:rPr>
        <w:t xml:space="preserve"> est habilité à formuler de nouvelles réserves à la Convention au nom du </w:t>
      </w:r>
      <w:r w:rsidR="00B309CC">
        <w:rPr>
          <w:snapToGrid w:val="0"/>
          <w:lang w:val="fr-FR"/>
        </w:rPr>
        <w:t>Royaume-Uni</w:t>
      </w:r>
      <w:r w:rsidR="000B562B" w:rsidRPr="00A176EA">
        <w:rPr>
          <w:lang w:val="fr-FR"/>
        </w:rPr>
        <w:t>.</w:t>
      </w:r>
    </w:p>
    <w:p w:rsidR="000B562B" w:rsidRPr="00A176EA" w:rsidRDefault="002549A9" w:rsidP="00D33159">
      <w:pPr>
        <w:pStyle w:val="SingleTxtG"/>
        <w:rPr>
          <w:snapToGrid w:val="0"/>
          <w:lang w:val="fr-FR"/>
        </w:rPr>
      </w:pPr>
      <w:r w:rsidRPr="00A176EA">
        <w:rPr>
          <w:snapToGrid w:val="0"/>
          <w:lang w:val="fr-FR"/>
        </w:rPr>
        <w:t>753.</w:t>
      </w:r>
      <w:r w:rsidRPr="00A176EA">
        <w:rPr>
          <w:snapToGrid w:val="0"/>
          <w:lang w:val="fr-FR"/>
        </w:rPr>
        <w:tab/>
      </w:r>
      <w:r w:rsidR="00D33159">
        <w:rPr>
          <w:snapToGrid w:val="0"/>
          <w:lang w:val="fr-FR"/>
        </w:rPr>
        <w:t xml:space="preserve">La loi sur les droits de l’homme s’applique aux administrations et aux organes législatifs dévolus en tant qu’autorités publiques, qui sont également soumis à d’autres prescriptions légales afin de se conformer à la Convention européenne des droits de l’homme. La loi de 1998 sur l’Écosse, qui porte création du Parlement et de l’exécutif écossais, </w:t>
      </w:r>
      <w:r w:rsidR="00D33159" w:rsidRPr="00D33159">
        <w:rPr>
          <w:snapToGrid w:val="0"/>
          <w:lang w:val="fr-FR"/>
        </w:rPr>
        <w:t xml:space="preserve">exige que les ministres écossais agissent en conformité avec les droits énoncés dans la Convention et dispose que tout acte commis par eux en violation de la Convention sont constitutifs d’un excès de pouvoir. Elle dispose aussi que toute loi promulguée par le Parlement qui est incompatible avec la Convention serait en dehors de la compétence législative du Parlement et donc non valable. Cela permet donc aux tribunaux nationaux d’annuler toute loi écossaise </w:t>
      </w:r>
      <w:r w:rsidR="00D33159">
        <w:rPr>
          <w:snapToGrid w:val="0"/>
          <w:lang w:val="fr-FR"/>
        </w:rPr>
        <w:t>non conforme à</w:t>
      </w:r>
      <w:r w:rsidR="00D33159" w:rsidRPr="00D33159">
        <w:rPr>
          <w:snapToGrid w:val="0"/>
          <w:lang w:val="fr-FR"/>
        </w:rPr>
        <w:t xml:space="preserve"> la Convention. Par ailleurs, la loi sur l’Irlande du Nord, qui porte création de l’Assemblée de l’Irlande du Nord, exige aussi que les ministres d’Irlande du Nord agissent en conformité avec les droits énoncés dans la Convention et dispose que toute loi incompatible avec les droits énoncés dans la Convention est constitutive d’un excès de pouvoir</w:t>
      </w:r>
      <w:r w:rsidR="000B562B" w:rsidRPr="00A176EA">
        <w:rPr>
          <w:rStyle w:val="FootnoteReference"/>
          <w:szCs w:val="22"/>
        </w:rPr>
        <w:footnoteReference w:id="133"/>
      </w:r>
      <w:r w:rsidR="00D33159">
        <w:rPr>
          <w:snapToGrid w:val="0"/>
          <w:lang w:val="fr-FR"/>
        </w:rPr>
        <w:t>.</w:t>
      </w:r>
      <w:r w:rsidR="000B562B" w:rsidRPr="00A176EA">
        <w:rPr>
          <w:lang w:val="fr-FR"/>
        </w:rPr>
        <w:t xml:space="preserve"> </w:t>
      </w:r>
      <w:r w:rsidR="00ED3086">
        <w:rPr>
          <w:lang w:val="fr-FR"/>
        </w:rPr>
        <w:t>Une disposition similaire de la loi de 1998 sur le Gouvernement du pays de Galles s’applique à l’Assemblée galloise</w:t>
      </w:r>
      <w:r w:rsidR="000B562B" w:rsidRPr="00A176EA">
        <w:rPr>
          <w:lang w:val="fr-FR"/>
        </w:rPr>
        <w:t>.</w:t>
      </w:r>
    </w:p>
    <w:p w:rsidR="000B562B" w:rsidRPr="00A176EA" w:rsidRDefault="002549A9" w:rsidP="00ED3086">
      <w:pPr>
        <w:pStyle w:val="SingleTxtG"/>
        <w:rPr>
          <w:snapToGrid w:val="0"/>
          <w:szCs w:val="24"/>
          <w:lang w:val="fr-FR"/>
        </w:rPr>
      </w:pPr>
      <w:r w:rsidRPr="00A176EA">
        <w:rPr>
          <w:snapToGrid w:val="0"/>
          <w:szCs w:val="24"/>
          <w:lang w:val="fr-FR"/>
        </w:rPr>
        <w:t>754.</w:t>
      </w:r>
      <w:r w:rsidRPr="00A176EA">
        <w:rPr>
          <w:snapToGrid w:val="0"/>
          <w:szCs w:val="24"/>
          <w:lang w:val="fr-FR"/>
        </w:rPr>
        <w:tab/>
      </w:r>
      <w:r w:rsidR="00ED3086" w:rsidRPr="00ED3086">
        <w:rPr>
          <w:snapToGrid w:val="0"/>
          <w:szCs w:val="24"/>
          <w:lang w:val="fr-FR"/>
        </w:rPr>
        <w:t xml:space="preserve">L’Accord de Belfast de 1998 a chargé la Commission des droits de l’homme d’Irlande du Nord de donner un avis au Secrétaire d’État à l’Irlande du Nord sur </w:t>
      </w:r>
      <w:r w:rsidR="00CD0110">
        <w:rPr>
          <w:snapToGrid w:val="0"/>
          <w:szCs w:val="24"/>
          <w:lang w:val="fr-FR"/>
        </w:rPr>
        <w:t>«</w:t>
      </w:r>
      <w:r w:rsidR="00ED3086" w:rsidRPr="00ED3086">
        <w:rPr>
          <w:snapToGrid w:val="0"/>
          <w:szCs w:val="24"/>
          <w:lang w:val="fr-FR"/>
        </w:rPr>
        <w:t xml:space="preserve">la possibilité de définir dans la législation </w:t>
      </w:r>
      <w:r w:rsidR="00ED3086">
        <w:rPr>
          <w:snapToGrid w:val="0"/>
          <w:szCs w:val="24"/>
          <w:lang w:val="fr-FR"/>
        </w:rPr>
        <w:t xml:space="preserve">de Westminster </w:t>
      </w:r>
      <w:r w:rsidR="00ED3086" w:rsidRPr="00ED3086">
        <w:rPr>
          <w:snapToGrid w:val="0"/>
          <w:szCs w:val="24"/>
          <w:lang w:val="fr-FR"/>
        </w:rPr>
        <w:t>des droits supplémentaires à ceux énoncés dans la Convention européenne des droits de l’homme</w:t>
      </w:r>
      <w:r w:rsidR="004F0147">
        <w:rPr>
          <w:snapToGrid w:val="0"/>
          <w:szCs w:val="24"/>
          <w:lang w:val="fr-FR"/>
        </w:rPr>
        <w:t xml:space="preserve"> pour prendre en</w:t>
      </w:r>
      <w:r w:rsidR="00ED3086" w:rsidRPr="00ED3086">
        <w:rPr>
          <w:snapToGrid w:val="0"/>
          <w:szCs w:val="24"/>
          <w:lang w:val="fr-FR"/>
        </w:rPr>
        <w:t xml:space="preserve"> compte la spécificité de l’Irlande du Nord</w:t>
      </w:r>
      <w:r w:rsidR="00CD0110">
        <w:rPr>
          <w:snapToGrid w:val="0"/>
          <w:szCs w:val="24"/>
          <w:lang w:val="fr-FR"/>
        </w:rPr>
        <w:t>»</w:t>
      </w:r>
      <w:r w:rsidR="000B562B" w:rsidRPr="00A176EA">
        <w:rPr>
          <w:lang w:val="fr-FR"/>
        </w:rPr>
        <w:t xml:space="preserve">. </w:t>
      </w:r>
      <w:r w:rsidR="00ED3086">
        <w:rPr>
          <w:lang w:val="fr-FR"/>
        </w:rPr>
        <w:t xml:space="preserve">Suite à l’Accord de Saint Andrews en octobre 2006, une instance appelée Bill of Rights Forum a été créée pour faciliter le processus d’élaboration </w:t>
      </w:r>
      <w:r w:rsidR="00926AB7">
        <w:rPr>
          <w:lang w:val="fr-FR"/>
        </w:rPr>
        <w:t xml:space="preserve">d’une </w:t>
      </w:r>
      <w:r w:rsidR="004F0147">
        <w:rPr>
          <w:lang w:val="fr-FR"/>
        </w:rPr>
        <w:t>charte</w:t>
      </w:r>
      <w:r w:rsidR="00926AB7">
        <w:rPr>
          <w:lang w:val="fr-FR"/>
        </w:rPr>
        <w:t xml:space="preserve"> des droits. Le 31 mars 2008, le Forum a présenté des recommandations à la Commission des droits de l’homme d’Irlande du Nord qui, après avoir examiné le rapport du Forum, a soumis son avis au Gouvernement le 10 décembre 2008. Le 30 novembre 2009, le Gouvernement de l’époque a lancé une consultation sur le thème </w:t>
      </w:r>
      <w:r w:rsidR="00CD0110">
        <w:rPr>
          <w:lang w:val="fr-FR"/>
        </w:rPr>
        <w:t>«</w:t>
      </w:r>
      <w:r w:rsidR="00926AB7" w:rsidRPr="00A176EA">
        <w:rPr>
          <w:lang w:val="fr-FR"/>
        </w:rPr>
        <w:t xml:space="preserve">A Bill of Rights for </w:t>
      </w:r>
      <w:r w:rsidR="006D07AA">
        <w:rPr>
          <w:lang w:val="fr-FR"/>
        </w:rPr>
        <w:t>Northern Ireland</w:t>
      </w:r>
      <w:r w:rsidR="00926AB7" w:rsidRPr="00A176EA">
        <w:rPr>
          <w:lang w:val="fr-FR"/>
        </w:rPr>
        <w:t>: Next Steps</w:t>
      </w:r>
      <w:r w:rsidR="00CD0110">
        <w:rPr>
          <w:lang w:val="fr-FR"/>
        </w:rPr>
        <w:t>»</w:t>
      </w:r>
      <w:r w:rsidR="00926AB7">
        <w:rPr>
          <w:lang w:val="fr-FR"/>
        </w:rPr>
        <w:t xml:space="preserve"> (</w:t>
      </w:r>
      <w:r w:rsidR="00CD0110">
        <w:rPr>
          <w:lang w:val="fr-FR"/>
        </w:rPr>
        <w:t>«</w:t>
      </w:r>
      <w:r w:rsidR="00926AB7">
        <w:rPr>
          <w:lang w:val="fr-FR"/>
        </w:rPr>
        <w:t xml:space="preserve">Une </w:t>
      </w:r>
      <w:r w:rsidR="004F0147">
        <w:rPr>
          <w:lang w:val="fr-FR"/>
        </w:rPr>
        <w:t>charte</w:t>
      </w:r>
      <w:r w:rsidR="00926AB7">
        <w:rPr>
          <w:lang w:val="fr-FR"/>
        </w:rPr>
        <w:t xml:space="preserve"> des droits pour l’Irlande du Nord</w:t>
      </w:r>
      <w:r w:rsidR="00FC2B97">
        <w:rPr>
          <w:lang w:val="fr-FR"/>
        </w:rPr>
        <w:t>:</w:t>
      </w:r>
      <w:r w:rsidR="00926AB7">
        <w:rPr>
          <w:lang w:val="fr-FR"/>
        </w:rPr>
        <w:t xml:space="preserve"> prochaines étapes</w:t>
      </w:r>
      <w:r w:rsidR="00CD0110">
        <w:rPr>
          <w:lang w:val="fr-FR"/>
        </w:rPr>
        <w:t>»</w:t>
      </w:r>
      <w:r w:rsidR="00926AB7">
        <w:rPr>
          <w:lang w:val="fr-FR"/>
        </w:rPr>
        <w:t xml:space="preserve">), qui s’est achevée le 31 mars 2010. Cette consultation a révélé de profondes divisions et un manque de consensus sur la marche à suivre. Le Gouvernement actuel </w:t>
      </w:r>
      <w:r w:rsidR="004F0147">
        <w:rPr>
          <w:lang w:val="fr-FR"/>
        </w:rPr>
        <w:t>travaillera avec l’exécutif et les partis politiques d’Irlande du Nord, et d’autres parties prenantes, pour dégager le meilleur moyen d’atteindre le consensus nécessaire pour résoudre enfin cette question</w:t>
      </w:r>
      <w:r w:rsidR="000B562B" w:rsidRPr="00A176EA">
        <w:rPr>
          <w:lang w:val="fr-FR"/>
        </w:rPr>
        <w:t>.</w:t>
      </w:r>
      <w:r w:rsidR="004F0147">
        <w:rPr>
          <w:lang w:val="fr-FR"/>
        </w:rPr>
        <w:t xml:space="preserve"> </w:t>
      </w:r>
    </w:p>
    <w:p w:rsidR="000B562B" w:rsidRPr="00A176EA" w:rsidRDefault="002549A9" w:rsidP="00460D92">
      <w:pPr>
        <w:pStyle w:val="SingleTxtG"/>
        <w:rPr>
          <w:snapToGrid w:val="0"/>
          <w:lang w:val="fr-FR"/>
        </w:rPr>
      </w:pPr>
      <w:r w:rsidRPr="00A176EA">
        <w:rPr>
          <w:snapToGrid w:val="0"/>
          <w:lang w:val="fr-FR"/>
        </w:rPr>
        <w:t>755.</w:t>
      </w:r>
      <w:r w:rsidRPr="00A176EA">
        <w:rPr>
          <w:snapToGrid w:val="0"/>
          <w:lang w:val="fr-FR"/>
        </w:rPr>
        <w:tab/>
      </w:r>
      <w:r w:rsidR="004F0147">
        <w:rPr>
          <w:lang w:val="fr-FR"/>
        </w:rPr>
        <w:t>À</w:t>
      </w:r>
      <w:r w:rsidR="004F0147">
        <w:rPr>
          <w:snapToGrid w:val="0"/>
          <w:lang w:val="fr-FR"/>
        </w:rPr>
        <w:t xml:space="preserve"> l’issue des élections générales de mai 2010, le Gouvernement a pris l’engagement suivant</w:t>
      </w:r>
      <w:r w:rsidR="00FC2B97">
        <w:rPr>
          <w:snapToGrid w:val="0"/>
          <w:lang w:val="fr-FR"/>
        </w:rPr>
        <w:t>:</w:t>
      </w:r>
      <w:r w:rsidR="004F0147">
        <w:rPr>
          <w:snapToGrid w:val="0"/>
          <w:lang w:val="fr-FR"/>
        </w:rPr>
        <w:t xml:space="preserve"> </w:t>
      </w:r>
      <w:r w:rsidR="00CD0110">
        <w:rPr>
          <w:snapToGrid w:val="0"/>
          <w:lang w:val="fr-FR"/>
        </w:rPr>
        <w:t>«</w:t>
      </w:r>
      <w:r w:rsidR="004F0147">
        <w:rPr>
          <w:snapToGrid w:val="0"/>
          <w:lang w:val="fr-FR"/>
        </w:rPr>
        <w:t xml:space="preserve">Nous </w:t>
      </w:r>
      <w:r w:rsidR="004F0147" w:rsidRPr="004F0147">
        <w:rPr>
          <w:snapToGrid w:val="0"/>
          <w:lang w:val="fr-FR"/>
        </w:rPr>
        <w:t xml:space="preserve">établirons une commission pour étudier la création d'une </w:t>
      </w:r>
      <w:r w:rsidR="00460D92">
        <w:rPr>
          <w:snapToGrid w:val="0"/>
          <w:lang w:val="fr-FR"/>
        </w:rPr>
        <w:t>charte</w:t>
      </w:r>
      <w:r w:rsidR="004F0147" w:rsidRPr="004F0147">
        <w:rPr>
          <w:snapToGrid w:val="0"/>
          <w:lang w:val="fr-FR"/>
        </w:rPr>
        <w:t xml:space="preserve"> des droits qui incorpore et </w:t>
      </w:r>
      <w:r w:rsidR="00460D92">
        <w:rPr>
          <w:snapToGrid w:val="0"/>
          <w:lang w:val="fr-FR"/>
        </w:rPr>
        <w:t>s’appuie</w:t>
      </w:r>
      <w:r w:rsidR="004F0147" w:rsidRPr="004F0147">
        <w:rPr>
          <w:snapToGrid w:val="0"/>
          <w:lang w:val="fr-FR"/>
        </w:rPr>
        <w:t xml:space="preserve"> sur tou</w:t>
      </w:r>
      <w:r w:rsidR="00460D92">
        <w:rPr>
          <w:snapToGrid w:val="0"/>
          <w:lang w:val="fr-FR"/>
        </w:rPr>
        <w:t>te</w:t>
      </w:r>
      <w:r w:rsidR="004F0147" w:rsidRPr="004F0147">
        <w:rPr>
          <w:snapToGrid w:val="0"/>
          <w:lang w:val="fr-FR"/>
        </w:rPr>
        <w:t xml:space="preserve">s nos </w:t>
      </w:r>
      <w:r w:rsidR="00460D92">
        <w:rPr>
          <w:snapToGrid w:val="0"/>
          <w:lang w:val="fr-FR"/>
        </w:rPr>
        <w:t>obligations découlant de la C</w:t>
      </w:r>
      <w:r w:rsidR="004F0147" w:rsidRPr="004F0147">
        <w:rPr>
          <w:snapToGrid w:val="0"/>
          <w:lang w:val="fr-FR"/>
        </w:rPr>
        <w:t xml:space="preserve">onvention européenne des droits de </w:t>
      </w:r>
      <w:r w:rsidR="00460D92">
        <w:rPr>
          <w:snapToGrid w:val="0"/>
          <w:lang w:val="fr-FR"/>
        </w:rPr>
        <w:t>l'homme, veille à ce que ces droit</w:t>
      </w:r>
      <w:r w:rsidR="004F0147" w:rsidRPr="004F0147">
        <w:rPr>
          <w:snapToGrid w:val="0"/>
          <w:lang w:val="fr-FR"/>
        </w:rPr>
        <w:t xml:space="preserve">s continuent </w:t>
      </w:r>
      <w:r w:rsidR="00460D92">
        <w:rPr>
          <w:snapToGrid w:val="0"/>
          <w:lang w:val="fr-FR"/>
        </w:rPr>
        <w:t>d’</w:t>
      </w:r>
      <w:r w:rsidR="004F0147" w:rsidRPr="004F0147">
        <w:rPr>
          <w:snapToGrid w:val="0"/>
          <w:lang w:val="fr-FR"/>
        </w:rPr>
        <w:t xml:space="preserve">être </w:t>
      </w:r>
      <w:r w:rsidR="00460D92">
        <w:rPr>
          <w:snapToGrid w:val="0"/>
          <w:lang w:val="fr-FR"/>
        </w:rPr>
        <w:t>consacrés par la législation britannique</w:t>
      </w:r>
      <w:r w:rsidR="004F0147" w:rsidRPr="004F0147">
        <w:rPr>
          <w:snapToGrid w:val="0"/>
          <w:lang w:val="fr-FR"/>
        </w:rPr>
        <w:t xml:space="preserve"> et protège et </w:t>
      </w:r>
      <w:r w:rsidR="00460D92">
        <w:rPr>
          <w:snapToGrid w:val="0"/>
          <w:lang w:val="fr-FR"/>
        </w:rPr>
        <w:t>renforce</w:t>
      </w:r>
      <w:r w:rsidR="004F0147" w:rsidRPr="004F0147">
        <w:rPr>
          <w:snapToGrid w:val="0"/>
          <w:lang w:val="fr-FR"/>
        </w:rPr>
        <w:t xml:space="preserve"> </w:t>
      </w:r>
      <w:r w:rsidR="00460D92">
        <w:rPr>
          <w:snapToGrid w:val="0"/>
          <w:lang w:val="fr-FR"/>
        </w:rPr>
        <w:t>l</w:t>
      </w:r>
      <w:r w:rsidR="004F0147" w:rsidRPr="004F0147">
        <w:rPr>
          <w:snapToGrid w:val="0"/>
          <w:lang w:val="fr-FR"/>
        </w:rPr>
        <w:t>es libertés</w:t>
      </w:r>
      <w:r w:rsidR="00460D92">
        <w:rPr>
          <w:snapToGrid w:val="0"/>
          <w:lang w:val="fr-FR"/>
        </w:rPr>
        <w:t xml:space="preserve"> britanniques</w:t>
      </w:r>
      <w:r w:rsidR="004F0147" w:rsidRPr="004F0147">
        <w:rPr>
          <w:snapToGrid w:val="0"/>
          <w:lang w:val="fr-FR"/>
        </w:rPr>
        <w:t xml:space="preserve">. Nous </w:t>
      </w:r>
      <w:r w:rsidR="00460D92">
        <w:rPr>
          <w:snapToGrid w:val="0"/>
          <w:lang w:val="fr-FR"/>
        </w:rPr>
        <w:t>nous emploierons à promouvoir une meilleure compréhension</w:t>
      </w:r>
      <w:r w:rsidR="004F0147" w:rsidRPr="004F0147">
        <w:rPr>
          <w:snapToGrid w:val="0"/>
          <w:lang w:val="fr-FR"/>
        </w:rPr>
        <w:t xml:space="preserve"> de la portée </w:t>
      </w:r>
      <w:r w:rsidR="00460D92">
        <w:rPr>
          <w:snapToGrid w:val="0"/>
          <w:lang w:val="fr-FR"/>
        </w:rPr>
        <w:t>réelle</w:t>
      </w:r>
      <w:r w:rsidR="004F0147" w:rsidRPr="004F0147">
        <w:rPr>
          <w:snapToGrid w:val="0"/>
          <w:lang w:val="fr-FR"/>
        </w:rPr>
        <w:t xml:space="preserve"> de ces </w:t>
      </w:r>
      <w:r w:rsidR="00460D92">
        <w:rPr>
          <w:snapToGrid w:val="0"/>
          <w:lang w:val="fr-FR"/>
        </w:rPr>
        <w:t>obligations</w:t>
      </w:r>
      <w:r w:rsidR="004F0147" w:rsidRPr="004F0147">
        <w:rPr>
          <w:snapToGrid w:val="0"/>
          <w:lang w:val="fr-FR"/>
        </w:rPr>
        <w:t xml:space="preserve"> et libertés</w:t>
      </w:r>
      <w:r w:rsidR="00CD0110">
        <w:rPr>
          <w:snapToGrid w:val="0"/>
          <w:lang w:val="fr-FR"/>
        </w:rPr>
        <w:t>»</w:t>
      </w:r>
      <w:r w:rsidR="000B562B" w:rsidRPr="00A176EA">
        <w:rPr>
          <w:lang w:val="fr-FR"/>
        </w:rPr>
        <w:t>.</w:t>
      </w:r>
    </w:p>
    <w:p w:rsidR="000B562B" w:rsidRPr="00A176EA" w:rsidRDefault="002549A9" w:rsidP="002E263A">
      <w:pPr>
        <w:pStyle w:val="SingleTxtG"/>
        <w:rPr>
          <w:lang w:val="fr-FR"/>
        </w:rPr>
      </w:pPr>
      <w:r w:rsidRPr="00A176EA">
        <w:rPr>
          <w:lang w:val="fr-FR"/>
        </w:rPr>
        <w:t>756.</w:t>
      </w:r>
      <w:r w:rsidRPr="00A176EA">
        <w:rPr>
          <w:lang w:val="fr-FR"/>
        </w:rPr>
        <w:tab/>
      </w:r>
      <w:r w:rsidR="002E263A">
        <w:rPr>
          <w:lang w:val="fr-FR"/>
        </w:rPr>
        <w:t>Le Ministère de la justice britannique est responsable de la politique de la Commission proposée. Les décisions concernant la date précise de création, la portée et la composition de la Commission seront prises en temps utile</w:t>
      </w:r>
      <w:r w:rsidR="000B562B" w:rsidRPr="00A176EA">
        <w:rPr>
          <w:lang w:val="fr-FR"/>
        </w:rPr>
        <w:t>.</w:t>
      </w:r>
    </w:p>
    <w:p w:rsidR="000B562B" w:rsidRPr="00A176EA" w:rsidRDefault="00D069AB" w:rsidP="00434B45">
      <w:pPr>
        <w:pStyle w:val="H23G"/>
        <w:rPr>
          <w:lang w:val="fr-FR"/>
        </w:rPr>
      </w:pPr>
      <w:r>
        <w:rPr>
          <w:lang w:val="fr-FR"/>
        </w:rPr>
        <w:t xml:space="preserve">Mesure de 2011 relative aux droits des enfants et des jeunes </w:t>
      </w:r>
      <w:r w:rsidR="000B562B" w:rsidRPr="00A176EA">
        <w:rPr>
          <w:lang w:val="fr-FR"/>
        </w:rPr>
        <w:t>(</w:t>
      </w:r>
      <w:r>
        <w:rPr>
          <w:lang w:val="fr-FR"/>
        </w:rPr>
        <w:t>p</w:t>
      </w:r>
      <w:r w:rsidR="005601A1">
        <w:rPr>
          <w:lang w:val="fr-FR"/>
        </w:rPr>
        <w:t>ays de Galles</w:t>
      </w:r>
      <w:r w:rsidR="000B562B" w:rsidRPr="00A176EA">
        <w:rPr>
          <w:lang w:val="fr-FR"/>
        </w:rPr>
        <w:t xml:space="preserve">) </w:t>
      </w:r>
    </w:p>
    <w:p w:rsidR="000B562B" w:rsidRPr="00A176EA" w:rsidRDefault="002549A9" w:rsidP="00A01CCC">
      <w:pPr>
        <w:pStyle w:val="SingleTxtG"/>
        <w:rPr>
          <w:lang w:val="fr-FR"/>
        </w:rPr>
      </w:pPr>
      <w:r w:rsidRPr="00A176EA">
        <w:rPr>
          <w:lang w:val="fr-FR"/>
        </w:rPr>
        <w:t>757.</w:t>
      </w:r>
      <w:r w:rsidRPr="00A176EA">
        <w:rPr>
          <w:lang w:val="fr-FR"/>
        </w:rPr>
        <w:tab/>
      </w:r>
      <w:r w:rsidR="00A01CCC">
        <w:rPr>
          <w:lang w:val="fr-FR"/>
        </w:rPr>
        <w:t xml:space="preserve">La Mesure relative aux droits des enfants est des jeunes a reçu la sanction royale en mars 2011. Elle fait obligation aux Ministres et au Premier Ministre gallois de tenir dûment compte des droits et des obligations découlant de la Convention des Nations Unies relative aux droits de l’enfant et </w:t>
      </w:r>
      <w:r w:rsidR="00057541">
        <w:rPr>
          <w:lang w:val="fr-FR"/>
        </w:rPr>
        <w:t xml:space="preserve">de </w:t>
      </w:r>
      <w:r w:rsidR="00A01CCC">
        <w:rPr>
          <w:lang w:val="fr-FR"/>
        </w:rPr>
        <w:t>ses Protocoles facultatifs lorsqu’il</w:t>
      </w:r>
      <w:r w:rsidR="00057541">
        <w:rPr>
          <w:lang w:val="fr-FR"/>
        </w:rPr>
        <w:t>s</w:t>
      </w:r>
      <w:r w:rsidR="00A01CCC">
        <w:rPr>
          <w:lang w:val="fr-FR"/>
        </w:rPr>
        <w:t xml:space="preserve"> pren</w:t>
      </w:r>
      <w:r w:rsidR="00057541">
        <w:rPr>
          <w:lang w:val="fr-FR"/>
        </w:rPr>
        <w:t>nent</w:t>
      </w:r>
      <w:r w:rsidR="00A01CCC">
        <w:rPr>
          <w:lang w:val="fr-FR"/>
        </w:rPr>
        <w:t xml:space="preserve"> des décisions politiques à caractère stratégique</w:t>
      </w:r>
      <w:r w:rsidR="000B562B" w:rsidRPr="00A176EA">
        <w:rPr>
          <w:lang w:val="fr-FR"/>
        </w:rPr>
        <w:t>.</w:t>
      </w:r>
    </w:p>
    <w:p w:rsidR="000B562B" w:rsidRPr="00A176EA" w:rsidRDefault="002549A9" w:rsidP="003035BB">
      <w:pPr>
        <w:pStyle w:val="SingleTxtG"/>
        <w:rPr>
          <w:lang w:val="fr-FR"/>
        </w:rPr>
      </w:pPr>
      <w:r w:rsidRPr="00A176EA">
        <w:rPr>
          <w:lang w:val="fr-FR"/>
        </w:rPr>
        <w:t>758.</w:t>
      </w:r>
      <w:r w:rsidRPr="00A176EA">
        <w:rPr>
          <w:lang w:val="fr-FR"/>
        </w:rPr>
        <w:tab/>
      </w:r>
      <w:r w:rsidR="00A01CCC">
        <w:rPr>
          <w:lang w:val="fr-FR"/>
        </w:rPr>
        <w:t xml:space="preserve">La Mesure imposera aux Ministres gallois d’élaborer un plan pour les enfants et de remettre des rapports sur le respect de son obligation de tenir dûment compte de la Convention et de ses Protocoles facultatifs, ainsi que de promouvoir la compréhension de </w:t>
      </w:r>
      <w:r w:rsidR="002C7A9F">
        <w:rPr>
          <w:lang w:val="fr-FR"/>
        </w:rPr>
        <w:t>la</w:t>
      </w:r>
      <w:r w:rsidR="00A01CCC">
        <w:rPr>
          <w:lang w:val="fr-FR"/>
        </w:rPr>
        <w:t xml:space="preserve"> Convention </w:t>
      </w:r>
      <w:r w:rsidR="003035BB">
        <w:rPr>
          <w:lang w:val="fr-FR"/>
        </w:rPr>
        <w:t>et de modifier la législation afin de donner davantage effet à la Convention et à ses Protocoles facultatifs</w:t>
      </w:r>
      <w:r w:rsidR="000B562B" w:rsidRPr="00A176EA">
        <w:rPr>
          <w:lang w:val="fr-FR"/>
        </w:rPr>
        <w:t>.</w:t>
      </w:r>
    </w:p>
    <w:p w:rsidR="000B562B" w:rsidRPr="00A176EA" w:rsidRDefault="002549A9" w:rsidP="003035BB">
      <w:pPr>
        <w:pStyle w:val="SingleTxtG"/>
        <w:rPr>
          <w:lang w:val="fr-FR"/>
        </w:rPr>
      </w:pPr>
      <w:r w:rsidRPr="00A176EA">
        <w:rPr>
          <w:lang w:val="fr-FR"/>
        </w:rPr>
        <w:t>759.</w:t>
      </w:r>
      <w:r w:rsidRPr="00A176EA">
        <w:rPr>
          <w:lang w:val="fr-FR"/>
        </w:rPr>
        <w:tab/>
      </w:r>
      <w:r w:rsidR="003035BB">
        <w:rPr>
          <w:lang w:val="fr-FR"/>
        </w:rPr>
        <w:t>La Mesure vise à intégrer les principes de la Convention dans la législation pour le bénéfice des enfants gallois</w:t>
      </w:r>
      <w:r w:rsidR="000B562B" w:rsidRPr="00A176EA">
        <w:rPr>
          <w:lang w:val="fr-FR"/>
        </w:rPr>
        <w:t>.</w:t>
      </w:r>
    </w:p>
    <w:p w:rsidR="000B562B" w:rsidRPr="00A176EA" w:rsidRDefault="00734854" w:rsidP="00434B45">
      <w:pPr>
        <w:pStyle w:val="H23G"/>
        <w:rPr>
          <w:lang w:val="fr-FR"/>
        </w:rPr>
      </w:pPr>
      <w:r w:rsidRPr="003035BB">
        <w:rPr>
          <w:lang w:val="fr-FR"/>
        </w:rPr>
        <w:t>Projet de loi sur la liberté</w:t>
      </w:r>
    </w:p>
    <w:p w:rsidR="000B562B" w:rsidRPr="00A176EA" w:rsidRDefault="002549A9" w:rsidP="000E3153">
      <w:pPr>
        <w:pStyle w:val="SingleTxtG"/>
        <w:rPr>
          <w:lang w:val="fr-FR"/>
        </w:rPr>
      </w:pPr>
      <w:r w:rsidRPr="00A176EA">
        <w:rPr>
          <w:lang w:val="fr-FR"/>
        </w:rPr>
        <w:t>760.</w:t>
      </w:r>
      <w:r w:rsidRPr="00A176EA">
        <w:rPr>
          <w:lang w:val="fr-FR"/>
        </w:rPr>
        <w:tab/>
      </w:r>
      <w:r w:rsidR="003035BB">
        <w:rPr>
          <w:lang w:val="fr-FR"/>
        </w:rPr>
        <w:t>L</w:t>
      </w:r>
      <w:r w:rsidR="000B562B" w:rsidRPr="00A176EA">
        <w:rPr>
          <w:lang w:val="fr-FR"/>
        </w:rPr>
        <w:t>e Go</w:t>
      </w:r>
      <w:r w:rsidR="003035BB">
        <w:rPr>
          <w:lang w:val="fr-FR"/>
        </w:rPr>
        <w:t>u</w:t>
      </w:r>
      <w:r w:rsidR="000B562B" w:rsidRPr="00A176EA">
        <w:rPr>
          <w:lang w:val="fr-FR"/>
        </w:rPr>
        <w:t>vern</w:t>
      </w:r>
      <w:r w:rsidR="003035BB">
        <w:rPr>
          <w:lang w:val="fr-FR"/>
        </w:rPr>
        <w:t>e</w:t>
      </w:r>
      <w:r w:rsidR="000B562B" w:rsidRPr="00A176EA">
        <w:rPr>
          <w:lang w:val="fr-FR"/>
        </w:rPr>
        <w:t xml:space="preserve">ment </w:t>
      </w:r>
      <w:r w:rsidR="003035BB">
        <w:rPr>
          <w:lang w:val="fr-FR"/>
        </w:rPr>
        <w:t xml:space="preserve">s’est par ailleurs engager à présenter un projet de loi sur la liberté. Ce projet de loi comprendra des dispositions pour empêcher un recours abusif à la législation </w:t>
      </w:r>
      <w:r w:rsidR="002C7A9F">
        <w:rPr>
          <w:lang w:val="fr-FR"/>
        </w:rPr>
        <w:t>sur la</w:t>
      </w:r>
      <w:r w:rsidR="003035BB">
        <w:rPr>
          <w:lang w:val="fr-FR"/>
        </w:rPr>
        <w:t xml:space="preserve"> lutte contre le terrorisme, réglement</w:t>
      </w:r>
      <w:r w:rsidR="000E3153">
        <w:rPr>
          <w:lang w:val="fr-FR"/>
        </w:rPr>
        <w:t>er</w:t>
      </w:r>
      <w:r w:rsidR="003035BB">
        <w:rPr>
          <w:lang w:val="fr-FR"/>
        </w:rPr>
        <w:t xml:space="preserve"> l’utilisation de la télévision en circuit fermé et </w:t>
      </w:r>
      <w:r w:rsidR="000E3153">
        <w:rPr>
          <w:lang w:val="fr-FR"/>
        </w:rPr>
        <w:t xml:space="preserve">renforcer la protection de la base nationale de données ADN. Le projet de loi devrait être déposé au Parlement en </w:t>
      </w:r>
      <w:r w:rsidR="000B562B" w:rsidRPr="00A176EA">
        <w:rPr>
          <w:lang w:val="fr-FR"/>
        </w:rPr>
        <w:t>2011.</w:t>
      </w:r>
    </w:p>
    <w:p w:rsidR="000B562B" w:rsidRPr="000E3153" w:rsidRDefault="00734854" w:rsidP="00434B45">
      <w:pPr>
        <w:pStyle w:val="H23G"/>
        <w:rPr>
          <w:szCs w:val="24"/>
          <w:lang w:val="fr-FR"/>
        </w:rPr>
      </w:pPr>
      <w:r w:rsidRPr="000E3153">
        <w:rPr>
          <w:lang w:val="fr-FR"/>
        </w:rPr>
        <w:t>Aide juridictionnelle, indemnisation et réadaptation</w:t>
      </w:r>
    </w:p>
    <w:p w:rsidR="000B562B" w:rsidRPr="00A176EA" w:rsidRDefault="00734854" w:rsidP="00434B45">
      <w:pPr>
        <w:pStyle w:val="H23G"/>
        <w:rPr>
          <w:lang w:val="fr-FR"/>
        </w:rPr>
      </w:pPr>
      <w:r w:rsidRPr="000E3153">
        <w:rPr>
          <w:lang w:val="fr-FR"/>
        </w:rPr>
        <w:t>Aide juridictionnelle</w:t>
      </w:r>
    </w:p>
    <w:p w:rsidR="000B562B" w:rsidRPr="00A176EA" w:rsidRDefault="002549A9" w:rsidP="004C78C6">
      <w:pPr>
        <w:pStyle w:val="SingleTxtG"/>
        <w:rPr>
          <w:snapToGrid w:val="0"/>
          <w:lang w:val="fr-FR"/>
        </w:rPr>
      </w:pPr>
      <w:r w:rsidRPr="00A176EA">
        <w:rPr>
          <w:snapToGrid w:val="0"/>
          <w:lang w:val="fr-FR"/>
        </w:rPr>
        <w:t>761.</w:t>
      </w:r>
      <w:r w:rsidRPr="00A176EA">
        <w:rPr>
          <w:snapToGrid w:val="0"/>
          <w:lang w:val="fr-FR"/>
        </w:rPr>
        <w:tab/>
      </w:r>
      <w:r w:rsidR="000172C9">
        <w:rPr>
          <w:snapToGrid w:val="0"/>
          <w:lang w:val="fr-FR"/>
        </w:rPr>
        <w:t xml:space="preserve">Dans les trois juridictions du Royaume-Uni, un système permet à une personne qui a besoin de conseils juridiques ou de se faire représenter en justice de bénéficier d’une aide financière prise en charge par le budget de l’État. Ce système d’aide juridictionnelle est essentiel pour garantir les droits juridiques de chaque individu. Cette aide s’adresse aux personnes ayant des revenus faibles ou modestes et prend en charge tout ou partie des frais de justice. Lorsque l’aide juridictionnelle est accordée, l’affaire suit normalement son cours, mais </w:t>
      </w:r>
      <w:r w:rsidR="004805F4">
        <w:rPr>
          <w:snapToGrid w:val="0"/>
          <w:lang w:val="fr-FR"/>
        </w:rPr>
        <w:t>l’intéressé</w:t>
      </w:r>
      <w:r w:rsidR="000172C9">
        <w:rPr>
          <w:snapToGrid w:val="0"/>
          <w:lang w:val="fr-FR"/>
        </w:rPr>
        <w:t xml:space="preserve"> ne verse aucune somme d’argent à son avocat, tous les frais étant </w:t>
      </w:r>
      <w:r w:rsidR="00881ED7">
        <w:rPr>
          <w:snapToGrid w:val="0"/>
          <w:lang w:val="fr-FR"/>
        </w:rPr>
        <w:t>pris en charge</w:t>
      </w:r>
      <w:r w:rsidR="000172C9">
        <w:rPr>
          <w:snapToGrid w:val="0"/>
          <w:lang w:val="fr-FR"/>
        </w:rPr>
        <w:t xml:space="preserve"> par le fonds d’aide juridictionnelle. </w:t>
      </w:r>
      <w:r w:rsidR="004C78C6" w:rsidRPr="004C78C6">
        <w:rPr>
          <w:snapToGrid w:val="0"/>
          <w:lang w:val="fr-FR"/>
        </w:rPr>
        <w:t xml:space="preserve">Cette aide relève du Lord </w:t>
      </w:r>
      <w:r w:rsidR="000B43D6">
        <w:rPr>
          <w:lang w:val="fr-FR"/>
        </w:rPr>
        <w:t>Chancelier</w:t>
      </w:r>
      <w:r w:rsidR="004C78C6" w:rsidRPr="004C78C6">
        <w:rPr>
          <w:snapToGrid w:val="0"/>
          <w:lang w:val="fr-FR"/>
        </w:rPr>
        <w:t xml:space="preserve"> </w:t>
      </w:r>
      <w:r w:rsidR="00881ED7">
        <w:rPr>
          <w:snapToGrid w:val="0"/>
          <w:lang w:val="fr-FR"/>
        </w:rPr>
        <w:t>e</w:t>
      </w:r>
      <w:r w:rsidR="004C78C6" w:rsidRPr="004C78C6">
        <w:rPr>
          <w:snapToGrid w:val="0"/>
          <w:lang w:val="fr-FR"/>
        </w:rPr>
        <w:t xml:space="preserve">n Angleterre et au pays de Galles, et des ministres en </w:t>
      </w:r>
      <w:r w:rsidR="00FD2CE1" w:rsidRPr="004C78C6">
        <w:rPr>
          <w:lang w:val="fr-FR"/>
        </w:rPr>
        <w:t>Écosse</w:t>
      </w:r>
      <w:r w:rsidR="000B562B" w:rsidRPr="004C78C6">
        <w:rPr>
          <w:snapToGrid w:val="0"/>
          <w:lang w:val="fr-FR"/>
        </w:rPr>
        <w:t>.</w:t>
      </w:r>
    </w:p>
    <w:p w:rsidR="000B562B" w:rsidRPr="00A176EA" w:rsidRDefault="002549A9" w:rsidP="00434B45">
      <w:pPr>
        <w:pStyle w:val="SingleTxtG"/>
        <w:rPr>
          <w:snapToGrid w:val="0"/>
          <w:lang w:val="fr-FR"/>
        </w:rPr>
      </w:pPr>
      <w:r w:rsidRPr="00A176EA">
        <w:rPr>
          <w:snapToGrid w:val="0"/>
          <w:lang w:val="fr-FR"/>
        </w:rPr>
        <w:t>762.</w:t>
      </w:r>
      <w:r w:rsidRPr="00A176EA">
        <w:rPr>
          <w:snapToGrid w:val="0"/>
          <w:lang w:val="fr-FR"/>
        </w:rPr>
        <w:tab/>
      </w:r>
      <w:r w:rsidR="004C78C6" w:rsidRPr="004C78C6">
        <w:rPr>
          <w:snapToGrid w:val="0"/>
          <w:lang w:val="fr-FR"/>
        </w:rPr>
        <w:t>En Angleterre et au pays de Galles, la Commission des services juridiques gère l’aide juridi</w:t>
      </w:r>
      <w:r w:rsidR="000F6D56">
        <w:rPr>
          <w:snapToGrid w:val="0"/>
          <w:lang w:val="fr-FR"/>
        </w:rPr>
        <w:t>ctionnelle</w:t>
      </w:r>
      <w:r w:rsidR="004C78C6" w:rsidRPr="004C78C6">
        <w:rPr>
          <w:snapToGrid w:val="0"/>
          <w:lang w:val="fr-FR"/>
        </w:rPr>
        <w:t xml:space="preserve">, qui est confiée à deux services distincts, le Service juridique communautaire </w:t>
      </w:r>
      <w:r w:rsidR="000F6D56">
        <w:rPr>
          <w:snapToGrid w:val="0"/>
          <w:lang w:val="fr-FR"/>
        </w:rPr>
        <w:t xml:space="preserve">(en matière civile) </w:t>
      </w:r>
      <w:r w:rsidR="004C78C6" w:rsidRPr="004C78C6">
        <w:rPr>
          <w:snapToGrid w:val="0"/>
          <w:lang w:val="fr-FR"/>
        </w:rPr>
        <w:t>et le Service de défense pénale</w:t>
      </w:r>
      <w:r w:rsidR="000B562B" w:rsidRPr="00A176EA">
        <w:rPr>
          <w:snapToGrid w:val="0"/>
          <w:lang w:val="fr-FR"/>
        </w:rPr>
        <w:t>.</w:t>
      </w:r>
    </w:p>
    <w:p w:rsidR="000B562B" w:rsidRPr="00A176EA" w:rsidRDefault="002549A9" w:rsidP="003025CE">
      <w:pPr>
        <w:pStyle w:val="SingleTxtG"/>
        <w:rPr>
          <w:snapToGrid w:val="0"/>
          <w:lang w:val="fr-FR"/>
        </w:rPr>
      </w:pPr>
      <w:r w:rsidRPr="00A176EA">
        <w:rPr>
          <w:snapToGrid w:val="0"/>
          <w:lang w:val="fr-FR"/>
        </w:rPr>
        <w:t>763.</w:t>
      </w:r>
      <w:r w:rsidRPr="00A176EA">
        <w:rPr>
          <w:snapToGrid w:val="0"/>
          <w:lang w:val="fr-FR"/>
        </w:rPr>
        <w:tab/>
      </w:r>
      <w:r w:rsidR="000F6D56">
        <w:rPr>
          <w:snapToGrid w:val="0"/>
          <w:lang w:val="fr-FR"/>
        </w:rPr>
        <w:t>S’agissant du Service juridique communautaire, un réseau d’organismes sous contrat fournit les services juridiques en matière civile. Les règles relatives à la fourniture</w:t>
      </w:r>
      <w:r w:rsidR="005E5025">
        <w:rPr>
          <w:snapToGrid w:val="0"/>
          <w:lang w:val="fr-FR"/>
        </w:rPr>
        <w:t xml:space="preserve"> de l’aide juridictionnelle au civil figurent principalement dans la loi de 1999 sur l’accès à la justice et dans le Code de financement qu’elle a créé. Un individu ne peut bénéficier d’une aide financière que si l’affaire relève du champ d’application du système et après examen de</w:t>
      </w:r>
      <w:r w:rsidR="00881ED7">
        <w:rPr>
          <w:snapToGrid w:val="0"/>
          <w:lang w:val="fr-FR"/>
        </w:rPr>
        <w:t xml:space="preserve"> se</w:t>
      </w:r>
      <w:r w:rsidR="005E5025">
        <w:rPr>
          <w:snapToGrid w:val="0"/>
          <w:lang w:val="fr-FR"/>
        </w:rPr>
        <w:t>s ressources et du bien-fondé de l’affaire. Outre l’aide juridique qu’elle fournit, la Commission des services juridiques met à</w:t>
      </w:r>
      <w:r w:rsidR="003025CE">
        <w:rPr>
          <w:snapToGrid w:val="0"/>
          <w:lang w:val="fr-FR"/>
        </w:rPr>
        <w:t xml:space="preserve"> la disposition du public une ligne téléphonique qui dispense des conseils juridiques gratuits, confidentiels et indépendants</w:t>
      </w:r>
      <w:r w:rsidR="000B562B" w:rsidRPr="00A176EA">
        <w:rPr>
          <w:snapToGrid w:val="0"/>
          <w:lang w:val="fr-FR"/>
        </w:rPr>
        <w:t>.</w:t>
      </w:r>
    </w:p>
    <w:p w:rsidR="000B562B" w:rsidRPr="00A176EA" w:rsidRDefault="002549A9" w:rsidP="006A4FDD">
      <w:pPr>
        <w:pStyle w:val="SingleTxtG"/>
        <w:rPr>
          <w:snapToGrid w:val="0"/>
          <w:lang w:val="fr-FR"/>
        </w:rPr>
      </w:pPr>
      <w:r w:rsidRPr="00A176EA">
        <w:rPr>
          <w:snapToGrid w:val="0"/>
          <w:lang w:val="fr-FR"/>
        </w:rPr>
        <w:t>764.</w:t>
      </w:r>
      <w:r w:rsidRPr="00A176EA">
        <w:rPr>
          <w:snapToGrid w:val="0"/>
          <w:lang w:val="fr-FR"/>
        </w:rPr>
        <w:tab/>
      </w:r>
      <w:r w:rsidR="003025CE">
        <w:rPr>
          <w:snapToGrid w:val="0"/>
          <w:lang w:val="fr-FR"/>
        </w:rPr>
        <w:t xml:space="preserve">Le Service de défense pénale </w:t>
      </w:r>
      <w:r w:rsidR="003025CE" w:rsidRPr="003025CE">
        <w:rPr>
          <w:snapToGrid w:val="0"/>
          <w:lang w:val="fr-FR"/>
        </w:rPr>
        <w:t>fournit une aide jurid</w:t>
      </w:r>
      <w:r w:rsidR="003025CE">
        <w:rPr>
          <w:snapToGrid w:val="0"/>
          <w:lang w:val="fr-FR"/>
        </w:rPr>
        <w:t>ictionnell</w:t>
      </w:r>
      <w:r w:rsidR="003025CE" w:rsidRPr="003025CE">
        <w:rPr>
          <w:snapToGrid w:val="0"/>
          <w:lang w:val="fr-FR"/>
        </w:rPr>
        <w:t xml:space="preserve">e aux personnes qui font l’objet d’une enquête ou d’une procédure pénale. Le tribunal saisi de l’affaire détermine </w:t>
      </w:r>
      <w:r w:rsidR="003025CE">
        <w:rPr>
          <w:snapToGrid w:val="0"/>
          <w:lang w:val="fr-FR"/>
        </w:rPr>
        <w:t xml:space="preserve">si </w:t>
      </w:r>
      <w:r w:rsidR="00881ED7">
        <w:rPr>
          <w:snapToGrid w:val="0"/>
          <w:lang w:val="fr-FR"/>
        </w:rPr>
        <w:t>l’intéressé</w:t>
      </w:r>
      <w:r w:rsidR="003025CE">
        <w:rPr>
          <w:snapToGrid w:val="0"/>
          <w:lang w:val="fr-FR"/>
        </w:rPr>
        <w:t xml:space="preserve"> remplit les</w:t>
      </w:r>
      <w:r w:rsidR="003025CE" w:rsidRPr="003025CE">
        <w:rPr>
          <w:snapToGrid w:val="0"/>
          <w:lang w:val="fr-FR"/>
        </w:rPr>
        <w:t xml:space="preserve"> conditions pour bénéficier </w:t>
      </w:r>
      <w:r w:rsidR="003025CE">
        <w:rPr>
          <w:snapToGrid w:val="0"/>
          <w:lang w:val="fr-FR"/>
        </w:rPr>
        <w:t>de cette</w:t>
      </w:r>
      <w:r w:rsidR="003025CE" w:rsidRPr="003025CE">
        <w:rPr>
          <w:snapToGrid w:val="0"/>
          <w:lang w:val="fr-FR"/>
        </w:rPr>
        <w:t xml:space="preserve"> aide. S’il s’agit </w:t>
      </w:r>
      <w:r w:rsidR="003025CE">
        <w:rPr>
          <w:snapToGrid w:val="0"/>
          <w:lang w:val="fr-FR"/>
        </w:rPr>
        <w:t>d’un</w:t>
      </w:r>
      <w:r w:rsidR="003025CE" w:rsidRPr="003025CE">
        <w:rPr>
          <w:snapToGrid w:val="0"/>
          <w:lang w:val="fr-FR"/>
        </w:rPr>
        <w:t xml:space="preserve"> </w:t>
      </w:r>
      <w:r w:rsidR="00000CC2">
        <w:rPr>
          <w:snapToGrid w:val="0"/>
          <w:lang w:val="fr-FR"/>
        </w:rPr>
        <w:t>Tribunal d’instance</w:t>
      </w:r>
      <w:r w:rsidR="003025CE" w:rsidRPr="003025CE">
        <w:rPr>
          <w:snapToGrid w:val="0"/>
          <w:lang w:val="fr-FR"/>
        </w:rPr>
        <w:t xml:space="preserve">, </w:t>
      </w:r>
      <w:r w:rsidR="00881ED7">
        <w:rPr>
          <w:snapToGrid w:val="0"/>
          <w:lang w:val="fr-FR"/>
        </w:rPr>
        <w:t>il</w:t>
      </w:r>
      <w:r w:rsidR="003025CE" w:rsidRPr="003025CE">
        <w:rPr>
          <w:snapToGrid w:val="0"/>
          <w:lang w:val="fr-FR"/>
        </w:rPr>
        <w:t xml:space="preserve"> ne peut bénéficier de l’aide </w:t>
      </w:r>
      <w:r w:rsidR="003025CE">
        <w:rPr>
          <w:snapToGrid w:val="0"/>
          <w:lang w:val="fr-FR"/>
        </w:rPr>
        <w:t>juridictionnelle</w:t>
      </w:r>
      <w:r w:rsidR="003025CE" w:rsidRPr="003025CE">
        <w:rPr>
          <w:snapToGrid w:val="0"/>
          <w:lang w:val="fr-FR"/>
        </w:rPr>
        <w:t xml:space="preserve"> qu’après examen de ses ressources financières et si cela répond à l’intérêt de la justice.</w:t>
      </w:r>
      <w:r w:rsidR="003025CE">
        <w:rPr>
          <w:snapToGrid w:val="0"/>
          <w:lang w:val="fr-FR"/>
        </w:rPr>
        <w:t xml:space="preserve"> S’il s’agit </w:t>
      </w:r>
      <w:r w:rsidR="00603914">
        <w:rPr>
          <w:snapToGrid w:val="0"/>
          <w:lang w:val="fr-FR"/>
        </w:rPr>
        <w:t>de la</w:t>
      </w:r>
      <w:r w:rsidR="003025CE">
        <w:rPr>
          <w:snapToGrid w:val="0"/>
          <w:lang w:val="fr-FR"/>
        </w:rPr>
        <w:t xml:space="preserve"> </w:t>
      </w:r>
      <w:r w:rsidR="00245A8E">
        <w:rPr>
          <w:lang w:val="fr-FR"/>
        </w:rPr>
        <w:t>Cour de la Couronne</w:t>
      </w:r>
      <w:r w:rsidR="003025CE" w:rsidRPr="003025CE">
        <w:rPr>
          <w:snapToGrid w:val="0"/>
          <w:lang w:val="fr-FR"/>
        </w:rPr>
        <w:t>, seul l’intérêt de la justice est pris en compte</w:t>
      </w:r>
      <w:r w:rsidR="003025CE">
        <w:rPr>
          <w:snapToGrid w:val="0"/>
          <w:lang w:val="fr-FR"/>
        </w:rPr>
        <w:t xml:space="preserve">. Devant un </w:t>
      </w:r>
      <w:r w:rsidR="00000CC2">
        <w:rPr>
          <w:snapToGrid w:val="0"/>
          <w:lang w:val="fr-FR"/>
        </w:rPr>
        <w:t>Tribunal d’instance</w:t>
      </w:r>
      <w:r w:rsidR="003025CE">
        <w:rPr>
          <w:snapToGrid w:val="0"/>
          <w:lang w:val="fr-FR"/>
        </w:rPr>
        <w:t xml:space="preserve">, </w:t>
      </w:r>
      <w:r w:rsidR="00881ED7">
        <w:rPr>
          <w:snapToGrid w:val="0"/>
          <w:lang w:val="fr-FR"/>
        </w:rPr>
        <w:t>l’intéressé</w:t>
      </w:r>
      <w:r w:rsidR="003025CE">
        <w:rPr>
          <w:snapToGrid w:val="0"/>
          <w:lang w:val="fr-FR"/>
        </w:rPr>
        <w:t xml:space="preserve"> doit satisfaire à la fois aux conditions de ressources et à </w:t>
      </w:r>
      <w:r w:rsidR="00CD0110">
        <w:rPr>
          <w:snapToGrid w:val="0"/>
          <w:lang w:val="fr-FR"/>
        </w:rPr>
        <w:t>«</w:t>
      </w:r>
      <w:r w:rsidR="003025CE">
        <w:rPr>
          <w:snapToGrid w:val="0"/>
          <w:lang w:val="fr-FR"/>
        </w:rPr>
        <w:t>l’intérêt de la justice</w:t>
      </w:r>
      <w:r w:rsidR="00CD0110">
        <w:rPr>
          <w:snapToGrid w:val="0"/>
          <w:lang w:val="fr-FR"/>
        </w:rPr>
        <w:t>»</w:t>
      </w:r>
      <w:r w:rsidR="003025CE">
        <w:rPr>
          <w:snapToGrid w:val="0"/>
          <w:lang w:val="fr-FR"/>
        </w:rPr>
        <w:t xml:space="preserve">. Devant </w:t>
      </w:r>
      <w:r w:rsidR="00603914">
        <w:rPr>
          <w:snapToGrid w:val="0"/>
          <w:lang w:val="fr-FR"/>
        </w:rPr>
        <w:t>la</w:t>
      </w:r>
      <w:r w:rsidR="003025CE">
        <w:rPr>
          <w:snapToGrid w:val="0"/>
          <w:lang w:val="fr-FR"/>
        </w:rPr>
        <w:t xml:space="preserve"> </w:t>
      </w:r>
      <w:r w:rsidR="00245A8E">
        <w:rPr>
          <w:lang w:val="fr-FR"/>
        </w:rPr>
        <w:t>Cour de la Couronne</w:t>
      </w:r>
      <w:r w:rsidR="003025CE">
        <w:rPr>
          <w:snapToGrid w:val="0"/>
          <w:lang w:val="fr-FR"/>
        </w:rPr>
        <w:t xml:space="preserve">, </w:t>
      </w:r>
      <w:r w:rsidR="006A4FDD">
        <w:rPr>
          <w:snapToGrid w:val="0"/>
          <w:lang w:val="fr-FR"/>
        </w:rPr>
        <w:t xml:space="preserve">le prévenu en attente de jugement remplit automatiquement la condition de </w:t>
      </w:r>
      <w:r w:rsidR="00CD0110">
        <w:rPr>
          <w:snapToGrid w:val="0"/>
          <w:lang w:val="fr-FR"/>
        </w:rPr>
        <w:t>«</w:t>
      </w:r>
      <w:r w:rsidR="006A4FDD">
        <w:rPr>
          <w:snapToGrid w:val="0"/>
          <w:lang w:val="fr-FR"/>
        </w:rPr>
        <w:t>l’intérêt de la justice</w:t>
      </w:r>
      <w:r w:rsidR="00CD0110">
        <w:rPr>
          <w:snapToGrid w:val="0"/>
          <w:lang w:val="fr-FR"/>
        </w:rPr>
        <w:t>»</w:t>
      </w:r>
      <w:r w:rsidR="006A4FDD">
        <w:rPr>
          <w:snapToGrid w:val="0"/>
          <w:lang w:val="fr-FR"/>
        </w:rPr>
        <w:t xml:space="preserve">. Si tous les prévenus peuvent prétendre à l’aide juridictionnelle, ils doivent satisfaire aux critères de ressources et peuvent devoir contribuer à leurs frais de justice sur leurs revenus et/ou sur leur capital. Les prévenus qui ont </w:t>
      </w:r>
      <w:r w:rsidR="005C6845">
        <w:rPr>
          <w:snapToGrid w:val="0"/>
          <w:lang w:val="fr-FR"/>
        </w:rPr>
        <w:t>engagé des dépenses</w:t>
      </w:r>
      <w:r w:rsidR="006A4FDD">
        <w:rPr>
          <w:snapToGrid w:val="0"/>
          <w:lang w:val="fr-FR"/>
        </w:rPr>
        <w:t xml:space="preserve"> et sont finalement acquittés seront remboursés avec des intérêts</w:t>
      </w:r>
      <w:r w:rsidR="000B562B" w:rsidRPr="00A176EA">
        <w:rPr>
          <w:snapToGrid w:val="0"/>
          <w:lang w:val="fr-FR"/>
        </w:rPr>
        <w:t>.</w:t>
      </w:r>
    </w:p>
    <w:p w:rsidR="000B562B" w:rsidRPr="00A176EA" w:rsidRDefault="002549A9" w:rsidP="00434B45">
      <w:pPr>
        <w:pStyle w:val="SingleTxtG"/>
        <w:rPr>
          <w:snapToGrid w:val="0"/>
          <w:lang w:val="fr-FR"/>
        </w:rPr>
      </w:pPr>
      <w:r w:rsidRPr="00A176EA">
        <w:rPr>
          <w:snapToGrid w:val="0"/>
          <w:lang w:val="fr-FR"/>
        </w:rPr>
        <w:t>765.</w:t>
      </w:r>
      <w:r w:rsidRPr="00A176EA">
        <w:rPr>
          <w:snapToGrid w:val="0"/>
          <w:lang w:val="fr-FR"/>
        </w:rPr>
        <w:tab/>
      </w:r>
      <w:r w:rsidR="006A4FDD" w:rsidRPr="006A4FDD">
        <w:rPr>
          <w:snapToGrid w:val="0"/>
          <w:lang w:val="fr-FR"/>
        </w:rPr>
        <w:t>E</w:t>
      </w:r>
      <w:r w:rsidR="000B562B" w:rsidRPr="006A4FDD">
        <w:rPr>
          <w:snapToGrid w:val="0"/>
          <w:lang w:val="fr-FR"/>
        </w:rPr>
        <w:t xml:space="preserve">n </w:t>
      </w:r>
      <w:r w:rsidR="00FD2CE1" w:rsidRPr="006A4FDD">
        <w:rPr>
          <w:lang w:val="fr-FR"/>
        </w:rPr>
        <w:t>Écosse</w:t>
      </w:r>
      <w:r w:rsidR="006A4FDD" w:rsidRPr="006A4FDD">
        <w:rPr>
          <w:lang w:val="fr-FR"/>
        </w:rPr>
        <w:t>,</w:t>
      </w:r>
      <w:r w:rsidR="006A4FDD">
        <w:rPr>
          <w:lang w:val="fr-FR"/>
        </w:rPr>
        <w:t xml:space="preserve"> l’aide juridictionnelle relève de la Commission d’aide juridictionnelle. </w:t>
      </w:r>
      <w:r w:rsidR="005C6845">
        <w:rPr>
          <w:lang w:val="fr-FR"/>
        </w:rPr>
        <w:t>La Commission fournit des services et une aide juridique</w:t>
      </w:r>
      <w:r w:rsidR="00881ED7">
        <w:rPr>
          <w:lang w:val="fr-FR"/>
        </w:rPr>
        <w:t>s</w:t>
      </w:r>
      <w:r w:rsidR="005C6845">
        <w:rPr>
          <w:lang w:val="fr-FR"/>
        </w:rPr>
        <w:t>, et décide qui peut bénéficier d’une aide financière. Comme en Angleterre et au pays de Galles, le système repose sur deux services</w:t>
      </w:r>
      <w:r w:rsidR="00FC2B97">
        <w:rPr>
          <w:lang w:val="fr-FR"/>
        </w:rPr>
        <w:t>:</w:t>
      </w:r>
      <w:r w:rsidR="005C6845">
        <w:rPr>
          <w:lang w:val="fr-FR"/>
        </w:rPr>
        <w:t xml:space="preserve"> l’assistance juridique civile et l’assistance juridique pénale. Pour prétendre à la première, </w:t>
      </w:r>
      <w:r w:rsidR="004805F4">
        <w:rPr>
          <w:lang w:val="fr-FR"/>
        </w:rPr>
        <w:t>l’intéressé</w:t>
      </w:r>
      <w:r w:rsidR="005C6845">
        <w:rPr>
          <w:lang w:val="fr-FR"/>
        </w:rPr>
        <w:t xml:space="preserve"> doit satisfaire </w:t>
      </w:r>
      <w:r w:rsidR="00881ED7">
        <w:rPr>
          <w:lang w:val="fr-FR"/>
        </w:rPr>
        <w:t>aux</w:t>
      </w:r>
      <w:r w:rsidR="005C6845">
        <w:rPr>
          <w:lang w:val="fr-FR"/>
        </w:rPr>
        <w:t xml:space="preserve"> conditions de ressources, justifier du bien-fondé de son affaire et ne pas bénéficier d’une autre aide financière. Pour prétendre à la seconde, </w:t>
      </w:r>
      <w:r w:rsidR="00881ED7">
        <w:rPr>
          <w:lang w:val="fr-FR"/>
        </w:rPr>
        <w:t>il</w:t>
      </w:r>
      <w:r w:rsidR="005C6845">
        <w:rPr>
          <w:lang w:val="fr-FR"/>
        </w:rPr>
        <w:t xml:space="preserve"> doit </w:t>
      </w:r>
      <w:r w:rsidR="004805F4">
        <w:rPr>
          <w:lang w:val="fr-FR"/>
        </w:rPr>
        <w:t>fournir la preuve que ses revenus et son capital n’excèdent pas le plafond fixé par le Parlement</w:t>
      </w:r>
      <w:r w:rsidR="000B562B" w:rsidRPr="00A176EA">
        <w:rPr>
          <w:snapToGrid w:val="0"/>
          <w:lang w:val="fr-FR"/>
        </w:rPr>
        <w:t>.</w:t>
      </w:r>
    </w:p>
    <w:p w:rsidR="000B562B" w:rsidRPr="00A176EA" w:rsidRDefault="002549A9" w:rsidP="004805F4">
      <w:pPr>
        <w:pStyle w:val="SingleTxtG"/>
        <w:rPr>
          <w:snapToGrid w:val="0"/>
          <w:lang w:val="fr-FR"/>
        </w:rPr>
      </w:pPr>
      <w:r w:rsidRPr="00A176EA">
        <w:rPr>
          <w:snapToGrid w:val="0"/>
          <w:lang w:val="fr-FR"/>
        </w:rPr>
        <w:t>766.</w:t>
      </w:r>
      <w:r w:rsidRPr="00A176EA">
        <w:rPr>
          <w:snapToGrid w:val="0"/>
          <w:lang w:val="fr-FR"/>
        </w:rPr>
        <w:tab/>
      </w:r>
      <w:r w:rsidR="004805F4" w:rsidRPr="004805F4">
        <w:rPr>
          <w:snapToGrid w:val="0"/>
          <w:lang w:val="fr-FR"/>
        </w:rPr>
        <w:t>E</w:t>
      </w:r>
      <w:r w:rsidR="000B562B" w:rsidRPr="004805F4">
        <w:rPr>
          <w:snapToGrid w:val="0"/>
          <w:lang w:val="fr-FR"/>
        </w:rPr>
        <w:t xml:space="preserve">n </w:t>
      </w:r>
      <w:r w:rsidR="008F3DA4" w:rsidRPr="004805F4">
        <w:rPr>
          <w:lang w:val="fr-FR"/>
        </w:rPr>
        <w:t>Irlande du Nord</w:t>
      </w:r>
      <w:r w:rsidR="000B562B" w:rsidRPr="004805F4">
        <w:rPr>
          <w:snapToGrid w:val="0"/>
          <w:lang w:val="fr-FR"/>
        </w:rPr>
        <w:t>,</w:t>
      </w:r>
      <w:r w:rsidR="000B562B" w:rsidRPr="00A176EA">
        <w:rPr>
          <w:snapToGrid w:val="0"/>
          <w:lang w:val="fr-FR"/>
        </w:rPr>
        <w:t xml:space="preserve"> </w:t>
      </w:r>
      <w:r w:rsidR="004805F4">
        <w:rPr>
          <w:snapToGrid w:val="0"/>
          <w:lang w:val="fr-FR"/>
        </w:rPr>
        <w:t>l’aide juridictionnelle est du ressort de la Commission des services juridiques d’Irlande du Nord. Que ce soit en matière civile ou pénale, l’octroi de l’aide dépend des ressources de l’intéressé et du bien-fondé de l’affaire.</w:t>
      </w:r>
    </w:p>
    <w:p w:rsidR="000B562B" w:rsidRPr="00A176EA" w:rsidRDefault="002549A9" w:rsidP="0074574E">
      <w:pPr>
        <w:pStyle w:val="SingleTxtG"/>
        <w:rPr>
          <w:snapToGrid w:val="0"/>
          <w:lang w:val="fr-FR"/>
        </w:rPr>
      </w:pPr>
      <w:r w:rsidRPr="00A176EA">
        <w:rPr>
          <w:snapToGrid w:val="0"/>
          <w:lang w:val="fr-FR"/>
        </w:rPr>
        <w:t>767.</w:t>
      </w:r>
      <w:r w:rsidRPr="00A176EA">
        <w:rPr>
          <w:snapToGrid w:val="0"/>
          <w:lang w:val="fr-FR"/>
        </w:rPr>
        <w:tab/>
      </w:r>
      <w:r w:rsidR="009C1701">
        <w:rPr>
          <w:snapToGrid w:val="0"/>
          <w:lang w:val="fr-FR"/>
        </w:rPr>
        <w:t xml:space="preserve">Lorsqu’une personne s’estime victime d’une violation de ses droits découlant de la Convention européenne des droits de l’homme et entend saisir la Cour européenne des droits de l’homme, un certain nombre de possibilités s’offrent à elle pour bénéficier de conseils et d’une assistance juridiques. </w:t>
      </w:r>
      <w:r w:rsidR="0074574E">
        <w:rPr>
          <w:snapToGrid w:val="0"/>
          <w:lang w:val="fr-FR"/>
        </w:rPr>
        <w:t xml:space="preserve">En vertu du système d’aide juridique, une personne peut bénéficier de l’assistance d’un avocat ou d’un conseil juridique expérimenté aux étapes préliminaires de sa requête. Si la </w:t>
      </w:r>
      <w:r w:rsidR="00584246" w:rsidRPr="0074574E">
        <w:rPr>
          <w:lang w:val="fr-FR"/>
        </w:rPr>
        <w:t>Cour européenne des droits de l’homme</w:t>
      </w:r>
      <w:r w:rsidR="00584246" w:rsidRPr="00A176EA">
        <w:rPr>
          <w:snapToGrid w:val="0"/>
          <w:lang w:val="fr-FR"/>
        </w:rPr>
        <w:t xml:space="preserve"> </w:t>
      </w:r>
      <w:r w:rsidR="00161230">
        <w:rPr>
          <w:snapToGrid w:val="0"/>
          <w:lang w:val="fr-FR"/>
        </w:rPr>
        <w:t>de</w:t>
      </w:r>
      <w:r w:rsidR="000B562B" w:rsidRPr="00A176EA">
        <w:rPr>
          <w:snapToGrid w:val="0"/>
          <w:lang w:val="fr-FR"/>
        </w:rPr>
        <w:t xml:space="preserve"> Strasbourg </w:t>
      </w:r>
      <w:r w:rsidR="0074574E">
        <w:rPr>
          <w:snapToGrid w:val="0"/>
          <w:lang w:val="fr-FR"/>
        </w:rPr>
        <w:t xml:space="preserve">déclare la requête recevable, l’intéressé peut obtenir une </w:t>
      </w:r>
      <w:r w:rsidR="00F844DC">
        <w:rPr>
          <w:snapToGrid w:val="0"/>
          <w:lang w:val="fr-FR"/>
        </w:rPr>
        <w:t xml:space="preserve">aide financière directement auprès de Strasbourg. </w:t>
      </w:r>
      <w:r w:rsidR="005C279B">
        <w:rPr>
          <w:snapToGrid w:val="0"/>
          <w:lang w:val="fr-FR"/>
        </w:rPr>
        <w:t>Pour bénéficier de cette aide, le requérant doit y avoir droit dans son pays</w:t>
      </w:r>
      <w:r w:rsidR="000B562B" w:rsidRPr="00A176EA">
        <w:rPr>
          <w:snapToGrid w:val="0"/>
          <w:lang w:val="fr-FR"/>
        </w:rPr>
        <w:t>.</w:t>
      </w:r>
    </w:p>
    <w:p w:rsidR="000B562B" w:rsidRPr="00A176EA" w:rsidRDefault="002549A9" w:rsidP="009555D8">
      <w:pPr>
        <w:pStyle w:val="SingleTxtG"/>
        <w:rPr>
          <w:snapToGrid w:val="0"/>
          <w:lang w:val="fr-FR"/>
        </w:rPr>
      </w:pPr>
      <w:r w:rsidRPr="00A176EA">
        <w:rPr>
          <w:snapToGrid w:val="0"/>
          <w:lang w:val="fr-FR"/>
        </w:rPr>
        <w:t>768.</w:t>
      </w:r>
      <w:r w:rsidRPr="00A176EA">
        <w:rPr>
          <w:snapToGrid w:val="0"/>
          <w:lang w:val="fr-FR"/>
        </w:rPr>
        <w:tab/>
      </w:r>
      <w:r w:rsidR="005C279B">
        <w:rPr>
          <w:snapToGrid w:val="0"/>
          <w:lang w:val="fr-FR"/>
        </w:rPr>
        <w:t>Dans un certain nombre de zones urbaines, des centres juridiques fournissent des conseils et une représentation juridiques</w:t>
      </w:r>
      <w:r w:rsidR="005C279B" w:rsidRPr="005C279B">
        <w:rPr>
          <w:snapToGrid w:val="0"/>
          <w:lang w:val="fr-FR"/>
        </w:rPr>
        <w:t xml:space="preserve"> </w:t>
      </w:r>
      <w:r w:rsidR="005C279B">
        <w:rPr>
          <w:snapToGrid w:val="0"/>
          <w:lang w:val="fr-FR"/>
        </w:rPr>
        <w:t>qui, selon les ressources de l’intéressé,</w:t>
      </w:r>
      <w:r w:rsidR="005C279B" w:rsidRPr="005C279B">
        <w:rPr>
          <w:snapToGrid w:val="0"/>
          <w:lang w:val="fr-FR"/>
        </w:rPr>
        <w:t xml:space="preserve"> </w:t>
      </w:r>
      <w:r w:rsidR="005C279B">
        <w:rPr>
          <w:snapToGrid w:val="0"/>
          <w:lang w:val="fr-FR"/>
        </w:rPr>
        <w:t>peuvent être gratuits. Financés par diverses sources</w:t>
      </w:r>
      <w:r w:rsidR="005C279B" w:rsidRPr="005C279B">
        <w:rPr>
          <w:snapToGrid w:val="0"/>
          <w:lang w:val="fr-FR"/>
        </w:rPr>
        <w:t xml:space="preserve"> </w:t>
      </w:r>
      <w:r w:rsidR="005C279B">
        <w:rPr>
          <w:snapToGrid w:val="0"/>
          <w:lang w:val="fr-FR"/>
        </w:rPr>
        <w:t>qui, souvent, sont les autorités locales, ces centres emploient généralement des juristes salariés à plein temps et de nombreux  agents communautaires</w:t>
      </w:r>
      <w:r w:rsidR="009555D8">
        <w:rPr>
          <w:snapToGrid w:val="0"/>
          <w:lang w:val="fr-FR"/>
        </w:rPr>
        <w:t>, qui consacrent la majeure partie de leur temps aux</w:t>
      </w:r>
      <w:r w:rsidR="005C279B" w:rsidRPr="005C279B">
        <w:rPr>
          <w:snapToGrid w:val="0"/>
          <w:lang w:val="fr-FR"/>
        </w:rPr>
        <w:t xml:space="preserve"> problèmes de logement, d’emploi, de sécurité sociale et d’immigration. Il est aussi possible d’obtenir des conseils gratuits auprès des</w:t>
      </w:r>
      <w:r w:rsidR="005C279B">
        <w:rPr>
          <w:snapToGrid w:val="0"/>
          <w:lang w:val="fr-FR"/>
        </w:rPr>
        <w:t xml:space="preserve"> </w:t>
      </w:r>
      <w:r w:rsidR="00A3110A">
        <w:rPr>
          <w:snapToGrid w:val="0"/>
          <w:lang w:val="fr-FR"/>
        </w:rPr>
        <w:t>b</w:t>
      </w:r>
      <w:r w:rsidR="005C279B">
        <w:rPr>
          <w:snapToGrid w:val="0"/>
          <w:lang w:val="fr-FR"/>
        </w:rPr>
        <w:t>ureaux de conseil aux citoyens, des</w:t>
      </w:r>
      <w:r w:rsidR="00A3110A">
        <w:rPr>
          <w:snapToGrid w:val="0"/>
          <w:lang w:val="fr-FR"/>
        </w:rPr>
        <w:t xml:space="preserve"> centres d’aide aux consommateurs et des centres d’aide au logement, ainsi que des centres de conseil spécialisés gérés par diverses organisations bénévoles. </w:t>
      </w:r>
      <w:r w:rsidR="009555D8" w:rsidRPr="003C0BDD">
        <w:rPr>
          <w:snapToGrid w:val="0"/>
          <w:lang w:val="fr-FR"/>
        </w:rPr>
        <w:t xml:space="preserve">Le Centre juridique pour les réfugiés et le Service consultatif sur l’immigration, tous deux financés par des fonds publics, </w:t>
      </w:r>
      <w:r w:rsidR="001E51CE" w:rsidRPr="003C0BDD">
        <w:rPr>
          <w:snapToGrid w:val="0"/>
          <w:lang w:val="fr-FR"/>
        </w:rPr>
        <w:t xml:space="preserve">fournissent </w:t>
      </w:r>
      <w:r w:rsidR="009555D8" w:rsidRPr="003C0BDD">
        <w:rPr>
          <w:snapToGrid w:val="0"/>
          <w:lang w:val="fr-FR"/>
        </w:rPr>
        <w:t xml:space="preserve">gracieusement des conseils et une aide aux demandeurs d’asile, le </w:t>
      </w:r>
      <w:r w:rsidR="001E51CE" w:rsidRPr="003C0BDD">
        <w:rPr>
          <w:snapToGrid w:val="0"/>
          <w:lang w:val="fr-FR"/>
        </w:rPr>
        <w:t>second conseillant et aidant par ailleurs gratuitement les personnes souhaitant</w:t>
      </w:r>
      <w:r w:rsidR="009555D8" w:rsidRPr="003C0BDD">
        <w:rPr>
          <w:snapToGrid w:val="0"/>
          <w:lang w:val="fr-FR"/>
        </w:rPr>
        <w:t xml:space="preserve"> faire appel </w:t>
      </w:r>
      <w:r w:rsidR="003C0BDD" w:rsidRPr="003C0BDD">
        <w:rPr>
          <w:snapToGrid w:val="0"/>
          <w:lang w:val="fr-FR"/>
        </w:rPr>
        <w:t>d’une décision en matière</w:t>
      </w:r>
      <w:r w:rsidR="009555D8" w:rsidRPr="003C0BDD">
        <w:rPr>
          <w:snapToGrid w:val="0"/>
          <w:lang w:val="fr-FR"/>
        </w:rPr>
        <w:t xml:space="preserve"> d’immigration</w:t>
      </w:r>
      <w:r w:rsidR="000B562B" w:rsidRPr="003C0BDD">
        <w:rPr>
          <w:snapToGrid w:val="0"/>
          <w:lang w:val="fr-FR"/>
        </w:rPr>
        <w:t>.</w:t>
      </w:r>
    </w:p>
    <w:p w:rsidR="000B562B" w:rsidRPr="00A176EA" w:rsidRDefault="000B562B" w:rsidP="00434B45">
      <w:pPr>
        <w:pStyle w:val="H23G"/>
        <w:rPr>
          <w:lang w:val="fr-FR"/>
        </w:rPr>
      </w:pPr>
      <w:r w:rsidRPr="00A176EA">
        <w:rPr>
          <w:lang w:val="fr-FR"/>
        </w:rPr>
        <w:t>Victim</w:t>
      </w:r>
      <w:r w:rsidR="009555D8">
        <w:rPr>
          <w:lang w:val="fr-FR"/>
        </w:rPr>
        <w:t>e</w:t>
      </w:r>
      <w:r w:rsidRPr="00A176EA">
        <w:rPr>
          <w:lang w:val="fr-FR"/>
        </w:rPr>
        <w:t xml:space="preserve">s </w:t>
      </w:r>
      <w:r w:rsidR="009555D8">
        <w:rPr>
          <w:lang w:val="fr-FR"/>
        </w:rPr>
        <w:t>de la criminalité</w:t>
      </w:r>
    </w:p>
    <w:p w:rsidR="000B562B" w:rsidRPr="00A176EA" w:rsidRDefault="002549A9" w:rsidP="001E51CE">
      <w:pPr>
        <w:pStyle w:val="SingleTxtG"/>
        <w:rPr>
          <w:snapToGrid w:val="0"/>
          <w:lang w:val="fr-FR"/>
        </w:rPr>
      </w:pPr>
      <w:r w:rsidRPr="00A176EA">
        <w:rPr>
          <w:snapToGrid w:val="0"/>
          <w:lang w:val="fr-FR"/>
        </w:rPr>
        <w:t>769.</w:t>
      </w:r>
      <w:r w:rsidRPr="00A176EA">
        <w:rPr>
          <w:snapToGrid w:val="0"/>
          <w:lang w:val="fr-FR"/>
        </w:rPr>
        <w:tab/>
      </w:r>
      <w:r w:rsidR="009555D8">
        <w:rPr>
          <w:snapToGrid w:val="0"/>
          <w:lang w:val="fr-FR"/>
        </w:rPr>
        <w:t xml:space="preserve">Les tribunaux peuvent condamner une personne reconnue coupable à indemniser la victime de tout préjudice corporel, toute perte ou tout dommage causé par l’infraction. En Angleterre et au pays de Galles, les tribunaux sont tenus d’examiner la question de l’indemnisation des victimes, au cas par cas, et de motiver leur décision lorsqu’ils ne l’accordent pas. </w:t>
      </w:r>
      <w:r w:rsidR="00CF7E80">
        <w:rPr>
          <w:snapToGrid w:val="0"/>
          <w:lang w:val="fr-FR"/>
        </w:rPr>
        <w:t xml:space="preserve">L’indemnisation de la victime passe avant </w:t>
      </w:r>
      <w:r w:rsidR="001E51CE">
        <w:rPr>
          <w:snapToGrid w:val="0"/>
          <w:lang w:val="fr-FR"/>
        </w:rPr>
        <w:t>la condamnation à une amende lorsque le tribunal envisage les deux</w:t>
      </w:r>
      <w:r w:rsidR="000B562B" w:rsidRPr="00A176EA">
        <w:rPr>
          <w:snapToGrid w:val="0"/>
          <w:lang w:val="fr-FR"/>
        </w:rPr>
        <w:t xml:space="preserve">, </w:t>
      </w:r>
      <w:r w:rsidR="001E51CE">
        <w:rPr>
          <w:snapToGrid w:val="0"/>
          <w:lang w:val="fr-FR"/>
        </w:rPr>
        <w:t>le recouvrement des dommages-intérêts ayant la priorité sur celui des amendes</w:t>
      </w:r>
      <w:r w:rsidR="000B562B" w:rsidRPr="00A176EA">
        <w:rPr>
          <w:snapToGrid w:val="0"/>
          <w:lang w:val="fr-FR"/>
        </w:rPr>
        <w:t>.</w:t>
      </w:r>
    </w:p>
    <w:p w:rsidR="000B562B" w:rsidRPr="00A176EA" w:rsidRDefault="002549A9" w:rsidP="005B3C2B">
      <w:pPr>
        <w:pStyle w:val="SingleTxtG"/>
        <w:rPr>
          <w:snapToGrid w:val="0"/>
          <w:lang w:val="fr-FR"/>
        </w:rPr>
      </w:pPr>
      <w:r w:rsidRPr="00A176EA">
        <w:rPr>
          <w:snapToGrid w:val="0"/>
          <w:lang w:val="fr-FR"/>
        </w:rPr>
        <w:t>770.</w:t>
      </w:r>
      <w:r w:rsidRPr="00A176EA">
        <w:rPr>
          <w:snapToGrid w:val="0"/>
          <w:lang w:val="fr-FR"/>
        </w:rPr>
        <w:tab/>
      </w:r>
      <w:r w:rsidR="001E51CE">
        <w:rPr>
          <w:snapToGrid w:val="0"/>
          <w:lang w:val="fr-FR"/>
        </w:rPr>
        <w:t>En Angleterre et au pays de Galles, si le</w:t>
      </w:r>
      <w:r w:rsidR="000B562B" w:rsidRPr="00A176EA">
        <w:rPr>
          <w:snapToGrid w:val="0"/>
          <w:lang w:val="fr-FR"/>
        </w:rPr>
        <w:t xml:space="preserve"> </w:t>
      </w:r>
      <w:r w:rsidR="007A1549">
        <w:rPr>
          <w:lang w:val="fr-FR"/>
        </w:rPr>
        <w:t>m</w:t>
      </w:r>
      <w:r w:rsidR="00327073" w:rsidRPr="001E51CE">
        <w:rPr>
          <w:lang w:val="fr-FR"/>
        </w:rPr>
        <w:t>inistère public de la Couronne</w:t>
      </w:r>
      <w:r w:rsidR="00327073" w:rsidRPr="00A176EA">
        <w:rPr>
          <w:lang w:val="fr-FR"/>
        </w:rPr>
        <w:t xml:space="preserve"> </w:t>
      </w:r>
      <w:r w:rsidR="001E51CE">
        <w:rPr>
          <w:lang w:val="fr-FR"/>
        </w:rPr>
        <w:t xml:space="preserve">renonce à poursuivre, la victime peut engager une action à titre privé, ce qui est rare dans la pratique. La victime peut aussi engager une action en dommages-intérêts devant une juridiction civile. Cette procédure a été simplifiée pour que les personnes n’ayant pas de connaissances juridiques </w:t>
      </w:r>
      <w:r w:rsidR="005B3C2B">
        <w:rPr>
          <w:lang w:val="fr-FR"/>
        </w:rPr>
        <w:t>pour perte ou dommage de faible montant</w:t>
      </w:r>
      <w:r w:rsidR="000B562B" w:rsidRPr="00A176EA">
        <w:rPr>
          <w:snapToGrid w:val="0"/>
          <w:lang w:val="fr-FR"/>
        </w:rPr>
        <w:t>.</w:t>
      </w:r>
    </w:p>
    <w:p w:rsidR="000B562B" w:rsidRPr="006D07AA" w:rsidRDefault="002549A9" w:rsidP="00434B45">
      <w:pPr>
        <w:pStyle w:val="SingleTxtG"/>
        <w:rPr>
          <w:snapToGrid w:val="0"/>
          <w:lang w:val="fr-FR"/>
        </w:rPr>
      </w:pPr>
      <w:r w:rsidRPr="006D07AA">
        <w:rPr>
          <w:snapToGrid w:val="0"/>
          <w:lang w:val="fr-FR"/>
        </w:rPr>
        <w:t>771.</w:t>
      </w:r>
      <w:r w:rsidRPr="006D07AA">
        <w:rPr>
          <w:snapToGrid w:val="0"/>
          <w:lang w:val="fr-FR"/>
        </w:rPr>
        <w:tab/>
      </w:r>
      <w:r w:rsidR="005B3C2B" w:rsidRPr="006D07AA">
        <w:rPr>
          <w:lang w:val="fr-FR"/>
        </w:rPr>
        <w:t xml:space="preserve">Toute personne, quelle que soit sa nationalité, victime de blessures à la suite d’un </w:t>
      </w:r>
      <w:r w:rsidR="001F2177" w:rsidRPr="006D07AA">
        <w:rPr>
          <w:lang w:val="fr-FR"/>
        </w:rPr>
        <w:t>fait de violence</w:t>
      </w:r>
      <w:r w:rsidR="005B3C2B" w:rsidRPr="006D07AA">
        <w:rPr>
          <w:lang w:val="fr-FR"/>
        </w:rPr>
        <w:t xml:space="preserve"> commis en Grande-Bretagne, au pays de Galles ou en Écosse, peut demander à être dédommagée par l’État au titre du </w:t>
      </w:r>
      <w:r w:rsidR="00657DA1" w:rsidRPr="006D07AA">
        <w:rPr>
          <w:lang w:val="fr-FR"/>
        </w:rPr>
        <w:t>Système</w:t>
      </w:r>
      <w:r w:rsidR="005B3C2B" w:rsidRPr="006D07AA">
        <w:rPr>
          <w:lang w:val="fr-FR"/>
        </w:rPr>
        <w:t xml:space="preserve"> d’indemnisation des victimes </w:t>
      </w:r>
      <w:r w:rsidR="00657DA1" w:rsidRPr="006D07AA">
        <w:rPr>
          <w:lang w:val="fr-FR"/>
        </w:rPr>
        <w:t>d’actes criminels</w:t>
      </w:r>
      <w:r w:rsidR="000B562B" w:rsidRPr="006D07AA">
        <w:rPr>
          <w:snapToGrid w:val="0"/>
          <w:lang w:val="fr-FR"/>
        </w:rPr>
        <w:t xml:space="preserve">. </w:t>
      </w:r>
      <w:r w:rsidR="0096661E" w:rsidRPr="006D07AA">
        <w:rPr>
          <w:snapToGrid w:val="0"/>
          <w:lang w:val="fr-FR"/>
        </w:rPr>
        <w:t>L’indemnisation est calculée d’après un barème des indemnités accordées pour des blessures d’une gravité comparable et les montants versés varient entre 1 000 et 500 000 livres sterling pour les dommages les plus graves</w:t>
      </w:r>
      <w:r w:rsidR="000B562B" w:rsidRPr="006D07AA">
        <w:rPr>
          <w:snapToGrid w:val="0"/>
          <w:lang w:val="fr-FR"/>
        </w:rPr>
        <w:t>.</w:t>
      </w:r>
    </w:p>
    <w:p w:rsidR="008010FA" w:rsidRDefault="002549A9" w:rsidP="00257CED">
      <w:pPr>
        <w:pStyle w:val="SingleTxtG"/>
        <w:rPr>
          <w:snapToGrid w:val="0"/>
          <w:lang w:val="fr-FR"/>
        </w:rPr>
      </w:pPr>
      <w:r w:rsidRPr="00A176EA">
        <w:rPr>
          <w:snapToGrid w:val="0"/>
          <w:lang w:val="fr-FR"/>
        </w:rPr>
        <w:t>772.</w:t>
      </w:r>
      <w:r w:rsidRPr="00A176EA">
        <w:rPr>
          <w:snapToGrid w:val="0"/>
          <w:lang w:val="fr-FR"/>
        </w:rPr>
        <w:tab/>
      </w:r>
      <w:r w:rsidR="0096661E" w:rsidRPr="001F2177">
        <w:rPr>
          <w:snapToGrid w:val="0"/>
          <w:lang w:val="fr-FR"/>
        </w:rPr>
        <w:t xml:space="preserve">En </w:t>
      </w:r>
      <w:r w:rsidR="0096661E" w:rsidRPr="001F2177">
        <w:rPr>
          <w:lang w:val="fr-FR"/>
        </w:rPr>
        <w:t>Irlande du Nord,</w:t>
      </w:r>
      <w:r w:rsidR="0096661E" w:rsidRPr="001F2177">
        <w:rPr>
          <w:snapToGrid w:val="0"/>
          <w:lang w:val="fr-FR"/>
        </w:rPr>
        <w:t xml:space="preserve"> des dispositions</w:t>
      </w:r>
      <w:r w:rsidR="0096661E">
        <w:rPr>
          <w:snapToGrid w:val="0"/>
          <w:lang w:val="fr-FR"/>
        </w:rPr>
        <w:t xml:space="preserve"> distinctes permettent d’indemniser</w:t>
      </w:r>
      <w:r w:rsidR="00B94E80">
        <w:rPr>
          <w:snapToGrid w:val="0"/>
          <w:lang w:val="fr-FR"/>
        </w:rPr>
        <w:t xml:space="preserve">, parfois sur les fonds publics, les victimes </w:t>
      </w:r>
      <w:r w:rsidR="00657DA1">
        <w:rPr>
          <w:snapToGrid w:val="0"/>
          <w:lang w:val="fr-FR"/>
        </w:rPr>
        <w:t>d’actes criminels</w:t>
      </w:r>
      <w:r w:rsidR="00B94E80">
        <w:rPr>
          <w:snapToGrid w:val="0"/>
          <w:lang w:val="fr-FR"/>
        </w:rPr>
        <w:t xml:space="preserve"> et de dégradation de biens par malveillance, dont l’indemnisation pour perte d’exploitation</w:t>
      </w:r>
      <w:r w:rsidR="000B562B" w:rsidRPr="00A176EA">
        <w:rPr>
          <w:snapToGrid w:val="0"/>
          <w:lang w:val="fr-FR"/>
        </w:rPr>
        <w:t>.</w:t>
      </w:r>
      <w:r w:rsidR="00257CED">
        <w:rPr>
          <w:snapToGrid w:val="0"/>
          <w:lang w:val="fr-FR"/>
        </w:rPr>
        <w:t xml:space="preserve"> </w:t>
      </w:r>
    </w:p>
    <w:p w:rsidR="000B562B" w:rsidRPr="008010FA" w:rsidRDefault="008010FA" w:rsidP="00257CED">
      <w:pPr>
        <w:pStyle w:val="SingleTxtG"/>
        <w:rPr>
          <w:lang w:val="fr-FR"/>
        </w:rPr>
      </w:pPr>
      <w:r w:rsidRPr="008010FA">
        <w:rPr>
          <w:lang w:val="fr-FR"/>
        </w:rPr>
        <w:t>773.</w:t>
      </w:r>
      <w:r w:rsidRPr="008010FA">
        <w:rPr>
          <w:lang w:val="fr-FR"/>
        </w:rPr>
        <w:tab/>
        <w:t>Au Royaume-Uni, trois organismes viennent en aide aux victimes d’actes criminels</w:t>
      </w:r>
      <w:r w:rsidR="00FC2B97">
        <w:rPr>
          <w:lang w:val="fr-FR"/>
        </w:rPr>
        <w:t>:</w:t>
      </w:r>
      <w:r w:rsidRPr="008010FA">
        <w:rPr>
          <w:lang w:val="fr-FR"/>
        </w:rPr>
        <w:t xml:space="preserve"> Victim Support Angleterre et pays de Galles, Victim Support Écosse et Victim Support Irlande du Nord. </w:t>
      </w:r>
      <w:r w:rsidRPr="008010FA">
        <w:rPr>
          <w:snapToGrid w:val="0"/>
          <w:lang w:val="fr-FR"/>
        </w:rPr>
        <w:t>Ces organisations perçoivent des fonds publics</w:t>
      </w:r>
      <w:r w:rsidR="000B562B" w:rsidRPr="008010FA">
        <w:rPr>
          <w:lang w:val="fr-FR"/>
        </w:rPr>
        <w:t>.</w:t>
      </w:r>
    </w:p>
    <w:p w:rsidR="000B562B" w:rsidRPr="00A176EA" w:rsidRDefault="002549A9" w:rsidP="00434B45">
      <w:pPr>
        <w:pStyle w:val="SingleTxtG"/>
        <w:rPr>
          <w:snapToGrid w:val="0"/>
          <w:lang w:val="fr-FR"/>
        </w:rPr>
      </w:pPr>
      <w:r w:rsidRPr="00A176EA">
        <w:rPr>
          <w:snapToGrid w:val="0"/>
          <w:lang w:val="fr-FR"/>
        </w:rPr>
        <w:t>774.</w:t>
      </w:r>
      <w:r w:rsidRPr="00A176EA">
        <w:rPr>
          <w:snapToGrid w:val="0"/>
          <w:lang w:val="fr-FR"/>
        </w:rPr>
        <w:tab/>
      </w:r>
      <w:r w:rsidR="00257CED">
        <w:rPr>
          <w:snapToGrid w:val="0"/>
          <w:lang w:val="fr-FR"/>
        </w:rPr>
        <w:t xml:space="preserve">En juin 1996, le Gouvernement a publié une nouvelle </w:t>
      </w:r>
      <w:r w:rsidR="007A4A6B">
        <w:rPr>
          <w:snapToGrid w:val="0"/>
          <w:lang w:val="fr-FR"/>
        </w:rPr>
        <w:t>C</w:t>
      </w:r>
      <w:r w:rsidR="00257CED">
        <w:rPr>
          <w:snapToGrid w:val="0"/>
          <w:lang w:val="fr-FR"/>
        </w:rPr>
        <w:t xml:space="preserve">harte des victimes dont le respect, conformément au Code de bonnes pratiques entré en vigueur en avril 2006, est désormais une obligation légale. </w:t>
      </w:r>
      <w:r w:rsidR="007A4A6B">
        <w:rPr>
          <w:snapToGrid w:val="0"/>
          <w:lang w:val="fr-FR"/>
        </w:rPr>
        <w:t xml:space="preserve">Dorénavant, les victimes sont en droit d’attendre des services de qualité de la part des organismes de justice pénale. Le code indique également aux victimes comment porter plainte si ces services ne sont pas de qualité. L’introduction de la Charte des témoins garantit aux témoins des normes de service similaires, bien que non régies par un texte législatif. Un Code de bonnes pratiques distinct a été publié en Irlande du Nord à l’intention des victimes </w:t>
      </w:r>
      <w:r w:rsidR="008010FA" w:rsidRPr="008010FA">
        <w:rPr>
          <w:lang w:val="fr-FR"/>
        </w:rPr>
        <w:t>d’actes criminels</w:t>
      </w:r>
      <w:r w:rsidR="007A4A6B">
        <w:rPr>
          <w:snapToGrid w:val="0"/>
          <w:lang w:val="fr-FR"/>
        </w:rPr>
        <w:t xml:space="preserve">, qui définit des normes pour les services </w:t>
      </w:r>
      <w:r w:rsidR="003320E6">
        <w:rPr>
          <w:snapToGrid w:val="0"/>
          <w:lang w:val="fr-FR"/>
        </w:rPr>
        <w:t>aux</w:t>
      </w:r>
      <w:r w:rsidR="007A4A6B">
        <w:rPr>
          <w:snapToGrid w:val="0"/>
          <w:lang w:val="fr-FR"/>
        </w:rPr>
        <w:t xml:space="preserve"> victimes dans le cadre de la justice pénale</w:t>
      </w:r>
      <w:r w:rsidR="003320E6">
        <w:rPr>
          <w:snapToGrid w:val="0"/>
          <w:lang w:val="fr-FR"/>
        </w:rPr>
        <w:t xml:space="preserve"> et pour le dépôt d’une plainte. Toutes les victimes d’une infraction signalée se voient remettre une brochure intitulée </w:t>
      </w:r>
      <w:r w:rsidR="00CD0110">
        <w:rPr>
          <w:snapToGrid w:val="0"/>
          <w:lang w:val="fr-FR"/>
        </w:rPr>
        <w:t>«</w:t>
      </w:r>
      <w:r w:rsidR="003320E6">
        <w:rPr>
          <w:snapToGrid w:val="0"/>
          <w:lang w:val="fr-FR"/>
        </w:rPr>
        <w:t>Victimes de la criminalité</w:t>
      </w:r>
      <w:r w:rsidR="00CD0110">
        <w:rPr>
          <w:snapToGrid w:val="0"/>
          <w:lang w:val="fr-FR"/>
        </w:rPr>
        <w:t>»</w:t>
      </w:r>
      <w:r w:rsidR="003320E6">
        <w:rPr>
          <w:snapToGrid w:val="0"/>
          <w:lang w:val="fr-FR"/>
        </w:rPr>
        <w:t>, qui contient des conseils pratiques sur ce qu’il faut faire après une infraction. La brochure explique en termes simples les procédures policière et judiciaire, la manière de présenter une demande de réparation et les autres formes d’aide proposées</w:t>
      </w:r>
      <w:r w:rsidR="000B562B" w:rsidRPr="00A176EA">
        <w:rPr>
          <w:lang w:val="fr-FR"/>
        </w:rPr>
        <w:t>.</w:t>
      </w:r>
    </w:p>
    <w:p w:rsidR="000B562B" w:rsidRPr="00A176EA" w:rsidRDefault="00B61865" w:rsidP="00434B45">
      <w:pPr>
        <w:pStyle w:val="H23G"/>
        <w:rPr>
          <w:lang w:val="fr-FR"/>
        </w:rPr>
      </w:pPr>
      <w:r>
        <w:rPr>
          <w:lang w:val="fr-FR"/>
        </w:rPr>
        <w:t>Indemnisation en cas d’erreur judiciaire</w:t>
      </w:r>
    </w:p>
    <w:p w:rsidR="000B562B" w:rsidRPr="00A176EA" w:rsidRDefault="002549A9" w:rsidP="00971FA6">
      <w:pPr>
        <w:pStyle w:val="SingleTxtG"/>
        <w:rPr>
          <w:snapToGrid w:val="0"/>
          <w:lang w:val="fr-FR"/>
        </w:rPr>
      </w:pPr>
      <w:r w:rsidRPr="00A176EA">
        <w:rPr>
          <w:snapToGrid w:val="0"/>
          <w:lang w:val="fr-FR"/>
        </w:rPr>
        <w:t>775.</w:t>
      </w:r>
      <w:r w:rsidRPr="00A176EA">
        <w:rPr>
          <w:snapToGrid w:val="0"/>
          <w:lang w:val="fr-FR"/>
        </w:rPr>
        <w:tab/>
      </w:r>
      <w:r w:rsidR="00971FA6">
        <w:rPr>
          <w:snapToGrid w:val="0"/>
          <w:lang w:val="fr-FR"/>
        </w:rPr>
        <w:t>La Commission de révision des affaires pénales enquête sur les allégations de condamnation injustifiée et les examine</w:t>
      </w:r>
      <w:r w:rsidR="000B562B" w:rsidRPr="00A176EA">
        <w:rPr>
          <w:rStyle w:val="FootnoteReference"/>
          <w:szCs w:val="22"/>
        </w:rPr>
        <w:footnoteReference w:id="134"/>
      </w:r>
      <w:r w:rsidR="00971FA6">
        <w:rPr>
          <w:snapToGrid w:val="0"/>
          <w:lang w:val="fr-FR"/>
        </w:rPr>
        <w:t>.</w:t>
      </w:r>
    </w:p>
    <w:p w:rsidR="000B562B" w:rsidRPr="00A176EA" w:rsidRDefault="002549A9" w:rsidP="00694A55">
      <w:pPr>
        <w:pStyle w:val="SingleTxtG"/>
        <w:rPr>
          <w:snapToGrid w:val="0"/>
          <w:lang w:val="fr-FR"/>
        </w:rPr>
      </w:pPr>
      <w:r w:rsidRPr="00A176EA">
        <w:rPr>
          <w:snapToGrid w:val="0"/>
          <w:lang w:val="fr-FR"/>
        </w:rPr>
        <w:t>776.</w:t>
      </w:r>
      <w:r w:rsidRPr="00A176EA">
        <w:rPr>
          <w:snapToGrid w:val="0"/>
          <w:lang w:val="fr-FR"/>
        </w:rPr>
        <w:tab/>
      </w:r>
      <w:r w:rsidR="00971FA6">
        <w:rPr>
          <w:snapToGrid w:val="0"/>
          <w:lang w:val="fr-FR"/>
        </w:rPr>
        <w:t xml:space="preserve">En vertu de l’article 133 de la loi de 1988 sur la justice pénale, toute personne condamnée pour une infraction pénale et dont la sentence a été invalidée par la cour d’appel suite à une demande de recours hors délai ou d’un renvoi par le Commission de révision des affaires pénales peut déposer une demande d’indemnisation auprès du Secrétaire d’État. </w:t>
      </w:r>
      <w:r w:rsidR="00694A55">
        <w:rPr>
          <w:snapToGrid w:val="0"/>
          <w:lang w:val="fr-FR"/>
        </w:rPr>
        <w:t>Si l’intéressé est décédé, son représentant peut déposer la demande</w:t>
      </w:r>
      <w:r w:rsidR="000B562B" w:rsidRPr="00A176EA">
        <w:rPr>
          <w:snapToGrid w:val="0"/>
          <w:lang w:val="fr-FR"/>
        </w:rPr>
        <w:t>.</w:t>
      </w:r>
    </w:p>
    <w:p w:rsidR="000B562B" w:rsidRPr="00A176EA" w:rsidRDefault="002549A9" w:rsidP="003F7104">
      <w:pPr>
        <w:pStyle w:val="SingleTxtG"/>
        <w:rPr>
          <w:snapToGrid w:val="0"/>
          <w:lang w:val="fr-FR"/>
        </w:rPr>
      </w:pPr>
      <w:r w:rsidRPr="00A176EA">
        <w:rPr>
          <w:snapToGrid w:val="0"/>
          <w:lang w:val="fr-FR"/>
        </w:rPr>
        <w:t>777.</w:t>
      </w:r>
      <w:r w:rsidRPr="00A176EA">
        <w:rPr>
          <w:snapToGrid w:val="0"/>
          <w:lang w:val="fr-FR"/>
        </w:rPr>
        <w:tab/>
      </w:r>
      <w:r w:rsidR="003F7104" w:rsidRPr="003F7104">
        <w:rPr>
          <w:snapToGrid w:val="0"/>
          <w:lang w:val="fr-FR"/>
        </w:rPr>
        <w:t xml:space="preserve">Lorsqu’il doit décider d’accorder ou non une indemnisation en vertu de la loi de 1988, le </w:t>
      </w:r>
      <w:r w:rsidR="003F7104">
        <w:rPr>
          <w:snapToGrid w:val="0"/>
          <w:lang w:val="fr-FR"/>
        </w:rPr>
        <w:t>Secrétaire d’État</w:t>
      </w:r>
      <w:r w:rsidR="003F7104" w:rsidRPr="003F7104">
        <w:rPr>
          <w:snapToGrid w:val="0"/>
          <w:lang w:val="fr-FR"/>
        </w:rPr>
        <w:t xml:space="preserve"> détermine si l’annulation du jugement par la </w:t>
      </w:r>
      <w:r w:rsidR="00B25FB7">
        <w:rPr>
          <w:snapToGrid w:val="0"/>
          <w:lang w:val="fr-FR"/>
        </w:rPr>
        <w:t>C</w:t>
      </w:r>
      <w:r w:rsidR="003F7104" w:rsidRPr="003F7104">
        <w:rPr>
          <w:snapToGrid w:val="0"/>
          <w:lang w:val="fr-FR"/>
        </w:rPr>
        <w:t xml:space="preserve">our d’appel ou la mesure de clémence sont intervenues à la suite d’un fait nouveau ou nouvellement mis en lumière, faisant ressortir </w:t>
      </w:r>
      <w:r w:rsidR="00CD0110">
        <w:rPr>
          <w:snapToGrid w:val="0"/>
          <w:lang w:val="fr-FR"/>
        </w:rPr>
        <w:t>«</w:t>
      </w:r>
      <w:r w:rsidR="003F7104" w:rsidRPr="003F7104">
        <w:rPr>
          <w:snapToGrid w:val="0"/>
          <w:lang w:val="fr-FR"/>
        </w:rPr>
        <w:t>au-delà de tout doute raisonnable</w:t>
      </w:r>
      <w:r w:rsidR="00CD0110">
        <w:rPr>
          <w:snapToGrid w:val="0"/>
          <w:lang w:val="fr-FR"/>
        </w:rPr>
        <w:t>»</w:t>
      </w:r>
      <w:r w:rsidR="003F7104" w:rsidRPr="003F7104">
        <w:rPr>
          <w:snapToGrid w:val="0"/>
          <w:lang w:val="fr-FR"/>
        </w:rPr>
        <w:t xml:space="preserve"> l’existence d’une erreur judiciaire. Ce critère est moins restrictif que les dispositions du paragraphe 6 de l’article 14 du Pacte international relatif aux droits civils et politiques, visant le cas où un fait nouveau ou nouvellement révélé prouve qu’</w:t>
      </w:r>
      <w:r w:rsidR="00B25FB7" w:rsidRPr="003F7104">
        <w:rPr>
          <w:snapToGrid w:val="0"/>
          <w:lang w:val="fr-FR"/>
        </w:rPr>
        <w:t xml:space="preserve">une erreur judiciaire </w:t>
      </w:r>
      <w:r w:rsidR="00B25FB7">
        <w:rPr>
          <w:snapToGrid w:val="0"/>
          <w:lang w:val="fr-FR"/>
        </w:rPr>
        <w:t>a été commise</w:t>
      </w:r>
      <w:r w:rsidR="003F7104" w:rsidRPr="003F7104">
        <w:rPr>
          <w:snapToGrid w:val="0"/>
          <w:lang w:val="fr-FR"/>
        </w:rPr>
        <w:t xml:space="preserve">. Pour déterminer s’il y a lieu de verser une indemnité, le </w:t>
      </w:r>
      <w:r w:rsidR="003F7104">
        <w:rPr>
          <w:snapToGrid w:val="0"/>
          <w:lang w:val="fr-FR"/>
        </w:rPr>
        <w:t>Secrétaire d’État</w:t>
      </w:r>
      <w:r w:rsidR="003F7104" w:rsidRPr="003F7104">
        <w:rPr>
          <w:snapToGrid w:val="0"/>
          <w:lang w:val="fr-FR"/>
        </w:rPr>
        <w:t xml:space="preserve"> doit aussi </w:t>
      </w:r>
      <w:r w:rsidR="003F7104">
        <w:rPr>
          <w:snapToGrid w:val="0"/>
          <w:lang w:val="fr-FR"/>
        </w:rPr>
        <w:t>établir</w:t>
      </w:r>
      <w:r w:rsidR="003F7104" w:rsidRPr="003F7104">
        <w:rPr>
          <w:snapToGrid w:val="0"/>
          <w:lang w:val="fr-FR"/>
        </w:rPr>
        <w:t xml:space="preserve"> </w:t>
      </w:r>
      <w:r w:rsidR="00FE5CF2">
        <w:rPr>
          <w:snapToGrid w:val="0"/>
          <w:lang w:val="fr-FR"/>
        </w:rPr>
        <w:t xml:space="preserve">s’il est </w:t>
      </w:r>
      <w:r w:rsidR="00FE5CF2" w:rsidRPr="003F7104">
        <w:rPr>
          <w:snapToGrid w:val="0"/>
          <w:lang w:val="fr-FR"/>
        </w:rPr>
        <w:t>intégralement ou partiellement i</w:t>
      </w:r>
      <w:r w:rsidR="00FE5CF2">
        <w:rPr>
          <w:snapToGrid w:val="0"/>
          <w:lang w:val="fr-FR"/>
        </w:rPr>
        <w:t>mputable à l’intéressé que le</w:t>
      </w:r>
      <w:r w:rsidR="003F7104" w:rsidRPr="003F7104">
        <w:rPr>
          <w:snapToGrid w:val="0"/>
          <w:lang w:val="fr-FR"/>
        </w:rPr>
        <w:t xml:space="preserve"> fait nouveau </w:t>
      </w:r>
      <w:r w:rsidR="00FE5CF2">
        <w:rPr>
          <w:snapToGrid w:val="0"/>
          <w:lang w:val="fr-FR"/>
        </w:rPr>
        <w:t>n’a pas été révélé plus tôt</w:t>
      </w:r>
      <w:r w:rsidR="000B562B" w:rsidRPr="00A176EA">
        <w:rPr>
          <w:snapToGrid w:val="0"/>
          <w:lang w:val="fr-FR"/>
        </w:rPr>
        <w:t>.</w:t>
      </w:r>
    </w:p>
    <w:p w:rsidR="000B562B" w:rsidRPr="006D07AA" w:rsidRDefault="002549A9" w:rsidP="00434B45">
      <w:pPr>
        <w:pStyle w:val="SingleTxtG"/>
        <w:rPr>
          <w:snapToGrid w:val="0"/>
          <w:lang w:val="fr-FR"/>
        </w:rPr>
      </w:pPr>
      <w:r w:rsidRPr="006D07AA">
        <w:rPr>
          <w:snapToGrid w:val="0"/>
          <w:lang w:val="fr-FR"/>
        </w:rPr>
        <w:t>778.</w:t>
      </w:r>
      <w:r w:rsidRPr="006D07AA">
        <w:rPr>
          <w:snapToGrid w:val="0"/>
          <w:lang w:val="fr-FR"/>
        </w:rPr>
        <w:tab/>
      </w:r>
      <w:r w:rsidR="00FE5CF2" w:rsidRPr="006D07AA">
        <w:rPr>
          <w:snapToGrid w:val="0"/>
          <w:lang w:val="fr-FR"/>
        </w:rPr>
        <w:t>Si le Secrétaire</w:t>
      </w:r>
      <w:r w:rsidR="000B562B" w:rsidRPr="006D07AA">
        <w:rPr>
          <w:snapToGrid w:val="0"/>
          <w:lang w:val="fr-FR"/>
        </w:rPr>
        <w:t xml:space="preserve"> </w:t>
      </w:r>
      <w:r w:rsidR="00FE5CF2" w:rsidRPr="006D07AA">
        <w:rPr>
          <w:snapToGrid w:val="0"/>
          <w:lang w:val="fr-FR"/>
        </w:rPr>
        <w:t xml:space="preserve">d’État </w:t>
      </w:r>
      <w:r w:rsidR="006D07AA" w:rsidRPr="006D07AA">
        <w:rPr>
          <w:snapToGrid w:val="0"/>
          <w:lang w:val="fr-FR"/>
        </w:rPr>
        <w:t xml:space="preserve">considère </w:t>
      </w:r>
      <w:r w:rsidR="00FE5CF2" w:rsidRPr="006D07AA">
        <w:rPr>
          <w:snapToGrid w:val="0"/>
          <w:lang w:val="fr-FR"/>
        </w:rPr>
        <w:t>qu’une indemnisation est justifiée au titre de l’article 133 de la loi de 1988 sur la justice pénale, son montant est fixé par un expert indépendant en fonction de ladite loi</w:t>
      </w:r>
      <w:r w:rsidR="000B562B" w:rsidRPr="006D07AA">
        <w:rPr>
          <w:snapToGrid w:val="0"/>
          <w:lang w:val="fr-FR"/>
        </w:rPr>
        <w:t>.</w:t>
      </w:r>
    </w:p>
    <w:p w:rsidR="003563F1" w:rsidRDefault="003563F1" w:rsidP="00434B45">
      <w:pPr>
        <w:pStyle w:val="H23G"/>
        <w:rPr>
          <w:lang w:val="fr-FR"/>
        </w:rPr>
      </w:pPr>
      <w:r w:rsidRPr="003563F1">
        <w:rPr>
          <w:lang w:val="fr-FR"/>
        </w:rPr>
        <w:t>Mécanismes nationaux pour l’application des droits de l’homme</w:t>
      </w:r>
    </w:p>
    <w:p w:rsidR="000B562B" w:rsidRPr="00A176EA" w:rsidRDefault="003563F1" w:rsidP="00434B45">
      <w:pPr>
        <w:pStyle w:val="H23G"/>
        <w:rPr>
          <w:lang w:val="fr-FR"/>
        </w:rPr>
      </w:pPr>
      <w:r>
        <w:rPr>
          <w:lang w:val="fr-FR"/>
        </w:rPr>
        <w:t>Commission mixte des droits de l’homme</w:t>
      </w:r>
    </w:p>
    <w:p w:rsidR="000B562B" w:rsidRPr="00A176EA" w:rsidRDefault="002549A9" w:rsidP="00434B45">
      <w:pPr>
        <w:pStyle w:val="SingleTxtG"/>
        <w:rPr>
          <w:lang w:val="fr-FR"/>
        </w:rPr>
      </w:pPr>
      <w:r w:rsidRPr="00A176EA">
        <w:rPr>
          <w:lang w:val="fr-FR"/>
        </w:rPr>
        <w:t>779.</w:t>
      </w:r>
      <w:r w:rsidRPr="00A176EA">
        <w:rPr>
          <w:lang w:val="fr-FR"/>
        </w:rPr>
        <w:tab/>
      </w:r>
      <w:r w:rsidR="003563F1">
        <w:rPr>
          <w:lang w:val="fr-FR"/>
        </w:rPr>
        <w:t>Pour faire le point sur les progrès enregistrés en matière de promotion et de protection des droits de l’homme au Royaume-Uni</w:t>
      </w:r>
      <w:r w:rsidR="000B562B" w:rsidRPr="00A176EA">
        <w:rPr>
          <w:lang w:val="fr-FR"/>
        </w:rPr>
        <w:t xml:space="preserve">, </w:t>
      </w:r>
      <w:r w:rsidR="00971257">
        <w:rPr>
          <w:lang w:val="fr-FR"/>
        </w:rPr>
        <w:t>une commission parlementaire spécialisée, la Commission mixte des droits de l’homme, enquête sur toutes les questions relatives aux droits de l’homme et soumet ses conclusions et ses recommandations au Parlement</w:t>
      </w:r>
      <w:r w:rsidR="000B562B" w:rsidRPr="00A176EA">
        <w:rPr>
          <w:lang w:val="fr-FR"/>
        </w:rPr>
        <w:t>.</w:t>
      </w:r>
    </w:p>
    <w:p w:rsidR="000B562B" w:rsidRPr="00A176EA" w:rsidRDefault="002549A9" w:rsidP="00971257">
      <w:pPr>
        <w:pStyle w:val="SingleTxtG"/>
        <w:rPr>
          <w:szCs w:val="24"/>
          <w:lang w:val="fr-FR"/>
        </w:rPr>
      </w:pPr>
      <w:r w:rsidRPr="00A176EA">
        <w:rPr>
          <w:szCs w:val="24"/>
          <w:lang w:val="fr-FR"/>
        </w:rPr>
        <w:t>780.</w:t>
      </w:r>
      <w:r w:rsidRPr="00A176EA">
        <w:rPr>
          <w:szCs w:val="24"/>
          <w:lang w:val="fr-FR"/>
        </w:rPr>
        <w:tab/>
      </w:r>
      <w:r w:rsidR="00971257">
        <w:rPr>
          <w:szCs w:val="24"/>
          <w:lang w:val="fr-FR"/>
        </w:rPr>
        <w:t>La Commission se compose de 12 membres nommés par les deux chambres du Parlement et représent</w:t>
      </w:r>
      <w:r w:rsidR="00B25FB7">
        <w:rPr>
          <w:szCs w:val="24"/>
          <w:lang w:val="fr-FR"/>
        </w:rPr>
        <w:t>a</w:t>
      </w:r>
      <w:r w:rsidR="00971257">
        <w:rPr>
          <w:szCs w:val="24"/>
          <w:lang w:val="fr-FR"/>
        </w:rPr>
        <w:t xml:space="preserve">nt tous les partis. La Commission examine tous les projets de loi et sélectionne pour analyse ceux qui ont des incidences importantes sur les droits de l’homme. Elle ne peut se saisir d’affaires individuelles, mais elle examine la façon dont le Gouvernement tient compte des décisions des juridictions britanniques et de la Cour européenne des droits de l’homme relatives </w:t>
      </w:r>
      <w:r w:rsidR="00B25FB7">
        <w:rPr>
          <w:szCs w:val="24"/>
          <w:lang w:val="fr-FR"/>
        </w:rPr>
        <w:t>aux</w:t>
      </w:r>
      <w:r w:rsidR="00971257">
        <w:rPr>
          <w:szCs w:val="24"/>
          <w:lang w:val="fr-FR"/>
        </w:rPr>
        <w:t xml:space="preserve"> violation</w:t>
      </w:r>
      <w:r w:rsidR="00B25FB7">
        <w:rPr>
          <w:szCs w:val="24"/>
          <w:lang w:val="fr-FR"/>
        </w:rPr>
        <w:t>s</w:t>
      </w:r>
      <w:r w:rsidR="00971257">
        <w:rPr>
          <w:szCs w:val="24"/>
          <w:lang w:val="fr-FR"/>
        </w:rPr>
        <w:t xml:space="preserve"> des droits de l’homme. À cet effet, elle examine les ordonnances correctives prises par le Gouvernement pour modifier la législation comme suite à une décision judiciaire d’incompatibilité avec les droits inscrits dans la Convention</w:t>
      </w:r>
      <w:r w:rsidR="000B562B" w:rsidRPr="00A176EA">
        <w:rPr>
          <w:lang w:val="fr-FR"/>
        </w:rPr>
        <w:t>.</w:t>
      </w:r>
    </w:p>
    <w:p w:rsidR="000B562B" w:rsidRPr="00A176EA" w:rsidRDefault="00971257" w:rsidP="00434B45">
      <w:pPr>
        <w:pStyle w:val="H23G"/>
        <w:rPr>
          <w:lang w:val="fr-FR"/>
        </w:rPr>
      </w:pPr>
      <w:r w:rsidRPr="00A176EA">
        <w:rPr>
          <w:lang w:val="fr-FR"/>
        </w:rPr>
        <w:t xml:space="preserve">Commissions </w:t>
      </w:r>
      <w:r w:rsidR="00235D41">
        <w:rPr>
          <w:lang w:val="fr-FR"/>
        </w:rPr>
        <w:t>des droits de l’homme</w:t>
      </w:r>
      <w:r w:rsidR="000B562B" w:rsidRPr="00A176EA">
        <w:rPr>
          <w:lang w:val="fr-FR"/>
        </w:rPr>
        <w:t xml:space="preserve"> </w:t>
      </w:r>
    </w:p>
    <w:p w:rsidR="000B562B" w:rsidRPr="006D07AA" w:rsidRDefault="002549A9" w:rsidP="00434B45">
      <w:pPr>
        <w:pStyle w:val="SingleTxtG"/>
        <w:rPr>
          <w:lang w:val="fr-FR"/>
        </w:rPr>
      </w:pPr>
      <w:r w:rsidRPr="006D07AA">
        <w:rPr>
          <w:lang w:val="fr-FR"/>
        </w:rPr>
        <w:t>781.</w:t>
      </w:r>
      <w:r w:rsidRPr="006D07AA">
        <w:rPr>
          <w:lang w:val="fr-FR"/>
        </w:rPr>
        <w:tab/>
      </w:r>
      <w:r w:rsidR="007C5705" w:rsidRPr="006D07AA">
        <w:rPr>
          <w:lang w:val="fr-FR"/>
        </w:rPr>
        <w:t>Il existe au Royaume-Uni trois commissions nationales indépendantes des droits de l’homme</w:t>
      </w:r>
      <w:r w:rsidR="00FC2B97">
        <w:rPr>
          <w:lang w:val="fr-FR"/>
        </w:rPr>
        <w:t>:</w:t>
      </w:r>
      <w:r w:rsidR="000B562B" w:rsidRPr="006D07AA">
        <w:rPr>
          <w:lang w:val="fr-FR"/>
        </w:rPr>
        <w:t xml:space="preserve"> </w:t>
      </w:r>
      <w:r w:rsidR="007C5705" w:rsidRPr="006D07AA">
        <w:rPr>
          <w:lang w:val="fr-FR"/>
        </w:rPr>
        <w:t>la</w:t>
      </w:r>
      <w:r w:rsidR="000B562B" w:rsidRPr="006D07AA">
        <w:rPr>
          <w:lang w:val="fr-FR"/>
        </w:rPr>
        <w:t xml:space="preserve"> </w:t>
      </w:r>
      <w:r w:rsidR="00696DBF" w:rsidRPr="006D07AA">
        <w:rPr>
          <w:lang w:val="fr-FR"/>
        </w:rPr>
        <w:t>Commission de l'égalité et des droits de l'homme</w:t>
      </w:r>
      <w:r w:rsidR="000B562B" w:rsidRPr="006D07AA">
        <w:rPr>
          <w:lang w:val="fr-FR"/>
        </w:rPr>
        <w:t xml:space="preserve">, </w:t>
      </w:r>
      <w:r w:rsidR="009F78EA" w:rsidRPr="006D07AA">
        <w:rPr>
          <w:lang w:val="fr-FR"/>
        </w:rPr>
        <w:t>la</w:t>
      </w:r>
      <w:r w:rsidR="000B562B" w:rsidRPr="006D07AA">
        <w:rPr>
          <w:lang w:val="fr-FR"/>
        </w:rPr>
        <w:t xml:space="preserve"> </w:t>
      </w:r>
      <w:r w:rsidR="009F78EA" w:rsidRPr="006D07AA">
        <w:rPr>
          <w:lang w:val="fr-FR"/>
        </w:rPr>
        <w:t xml:space="preserve">Commission des droits de l’homme </w:t>
      </w:r>
      <w:r w:rsidR="008A33B0" w:rsidRPr="006D07AA">
        <w:rPr>
          <w:lang w:val="fr-FR"/>
        </w:rPr>
        <w:t>d’</w:t>
      </w:r>
      <w:r w:rsidR="008F3DA4" w:rsidRPr="006D07AA">
        <w:rPr>
          <w:lang w:val="fr-FR"/>
        </w:rPr>
        <w:t>Irlande du Nord</w:t>
      </w:r>
      <w:r w:rsidR="000B562B" w:rsidRPr="006D07AA">
        <w:rPr>
          <w:lang w:val="fr-FR"/>
        </w:rPr>
        <w:t xml:space="preserve"> </w:t>
      </w:r>
      <w:r w:rsidR="00B25FB7">
        <w:rPr>
          <w:lang w:val="fr-FR"/>
        </w:rPr>
        <w:t xml:space="preserve">et </w:t>
      </w:r>
      <w:r w:rsidR="009F78EA" w:rsidRPr="006D07AA">
        <w:rPr>
          <w:lang w:val="fr-FR"/>
        </w:rPr>
        <w:t>la</w:t>
      </w:r>
      <w:r w:rsidR="000B562B" w:rsidRPr="006D07AA">
        <w:rPr>
          <w:lang w:val="fr-FR"/>
        </w:rPr>
        <w:t xml:space="preserve"> </w:t>
      </w:r>
      <w:r w:rsidR="009F78EA" w:rsidRPr="006D07AA">
        <w:rPr>
          <w:lang w:val="fr-FR"/>
        </w:rPr>
        <w:t>Commission écossaise des droits de l’homme. Toutes</w:t>
      </w:r>
      <w:r w:rsidR="000B562B" w:rsidRPr="006D07AA">
        <w:rPr>
          <w:lang w:val="fr-FR"/>
        </w:rPr>
        <w:t xml:space="preserve"> </w:t>
      </w:r>
      <w:r w:rsidR="009F78EA" w:rsidRPr="006D07AA">
        <w:rPr>
          <w:lang w:val="fr-FR"/>
        </w:rPr>
        <w:t>sont financées par des fonds publics, mais elles sont indépendantes du Gouvernement</w:t>
      </w:r>
      <w:r w:rsidR="000B562B" w:rsidRPr="006D07AA">
        <w:rPr>
          <w:lang w:val="fr-FR"/>
        </w:rPr>
        <w:t>.</w:t>
      </w:r>
    </w:p>
    <w:p w:rsidR="000B562B" w:rsidRPr="006D07AA" w:rsidRDefault="002549A9" w:rsidP="008A33B0">
      <w:pPr>
        <w:pStyle w:val="SingleTxtG"/>
        <w:rPr>
          <w:lang w:val="fr-FR"/>
        </w:rPr>
      </w:pPr>
      <w:r w:rsidRPr="006D07AA">
        <w:rPr>
          <w:lang w:val="fr-FR"/>
        </w:rPr>
        <w:t>782.</w:t>
      </w:r>
      <w:r w:rsidRPr="006D07AA">
        <w:rPr>
          <w:lang w:val="fr-FR"/>
        </w:rPr>
        <w:tab/>
      </w:r>
      <w:r w:rsidR="009F78EA" w:rsidRPr="006D07AA">
        <w:rPr>
          <w:color w:val="000000"/>
          <w:lang w:val="fr-FR"/>
        </w:rPr>
        <w:t>La</w:t>
      </w:r>
      <w:r w:rsidR="000B562B" w:rsidRPr="006D07AA">
        <w:rPr>
          <w:color w:val="000000"/>
          <w:lang w:val="fr-FR"/>
        </w:rPr>
        <w:t xml:space="preserve"> </w:t>
      </w:r>
      <w:r w:rsidR="00696DBF" w:rsidRPr="006D07AA">
        <w:rPr>
          <w:lang w:val="fr-FR"/>
        </w:rPr>
        <w:t>Commission de l'égalité et des droits de l'homme</w:t>
      </w:r>
      <w:r w:rsidR="000B562B" w:rsidRPr="006D07AA">
        <w:rPr>
          <w:color w:val="000000"/>
          <w:lang w:val="fr-FR"/>
        </w:rPr>
        <w:t xml:space="preserve"> </w:t>
      </w:r>
      <w:r w:rsidR="009F78EA" w:rsidRPr="006D07AA">
        <w:rPr>
          <w:color w:val="000000"/>
          <w:lang w:val="fr-FR"/>
        </w:rPr>
        <w:t>a été créée le 1</w:t>
      </w:r>
      <w:r w:rsidR="009F78EA" w:rsidRPr="006D07AA">
        <w:rPr>
          <w:color w:val="000000"/>
          <w:vertAlign w:val="superscript"/>
          <w:lang w:val="fr-FR"/>
        </w:rPr>
        <w:t>er</w:t>
      </w:r>
      <w:r w:rsidR="009F78EA" w:rsidRPr="006D07AA">
        <w:rPr>
          <w:color w:val="000000"/>
          <w:lang w:val="fr-FR"/>
        </w:rPr>
        <w:t xml:space="preserve"> octobre </w:t>
      </w:r>
      <w:r w:rsidR="000B562B" w:rsidRPr="006D07AA">
        <w:rPr>
          <w:lang w:val="fr-FR"/>
        </w:rPr>
        <w:t xml:space="preserve">2007. </w:t>
      </w:r>
      <w:r w:rsidR="009F78EA" w:rsidRPr="006D07AA">
        <w:rPr>
          <w:lang w:val="fr-FR"/>
        </w:rPr>
        <w:t>Elle a pour mission de promouvoir l’égalité et les droits de l’homme pour tous, d’œuvrer à l’élimination de la discrimination, de réduire les inégalités, de protéger les droits de l’homme, et d’instaurer de bonnes relations entre les communautés, de façon à garantir à chacun la possibilité de participer à la vie de la société. Sa compétence s’étend à l’Angleterre, au pays de Galles et à l’Écosse</w:t>
      </w:r>
      <w:r w:rsidR="000B562B" w:rsidRPr="006D07AA">
        <w:rPr>
          <w:lang w:val="fr-FR"/>
        </w:rPr>
        <w:t xml:space="preserve">. </w:t>
      </w:r>
      <w:r w:rsidR="00307D4A" w:rsidRPr="006D07AA">
        <w:rPr>
          <w:lang w:val="fr-FR"/>
        </w:rPr>
        <w:t xml:space="preserve">Elle </w:t>
      </w:r>
      <w:r w:rsidR="008A33B0" w:rsidRPr="006D07AA">
        <w:rPr>
          <w:lang w:val="fr-FR"/>
        </w:rPr>
        <w:t>a repris</w:t>
      </w:r>
      <w:r w:rsidR="00307D4A" w:rsidRPr="006D07AA">
        <w:rPr>
          <w:lang w:val="fr-FR"/>
        </w:rPr>
        <w:t xml:space="preserve"> les activités des trois précédentes commissions pour l’égalité des droits (égalité raciale, égalité des sexes et droits des personnes handicapées) et </w:t>
      </w:r>
      <w:r w:rsidR="00B25FB7">
        <w:rPr>
          <w:lang w:val="fr-FR"/>
        </w:rPr>
        <w:t>traite les</w:t>
      </w:r>
      <w:r w:rsidR="00307D4A" w:rsidRPr="006D07AA">
        <w:rPr>
          <w:lang w:val="fr-FR"/>
        </w:rPr>
        <w:t xml:space="preserve"> nouveaux aspects de la législation antidiscrimination (</w:t>
      </w:r>
      <w:r w:rsidR="008A33B0" w:rsidRPr="006D07AA">
        <w:rPr>
          <w:lang w:val="fr-FR"/>
        </w:rPr>
        <w:t xml:space="preserve">âge, orientation sexuelle et religion ou conviction), ainsi que </w:t>
      </w:r>
      <w:r w:rsidR="00B25FB7">
        <w:rPr>
          <w:lang w:val="fr-FR"/>
        </w:rPr>
        <w:t>l</w:t>
      </w:r>
      <w:r w:rsidR="008A33B0" w:rsidRPr="006D07AA">
        <w:rPr>
          <w:lang w:val="fr-FR"/>
        </w:rPr>
        <w:t>es droits de l’homme. Elle est habilitée à faire appliquer la législation sur l’égalité et doit encourager le respect de la loi sur les droits de l’homme</w:t>
      </w:r>
      <w:r w:rsidR="000B562B" w:rsidRPr="006D07AA">
        <w:rPr>
          <w:lang w:val="fr-FR"/>
        </w:rPr>
        <w:t>.</w:t>
      </w:r>
    </w:p>
    <w:p w:rsidR="000B562B" w:rsidRPr="00A176EA" w:rsidRDefault="002549A9" w:rsidP="008A33B0">
      <w:pPr>
        <w:pStyle w:val="SingleTxtG"/>
        <w:rPr>
          <w:lang w:val="fr-FR"/>
        </w:rPr>
      </w:pPr>
      <w:r w:rsidRPr="00A176EA">
        <w:rPr>
          <w:lang w:val="fr-FR"/>
        </w:rPr>
        <w:t>783.</w:t>
      </w:r>
      <w:r w:rsidRPr="00A176EA">
        <w:rPr>
          <w:lang w:val="fr-FR"/>
        </w:rPr>
        <w:tab/>
      </w:r>
      <w:r w:rsidR="008A33B0" w:rsidRPr="008A33B0">
        <w:rPr>
          <w:lang w:val="fr-FR"/>
        </w:rPr>
        <w:t xml:space="preserve">La Commission des droits de l’homme d’Irlande du Nord, </w:t>
      </w:r>
      <w:r w:rsidR="00B25FB7">
        <w:rPr>
          <w:lang w:val="fr-FR"/>
        </w:rPr>
        <w:t>organisme public</w:t>
      </w:r>
      <w:r w:rsidR="008A33B0" w:rsidRPr="008A33B0">
        <w:rPr>
          <w:lang w:val="fr-FR"/>
        </w:rPr>
        <w:t xml:space="preserve"> indépendant créé en 1999, a pour mission de sensibiliser l’opinion à l’importance des droits de l’homme en Irlande du Nord, d’examiner le droit et la jurisprudence en la matière, et de conseiller le Gouvernement sur les mesures à prendre pour protéger les droits de l’homme. Elle peut ouvrir des enquêtes, aider les particuliers qui décident de saisir la justice ou intenter elle-même </w:t>
      </w:r>
      <w:r w:rsidR="00B25FB7">
        <w:rPr>
          <w:lang w:val="fr-FR"/>
        </w:rPr>
        <w:t>des</w:t>
      </w:r>
      <w:r w:rsidR="008A33B0" w:rsidRPr="008A33B0">
        <w:rPr>
          <w:lang w:val="fr-FR"/>
        </w:rPr>
        <w:t xml:space="preserve"> action</w:t>
      </w:r>
      <w:r w:rsidR="00B25FB7">
        <w:rPr>
          <w:lang w:val="fr-FR"/>
        </w:rPr>
        <w:t>s</w:t>
      </w:r>
      <w:r w:rsidR="000B562B" w:rsidRPr="008A33B0">
        <w:rPr>
          <w:lang w:val="fr-FR"/>
        </w:rPr>
        <w:t>.</w:t>
      </w:r>
    </w:p>
    <w:p w:rsidR="000B562B" w:rsidRPr="008A33B0" w:rsidRDefault="002549A9" w:rsidP="00434B45">
      <w:pPr>
        <w:pStyle w:val="SingleTxtG"/>
        <w:rPr>
          <w:lang w:val="fr-FR"/>
        </w:rPr>
      </w:pPr>
      <w:r w:rsidRPr="008A33B0">
        <w:rPr>
          <w:lang w:val="fr-FR"/>
        </w:rPr>
        <w:t>784.</w:t>
      </w:r>
      <w:r w:rsidRPr="008A33B0">
        <w:rPr>
          <w:lang w:val="fr-FR"/>
        </w:rPr>
        <w:tab/>
      </w:r>
      <w:r w:rsidR="008A33B0" w:rsidRPr="008A33B0">
        <w:rPr>
          <w:lang w:val="fr-FR"/>
        </w:rPr>
        <w:t>La Commission écossaise des droits de l’homme a été créée en vertu de la loi de 2006 sur la Commission écossaise des droits de l’homme et a été mise en place en 2008. Elle a pour principal objectif de promouvoir les droits de l’homme et d’encourager les meilleures pratiques en la matière (ses attributions ne s’étendent pas à la législation relative à l’égalité car la question ne relève pas de la compétence du Parlement écossais). Elle peut également examiner et recommander des modifications à apporter à la législation ainsi qu’aux politiques et pratiques des autorités écossaises. Elle est habilitée à demander des informations sur les centres de détention et à visiter ceux-ci, ainsi qu’à intervenir dans les procédures judiciaires liées aux droits de l’homme</w:t>
      </w:r>
      <w:r w:rsidR="000B562B" w:rsidRPr="008A33B0">
        <w:rPr>
          <w:lang w:val="fr-FR"/>
        </w:rPr>
        <w:t>.</w:t>
      </w:r>
    </w:p>
    <w:p w:rsidR="000B562B" w:rsidRPr="008A33B0" w:rsidRDefault="00E75578" w:rsidP="00434B45">
      <w:pPr>
        <w:pStyle w:val="H23G"/>
        <w:rPr>
          <w:lang w:val="fr-FR"/>
        </w:rPr>
      </w:pPr>
      <w:r w:rsidRPr="008A33B0">
        <w:rPr>
          <w:lang w:val="fr-FR"/>
        </w:rPr>
        <w:t>Commissaire à l’enfance</w:t>
      </w:r>
    </w:p>
    <w:p w:rsidR="000B562B" w:rsidRPr="00A176EA" w:rsidRDefault="002549A9" w:rsidP="00434B45">
      <w:pPr>
        <w:pStyle w:val="SingleTxtG"/>
        <w:rPr>
          <w:lang w:val="fr-FR"/>
        </w:rPr>
      </w:pPr>
      <w:r w:rsidRPr="008A33B0">
        <w:rPr>
          <w:lang w:val="fr-FR"/>
        </w:rPr>
        <w:t>785.</w:t>
      </w:r>
      <w:r w:rsidRPr="008A33B0">
        <w:rPr>
          <w:lang w:val="fr-FR"/>
        </w:rPr>
        <w:tab/>
      </w:r>
      <w:r w:rsidR="00E75578" w:rsidRPr="008A33B0">
        <w:rPr>
          <w:lang w:val="fr-FR"/>
        </w:rPr>
        <w:t xml:space="preserve">Le Royaume-Uni a créé un Commissaire à l’enfance indépendant dans chaque juridiction britannique. </w:t>
      </w:r>
      <w:r w:rsidR="008A33B0">
        <w:rPr>
          <w:lang w:val="fr-FR"/>
        </w:rPr>
        <w:t>La mission</w:t>
      </w:r>
      <w:r w:rsidR="000B562B" w:rsidRPr="008A33B0">
        <w:rPr>
          <w:lang w:val="fr-FR"/>
        </w:rPr>
        <w:t xml:space="preserve"> </w:t>
      </w:r>
      <w:r w:rsidR="00E75578" w:rsidRPr="008A33B0">
        <w:rPr>
          <w:lang w:val="fr-FR"/>
        </w:rPr>
        <w:t xml:space="preserve">du Commissaire à l’enfance pour le </w:t>
      </w:r>
      <w:r w:rsidR="008A33B0">
        <w:rPr>
          <w:lang w:val="fr-FR"/>
        </w:rPr>
        <w:t>p</w:t>
      </w:r>
      <w:r w:rsidR="005601A1" w:rsidRPr="008A33B0">
        <w:rPr>
          <w:lang w:val="fr-FR"/>
        </w:rPr>
        <w:t>ays de Galles</w:t>
      </w:r>
      <w:r w:rsidR="000B562B" w:rsidRPr="008A33B0">
        <w:rPr>
          <w:lang w:val="fr-FR"/>
        </w:rPr>
        <w:t xml:space="preserve">, </w:t>
      </w:r>
      <w:r w:rsidR="00E75578" w:rsidRPr="008A33B0">
        <w:rPr>
          <w:lang w:val="fr-FR"/>
        </w:rPr>
        <w:t>du</w:t>
      </w:r>
      <w:r w:rsidR="000B562B" w:rsidRPr="008A33B0">
        <w:rPr>
          <w:rFonts w:cs="Arial"/>
          <w:lang w:val="fr-FR"/>
        </w:rPr>
        <w:t xml:space="preserve"> </w:t>
      </w:r>
      <w:r w:rsidR="00E75578" w:rsidRPr="008A33B0">
        <w:rPr>
          <w:lang w:val="fr-FR"/>
        </w:rPr>
        <w:t>Commissaire à l’enfance et à la jeunesse pour l’Irlande du Nord</w:t>
      </w:r>
      <w:r w:rsidR="000B562B" w:rsidRPr="008A33B0">
        <w:rPr>
          <w:rFonts w:cs="Arial"/>
          <w:lang w:val="fr-FR"/>
        </w:rPr>
        <w:t xml:space="preserve"> </w:t>
      </w:r>
      <w:r w:rsidR="00E75578" w:rsidRPr="008A33B0">
        <w:rPr>
          <w:lang w:val="fr-FR"/>
        </w:rPr>
        <w:t>et</w:t>
      </w:r>
      <w:r w:rsidR="000B562B" w:rsidRPr="008A33B0">
        <w:rPr>
          <w:lang w:val="fr-FR"/>
        </w:rPr>
        <w:t xml:space="preserve"> </w:t>
      </w:r>
      <w:r w:rsidR="00E75578" w:rsidRPr="008A33B0">
        <w:rPr>
          <w:lang w:val="fr-FR"/>
        </w:rPr>
        <w:t>du</w:t>
      </w:r>
      <w:r w:rsidR="000B562B" w:rsidRPr="008A33B0">
        <w:rPr>
          <w:lang w:val="fr-FR"/>
        </w:rPr>
        <w:t xml:space="preserve"> </w:t>
      </w:r>
      <w:r w:rsidR="00E75578" w:rsidRPr="008A33B0">
        <w:rPr>
          <w:lang w:val="fr-FR"/>
        </w:rPr>
        <w:t>Commissaire à l’enfance et à la jeunesse d’</w:t>
      </w:r>
      <w:r w:rsidR="00FD2CE1" w:rsidRPr="008A33B0">
        <w:rPr>
          <w:lang w:val="fr-FR"/>
        </w:rPr>
        <w:t>Écosse</w:t>
      </w:r>
      <w:r w:rsidR="000B562B" w:rsidRPr="008A33B0">
        <w:rPr>
          <w:lang w:val="fr-FR"/>
        </w:rPr>
        <w:t xml:space="preserve"> </w:t>
      </w:r>
      <w:r w:rsidR="00E75578" w:rsidRPr="008A33B0">
        <w:rPr>
          <w:lang w:val="fr-FR"/>
        </w:rPr>
        <w:t>e</w:t>
      </w:r>
      <w:r w:rsidR="008A33B0">
        <w:rPr>
          <w:lang w:val="fr-FR"/>
        </w:rPr>
        <w:t>s</w:t>
      </w:r>
      <w:r w:rsidR="00E75578" w:rsidRPr="008A33B0">
        <w:rPr>
          <w:lang w:val="fr-FR"/>
        </w:rPr>
        <w:t>t de protéger et de promouvoir les droits de l’enfant</w:t>
      </w:r>
      <w:r w:rsidR="000B562B" w:rsidRPr="008A33B0">
        <w:rPr>
          <w:lang w:val="fr-FR"/>
        </w:rPr>
        <w:t>.</w:t>
      </w:r>
    </w:p>
    <w:p w:rsidR="000B562B" w:rsidRPr="00A176EA" w:rsidRDefault="002549A9" w:rsidP="00460C37">
      <w:pPr>
        <w:pStyle w:val="SingleTxtG"/>
        <w:rPr>
          <w:lang w:val="fr-FR"/>
        </w:rPr>
      </w:pPr>
      <w:r w:rsidRPr="00A176EA">
        <w:rPr>
          <w:lang w:val="fr-FR"/>
        </w:rPr>
        <w:t>786.</w:t>
      </w:r>
      <w:r w:rsidRPr="00A176EA">
        <w:rPr>
          <w:lang w:val="fr-FR"/>
        </w:rPr>
        <w:tab/>
      </w:r>
      <w:r w:rsidR="008A33B0">
        <w:rPr>
          <w:lang w:val="fr-FR"/>
        </w:rPr>
        <w:t>Ces fonctions diffèrent de celle</w:t>
      </w:r>
      <w:r w:rsidR="00460C37">
        <w:rPr>
          <w:lang w:val="fr-FR"/>
        </w:rPr>
        <w:t>s</w:t>
      </w:r>
      <w:r w:rsidR="008A33B0">
        <w:rPr>
          <w:lang w:val="fr-FR"/>
        </w:rPr>
        <w:t xml:space="preserve"> du Commissaire à l’enfance pour l’Angleterre,</w:t>
      </w:r>
      <w:r w:rsidR="00460C37">
        <w:rPr>
          <w:lang w:val="fr-FR"/>
        </w:rPr>
        <w:t xml:space="preserve"> qui a pour mandat de sensibiliser aux opinions et aux intérêts des enfants en Angleterre. Toutefois, à l’issue d’un examen indépendant de ses fonctions, le Gouvernement a accepté par principe toutes les recommandations formulées. Outre lui octroyer une plus grande indépendance, le Gouvernement modifiera son mandat pour y inclure la promotion et la protection des droits de l’enfant, conformément à la Convention des Nations Unies relative aux droits de l’enfant</w:t>
      </w:r>
      <w:r w:rsidR="000B562B" w:rsidRPr="00A176EA">
        <w:rPr>
          <w:lang w:val="fr-FR"/>
        </w:rPr>
        <w:t>.</w:t>
      </w:r>
    </w:p>
    <w:p w:rsidR="000B562B" w:rsidRPr="00A176EA" w:rsidRDefault="00460C37" w:rsidP="00434B45">
      <w:pPr>
        <w:pStyle w:val="H23G"/>
        <w:rPr>
          <w:lang w:val="fr-FR"/>
        </w:rPr>
      </w:pPr>
      <w:r w:rsidRPr="00A176EA">
        <w:rPr>
          <w:lang w:val="fr-FR"/>
        </w:rPr>
        <w:t xml:space="preserve">Protection </w:t>
      </w:r>
      <w:r>
        <w:rPr>
          <w:lang w:val="fr-FR"/>
        </w:rPr>
        <w:t>des données et liberté</w:t>
      </w:r>
      <w:r w:rsidR="000B562B" w:rsidRPr="00A176EA">
        <w:rPr>
          <w:lang w:val="fr-FR"/>
        </w:rPr>
        <w:t xml:space="preserve"> </w:t>
      </w:r>
      <w:r>
        <w:rPr>
          <w:lang w:val="fr-FR"/>
        </w:rPr>
        <w:t>d</w:t>
      </w:r>
      <w:r w:rsidR="00741A77">
        <w:rPr>
          <w:lang w:val="fr-FR"/>
        </w:rPr>
        <w:t>e l</w:t>
      </w:r>
      <w:r>
        <w:rPr>
          <w:lang w:val="fr-FR"/>
        </w:rPr>
        <w:t>’</w:t>
      </w:r>
      <w:r w:rsidR="00741A77">
        <w:rPr>
          <w:lang w:val="fr-FR"/>
        </w:rPr>
        <w:t>i</w:t>
      </w:r>
      <w:r w:rsidR="000B562B" w:rsidRPr="00A176EA">
        <w:rPr>
          <w:lang w:val="fr-FR"/>
        </w:rPr>
        <w:t>nformation</w:t>
      </w:r>
    </w:p>
    <w:p w:rsidR="000B562B" w:rsidRPr="00A176EA" w:rsidRDefault="002549A9" w:rsidP="00434B45">
      <w:pPr>
        <w:pStyle w:val="SingleTxtG"/>
        <w:rPr>
          <w:lang w:val="fr-FR"/>
        </w:rPr>
      </w:pPr>
      <w:r w:rsidRPr="00A176EA">
        <w:rPr>
          <w:lang w:val="fr-FR"/>
        </w:rPr>
        <w:t>787.</w:t>
      </w:r>
      <w:r w:rsidRPr="00A176EA">
        <w:rPr>
          <w:lang w:val="fr-FR"/>
        </w:rPr>
        <w:tab/>
      </w:r>
      <w:r w:rsidR="00460C37" w:rsidRPr="00460C37">
        <w:rPr>
          <w:lang w:val="fr-FR"/>
        </w:rPr>
        <w:t>La loi de 2000 sur la liberté d</w:t>
      </w:r>
      <w:r w:rsidR="00741A77">
        <w:rPr>
          <w:lang w:val="fr-FR"/>
        </w:rPr>
        <w:t>e l</w:t>
      </w:r>
      <w:r w:rsidR="00460C37" w:rsidRPr="00460C37">
        <w:rPr>
          <w:lang w:val="fr-FR"/>
        </w:rPr>
        <w:t xml:space="preserve">’information, entrée en vigueur en janvier 2005, donne à chacun le droit d’avoir accès à l’information détenue par les autorités publiques. Elle s’applique aux informations enregistrées </w:t>
      </w:r>
      <w:r w:rsidR="00741A77">
        <w:rPr>
          <w:lang w:val="fr-FR"/>
        </w:rPr>
        <w:t>détenues par</w:t>
      </w:r>
      <w:r w:rsidR="00460C37" w:rsidRPr="00460C37">
        <w:rPr>
          <w:lang w:val="fr-FR"/>
        </w:rPr>
        <w:t xml:space="preserve"> les </w:t>
      </w:r>
      <w:r w:rsidR="00757E66">
        <w:rPr>
          <w:lang w:val="fr-FR"/>
        </w:rPr>
        <w:t>organismes publics</w:t>
      </w:r>
      <w:r w:rsidR="00460C37" w:rsidRPr="00460C37">
        <w:rPr>
          <w:lang w:val="fr-FR"/>
        </w:rPr>
        <w:t xml:space="preserve"> </w:t>
      </w:r>
      <w:r w:rsidR="00741A77">
        <w:rPr>
          <w:lang w:val="fr-FR"/>
        </w:rPr>
        <w:t>d’</w:t>
      </w:r>
      <w:r w:rsidR="00460C37" w:rsidRPr="00460C37">
        <w:rPr>
          <w:lang w:val="fr-FR"/>
        </w:rPr>
        <w:t xml:space="preserve">Angleterre, </w:t>
      </w:r>
      <w:r w:rsidR="00741A77">
        <w:rPr>
          <w:lang w:val="fr-FR"/>
        </w:rPr>
        <w:t>d</w:t>
      </w:r>
      <w:r w:rsidR="00460C37" w:rsidRPr="00460C37">
        <w:rPr>
          <w:lang w:val="fr-FR"/>
        </w:rPr>
        <w:t xml:space="preserve">u pays de Galles et </w:t>
      </w:r>
      <w:r w:rsidR="00741A77">
        <w:rPr>
          <w:lang w:val="fr-FR"/>
        </w:rPr>
        <w:t>d’</w:t>
      </w:r>
      <w:r w:rsidR="00460C37" w:rsidRPr="00460C37">
        <w:rPr>
          <w:lang w:val="fr-FR"/>
        </w:rPr>
        <w:t>Irlande du Nord. L’Écosse a sa propre législation, la loi de 2002 sur la liberté de l’information (Écosse)</w:t>
      </w:r>
      <w:r w:rsidR="000B562B" w:rsidRPr="00460C37">
        <w:rPr>
          <w:i/>
          <w:lang w:val="fr-FR"/>
        </w:rPr>
        <w:t>.</w:t>
      </w:r>
    </w:p>
    <w:p w:rsidR="000B562B" w:rsidRPr="00A176EA" w:rsidRDefault="002549A9" w:rsidP="009B257C">
      <w:pPr>
        <w:pStyle w:val="SingleTxtG"/>
        <w:rPr>
          <w:lang w:val="fr-FR"/>
        </w:rPr>
      </w:pPr>
      <w:r w:rsidRPr="00A176EA">
        <w:rPr>
          <w:lang w:val="fr-FR"/>
        </w:rPr>
        <w:t>788.</w:t>
      </w:r>
      <w:r w:rsidRPr="00A176EA">
        <w:rPr>
          <w:lang w:val="fr-FR"/>
        </w:rPr>
        <w:tab/>
      </w:r>
      <w:r w:rsidR="00F90D17">
        <w:rPr>
          <w:lang w:val="fr-FR"/>
        </w:rPr>
        <w:t>Hors</w:t>
      </w:r>
      <w:r w:rsidR="00460C37" w:rsidRPr="00460C37">
        <w:rPr>
          <w:lang w:val="fr-FR"/>
        </w:rPr>
        <w:t xml:space="preserve"> administration centrale, le secteur public reçoit au moins 87 000 demandes par an au titre de la liberté d</w:t>
      </w:r>
      <w:r w:rsidR="00741A77">
        <w:rPr>
          <w:lang w:val="fr-FR"/>
        </w:rPr>
        <w:t>e l</w:t>
      </w:r>
      <w:r w:rsidR="00460C37" w:rsidRPr="00460C37">
        <w:rPr>
          <w:lang w:val="fr-FR"/>
        </w:rPr>
        <w:t>’information. En 200</w:t>
      </w:r>
      <w:r w:rsidR="00460C37">
        <w:rPr>
          <w:lang w:val="fr-FR"/>
        </w:rPr>
        <w:t>9</w:t>
      </w:r>
      <w:r w:rsidR="00460C37" w:rsidRPr="00460C37">
        <w:rPr>
          <w:lang w:val="fr-FR"/>
        </w:rPr>
        <w:t xml:space="preserve">, </w:t>
      </w:r>
      <w:r w:rsidR="009246A2">
        <w:rPr>
          <w:lang w:val="fr-FR"/>
        </w:rPr>
        <w:t>l’administration</w:t>
      </w:r>
      <w:r w:rsidR="00460C37" w:rsidRPr="00460C37">
        <w:rPr>
          <w:lang w:val="fr-FR"/>
        </w:rPr>
        <w:t xml:space="preserve"> central</w:t>
      </w:r>
      <w:r w:rsidR="009246A2">
        <w:rPr>
          <w:lang w:val="fr-FR"/>
        </w:rPr>
        <w:t>e</w:t>
      </w:r>
      <w:r w:rsidR="00460C37" w:rsidRPr="00460C37">
        <w:rPr>
          <w:lang w:val="fr-FR"/>
        </w:rPr>
        <w:t xml:space="preserve"> a reçu près de </w:t>
      </w:r>
      <w:r w:rsidR="000B562B" w:rsidRPr="00460C37">
        <w:rPr>
          <w:lang w:val="fr-FR"/>
        </w:rPr>
        <w:t>40</w:t>
      </w:r>
      <w:r w:rsidR="00F90D17">
        <w:rPr>
          <w:lang w:val="fr-FR"/>
        </w:rPr>
        <w:t> </w:t>
      </w:r>
      <w:r w:rsidR="000B562B" w:rsidRPr="00460C37">
        <w:rPr>
          <w:lang w:val="fr-FR"/>
        </w:rPr>
        <w:t xml:space="preserve">000 </w:t>
      </w:r>
      <w:r w:rsidR="00F90D17">
        <w:rPr>
          <w:lang w:val="fr-FR"/>
        </w:rPr>
        <w:t>demandes relevant de la liberté d</w:t>
      </w:r>
      <w:r w:rsidR="00741A77">
        <w:rPr>
          <w:lang w:val="fr-FR"/>
        </w:rPr>
        <w:t>e l</w:t>
      </w:r>
      <w:r w:rsidR="00F90D17">
        <w:rPr>
          <w:lang w:val="fr-FR"/>
        </w:rPr>
        <w:t>’information et de la réglementation en matière d’information sur l’environnement</w:t>
      </w:r>
      <w:r w:rsidR="000B562B" w:rsidRPr="00460C37">
        <w:rPr>
          <w:lang w:val="fr-FR"/>
        </w:rPr>
        <w:t xml:space="preserve">. </w:t>
      </w:r>
      <w:r w:rsidR="00F90D17">
        <w:rPr>
          <w:lang w:val="fr-FR"/>
        </w:rPr>
        <w:t>E</w:t>
      </w:r>
      <w:r w:rsidR="000B562B" w:rsidRPr="00460C37">
        <w:rPr>
          <w:lang w:val="fr-FR"/>
        </w:rPr>
        <w:t>n 2009, 58</w:t>
      </w:r>
      <w:r w:rsidR="00EF2889">
        <w:rPr>
          <w:lang w:val="fr-FR"/>
        </w:rPr>
        <w:t> </w:t>
      </w:r>
      <w:r w:rsidR="000B562B" w:rsidRPr="00460C37">
        <w:rPr>
          <w:lang w:val="fr-FR"/>
        </w:rPr>
        <w:t xml:space="preserve">% </w:t>
      </w:r>
      <w:r w:rsidR="00741A77">
        <w:rPr>
          <w:lang w:val="fr-FR"/>
        </w:rPr>
        <w:t xml:space="preserve">des demandes à l’administration centrale ont été pleinement satisfaites et 23 % n’ont pas obtenu gain de cause. Un requérant qui n’est pas satisfait de la décision </w:t>
      </w:r>
      <w:r w:rsidR="00757E66">
        <w:rPr>
          <w:lang w:val="fr-FR"/>
        </w:rPr>
        <w:t>d’un organisme public</w:t>
      </w:r>
      <w:r w:rsidR="00741A77">
        <w:rPr>
          <w:lang w:val="fr-FR"/>
        </w:rPr>
        <w:t xml:space="preserve"> en matière d’accès à l’information peut demander à ce</w:t>
      </w:r>
      <w:r w:rsidR="00757E66">
        <w:rPr>
          <w:lang w:val="fr-FR"/>
        </w:rPr>
        <w:t>lui</w:t>
      </w:r>
      <w:r w:rsidR="00741A77">
        <w:rPr>
          <w:lang w:val="fr-FR"/>
        </w:rPr>
        <w:t>-ci d’ouvrir une enquête interne. S’il n’est pas toujours satisfait, il peut déposer une plainte auprès du Commissaire indépendant à l’information, puis auprès du Tribunal indépendant à l’information</w:t>
      </w:r>
      <w:r w:rsidR="000B562B" w:rsidRPr="00460C37">
        <w:rPr>
          <w:lang w:val="fr-FR"/>
        </w:rPr>
        <w:t>.</w:t>
      </w:r>
    </w:p>
    <w:p w:rsidR="000B562B" w:rsidRPr="00A176EA" w:rsidRDefault="002549A9" w:rsidP="006F65F6">
      <w:pPr>
        <w:pStyle w:val="SingleTxtG"/>
        <w:rPr>
          <w:lang w:val="fr-FR"/>
        </w:rPr>
      </w:pPr>
      <w:r w:rsidRPr="00A176EA">
        <w:rPr>
          <w:lang w:val="fr-FR"/>
        </w:rPr>
        <w:t>789.</w:t>
      </w:r>
      <w:r w:rsidRPr="00A176EA">
        <w:rPr>
          <w:lang w:val="fr-FR"/>
        </w:rPr>
        <w:tab/>
      </w:r>
      <w:r w:rsidR="009B257C">
        <w:rPr>
          <w:lang w:val="fr-FR"/>
        </w:rPr>
        <w:t>L</w:t>
      </w:r>
      <w:r w:rsidR="000B562B" w:rsidRPr="00A176EA">
        <w:rPr>
          <w:lang w:val="fr-FR"/>
        </w:rPr>
        <w:t>e Go</w:t>
      </w:r>
      <w:r w:rsidR="009B257C">
        <w:rPr>
          <w:lang w:val="fr-FR"/>
        </w:rPr>
        <w:t>u</w:t>
      </w:r>
      <w:r w:rsidR="000B562B" w:rsidRPr="00A176EA">
        <w:rPr>
          <w:lang w:val="fr-FR"/>
        </w:rPr>
        <w:t>vern</w:t>
      </w:r>
      <w:r w:rsidR="009B257C">
        <w:rPr>
          <w:lang w:val="fr-FR"/>
        </w:rPr>
        <w:t>e</w:t>
      </w:r>
      <w:r w:rsidR="000B562B" w:rsidRPr="00A176EA">
        <w:rPr>
          <w:lang w:val="fr-FR"/>
        </w:rPr>
        <w:t xml:space="preserve">ment </w:t>
      </w:r>
      <w:r w:rsidR="009B257C">
        <w:rPr>
          <w:lang w:val="fr-FR"/>
        </w:rPr>
        <w:t xml:space="preserve">s’emploie à faire en sorte que </w:t>
      </w:r>
      <w:r w:rsidR="006F65F6">
        <w:rPr>
          <w:lang w:val="fr-FR"/>
        </w:rPr>
        <w:t>le partage des informations s’effectue de manière sûre et contrôlée</w:t>
      </w:r>
      <w:r w:rsidR="00067766">
        <w:rPr>
          <w:lang w:val="fr-FR"/>
        </w:rPr>
        <w:t>,</w:t>
      </w:r>
      <w:r w:rsidR="006F65F6">
        <w:rPr>
          <w:lang w:val="fr-FR"/>
        </w:rPr>
        <w:t xml:space="preserve"> et reconnaît la nécessité de mettre en place des contrôles juridiques et des contrôles de processus de façon à empêcher tout partage d’informations inapproprié ou disproportionné</w:t>
      </w:r>
      <w:r w:rsidR="000B562B" w:rsidRPr="00A176EA">
        <w:rPr>
          <w:lang w:val="fr-FR"/>
        </w:rPr>
        <w:t>.</w:t>
      </w:r>
    </w:p>
    <w:p w:rsidR="000B562B" w:rsidRPr="00A176EA" w:rsidRDefault="002549A9" w:rsidP="006F65F6">
      <w:pPr>
        <w:pStyle w:val="SingleTxtG"/>
        <w:rPr>
          <w:lang w:val="fr-FR"/>
        </w:rPr>
      </w:pPr>
      <w:r w:rsidRPr="006F65F6">
        <w:rPr>
          <w:lang w:val="fr-FR"/>
        </w:rPr>
        <w:t>790.</w:t>
      </w:r>
      <w:r w:rsidRPr="006F65F6">
        <w:rPr>
          <w:lang w:val="fr-FR"/>
        </w:rPr>
        <w:tab/>
      </w:r>
      <w:r w:rsidR="006F65F6" w:rsidRPr="006F65F6">
        <w:rPr>
          <w:lang w:val="fr-FR"/>
        </w:rPr>
        <w:t xml:space="preserve">Le traitement des données à caractère personnel est régi par la loi de 1998 sur la protection des données, qui est entrée en vigueur en mars 2000 (et a remplacé la loi de 1984 sur la protection des données). En vertu de ladite loi, les organisations et les particuliers doivent se conformer aux principes relatifs à la protection des données. À ce titre, ils doivent </w:t>
      </w:r>
      <w:r w:rsidR="006F65F6">
        <w:rPr>
          <w:lang w:val="fr-FR"/>
        </w:rPr>
        <w:t>veiller à ce</w:t>
      </w:r>
      <w:r w:rsidR="006F65F6" w:rsidRPr="006F65F6">
        <w:rPr>
          <w:lang w:val="fr-FR"/>
        </w:rPr>
        <w:t xml:space="preserve"> que le traitement des données se </w:t>
      </w:r>
      <w:r w:rsidR="006F65F6">
        <w:rPr>
          <w:lang w:val="fr-FR"/>
        </w:rPr>
        <w:t>fasse</w:t>
      </w:r>
      <w:r w:rsidR="006F65F6" w:rsidRPr="006F65F6">
        <w:rPr>
          <w:lang w:val="fr-FR"/>
        </w:rPr>
        <w:t xml:space="preserve"> dans le respect de la légalité et de l’honnêteté, uniquement à des fins licites et clairement définies, et que les données so</w:t>
      </w:r>
      <w:r w:rsidR="006F65F6">
        <w:rPr>
          <w:lang w:val="fr-FR"/>
        </w:rPr>
        <w:t>ie</w:t>
      </w:r>
      <w:r w:rsidR="006F65F6" w:rsidRPr="006F65F6">
        <w:rPr>
          <w:lang w:val="fr-FR"/>
        </w:rPr>
        <w:t>nt exactes</w:t>
      </w:r>
      <w:r w:rsidR="000B562B" w:rsidRPr="00A176EA">
        <w:rPr>
          <w:lang w:val="fr-FR"/>
        </w:rPr>
        <w:t>.</w:t>
      </w:r>
    </w:p>
    <w:p w:rsidR="000B562B" w:rsidRPr="00A176EA" w:rsidRDefault="002549A9" w:rsidP="006F65F6">
      <w:pPr>
        <w:pStyle w:val="SingleTxtG"/>
        <w:rPr>
          <w:lang w:val="fr-FR"/>
        </w:rPr>
      </w:pPr>
      <w:r w:rsidRPr="00A176EA">
        <w:rPr>
          <w:lang w:val="fr-FR"/>
        </w:rPr>
        <w:t>791.</w:t>
      </w:r>
      <w:r w:rsidRPr="00A176EA">
        <w:rPr>
          <w:lang w:val="fr-FR"/>
        </w:rPr>
        <w:tab/>
      </w:r>
      <w:r w:rsidR="006F65F6">
        <w:rPr>
          <w:lang w:val="fr-FR"/>
        </w:rPr>
        <w:t>Le Commissaire à l’information est une autorité de contrôle indépendante chargée de faire appliquer la législation relative à la liberté de l’information et à la protection des données. Le Bureau du Commissaire s’occupe également de promouvoir les bonnes pratiques en matière d’accès à l’information officielle et de protection des données personnelles en statuant sur les plaintes recevables, en fournissant des informations et des orientations aux particuliers et aux organisations, et en prenant les mesures nécessaires en cas de violation de la loi</w:t>
      </w:r>
      <w:r w:rsidR="000B562B" w:rsidRPr="00A176EA">
        <w:rPr>
          <w:lang w:val="fr-FR"/>
        </w:rPr>
        <w:t>.</w:t>
      </w:r>
    </w:p>
    <w:p w:rsidR="000B562B" w:rsidRPr="00A176EA" w:rsidRDefault="006F65F6" w:rsidP="00434B45">
      <w:pPr>
        <w:pStyle w:val="H23G"/>
        <w:rPr>
          <w:lang w:val="fr-FR"/>
        </w:rPr>
      </w:pPr>
      <w:r>
        <w:rPr>
          <w:lang w:val="fr-FR"/>
        </w:rPr>
        <w:t>Plaintes contre l’exécutif</w:t>
      </w:r>
    </w:p>
    <w:p w:rsidR="000B562B" w:rsidRPr="00A176EA" w:rsidRDefault="002549A9" w:rsidP="00434B45">
      <w:pPr>
        <w:pStyle w:val="SingleTxtG"/>
        <w:rPr>
          <w:snapToGrid w:val="0"/>
          <w:lang w:val="fr-FR"/>
        </w:rPr>
      </w:pPr>
      <w:r w:rsidRPr="00A176EA">
        <w:rPr>
          <w:snapToGrid w:val="0"/>
          <w:lang w:val="fr-FR"/>
        </w:rPr>
        <w:t>792.</w:t>
      </w:r>
      <w:r w:rsidRPr="00A176EA">
        <w:rPr>
          <w:snapToGrid w:val="0"/>
          <w:lang w:val="fr-FR"/>
        </w:rPr>
        <w:tab/>
      </w:r>
      <w:r w:rsidR="00AB25A9">
        <w:rPr>
          <w:snapToGrid w:val="0"/>
          <w:lang w:val="fr-FR"/>
        </w:rPr>
        <w:t xml:space="preserve">Les particuliers qui s’estiment victimes d’injustice en raison d’un dysfonctionnement administratif peuvent porter plainte auprès du bureau du Commissaire parlementaire à l’administration, que l’on désigne souvent sous le nom de </w:t>
      </w:r>
      <w:r w:rsidR="00067766">
        <w:rPr>
          <w:snapToGrid w:val="0"/>
          <w:lang w:val="fr-FR"/>
        </w:rPr>
        <w:t>M</w:t>
      </w:r>
      <w:r w:rsidR="00AB25A9">
        <w:rPr>
          <w:snapToGrid w:val="0"/>
          <w:lang w:val="fr-FR"/>
        </w:rPr>
        <w:t>édiateur (Ombudsman), créé par la loi de 1967 sur le Commissaire parlementaire à l’administration</w:t>
      </w:r>
      <w:r w:rsidR="000B562B" w:rsidRPr="00A176EA">
        <w:rPr>
          <w:snapToGrid w:val="0"/>
          <w:lang w:val="fr-FR"/>
        </w:rPr>
        <w:t>.</w:t>
      </w:r>
    </w:p>
    <w:p w:rsidR="000B562B" w:rsidRPr="00A176EA" w:rsidRDefault="002549A9" w:rsidP="00434B45">
      <w:pPr>
        <w:pStyle w:val="SingleTxtG"/>
        <w:rPr>
          <w:snapToGrid w:val="0"/>
          <w:lang w:val="fr-FR"/>
        </w:rPr>
      </w:pPr>
      <w:r w:rsidRPr="00A176EA">
        <w:rPr>
          <w:snapToGrid w:val="0"/>
          <w:lang w:val="fr-FR"/>
        </w:rPr>
        <w:t>793.</w:t>
      </w:r>
      <w:r w:rsidRPr="00A176EA">
        <w:rPr>
          <w:snapToGrid w:val="0"/>
          <w:lang w:val="fr-FR"/>
        </w:rPr>
        <w:tab/>
      </w:r>
      <w:r w:rsidR="00541106">
        <w:rPr>
          <w:snapToGrid w:val="0"/>
          <w:lang w:val="fr-FR"/>
        </w:rPr>
        <w:t xml:space="preserve">Le Médiateur peut enquêter sur les décisions adoptées </w:t>
      </w:r>
      <w:r w:rsidR="00CD0110">
        <w:rPr>
          <w:snapToGrid w:val="0"/>
          <w:lang w:val="fr-FR"/>
        </w:rPr>
        <w:t>«</w:t>
      </w:r>
      <w:r w:rsidR="00541106">
        <w:rPr>
          <w:snapToGrid w:val="0"/>
          <w:lang w:val="fr-FR"/>
        </w:rPr>
        <w:t>dans l’exercice de leurs fonction</w:t>
      </w:r>
      <w:r w:rsidR="00067766">
        <w:rPr>
          <w:snapToGrid w:val="0"/>
          <w:lang w:val="fr-FR"/>
        </w:rPr>
        <w:t>s</w:t>
      </w:r>
      <w:r w:rsidR="00541106">
        <w:rPr>
          <w:snapToGrid w:val="0"/>
          <w:lang w:val="fr-FR"/>
        </w:rPr>
        <w:t xml:space="preserve"> administratives</w:t>
      </w:r>
      <w:r w:rsidR="00CD0110">
        <w:rPr>
          <w:snapToGrid w:val="0"/>
          <w:lang w:val="fr-FR"/>
        </w:rPr>
        <w:t>»</w:t>
      </w:r>
      <w:r w:rsidR="00541106">
        <w:rPr>
          <w:snapToGrid w:val="0"/>
          <w:lang w:val="fr-FR"/>
        </w:rPr>
        <w:t xml:space="preserve"> par les administrations centrales ou en leur nom. Une plainte doit d’abord être déposée auprès d’un député, qui décidera s’il y a lieu de la renvoyer au Médiateur. Celui-ci est indépendant du Gouvernement et fait rapport à une commission de la Chambre des communes. Ses rapports sont </w:t>
      </w:r>
      <w:r w:rsidR="00067766">
        <w:rPr>
          <w:snapToGrid w:val="0"/>
          <w:lang w:val="fr-FR"/>
        </w:rPr>
        <w:t>rendus publics</w:t>
      </w:r>
      <w:r w:rsidR="000B562B" w:rsidRPr="00A176EA">
        <w:rPr>
          <w:snapToGrid w:val="0"/>
          <w:lang w:val="fr-FR"/>
        </w:rPr>
        <w:t>.</w:t>
      </w:r>
    </w:p>
    <w:p w:rsidR="000B562B" w:rsidRPr="00541106" w:rsidRDefault="002549A9" w:rsidP="00434B45">
      <w:pPr>
        <w:pStyle w:val="SingleTxtG"/>
        <w:rPr>
          <w:snapToGrid w:val="0"/>
          <w:lang w:val="fr-FR"/>
        </w:rPr>
      </w:pPr>
      <w:r w:rsidRPr="00541106">
        <w:rPr>
          <w:snapToGrid w:val="0"/>
          <w:lang w:val="fr-FR"/>
        </w:rPr>
        <w:t>794.</w:t>
      </w:r>
      <w:r w:rsidRPr="00541106">
        <w:rPr>
          <w:snapToGrid w:val="0"/>
          <w:lang w:val="fr-FR"/>
        </w:rPr>
        <w:tab/>
      </w:r>
      <w:r w:rsidR="00541106" w:rsidRPr="00541106">
        <w:rPr>
          <w:snapToGrid w:val="0"/>
          <w:lang w:val="fr-FR"/>
        </w:rPr>
        <w:t xml:space="preserve">D’autres médiateurs ont été institués </w:t>
      </w:r>
      <w:r w:rsidR="00541106" w:rsidRPr="00541106">
        <w:rPr>
          <w:lang w:val="fr-FR"/>
        </w:rPr>
        <w:t>pour s’occuper des litiges avec l’administration locale et avec le Service national de santé, ainsi que des prestations juridiques</w:t>
      </w:r>
      <w:r w:rsidR="000B562B" w:rsidRPr="00541106">
        <w:rPr>
          <w:lang w:val="fr-FR"/>
        </w:rPr>
        <w:t>.</w:t>
      </w:r>
    </w:p>
    <w:p w:rsidR="000B562B" w:rsidRPr="00BE026F" w:rsidRDefault="002549A9" w:rsidP="00BE026F">
      <w:pPr>
        <w:pStyle w:val="SingleTxtG"/>
        <w:rPr>
          <w:snapToGrid w:val="0"/>
          <w:lang w:val="fr-FR"/>
        </w:rPr>
      </w:pPr>
      <w:r w:rsidRPr="00541106">
        <w:rPr>
          <w:snapToGrid w:val="0"/>
          <w:lang w:val="fr-FR"/>
        </w:rPr>
        <w:t>795.</w:t>
      </w:r>
      <w:r w:rsidRPr="00541106">
        <w:rPr>
          <w:snapToGrid w:val="0"/>
          <w:lang w:val="fr-FR"/>
        </w:rPr>
        <w:tab/>
      </w:r>
      <w:r w:rsidR="00541106" w:rsidRPr="00541106">
        <w:rPr>
          <w:lang w:val="fr-FR"/>
        </w:rPr>
        <w:t>L’Écosse, le pays de Galles et l’Irlande du Nord ont leurs propres médiateurs indépendants. En vertu de la loi de 2002 sur</w:t>
      </w:r>
      <w:r w:rsidR="00541106" w:rsidRPr="00541106">
        <w:rPr>
          <w:i/>
          <w:lang w:val="fr-FR"/>
        </w:rPr>
        <w:t xml:space="preserve"> </w:t>
      </w:r>
      <w:r w:rsidR="00541106" w:rsidRPr="00541106">
        <w:rPr>
          <w:lang w:val="fr-FR"/>
        </w:rPr>
        <w:t xml:space="preserve">le Médiateur des services publics écossais, le Gouvernement écossais doit coopérer avec le Médiateur dans le cadre de ses enquêtes et mettre </w:t>
      </w:r>
      <w:r w:rsidR="00067766" w:rsidRPr="00541106">
        <w:rPr>
          <w:lang w:val="fr-FR"/>
        </w:rPr>
        <w:t xml:space="preserve">les rapports </w:t>
      </w:r>
      <w:r w:rsidR="00541106" w:rsidRPr="00541106">
        <w:rPr>
          <w:lang w:val="fr-FR"/>
        </w:rPr>
        <w:t>à sa disposition pour examen. La loi de 2005 sur le Médiateur des services publics (pays de Galles) a chargé ledit Médiateur de mener des enquêtes indépendantes et impartiales sur les allégations d’irrégula</w:t>
      </w:r>
      <w:r w:rsidR="006D07AA">
        <w:rPr>
          <w:lang w:val="fr-FR"/>
        </w:rPr>
        <w:t>rité</w:t>
      </w:r>
      <w:r w:rsidR="00541106" w:rsidRPr="00541106">
        <w:rPr>
          <w:lang w:val="fr-FR"/>
        </w:rPr>
        <w:t xml:space="preserve"> dans l’administration des services publics au pays </w:t>
      </w:r>
      <w:r w:rsidR="005601A1">
        <w:rPr>
          <w:lang w:val="fr-FR"/>
        </w:rPr>
        <w:t>de Galles</w:t>
      </w:r>
      <w:r w:rsidR="000B562B" w:rsidRPr="00A176EA">
        <w:rPr>
          <w:lang w:val="fr-FR"/>
        </w:rPr>
        <w:t xml:space="preserve">. </w:t>
      </w:r>
      <w:r w:rsidR="005916D3" w:rsidRPr="00541106">
        <w:rPr>
          <w:lang w:val="fr-FR"/>
        </w:rPr>
        <w:t>La loi de 1969 sur le</w:t>
      </w:r>
      <w:r w:rsidR="000B562B" w:rsidRPr="00541106">
        <w:rPr>
          <w:lang w:val="fr-FR"/>
        </w:rPr>
        <w:t xml:space="preserve"> </w:t>
      </w:r>
      <w:r w:rsidR="00AB25A9" w:rsidRPr="00541106">
        <w:rPr>
          <w:snapToGrid w:val="0"/>
          <w:lang w:val="fr-FR"/>
        </w:rPr>
        <w:t>Commissaire parlementaire à l’administration</w:t>
      </w:r>
      <w:r w:rsidR="00AB25A9" w:rsidRPr="00541106">
        <w:rPr>
          <w:lang w:val="fr-FR"/>
        </w:rPr>
        <w:t xml:space="preserve"> </w:t>
      </w:r>
      <w:r w:rsidR="005916D3" w:rsidRPr="00541106">
        <w:rPr>
          <w:lang w:val="fr-FR"/>
        </w:rPr>
        <w:t>(Irlande du Nord)</w:t>
      </w:r>
      <w:r w:rsidR="005916D3">
        <w:rPr>
          <w:lang w:val="fr-FR"/>
        </w:rPr>
        <w:t xml:space="preserve"> </w:t>
      </w:r>
      <w:r w:rsidR="000B562B" w:rsidRPr="00A176EA">
        <w:rPr>
          <w:lang w:val="fr-FR"/>
        </w:rPr>
        <w:t>(</w:t>
      </w:r>
      <w:r w:rsidR="00541106">
        <w:rPr>
          <w:lang w:val="fr-FR"/>
        </w:rPr>
        <w:t xml:space="preserve">qui a été remplacée par l’ordonnance de 1996 relative au médiateur (Irlande du Nord)) </w:t>
      </w:r>
      <w:r w:rsidR="00BE026F">
        <w:rPr>
          <w:lang w:val="fr-FR"/>
        </w:rPr>
        <w:t xml:space="preserve">charge un médiateur de contrôler l’action des ministères d’Irlande du Nord. La loi de 1969 sur le Commissaire chargé d’examiner les plaintes (Irlande du Nord) (remplacée par l’ordonnance de 1996 sur le Commissaire chargé d’examiner les plaintes (Irlande du Nord)) institue un contrôle </w:t>
      </w:r>
      <w:r w:rsidR="006D07AA">
        <w:rPr>
          <w:lang w:val="fr-FR"/>
        </w:rPr>
        <w:t>analogue</w:t>
      </w:r>
      <w:r w:rsidR="00BE026F">
        <w:rPr>
          <w:lang w:val="fr-FR"/>
        </w:rPr>
        <w:t xml:space="preserve"> sur l’action du secteur public en </w:t>
      </w:r>
      <w:r w:rsidR="008F3DA4" w:rsidRPr="00BE026F">
        <w:rPr>
          <w:lang w:val="fr-FR"/>
        </w:rPr>
        <w:t>Irlande du Nord</w:t>
      </w:r>
      <w:r w:rsidR="000B562B" w:rsidRPr="00BE026F">
        <w:rPr>
          <w:lang w:val="fr-FR"/>
        </w:rPr>
        <w:t>.</w:t>
      </w:r>
    </w:p>
    <w:p w:rsidR="000B562B" w:rsidRPr="00BE026F" w:rsidRDefault="005916D3" w:rsidP="00434B45">
      <w:pPr>
        <w:pStyle w:val="H23G"/>
        <w:rPr>
          <w:lang w:val="fr-FR"/>
        </w:rPr>
      </w:pPr>
      <w:r w:rsidRPr="00BE026F">
        <w:rPr>
          <w:lang w:val="fr-FR"/>
        </w:rPr>
        <w:t>Plaintes contre la police</w:t>
      </w:r>
    </w:p>
    <w:p w:rsidR="000B562B" w:rsidRPr="006D07AA" w:rsidRDefault="002549A9" w:rsidP="00BE026F">
      <w:pPr>
        <w:pStyle w:val="SingleTxtG"/>
        <w:rPr>
          <w:lang w:val="fr-FR"/>
        </w:rPr>
      </w:pPr>
      <w:r w:rsidRPr="006D07AA">
        <w:rPr>
          <w:lang w:val="fr-FR"/>
        </w:rPr>
        <w:t>796.</w:t>
      </w:r>
      <w:r w:rsidRPr="006D07AA">
        <w:rPr>
          <w:lang w:val="fr-FR"/>
        </w:rPr>
        <w:tab/>
      </w:r>
      <w:r w:rsidR="005916D3" w:rsidRPr="006D07AA">
        <w:rPr>
          <w:lang w:val="fr-FR"/>
        </w:rPr>
        <w:t>En Angleterre</w:t>
      </w:r>
      <w:r w:rsidR="000B562B" w:rsidRPr="006D07AA">
        <w:rPr>
          <w:lang w:val="fr-FR"/>
        </w:rPr>
        <w:t xml:space="preserve"> </w:t>
      </w:r>
      <w:r w:rsidR="005916D3" w:rsidRPr="006D07AA">
        <w:rPr>
          <w:lang w:val="fr-FR"/>
        </w:rPr>
        <w:t>et au</w:t>
      </w:r>
      <w:r w:rsidR="000B562B" w:rsidRPr="006D07AA">
        <w:rPr>
          <w:lang w:val="fr-FR"/>
        </w:rPr>
        <w:t xml:space="preserve"> </w:t>
      </w:r>
      <w:r w:rsidR="005916D3" w:rsidRPr="006D07AA">
        <w:rPr>
          <w:lang w:val="fr-FR"/>
        </w:rPr>
        <w:t>p</w:t>
      </w:r>
      <w:r w:rsidR="005601A1" w:rsidRPr="006D07AA">
        <w:rPr>
          <w:lang w:val="fr-FR"/>
        </w:rPr>
        <w:t>ays de Galles</w:t>
      </w:r>
      <w:r w:rsidR="000B562B" w:rsidRPr="006D07AA">
        <w:rPr>
          <w:lang w:val="fr-FR"/>
        </w:rPr>
        <w:t xml:space="preserve">, </w:t>
      </w:r>
      <w:r w:rsidR="00BE026F" w:rsidRPr="006D07AA">
        <w:rPr>
          <w:lang w:val="fr-FR"/>
        </w:rPr>
        <w:t xml:space="preserve">les plaintes déposées contre la police sont traitées par la Commission indépendante des plaintes contre la police, qui est entrée en fonction le 1er avril 2004 et a remplacé </w:t>
      </w:r>
      <w:r w:rsidR="0068022E" w:rsidRPr="006D07AA">
        <w:rPr>
          <w:lang w:val="fr-FR"/>
        </w:rPr>
        <w:t>l’ancienne Administration</w:t>
      </w:r>
      <w:r w:rsidR="00BE026F" w:rsidRPr="006D07AA">
        <w:rPr>
          <w:lang w:val="fr-FR"/>
        </w:rPr>
        <w:t xml:space="preserve"> chargée </w:t>
      </w:r>
      <w:r w:rsidR="0068022E" w:rsidRPr="006D07AA">
        <w:rPr>
          <w:lang w:val="fr-FR"/>
        </w:rPr>
        <w:t>d</w:t>
      </w:r>
      <w:r w:rsidR="00BE026F" w:rsidRPr="006D07AA">
        <w:rPr>
          <w:lang w:val="fr-FR"/>
        </w:rPr>
        <w:t>es plaintes contre la police</w:t>
      </w:r>
      <w:r w:rsidR="000B562B" w:rsidRPr="006D07AA">
        <w:rPr>
          <w:lang w:val="fr-FR"/>
        </w:rPr>
        <w:t>.</w:t>
      </w:r>
    </w:p>
    <w:p w:rsidR="000B562B" w:rsidRPr="0068022E" w:rsidRDefault="002549A9" w:rsidP="00434B45">
      <w:pPr>
        <w:pStyle w:val="SingleTxtG"/>
        <w:rPr>
          <w:lang w:val="fr-FR"/>
        </w:rPr>
      </w:pPr>
      <w:r w:rsidRPr="00A176EA">
        <w:rPr>
          <w:lang w:val="fr-FR"/>
        </w:rPr>
        <w:t>797.</w:t>
      </w:r>
      <w:r w:rsidRPr="00A176EA">
        <w:rPr>
          <w:lang w:val="fr-FR"/>
        </w:rPr>
        <w:tab/>
      </w:r>
      <w:r w:rsidR="005916D3" w:rsidRPr="0068022E">
        <w:rPr>
          <w:lang w:val="fr-FR"/>
        </w:rPr>
        <w:t>La</w:t>
      </w:r>
      <w:r w:rsidR="000B562B" w:rsidRPr="0068022E">
        <w:rPr>
          <w:lang w:val="fr-FR"/>
        </w:rPr>
        <w:t xml:space="preserve"> </w:t>
      </w:r>
      <w:r w:rsidR="0090139B" w:rsidRPr="0068022E">
        <w:rPr>
          <w:lang w:val="fr-FR"/>
        </w:rPr>
        <w:t>Commission indépendante des plaintes contre la police</w:t>
      </w:r>
      <w:r w:rsidR="000B562B" w:rsidRPr="0068022E">
        <w:rPr>
          <w:lang w:val="fr-FR"/>
        </w:rPr>
        <w:t xml:space="preserve"> </w:t>
      </w:r>
      <w:r w:rsidR="00BE026F" w:rsidRPr="0068022E">
        <w:rPr>
          <w:lang w:val="fr-FR"/>
        </w:rPr>
        <w:t>doit s’assurer que tout a été prévu pour le traitement des plaintes ou allégations faisant état d’une faute commise par un agent de police ou un membre de la police. Elle est également habilitée à mener des enquêtes indépendantes sur les plaintes faisant état d’incidents plus graves. Sa création répond à la volonté d’inspirer à l’opinion une plus grande confiance dans le système de plaintes et de promouvoir le respect des droits de l’homme en veillant à ce que les plaintes émanant de particuliers puissent faire l’objet d’enquêtes indépendantes</w:t>
      </w:r>
      <w:r w:rsidR="000B562B" w:rsidRPr="0068022E">
        <w:rPr>
          <w:lang w:val="fr-FR"/>
        </w:rPr>
        <w:t>.</w:t>
      </w:r>
    </w:p>
    <w:p w:rsidR="000B562B" w:rsidRPr="00A176EA" w:rsidRDefault="002549A9" w:rsidP="00BE026F">
      <w:pPr>
        <w:pStyle w:val="SingleTxtG"/>
        <w:rPr>
          <w:lang w:val="fr-FR"/>
        </w:rPr>
      </w:pPr>
      <w:r w:rsidRPr="00A176EA">
        <w:rPr>
          <w:lang w:val="fr-FR"/>
        </w:rPr>
        <w:t>798.</w:t>
      </w:r>
      <w:r w:rsidRPr="00A176EA">
        <w:rPr>
          <w:lang w:val="fr-FR"/>
        </w:rPr>
        <w:tab/>
      </w:r>
      <w:r w:rsidR="00DB09E6" w:rsidRPr="00BE026F">
        <w:rPr>
          <w:lang w:val="fr-FR"/>
        </w:rPr>
        <w:t>E</w:t>
      </w:r>
      <w:r w:rsidR="000B562B" w:rsidRPr="00BE026F">
        <w:rPr>
          <w:lang w:val="fr-FR"/>
        </w:rPr>
        <w:t>n 2008</w:t>
      </w:r>
      <w:r w:rsidR="00DB09E6" w:rsidRPr="00BE026F">
        <w:rPr>
          <w:lang w:val="fr-FR"/>
        </w:rPr>
        <w:t>-20</w:t>
      </w:r>
      <w:r w:rsidR="000B562B" w:rsidRPr="00BE026F">
        <w:rPr>
          <w:lang w:val="fr-FR"/>
        </w:rPr>
        <w:t>09</w:t>
      </w:r>
      <w:r w:rsidR="00DB09E6" w:rsidRPr="00BE026F">
        <w:rPr>
          <w:lang w:val="fr-FR"/>
        </w:rPr>
        <w:t>,</w:t>
      </w:r>
      <w:r w:rsidR="000B562B" w:rsidRPr="00BE026F">
        <w:rPr>
          <w:lang w:val="fr-FR"/>
        </w:rPr>
        <w:t xml:space="preserve"> </w:t>
      </w:r>
      <w:r w:rsidR="00DB09E6" w:rsidRPr="00BE026F">
        <w:rPr>
          <w:lang w:val="fr-FR"/>
        </w:rPr>
        <w:t>la</w:t>
      </w:r>
      <w:r w:rsidR="000B562B" w:rsidRPr="00BE026F">
        <w:rPr>
          <w:lang w:val="fr-FR"/>
        </w:rPr>
        <w:t xml:space="preserve"> </w:t>
      </w:r>
      <w:r w:rsidR="0090139B" w:rsidRPr="00BE026F">
        <w:rPr>
          <w:lang w:val="fr-FR"/>
        </w:rPr>
        <w:t>Commission indépendante des plaintes contre la police</w:t>
      </w:r>
      <w:r w:rsidR="000B562B" w:rsidRPr="00A176EA">
        <w:rPr>
          <w:lang w:val="fr-FR"/>
        </w:rPr>
        <w:t xml:space="preserve"> </w:t>
      </w:r>
      <w:r w:rsidR="00BE026F">
        <w:rPr>
          <w:lang w:val="fr-FR"/>
        </w:rPr>
        <w:t>a reçu 31 259 plaintes (soit une hausse de 8 % par rapport à 2007-2008). Sur ce nombre, il y avait 53 534 allégations, dont 18 137 (36 %) ont fait l’objet d’une enquête (menée conjointement par la police la Commission indépendante). À l’issue des enquêtes, il a été établi que 1 810 (10 %) des allégations étaient fondées</w:t>
      </w:r>
      <w:r w:rsidR="000B562B" w:rsidRPr="00A176EA">
        <w:rPr>
          <w:lang w:val="fr-FR"/>
        </w:rPr>
        <w:t>.</w:t>
      </w:r>
    </w:p>
    <w:p w:rsidR="000B562B" w:rsidRPr="00D108FF" w:rsidRDefault="002549A9" w:rsidP="00864D5A">
      <w:pPr>
        <w:pStyle w:val="SingleTxtG"/>
        <w:rPr>
          <w:lang w:val="fr-FR"/>
        </w:rPr>
      </w:pPr>
      <w:r w:rsidRPr="00D108FF">
        <w:rPr>
          <w:lang w:val="fr-FR"/>
        </w:rPr>
        <w:t>799.</w:t>
      </w:r>
      <w:r w:rsidRPr="00D108FF">
        <w:rPr>
          <w:lang w:val="fr-FR"/>
        </w:rPr>
        <w:tab/>
      </w:r>
      <w:r w:rsidR="00FA1FE6" w:rsidRPr="00D108FF">
        <w:rPr>
          <w:lang w:val="fr-FR"/>
        </w:rPr>
        <w:t>E</w:t>
      </w:r>
      <w:r w:rsidR="000B562B" w:rsidRPr="00D108FF">
        <w:rPr>
          <w:lang w:val="fr-FR"/>
        </w:rPr>
        <w:t xml:space="preserve">n </w:t>
      </w:r>
      <w:r w:rsidR="00FD2CE1" w:rsidRPr="00D108FF">
        <w:rPr>
          <w:lang w:val="fr-FR"/>
        </w:rPr>
        <w:t>Écosse</w:t>
      </w:r>
      <w:r w:rsidR="000B562B" w:rsidRPr="00D108FF">
        <w:rPr>
          <w:lang w:val="fr-FR"/>
        </w:rPr>
        <w:t xml:space="preserve">, </w:t>
      </w:r>
      <w:r w:rsidR="00864D5A" w:rsidRPr="00D108FF">
        <w:rPr>
          <w:lang w:val="fr-FR"/>
        </w:rPr>
        <w:t xml:space="preserve">les plaintes contre la police sont d’abord traitées par </w:t>
      </w:r>
      <w:r w:rsidR="00067766">
        <w:rPr>
          <w:lang w:val="fr-FR"/>
        </w:rPr>
        <w:t>la force</w:t>
      </w:r>
      <w:r w:rsidR="00864D5A" w:rsidRPr="00D108FF">
        <w:rPr>
          <w:lang w:val="fr-FR"/>
        </w:rPr>
        <w:t xml:space="preserve"> de police concernée. Le plaignant qui n’est pas satisfait de la façon dont sa plainte a été traitée peut renvoyer l’affaire au </w:t>
      </w:r>
      <w:r w:rsidR="009A4935" w:rsidRPr="00D108FF">
        <w:rPr>
          <w:lang w:val="fr-FR"/>
        </w:rPr>
        <w:t>Commissaire aux plaintes contre la police pour l’Écosse</w:t>
      </w:r>
      <w:r w:rsidR="000B562B" w:rsidRPr="00D108FF">
        <w:rPr>
          <w:lang w:val="fr-FR"/>
        </w:rPr>
        <w:t xml:space="preserve">, </w:t>
      </w:r>
      <w:r w:rsidR="00864D5A" w:rsidRPr="00D108FF">
        <w:rPr>
          <w:lang w:val="fr-FR"/>
        </w:rPr>
        <w:t>dont le</w:t>
      </w:r>
      <w:r w:rsidR="000B562B" w:rsidRPr="00D108FF">
        <w:rPr>
          <w:lang w:val="fr-FR"/>
        </w:rPr>
        <w:t xml:space="preserve"> post</w:t>
      </w:r>
      <w:r w:rsidR="00864D5A" w:rsidRPr="00D108FF">
        <w:rPr>
          <w:lang w:val="fr-FR"/>
        </w:rPr>
        <w:t>e</w:t>
      </w:r>
      <w:r w:rsidR="000B562B" w:rsidRPr="00D108FF">
        <w:rPr>
          <w:lang w:val="fr-FR"/>
        </w:rPr>
        <w:t xml:space="preserve"> </w:t>
      </w:r>
      <w:r w:rsidR="00864D5A" w:rsidRPr="00D108FF">
        <w:rPr>
          <w:lang w:val="fr-FR"/>
        </w:rPr>
        <w:t>a été créé par la loi de 2006 sur la police, l’ordre public et la justice pénale (Écosse)</w:t>
      </w:r>
      <w:r w:rsidR="000B562B" w:rsidRPr="00D108FF">
        <w:rPr>
          <w:lang w:val="fr-FR"/>
        </w:rPr>
        <w:t xml:space="preserve">. </w:t>
      </w:r>
      <w:r w:rsidR="00864D5A" w:rsidRPr="00D108FF">
        <w:rPr>
          <w:lang w:val="fr-FR"/>
        </w:rPr>
        <w:t>E</w:t>
      </w:r>
      <w:r w:rsidR="000B562B" w:rsidRPr="00D108FF">
        <w:rPr>
          <w:lang w:val="fr-FR"/>
        </w:rPr>
        <w:t>n 2007</w:t>
      </w:r>
      <w:r w:rsidR="00864D5A" w:rsidRPr="00D108FF">
        <w:rPr>
          <w:lang w:val="fr-FR"/>
        </w:rPr>
        <w:t>-20</w:t>
      </w:r>
      <w:r w:rsidR="000B562B" w:rsidRPr="00D108FF">
        <w:rPr>
          <w:lang w:val="fr-FR"/>
        </w:rPr>
        <w:t xml:space="preserve">08, </w:t>
      </w:r>
      <w:r w:rsidR="00864D5A" w:rsidRPr="00D108FF">
        <w:rPr>
          <w:lang w:val="fr-FR"/>
        </w:rPr>
        <w:t xml:space="preserve">le </w:t>
      </w:r>
      <w:r w:rsidR="000B562B" w:rsidRPr="00D108FF">
        <w:rPr>
          <w:lang w:val="fr-FR"/>
        </w:rPr>
        <w:t>Commiss</w:t>
      </w:r>
      <w:r w:rsidR="00864D5A" w:rsidRPr="00D108FF">
        <w:rPr>
          <w:lang w:val="fr-FR"/>
        </w:rPr>
        <w:t>aire a reçu</w:t>
      </w:r>
      <w:r w:rsidR="000B562B" w:rsidRPr="00D108FF">
        <w:rPr>
          <w:lang w:val="fr-FR"/>
        </w:rPr>
        <w:t xml:space="preserve"> 325 </w:t>
      </w:r>
      <w:r w:rsidR="00864D5A" w:rsidRPr="00D108FF">
        <w:rPr>
          <w:lang w:val="fr-FR"/>
        </w:rPr>
        <w:t>demandes d’enquête, contre 375 e</w:t>
      </w:r>
      <w:r w:rsidR="000B562B" w:rsidRPr="00D108FF">
        <w:rPr>
          <w:lang w:val="fr-FR"/>
        </w:rPr>
        <w:t>n 2008</w:t>
      </w:r>
      <w:r w:rsidR="00864D5A" w:rsidRPr="00D108FF">
        <w:rPr>
          <w:lang w:val="fr-FR"/>
        </w:rPr>
        <w:t>-20</w:t>
      </w:r>
      <w:r w:rsidR="000B562B" w:rsidRPr="00D108FF">
        <w:rPr>
          <w:lang w:val="fr-FR"/>
        </w:rPr>
        <w:t>09.</w:t>
      </w:r>
    </w:p>
    <w:p w:rsidR="00115AD1" w:rsidRPr="002359FC" w:rsidRDefault="002549A9" w:rsidP="00D108FF">
      <w:pPr>
        <w:pStyle w:val="SingleTxtG"/>
        <w:rPr>
          <w:lang w:val="fr-FR"/>
        </w:rPr>
      </w:pPr>
      <w:r w:rsidRPr="00D108FF">
        <w:rPr>
          <w:lang w:val="fr-FR"/>
        </w:rPr>
        <w:t>800.</w:t>
      </w:r>
      <w:r w:rsidRPr="00D108FF">
        <w:rPr>
          <w:lang w:val="fr-FR"/>
        </w:rPr>
        <w:tab/>
      </w:r>
      <w:r w:rsidR="00DB09E6" w:rsidRPr="00D108FF">
        <w:rPr>
          <w:lang w:val="fr-FR"/>
        </w:rPr>
        <w:t xml:space="preserve">La loi de 1998 sur la police </w:t>
      </w:r>
      <w:r w:rsidR="000B562B" w:rsidRPr="00D108FF">
        <w:rPr>
          <w:lang w:val="fr-FR"/>
        </w:rPr>
        <w:t>(</w:t>
      </w:r>
      <w:r w:rsidR="008F3DA4" w:rsidRPr="00D108FF">
        <w:rPr>
          <w:lang w:val="fr-FR"/>
        </w:rPr>
        <w:t>Irlande du Nord</w:t>
      </w:r>
      <w:r w:rsidR="000B562B" w:rsidRPr="00D108FF">
        <w:rPr>
          <w:lang w:val="fr-FR"/>
        </w:rPr>
        <w:t>)</w:t>
      </w:r>
      <w:r w:rsidR="000B562B" w:rsidRPr="00D108FF">
        <w:rPr>
          <w:i/>
          <w:lang w:val="fr-FR"/>
        </w:rPr>
        <w:t xml:space="preserve"> </w:t>
      </w:r>
      <w:r w:rsidR="00864D5A" w:rsidRPr="00D108FF">
        <w:rPr>
          <w:lang w:val="fr-FR"/>
        </w:rPr>
        <w:t>a créé le poste de</w:t>
      </w:r>
      <w:r w:rsidR="000B562B" w:rsidRPr="00D108FF">
        <w:rPr>
          <w:lang w:val="fr-FR"/>
        </w:rPr>
        <w:t xml:space="preserve"> </w:t>
      </w:r>
      <w:r w:rsidR="00FA1FE6" w:rsidRPr="00D108FF">
        <w:rPr>
          <w:lang w:val="fr-FR"/>
        </w:rPr>
        <w:t>Médiateur de la police</w:t>
      </w:r>
      <w:r w:rsidR="000B562B" w:rsidRPr="00D108FF">
        <w:rPr>
          <w:lang w:val="fr-FR"/>
        </w:rPr>
        <w:t xml:space="preserve"> </w:t>
      </w:r>
      <w:r w:rsidR="00DB09E6" w:rsidRPr="00D108FF">
        <w:rPr>
          <w:lang w:val="fr-FR"/>
        </w:rPr>
        <w:t>d’</w:t>
      </w:r>
      <w:r w:rsidR="008F3DA4" w:rsidRPr="00D108FF">
        <w:rPr>
          <w:lang w:val="fr-FR"/>
        </w:rPr>
        <w:t>Irlande du Nord</w:t>
      </w:r>
      <w:r w:rsidR="000B562B" w:rsidRPr="00D108FF">
        <w:rPr>
          <w:lang w:val="fr-FR"/>
        </w:rPr>
        <w:t xml:space="preserve">, </w:t>
      </w:r>
      <w:r w:rsidR="00D108FF" w:rsidRPr="00D108FF">
        <w:rPr>
          <w:lang w:val="fr-FR"/>
        </w:rPr>
        <w:t xml:space="preserve">un </w:t>
      </w:r>
      <w:r w:rsidR="00D108FF" w:rsidRPr="0068022E">
        <w:rPr>
          <w:lang w:val="fr-FR"/>
        </w:rPr>
        <w:t>organe</w:t>
      </w:r>
      <w:r w:rsidR="00D108FF" w:rsidRPr="00D108FF">
        <w:rPr>
          <w:lang w:val="fr-FR"/>
        </w:rPr>
        <w:t xml:space="preserve"> indépendant chargé d’examiner les plaintes contre la police. Le Médiateur supervise en toute indépendance le traitement des plaintes, qui doivent </w:t>
      </w:r>
      <w:r w:rsidR="00067766" w:rsidRPr="00D108FF">
        <w:rPr>
          <w:lang w:val="fr-FR"/>
        </w:rPr>
        <w:t xml:space="preserve">toutes </w:t>
      </w:r>
      <w:r w:rsidR="00D108FF" w:rsidRPr="00D108FF">
        <w:rPr>
          <w:lang w:val="fr-FR"/>
        </w:rPr>
        <w:t xml:space="preserve">être envoyées à son bureau. Lorsqu’il est convaincu qu’une infraction pénale a été commise, il adresse pour examen son rapport d’enquête, assorti de recommandations, au </w:t>
      </w:r>
      <w:r w:rsidR="00FB00ED" w:rsidRPr="00D108FF">
        <w:rPr>
          <w:snapToGrid w:val="0"/>
          <w:lang w:val="fr-FR"/>
        </w:rPr>
        <w:t>Directeur du Parquet</w:t>
      </w:r>
      <w:r w:rsidR="000B562B" w:rsidRPr="00D108FF">
        <w:rPr>
          <w:lang w:val="fr-FR"/>
        </w:rPr>
        <w:t xml:space="preserve">. </w:t>
      </w:r>
      <w:r w:rsidR="00D108FF" w:rsidRPr="00D108FF">
        <w:rPr>
          <w:lang w:val="fr-FR"/>
        </w:rPr>
        <w:t xml:space="preserve">S’il estime qu’un </w:t>
      </w:r>
      <w:r w:rsidR="0080325F" w:rsidRPr="00D108FF">
        <w:rPr>
          <w:lang w:val="fr-FR"/>
        </w:rPr>
        <w:t xml:space="preserve">manquement à la discipline </w:t>
      </w:r>
      <w:r w:rsidR="00D108FF" w:rsidRPr="00D108FF">
        <w:rPr>
          <w:lang w:val="fr-FR"/>
        </w:rPr>
        <w:t>a été commis, l’affaire est transmise, assortie de recommandations, au</w:t>
      </w:r>
      <w:r w:rsidR="000B562B" w:rsidRPr="00D108FF">
        <w:rPr>
          <w:lang w:val="fr-FR"/>
        </w:rPr>
        <w:t xml:space="preserve"> </w:t>
      </w:r>
      <w:r w:rsidR="00D108FF" w:rsidRPr="00D108FF">
        <w:rPr>
          <w:lang w:val="fr-FR"/>
        </w:rPr>
        <w:t>Chef de la police ou au</w:t>
      </w:r>
      <w:r w:rsidR="00115AD1" w:rsidRPr="00D108FF">
        <w:rPr>
          <w:lang w:val="fr-FR"/>
        </w:rPr>
        <w:t xml:space="preserve"> </w:t>
      </w:r>
      <w:r w:rsidR="00C8658E" w:rsidRPr="00D108FF">
        <w:rPr>
          <w:lang w:val="fr-FR"/>
        </w:rPr>
        <w:t>Conseil supérieur de la police</w:t>
      </w:r>
      <w:r w:rsidR="00115AD1" w:rsidRPr="00D108FF">
        <w:rPr>
          <w:lang w:val="fr-FR"/>
        </w:rPr>
        <w:t xml:space="preserve">, </w:t>
      </w:r>
      <w:r w:rsidR="00D108FF" w:rsidRPr="00D108FF">
        <w:rPr>
          <w:lang w:val="fr-FR"/>
        </w:rPr>
        <w:t>selon l’ancienneté de l’intéressé</w:t>
      </w:r>
      <w:r w:rsidR="00115AD1" w:rsidRPr="00D108FF">
        <w:rPr>
          <w:lang w:val="fr-FR"/>
        </w:rPr>
        <w:t xml:space="preserve">. </w:t>
      </w:r>
      <w:r w:rsidR="00D108FF" w:rsidRPr="00D108FF">
        <w:rPr>
          <w:lang w:val="fr-FR"/>
        </w:rPr>
        <w:t xml:space="preserve">Dans les neuf premières années d’existence du poste, près de 30 242 plaintes ont été traitées </w:t>
      </w:r>
      <w:r w:rsidR="00115AD1" w:rsidRPr="00D108FF">
        <w:rPr>
          <w:lang w:val="fr-FR"/>
        </w:rPr>
        <w:t>(</w:t>
      </w:r>
      <w:r w:rsidR="00FA1FE6" w:rsidRPr="00D108FF">
        <w:rPr>
          <w:lang w:val="fr-FR"/>
        </w:rPr>
        <w:t>au 31 mars</w:t>
      </w:r>
      <w:r w:rsidR="00115AD1" w:rsidRPr="00D108FF">
        <w:rPr>
          <w:lang w:val="fr-FR"/>
        </w:rPr>
        <w:t xml:space="preserve"> 2010).</w:t>
      </w:r>
    </w:p>
    <w:p w:rsidR="00115AD1" w:rsidRPr="00B21F4E" w:rsidRDefault="00BC0033" w:rsidP="00BC0033">
      <w:pPr>
        <w:pStyle w:val="H1G"/>
      </w:pPr>
      <w:bookmarkStart w:id="76" w:name="_Toc299724767"/>
      <w:r>
        <w:tab/>
      </w:r>
      <w:r w:rsidR="00115AD1" w:rsidRPr="00B21F4E">
        <w:t>E.</w:t>
      </w:r>
      <w:r w:rsidR="00115AD1" w:rsidRPr="00B21F4E">
        <w:tab/>
      </w:r>
      <w:bookmarkEnd w:id="76"/>
      <w:r w:rsidR="00D108FF" w:rsidRPr="00D108FF">
        <w:t>Cadre dans lequel les droits de l’homme sont promus au niveau national</w:t>
      </w:r>
    </w:p>
    <w:p w:rsidR="00115AD1" w:rsidRPr="00B21F4E" w:rsidRDefault="00D108FF" w:rsidP="00115AD1">
      <w:pPr>
        <w:pStyle w:val="H23G"/>
        <w:rPr>
          <w:lang w:val="fr-FR"/>
        </w:rPr>
      </w:pPr>
      <w:r w:rsidRPr="00D108FF">
        <w:rPr>
          <w:lang w:val="fr-FR"/>
        </w:rPr>
        <w:t>Rôle</w:t>
      </w:r>
      <w:r>
        <w:rPr>
          <w:lang w:val="fr-FR"/>
        </w:rPr>
        <w:t xml:space="preserve"> </w:t>
      </w:r>
      <w:r w:rsidRPr="00D108FF">
        <w:rPr>
          <w:lang w:val="fr-FR"/>
        </w:rPr>
        <w:t>du Parlement national et des institutions des droits de l’homme</w:t>
      </w:r>
    </w:p>
    <w:p w:rsidR="000B562B" w:rsidRPr="00A176EA" w:rsidRDefault="002549A9" w:rsidP="00D459EE">
      <w:pPr>
        <w:pStyle w:val="SingleTxtG"/>
        <w:rPr>
          <w:lang w:val="fr-FR"/>
        </w:rPr>
      </w:pPr>
      <w:r w:rsidRPr="00D108FF">
        <w:rPr>
          <w:lang w:val="fr-FR"/>
        </w:rPr>
        <w:t>801.</w:t>
      </w:r>
      <w:r w:rsidRPr="00D108FF">
        <w:rPr>
          <w:lang w:val="fr-FR"/>
        </w:rPr>
        <w:tab/>
      </w:r>
      <w:r w:rsidR="00D108FF" w:rsidRPr="00D108FF">
        <w:rPr>
          <w:lang w:val="fr-FR"/>
        </w:rPr>
        <w:t>À l’échelon national, les Commissions des droits de l’homme jouent un r</w:t>
      </w:r>
      <w:r w:rsidR="00D108FF">
        <w:rPr>
          <w:lang w:val="fr-FR"/>
        </w:rPr>
        <w:t>ô</w:t>
      </w:r>
      <w:r w:rsidR="00D108FF" w:rsidRPr="00D108FF">
        <w:rPr>
          <w:lang w:val="fr-FR"/>
        </w:rPr>
        <w:t>le majeur</w:t>
      </w:r>
      <w:r w:rsidR="00D108FF">
        <w:rPr>
          <w:lang w:val="fr-FR"/>
        </w:rPr>
        <w:t xml:space="preserve"> en matière de promotion et de protection des droits de l’homme dans l’ensemble du Royaume-Uni</w:t>
      </w:r>
      <w:r w:rsidR="00FC2B97">
        <w:rPr>
          <w:lang w:val="fr-FR"/>
        </w:rPr>
        <w:t>:</w:t>
      </w:r>
      <w:r w:rsidR="00D108FF">
        <w:rPr>
          <w:lang w:val="fr-FR"/>
        </w:rPr>
        <w:t xml:space="preserve"> c’est l’une de leurs principales responsabilités. De la même façon, la Commission mixte des droits de l’homme </w:t>
      </w:r>
      <w:r w:rsidR="00D459EE">
        <w:rPr>
          <w:lang w:val="fr-FR"/>
        </w:rPr>
        <w:t>fournit une contribution essentielle. En examinant l’action du Gouvernement et, par conséquent, en demandant des comptes à l’exécutif, les commissions permettent d’établir un équilibre entre pouvoir et contre-pouvoir. En outre, la Commission mixte garantit la progression de la promotion des droits de l’homme en général</w:t>
      </w:r>
      <w:r w:rsidR="000B562B" w:rsidRPr="00A176EA">
        <w:rPr>
          <w:lang w:val="fr-FR"/>
        </w:rPr>
        <w:t>.</w:t>
      </w:r>
    </w:p>
    <w:p w:rsidR="000B562B" w:rsidRPr="00A176EA" w:rsidRDefault="00D459EE" w:rsidP="00434B45">
      <w:pPr>
        <w:pStyle w:val="H23G"/>
        <w:rPr>
          <w:lang w:val="fr-FR"/>
        </w:rPr>
      </w:pPr>
      <w:r>
        <w:rPr>
          <w:lang w:val="fr-FR"/>
        </w:rPr>
        <w:t>Formation et éducation aux droits de l’homme du personnel judiciaire, des juristes et des fonctionnaires</w:t>
      </w:r>
    </w:p>
    <w:p w:rsidR="000B562B" w:rsidRPr="00A176EA" w:rsidRDefault="002549A9" w:rsidP="004040FA">
      <w:pPr>
        <w:pStyle w:val="SingleTxtG"/>
        <w:rPr>
          <w:lang w:val="fr-FR"/>
        </w:rPr>
      </w:pPr>
      <w:r w:rsidRPr="00A176EA">
        <w:rPr>
          <w:lang w:val="fr-FR"/>
        </w:rPr>
        <w:t>802.</w:t>
      </w:r>
      <w:r w:rsidRPr="00A176EA">
        <w:rPr>
          <w:lang w:val="fr-FR"/>
        </w:rPr>
        <w:tab/>
      </w:r>
      <w:r w:rsidR="004040FA" w:rsidRPr="004040FA">
        <w:rPr>
          <w:lang w:val="fr-FR"/>
        </w:rPr>
        <w:t>L’adoption de la loi de 1998 sur les droits de l’homme a</w:t>
      </w:r>
      <w:r w:rsidR="004040FA">
        <w:rPr>
          <w:lang w:val="fr-FR"/>
        </w:rPr>
        <w:t xml:space="preserve"> nécessité la mise en place d’un vaste programme de formation pour tous ceux qui travaillent au sein du système judiciaire. Malgré son adoption en 1998 par le Parlement, cette loi n’est entrée en vigueur qu’en octobre 2000 afin de laisser du temps aux professionnels du droit pour se mettre à niveau</w:t>
      </w:r>
      <w:r w:rsidR="000B562B" w:rsidRPr="00A176EA">
        <w:rPr>
          <w:lang w:val="fr-FR"/>
        </w:rPr>
        <w:t>.</w:t>
      </w:r>
    </w:p>
    <w:p w:rsidR="000B562B" w:rsidRPr="00A176EA" w:rsidRDefault="002549A9" w:rsidP="00701B02">
      <w:pPr>
        <w:pStyle w:val="SingleTxtG"/>
        <w:rPr>
          <w:lang w:val="fr-FR"/>
        </w:rPr>
      </w:pPr>
      <w:r w:rsidRPr="00A176EA">
        <w:rPr>
          <w:lang w:val="fr-FR"/>
        </w:rPr>
        <w:t>803.</w:t>
      </w:r>
      <w:r w:rsidRPr="00A176EA">
        <w:rPr>
          <w:lang w:val="fr-FR"/>
        </w:rPr>
        <w:tab/>
      </w:r>
      <w:r w:rsidR="00D10599" w:rsidRPr="004040FA">
        <w:rPr>
          <w:lang w:val="fr-FR"/>
        </w:rPr>
        <w:t>De janvier à</w:t>
      </w:r>
      <w:r w:rsidR="000B562B" w:rsidRPr="004040FA">
        <w:rPr>
          <w:lang w:val="fr-FR"/>
        </w:rPr>
        <w:t xml:space="preserve"> </w:t>
      </w:r>
      <w:r w:rsidR="00D10599" w:rsidRPr="004040FA">
        <w:rPr>
          <w:lang w:val="fr-FR"/>
        </w:rPr>
        <w:t>o</w:t>
      </w:r>
      <w:r w:rsidR="000B562B" w:rsidRPr="004040FA">
        <w:rPr>
          <w:lang w:val="fr-FR"/>
        </w:rPr>
        <w:t>ctob</w:t>
      </w:r>
      <w:r w:rsidR="00D10599" w:rsidRPr="004040FA">
        <w:rPr>
          <w:lang w:val="fr-FR"/>
        </w:rPr>
        <w:t>re</w:t>
      </w:r>
      <w:r w:rsidR="000B562B" w:rsidRPr="004040FA">
        <w:rPr>
          <w:lang w:val="fr-FR"/>
        </w:rPr>
        <w:t xml:space="preserve"> 2000, </w:t>
      </w:r>
      <w:r w:rsidR="00D10599" w:rsidRPr="004040FA">
        <w:rPr>
          <w:lang w:val="fr-FR"/>
        </w:rPr>
        <w:t>le Conseil des études judiciaires</w:t>
      </w:r>
      <w:r w:rsidR="000B562B" w:rsidRPr="00A176EA">
        <w:rPr>
          <w:lang w:val="fr-FR"/>
        </w:rPr>
        <w:t xml:space="preserve"> </w:t>
      </w:r>
      <w:r w:rsidR="00151462">
        <w:rPr>
          <w:lang w:val="fr-FR"/>
        </w:rPr>
        <w:t xml:space="preserve">a coordonné la formation de tous les juges à la loi sur les droits de l’homme. Cette formation a pris la forme de séminaires composés de conférences d’initiation, d’études de cas et de sessions plénières. </w:t>
      </w:r>
      <w:r w:rsidR="00701B02" w:rsidRPr="00701B02">
        <w:rPr>
          <w:lang w:val="fr-FR"/>
        </w:rPr>
        <w:t xml:space="preserve">On relève dans la liste des conférenciers les noms de Sir Nicholas Bratza, juge britannique à la </w:t>
      </w:r>
      <w:r w:rsidR="00584246" w:rsidRPr="00701B02">
        <w:rPr>
          <w:lang w:val="fr-FR"/>
        </w:rPr>
        <w:t>Cour européenne des droits de l’homme</w:t>
      </w:r>
      <w:r w:rsidR="000B562B" w:rsidRPr="00701B02">
        <w:rPr>
          <w:lang w:val="fr-FR"/>
        </w:rPr>
        <w:t xml:space="preserve">, </w:t>
      </w:r>
      <w:r w:rsidR="00701B02" w:rsidRPr="00701B02">
        <w:rPr>
          <w:lang w:val="fr-FR"/>
        </w:rPr>
        <w:t xml:space="preserve">et </w:t>
      </w:r>
      <w:r w:rsidR="00067766">
        <w:rPr>
          <w:lang w:val="fr-FR"/>
        </w:rPr>
        <w:t>du</w:t>
      </w:r>
      <w:r w:rsidR="00701B02" w:rsidRPr="00701B02">
        <w:rPr>
          <w:lang w:val="fr-FR"/>
        </w:rPr>
        <w:t xml:space="preserve"> juge</w:t>
      </w:r>
      <w:r w:rsidR="000B562B" w:rsidRPr="00701B02">
        <w:rPr>
          <w:lang w:val="fr-FR"/>
        </w:rPr>
        <w:t xml:space="preserve"> Luzius Wildhaber, </w:t>
      </w:r>
      <w:r w:rsidR="00701B02" w:rsidRPr="00701B02">
        <w:rPr>
          <w:lang w:val="fr-FR"/>
        </w:rPr>
        <w:t>ancien</w:t>
      </w:r>
      <w:r w:rsidR="000B562B" w:rsidRPr="00701B02">
        <w:rPr>
          <w:lang w:val="fr-FR"/>
        </w:rPr>
        <w:t xml:space="preserve"> Pr</w:t>
      </w:r>
      <w:r w:rsidR="00701B02" w:rsidRPr="00701B02">
        <w:rPr>
          <w:lang w:val="fr-FR"/>
        </w:rPr>
        <w:t>é</w:t>
      </w:r>
      <w:r w:rsidR="000B562B" w:rsidRPr="00701B02">
        <w:rPr>
          <w:lang w:val="fr-FR"/>
        </w:rPr>
        <w:t xml:space="preserve">sident </w:t>
      </w:r>
      <w:r w:rsidR="00701B02" w:rsidRPr="00701B02">
        <w:rPr>
          <w:lang w:val="fr-FR"/>
        </w:rPr>
        <w:t>de cette même</w:t>
      </w:r>
      <w:r w:rsidR="000B562B" w:rsidRPr="00701B02">
        <w:rPr>
          <w:lang w:val="fr-FR"/>
        </w:rPr>
        <w:t xml:space="preserve"> </w:t>
      </w:r>
      <w:r w:rsidR="00584246" w:rsidRPr="00701B02">
        <w:rPr>
          <w:lang w:val="fr-FR"/>
        </w:rPr>
        <w:t>Cour</w:t>
      </w:r>
      <w:r w:rsidR="000B562B" w:rsidRPr="00701B02">
        <w:rPr>
          <w:lang w:val="fr-FR"/>
        </w:rPr>
        <w:t>.</w:t>
      </w:r>
    </w:p>
    <w:p w:rsidR="000B562B" w:rsidRPr="006D07AA" w:rsidRDefault="002549A9" w:rsidP="00701B02">
      <w:pPr>
        <w:pStyle w:val="SingleTxtG"/>
        <w:rPr>
          <w:lang w:val="fr-FR"/>
        </w:rPr>
      </w:pPr>
      <w:r w:rsidRPr="006D07AA">
        <w:rPr>
          <w:lang w:val="fr-FR"/>
        </w:rPr>
        <w:t>804.</w:t>
      </w:r>
      <w:r w:rsidRPr="006D07AA">
        <w:rPr>
          <w:lang w:val="fr-FR"/>
        </w:rPr>
        <w:tab/>
      </w:r>
      <w:r w:rsidR="00701B02" w:rsidRPr="006D07AA">
        <w:rPr>
          <w:lang w:val="fr-FR"/>
        </w:rPr>
        <w:t>À partir de septembre 1999, une formation analogue a été dispensée aux conseillers juridiques des magistrats (greffiers et autres auxiliaires de justice) et un stage de recyclage d’une journée a été organisé au début de l’automne 2000, juste avant l’entrée en vigueur de la loi. À leur tour, les conseillers juridiques ont été invités à former les magistrats</w:t>
      </w:r>
      <w:r w:rsidR="000B562B" w:rsidRPr="006D07AA">
        <w:rPr>
          <w:lang w:val="fr-FR"/>
        </w:rPr>
        <w:t>.</w:t>
      </w:r>
    </w:p>
    <w:p w:rsidR="000B562B" w:rsidRPr="00A176EA" w:rsidRDefault="002549A9" w:rsidP="00434B45">
      <w:pPr>
        <w:pStyle w:val="SingleTxtG"/>
        <w:rPr>
          <w:lang w:val="fr-FR"/>
        </w:rPr>
      </w:pPr>
      <w:r w:rsidRPr="00A176EA">
        <w:rPr>
          <w:lang w:val="fr-FR"/>
        </w:rPr>
        <w:t>805.</w:t>
      </w:r>
      <w:r w:rsidRPr="00A176EA">
        <w:rPr>
          <w:lang w:val="fr-FR"/>
        </w:rPr>
        <w:tab/>
      </w:r>
      <w:r w:rsidR="00701B02" w:rsidRPr="00701B02">
        <w:rPr>
          <w:lang w:val="fr-FR"/>
        </w:rPr>
        <w:t xml:space="preserve">Le Conseil de l’ordre des avocats de Grande-Bretagne a assuré la formation aux droits de l’homme de quelque 6 000 avocats. Le </w:t>
      </w:r>
      <w:r w:rsidR="007A1549">
        <w:rPr>
          <w:lang w:val="fr-FR"/>
        </w:rPr>
        <w:t>m</w:t>
      </w:r>
      <w:r w:rsidR="00327073" w:rsidRPr="00701B02">
        <w:rPr>
          <w:lang w:val="fr-FR"/>
        </w:rPr>
        <w:t>inistère public de la Couronne</w:t>
      </w:r>
      <w:r w:rsidR="00327073" w:rsidRPr="00A176EA">
        <w:rPr>
          <w:lang w:val="fr-FR"/>
        </w:rPr>
        <w:t xml:space="preserve"> </w:t>
      </w:r>
      <w:r w:rsidR="00AF4F77">
        <w:rPr>
          <w:lang w:val="fr-FR"/>
        </w:rPr>
        <w:t xml:space="preserve">a organisé une formation de trois jours destinée </w:t>
      </w:r>
      <w:r w:rsidR="00067766">
        <w:rPr>
          <w:lang w:val="fr-FR"/>
        </w:rPr>
        <w:t xml:space="preserve">à </w:t>
      </w:r>
      <w:r w:rsidR="00AF4F77">
        <w:rPr>
          <w:lang w:val="fr-FR"/>
        </w:rPr>
        <w:t xml:space="preserve">tous les procureurs et publié un manuel d’orientation à l’intention de ses personnels, qui recense toute la jurisprudence européenne en la matière, complété </w:t>
      </w:r>
      <w:r w:rsidR="004113DA">
        <w:rPr>
          <w:lang w:val="fr-FR"/>
        </w:rPr>
        <w:t xml:space="preserve">ensuite </w:t>
      </w:r>
      <w:r w:rsidR="00AF4F77">
        <w:rPr>
          <w:lang w:val="fr-FR"/>
        </w:rPr>
        <w:t>de mises à jour bimensuelles</w:t>
      </w:r>
      <w:r w:rsidR="000B562B" w:rsidRPr="00A176EA">
        <w:rPr>
          <w:lang w:val="fr-FR"/>
        </w:rPr>
        <w:t>.</w:t>
      </w:r>
    </w:p>
    <w:p w:rsidR="000B562B" w:rsidRPr="00A176EA" w:rsidRDefault="002549A9" w:rsidP="00434B45">
      <w:pPr>
        <w:pStyle w:val="SingleTxtG"/>
        <w:rPr>
          <w:lang w:val="fr-FR"/>
        </w:rPr>
      </w:pPr>
      <w:r w:rsidRPr="00A176EA">
        <w:rPr>
          <w:lang w:val="fr-FR"/>
        </w:rPr>
        <w:t>806.</w:t>
      </w:r>
      <w:r w:rsidRPr="00A176EA">
        <w:rPr>
          <w:lang w:val="fr-FR"/>
        </w:rPr>
        <w:tab/>
      </w:r>
      <w:r w:rsidR="00AF4F77">
        <w:rPr>
          <w:lang w:val="fr-FR"/>
        </w:rPr>
        <w:t xml:space="preserve">L’éducation aux droits de l’homme a été intégrée dans le cursus des étudiants en droit de toutes les universités du Royaume-Uni, tout comme elle est omniprésente dans les stages de formation professionnelle des </w:t>
      </w:r>
      <w:r w:rsidR="00AF4F77" w:rsidRPr="00AF4F77">
        <w:rPr>
          <w:i/>
          <w:lang w:val="fr-FR"/>
        </w:rPr>
        <w:t>barristers</w:t>
      </w:r>
      <w:r w:rsidR="00AF4F77" w:rsidRPr="00A176EA">
        <w:rPr>
          <w:lang w:val="fr-FR"/>
        </w:rPr>
        <w:t xml:space="preserve"> </w:t>
      </w:r>
      <w:r w:rsidR="00AF4F77">
        <w:rPr>
          <w:lang w:val="fr-FR"/>
        </w:rPr>
        <w:t>et des</w:t>
      </w:r>
      <w:r w:rsidR="00AF4F77" w:rsidRPr="00A176EA">
        <w:rPr>
          <w:lang w:val="fr-FR"/>
        </w:rPr>
        <w:t xml:space="preserve"> </w:t>
      </w:r>
      <w:r w:rsidR="00AF4F77" w:rsidRPr="00AF4F77">
        <w:rPr>
          <w:i/>
          <w:lang w:val="fr-FR"/>
        </w:rPr>
        <w:t>solicitors</w:t>
      </w:r>
      <w:r w:rsidR="000B562B" w:rsidRPr="00A176EA">
        <w:rPr>
          <w:lang w:val="fr-FR"/>
        </w:rPr>
        <w:t>.</w:t>
      </w:r>
    </w:p>
    <w:p w:rsidR="000B562B" w:rsidRPr="00937FA8" w:rsidRDefault="002549A9" w:rsidP="005D57A9">
      <w:pPr>
        <w:pStyle w:val="SingleTxtG"/>
        <w:rPr>
          <w:lang w:val="fr-FR"/>
        </w:rPr>
      </w:pPr>
      <w:r w:rsidRPr="00A176EA">
        <w:rPr>
          <w:lang w:val="fr-FR"/>
        </w:rPr>
        <w:t>807.</w:t>
      </w:r>
      <w:r w:rsidRPr="00A176EA">
        <w:rPr>
          <w:lang w:val="fr-FR"/>
        </w:rPr>
        <w:tab/>
      </w:r>
      <w:r w:rsidR="00AF4F77">
        <w:rPr>
          <w:lang w:val="fr-FR"/>
        </w:rPr>
        <w:t xml:space="preserve">Toutefois, le Gouvernement a admis dans l’Examen de la mise en œuvre de la loi sur les droits de l’homme </w:t>
      </w:r>
      <w:r w:rsidR="007E510C">
        <w:rPr>
          <w:lang w:val="fr-FR"/>
        </w:rPr>
        <w:t xml:space="preserve">que ladite loi était largement méconnue des fonctionnaires et a recommandé d’élaborer sans tarder un programme de formation et de sensibilisation pour faire en sorte que la loi soit correctement comprise et appliquée. </w:t>
      </w:r>
      <w:r w:rsidR="00937FA8">
        <w:rPr>
          <w:lang w:val="fr-FR"/>
        </w:rPr>
        <w:t xml:space="preserve">Par suite, le Ministère de la justice a distribué plus de 118 000 exemplaires d’un nouveau manuel intitulé </w:t>
      </w:r>
      <w:r w:rsidR="00CD0110">
        <w:rPr>
          <w:lang w:val="fr-FR"/>
        </w:rPr>
        <w:t>«</w:t>
      </w:r>
      <w:r w:rsidR="00937FA8">
        <w:rPr>
          <w:lang w:val="fr-FR"/>
        </w:rPr>
        <w:t>Human Rights: Human lives</w:t>
      </w:r>
      <w:r w:rsidR="00CD0110">
        <w:rPr>
          <w:lang w:val="fr-FR"/>
        </w:rPr>
        <w:t>»</w:t>
      </w:r>
      <w:r w:rsidR="00937FA8">
        <w:rPr>
          <w:lang w:val="fr-FR"/>
        </w:rPr>
        <w:t xml:space="preserve"> (</w:t>
      </w:r>
      <w:r w:rsidR="00CD0110">
        <w:rPr>
          <w:lang w:val="fr-FR"/>
        </w:rPr>
        <w:t>«</w:t>
      </w:r>
      <w:r w:rsidR="00937FA8">
        <w:rPr>
          <w:lang w:val="fr-FR"/>
        </w:rPr>
        <w:t>Droits de l’homme</w:t>
      </w:r>
      <w:r w:rsidR="00FC2B97">
        <w:rPr>
          <w:lang w:val="fr-FR"/>
        </w:rPr>
        <w:t>:</w:t>
      </w:r>
      <w:r w:rsidR="00937FA8">
        <w:rPr>
          <w:lang w:val="fr-FR"/>
        </w:rPr>
        <w:t xml:space="preserve"> vie des hommes</w:t>
      </w:r>
      <w:r w:rsidR="00CD0110">
        <w:rPr>
          <w:lang w:val="fr-FR"/>
        </w:rPr>
        <w:t>»</w:t>
      </w:r>
      <w:r w:rsidR="00937FA8">
        <w:rPr>
          <w:lang w:val="fr-FR"/>
        </w:rPr>
        <w:t xml:space="preserve">) à d’autres ministères, aux organismes placés sous leur </w:t>
      </w:r>
      <w:r w:rsidR="004113DA">
        <w:rPr>
          <w:lang w:val="fr-FR"/>
        </w:rPr>
        <w:t>tutelle</w:t>
      </w:r>
      <w:r w:rsidR="00937FA8">
        <w:rPr>
          <w:lang w:val="fr-FR"/>
        </w:rPr>
        <w:t xml:space="preserve"> et aux organisations du secteur public en général. Ce manuel est conçu pour améliorer la compréhension et le fonctionnement de la politique nationale en matière de droits de l’homme, en particulier, mais sans y être limité, aux administrations. Le public en général et les non-spécialistes peuvent par ailleurs consulter deux publications</w:t>
      </w:r>
      <w:r w:rsidR="00FC2B97">
        <w:rPr>
          <w:lang w:val="fr-FR"/>
        </w:rPr>
        <w:t>:</w:t>
      </w:r>
      <w:r w:rsidR="00937FA8">
        <w:rPr>
          <w:lang w:val="fr-FR"/>
        </w:rPr>
        <w:t xml:space="preserve"> </w:t>
      </w:r>
      <w:r w:rsidR="00CD0110">
        <w:rPr>
          <w:lang w:val="fr-FR"/>
        </w:rPr>
        <w:t>«</w:t>
      </w:r>
      <w:r w:rsidR="00937FA8">
        <w:rPr>
          <w:lang w:val="fr-FR"/>
        </w:rPr>
        <w:t xml:space="preserve">Human Rights Act </w:t>
      </w:r>
      <w:r w:rsidR="00937FA8" w:rsidRPr="00937FA8">
        <w:rPr>
          <w:lang w:val="fr-FR"/>
        </w:rPr>
        <w:t>– an Introduction</w:t>
      </w:r>
      <w:r w:rsidR="00CD0110">
        <w:rPr>
          <w:lang w:val="fr-FR"/>
        </w:rPr>
        <w:t>»</w:t>
      </w:r>
      <w:r w:rsidR="00937FA8">
        <w:rPr>
          <w:lang w:val="fr-FR"/>
        </w:rPr>
        <w:t xml:space="preserve"> (</w:t>
      </w:r>
      <w:r w:rsidR="00CD0110">
        <w:rPr>
          <w:lang w:val="fr-FR"/>
        </w:rPr>
        <w:t>«</w:t>
      </w:r>
      <w:r w:rsidR="00937FA8">
        <w:rPr>
          <w:snapToGrid w:val="0"/>
          <w:lang w:val="fr-FR"/>
        </w:rPr>
        <w:t>I</w:t>
      </w:r>
      <w:r w:rsidR="00937FA8" w:rsidRPr="00937FA8">
        <w:rPr>
          <w:snapToGrid w:val="0"/>
          <w:lang w:val="fr-FR"/>
        </w:rPr>
        <w:t>ntroduction</w:t>
      </w:r>
      <w:r w:rsidR="00937FA8">
        <w:rPr>
          <w:lang w:val="fr-FR"/>
        </w:rPr>
        <w:t xml:space="preserve"> à la loi sur les droits de l’homme</w:t>
      </w:r>
      <w:r w:rsidR="00CD0110">
        <w:rPr>
          <w:lang w:val="fr-FR"/>
        </w:rPr>
        <w:t>»</w:t>
      </w:r>
      <w:r w:rsidR="00937FA8">
        <w:rPr>
          <w:lang w:val="fr-FR"/>
        </w:rPr>
        <w:t xml:space="preserve">) et la troisième édition du </w:t>
      </w:r>
      <w:r w:rsidR="00CD0110">
        <w:rPr>
          <w:lang w:val="fr-FR"/>
        </w:rPr>
        <w:t>«</w:t>
      </w:r>
      <w:r w:rsidR="00937FA8">
        <w:rPr>
          <w:lang w:val="fr-FR"/>
        </w:rPr>
        <w:t>Guide to the Human Rights Act 1998</w:t>
      </w:r>
      <w:r w:rsidR="00CD0110">
        <w:rPr>
          <w:lang w:val="fr-FR"/>
        </w:rPr>
        <w:t>»</w:t>
      </w:r>
      <w:r w:rsidR="00937FA8">
        <w:rPr>
          <w:lang w:val="fr-FR"/>
        </w:rPr>
        <w:t xml:space="preserve"> (</w:t>
      </w:r>
      <w:r w:rsidR="00CD0110">
        <w:rPr>
          <w:lang w:val="fr-FR"/>
        </w:rPr>
        <w:t>«</w:t>
      </w:r>
      <w:r w:rsidR="00937FA8">
        <w:rPr>
          <w:lang w:val="fr-FR"/>
        </w:rPr>
        <w:t>Guide de la loi de 1998 sur les droits de l’homme</w:t>
      </w:r>
      <w:r w:rsidR="00CD0110">
        <w:rPr>
          <w:lang w:val="fr-FR"/>
        </w:rPr>
        <w:t>»</w:t>
      </w:r>
      <w:r w:rsidR="00937FA8">
        <w:rPr>
          <w:lang w:val="fr-FR"/>
        </w:rPr>
        <w:t>)</w:t>
      </w:r>
      <w:r w:rsidR="005D57A9">
        <w:rPr>
          <w:lang w:val="fr-FR"/>
        </w:rPr>
        <w:t xml:space="preserve">, qui est très apprécié. </w:t>
      </w:r>
      <w:r w:rsidR="005D57A9" w:rsidRPr="005D57A9">
        <w:rPr>
          <w:lang w:val="fr-FR"/>
        </w:rPr>
        <w:t>Ces publications sont disponibles en li</w:t>
      </w:r>
      <w:r w:rsidR="005D57A9">
        <w:rPr>
          <w:lang w:val="fr-FR"/>
        </w:rPr>
        <w:t xml:space="preserve">gne ainsi qu’en version papier </w:t>
      </w:r>
      <w:r w:rsidR="005D57A9" w:rsidRPr="005D57A9">
        <w:rPr>
          <w:lang w:val="fr-FR"/>
        </w:rPr>
        <w:t>sur demande</w:t>
      </w:r>
      <w:r w:rsidR="000B562B" w:rsidRPr="00937FA8">
        <w:rPr>
          <w:snapToGrid w:val="0"/>
          <w:lang w:val="fr-FR"/>
        </w:rPr>
        <w:t>.</w:t>
      </w:r>
    </w:p>
    <w:p w:rsidR="000B562B" w:rsidRPr="00A176EA" w:rsidRDefault="002549A9" w:rsidP="00434B45">
      <w:pPr>
        <w:pStyle w:val="SingleTxtG"/>
        <w:rPr>
          <w:snapToGrid w:val="0"/>
          <w:lang w:val="fr-FR"/>
        </w:rPr>
      </w:pPr>
      <w:r w:rsidRPr="00A176EA">
        <w:rPr>
          <w:snapToGrid w:val="0"/>
          <w:lang w:val="fr-FR"/>
        </w:rPr>
        <w:t>808.</w:t>
      </w:r>
      <w:r w:rsidRPr="00A176EA">
        <w:rPr>
          <w:snapToGrid w:val="0"/>
          <w:lang w:val="fr-FR"/>
        </w:rPr>
        <w:tab/>
      </w:r>
      <w:r w:rsidR="004113DA">
        <w:rPr>
          <w:snapToGrid w:val="0"/>
          <w:lang w:val="fr-FR"/>
        </w:rPr>
        <w:t xml:space="preserve">Les hauts fonctionnaires nommés se sont attachés à intégrer la question des droits de l’homme dans leurs ministères respectifs et les organismes placés sous leur tutelle par le biais d’un réseau de </w:t>
      </w:r>
      <w:r w:rsidR="00CD0110">
        <w:rPr>
          <w:snapToGrid w:val="0"/>
          <w:lang w:val="fr-FR"/>
        </w:rPr>
        <w:t>«</w:t>
      </w:r>
      <w:r w:rsidR="004113DA">
        <w:rPr>
          <w:snapToGrid w:val="0"/>
          <w:lang w:val="fr-FR"/>
        </w:rPr>
        <w:t>Hauts défenseurs des droits de l’homme</w:t>
      </w:r>
      <w:r w:rsidR="00CD0110">
        <w:rPr>
          <w:snapToGrid w:val="0"/>
          <w:lang w:val="fr-FR"/>
        </w:rPr>
        <w:t>»</w:t>
      </w:r>
      <w:r w:rsidR="004113DA">
        <w:rPr>
          <w:snapToGrid w:val="0"/>
          <w:lang w:val="fr-FR"/>
        </w:rPr>
        <w:t>. Les membres de ce réseau continuent de se réunir tous les trois mois</w:t>
      </w:r>
      <w:r w:rsidR="00E51010">
        <w:rPr>
          <w:snapToGrid w:val="0"/>
          <w:lang w:val="fr-FR"/>
        </w:rPr>
        <w:t xml:space="preserve"> et permettent aux ministères de partager leur expertise, leurs informations et leurs bonnes pratiques.</w:t>
      </w:r>
      <w:r w:rsidR="004113DA">
        <w:rPr>
          <w:snapToGrid w:val="0"/>
          <w:lang w:val="fr-FR"/>
        </w:rPr>
        <w:t xml:space="preserve"> </w:t>
      </w:r>
      <w:r w:rsidR="00E51010">
        <w:rPr>
          <w:snapToGrid w:val="0"/>
          <w:lang w:val="fr-FR"/>
        </w:rPr>
        <w:t>En partageant les bonnes pratiques, le Ministère de la justice montre la voie aux autres ministères en matière de formation et autres initiatives visant à faire appliquer le cadre juridique des droits de l’homme, tant au sein de leur ministère que des organismes placés sous leur tutelle</w:t>
      </w:r>
      <w:r w:rsidR="000B562B" w:rsidRPr="00A176EA">
        <w:rPr>
          <w:snapToGrid w:val="0"/>
          <w:lang w:val="fr-FR"/>
        </w:rPr>
        <w:t>.</w:t>
      </w:r>
    </w:p>
    <w:p w:rsidR="000B562B" w:rsidRPr="00A176EA" w:rsidRDefault="002549A9" w:rsidP="00E33429">
      <w:pPr>
        <w:pStyle w:val="SingleTxtG"/>
        <w:rPr>
          <w:lang w:val="fr-FR"/>
        </w:rPr>
      </w:pPr>
      <w:r w:rsidRPr="00A176EA">
        <w:rPr>
          <w:lang w:val="fr-FR"/>
        </w:rPr>
        <w:t>809.</w:t>
      </w:r>
      <w:r w:rsidRPr="00A176EA">
        <w:rPr>
          <w:lang w:val="fr-FR"/>
        </w:rPr>
        <w:tab/>
      </w:r>
      <w:r w:rsidR="00EB10E0" w:rsidRPr="00E51010">
        <w:rPr>
          <w:bCs/>
          <w:snapToGrid w:val="0"/>
          <w:color w:val="000000"/>
          <w:lang w:val="fr-FR"/>
        </w:rPr>
        <w:t>En mars</w:t>
      </w:r>
      <w:r w:rsidR="000B562B" w:rsidRPr="00E51010">
        <w:rPr>
          <w:bCs/>
          <w:snapToGrid w:val="0"/>
          <w:color w:val="000000"/>
          <w:lang w:val="fr-FR"/>
        </w:rPr>
        <w:t xml:space="preserve"> 2007</w:t>
      </w:r>
      <w:r w:rsidR="00EB10E0" w:rsidRPr="00E51010">
        <w:rPr>
          <w:bCs/>
          <w:snapToGrid w:val="0"/>
          <w:color w:val="000000"/>
          <w:lang w:val="fr-FR"/>
        </w:rPr>
        <w:t>, le Ministère de la santé</w:t>
      </w:r>
      <w:r w:rsidR="00E51010">
        <w:rPr>
          <w:bCs/>
          <w:snapToGrid w:val="0"/>
          <w:color w:val="000000"/>
          <w:lang w:val="fr-FR"/>
        </w:rPr>
        <w:t xml:space="preserve"> </w:t>
      </w:r>
      <w:r w:rsidR="00BF3544">
        <w:rPr>
          <w:bCs/>
          <w:snapToGrid w:val="0"/>
          <w:color w:val="000000"/>
          <w:lang w:val="fr-FR"/>
        </w:rPr>
        <w:t xml:space="preserve">a lancé un </w:t>
      </w:r>
      <w:r w:rsidR="00BF3544" w:rsidRPr="00A176EA">
        <w:rPr>
          <w:bCs/>
          <w:snapToGrid w:val="0"/>
          <w:color w:val="000000"/>
          <w:lang w:val="fr-FR"/>
        </w:rPr>
        <w:t>projet</w:t>
      </w:r>
      <w:r w:rsidR="00BF3544">
        <w:rPr>
          <w:bCs/>
          <w:snapToGrid w:val="0"/>
          <w:color w:val="000000"/>
          <w:lang w:val="fr-FR"/>
        </w:rPr>
        <w:t xml:space="preserve"> intitulé </w:t>
      </w:r>
      <w:r w:rsidR="00CD0110">
        <w:rPr>
          <w:bCs/>
          <w:snapToGrid w:val="0"/>
          <w:color w:val="000000"/>
          <w:lang w:val="fr-FR"/>
        </w:rPr>
        <w:t>«</w:t>
      </w:r>
      <w:r w:rsidR="00BF3544">
        <w:rPr>
          <w:bCs/>
          <w:snapToGrid w:val="0"/>
          <w:color w:val="000000"/>
          <w:lang w:val="fr-FR"/>
        </w:rPr>
        <w:t xml:space="preserve">Human Rights in Healthcare </w:t>
      </w:r>
      <w:r w:rsidR="000B562B" w:rsidRPr="00BF3544">
        <w:rPr>
          <w:bCs/>
          <w:snapToGrid w:val="0"/>
          <w:color w:val="000000"/>
          <w:lang w:val="fr-FR"/>
        </w:rPr>
        <w:t>– A Framework for Local Action</w:t>
      </w:r>
      <w:r w:rsidR="00CD0110">
        <w:rPr>
          <w:bCs/>
          <w:snapToGrid w:val="0"/>
          <w:color w:val="000000"/>
          <w:lang w:val="fr-FR"/>
        </w:rPr>
        <w:t>»</w:t>
      </w:r>
      <w:r w:rsidR="00BF3544">
        <w:rPr>
          <w:bCs/>
          <w:snapToGrid w:val="0"/>
          <w:color w:val="000000"/>
          <w:lang w:val="fr-FR"/>
        </w:rPr>
        <w:t xml:space="preserve"> (</w:t>
      </w:r>
      <w:r w:rsidR="00CD0110">
        <w:rPr>
          <w:bCs/>
          <w:snapToGrid w:val="0"/>
          <w:color w:val="000000"/>
          <w:lang w:val="fr-FR"/>
        </w:rPr>
        <w:t>«</w:t>
      </w:r>
      <w:r w:rsidR="00BF3544">
        <w:rPr>
          <w:bCs/>
          <w:snapToGrid w:val="0"/>
          <w:color w:val="000000"/>
          <w:lang w:val="fr-FR"/>
        </w:rPr>
        <w:t>Droits de l’homme et santé</w:t>
      </w:r>
      <w:r w:rsidR="00FC2B97">
        <w:rPr>
          <w:bCs/>
          <w:snapToGrid w:val="0"/>
          <w:color w:val="000000"/>
          <w:lang w:val="fr-FR"/>
        </w:rPr>
        <w:t>:</w:t>
      </w:r>
      <w:r w:rsidR="00BF3544">
        <w:rPr>
          <w:bCs/>
          <w:snapToGrid w:val="0"/>
          <w:color w:val="000000"/>
          <w:lang w:val="fr-FR"/>
        </w:rPr>
        <w:t xml:space="preserve"> cadre d’action locale</w:t>
      </w:r>
      <w:r w:rsidR="00CD0110">
        <w:rPr>
          <w:bCs/>
          <w:snapToGrid w:val="0"/>
          <w:color w:val="000000"/>
          <w:lang w:val="fr-FR"/>
        </w:rPr>
        <w:t>»</w:t>
      </w:r>
      <w:r w:rsidR="00BF3544">
        <w:rPr>
          <w:bCs/>
          <w:snapToGrid w:val="0"/>
          <w:color w:val="000000"/>
          <w:lang w:val="fr-FR"/>
        </w:rPr>
        <w:t>)</w:t>
      </w:r>
      <w:r w:rsidR="000B562B" w:rsidRPr="00A176EA">
        <w:rPr>
          <w:bCs/>
          <w:snapToGrid w:val="0"/>
          <w:color w:val="000000"/>
          <w:lang w:val="fr-FR"/>
        </w:rPr>
        <w:t xml:space="preserve">. </w:t>
      </w:r>
      <w:r w:rsidR="00BF3544" w:rsidRPr="00067766">
        <w:rPr>
          <w:bCs/>
          <w:snapToGrid w:val="0"/>
          <w:color w:val="000000"/>
          <w:lang w:val="fr-FR"/>
        </w:rPr>
        <w:t xml:space="preserve">Ce projet </w:t>
      </w:r>
      <w:r w:rsidR="00D2721E" w:rsidRPr="00067766">
        <w:rPr>
          <w:bCs/>
          <w:snapToGrid w:val="0"/>
          <w:color w:val="000000"/>
          <w:lang w:val="fr-FR"/>
        </w:rPr>
        <w:t>proposait</w:t>
      </w:r>
      <w:r w:rsidR="00BF3544" w:rsidRPr="00067766">
        <w:rPr>
          <w:bCs/>
          <w:snapToGrid w:val="0"/>
          <w:color w:val="000000"/>
          <w:lang w:val="fr-FR"/>
        </w:rPr>
        <w:t xml:space="preserve"> </w:t>
      </w:r>
      <w:r w:rsidR="00D2721E" w:rsidRPr="00067766">
        <w:rPr>
          <w:bCs/>
          <w:snapToGrid w:val="0"/>
          <w:color w:val="000000"/>
          <w:lang w:val="fr-FR"/>
        </w:rPr>
        <w:t xml:space="preserve">une série de mesures liées aux droits de l’homme que les Structures de soins du Service national de santé pouvaient utiliser, des activités d’apprentissage dans ce domaine et un argumentaire solide </w:t>
      </w:r>
      <w:r w:rsidR="00E33429" w:rsidRPr="00067766">
        <w:rPr>
          <w:bCs/>
          <w:snapToGrid w:val="0"/>
          <w:color w:val="000000"/>
          <w:lang w:val="fr-FR"/>
        </w:rPr>
        <w:t>pour l’élaboration d’approches fondées sur les droits de l’homme et l’identification des principaux facteurs de réussite.</w:t>
      </w:r>
      <w:r w:rsidR="00E33429">
        <w:rPr>
          <w:bCs/>
          <w:snapToGrid w:val="0"/>
          <w:color w:val="000000"/>
          <w:lang w:val="fr-FR"/>
        </w:rPr>
        <w:t xml:space="preserve"> En janvier 2009, le Ministère a publié la première Constitution du Service national de santé pour l’Angleterre</w:t>
      </w:r>
      <w:r w:rsidR="000B562B" w:rsidRPr="00A176EA">
        <w:rPr>
          <w:rStyle w:val="FootnoteReference"/>
          <w:szCs w:val="22"/>
        </w:rPr>
        <w:footnoteReference w:id="135"/>
      </w:r>
      <w:r w:rsidR="00E33429">
        <w:rPr>
          <w:bCs/>
          <w:snapToGrid w:val="0"/>
          <w:color w:val="000000"/>
          <w:lang w:val="fr-FR"/>
        </w:rPr>
        <w:t xml:space="preserve">, qui définit les normes, valeurs et principes devant guider l’action du Service national de santé. Le tout premier principe est que celui-ci doit fournir à tous un ensemble complet de services et que </w:t>
      </w:r>
      <w:r w:rsidR="00CD0110">
        <w:rPr>
          <w:bCs/>
          <w:snapToGrid w:val="0"/>
          <w:color w:val="000000"/>
          <w:lang w:val="fr-FR"/>
        </w:rPr>
        <w:t>«</w:t>
      </w:r>
      <w:r w:rsidR="00E33429">
        <w:rPr>
          <w:bCs/>
          <w:snapToGrid w:val="0"/>
          <w:color w:val="000000"/>
          <w:lang w:val="fr-FR"/>
        </w:rPr>
        <w:t xml:space="preserve">il a des obligations envers </w:t>
      </w:r>
      <w:r w:rsidR="0022049F">
        <w:rPr>
          <w:bCs/>
          <w:snapToGrid w:val="0"/>
          <w:color w:val="000000"/>
          <w:lang w:val="fr-FR"/>
        </w:rPr>
        <w:t>tous les</w:t>
      </w:r>
      <w:r w:rsidR="00E33429">
        <w:rPr>
          <w:bCs/>
          <w:snapToGrid w:val="0"/>
          <w:color w:val="000000"/>
          <w:lang w:val="fr-FR"/>
        </w:rPr>
        <w:t xml:space="preserve"> individu</w:t>
      </w:r>
      <w:r w:rsidR="0022049F">
        <w:rPr>
          <w:bCs/>
          <w:snapToGrid w:val="0"/>
          <w:color w:val="000000"/>
          <w:lang w:val="fr-FR"/>
        </w:rPr>
        <w:t>s</w:t>
      </w:r>
      <w:r w:rsidR="00E33429">
        <w:rPr>
          <w:bCs/>
          <w:snapToGrid w:val="0"/>
          <w:color w:val="000000"/>
          <w:lang w:val="fr-FR"/>
        </w:rPr>
        <w:t xml:space="preserve">, sans exception, </w:t>
      </w:r>
      <w:r w:rsidR="0022049F">
        <w:rPr>
          <w:bCs/>
          <w:snapToGrid w:val="0"/>
          <w:color w:val="000000"/>
          <w:lang w:val="fr-FR"/>
        </w:rPr>
        <w:t xml:space="preserve">auxquels il fournit des services et </w:t>
      </w:r>
      <w:r w:rsidR="00067766">
        <w:rPr>
          <w:bCs/>
          <w:snapToGrid w:val="0"/>
          <w:color w:val="000000"/>
          <w:lang w:val="fr-FR"/>
        </w:rPr>
        <w:t xml:space="preserve">dont il </w:t>
      </w:r>
      <w:r w:rsidR="0022049F">
        <w:rPr>
          <w:bCs/>
          <w:snapToGrid w:val="0"/>
          <w:color w:val="000000"/>
          <w:lang w:val="fr-FR"/>
        </w:rPr>
        <w:t>doit respecter les droits fondamentaux</w:t>
      </w:r>
      <w:r w:rsidR="00CD0110">
        <w:rPr>
          <w:bCs/>
          <w:snapToGrid w:val="0"/>
          <w:color w:val="000000"/>
          <w:lang w:val="fr-FR"/>
        </w:rPr>
        <w:t>»</w:t>
      </w:r>
      <w:r w:rsidR="0022049F">
        <w:rPr>
          <w:bCs/>
          <w:snapToGrid w:val="0"/>
          <w:color w:val="000000"/>
          <w:lang w:val="fr-FR"/>
        </w:rPr>
        <w:t xml:space="preserve">. </w:t>
      </w:r>
      <w:r w:rsidR="00693713">
        <w:rPr>
          <w:bCs/>
          <w:snapToGrid w:val="0"/>
          <w:color w:val="000000"/>
          <w:lang w:val="fr-FR"/>
        </w:rPr>
        <w:t>C</w:t>
      </w:r>
      <w:r w:rsidR="0022049F">
        <w:rPr>
          <w:bCs/>
          <w:snapToGrid w:val="0"/>
          <w:color w:val="000000"/>
          <w:lang w:val="fr-FR"/>
        </w:rPr>
        <w:t>ette Constitution s’accompagne d’un manuel (</w:t>
      </w:r>
      <w:r w:rsidR="00CD0110">
        <w:rPr>
          <w:bCs/>
          <w:snapToGrid w:val="0"/>
          <w:color w:val="000000"/>
          <w:lang w:val="fr-FR"/>
        </w:rPr>
        <w:t>«</w:t>
      </w:r>
      <w:r w:rsidR="0022049F">
        <w:rPr>
          <w:bCs/>
          <w:snapToGrid w:val="0"/>
          <w:color w:val="000000"/>
          <w:lang w:val="fr-FR"/>
        </w:rPr>
        <w:t>Handbook to the NHS Constitution</w:t>
      </w:r>
      <w:r w:rsidR="00CD0110">
        <w:rPr>
          <w:bCs/>
          <w:snapToGrid w:val="0"/>
          <w:color w:val="000000"/>
          <w:lang w:val="fr-FR"/>
        </w:rPr>
        <w:t>»</w:t>
      </w:r>
      <w:r w:rsidR="0022049F">
        <w:rPr>
          <w:bCs/>
          <w:snapToGrid w:val="0"/>
          <w:color w:val="000000"/>
          <w:lang w:val="fr-FR"/>
        </w:rPr>
        <w:t>), qui explique ce que signifie</w:t>
      </w:r>
      <w:r w:rsidR="0022049F" w:rsidRPr="0022049F">
        <w:rPr>
          <w:bCs/>
          <w:snapToGrid w:val="0"/>
          <w:color w:val="000000"/>
          <w:lang w:val="fr-FR"/>
        </w:rPr>
        <w:t xml:space="preserve"> </w:t>
      </w:r>
      <w:r w:rsidR="0022049F">
        <w:rPr>
          <w:bCs/>
          <w:snapToGrid w:val="0"/>
          <w:color w:val="000000"/>
          <w:lang w:val="fr-FR"/>
        </w:rPr>
        <w:t>pour le Service national de santé, dans la pratique, la législation relative aux droits de l’homme</w:t>
      </w:r>
      <w:r w:rsidR="000B562B" w:rsidRPr="00A176EA">
        <w:rPr>
          <w:lang w:val="fr-FR"/>
        </w:rPr>
        <w:t>.</w:t>
      </w:r>
    </w:p>
    <w:p w:rsidR="000B562B" w:rsidRPr="00A176EA" w:rsidRDefault="002549A9" w:rsidP="00434B45">
      <w:pPr>
        <w:pStyle w:val="SingleTxtG"/>
        <w:rPr>
          <w:lang w:val="fr-FR"/>
        </w:rPr>
      </w:pPr>
      <w:r w:rsidRPr="00A176EA">
        <w:rPr>
          <w:lang w:val="fr-FR"/>
        </w:rPr>
        <w:t>810.</w:t>
      </w:r>
      <w:r w:rsidRPr="00A176EA">
        <w:rPr>
          <w:lang w:val="fr-FR"/>
        </w:rPr>
        <w:tab/>
      </w:r>
      <w:r w:rsidR="0022049F">
        <w:rPr>
          <w:lang w:val="fr-FR"/>
        </w:rPr>
        <w:t>E</w:t>
      </w:r>
      <w:r w:rsidR="000B562B" w:rsidRPr="00A176EA">
        <w:rPr>
          <w:lang w:val="fr-FR"/>
        </w:rPr>
        <w:t>n 2009</w:t>
      </w:r>
      <w:r w:rsidR="0022049F">
        <w:rPr>
          <w:lang w:val="fr-FR"/>
        </w:rPr>
        <w:t xml:space="preserve">, </w:t>
      </w:r>
      <w:r w:rsidR="00AE6937">
        <w:rPr>
          <w:lang w:val="fr-FR"/>
        </w:rPr>
        <w:t xml:space="preserve">un guide sur les droits de l’homme a été publié à l’intention des organismes d’inspection, de contrôle et de médiation. </w:t>
      </w:r>
      <w:r w:rsidR="00CA2C40">
        <w:rPr>
          <w:lang w:val="fr-FR"/>
        </w:rPr>
        <w:t xml:space="preserve">Ce guide explique qu’en utilisant un cadre </w:t>
      </w:r>
      <w:r w:rsidR="00557349">
        <w:rPr>
          <w:lang w:val="fr-FR"/>
        </w:rPr>
        <w:t>des</w:t>
      </w:r>
      <w:r w:rsidR="00CA2C40">
        <w:rPr>
          <w:lang w:val="fr-FR"/>
        </w:rPr>
        <w:t xml:space="preserve"> droits de l’homme </w:t>
      </w:r>
      <w:r w:rsidR="00693713">
        <w:rPr>
          <w:lang w:val="fr-FR"/>
        </w:rPr>
        <w:t>pour concevoir, interpréter et appliquer les pratiques de contrôle et d’inspection, les organismes travaillant sur le terrain peuvent bénéficier d’une meilleure cohérence et contribuer à protéger les droits de l’homme à tous les niveaux de leur organisation. Ces organismes ont un rôle important à jouer en matière de protection des droits de l’homme dans les services publics, d’une part en veillant à ce que les autorités publiques tiennent compte des droits de l’homme, et d’autre part en fournissant des orientations, en diffusant les meilleures pratiques et en impliquant les usagers dans le contrôle des normes</w:t>
      </w:r>
      <w:r w:rsidR="000B562B" w:rsidRPr="00A176EA">
        <w:rPr>
          <w:lang w:val="fr-FR"/>
        </w:rPr>
        <w:t>.</w:t>
      </w:r>
    </w:p>
    <w:p w:rsidR="000B562B" w:rsidRPr="00A176EA" w:rsidRDefault="002549A9" w:rsidP="00434B45">
      <w:pPr>
        <w:pStyle w:val="SingleTxtG"/>
        <w:rPr>
          <w:lang w:val="fr-FR"/>
        </w:rPr>
      </w:pPr>
      <w:r w:rsidRPr="00A176EA">
        <w:rPr>
          <w:lang w:val="fr-FR"/>
        </w:rPr>
        <w:t>811.</w:t>
      </w:r>
      <w:r w:rsidRPr="00A176EA">
        <w:rPr>
          <w:lang w:val="fr-FR"/>
        </w:rPr>
        <w:tab/>
      </w:r>
      <w:r w:rsidR="00693713">
        <w:rPr>
          <w:lang w:val="fr-FR"/>
        </w:rPr>
        <w:t xml:space="preserve">Pour former les fonctionnaires à la question des droits de l’homme, le Gouvernement a </w:t>
      </w:r>
      <w:r w:rsidR="001A4C9E">
        <w:rPr>
          <w:lang w:val="fr-FR"/>
        </w:rPr>
        <w:t>mis en place</w:t>
      </w:r>
      <w:r w:rsidR="00693713">
        <w:rPr>
          <w:lang w:val="fr-FR"/>
        </w:rPr>
        <w:t xml:space="preserve"> un programme d’apprentissage en ligne en mars 2008. Cette formation </w:t>
      </w:r>
      <w:r w:rsidR="001A4C9E">
        <w:rPr>
          <w:lang w:val="fr-FR"/>
        </w:rPr>
        <w:t>informatique</w:t>
      </w:r>
      <w:r w:rsidR="00693713">
        <w:rPr>
          <w:lang w:val="fr-FR"/>
        </w:rPr>
        <w:t xml:space="preserve"> est conçue pour sensibiliser les fonctionnaires aux droits de l’homme, renforcer leur compréhension dans ce domaine et promouvoir une </w:t>
      </w:r>
      <w:r w:rsidR="00CD0110">
        <w:rPr>
          <w:lang w:val="fr-FR"/>
        </w:rPr>
        <w:t>«</w:t>
      </w:r>
      <w:r w:rsidR="00693713">
        <w:rPr>
          <w:lang w:val="fr-FR"/>
        </w:rPr>
        <w:t>culture des droits de l’homme</w:t>
      </w:r>
      <w:r w:rsidR="00CD0110">
        <w:rPr>
          <w:lang w:val="fr-FR"/>
        </w:rPr>
        <w:t>»</w:t>
      </w:r>
      <w:r w:rsidR="00693713">
        <w:rPr>
          <w:lang w:val="fr-FR"/>
        </w:rPr>
        <w:t xml:space="preserve"> dans l’ensemble du secteur public. Le programme </w:t>
      </w:r>
      <w:r w:rsidR="001A4C9E">
        <w:rPr>
          <w:lang w:val="fr-FR"/>
        </w:rPr>
        <w:t xml:space="preserve">comprend </w:t>
      </w:r>
      <w:r w:rsidR="00693713">
        <w:rPr>
          <w:lang w:val="fr-FR"/>
        </w:rPr>
        <w:t xml:space="preserve">un certain nombre d’études de cas </w:t>
      </w:r>
      <w:r w:rsidR="001A4C9E">
        <w:rPr>
          <w:lang w:val="fr-FR"/>
        </w:rPr>
        <w:t>dont la lecture</w:t>
      </w:r>
      <w:r w:rsidR="00693713">
        <w:rPr>
          <w:lang w:val="fr-FR"/>
        </w:rPr>
        <w:t xml:space="preserve"> permettr</w:t>
      </w:r>
      <w:r w:rsidR="001A4C9E">
        <w:rPr>
          <w:lang w:val="fr-FR"/>
        </w:rPr>
        <w:t>a</w:t>
      </w:r>
      <w:r w:rsidR="00693713">
        <w:rPr>
          <w:lang w:val="fr-FR"/>
        </w:rPr>
        <w:t xml:space="preserve"> à </w:t>
      </w:r>
      <w:r w:rsidR="001A4C9E">
        <w:rPr>
          <w:lang w:val="fr-FR"/>
        </w:rPr>
        <w:t>chaque fonctionnaire</w:t>
      </w:r>
      <w:r w:rsidR="00693713">
        <w:rPr>
          <w:lang w:val="fr-FR"/>
        </w:rPr>
        <w:t xml:space="preserve"> de mieux comprendre </w:t>
      </w:r>
      <w:r w:rsidR="001A4C9E">
        <w:rPr>
          <w:lang w:val="fr-FR"/>
        </w:rPr>
        <w:t>en quoi</w:t>
      </w:r>
      <w:r w:rsidR="00693713">
        <w:rPr>
          <w:lang w:val="fr-FR"/>
        </w:rPr>
        <w:t xml:space="preserve"> les droits de l’homme </w:t>
      </w:r>
      <w:r w:rsidR="001A4C9E">
        <w:rPr>
          <w:lang w:val="fr-FR"/>
        </w:rPr>
        <w:t xml:space="preserve">s’appliquent </w:t>
      </w:r>
      <w:r w:rsidR="00693713">
        <w:rPr>
          <w:lang w:val="fr-FR"/>
        </w:rPr>
        <w:t xml:space="preserve">à son propre travail. </w:t>
      </w:r>
      <w:r w:rsidR="001A4C9E">
        <w:rPr>
          <w:lang w:val="fr-FR"/>
        </w:rPr>
        <w:t>Toutes les administrations (et le public) peuvent avoir accès à ce programme par le biais de l’école virtuelle de l’École nationale d’administration (</w:t>
      </w:r>
      <w:r w:rsidR="00CD0110">
        <w:rPr>
          <w:lang w:val="fr-FR"/>
        </w:rPr>
        <w:t>«</w:t>
      </w:r>
      <w:r w:rsidR="001A4C9E">
        <w:rPr>
          <w:lang w:val="fr-FR"/>
        </w:rPr>
        <w:t>National School of Government</w:t>
      </w:r>
      <w:r w:rsidR="00CD0110">
        <w:rPr>
          <w:lang w:val="fr-FR"/>
        </w:rPr>
        <w:t>»</w:t>
      </w:r>
      <w:r w:rsidR="001A4C9E">
        <w:rPr>
          <w:lang w:val="fr-FR"/>
        </w:rPr>
        <w:t>), qui en assure la promotion aux côtés du Ministère de la justice</w:t>
      </w:r>
      <w:r w:rsidR="000B562B" w:rsidRPr="00A176EA">
        <w:rPr>
          <w:snapToGrid w:val="0"/>
          <w:lang w:val="fr-FR"/>
        </w:rPr>
        <w:t>.</w:t>
      </w:r>
    </w:p>
    <w:p w:rsidR="000B562B" w:rsidRPr="00A176EA" w:rsidRDefault="009C2E05" w:rsidP="00434B45">
      <w:pPr>
        <w:pStyle w:val="H23G"/>
        <w:rPr>
          <w:snapToGrid w:val="0"/>
          <w:lang w:val="fr-FR"/>
        </w:rPr>
      </w:pPr>
      <w:r w:rsidRPr="009C2E05">
        <w:rPr>
          <w:lang w:val="fr-FR"/>
        </w:rPr>
        <w:t>Éducation aux droits de l’homme dans la société en général</w:t>
      </w:r>
    </w:p>
    <w:p w:rsidR="000B562B" w:rsidRPr="00A176EA" w:rsidRDefault="002549A9" w:rsidP="004E3861">
      <w:pPr>
        <w:pStyle w:val="SingleTxtG"/>
        <w:rPr>
          <w:lang w:val="fr-FR"/>
        </w:rPr>
      </w:pPr>
      <w:r w:rsidRPr="00A176EA">
        <w:rPr>
          <w:lang w:val="fr-FR"/>
        </w:rPr>
        <w:t>812.</w:t>
      </w:r>
      <w:r w:rsidRPr="00A176EA">
        <w:rPr>
          <w:lang w:val="fr-FR"/>
        </w:rPr>
        <w:tab/>
      </w:r>
      <w:r w:rsidR="009C2E05" w:rsidRPr="009C2E05">
        <w:rPr>
          <w:lang w:val="fr-FR"/>
        </w:rPr>
        <w:t xml:space="preserve">En juillet 2008, le Gouvernement a publié </w:t>
      </w:r>
      <w:r w:rsidR="009C2E05">
        <w:rPr>
          <w:lang w:val="fr-FR"/>
        </w:rPr>
        <w:t>un nouveau matériel pédagogique</w:t>
      </w:r>
      <w:r w:rsidR="009C2E05" w:rsidRPr="009C2E05">
        <w:rPr>
          <w:lang w:val="fr-FR"/>
        </w:rPr>
        <w:t xml:space="preserve"> à l’intention des enseignants de l’</w:t>
      </w:r>
      <w:r w:rsidR="00557349">
        <w:rPr>
          <w:lang w:val="fr-FR"/>
        </w:rPr>
        <w:t>É</w:t>
      </w:r>
      <w:r w:rsidR="009C2E05" w:rsidRPr="009C2E05">
        <w:rPr>
          <w:lang w:val="fr-FR"/>
        </w:rPr>
        <w:t xml:space="preserve">tape clef 3 (élèves âgés de 11 à 14 ans) en Angleterre, sous le titre </w:t>
      </w:r>
      <w:r w:rsidR="00CD0110">
        <w:rPr>
          <w:lang w:val="fr-FR"/>
        </w:rPr>
        <w:t>«</w:t>
      </w:r>
      <w:r w:rsidR="009C2E05" w:rsidRPr="009C2E05">
        <w:rPr>
          <w:lang w:val="fr-FR"/>
        </w:rPr>
        <w:t xml:space="preserve">Right Here, Right Now: </w:t>
      </w:r>
      <w:r w:rsidR="004C6D45">
        <w:rPr>
          <w:lang w:val="fr-FR"/>
        </w:rPr>
        <w:t>T</w:t>
      </w:r>
      <w:r w:rsidR="009C2E05" w:rsidRPr="009C2E05">
        <w:rPr>
          <w:lang w:val="fr-FR"/>
        </w:rPr>
        <w:t xml:space="preserve">eaching </w:t>
      </w:r>
      <w:r w:rsidR="004C6D45">
        <w:rPr>
          <w:lang w:val="fr-FR"/>
        </w:rPr>
        <w:t>C</w:t>
      </w:r>
      <w:r w:rsidR="009C2E05" w:rsidRPr="009C2E05">
        <w:rPr>
          <w:lang w:val="fr-FR"/>
        </w:rPr>
        <w:t xml:space="preserve">itizenship through </w:t>
      </w:r>
      <w:r w:rsidR="004C6D45">
        <w:rPr>
          <w:lang w:val="fr-FR"/>
        </w:rPr>
        <w:t>H</w:t>
      </w:r>
      <w:r w:rsidR="009C2E05" w:rsidRPr="009C2E05">
        <w:rPr>
          <w:lang w:val="fr-FR"/>
        </w:rPr>
        <w:t xml:space="preserve">uman </w:t>
      </w:r>
      <w:r w:rsidR="004C6D45">
        <w:rPr>
          <w:lang w:val="fr-FR"/>
        </w:rPr>
        <w:t>R</w:t>
      </w:r>
      <w:r w:rsidR="009C2E05" w:rsidRPr="009C2E05">
        <w:rPr>
          <w:lang w:val="fr-FR"/>
        </w:rPr>
        <w:t>ights</w:t>
      </w:r>
      <w:r w:rsidR="00CD0110">
        <w:rPr>
          <w:lang w:val="fr-FR"/>
        </w:rPr>
        <w:t>»</w:t>
      </w:r>
      <w:r w:rsidR="009C2E05" w:rsidRPr="009C2E05">
        <w:rPr>
          <w:lang w:val="fr-FR"/>
        </w:rPr>
        <w:t xml:space="preserve"> (</w:t>
      </w:r>
      <w:r w:rsidR="00CD0110">
        <w:rPr>
          <w:lang w:val="fr-FR"/>
        </w:rPr>
        <w:t>«</w:t>
      </w:r>
      <w:r w:rsidR="009C2E05" w:rsidRPr="009C2E05">
        <w:rPr>
          <w:lang w:val="fr-FR"/>
        </w:rPr>
        <w:t>Ici et maintenant</w:t>
      </w:r>
      <w:r w:rsidR="00FC2B97">
        <w:rPr>
          <w:lang w:val="fr-FR"/>
        </w:rPr>
        <w:t>:</w:t>
      </w:r>
      <w:r w:rsidR="009C2E05" w:rsidRPr="009C2E05">
        <w:rPr>
          <w:lang w:val="fr-FR"/>
        </w:rPr>
        <w:t xml:space="preserve"> </w:t>
      </w:r>
      <w:r w:rsidR="004C6D45">
        <w:rPr>
          <w:lang w:val="fr-FR"/>
        </w:rPr>
        <w:t>enseigner la citoyenneté au travers des droits de l’homme</w:t>
      </w:r>
      <w:r w:rsidR="00CD0110">
        <w:rPr>
          <w:lang w:val="fr-FR"/>
        </w:rPr>
        <w:t>»</w:t>
      </w:r>
      <w:r w:rsidR="009C2E05" w:rsidRPr="009C2E05">
        <w:rPr>
          <w:lang w:val="fr-FR"/>
        </w:rPr>
        <w:t xml:space="preserve">). Cette publication s’inscrit dans le cadre du projet </w:t>
      </w:r>
      <w:r w:rsidR="004C6D45">
        <w:rPr>
          <w:lang w:val="fr-FR"/>
        </w:rPr>
        <w:t xml:space="preserve">intitulé </w:t>
      </w:r>
      <w:r w:rsidR="00CD0110">
        <w:rPr>
          <w:lang w:val="fr-FR"/>
        </w:rPr>
        <w:t>«</w:t>
      </w:r>
      <w:r w:rsidR="000B562B" w:rsidRPr="00A176EA">
        <w:rPr>
          <w:lang w:val="fr-FR"/>
        </w:rPr>
        <w:t>Human Rights in Schools</w:t>
      </w:r>
      <w:r w:rsidR="00CD0110">
        <w:rPr>
          <w:lang w:val="fr-FR"/>
        </w:rPr>
        <w:t>»</w:t>
      </w:r>
      <w:r w:rsidR="004C6D45">
        <w:rPr>
          <w:lang w:val="fr-FR"/>
        </w:rPr>
        <w:t xml:space="preserve"> (</w:t>
      </w:r>
      <w:r w:rsidR="00CD0110">
        <w:rPr>
          <w:lang w:val="fr-FR"/>
        </w:rPr>
        <w:t>«</w:t>
      </w:r>
      <w:r w:rsidR="004C6D45">
        <w:rPr>
          <w:lang w:val="fr-FR"/>
        </w:rPr>
        <w:t>Les droits de l’homme à l’école</w:t>
      </w:r>
      <w:r w:rsidR="00CD0110">
        <w:rPr>
          <w:lang w:val="fr-FR"/>
        </w:rPr>
        <w:t>»</w:t>
      </w:r>
      <w:r w:rsidR="004C6D45">
        <w:rPr>
          <w:lang w:val="fr-FR"/>
        </w:rPr>
        <w:t>)</w:t>
      </w:r>
      <w:r w:rsidR="000B562B" w:rsidRPr="00A176EA">
        <w:rPr>
          <w:lang w:val="fr-FR"/>
        </w:rPr>
        <w:t xml:space="preserve">, </w:t>
      </w:r>
      <w:r w:rsidR="004C6D45">
        <w:rPr>
          <w:lang w:val="fr-FR"/>
        </w:rPr>
        <w:t xml:space="preserve">fruit d’un partenariat entre le Ministère de la justice et le </w:t>
      </w:r>
      <w:r w:rsidR="000B562B" w:rsidRPr="00A176EA">
        <w:rPr>
          <w:lang w:val="fr-FR"/>
        </w:rPr>
        <w:t>British Institute of Human Rights</w:t>
      </w:r>
      <w:r w:rsidR="004C6D45">
        <w:rPr>
          <w:lang w:val="fr-FR"/>
        </w:rPr>
        <w:t xml:space="preserve"> (</w:t>
      </w:r>
      <w:r w:rsidR="00CD0110">
        <w:rPr>
          <w:lang w:val="fr-FR"/>
        </w:rPr>
        <w:t>«</w:t>
      </w:r>
      <w:r w:rsidR="004C6D45">
        <w:rPr>
          <w:lang w:val="fr-FR"/>
        </w:rPr>
        <w:t>Institut britannique des droits de l’homme</w:t>
      </w:r>
      <w:r w:rsidR="00CD0110">
        <w:rPr>
          <w:lang w:val="fr-FR"/>
        </w:rPr>
        <w:t>»</w:t>
      </w:r>
      <w:r w:rsidR="004C6D45">
        <w:rPr>
          <w:lang w:val="fr-FR"/>
        </w:rPr>
        <w:t>)</w:t>
      </w:r>
      <w:r w:rsidR="000B562B" w:rsidRPr="00A176EA">
        <w:rPr>
          <w:lang w:val="fr-FR"/>
        </w:rPr>
        <w:t xml:space="preserve">, </w:t>
      </w:r>
      <w:r w:rsidR="004C6D45">
        <w:rPr>
          <w:lang w:val="fr-FR"/>
        </w:rPr>
        <w:t xml:space="preserve">avec la participation du Ministère de l’enfance, de l’école et de la famille, </w:t>
      </w:r>
      <w:r w:rsidR="00557349">
        <w:rPr>
          <w:lang w:val="fr-FR"/>
        </w:rPr>
        <w:t>d’</w:t>
      </w:r>
      <w:r w:rsidR="004C6D45">
        <w:rPr>
          <w:lang w:val="fr-FR"/>
        </w:rPr>
        <w:t xml:space="preserve">Amnesty International et </w:t>
      </w:r>
      <w:r w:rsidR="00557349">
        <w:rPr>
          <w:lang w:val="fr-FR"/>
        </w:rPr>
        <w:t>d’</w:t>
      </w:r>
      <w:r w:rsidR="004C6D45">
        <w:rPr>
          <w:lang w:val="fr-FR"/>
        </w:rPr>
        <w:t xml:space="preserve">un certain nombre d’autres </w:t>
      </w:r>
      <w:r w:rsidR="000741BB">
        <w:rPr>
          <w:lang w:val="fr-FR"/>
        </w:rPr>
        <w:t>organisations gouvernem</w:t>
      </w:r>
      <w:r w:rsidR="00557349">
        <w:rPr>
          <w:lang w:val="fr-FR"/>
        </w:rPr>
        <w:t>entales et non gouvernementales</w:t>
      </w:r>
      <w:r w:rsidR="000B562B" w:rsidRPr="000741BB">
        <w:rPr>
          <w:lang w:val="fr-FR"/>
        </w:rPr>
        <w:t>.</w:t>
      </w:r>
      <w:r w:rsidR="000B562B" w:rsidRPr="00A176EA">
        <w:rPr>
          <w:lang w:val="fr-FR"/>
        </w:rPr>
        <w:t xml:space="preserve"> </w:t>
      </w:r>
      <w:r w:rsidR="000741BB" w:rsidRPr="000741BB">
        <w:rPr>
          <w:lang w:val="fr-FR"/>
        </w:rPr>
        <w:t>En 12 leçons, le matériel pédagogique a pour objet d’établir des liens entre les principes universels des droits de l’homme et la vie quotidienne, en mettant l’accent sur ce que signifient concrètement les droits de l’homme. Il s’agit d’intégrer les droits de l’homme dans la vie de la classe, de jeter les bases de nouvelles analyses et discussions</w:t>
      </w:r>
      <w:r w:rsidR="004E3861">
        <w:rPr>
          <w:lang w:val="fr-FR"/>
        </w:rPr>
        <w:t>,</w:t>
      </w:r>
      <w:r w:rsidR="000741BB" w:rsidRPr="000741BB">
        <w:rPr>
          <w:lang w:val="fr-FR"/>
        </w:rPr>
        <w:t xml:space="preserve"> et de faire en sorte que tous à l’école comprennent leurs droits et ceux des personnes qui les entourent. Le matériel pédagogique peut être téléchargé</w:t>
      </w:r>
      <w:r w:rsidR="004E3861">
        <w:rPr>
          <w:lang w:val="fr-FR"/>
        </w:rPr>
        <w:t xml:space="preserve"> gratuitement</w:t>
      </w:r>
      <w:r w:rsidR="000B562B" w:rsidRPr="00A176EA">
        <w:rPr>
          <w:rStyle w:val="FootnoteReference"/>
          <w:szCs w:val="22"/>
        </w:rPr>
        <w:footnoteReference w:id="136"/>
      </w:r>
      <w:r w:rsidR="004E3861">
        <w:rPr>
          <w:lang w:val="fr-FR"/>
        </w:rPr>
        <w:t>.</w:t>
      </w:r>
    </w:p>
    <w:p w:rsidR="000B562B" w:rsidRPr="00A176EA" w:rsidRDefault="002549A9" w:rsidP="00434B45">
      <w:pPr>
        <w:pStyle w:val="SingleTxtG"/>
        <w:rPr>
          <w:lang w:val="fr-FR"/>
        </w:rPr>
      </w:pPr>
      <w:r w:rsidRPr="00A176EA">
        <w:rPr>
          <w:lang w:val="fr-FR"/>
        </w:rPr>
        <w:t>813.</w:t>
      </w:r>
      <w:r w:rsidRPr="00A176EA">
        <w:rPr>
          <w:lang w:val="fr-FR"/>
        </w:rPr>
        <w:tab/>
      </w:r>
      <w:r w:rsidR="004E3861">
        <w:rPr>
          <w:lang w:val="fr-FR"/>
        </w:rPr>
        <w:t xml:space="preserve">Le </w:t>
      </w:r>
      <w:r w:rsidR="005E09DE">
        <w:rPr>
          <w:lang w:val="fr-FR"/>
        </w:rPr>
        <w:t>G</w:t>
      </w:r>
      <w:r w:rsidR="004E3861">
        <w:rPr>
          <w:lang w:val="fr-FR"/>
        </w:rPr>
        <w:t xml:space="preserve">ouvernement </w:t>
      </w:r>
      <w:r w:rsidR="005E09DE">
        <w:rPr>
          <w:lang w:val="fr-FR"/>
        </w:rPr>
        <w:t>a poursuivi son</w:t>
      </w:r>
      <w:r w:rsidR="004E3861">
        <w:rPr>
          <w:lang w:val="fr-FR"/>
        </w:rPr>
        <w:t xml:space="preserve"> programme de travail </w:t>
      </w:r>
      <w:r w:rsidR="005E09DE">
        <w:rPr>
          <w:lang w:val="fr-FR"/>
        </w:rPr>
        <w:t>destiné à</w:t>
      </w:r>
      <w:r w:rsidR="004E3861">
        <w:rPr>
          <w:lang w:val="fr-FR"/>
        </w:rPr>
        <w:t xml:space="preserve"> sensibiliser le secteur privé aux droits de l’homme et </w:t>
      </w:r>
      <w:r w:rsidR="005E09DE">
        <w:rPr>
          <w:lang w:val="fr-FR"/>
        </w:rPr>
        <w:t xml:space="preserve">à </w:t>
      </w:r>
      <w:r w:rsidR="004E3861">
        <w:rPr>
          <w:lang w:val="fr-FR"/>
        </w:rPr>
        <w:t xml:space="preserve">encourager ses organisations à adopter une approche fondée sur les droits de l’homme dans leurs activités. Le programme </w:t>
      </w:r>
      <w:r w:rsidR="005E09DE">
        <w:rPr>
          <w:lang w:val="fr-FR"/>
        </w:rPr>
        <w:t xml:space="preserve">comportait une étude préliminaire sur la façon dont les entreprises britanniques s’intéressent aux droits de l’homme et l’élaboration d’un portail d’information en ligne comprenant, notamment, un guide sur les droits de l’homme à l’intention des entreprises et une description des rôles et des responsabilités des organisations </w:t>
      </w:r>
      <w:r w:rsidR="006D07AA">
        <w:rPr>
          <w:lang w:val="fr-FR"/>
        </w:rPr>
        <w:t>intervenant</w:t>
      </w:r>
      <w:r w:rsidR="00272771">
        <w:rPr>
          <w:lang w:val="fr-FR"/>
        </w:rPr>
        <w:t xml:space="preserve"> </w:t>
      </w:r>
      <w:r w:rsidR="005E09DE">
        <w:rPr>
          <w:lang w:val="fr-FR"/>
        </w:rPr>
        <w:t>dans le domaine des entreprises et des droits de l’homme</w:t>
      </w:r>
      <w:r w:rsidR="000B562B" w:rsidRPr="00A176EA">
        <w:rPr>
          <w:lang w:val="fr-FR"/>
        </w:rPr>
        <w:t>.</w:t>
      </w:r>
    </w:p>
    <w:p w:rsidR="000B562B" w:rsidRPr="00A176EA" w:rsidRDefault="006D07AA" w:rsidP="00434B45">
      <w:pPr>
        <w:pStyle w:val="H23G"/>
        <w:rPr>
          <w:snapToGrid w:val="0"/>
          <w:lang w:val="fr-FR"/>
        </w:rPr>
      </w:pPr>
      <w:r w:rsidRPr="00A176EA">
        <w:rPr>
          <w:lang w:val="fr-FR"/>
        </w:rPr>
        <w:t>D</w:t>
      </w:r>
      <w:r>
        <w:rPr>
          <w:lang w:val="fr-FR"/>
        </w:rPr>
        <w:t>iffu</w:t>
      </w:r>
      <w:r w:rsidRPr="00A176EA">
        <w:rPr>
          <w:lang w:val="fr-FR"/>
        </w:rPr>
        <w:t>sion</w:t>
      </w:r>
      <w:r w:rsidR="000B562B" w:rsidRPr="00A176EA">
        <w:rPr>
          <w:lang w:val="fr-FR"/>
        </w:rPr>
        <w:t xml:space="preserve"> </w:t>
      </w:r>
      <w:r w:rsidR="00272771">
        <w:rPr>
          <w:lang w:val="fr-FR"/>
        </w:rPr>
        <w:t>des</w:t>
      </w:r>
      <w:r w:rsidR="000B562B" w:rsidRPr="00A176EA">
        <w:rPr>
          <w:lang w:val="fr-FR"/>
        </w:rPr>
        <w:t xml:space="preserve"> </w:t>
      </w:r>
      <w:r w:rsidR="00272771" w:rsidRPr="00A176EA">
        <w:rPr>
          <w:lang w:val="fr-FR"/>
        </w:rPr>
        <w:t xml:space="preserve">instruments </w:t>
      </w:r>
      <w:r w:rsidR="00272771">
        <w:rPr>
          <w:lang w:val="fr-FR"/>
        </w:rPr>
        <w:t>relatifs aux droits de l’homme à l’échelon</w:t>
      </w:r>
      <w:r w:rsidR="000B562B" w:rsidRPr="00A176EA">
        <w:rPr>
          <w:lang w:val="fr-FR"/>
        </w:rPr>
        <w:t xml:space="preserve"> national</w:t>
      </w:r>
    </w:p>
    <w:p w:rsidR="000B562B" w:rsidRPr="00A176EA" w:rsidRDefault="002549A9" w:rsidP="00753D14">
      <w:pPr>
        <w:pStyle w:val="SingleTxtG"/>
        <w:rPr>
          <w:snapToGrid w:val="0"/>
          <w:lang w:val="fr-FR"/>
        </w:rPr>
      </w:pPr>
      <w:r w:rsidRPr="00A176EA">
        <w:rPr>
          <w:snapToGrid w:val="0"/>
          <w:lang w:val="fr-FR"/>
        </w:rPr>
        <w:t>814.</w:t>
      </w:r>
      <w:r w:rsidRPr="00A176EA">
        <w:rPr>
          <w:snapToGrid w:val="0"/>
          <w:lang w:val="fr-FR"/>
        </w:rPr>
        <w:tab/>
      </w:r>
      <w:r w:rsidR="00272771" w:rsidRPr="00272771">
        <w:rPr>
          <w:snapToGrid w:val="0"/>
          <w:lang w:val="fr-FR"/>
        </w:rPr>
        <w:t>Différentes méthodes sont utilisées pour diffuser les instruments internationaux relatifs aux droits de l’homme dans tout le Royaume-Uni. Les instruments de l’ONU signés par le Royaume-Uni sont publiés par l’imprimerie de Sa Majesté (au nom du Gouvernement), présentés au Parlement</w:t>
      </w:r>
      <w:r w:rsidR="00272771">
        <w:rPr>
          <w:snapToGrid w:val="0"/>
          <w:lang w:val="fr-FR"/>
        </w:rPr>
        <w:t>,</w:t>
      </w:r>
      <w:r w:rsidR="00272771" w:rsidRPr="00272771">
        <w:rPr>
          <w:snapToGrid w:val="0"/>
          <w:lang w:val="fr-FR"/>
        </w:rPr>
        <w:t xml:space="preserve"> distribués dans les bibliothèques et mis en vente. Le Gouvernement élabore et soumet au Parlement, aux organismes intéressés et au public en général des rapports sur la mise en œuvre de</w:t>
      </w:r>
      <w:r w:rsidR="00272771">
        <w:rPr>
          <w:snapToGrid w:val="0"/>
          <w:lang w:val="fr-FR"/>
        </w:rPr>
        <w:t xml:space="preserve"> se</w:t>
      </w:r>
      <w:r w:rsidR="00272771" w:rsidRPr="00272771">
        <w:rPr>
          <w:snapToGrid w:val="0"/>
          <w:lang w:val="fr-FR"/>
        </w:rPr>
        <w:t xml:space="preserve">s obligations internationales </w:t>
      </w:r>
      <w:r w:rsidR="00272771">
        <w:rPr>
          <w:snapToGrid w:val="0"/>
          <w:lang w:val="fr-FR"/>
        </w:rPr>
        <w:t>découlant</w:t>
      </w:r>
      <w:r w:rsidR="00272771" w:rsidRPr="00272771">
        <w:rPr>
          <w:snapToGrid w:val="0"/>
          <w:lang w:val="fr-FR"/>
        </w:rPr>
        <w:t xml:space="preserve"> des instruments de l’ONU relatifs aux droits de l’homme. Par ailleurs, le Ministère chargé de superviser l’application (et le respect) des</w:t>
      </w:r>
      <w:r w:rsidR="00272771">
        <w:rPr>
          <w:snapToGrid w:val="0"/>
          <w:lang w:val="fr-FR"/>
        </w:rPr>
        <w:t>dits</w:t>
      </w:r>
      <w:r w:rsidR="00272771" w:rsidRPr="00272771">
        <w:rPr>
          <w:snapToGrid w:val="0"/>
          <w:lang w:val="fr-FR"/>
        </w:rPr>
        <w:t xml:space="preserve"> instruments de l’ONU joue aussi un rôle </w:t>
      </w:r>
      <w:r w:rsidR="00D90673">
        <w:rPr>
          <w:snapToGrid w:val="0"/>
          <w:lang w:val="fr-FR"/>
        </w:rPr>
        <w:t>majeur</w:t>
      </w:r>
      <w:r w:rsidR="00272771" w:rsidRPr="00272771">
        <w:rPr>
          <w:snapToGrid w:val="0"/>
          <w:lang w:val="fr-FR"/>
        </w:rPr>
        <w:t xml:space="preserve"> dans l</w:t>
      </w:r>
      <w:r w:rsidR="00D90673">
        <w:rPr>
          <w:snapToGrid w:val="0"/>
          <w:lang w:val="fr-FR"/>
        </w:rPr>
        <w:t>eur</w:t>
      </w:r>
      <w:r w:rsidR="00272771" w:rsidRPr="00272771">
        <w:rPr>
          <w:snapToGrid w:val="0"/>
          <w:lang w:val="fr-FR"/>
        </w:rPr>
        <w:t xml:space="preserve"> diffusion. </w:t>
      </w:r>
      <w:r w:rsidR="00D90673">
        <w:rPr>
          <w:snapToGrid w:val="0"/>
          <w:lang w:val="fr-FR"/>
        </w:rPr>
        <w:t>Il en va de même pour la diffusion de</w:t>
      </w:r>
      <w:r w:rsidR="00272771" w:rsidRPr="00272771">
        <w:rPr>
          <w:snapToGrid w:val="0"/>
          <w:lang w:val="fr-FR"/>
        </w:rPr>
        <w:t xml:space="preserve"> la législation interne relative aux droits de l’homme, le ministère compétent étant aussi chargé de faire connaître la teneur des propositions en la matière</w:t>
      </w:r>
      <w:r w:rsidR="000B562B" w:rsidRPr="00A176EA">
        <w:rPr>
          <w:snapToGrid w:val="0"/>
          <w:lang w:val="fr-FR"/>
        </w:rPr>
        <w:t>.</w:t>
      </w:r>
    </w:p>
    <w:p w:rsidR="000B562B" w:rsidRPr="00A176EA" w:rsidRDefault="002549A9" w:rsidP="00434B45">
      <w:pPr>
        <w:pStyle w:val="SingleTxtG"/>
        <w:rPr>
          <w:snapToGrid w:val="0"/>
          <w:lang w:val="fr-FR"/>
        </w:rPr>
      </w:pPr>
      <w:r w:rsidRPr="00A176EA">
        <w:rPr>
          <w:snapToGrid w:val="0"/>
          <w:lang w:val="fr-FR"/>
        </w:rPr>
        <w:t>815.</w:t>
      </w:r>
      <w:r w:rsidRPr="00A176EA">
        <w:rPr>
          <w:snapToGrid w:val="0"/>
          <w:lang w:val="fr-FR"/>
        </w:rPr>
        <w:tab/>
      </w:r>
      <w:r w:rsidR="00753D14">
        <w:rPr>
          <w:snapToGrid w:val="0"/>
          <w:lang w:val="fr-FR"/>
        </w:rPr>
        <w:t xml:space="preserve">Compte tenu de leur mandat spécifique dans le domaine des droits de l’homme à l’échelon national et international, le Ministère de la justice et le Ministère des affaires étrangères et du Commonwealth </w:t>
      </w:r>
      <w:r w:rsidR="00753D14" w:rsidRPr="00753D14">
        <w:rPr>
          <w:snapToGrid w:val="0"/>
          <w:lang w:val="fr-FR"/>
        </w:rPr>
        <w:t>ont créé des pages spéciales consacrées aux droits de l’homme sur leurs sites</w:t>
      </w:r>
      <w:r w:rsidR="00753D14">
        <w:rPr>
          <w:snapToGrid w:val="0"/>
          <w:lang w:val="fr-FR"/>
        </w:rPr>
        <w:t xml:space="preserve"> Internet</w:t>
      </w:r>
      <w:r w:rsidR="00FC2B97">
        <w:rPr>
          <w:snapToGrid w:val="0"/>
          <w:lang w:val="fr-FR"/>
        </w:rPr>
        <w:t>:</w:t>
      </w:r>
    </w:p>
    <w:p w:rsidR="00753D14" w:rsidRPr="00753D14" w:rsidRDefault="00753D14" w:rsidP="00BC0033">
      <w:pPr>
        <w:pStyle w:val="Bullet1G"/>
        <w:rPr>
          <w:snapToGrid w:val="0"/>
        </w:rPr>
      </w:pPr>
      <w:r w:rsidRPr="00753D14">
        <w:rPr>
          <w:b/>
          <w:snapToGrid w:val="0"/>
        </w:rPr>
        <w:t>Minist</w:t>
      </w:r>
      <w:r>
        <w:rPr>
          <w:b/>
          <w:snapToGrid w:val="0"/>
        </w:rPr>
        <w:t>ère</w:t>
      </w:r>
      <w:r w:rsidRPr="00753D14">
        <w:rPr>
          <w:b/>
          <w:snapToGrid w:val="0"/>
        </w:rPr>
        <w:t xml:space="preserve"> </w:t>
      </w:r>
      <w:r>
        <w:rPr>
          <w:b/>
          <w:snapToGrid w:val="0"/>
        </w:rPr>
        <w:t>de la</w:t>
      </w:r>
      <w:r w:rsidRPr="00753D14">
        <w:rPr>
          <w:b/>
          <w:snapToGrid w:val="0"/>
        </w:rPr>
        <w:t xml:space="preserve"> </w:t>
      </w:r>
      <w:r>
        <w:rPr>
          <w:b/>
          <w:snapToGrid w:val="0"/>
        </w:rPr>
        <w:t>j</w:t>
      </w:r>
      <w:r w:rsidRPr="00753D14">
        <w:rPr>
          <w:b/>
          <w:snapToGrid w:val="0"/>
        </w:rPr>
        <w:t>ustice</w:t>
      </w:r>
      <w:r w:rsidR="00FC2B97">
        <w:rPr>
          <w:b/>
          <w:snapToGrid w:val="0"/>
        </w:rPr>
        <w:t>:</w:t>
      </w:r>
      <w:r w:rsidRPr="00753D14">
        <w:rPr>
          <w:snapToGrid w:val="0"/>
        </w:rPr>
        <w:t xml:space="preserve"> </w:t>
      </w:r>
      <w:r>
        <w:rPr>
          <w:snapToGrid w:val="0"/>
        </w:rPr>
        <w:t>Droits de l’homme</w:t>
      </w:r>
      <w:r w:rsidR="00FC2B97">
        <w:rPr>
          <w:snapToGrid w:val="0"/>
        </w:rPr>
        <w:t>:</w:t>
      </w:r>
      <w:r w:rsidRPr="00753D14">
        <w:rPr>
          <w:snapToGrid w:val="0"/>
        </w:rPr>
        <w:t xml:space="preserve"> </w:t>
      </w:r>
      <w:hyperlink r:id="rId15" w:history="1">
        <w:r w:rsidRPr="00753D14">
          <w:rPr>
            <w:snapToGrid w:val="0"/>
            <w:szCs w:val="22"/>
          </w:rPr>
          <w:t>http://www.justice.gov.uk/about/</w:t>
        </w:r>
        <w:r w:rsidR="00BC0033">
          <w:rPr>
            <w:snapToGrid w:val="0"/>
            <w:szCs w:val="22"/>
          </w:rPr>
          <w:br/>
        </w:r>
        <w:r w:rsidRPr="00753D14">
          <w:rPr>
            <w:snapToGrid w:val="0"/>
            <w:szCs w:val="22"/>
          </w:rPr>
          <w:t>human-rights.htm</w:t>
        </w:r>
      </w:hyperlink>
      <w:r w:rsidR="00735ABB">
        <w:rPr>
          <w:snapToGrid w:val="0"/>
        </w:rPr>
        <w:t>.</w:t>
      </w:r>
    </w:p>
    <w:p w:rsidR="00753D14" w:rsidRPr="00753D14" w:rsidRDefault="00753D14" w:rsidP="00BC0033">
      <w:pPr>
        <w:pStyle w:val="Bullet1G"/>
      </w:pPr>
      <w:r w:rsidRPr="00753D14">
        <w:rPr>
          <w:b/>
        </w:rPr>
        <w:t>Ministère des affaires étrangères et du Commonwealth</w:t>
      </w:r>
      <w:r w:rsidR="00FC2B97">
        <w:rPr>
          <w:b/>
        </w:rPr>
        <w:t>:</w:t>
      </w:r>
      <w:r w:rsidRPr="00753D14">
        <w:t xml:space="preserve"> </w:t>
      </w:r>
      <w:r>
        <w:t xml:space="preserve">Stratégie internationale du </w:t>
      </w:r>
      <w:r w:rsidRPr="00753D14">
        <w:t>Go</w:t>
      </w:r>
      <w:r>
        <w:t>u</w:t>
      </w:r>
      <w:r w:rsidRPr="00753D14">
        <w:t>vern</w:t>
      </w:r>
      <w:r>
        <w:t>e</w:t>
      </w:r>
      <w:r w:rsidRPr="00753D14">
        <w:t xml:space="preserve">ment </w:t>
      </w:r>
      <w:r>
        <w:t>en matière de droits de l’homme</w:t>
      </w:r>
      <w:r w:rsidR="00FC2B97">
        <w:t>:</w:t>
      </w:r>
      <w:r w:rsidRPr="00753D14">
        <w:t xml:space="preserve"> </w:t>
      </w:r>
      <w:hyperlink r:id="rId16" w:history="1">
        <w:r w:rsidRPr="00753D14">
          <w:rPr>
            <w:szCs w:val="22"/>
          </w:rPr>
          <w:t>http://www.fco.gov.uk/en/</w:t>
        </w:r>
        <w:r w:rsidR="00BC0033">
          <w:rPr>
            <w:szCs w:val="22"/>
          </w:rPr>
          <w:br/>
        </w:r>
        <w:r w:rsidRPr="00753D14">
          <w:rPr>
            <w:szCs w:val="22"/>
          </w:rPr>
          <w:t>global-issues/human-rights/</w:t>
        </w:r>
      </w:hyperlink>
      <w:r w:rsidR="00735ABB">
        <w:t>.</w:t>
      </w:r>
    </w:p>
    <w:p w:rsidR="000B562B" w:rsidRPr="00A176EA" w:rsidRDefault="000B562B" w:rsidP="00434B45">
      <w:pPr>
        <w:pStyle w:val="H23G"/>
        <w:rPr>
          <w:lang w:val="fr-FR"/>
        </w:rPr>
      </w:pPr>
      <w:r w:rsidRPr="00A176EA">
        <w:rPr>
          <w:snapToGrid w:val="0"/>
          <w:lang w:val="fr-FR"/>
        </w:rPr>
        <w:t>Part</w:t>
      </w:r>
      <w:r w:rsidR="00134FCB">
        <w:rPr>
          <w:snapToGrid w:val="0"/>
          <w:lang w:val="fr-FR"/>
        </w:rPr>
        <w:t>e</w:t>
      </w:r>
      <w:r w:rsidRPr="00A176EA">
        <w:rPr>
          <w:snapToGrid w:val="0"/>
          <w:lang w:val="fr-FR"/>
        </w:rPr>
        <w:t>n</w:t>
      </w:r>
      <w:r w:rsidR="00134FCB">
        <w:rPr>
          <w:snapToGrid w:val="0"/>
          <w:lang w:val="fr-FR"/>
        </w:rPr>
        <w:t>a</w:t>
      </w:r>
      <w:r w:rsidRPr="00A176EA">
        <w:rPr>
          <w:snapToGrid w:val="0"/>
          <w:lang w:val="fr-FR"/>
        </w:rPr>
        <w:t>r</w:t>
      </w:r>
      <w:r w:rsidR="00134FCB">
        <w:rPr>
          <w:snapToGrid w:val="0"/>
          <w:lang w:val="fr-FR"/>
        </w:rPr>
        <w:t>iat avec des organisations internationales et des organisations de la société civile</w:t>
      </w:r>
    </w:p>
    <w:p w:rsidR="000B562B" w:rsidRPr="00A176EA" w:rsidRDefault="009C6F6F" w:rsidP="00434B45">
      <w:pPr>
        <w:pStyle w:val="H23G"/>
        <w:rPr>
          <w:lang w:val="fr-FR"/>
        </w:rPr>
      </w:pPr>
      <w:r w:rsidRPr="00134FCB">
        <w:rPr>
          <w:lang w:val="fr-FR"/>
        </w:rPr>
        <w:t>Organisations n</w:t>
      </w:r>
      <w:r w:rsidR="000B562B" w:rsidRPr="00134FCB">
        <w:rPr>
          <w:lang w:val="fr-FR"/>
        </w:rPr>
        <w:t>on</w:t>
      </w:r>
      <w:r w:rsidRPr="00134FCB">
        <w:rPr>
          <w:lang w:val="fr-FR"/>
        </w:rPr>
        <w:t xml:space="preserve"> g</w:t>
      </w:r>
      <w:r w:rsidR="000B562B" w:rsidRPr="00134FCB">
        <w:rPr>
          <w:lang w:val="fr-FR"/>
        </w:rPr>
        <w:t>o</w:t>
      </w:r>
      <w:r w:rsidRPr="00134FCB">
        <w:rPr>
          <w:lang w:val="fr-FR"/>
        </w:rPr>
        <w:t>u</w:t>
      </w:r>
      <w:r w:rsidR="000B562B" w:rsidRPr="00134FCB">
        <w:rPr>
          <w:lang w:val="fr-FR"/>
        </w:rPr>
        <w:t>vern</w:t>
      </w:r>
      <w:r w:rsidRPr="00134FCB">
        <w:rPr>
          <w:lang w:val="fr-FR"/>
        </w:rPr>
        <w:t>e</w:t>
      </w:r>
      <w:r w:rsidR="000B562B" w:rsidRPr="00134FCB">
        <w:rPr>
          <w:lang w:val="fr-FR"/>
        </w:rPr>
        <w:t>mental</w:t>
      </w:r>
      <w:r w:rsidRPr="00134FCB">
        <w:rPr>
          <w:lang w:val="fr-FR"/>
        </w:rPr>
        <w:t>es (ONG)</w:t>
      </w:r>
      <w:r w:rsidR="000B562B" w:rsidRPr="00A176EA">
        <w:rPr>
          <w:lang w:val="fr-FR"/>
        </w:rPr>
        <w:t xml:space="preserve"> </w:t>
      </w:r>
    </w:p>
    <w:p w:rsidR="000B562B" w:rsidRPr="00A176EA" w:rsidRDefault="002549A9" w:rsidP="00134FCB">
      <w:pPr>
        <w:pStyle w:val="SingleTxtG"/>
        <w:rPr>
          <w:lang w:val="fr-FR"/>
        </w:rPr>
      </w:pPr>
      <w:r w:rsidRPr="00A176EA">
        <w:rPr>
          <w:lang w:val="fr-FR"/>
        </w:rPr>
        <w:t>816.</w:t>
      </w:r>
      <w:r w:rsidRPr="00A176EA">
        <w:rPr>
          <w:lang w:val="fr-FR"/>
        </w:rPr>
        <w:tab/>
      </w:r>
      <w:r w:rsidR="00134FCB">
        <w:rPr>
          <w:lang w:val="fr-FR"/>
        </w:rPr>
        <w:t xml:space="preserve">Les organisations de la société civile jouent un rôle essentiel dans la protection, la promotion et la réalisation des droits de l’homme au Royaume-Uni. </w:t>
      </w:r>
      <w:r w:rsidR="00134FCB" w:rsidRPr="00134FCB">
        <w:rPr>
          <w:lang w:val="fr-FR"/>
        </w:rPr>
        <w:t xml:space="preserve">Le Gouvernement s’attache à nouer des relations étroites avec ces organisations lors de l’élaboration de la politique nationale des droits de l’homme et à les consulter avant la tenue des réunions intergouvernementales. Ces organisations jouent aussi un rôle </w:t>
      </w:r>
      <w:r w:rsidR="00134FCB">
        <w:rPr>
          <w:lang w:val="fr-FR"/>
        </w:rPr>
        <w:t>majeur</w:t>
      </w:r>
      <w:r w:rsidR="00134FCB" w:rsidRPr="00134FCB">
        <w:rPr>
          <w:lang w:val="fr-FR"/>
        </w:rPr>
        <w:t xml:space="preserve"> dans la formation des fonctionnaires aux droits de l’homme et dans la sensibilisation de l’opinion aux principaux problèmes qui se posent dans le domaine des droits de l’homme</w:t>
      </w:r>
      <w:r w:rsidR="000B562B" w:rsidRPr="00A176EA">
        <w:rPr>
          <w:lang w:val="fr-FR"/>
        </w:rPr>
        <w:t>.</w:t>
      </w:r>
    </w:p>
    <w:p w:rsidR="000B562B" w:rsidRDefault="00134FCB" w:rsidP="00434B45">
      <w:pPr>
        <w:pStyle w:val="H23G"/>
        <w:rPr>
          <w:lang w:val="fr-FR"/>
        </w:rPr>
      </w:pPr>
      <w:r>
        <w:rPr>
          <w:lang w:val="fr-FR"/>
        </w:rPr>
        <w:t>Engagements</w:t>
      </w:r>
    </w:p>
    <w:p w:rsidR="000B562B" w:rsidRPr="00A176EA" w:rsidRDefault="002549A9" w:rsidP="00434B45">
      <w:pPr>
        <w:pStyle w:val="SingleTxtG"/>
        <w:rPr>
          <w:lang w:val="fr-FR"/>
        </w:rPr>
      </w:pPr>
      <w:r w:rsidRPr="00A176EA">
        <w:rPr>
          <w:lang w:val="fr-FR"/>
        </w:rPr>
        <w:t>817.</w:t>
      </w:r>
      <w:r w:rsidRPr="00A176EA">
        <w:rPr>
          <w:lang w:val="fr-FR"/>
        </w:rPr>
        <w:tab/>
      </w:r>
      <w:r w:rsidR="00DC1FDC" w:rsidRPr="00DC1FDC">
        <w:rPr>
          <w:lang w:val="fr-FR"/>
        </w:rPr>
        <w:t xml:space="preserve">Le Royaume-Uni est entièrement acquis à l’action que mène l’ONU pour accroître partout dans le monde le respect des droits de l’homme. Aussi s’est-il engagé à travailler en partenariat avec le Conseil des droits de l’homme pour renforcer la place </w:t>
      </w:r>
      <w:r w:rsidR="00DC1FDC">
        <w:rPr>
          <w:lang w:val="fr-FR"/>
        </w:rPr>
        <w:t xml:space="preserve">qu’occupent les droits de l’homme au cœur de l’ONU, à continuer de soutenir les organes de l’ONU, à </w:t>
      </w:r>
      <w:r w:rsidR="00B21167">
        <w:rPr>
          <w:lang w:val="fr-FR"/>
        </w:rPr>
        <w:t xml:space="preserve">travailler au progrès des droits de l’homme à l’échelon international et à </w:t>
      </w:r>
      <w:r w:rsidR="00382B8E">
        <w:rPr>
          <w:lang w:val="fr-FR"/>
        </w:rPr>
        <w:t>promouvoir</w:t>
      </w:r>
      <w:r w:rsidR="00B21167">
        <w:rPr>
          <w:lang w:val="fr-FR"/>
        </w:rPr>
        <w:t xml:space="preserve"> les plus hautes normes en la matière sur son territoire</w:t>
      </w:r>
      <w:r w:rsidR="000B562B" w:rsidRPr="00A176EA">
        <w:rPr>
          <w:lang w:val="fr-FR"/>
        </w:rPr>
        <w:t>.</w:t>
      </w:r>
    </w:p>
    <w:p w:rsidR="000B562B" w:rsidRPr="00A176EA" w:rsidRDefault="00B21167" w:rsidP="00434B45">
      <w:pPr>
        <w:pStyle w:val="H23G"/>
        <w:rPr>
          <w:lang w:val="fr-FR"/>
        </w:rPr>
      </w:pPr>
      <w:r w:rsidRPr="00A176EA">
        <w:rPr>
          <w:lang w:val="fr-FR"/>
        </w:rPr>
        <w:t>Initiatives</w:t>
      </w:r>
      <w:r>
        <w:rPr>
          <w:lang w:val="fr-FR"/>
        </w:rPr>
        <w:t xml:space="preserve"> i</w:t>
      </w:r>
      <w:r w:rsidR="000B562B" w:rsidRPr="00A176EA">
        <w:rPr>
          <w:lang w:val="fr-FR"/>
        </w:rPr>
        <w:t>nternational</w:t>
      </w:r>
      <w:r>
        <w:rPr>
          <w:lang w:val="fr-FR"/>
        </w:rPr>
        <w:t>es</w:t>
      </w:r>
    </w:p>
    <w:p w:rsidR="000B562B" w:rsidRPr="00A176EA" w:rsidRDefault="002549A9" w:rsidP="00434B45">
      <w:pPr>
        <w:pStyle w:val="SingleTxtG"/>
        <w:rPr>
          <w:lang w:val="fr-FR"/>
        </w:rPr>
      </w:pPr>
      <w:r w:rsidRPr="00A176EA">
        <w:rPr>
          <w:lang w:val="fr-FR"/>
        </w:rPr>
        <w:t>818.</w:t>
      </w:r>
      <w:r w:rsidRPr="00A176EA">
        <w:rPr>
          <w:lang w:val="fr-FR"/>
        </w:rPr>
        <w:tab/>
      </w:r>
      <w:r w:rsidR="00382B8E">
        <w:rPr>
          <w:lang w:val="fr-FR"/>
        </w:rPr>
        <w:t>Tout comme il veille à promouvoir les droits de l’homme sur son territoire, le Royaume-Uni est résolu à les encourager et à les protéger à l’échelon international. Pour ce faire, le Gouvernement de Sa Majesté</w:t>
      </w:r>
      <w:r w:rsidR="000B562B" w:rsidRPr="00A176EA">
        <w:rPr>
          <w:lang w:val="fr-FR"/>
        </w:rPr>
        <w:t xml:space="preserve"> </w:t>
      </w:r>
      <w:r w:rsidR="00382B8E" w:rsidRPr="00382B8E">
        <w:rPr>
          <w:lang w:val="fr-FR"/>
        </w:rPr>
        <w:t>s’appuie sur ses contacts bilatéraux, son adhésion à des organisations internationales, l’aide et la coopération au développement, et le partenariat avec la société civile</w:t>
      </w:r>
      <w:r w:rsidR="000B562B" w:rsidRPr="00A176EA">
        <w:rPr>
          <w:lang w:val="fr-FR"/>
        </w:rPr>
        <w:t>.</w:t>
      </w:r>
    </w:p>
    <w:p w:rsidR="000B562B" w:rsidRPr="00A176EA" w:rsidRDefault="002549A9" w:rsidP="008645F5">
      <w:pPr>
        <w:pStyle w:val="SingleTxtG"/>
        <w:rPr>
          <w:lang w:val="fr-FR"/>
        </w:rPr>
      </w:pPr>
      <w:r w:rsidRPr="00A176EA">
        <w:rPr>
          <w:lang w:val="fr-FR"/>
        </w:rPr>
        <w:t>819.</w:t>
      </w:r>
      <w:r w:rsidRPr="00A176EA">
        <w:rPr>
          <w:lang w:val="fr-FR"/>
        </w:rPr>
        <w:tab/>
      </w:r>
      <w:r w:rsidR="00382B8E">
        <w:rPr>
          <w:lang w:val="fr-FR"/>
        </w:rPr>
        <w:t>Au sein des</w:t>
      </w:r>
      <w:r w:rsidR="000B562B" w:rsidRPr="00A176EA">
        <w:rPr>
          <w:lang w:val="fr-FR"/>
        </w:rPr>
        <w:t xml:space="preserve"> Nations</w:t>
      </w:r>
      <w:r w:rsidR="00382B8E">
        <w:rPr>
          <w:lang w:val="fr-FR"/>
        </w:rPr>
        <w:t xml:space="preserve"> Unies</w:t>
      </w:r>
      <w:r w:rsidR="000B562B" w:rsidRPr="00A176EA">
        <w:rPr>
          <w:lang w:val="fr-FR"/>
        </w:rPr>
        <w:t xml:space="preserve">, </w:t>
      </w:r>
      <w:r w:rsidR="00382B8E" w:rsidRPr="00382B8E">
        <w:rPr>
          <w:lang w:val="fr-FR"/>
        </w:rPr>
        <w:t xml:space="preserve">le Royaume-Uni a pris une part active à la création du Conseil des droits de l’homme et s’emploie aujourd’hui à assurer la plus grande efficacité possible à cet organe. En outre, il </w:t>
      </w:r>
      <w:r w:rsidR="00382B8E">
        <w:rPr>
          <w:lang w:val="fr-FR"/>
        </w:rPr>
        <w:t xml:space="preserve">tient à ce que la coordination de la troisième commission de l’Assemblée générale des Nations Unies avec le travail d’autres parties du cadre </w:t>
      </w:r>
      <w:r w:rsidR="008645F5">
        <w:rPr>
          <w:lang w:val="fr-FR"/>
        </w:rPr>
        <w:t xml:space="preserve">onusien des droits de l’homme obtienne des résultats. Un aspect important de ce cadre est le Haut-Commissariat aux droits de l’homme (HCDH), qui réalise un travail remarquable. </w:t>
      </w:r>
      <w:r w:rsidR="008645F5" w:rsidRPr="008645F5">
        <w:rPr>
          <w:lang w:val="fr-FR"/>
        </w:rPr>
        <w:t xml:space="preserve">Le Royaume-Uni verse chaque année à celui-ci un montant de 2,5 millions de livres </w:t>
      </w:r>
      <w:r w:rsidR="008645F5">
        <w:rPr>
          <w:lang w:val="fr-FR"/>
        </w:rPr>
        <w:t xml:space="preserve">sterling </w:t>
      </w:r>
      <w:r w:rsidR="008645F5" w:rsidRPr="008645F5">
        <w:rPr>
          <w:lang w:val="fr-FR"/>
        </w:rPr>
        <w:t>à titre de contribution volontaire, outre sa contribution au budget ordinaire de l’ONU</w:t>
      </w:r>
      <w:r w:rsidR="000B562B" w:rsidRPr="00A176EA">
        <w:rPr>
          <w:lang w:val="fr-FR"/>
        </w:rPr>
        <w:t>.</w:t>
      </w:r>
    </w:p>
    <w:p w:rsidR="000B562B" w:rsidRPr="00A176EA" w:rsidRDefault="002549A9" w:rsidP="00434B45">
      <w:pPr>
        <w:pStyle w:val="SingleTxtG"/>
        <w:rPr>
          <w:lang w:val="fr-FR"/>
        </w:rPr>
      </w:pPr>
      <w:r w:rsidRPr="00A176EA">
        <w:rPr>
          <w:lang w:val="fr-FR"/>
        </w:rPr>
        <w:t>820.</w:t>
      </w:r>
      <w:r w:rsidRPr="00A176EA">
        <w:rPr>
          <w:lang w:val="fr-FR"/>
        </w:rPr>
        <w:tab/>
      </w:r>
      <w:r w:rsidR="00552C82" w:rsidRPr="00552C82">
        <w:rPr>
          <w:lang w:val="fr-FR"/>
        </w:rPr>
        <w:t>Le Royaume-Uni coopère pleinement avec les mécanismes de l’ONU relatifs aux droits de l’homme et accueille bien volontiers toutes les procédures spéciales. En septembre 2007, il a été le principal soutien d’une initiative grâce à laquelle le mandat de rapporteur spécial sur les formes contemporaines d’esclavage a été créé</w:t>
      </w:r>
      <w:r w:rsidR="000B562B" w:rsidRPr="00A176EA">
        <w:rPr>
          <w:lang w:val="fr-FR"/>
        </w:rPr>
        <w:t>.</w:t>
      </w:r>
    </w:p>
    <w:p w:rsidR="000B562B" w:rsidRPr="00A176EA" w:rsidRDefault="002549A9" w:rsidP="00604CAE">
      <w:pPr>
        <w:pStyle w:val="SingleTxtG"/>
        <w:rPr>
          <w:lang w:val="fr-FR"/>
        </w:rPr>
      </w:pPr>
      <w:r w:rsidRPr="00A176EA">
        <w:rPr>
          <w:lang w:val="fr-FR"/>
        </w:rPr>
        <w:t>821.</w:t>
      </w:r>
      <w:r w:rsidRPr="00A176EA">
        <w:rPr>
          <w:lang w:val="fr-FR"/>
        </w:rPr>
        <w:tab/>
      </w:r>
      <w:r w:rsidR="00552C82" w:rsidRPr="00552C82">
        <w:rPr>
          <w:lang w:val="fr-FR"/>
        </w:rPr>
        <w:t xml:space="preserve">Le Royaume-Uni encourage les États à ratifier les instruments de l’ONU relatifs aux droits de l’homme et s’efforce, par le biais de programmes de développement et d’autres formes d’aide, de contribuer à leur application efficace. Par exemple, durant les cinq dernières années, il a milité partout dans le monde pour encourager la ratification de la Convention contre la torture et du Protocole facultatif s’y rapportant, et il a fourni une assistance technique </w:t>
      </w:r>
      <w:r w:rsidR="00552C82">
        <w:rPr>
          <w:lang w:val="fr-FR"/>
        </w:rPr>
        <w:t>concrète</w:t>
      </w:r>
      <w:r w:rsidR="00552C82" w:rsidRPr="00552C82">
        <w:rPr>
          <w:lang w:val="fr-FR"/>
        </w:rPr>
        <w:t xml:space="preserve"> là où cela pouvait être utile. En outre, il soutient activement Action 2, </w:t>
      </w:r>
      <w:r w:rsidR="00552C82">
        <w:rPr>
          <w:lang w:val="fr-FR"/>
        </w:rPr>
        <w:t xml:space="preserve">un </w:t>
      </w:r>
      <w:r w:rsidR="00552C82" w:rsidRPr="00552C82">
        <w:rPr>
          <w:lang w:val="fr-FR"/>
        </w:rPr>
        <w:t xml:space="preserve">programme de l’ONU qui vise à </w:t>
      </w:r>
      <w:r w:rsidR="00552C82">
        <w:rPr>
          <w:lang w:val="fr-FR"/>
        </w:rPr>
        <w:t>intégrer</w:t>
      </w:r>
      <w:r w:rsidR="00552C82" w:rsidRPr="00552C82">
        <w:rPr>
          <w:lang w:val="fr-FR"/>
        </w:rPr>
        <w:t xml:space="preserve">, renforcer et rationaliser le </w:t>
      </w:r>
      <w:r w:rsidR="00552C82">
        <w:rPr>
          <w:lang w:val="fr-FR"/>
        </w:rPr>
        <w:t xml:space="preserve">travail de l’ONU en faveur des </w:t>
      </w:r>
      <w:r w:rsidR="00552C82" w:rsidRPr="00552C82">
        <w:rPr>
          <w:lang w:val="fr-FR"/>
        </w:rPr>
        <w:t xml:space="preserve">droits de l’homme dans </w:t>
      </w:r>
      <w:r w:rsidR="00604CAE">
        <w:rPr>
          <w:lang w:val="fr-FR"/>
        </w:rPr>
        <w:t>chaque pays</w:t>
      </w:r>
      <w:r w:rsidR="000B562B" w:rsidRPr="00A176EA">
        <w:rPr>
          <w:lang w:val="fr-FR"/>
        </w:rPr>
        <w:t>.</w:t>
      </w:r>
    </w:p>
    <w:p w:rsidR="000B562B" w:rsidRPr="00A176EA" w:rsidRDefault="002549A9" w:rsidP="00604CAE">
      <w:pPr>
        <w:pStyle w:val="SingleTxtG"/>
        <w:rPr>
          <w:lang w:val="fr-FR"/>
        </w:rPr>
      </w:pPr>
      <w:r w:rsidRPr="00A176EA">
        <w:rPr>
          <w:lang w:val="fr-FR"/>
        </w:rPr>
        <w:t>822.</w:t>
      </w:r>
      <w:r w:rsidRPr="00A176EA">
        <w:rPr>
          <w:lang w:val="fr-FR"/>
        </w:rPr>
        <w:tab/>
      </w:r>
      <w:r w:rsidR="00604CAE">
        <w:rPr>
          <w:lang w:val="fr-FR"/>
        </w:rPr>
        <w:t>Parallèlement aux Nations Unies, le Royaume-Uni participe activement à tout un éventail d’actions concernant les droits de l’homme aux côtés d’organisations internationales et régionales comme l’Union européenne, le G-8, l’Organisation pour la sécurité et la coopération en Europe (OSCE), le Commonwealth, le Conseil de l’Europe, la Banque mondiale et bien d’autres. Il s’emploie à promouvoir une meilleure intégration des droits de l’homme dans l’ensemble du système international et à placer les droits de l’homme au centre de l’action des organismes internationaux</w:t>
      </w:r>
      <w:r w:rsidR="000B562B" w:rsidRPr="00A176EA">
        <w:rPr>
          <w:lang w:val="fr-FR"/>
        </w:rPr>
        <w:t>.</w:t>
      </w:r>
    </w:p>
    <w:p w:rsidR="000B562B" w:rsidRPr="00A176EA" w:rsidRDefault="002549A9" w:rsidP="00434B45">
      <w:pPr>
        <w:pStyle w:val="SingleTxtG"/>
        <w:rPr>
          <w:lang w:val="fr-FR"/>
        </w:rPr>
      </w:pPr>
      <w:r w:rsidRPr="00A176EA">
        <w:rPr>
          <w:lang w:val="fr-FR"/>
        </w:rPr>
        <w:t>823.</w:t>
      </w:r>
      <w:r w:rsidRPr="00A176EA">
        <w:rPr>
          <w:lang w:val="fr-FR"/>
        </w:rPr>
        <w:tab/>
      </w:r>
      <w:r w:rsidR="00FC06D8" w:rsidRPr="00FC06D8">
        <w:rPr>
          <w:lang w:val="fr-FR"/>
        </w:rPr>
        <w:t xml:space="preserve">Le Royaume-Uni est pleinement conscient que le développement et les droits de l’homme sont interdépendants et se renforcent mutuellement. En conséquence, il aide les pays à mettre en œuvre des stratégies de développement qui intègrent </w:t>
      </w:r>
      <w:r w:rsidR="00877FC7">
        <w:rPr>
          <w:lang w:val="fr-FR"/>
        </w:rPr>
        <w:t>c</w:t>
      </w:r>
      <w:r w:rsidR="00FC06D8" w:rsidRPr="00FC06D8">
        <w:rPr>
          <w:lang w:val="fr-FR"/>
        </w:rPr>
        <w:t>es droits. Le Ministère du développement international apporte un soutien aux gouvernements partenaires pour leur permettre de s’acquitter de leurs obligations en matière de droits de l’homme et de renforcer la capacité des individus</w:t>
      </w:r>
      <w:r w:rsidR="000B562B" w:rsidRPr="00A176EA">
        <w:rPr>
          <w:lang w:val="fr-FR"/>
        </w:rPr>
        <w:t xml:space="preserve"> </w:t>
      </w:r>
      <w:r w:rsidR="00FC06D8">
        <w:rPr>
          <w:lang w:val="fr-FR"/>
        </w:rPr>
        <w:t>à faire valoir leurs droits</w:t>
      </w:r>
      <w:r w:rsidR="000B562B" w:rsidRPr="00A176EA">
        <w:rPr>
          <w:lang w:val="fr-FR"/>
        </w:rPr>
        <w:t>.</w:t>
      </w:r>
    </w:p>
    <w:p w:rsidR="000B562B" w:rsidRPr="00A176EA" w:rsidRDefault="002549A9" w:rsidP="00434B45">
      <w:pPr>
        <w:pStyle w:val="SingleTxtG"/>
        <w:rPr>
          <w:lang w:val="fr-FR"/>
        </w:rPr>
      </w:pPr>
      <w:r w:rsidRPr="00A176EA">
        <w:rPr>
          <w:lang w:val="fr-FR"/>
        </w:rPr>
        <w:t>824.</w:t>
      </w:r>
      <w:r w:rsidRPr="00A176EA">
        <w:rPr>
          <w:lang w:val="fr-FR"/>
        </w:rPr>
        <w:tab/>
      </w:r>
      <w:r w:rsidR="00FC06D8" w:rsidRPr="00FC06D8">
        <w:rPr>
          <w:lang w:val="fr-FR"/>
        </w:rPr>
        <w:t>Le Royaume-Uni entend développer des partenariats efficaces avec d’autres gouvernements, sur la base d’un engagement commun au service de trois objectifs</w:t>
      </w:r>
      <w:r w:rsidR="00FC2B97">
        <w:rPr>
          <w:lang w:val="fr-FR"/>
        </w:rPr>
        <w:t>:</w:t>
      </w:r>
      <w:r w:rsidR="000B562B" w:rsidRPr="00A176EA">
        <w:rPr>
          <w:lang w:val="fr-FR"/>
        </w:rPr>
        <w:t xml:space="preserve"> </w:t>
      </w:r>
      <w:r w:rsidR="00FC06D8" w:rsidRPr="00FC06D8">
        <w:rPr>
          <w:lang w:val="fr-FR"/>
        </w:rPr>
        <w:t>la réduction de la pauvreté et la réalisation des objectifs du Millénaire pour le développement, le respect des droits de l’homme et des autres obligations internationales, et le renforcement de la gestion financière et de l’obligation redditionnelle</w:t>
      </w:r>
      <w:r w:rsidR="000B562B" w:rsidRPr="00A176EA">
        <w:rPr>
          <w:lang w:val="fr-FR"/>
        </w:rPr>
        <w:t>.</w:t>
      </w:r>
    </w:p>
    <w:p w:rsidR="000B562B" w:rsidRPr="00A176EA" w:rsidRDefault="002549A9" w:rsidP="00FC06D8">
      <w:pPr>
        <w:pStyle w:val="SingleTxtG"/>
        <w:rPr>
          <w:snapToGrid w:val="0"/>
          <w:lang w:val="fr-FR"/>
        </w:rPr>
      </w:pPr>
      <w:r w:rsidRPr="00A176EA">
        <w:rPr>
          <w:snapToGrid w:val="0"/>
          <w:lang w:val="fr-FR"/>
        </w:rPr>
        <w:t>825.</w:t>
      </w:r>
      <w:r w:rsidRPr="00A176EA">
        <w:rPr>
          <w:snapToGrid w:val="0"/>
          <w:lang w:val="fr-FR"/>
        </w:rPr>
        <w:tab/>
      </w:r>
      <w:r w:rsidR="00FC06D8" w:rsidRPr="00FC06D8">
        <w:rPr>
          <w:lang w:val="fr-FR"/>
        </w:rPr>
        <w:t xml:space="preserve">Pour traduire ces politiques dans la pratique, le Royaume-Uni réalise une série </w:t>
      </w:r>
      <w:r w:rsidR="00FC06D8">
        <w:rPr>
          <w:lang w:val="fr-FR"/>
        </w:rPr>
        <w:t>d’</w:t>
      </w:r>
      <w:r w:rsidR="000B562B" w:rsidRPr="00A176EA">
        <w:rPr>
          <w:lang w:val="fr-FR"/>
        </w:rPr>
        <w:t xml:space="preserve">interventions. </w:t>
      </w:r>
      <w:r w:rsidR="00FC06D8">
        <w:rPr>
          <w:lang w:val="fr-FR"/>
        </w:rPr>
        <w:t>Pa</w:t>
      </w:r>
      <w:r w:rsidR="000B562B" w:rsidRPr="00A176EA">
        <w:rPr>
          <w:lang w:val="fr-FR"/>
        </w:rPr>
        <w:t>r ex</w:t>
      </w:r>
      <w:r w:rsidR="00FC06D8">
        <w:rPr>
          <w:lang w:val="fr-FR"/>
        </w:rPr>
        <w:t>e</w:t>
      </w:r>
      <w:r w:rsidR="000B562B" w:rsidRPr="00A176EA">
        <w:rPr>
          <w:lang w:val="fr-FR"/>
        </w:rPr>
        <w:t xml:space="preserve">mple, </w:t>
      </w:r>
      <w:r w:rsidR="00FC06D8">
        <w:rPr>
          <w:lang w:val="fr-FR"/>
        </w:rPr>
        <w:t>s’agissant du droit à l’éducation, il s’est engagé à concentrer l’aide publique sur des programmes favorisant l’accès de tous à l’éducation</w:t>
      </w:r>
      <w:r w:rsidR="000B562B" w:rsidRPr="00A176EA">
        <w:rPr>
          <w:snapToGrid w:val="0"/>
          <w:lang w:val="fr-FR"/>
        </w:rPr>
        <w:t>.</w:t>
      </w:r>
    </w:p>
    <w:p w:rsidR="000B562B" w:rsidRPr="00A176EA" w:rsidRDefault="002549A9" w:rsidP="00FC06D8">
      <w:pPr>
        <w:pStyle w:val="SingleTxtG"/>
        <w:rPr>
          <w:lang w:val="fr-FR"/>
        </w:rPr>
      </w:pPr>
      <w:r w:rsidRPr="00A176EA">
        <w:rPr>
          <w:lang w:val="fr-FR"/>
        </w:rPr>
        <w:t>826.</w:t>
      </w:r>
      <w:r w:rsidRPr="00A176EA">
        <w:rPr>
          <w:lang w:val="fr-FR"/>
        </w:rPr>
        <w:tab/>
      </w:r>
      <w:r w:rsidR="00FC06D8" w:rsidRPr="00FC06D8">
        <w:rPr>
          <w:lang w:val="fr-FR"/>
        </w:rPr>
        <w:t xml:space="preserve">Afin d’honorer ses engagements dans le domaine des droits de l’homme partout dans le monde, le Royaume-Uni fait preuve d’un esprit de consultation, d’ouverture et de responsabilité. </w:t>
      </w:r>
      <w:r w:rsidR="00FC06D8">
        <w:rPr>
          <w:lang w:val="fr-FR"/>
        </w:rPr>
        <w:t>Par son adhésion à un grand nombre d’organisations internationales et son réseau mondial d’ambassades, il œuvre à la réalisation du désir de tous de voir triompher l’ensemble de leurs droits fondamentaux</w:t>
      </w:r>
      <w:r w:rsidR="000B562B" w:rsidRPr="00A176EA">
        <w:rPr>
          <w:lang w:val="fr-FR"/>
        </w:rPr>
        <w:t>.</w:t>
      </w:r>
    </w:p>
    <w:p w:rsidR="00774F25" w:rsidRPr="00774F25" w:rsidRDefault="00774F25" w:rsidP="00774F25">
      <w:pPr>
        <w:keepNext/>
        <w:keepLines/>
        <w:tabs>
          <w:tab w:val="right" w:pos="851"/>
        </w:tabs>
        <w:spacing w:before="360" w:after="240" w:line="300" w:lineRule="exact"/>
        <w:ind w:left="1134" w:right="1134" w:hanging="1134"/>
        <w:rPr>
          <w:b/>
          <w:sz w:val="28"/>
          <w:lang w:val="fr-FR"/>
        </w:rPr>
      </w:pPr>
      <w:bookmarkStart w:id="77" w:name="_Toc299724768"/>
      <w:r w:rsidRPr="002359FC">
        <w:rPr>
          <w:b/>
          <w:sz w:val="28"/>
          <w:lang w:val="fr-FR"/>
        </w:rPr>
        <w:tab/>
      </w:r>
      <w:r w:rsidRPr="00774F25">
        <w:rPr>
          <w:b/>
          <w:sz w:val="28"/>
          <w:lang w:val="fr-FR"/>
        </w:rPr>
        <w:t>F.</w:t>
      </w:r>
      <w:r w:rsidRPr="00774F25">
        <w:rPr>
          <w:b/>
          <w:sz w:val="28"/>
          <w:lang w:val="fr-FR"/>
        </w:rPr>
        <w:tab/>
      </w:r>
      <w:r w:rsidR="000E6525">
        <w:rPr>
          <w:b/>
          <w:sz w:val="28"/>
          <w:lang w:val="fr-FR"/>
        </w:rPr>
        <w:t>P</w:t>
      </w:r>
      <w:r w:rsidRPr="00774F25">
        <w:rPr>
          <w:b/>
          <w:sz w:val="28"/>
          <w:lang w:val="fr-FR"/>
        </w:rPr>
        <w:t>rocess</w:t>
      </w:r>
      <w:r w:rsidR="000E6525">
        <w:rPr>
          <w:b/>
          <w:sz w:val="28"/>
          <w:lang w:val="fr-FR"/>
        </w:rPr>
        <w:t>us d’élaboration des rapports à l’échelon</w:t>
      </w:r>
      <w:r w:rsidRPr="00774F25">
        <w:rPr>
          <w:b/>
          <w:sz w:val="28"/>
          <w:lang w:val="fr-FR"/>
        </w:rPr>
        <w:t xml:space="preserve"> national</w:t>
      </w:r>
      <w:bookmarkEnd w:id="77"/>
    </w:p>
    <w:p w:rsidR="000B562B" w:rsidRPr="00A176EA" w:rsidRDefault="002549A9" w:rsidP="00133E54">
      <w:pPr>
        <w:pStyle w:val="SingleTxtG"/>
        <w:spacing w:after="240"/>
        <w:rPr>
          <w:szCs w:val="24"/>
          <w:lang w:val="fr-FR"/>
        </w:rPr>
      </w:pPr>
      <w:r w:rsidRPr="00A176EA">
        <w:rPr>
          <w:szCs w:val="24"/>
          <w:lang w:val="fr-FR"/>
        </w:rPr>
        <w:t>827.</w:t>
      </w:r>
      <w:r w:rsidRPr="00A176EA">
        <w:rPr>
          <w:szCs w:val="24"/>
          <w:lang w:val="fr-FR"/>
        </w:rPr>
        <w:tab/>
      </w:r>
      <w:r w:rsidR="000E6525">
        <w:rPr>
          <w:szCs w:val="24"/>
          <w:lang w:val="fr-FR"/>
        </w:rPr>
        <w:t>Le</w:t>
      </w:r>
      <w:r w:rsidR="000B562B" w:rsidRPr="00A176EA">
        <w:rPr>
          <w:lang w:val="fr-FR"/>
        </w:rPr>
        <w:t xml:space="preserve"> table</w:t>
      </w:r>
      <w:r w:rsidR="000E6525">
        <w:rPr>
          <w:lang w:val="fr-FR"/>
        </w:rPr>
        <w:t>au ci-dessous</w:t>
      </w:r>
      <w:r w:rsidR="000B562B" w:rsidRPr="00A176EA">
        <w:rPr>
          <w:lang w:val="fr-FR"/>
        </w:rPr>
        <w:t xml:space="preserve"> </w:t>
      </w:r>
      <w:r w:rsidR="000E6525">
        <w:rPr>
          <w:lang w:val="fr-FR"/>
        </w:rPr>
        <w:t xml:space="preserve">fournit une liste des principales administrations participant à l’élaboration des rapports au titre des six principaux instruments des Nations Unies </w:t>
      </w:r>
      <w:r w:rsidR="000B562B" w:rsidRPr="00A176EA">
        <w:rPr>
          <w:lang w:val="fr-FR"/>
        </w:rPr>
        <w:t>ratifi</w:t>
      </w:r>
      <w:r w:rsidR="000E6525">
        <w:rPr>
          <w:lang w:val="fr-FR"/>
        </w:rPr>
        <w:t xml:space="preserve">és par le Royaume-Uni et </w:t>
      </w:r>
      <w:r w:rsidR="00930A44">
        <w:rPr>
          <w:lang w:val="fr-FR"/>
        </w:rPr>
        <w:t>de</w:t>
      </w:r>
      <w:r w:rsidR="000E6525">
        <w:rPr>
          <w:lang w:val="fr-FR"/>
        </w:rPr>
        <w:t xml:space="preserve"> l’Examen périodique universel (EPU</w:t>
      </w:r>
      <w:r w:rsidR="000B562B" w:rsidRPr="00A176EA">
        <w:rPr>
          <w:lang w:val="fr-FR"/>
        </w:rPr>
        <w:t>).</w:t>
      </w:r>
    </w:p>
    <w:tbl>
      <w:tblPr>
        <w:tblW w:w="8497" w:type="dxa"/>
        <w:tblInd w:w="1134" w:type="dxa"/>
        <w:tblBorders>
          <w:top w:val="single" w:sz="4" w:space="0" w:color="auto"/>
        </w:tblBorders>
        <w:tblCellMar>
          <w:left w:w="0" w:type="dxa"/>
          <w:right w:w="113" w:type="dxa"/>
        </w:tblCellMar>
        <w:tblLook w:val="00BF" w:firstRow="1" w:lastRow="0" w:firstColumn="1" w:lastColumn="0" w:noHBand="0" w:noVBand="0"/>
      </w:tblPr>
      <w:tblGrid>
        <w:gridCol w:w="2324"/>
        <w:gridCol w:w="1960"/>
        <w:gridCol w:w="2225"/>
        <w:gridCol w:w="1988"/>
      </w:tblGrid>
      <w:tr w:rsidR="00434B45" w:rsidRPr="00A176EA" w:rsidTr="009A4B0F">
        <w:tblPrEx>
          <w:tblCellMar>
            <w:top w:w="0" w:type="dxa"/>
            <w:bottom w:w="0" w:type="dxa"/>
          </w:tblCellMar>
        </w:tblPrEx>
        <w:trPr>
          <w:cantSplit/>
          <w:trHeight w:val="240"/>
          <w:tblHeader/>
        </w:trPr>
        <w:tc>
          <w:tcPr>
            <w:tcW w:w="2324" w:type="dxa"/>
            <w:tcBorders>
              <w:top w:val="single" w:sz="4" w:space="0" w:color="auto"/>
              <w:bottom w:val="single" w:sz="12" w:space="0" w:color="auto"/>
            </w:tcBorders>
            <w:shd w:val="clear" w:color="auto" w:fill="auto"/>
            <w:vAlign w:val="bottom"/>
          </w:tcPr>
          <w:p w:rsidR="000B562B" w:rsidRPr="00A176EA" w:rsidRDefault="000E6525" w:rsidP="000E6525">
            <w:pPr>
              <w:pStyle w:val="Text"/>
              <w:spacing w:before="80" w:after="80" w:line="200" w:lineRule="exact"/>
              <w:rPr>
                <w:rFonts w:ascii="Times New Roman" w:hAnsi="Times New Roman"/>
                <w:i/>
                <w:snapToGrid w:val="0"/>
                <w:sz w:val="16"/>
                <w:szCs w:val="22"/>
                <w:lang w:val="fr-FR"/>
              </w:rPr>
            </w:pPr>
            <w:r w:rsidRPr="00A176EA">
              <w:rPr>
                <w:rFonts w:ascii="Times New Roman" w:hAnsi="Times New Roman"/>
                <w:i/>
                <w:snapToGrid w:val="0"/>
                <w:sz w:val="16"/>
                <w:szCs w:val="22"/>
                <w:lang w:val="fr-FR"/>
              </w:rPr>
              <w:t xml:space="preserve">Instrument </w:t>
            </w:r>
            <w:r>
              <w:rPr>
                <w:rFonts w:ascii="Times New Roman" w:hAnsi="Times New Roman"/>
                <w:i/>
                <w:snapToGrid w:val="0"/>
                <w:sz w:val="16"/>
                <w:szCs w:val="22"/>
                <w:lang w:val="fr-FR"/>
              </w:rPr>
              <w:t>de l’ONU</w:t>
            </w:r>
            <w:r w:rsidR="000B562B" w:rsidRPr="00A176EA">
              <w:rPr>
                <w:rFonts w:ascii="Times New Roman" w:hAnsi="Times New Roman"/>
                <w:i/>
                <w:snapToGrid w:val="0"/>
                <w:sz w:val="16"/>
                <w:szCs w:val="22"/>
                <w:lang w:val="fr-FR"/>
              </w:rPr>
              <w:t xml:space="preserve"> </w:t>
            </w:r>
          </w:p>
        </w:tc>
        <w:tc>
          <w:tcPr>
            <w:tcW w:w="1960" w:type="dxa"/>
            <w:tcBorders>
              <w:top w:val="single" w:sz="4" w:space="0" w:color="auto"/>
              <w:bottom w:val="single" w:sz="12" w:space="0" w:color="auto"/>
            </w:tcBorders>
            <w:shd w:val="clear" w:color="auto" w:fill="auto"/>
            <w:tcMar>
              <w:right w:w="0" w:type="dxa"/>
            </w:tcMar>
          </w:tcPr>
          <w:p w:rsidR="000B562B" w:rsidRPr="00A176EA" w:rsidRDefault="000E6525" w:rsidP="009A4B0F">
            <w:pPr>
              <w:pStyle w:val="Text"/>
              <w:spacing w:before="80" w:after="80" w:line="200" w:lineRule="exact"/>
              <w:rPr>
                <w:rFonts w:ascii="Times New Roman" w:hAnsi="Times New Roman"/>
                <w:i/>
                <w:snapToGrid w:val="0"/>
                <w:sz w:val="16"/>
                <w:szCs w:val="22"/>
                <w:lang w:val="fr-FR"/>
              </w:rPr>
            </w:pPr>
            <w:r>
              <w:rPr>
                <w:rFonts w:ascii="Times New Roman" w:hAnsi="Times New Roman"/>
                <w:i/>
                <w:snapToGrid w:val="0"/>
                <w:sz w:val="16"/>
                <w:szCs w:val="22"/>
                <w:lang w:val="fr-FR"/>
              </w:rPr>
              <w:t xml:space="preserve">Principale </w:t>
            </w:r>
            <w:r w:rsidR="00D01BDE">
              <w:rPr>
                <w:rFonts w:ascii="Times New Roman" w:hAnsi="Times New Roman"/>
                <w:i/>
                <w:snapToGrid w:val="0"/>
                <w:sz w:val="16"/>
                <w:szCs w:val="22"/>
                <w:lang w:val="fr-FR"/>
              </w:rPr>
              <w:br/>
            </w:r>
            <w:r>
              <w:rPr>
                <w:rFonts w:ascii="Times New Roman" w:hAnsi="Times New Roman"/>
                <w:i/>
                <w:snapToGrid w:val="0"/>
                <w:sz w:val="16"/>
                <w:szCs w:val="22"/>
                <w:lang w:val="fr-FR"/>
              </w:rPr>
              <w:t>administration concernée</w:t>
            </w:r>
          </w:p>
        </w:tc>
        <w:tc>
          <w:tcPr>
            <w:tcW w:w="2225" w:type="dxa"/>
            <w:tcBorders>
              <w:top w:val="single" w:sz="4" w:space="0" w:color="auto"/>
              <w:bottom w:val="single" w:sz="12" w:space="0" w:color="auto"/>
            </w:tcBorders>
            <w:shd w:val="clear" w:color="auto" w:fill="auto"/>
            <w:tcMar>
              <w:right w:w="0" w:type="dxa"/>
            </w:tcMar>
          </w:tcPr>
          <w:p w:rsidR="000B562B" w:rsidRPr="00A176EA" w:rsidRDefault="000E6525" w:rsidP="009A4B0F">
            <w:pPr>
              <w:pStyle w:val="Text"/>
              <w:spacing w:before="80" w:after="80" w:line="200" w:lineRule="exact"/>
              <w:rPr>
                <w:rFonts w:ascii="Times New Roman" w:hAnsi="Times New Roman"/>
                <w:i/>
                <w:snapToGrid w:val="0"/>
                <w:sz w:val="16"/>
                <w:szCs w:val="22"/>
                <w:lang w:val="fr-FR"/>
              </w:rPr>
            </w:pPr>
            <w:r>
              <w:rPr>
                <w:rFonts w:ascii="Times New Roman" w:hAnsi="Times New Roman"/>
                <w:i/>
                <w:snapToGrid w:val="0"/>
                <w:sz w:val="16"/>
                <w:szCs w:val="22"/>
                <w:lang w:val="fr-FR"/>
              </w:rPr>
              <w:t>Co</w:t>
            </w:r>
            <w:r w:rsidR="000B562B" w:rsidRPr="00A176EA">
              <w:rPr>
                <w:rFonts w:ascii="Times New Roman" w:hAnsi="Times New Roman"/>
                <w:i/>
                <w:snapToGrid w:val="0"/>
                <w:sz w:val="16"/>
                <w:szCs w:val="22"/>
                <w:lang w:val="fr-FR"/>
              </w:rPr>
              <w:t xml:space="preserve">ordination </w:t>
            </w:r>
            <w:r>
              <w:rPr>
                <w:rFonts w:ascii="Times New Roman" w:hAnsi="Times New Roman"/>
                <w:i/>
                <w:snapToGrid w:val="0"/>
                <w:sz w:val="16"/>
                <w:szCs w:val="22"/>
                <w:lang w:val="fr-FR"/>
              </w:rPr>
              <w:t>avec les</w:t>
            </w:r>
            <w:r w:rsidR="000B562B" w:rsidRPr="00A176EA">
              <w:rPr>
                <w:rFonts w:ascii="Times New Roman" w:hAnsi="Times New Roman"/>
                <w:i/>
                <w:snapToGrid w:val="0"/>
                <w:sz w:val="16"/>
                <w:szCs w:val="22"/>
                <w:lang w:val="fr-FR"/>
              </w:rPr>
              <w:t xml:space="preserve"> </w:t>
            </w:r>
            <w:r w:rsidR="006D07AA">
              <w:rPr>
                <w:rFonts w:ascii="Times New Roman" w:hAnsi="Times New Roman"/>
                <w:i/>
                <w:snapToGrid w:val="0"/>
                <w:sz w:val="16"/>
                <w:szCs w:val="22"/>
                <w:lang w:val="fr-FR"/>
              </w:rPr>
              <w:t>dé</w:t>
            </w:r>
            <w:r w:rsidR="006D07AA" w:rsidRPr="00A176EA">
              <w:rPr>
                <w:rFonts w:ascii="Times New Roman" w:hAnsi="Times New Roman"/>
                <w:i/>
                <w:snapToGrid w:val="0"/>
                <w:sz w:val="16"/>
                <w:szCs w:val="22"/>
                <w:lang w:val="fr-FR"/>
              </w:rPr>
              <w:t>pendances</w:t>
            </w:r>
            <w:r>
              <w:rPr>
                <w:rFonts w:ascii="Times New Roman" w:hAnsi="Times New Roman"/>
                <w:i/>
                <w:snapToGrid w:val="0"/>
                <w:sz w:val="16"/>
                <w:szCs w:val="22"/>
                <w:lang w:val="fr-FR"/>
              </w:rPr>
              <w:t xml:space="preserve"> de la Couronne</w:t>
            </w:r>
          </w:p>
        </w:tc>
        <w:tc>
          <w:tcPr>
            <w:tcW w:w="1988" w:type="dxa"/>
            <w:tcBorders>
              <w:top w:val="single" w:sz="4" w:space="0" w:color="auto"/>
              <w:bottom w:val="single" w:sz="12" w:space="0" w:color="auto"/>
            </w:tcBorders>
            <w:shd w:val="clear" w:color="auto" w:fill="auto"/>
            <w:tcMar>
              <w:right w:w="0" w:type="dxa"/>
            </w:tcMar>
          </w:tcPr>
          <w:p w:rsidR="000B562B" w:rsidRPr="00A176EA" w:rsidRDefault="000E6525" w:rsidP="009A4B0F">
            <w:pPr>
              <w:pStyle w:val="Text"/>
              <w:spacing w:before="80" w:after="80" w:line="200" w:lineRule="exact"/>
              <w:rPr>
                <w:rFonts w:ascii="Times New Roman" w:hAnsi="Times New Roman"/>
                <w:i/>
                <w:snapToGrid w:val="0"/>
                <w:sz w:val="16"/>
                <w:szCs w:val="22"/>
                <w:lang w:val="fr-FR"/>
              </w:rPr>
            </w:pPr>
            <w:r>
              <w:rPr>
                <w:rFonts w:ascii="Times New Roman" w:hAnsi="Times New Roman"/>
                <w:i/>
                <w:snapToGrid w:val="0"/>
                <w:sz w:val="16"/>
                <w:szCs w:val="22"/>
                <w:lang w:val="fr-FR"/>
              </w:rPr>
              <w:t>Co</w:t>
            </w:r>
            <w:r w:rsidR="000B562B" w:rsidRPr="00A176EA">
              <w:rPr>
                <w:rFonts w:ascii="Times New Roman" w:hAnsi="Times New Roman"/>
                <w:i/>
                <w:snapToGrid w:val="0"/>
                <w:sz w:val="16"/>
                <w:szCs w:val="22"/>
                <w:lang w:val="fr-FR"/>
              </w:rPr>
              <w:t xml:space="preserve">ordination </w:t>
            </w:r>
            <w:r>
              <w:rPr>
                <w:rFonts w:ascii="Times New Roman" w:hAnsi="Times New Roman"/>
                <w:i/>
                <w:snapToGrid w:val="0"/>
                <w:sz w:val="16"/>
                <w:szCs w:val="22"/>
                <w:lang w:val="fr-FR"/>
              </w:rPr>
              <w:t>avec les t</w:t>
            </w:r>
            <w:r w:rsidR="000B562B" w:rsidRPr="00A176EA">
              <w:rPr>
                <w:rFonts w:ascii="Times New Roman" w:hAnsi="Times New Roman"/>
                <w:i/>
                <w:snapToGrid w:val="0"/>
                <w:sz w:val="16"/>
                <w:szCs w:val="22"/>
                <w:lang w:val="fr-FR"/>
              </w:rPr>
              <w:t>errito</w:t>
            </w:r>
            <w:r>
              <w:rPr>
                <w:rFonts w:ascii="Times New Roman" w:hAnsi="Times New Roman"/>
                <w:i/>
                <w:snapToGrid w:val="0"/>
                <w:sz w:val="16"/>
                <w:szCs w:val="22"/>
                <w:lang w:val="fr-FR"/>
              </w:rPr>
              <w:t>ir</w:t>
            </w:r>
            <w:r w:rsidR="000B562B" w:rsidRPr="00A176EA">
              <w:rPr>
                <w:rFonts w:ascii="Times New Roman" w:hAnsi="Times New Roman"/>
                <w:i/>
                <w:snapToGrid w:val="0"/>
                <w:sz w:val="16"/>
                <w:szCs w:val="22"/>
                <w:lang w:val="fr-FR"/>
              </w:rPr>
              <w:t>es</w:t>
            </w:r>
            <w:r>
              <w:rPr>
                <w:rFonts w:ascii="Times New Roman" w:hAnsi="Times New Roman"/>
                <w:i/>
                <w:snapToGrid w:val="0"/>
                <w:sz w:val="16"/>
                <w:szCs w:val="22"/>
                <w:lang w:val="fr-FR"/>
              </w:rPr>
              <w:t xml:space="preserve"> d’outre-mer</w:t>
            </w:r>
          </w:p>
        </w:tc>
      </w:tr>
      <w:tr w:rsidR="00434B45" w:rsidRPr="001F40EE" w:rsidTr="009A4B0F">
        <w:tblPrEx>
          <w:tblCellMar>
            <w:top w:w="0" w:type="dxa"/>
            <w:bottom w:w="0" w:type="dxa"/>
          </w:tblCellMar>
        </w:tblPrEx>
        <w:trPr>
          <w:cantSplit/>
          <w:trHeight w:val="240"/>
        </w:trPr>
        <w:tc>
          <w:tcPr>
            <w:tcW w:w="2324" w:type="dxa"/>
            <w:tcBorders>
              <w:top w:val="single" w:sz="12" w:space="0" w:color="auto"/>
            </w:tcBorders>
            <w:shd w:val="clear" w:color="auto" w:fill="auto"/>
          </w:tcPr>
          <w:p w:rsidR="000B562B" w:rsidRPr="001F40EE" w:rsidRDefault="000E6525" w:rsidP="001F40EE">
            <w:pPr>
              <w:pStyle w:val="Text"/>
              <w:spacing w:before="40" w:after="120" w:line="220" w:lineRule="exact"/>
              <w:rPr>
                <w:rFonts w:ascii="Times New Roman" w:hAnsi="Times New Roman"/>
                <w:snapToGrid w:val="0"/>
                <w:sz w:val="20"/>
                <w:lang w:val="fr-FR"/>
              </w:rPr>
            </w:pPr>
            <w:r w:rsidRPr="001F40EE">
              <w:rPr>
                <w:rFonts w:ascii="Times New Roman" w:hAnsi="Times New Roman"/>
                <w:snapToGrid w:val="0"/>
                <w:sz w:val="20"/>
                <w:lang w:val="fr-FR"/>
              </w:rPr>
              <w:t>Convention internationale sur l’élimination de toutes les formes de discrimination raciale</w:t>
            </w:r>
          </w:p>
        </w:tc>
        <w:tc>
          <w:tcPr>
            <w:tcW w:w="1960" w:type="dxa"/>
            <w:tcBorders>
              <w:top w:val="single" w:sz="12" w:space="0" w:color="auto"/>
            </w:tcBorders>
            <w:shd w:val="clear" w:color="auto" w:fill="auto"/>
            <w:tcMar>
              <w:right w:w="0" w:type="dxa"/>
            </w:tcMar>
          </w:tcPr>
          <w:p w:rsidR="000B562B" w:rsidRPr="001F40EE" w:rsidRDefault="000B562B" w:rsidP="009A4B0F">
            <w:pPr>
              <w:pStyle w:val="Text"/>
              <w:spacing w:before="40" w:after="120" w:line="220" w:lineRule="exact"/>
              <w:rPr>
                <w:rFonts w:ascii="Times New Roman" w:hAnsi="Times New Roman"/>
                <w:snapToGrid w:val="0"/>
                <w:sz w:val="20"/>
                <w:lang w:val="fr-FR"/>
              </w:rPr>
            </w:pPr>
            <w:r w:rsidRPr="001F40EE">
              <w:rPr>
                <w:rFonts w:ascii="Times New Roman" w:hAnsi="Times New Roman"/>
                <w:snapToGrid w:val="0"/>
                <w:sz w:val="20"/>
                <w:lang w:val="fr-FR"/>
              </w:rPr>
              <w:t>Commun</w:t>
            </w:r>
            <w:r w:rsidR="000E6525" w:rsidRPr="001F40EE">
              <w:rPr>
                <w:rFonts w:ascii="Times New Roman" w:hAnsi="Times New Roman"/>
                <w:snapToGrid w:val="0"/>
                <w:sz w:val="20"/>
                <w:lang w:val="fr-FR"/>
              </w:rPr>
              <w:t>auté</w:t>
            </w:r>
            <w:r w:rsidRPr="001F40EE">
              <w:rPr>
                <w:rFonts w:ascii="Times New Roman" w:hAnsi="Times New Roman"/>
                <w:snapToGrid w:val="0"/>
                <w:sz w:val="20"/>
                <w:lang w:val="fr-FR"/>
              </w:rPr>
              <w:t xml:space="preserve">s </w:t>
            </w:r>
            <w:r w:rsidR="000E6525" w:rsidRPr="001F40EE">
              <w:rPr>
                <w:rFonts w:ascii="Times New Roman" w:hAnsi="Times New Roman"/>
                <w:snapToGrid w:val="0"/>
                <w:sz w:val="20"/>
                <w:lang w:val="fr-FR"/>
              </w:rPr>
              <w:t>et</w:t>
            </w:r>
            <w:r w:rsidRPr="001F40EE">
              <w:rPr>
                <w:rFonts w:ascii="Times New Roman" w:hAnsi="Times New Roman"/>
                <w:snapToGrid w:val="0"/>
                <w:sz w:val="20"/>
                <w:lang w:val="fr-FR"/>
              </w:rPr>
              <w:t xml:space="preserve"> </w:t>
            </w:r>
            <w:r w:rsidR="000E6525" w:rsidRPr="001F40EE">
              <w:rPr>
                <w:rFonts w:ascii="Times New Roman" w:hAnsi="Times New Roman"/>
                <w:snapToGrid w:val="0"/>
                <w:sz w:val="20"/>
                <w:lang w:val="fr-FR"/>
              </w:rPr>
              <w:t>collectivités locales</w:t>
            </w:r>
          </w:p>
        </w:tc>
        <w:tc>
          <w:tcPr>
            <w:tcW w:w="2225" w:type="dxa"/>
            <w:tcBorders>
              <w:top w:val="single" w:sz="12" w:space="0" w:color="auto"/>
            </w:tcBorders>
            <w:shd w:val="clear" w:color="auto" w:fill="auto"/>
            <w:tcMar>
              <w:right w:w="0" w:type="dxa"/>
            </w:tcMar>
          </w:tcPr>
          <w:p w:rsidR="000B562B" w:rsidRPr="001F40EE" w:rsidRDefault="000B562B" w:rsidP="009A4B0F">
            <w:pPr>
              <w:pStyle w:val="Text"/>
              <w:spacing w:before="40" w:after="120" w:line="220" w:lineRule="exact"/>
              <w:rPr>
                <w:rFonts w:ascii="Times New Roman" w:hAnsi="Times New Roman"/>
                <w:snapToGrid w:val="0"/>
                <w:sz w:val="20"/>
                <w:lang w:val="fr-FR"/>
              </w:rPr>
            </w:pPr>
            <w:r w:rsidRPr="001F40EE">
              <w:rPr>
                <w:rFonts w:ascii="Times New Roman" w:hAnsi="Times New Roman"/>
                <w:snapToGrid w:val="0"/>
                <w:sz w:val="20"/>
                <w:lang w:val="fr-FR"/>
              </w:rPr>
              <w:t>Minist</w:t>
            </w:r>
            <w:r w:rsidR="000E6525" w:rsidRPr="001F40EE">
              <w:rPr>
                <w:rFonts w:ascii="Times New Roman" w:hAnsi="Times New Roman"/>
                <w:snapToGrid w:val="0"/>
                <w:sz w:val="20"/>
                <w:lang w:val="fr-FR"/>
              </w:rPr>
              <w:t>ère</w:t>
            </w:r>
            <w:r w:rsidRPr="001F40EE">
              <w:rPr>
                <w:rFonts w:ascii="Times New Roman" w:hAnsi="Times New Roman"/>
                <w:snapToGrid w:val="0"/>
                <w:sz w:val="20"/>
                <w:lang w:val="fr-FR"/>
              </w:rPr>
              <w:t xml:space="preserve"> </w:t>
            </w:r>
            <w:r w:rsidR="000E6525" w:rsidRPr="001F40EE">
              <w:rPr>
                <w:rFonts w:ascii="Times New Roman" w:hAnsi="Times New Roman"/>
                <w:snapToGrid w:val="0"/>
                <w:sz w:val="20"/>
                <w:lang w:val="fr-FR"/>
              </w:rPr>
              <w:t>de la</w:t>
            </w:r>
            <w:r w:rsidRPr="001F40EE">
              <w:rPr>
                <w:rFonts w:ascii="Times New Roman" w:hAnsi="Times New Roman"/>
                <w:snapToGrid w:val="0"/>
                <w:sz w:val="20"/>
                <w:lang w:val="fr-FR"/>
              </w:rPr>
              <w:t xml:space="preserve"> </w:t>
            </w:r>
            <w:r w:rsidR="000E6525" w:rsidRPr="001F40EE">
              <w:rPr>
                <w:rFonts w:ascii="Times New Roman" w:hAnsi="Times New Roman"/>
                <w:snapToGrid w:val="0"/>
                <w:sz w:val="20"/>
                <w:lang w:val="fr-FR"/>
              </w:rPr>
              <w:t>j</w:t>
            </w:r>
            <w:r w:rsidRPr="001F40EE">
              <w:rPr>
                <w:rFonts w:ascii="Times New Roman" w:hAnsi="Times New Roman"/>
                <w:snapToGrid w:val="0"/>
                <w:sz w:val="20"/>
                <w:lang w:val="fr-FR"/>
              </w:rPr>
              <w:t>ustice</w:t>
            </w:r>
          </w:p>
        </w:tc>
        <w:tc>
          <w:tcPr>
            <w:tcW w:w="1988" w:type="dxa"/>
            <w:tcBorders>
              <w:top w:val="single" w:sz="12" w:space="0" w:color="auto"/>
            </w:tcBorders>
            <w:shd w:val="clear" w:color="auto" w:fill="auto"/>
            <w:tcMar>
              <w:right w:w="0" w:type="dxa"/>
            </w:tcMar>
          </w:tcPr>
          <w:p w:rsidR="000B562B" w:rsidRPr="001F40EE" w:rsidRDefault="000E6525" w:rsidP="009A4B0F">
            <w:pPr>
              <w:pStyle w:val="Text"/>
              <w:spacing w:before="40" w:after="120" w:line="220" w:lineRule="exact"/>
              <w:rPr>
                <w:rFonts w:ascii="Times New Roman" w:hAnsi="Times New Roman"/>
                <w:snapToGrid w:val="0"/>
                <w:sz w:val="20"/>
                <w:lang w:val="fr-FR"/>
              </w:rPr>
            </w:pPr>
            <w:r w:rsidRPr="001F40EE">
              <w:rPr>
                <w:rFonts w:ascii="Times New Roman" w:hAnsi="Times New Roman"/>
                <w:snapToGrid w:val="0"/>
                <w:sz w:val="20"/>
                <w:lang w:val="fr-FR"/>
              </w:rPr>
              <w:t>Ministère des affaires étrangères et du Commonwealth</w:t>
            </w:r>
          </w:p>
        </w:tc>
      </w:tr>
      <w:tr w:rsidR="00434B45" w:rsidRPr="001F40EE" w:rsidTr="009A4B0F">
        <w:tblPrEx>
          <w:tblCellMar>
            <w:top w:w="0" w:type="dxa"/>
            <w:bottom w:w="0" w:type="dxa"/>
          </w:tblCellMar>
        </w:tblPrEx>
        <w:trPr>
          <w:cantSplit/>
          <w:trHeight w:val="240"/>
        </w:trPr>
        <w:tc>
          <w:tcPr>
            <w:tcW w:w="2324" w:type="dxa"/>
            <w:shd w:val="clear" w:color="auto" w:fill="auto"/>
          </w:tcPr>
          <w:p w:rsidR="000B562B" w:rsidRPr="001F40EE" w:rsidRDefault="00696DBF" w:rsidP="001F40EE">
            <w:pPr>
              <w:pStyle w:val="Text"/>
              <w:spacing w:before="40" w:after="120" w:line="220" w:lineRule="exact"/>
              <w:rPr>
                <w:rFonts w:ascii="Times New Roman" w:hAnsi="Times New Roman"/>
                <w:snapToGrid w:val="0"/>
                <w:sz w:val="20"/>
                <w:lang w:val="fr-FR"/>
              </w:rPr>
            </w:pPr>
            <w:r w:rsidRPr="001F40EE">
              <w:rPr>
                <w:rFonts w:ascii="Times New Roman" w:hAnsi="Times New Roman"/>
                <w:snapToGrid w:val="0"/>
                <w:sz w:val="20"/>
                <w:lang w:val="fr-FR"/>
              </w:rPr>
              <w:t>Pacte international relatif aux droits civils et politiques</w:t>
            </w:r>
          </w:p>
        </w:tc>
        <w:tc>
          <w:tcPr>
            <w:tcW w:w="1960" w:type="dxa"/>
            <w:shd w:val="clear" w:color="auto" w:fill="auto"/>
            <w:tcMar>
              <w:right w:w="0" w:type="dxa"/>
            </w:tcMar>
          </w:tcPr>
          <w:p w:rsidR="000B562B" w:rsidRPr="001F40EE" w:rsidRDefault="001D3A54" w:rsidP="009A4B0F">
            <w:pPr>
              <w:pStyle w:val="Text"/>
              <w:spacing w:before="40" w:after="120" w:line="220" w:lineRule="exact"/>
              <w:rPr>
                <w:rFonts w:ascii="Times New Roman" w:hAnsi="Times New Roman"/>
                <w:snapToGrid w:val="0"/>
                <w:sz w:val="20"/>
                <w:lang w:val="fr-FR"/>
              </w:rPr>
            </w:pPr>
            <w:r w:rsidRPr="001F40EE">
              <w:rPr>
                <w:rFonts w:ascii="Times New Roman" w:hAnsi="Times New Roman"/>
                <w:snapToGrid w:val="0"/>
                <w:sz w:val="20"/>
                <w:lang w:val="fr-FR"/>
              </w:rPr>
              <w:t>Ministère de la justice</w:t>
            </w:r>
          </w:p>
        </w:tc>
        <w:tc>
          <w:tcPr>
            <w:tcW w:w="2225" w:type="dxa"/>
            <w:shd w:val="clear" w:color="auto" w:fill="auto"/>
            <w:tcMar>
              <w:right w:w="0" w:type="dxa"/>
            </w:tcMar>
          </w:tcPr>
          <w:p w:rsidR="000B562B" w:rsidRPr="001F40EE" w:rsidRDefault="001D3A54" w:rsidP="009A4B0F">
            <w:pPr>
              <w:pStyle w:val="Text"/>
              <w:spacing w:before="40" w:after="120" w:line="220" w:lineRule="exact"/>
              <w:rPr>
                <w:rFonts w:ascii="Times New Roman" w:hAnsi="Times New Roman"/>
                <w:snapToGrid w:val="0"/>
                <w:sz w:val="20"/>
                <w:lang w:val="fr-FR"/>
              </w:rPr>
            </w:pPr>
            <w:r w:rsidRPr="001F40EE">
              <w:rPr>
                <w:rFonts w:ascii="Times New Roman" w:hAnsi="Times New Roman"/>
                <w:snapToGrid w:val="0"/>
                <w:sz w:val="20"/>
                <w:lang w:val="fr-FR"/>
              </w:rPr>
              <w:t>Ministère de la justice</w:t>
            </w:r>
          </w:p>
        </w:tc>
        <w:tc>
          <w:tcPr>
            <w:tcW w:w="1988" w:type="dxa"/>
            <w:shd w:val="clear" w:color="auto" w:fill="auto"/>
            <w:tcMar>
              <w:right w:w="0" w:type="dxa"/>
            </w:tcMar>
          </w:tcPr>
          <w:p w:rsidR="000B562B" w:rsidRPr="001F40EE" w:rsidRDefault="00E360E9" w:rsidP="009A4B0F">
            <w:pPr>
              <w:pStyle w:val="Text"/>
              <w:spacing w:before="40" w:after="120" w:line="220" w:lineRule="exact"/>
              <w:rPr>
                <w:rFonts w:ascii="Times New Roman" w:hAnsi="Times New Roman"/>
                <w:snapToGrid w:val="0"/>
                <w:sz w:val="20"/>
                <w:lang w:val="fr-FR"/>
              </w:rPr>
            </w:pPr>
            <w:r w:rsidRPr="001F40EE">
              <w:rPr>
                <w:rFonts w:ascii="Times New Roman" w:hAnsi="Times New Roman"/>
                <w:snapToGrid w:val="0"/>
                <w:sz w:val="20"/>
                <w:lang w:val="fr-FR"/>
              </w:rPr>
              <w:t>Ministère des affaires étrangères et du Commonwealth</w:t>
            </w:r>
          </w:p>
        </w:tc>
      </w:tr>
      <w:tr w:rsidR="00434B45" w:rsidRPr="001F40EE" w:rsidTr="009A4B0F">
        <w:tblPrEx>
          <w:tblCellMar>
            <w:top w:w="0" w:type="dxa"/>
            <w:bottom w:w="0" w:type="dxa"/>
          </w:tblCellMar>
        </w:tblPrEx>
        <w:trPr>
          <w:cantSplit/>
          <w:trHeight w:val="240"/>
        </w:trPr>
        <w:tc>
          <w:tcPr>
            <w:tcW w:w="2324" w:type="dxa"/>
            <w:shd w:val="clear" w:color="auto" w:fill="auto"/>
          </w:tcPr>
          <w:p w:rsidR="000B562B" w:rsidRPr="001F40EE" w:rsidRDefault="00E360E9" w:rsidP="001F40EE">
            <w:pPr>
              <w:pStyle w:val="Text"/>
              <w:spacing w:before="40" w:after="120" w:line="220" w:lineRule="exact"/>
              <w:rPr>
                <w:rFonts w:ascii="Times New Roman" w:hAnsi="Times New Roman"/>
                <w:snapToGrid w:val="0"/>
                <w:sz w:val="20"/>
                <w:lang w:val="fr-FR"/>
              </w:rPr>
            </w:pPr>
            <w:r w:rsidRPr="001F40EE">
              <w:rPr>
                <w:rFonts w:ascii="Times New Roman" w:hAnsi="Times New Roman"/>
                <w:snapToGrid w:val="0"/>
                <w:sz w:val="20"/>
                <w:lang w:val="fr-FR"/>
              </w:rPr>
              <w:t>Pacte international relatif aux droits économiques, sociaux et culturels</w:t>
            </w:r>
          </w:p>
        </w:tc>
        <w:tc>
          <w:tcPr>
            <w:tcW w:w="1960" w:type="dxa"/>
            <w:shd w:val="clear" w:color="auto" w:fill="auto"/>
            <w:tcMar>
              <w:right w:w="0" w:type="dxa"/>
            </w:tcMar>
          </w:tcPr>
          <w:p w:rsidR="000B562B" w:rsidRPr="001F40EE" w:rsidRDefault="001D3A54" w:rsidP="009A4B0F">
            <w:pPr>
              <w:pStyle w:val="Text"/>
              <w:spacing w:before="40" w:after="120" w:line="220" w:lineRule="exact"/>
              <w:rPr>
                <w:rFonts w:ascii="Times New Roman" w:hAnsi="Times New Roman"/>
                <w:snapToGrid w:val="0"/>
                <w:sz w:val="20"/>
                <w:lang w:val="fr-FR"/>
              </w:rPr>
            </w:pPr>
            <w:r w:rsidRPr="001F40EE">
              <w:rPr>
                <w:rFonts w:ascii="Times New Roman" w:hAnsi="Times New Roman"/>
                <w:snapToGrid w:val="0"/>
                <w:sz w:val="20"/>
                <w:lang w:val="fr-FR"/>
              </w:rPr>
              <w:t>Ministère de la justice</w:t>
            </w:r>
          </w:p>
        </w:tc>
        <w:tc>
          <w:tcPr>
            <w:tcW w:w="2225" w:type="dxa"/>
            <w:shd w:val="clear" w:color="auto" w:fill="auto"/>
            <w:tcMar>
              <w:right w:w="0" w:type="dxa"/>
            </w:tcMar>
          </w:tcPr>
          <w:p w:rsidR="000B562B" w:rsidRPr="001F40EE" w:rsidRDefault="001D3A54" w:rsidP="009A4B0F">
            <w:pPr>
              <w:pStyle w:val="Text"/>
              <w:spacing w:before="40" w:after="120" w:line="220" w:lineRule="exact"/>
              <w:rPr>
                <w:rFonts w:ascii="Times New Roman" w:hAnsi="Times New Roman"/>
                <w:snapToGrid w:val="0"/>
                <w:sz w:val="20"/>
                <w:lang w:val="fr-FR"/>
              </w:rPr>
            </w:pPr>
            <w:r w:rsidRPr="001F40EE">
              <w:rPr>
                <w:rFonts w:ascii="Times New Roman" w:hAnsi="Times New Roman"/>
                <w:snapToGrid w:val="0"/>
                <w:sz w:val="20"/>
                <w:lang w:val="fr-FR"/>
              </w:rPr>
              <w:t>Ministère de la justice</w:t>
            </w:r>
          </w:p>
        </w:tc>
        <w:tc>
          <w:tcPr>
            <w:tcW w:w="1988" w:type="dxa"/>
            <w:shd w:val="clear" w:color="auto" w:fill="auto"/>
            <w:tcMar>
              <w:right w:w="0" w:type="dxa"/>
            </w:tcMar>
          </w:tcPr>
          <w:p w:rsidR="000B562B" w:rsidRPr="001F40EE" w:rsidRDefault="00E360E9" w:rsidP="009A4B0F">
            <w:pPr>
              <w:pStyle w:val="Text"/>
              <w:spacing w:before="40" w:after="120" w:line="220" w:lineRule="exact"/>
              <w:rPr>
                <w:rFonts w:ascii="Times New Roman" w:hAnsi="Times New Roman"/>
                <w:snapToGrid w:val="0"/>
                <w:sz w:val="20"/>
                <w:lang w:val="fr-FR"/>
              </w:rPr>
            </w:pPr>
            <w:r w:rsidRPr="001F40EE">
              <w:rPr>
                <w:rFonts w:ascii="Times New Roman" w:hAnsi="Times New Roman"/>
                <w:snapToGrid w:val="0"/>
                <w:sz w:val="20"/>
                <w:lang w:val="fr-FR"/>
              </w:rPr>
              <w:t>Ministère des affaires étrangères et du Commonwealth</w:t>
            </w:r>
          </w:p>
        </w:tc>
      </w:tr>
      <w:tr w:rsidR="00434B45" w:rsidRPr="001F40EE" w:rsidTr="009A4B0F">
        <w:tblPrEx>
          <w:tblCellMar>
            <w:top w:w="0" w:type="dxa"/>
            <w:bottom w:w="0" w:type="dxa"/>
          </w:tblCellMar>
        </w:tblPrEx>
        <w:trPr>
          <w:cantSplit/>
          <w:trHeight w:val="240"/>
        </w:trPr>
        <w:tc>
          <w:tcPr>
            <w:tcW w:w="2324" w:type="dxa"/>
            <w:shd w:val="clear" w:color="auto" w:fill="auto"/>
          </w:tcPr>
          <w:p w:rsidR="000B562B" w:rsidRPr="001F40EE" w:rsidRDefault="00E360E9" w:rsidP="001F40EE">
            <w:pPr>
              <w:pStyle w:val="Text"/>
              <w:spacing w:before="40" w:after="120" w:line="220" w:lineRule="exact"/>
              <w:rPr>
                <w:rFonts w:ascii="Times New Roman" w:hAnsi="Times New Roman"/>
                <w:snapToGrid w:val="0"/>
                <w:sz w:val="20"/>
                <w:lang w:val="fr-FR"/>
              </w:rPr>
            </w:pPr>
            <w:r w:rsidRPr="001F40EE">
              <w:rPr>
                <w:rFonts w:ascii="Times New Roman" w:hAnsi="Times New Roman"/>
                <w:snapToGrid w:val="0"/>
                <w:sz w:val="20"/>
                <w:lang w:val="fr-FR"/>
              </w:rPr>
              <w:t>Convention sur l’élimination de toutes les formes de discrimination à l’égard des femmes</w:t>
            </w:r>
          </w:p>
        </w:tc>
        <w:tc>
          <w:tcPr>
            <w:tcW w:w="1960" w:type="dxa"/>
            <w:shd w:val="clear" w:color="auto" w:fill="auto"/>
            <w:tcMar>
              <w:right w:w="0" w:type="dxa"/>
            </w:tcMar>
          </w:tcPr>
          <w:p w:rsidR="000B562B" w:rsidRPr="001F40EE" w:rsidRDefault="00E360E9" w:rsidP="009A4B0F">
            <w:pPr>
              <w:pStyle w:val="Text"/>
              <w:spacing w:before="40" w:after="120" w:line="220" w:lineRule="exact"/>
              <w:rPr>
                <w:rFonts w:ascii="Times New Roman" w:hAnsi="Times New Roman"/>
                <w:snapToGrid w:val="0"/>
                <w:sz w:val="20"/>
                <w:lang w:val="fr-FR"/>
              </w:rPr>
            </w:pPr>
            <w:r w:rsidRPr="001F40EE">
              <w:rPr>
                <w:rFonts w:ascii="Times New Roman" w:hAnsi="Times New Roman"/>
                <w:snapToGrid w:val="0"/>
                <w:sz w:val="20"/>
                <w:lang w:val="fr-FR"/>
              </w:rPr>
              <w:t xml:space="preserve">Office </w:t>
            </w:r>
            <w:r w:rsidR="002E5F38" w:rsidRPr="001F40EE">
              <w:rPr>
                <w:rFonts w:ascii="Times New Roman" w:hAnsi="Times New Roman"/>
                <w:snapToGrid w:val="0"/>
                <w:sz w:val="20"/>
                <w:lang w:val="fr-FR"/>
              </w:rPr>
              <w:t>public</w:t>
            </w:r>
            <w:r w:rsidRPr="001F40EE">
              <w:rPr>
                <w:rFonts w:ascii="Times New Roman" w:hAnsi="Times New Roman"/>
                <w:snapToGrid w:val="0"/>
                <w:sz w:val="20"/>
                <w:lang w:val="fr-FR"/>
              </w:rPr>
              <w:t xml:space="preserve"> </w:t>
            </w:r>
            <w:r w:rsidR="001F40EE">
              <w:rPr>
                <w:rFonts w:ascii="Times New Roman" w:hAnsi="Times New Roman"/>
                <w:snapToGrid w:val="0"/>
                <w:sz w:val="20"/>
                <w:lang w:val="fr-FR"/>
              </w:rPr>
              <w:br/>
            </w:r>
            <w:r w:rsidRPr="001F40EE">
              <w:rPr>
                <w:rFonts w:ascii="Times New Roman" w:hAnsi="Times New Roman"/>
                <w:snapToGrid w:val="0"/>
                <w:sz w:val="20"/>
                <w:lang w:val="fr-FR"/>
              </w:rPr>
              <w:t>pour l’égalité</w:t>
            </w:r>
            <w:r w:rsidR="000B562B" w:rsidRPr="001F40EE">
              <w:rPr>
                <w:rFonts w:ascii="Times New Roman" w:hAnsi="Times New Roman"/>
                <w:snapToGrid w:val="0"/>
                <w:sz w:val="20"/>
                <w:lang w:val="fr-FR"/>
              </w:rPr>
              <w:t xml:space="preserve"> </w:t>
            </w:r>
          </w:p>
        </w:tc>
        <w:tc>
          <w:tcPr>
            <w:tcW w:w="2225" w:type="dxa"/>
            <w:shd w:val="clear" w:color="auto" w:fill="auto"/>
            <w:tcMar>
              <w:right w:w="0" w:type="dxa"/>
            </w:tcMar>
          </w:tcPr>
          <w:p w:rsidR="000B562B" w:rsidRPr="001F40EE" w:rsidRDefault="001D3A54" w:rsidP="009A4B0F">
            <w:pPr>
              <w:pStyle w:val="Text"/>
              <w:spacing w:before="40" w:after="120" w:line="220" w:lineRule="exact"/>
              <w:rPr>
                <w:rFonts w:ascii="Times New Roman" w:hAnsi="Times New Roman"/>
                <w:snapToGrid w:val="0"/>
                <w:sz w:val="20"/>
                <w:lang w:val="fr-FR"/>
              </w:rPr>
            </w:pPr>
            <w:r w:rsidRPr="001F40EE">
              <w:rPr>
                <w:rFonts w:ascii="Times New Roman" w:hAnsi="Times New Roman"/>
                <w:snapToGrid w:val="0"/>
                <w:sz w:val="20"/>
                <w:lang w:val="fr-FR"/>
              </w:rPr>
              <w:t>Ministère de la justice</w:t>
            </w:r>
          </w:p>
        </w:tc>
        <w:tc>
          <w:tcPr>
            <w:tcW w:w="1988" w:type="dxa"/>
            <w:shd w:val="clear" w:color="auto" w:fill="auto"/>
            <w:tcMar>
              <w:right w:w="0" w:type="dxa"/>
            </w:tcMar>
          </w:tcPr>
          <w:p w:rsidR="000B562B" w:rsidRPr="001F40EE" w:rsidRDefault="00E360E9" w:rsidP="009A4B0F">
            <w:pPr>
              <w:pStyle w:val="Text"/>
              <w:spacing w:before="40" w:after="120" w:line="220" w:lineRule="exact"/>
              <w:rPr>
                <w:rFonts w:ascii="Times New Roman" w:hAnsi="Times New Roman"/>
                <w:snapToGrid w:val="0"/>
                <w:sz w:val="20"/>
                <w:lang w:val="fr-FR"/>
              </w:rPr>
            </w:pPr>
            <w:r w:rsidRPr="001F40EE">
              <w:rPr>
                <w:rFonts w:ascii="Times New Roman" w:hAnsi="Times New Roman"/>
                <w:snapToGrid w:val="0"/>
                <w:sz w:val="20"/>
                <w:lang w:val="fr-FR"/>
              </w:rPr>
              <w:t>Ministère des affaires étrangères et du Commonwealth</w:t>
            </w:r>
          </w:p>
        </w:tc>
      </w:tr>
      <w:tr w:rsidR="00434B45" w:rsidRPr="001F40EE" w:rsidTr="009A4B0F">
        <w:tblPrEx>
          <w:tblCellMar>
            <w:top w:w="0" w:type="dxa"/>
            <w:bottom w:w="0" w:type="dxa"/>
          </w:tblCellMar>
        </w:tblPrEx>
        <w:trPr>
          <w:cantSplit/>
          <w:trHeight w:val="240"/>
        </w:trPr>
        <w:tc>
          <w:tcPr>
            <w:tcW w:w="2324" w:type="dxa"/>
            <w:shd w:val="clear" w:color="auto" w:fill="auto"/>
          </w:tcPr>
          <w:p w:rsidR="000B562B" w:rsidRPr="001F40EE" w:rsidRDefault="00E360E9" w:rsidP="001F40EE">
            <w:pPr>
              <w:pStyle w:val="Text"/>
              <w:spacing w:before="40" w:after="120" w:line="220" w:lineRule="exact"/>
              <w:rPr>
                <w:rFonts w:ascii="Times New Roman" w:hAnsi="Times New Roman"/>
                <w:snapToGrid w:val="0"/>
                <w:sz w:val="20"/>
                <w:lang w:val="fr-FR"/>
              </w:rPr>
            </w:pPr>
            <w:r w:rsidRPr="001F40EE">
              <w:rPr>
                <w:rFonts w:ascii="Times New Roman" w:hAnsi="Times New Roman"/>
                <w:snapToGrid w:val="0"/>
                <w:sz w:val="20"/>
                <w:lang w:val="fr-FR"/>
              </w:rPr>
              <w:t>Convention contre la torture</w:t>
            </w:r>
          </w:p>
        </w:tc>
        <w:tc>
          <w:tcPr>
            <w:tcW w:w="1960" w:type="dxa"/>
            <w:shd w:val="clear" w:color="auto" w:fill="auto"/>
            <w:tcMar>
              <w:right w:w="0" w:type="dxa"/>
            </w:tcMar>
          </w:tcPr>
          <w:p w:rsidR="000B562B" w:rsidRPr="001F40EE" w:rsidRDefault="001D3A54" w:rsidP="009A4B0F">
            <w:pPr>
              <w:pStyle w:val="Text"/>
              <w:spacing w:before="40" w:after="120" w:line="220" w:lineRule="exact"/>
              <w:rPr>
                <w:rFonts w:ascii="Times New Roman" w:hAnsi="Times New Roman"/>
                <w:snapToGrid w:val="0"/>
                <w:sz w:val="20"/>
                <w:lang w:val="fr-FR"/>
              </w:rPr>
            </w:pPr>
            <w:r w:rsidRPr="001F40EE">
              <w:rPr>
                <w:rFonts w:ascii="Times New Roman" w:hAnsi="Times New Roman"/>
                <w:snapToGrid w:val="0"/>
                <w:sz w:val="20"/>
                <w:lang w:val="fr-FR"/>
              </w:rPr>
              <w:t>Ministère de la justice</w:t>
            </w:r>
          </w:p>
        </w:tc>
        <w:tc>
          <w:tcPr>
            <w:tcW w:w="2225" w:type="dxa"/>
            <w:shd w:val="clear" w:color="auto" w:fill="auto"/>
            <w:tcMar>
              <w:right w:w="0" w:type="dxa"/>
            </w:tcMar>
          </w:tcPr>
          <w:p w:rsidR="000B562B" w:rsidRPr="001F40EE" w:rsidRDefault="001D3A54" w:rsidP="009A4B0F">
            <w:pPr>
              <w:pStyle w:val="Text"/>
              <w:spacing w:before="40" w:after="120" w:line="220" w:lineRule="exact"/>
              <w:rPr>
                <w:rFonts w:ascii="Times New Roman" w:hAnsi="Times New Roman"/>
                <w:snapToGrid w:val="0"/>
                <w:sz w:val="20"/>
                <w:lang w:val="fr-FR"/>
              </w:rPr>
            </w:pPr>
            <w:r w:rsidRPr="001F40EE">
              <w:rPr>
                <w:rFonts w:ascii="Times New Roman" w:hAnsi="Times New Roman"/>
                <w:snapToGrid w:val="0"/>
                <w:sz w:val="20"/>
                <w:lang w:val="fr-FR"/>
              </w:rPr>
              <w:t>Ministère de la justice</w:t>
            </w:r>
          </w:p>
        </w:tc>
        <w:tc>
          <w:tcPr>
            <w:tcW w:w="1988" w:type="dxa"/>
            <w:shd w:val="clear" w:color="auto" w:fill="auto"/>
            <w:tcMar>
              <w:right w:w="0" w:type="dxa"/>
            </w:tcMar>
          </w:tcPr>
          <w:p w:rsidR="000B562B" w:rsidRPr="001F40EE" w:rsidRDefault="00E360E9" w:rsidP="009A4B0F">
            <w:pPr>
              <w:pStyle w:val="Text"/>
              <w:spacing w:before="40" w:after="120" w:line="220" w:lineRule="exact"/>
              <w:rPr>
                <w:rFonts w:ascii="Times New Roman" w:hAnsi="Times New Roman"/>
                <w:snapToGrid w:val="0"/>
                <w:sz w:val="20"/>
                <w:lang w:val="fr-FR"/>
              </w:rPr>
            </w:pPr>
            <w:r w:rsidRPr="001F40EE">
              <w:rPr>
                <w:rFonts w:ascii="Times New Roman" w:hAnsi="Times New Roman"/>
                <w:snapToGrid w:val="0"/>
                <w:sz w:val="20"/>
                <w:lang w:val="fr-FR"/>
              </w:rPr>
              <w:t>Ministère des affaires étrangères et du Commonwealth</w:t>
            </w:r>
          </w:p>
        </w:tc>
      </w:tr>
      <w:tr w:rsidR="00434B45" w:rsidRPr="001F40EE" w:rsidTr="009A4B0F">
        <w:tblPrEx>
          <w:tblCellMar>
            <w:top w:w="0" w:type="dxa"/>
            <w:bottom w:w="0" w:type="dxa"/>
          </w:tblCellMar>
        </w:tblPrEx>
        <w:trPr>
          <w:cantSplit/>
          <w:trHeight w:val="240"/>
        </w:trPr>
        <w:tc>
          <w:tcPr>
            <w:tcW w:w="2324" w:type="dxa"/>
            <w:shd w:val="clear" w:color="auto" w:fill="auto"/>
          </w:tcPr>
          <w:p w:rsidR="000B562B" w:rsidRPr="001F40EE" w:rsidRDefault="00E360E9" w:rsidP="001F40EE">
            <w:pPr>
              <w:pStyle w:val="Text"/>
              <w:spacing w:before="40" w:after="120" w:line="220" w:lineRule="exact"/>
              <w:rPr>
                <w:rFonts w:ascii="Times New Roman" w:hAnsi="Times New Roman"/>
                <w:snapToGrid w:val="0"/>
                <w:sz w:val="20"/>
                <w:lang w:val="fr-FR"/>
              </w:rPr>
            </w:pPr>
            <w:r w:rsidRPr="001F40EE">
              <w:rPr>
                <w:rFonts w:ascii="Times New Roman" w:hAnsi="Times New Roman"/>
                <w:snapToGrid w:val="0"/>
                <w:sz w:val="20"/>
                <w:lang w:val="fr-FR"/>
              </w:rPr>
              <w:t>Convention relative aux droits de l’enfant</w:t>
            </w:r>
          </w:p>
        </w:tc>
        <w:tc>
          <w:tcPr>
            <w:tcW w:w="1960" w:type="dxa"/>
            <w:shd w:val="clear" w:color="auto" w:fill="auto"/>
            <w:tcMar>
              <w:right w:w="0" w:type="dxa"/>
            </w:tcMar>
          </w:tcPr>
          <w:p w:rsidR="000B562B" w:rsidRPr="001F40EE" w:rsidRDefault="00E360E9" w:rsidP="009A4B0F">
            <w:pPr>
              <w:pStyle w:val="Text"/>
              <w:spacing w:before="40" w:after="120" w:line="220" w:lineRule="exact"/>
              <w:rPr>
                <w:rFonts w:ascii="Times New Roman" w:hAnsi="Times New Roman"/>
                <w:snapToGrid w:val="0"/>
                <w:sz w:val="20"/>
                <w:lang w:val="fr-FR"/>
              </w:rPr>
            </w:pPr>
            <w:r w:rsidRPr="001F40EE">
              <w:rPr>
                <w:rFonts w:ascii="Times New Roman" w:hAnsi="Times New Roman"/>
                <w:snapToGrid w:val="0"/>
                <w:sz w:val="20"/>
                <w:lang w:val="fr-FR"/>
              </w:rPr>
              <w:t>Ministère de l’éducation</w:t>
            </w:r>
          </w:p>
        </w:tc>
        <w:tc>
          <w:tcPr>
            <w:tcW w:w="2225" w:type="dxa"/>
            <w:shd w:val="clear" w:color="auto" w:fill="auto"/>
            <w:tcMar>
              <w:right w:w="0" w:type="dxa"/>
            </w:tcMar>
          </w:tcPr>
          <w:p w:rsidR="000B562B" w:rsidRPr="001F40EE" w:rsidRDefault="001D3A54" w:rsidP="009A4B0F">
            <w:pPr>
              <w:pStyle w:val="Text"/>
              <w:spacing w:before="40" w:after="120" w:line="220" w:lineRule="exact"/>
              <w:rPr>
                <w:rFonts w:ascii="Times New Roman" w:hAnsi="Times New Roman"/>
                <w:snapToGrid w:val="0"/>
                <w:sz w:val="20"/>
                <w:lang w:val="fr-FR"/>
              </w:rPr>
            </w:pPr>
            <w:r w:rsidRPr="001F40EE">
              <w:rPr>
                <w:rFonts w:ascii="Times New Roman" w:hAnsi="Times New Roman"/>
                <w:snapToGrid w:val="0"/>
                <w:sz w:val="20"/>
                <w:lang w:val="fr-FR"/>
              </w:rPr>
              <w:t>Ministère de la justice</w:t>
            </w:r>
          </w:p>
        </w:tc>
        <w:tc>
          <w:tcPr>
            <w:tcW w:w="1988" w:type="dxa"/>
            <w:shd w:val="clear" w:color="auto" w:fill="auto"/>
            <w:tcMar>
              <w:right w:w="0" w:type="dxa"/>
            </w:tcMar>
          </w:tcPr>
          <w:p w:rsidR="000B562B" w:rsidRPr="001F40EE" w:rsidRDefault="00E360E9" w:rsidP="009A4B0F">
            <w:pPr>
              <w:pStyle w:val="Text"/>
              <w:spacing w:before="40" w:after="120" w:line="220" w:lineRule="exact"/>
              <w:rPr>
                <w:rFonts w:ascii="Times New Roman" w:hAnsi="Times New Roman"/>
                <w:snapToGrid w:val="0"/>
                <w:sz w:val="20"/>
                <w:lang w:val="fr-FR"/>
              </w:rPr>
            </w:pPr>
            <w:r w:rsidRPr="001F40EE">
              <w:rPr>
                <w:rFonts w:ascii="Times New Roman" w:hAnsi="Times New Roman"/>
                <w:snapToGrid w:val="0"/>
                <w:sz w:val="20"/>
                <w:lang w:val="fr-FR"/>
              </w:rPr>
              <w:t>Ministère des affaires étrangères et du Commonwealth</w:t>
            </w:r>
          </w:p>
        </w:tc>
      </w:tr>
      <w:tr w:rsidR="00434B45" w:rsidRPr="001F40EE" w:rsidTr="009A4B0F">
        <w:tblPrEx>
          <w:tblCellMar>
            <w:top w:w="0" w:type="dxa"/>
            <w:bottom w:w="0" w:type="dxa"/>
          </w:tblCellMar>
        </w:tblPrEx>
        <w:trPr>
          <w:cantSplit/>
          <w:trHeight w:val="240"/>
        </w:trPr>
        <w:tc>
          <w:tcPr>
            <w:tcW w:w="2324" w:type="dxa"/>
            <w:shd w:val="clear" w:color="auto" w:fill="auto"/>
          </w:tcPr>
          <w:p w:rsidR="000B562B" w:rsidRPr="001F40EE" w:rsidRDefault="00930A44" w:rsidP="001F40EE">
            <w:pPr>
              <w:pStyle w:val="Text"/>
              <w:spacing w:before="40" w:after="120" w:line="220" w:lineRule="exact"/>
              <w:rPr>
                <w:rFonts w:ascii="Times New Roman" w:hAnsi="Times New Roman"/>
                <w:snapToGrid w:val="0"/>
                <w:sz w:val="20"/>
                <w:lang w:val="fr-FR"/>
              </w:rPr>
            </w:pPr>
            <w:r w:rsidRPr="001F40EE">
              <w:rPr>
                <w:rFonts w:ascii="Times New Roman" w:hAnsi="Times New Roman"/>
                <w:snapToGrid w:val="0"/>
                <w:sz w:val="20"/>
                <w:lang w:val="fr-FR"/>
              </w:rPr>
              <w:t>Convention relative aux droits des personnes handicapées</w:t>
            </w:r>
          </w:p>
        </w:tc>
        <w:tc>
          <w:tcPr>
            <w:tcW w:w="1960" w:type="dxa"/>
            <w:shd w:val="clear" w:color="auto" w:fill="auto"/>
            <w:tcMar>
              <w:right w:w="0" w:type="dxa"/>
            </w:tcMar>
          </w:tcPr>
          <w:p w:rsidR="000B562B" w:rsidRPr="001F40EE" w:rsidRDefault="00930A44" w:rsidP="009A4B0F">
            <w:pPr>
              <w:pStyle w:val="Text"/>
              <w:spacing w:before="40" w:after="120" w:line="220" w:lineRule="exact"/>
              <w:rPr>
                <w:rFonts w:ascii="Times New Roman" w:hAnsi="Times New Roman"/>
                <w:snapToGrid w:val="0"/>
                <w:sz w:val="20"/>
                <w:lang w:val="fr-FR"/>
              </w:rPr>
            </w:pPr>
            <w:r w:rsidRPr="001F40EE">
              <w:rPr>
                <w:rFonts w:ascii="Times New Roman" w:hAnsi="Times New Roman"/>
                <w:snapToGrid w:val="0"/>
                <w:sz w:val="20"/>
                <w:lang w:val="fr-FR"/>
              </w:rPr>
              <w:t xml:space="preserve">Ministère du travail </w:t>
            </w:r>
            <w:r w:rsidR="00731EB3" w:rsidRPr="001F40EE">
              <w:rPr>
                <w:rFonts w:ascii="Times New Roman" w:hAnsi="Times New Roman"/>
                <w:snapToGrid w:val="0"/>
                <w:sz w:val="20"/>
                <w:lang w:val="fr-FR"/>
              </w:rPr>
              <w:br/>
            </w:r>
            <w:r w:rsidRPr="001F40EE">
              <w:rPr>
                <w:rFonts w:ascii="Times New Roman" w:hAnsi="Times New Roman"/>
                <w:snapToGrid w:val="0"/>
                <w:sz w:val="20"/>
                <w:lang w:val="fr-FR"/>
              </w:rPr>
              <w:t>et des</w:t>
            </w:r>
            <w:r w:rsidR="000B562B" w:rsidRPr="001F40EE">
              <w:rPr>
                <w:rFonts w:ascii="Times New Roman" w:hAnsi="Times New Roman"/>
                <w:snapToGrid w:val="0"/>
                <w:sz w:val="20"/>
                <w:lang w:val="fr-FR"/>
              </w:rPr>
              <w:t xml:space="preserve"> </w:t>
            </w:r>
            <w:r w:rsidRPr="001F40EE">
              <w:rPr>
                <w:rFonts w:ascii="Times New Roman" w:hAnsi="Times New Roman"/>
                <w:snapToGrid w:val="0"/>
                <w:sz w:val="20"/>
                <w:lang w:val="fr-FR"/>
              </w:rPr>
              <w:t>p</w:t>
            </w:r>
            <w:r w:rsidR="000B562B" w:rsidRPr="001F40EE">
              <w:rPr>
                <w:rFonts w:ascii="Times New Roman" w:hAnsi="Times New Roman"/>
                <w:snapToGrid w:val="0"/>
                <w:sz w:val="20"/>
                <w:lang w:val="fr-FR"/>
              </w:rPr>
              <w:t>ensions</w:t>
            </w:r>
          </w:p>
        </w:tc>
        <w:tc>
          <w:tcPr>
            <w:tcW w:w="2225" w:type="dxa"/>
            <w:shd w:val="clear" w:color="auto" w:fill="auto"/>
            <w:tcMar>
              <w:right w:w="0" w:type="dxa"/>
            </w:tcMar>
          </w:tcPr>
          <w:p w:rsidR="000B562B" w:rsidRPr="001F40EE" w:rsidRDefault="001D3A54" w:rsidP="009A4B0F">
            <w:pPr>
              <w:pStyle w:val="Text"/>
              <w:spacing w:before="40" w:after="120" w:line="220" w:lineRule="exact"/>
              <w:rPr>
                <w:rFonts w:ascii="Times New Roman" w:hAnsi="Times New Roman"/>
                <w:snapToGrid w:val="0"/>
                <w:sz w:val="20"/>
                <w:lang w:val="fr-FR"/>
              </w:rPr>
            </w:pPr>
            <w:r w:rsidRPr="001F40EE">
              <w:rPr>
                <w:rFonts w:ascii="Times New Roman" w:hAnsi="Times New Roman"/>
                <w:snapToGrid w:val="0"/>
                <w:sz w:val="20"/>
                <w:lang w:val="fr-FR"/>
              </w:rPr>
              <w:t>Ministère de la justice</w:t>
            </w:r>
          </w:p>
        </w:tc>
        <w:tc>
          <w:tcPr>
            <w:tcW w:w="1988" w:type="dxa"/>
            <w:shd w:val="clear" w:color="auto" w:fill="auto"/>
            <w:tcMar>
              <w:right w:w="0" w:type="dxa"/>
            </w:tcMar>
          </w:tcPr>
          <w:p w:rsidR="000B562B" w:rsidRPr="001F40EE" w:rsidRDefault="00E360E9" w:rsidP="009A4B0F">
            <w:pPr>
              <w:pStyle w:val="Text"/>
              <w:spacing w:before="40" w:after="120" w:line="220" w:lineRule="exact"/>
              <w:rPr>
                <w:rFonts w:ascii="Times New Roman" w:hAnsi="Times New Roman"/>
                <w:snapToGrid w:val="0"/>
                <w:sz w:val="20"/>
                <w:lang w:val="fr-FR"/>
              </w:rPr>
            </w:pPr>
            <w:r w:rsidRPr="001F40EE">
              <w:rPr>
                <w:rFonts w:ascii="Times New Roman" w:hAnsi="Times New Roman"/>
                <w:snapToGrid w:val="0"/>
                <w:sz w:val="20"/>
                <w:lang w:val="fr-FR"/>
              </w:rPr>
              <w:t>Ministère des affaires étrangères et du Commonwealth</w:t>
            </w:r>
          </w:p>
        </w:tc>
      </w:tr>
      <w:tr w:rsidR="00434B45" w:rsidRPr="001F40EE" w:rsidTr="009A4B0F">
        <w:tblPrEx>
          <w:tblCellMar>
            <w:top w:w="0" w:type="dxa"/>
            <w:bottom w:w="0" w:type="dxa"/>
          </w:tblCellMar>
        </w:tblPrEx>
        <w:trPr>
          <w:cantSplit/>
          <w:trHeight w:val="240"/>
        </w:trPr>
        <w:tc>
          <w:tcPr>
            <w:tcW w:w="2324" w:type="dxa"/>
            <w:tcBorders>
              <w:bottom w:val="single" w:sz="12" w:space="0" w:color="auto"/>
            </w:tcBorders>
            <w:shd w:val="clear" w:color="auto" w:fill="auto"/>
          </w:tcPr>
          <w:p w:rsidR="000B562B" w:rsidRPr="001F40EE" w:rsidRDefault="00930A44" w:rsidP="001F40EE">
            <w:pPr>
              <w:pStyle w:val="Text"/>
              <w:spacing w:before="40" w:after="120" w:line="220" w:lineRule="exact"/>
              <w:rPr>
                <w:rFonts w:ascii="Times New Roman" w:hAnsi="Times New Roman"/>
                <w:snapToGrid w:val="0"/>
                <w:sz w:val="20"/>
                <w:lang w:val="fr-FR"/>
              </w:rPr>
            </w:pPr>
            <w:r w:rsidRPr="001F40EE">
              <w:rPr>
                <w:rFonts w:ascii="Times New Roman" w:hAnsi="Times New Roman"/>
                <w:snapToGrid w:val="0"/>
                <w:sz w:val="20"/>
                <w:lang w:val="fr-FR"/>
              </w:rPr>
              <w:t>Examen périodique universel</w:t>
            </w:r>
          </w:p>
        </w:tc>
        <w:tc>
          <w:tcPr>
            <w:tcW w:w="1960" w:type="dxa"/>
            <w:tcBorders>
              <w:bottom w:val="single" w:sz="12" w:space="0" w:color="auto"/>
            </w:tcBorders>
            <w:shd w:val="clear" w:color="auto" w:fill="auto"/>
            <w:tcMar>
              <w:right w:w="0" w:type="dxa"/>
            </w:tcMar>
          </w:tcPr>
          <w:p w:rsidR="000B562B" w:rsidRPr="001F40EE" w:rsidRDefault="001D3A54" w:rsidP="009A4B0F">
            <w:pPr>
              <w:pStyle w:val="Text"/>
              <w:spacing w:before="40" w:after="120" w:line="220" w:lineRule="exact"/>
              <w:rPr>
                <w:rFonts w:ascii="Times New Roman" w:hAnsi="Times New Roman"/>
                <w:snapToGrid w:val="0"/>
                <w:sz w:val="20"/>
                <w:lang w:val="fr-FR"/>
              </w:rPr>
            </w:pPr>
            <w:r w:rsidRPr="001F40EE">
              <w:rPr>
                <w:rFonts w:ascii="Times New Roman" w:hAnsi="Times New Roman"/>
                <w:snapToGrid w:val="0"/>
                <w:sz w:val="20"/>
                <w:lang w:val="fr-FR"/>
              </w:rPr>
              <w:t>Ministère de la justice</w:t>
            </w:r>
          </w:p>
        </w:tc>
        <w:tc>
          <w:tcPr>
            <w:tcW w:w="2225" w:type="dxa"/>
            <w:tcBorders>
              <w:bottom w:val="single" w:sz="12" w:space="0" w:color="auto"/>
            </w:tcBorders>
            <w:shd w:val="clear" w:color="auto" w:fill="auto"/>
            <w:tcMar>
              <w:right w:w="0" w:type="dxa"/>
            </w:tcMar>
          </w:tcPr>
          <w:p w:rsidR="000B562B" w:rsidRPr="001F40EE" w:rsidRDefault="001D3A54" w:rsidP="009A4B0F">
            <w:pPr>
              <w:pStyle w:val="Text"/>
              <w:spacing w:before="40" w:after="120" w:line="220" w:lineRule="exact"/>
              <w:rPr>
                <w:rFonts w:ascii="Times New Roman" w:hAnsi="Times New Roman"/>
                <w:snapToGrid w:val="0"/>
                <w:sz w:val="20"/>
                <w:lang w:val="fr-FR"/>
              </w:rPr>
            </w:pPr>
            <w:r w:rsidRPr="001F40EE">
              <w:rPr>
                <w:rFonts w:ascii="Times New Roman" w:hAnsi="Times New Roman"/>
                <w:snapToGrid w:val="0"/>
                <w:sz w:val="20"/>
                <w:lang w:val="fr-FR"/>
              </w:rPr>
              <w:t>Ministère de la justice</w:t>
            </w:r>
          </w:p>
        </w:tc>
        <w:tc>
          <w:tcPr>
            <w:tcW w:w="1988" w:type="dxa"/>
            <w:tcBorders>
              <w:bottom w:val="single" w:sz="12" w:space="0" w:color="auto"/>
            </w:tcBorders>
            <w:shd w:val="clear" w:color="auto" w:fill="auto"/>
            <w:tcMar>
              <w:right w:w="0" w:type="dxa"/>
            </w:tcMar>
          </w:tcPr>
          <w:p w:rsidR="000B562B" w:rsidRPr="001F40EE" w:rsidRDefault="00E360E9" w:rsidP="009A4B0F">
            <w:pPr>
              <w:pStyle w:val="Text"/>
              <w:spacing w:before="40" w:after="120" w:line="220" w:lineRule="exact"/>
              <w:rPr>
                <w:rFonts w:ascii="Times New Roman" w:hAnsi="Times New Roman"/>
                <w:snapToGrid w:val="0"/>
                <w:sz w:val="20"/>
                <w:lang w:val="fr-FR"/>
              </w:rPr>
            </w:pPr>
            <w:r w:rsidRPr="001F40EE">
              <w:rPr>
                <w:rFonts w:ascii="Times New Roman" w:hAnsi="Times New Roman"/>
                <w:snapToGrid w:val="0"/>
                <w:sz w:val="20"/>
                <w:lang w:val="fr-FR"/>
              </w:rPr>
              <w:t>Ministère des affaires étrangères et du Commonwealth</w:t>
            </w:r>
          </w:p>
        </w:tc>
      </w:tr>
    </w:tbl>
    <w:p w:rsidR="000B562B" w:rsidRPr="00A176EA" w:rsidRDefault="002549A9" w:rsidP="00133E54">
      <w:pPr>
        <w:pStyle w:val="SingleTxtG"/>
        <w:spacing w:before="240"/>
        <w:rPr>
          <w:lang w:val="fr-FR"/>
        </w:rPr>
      </w:pPr>
      <w:r w:rsidRPr="00A176EA">
        <w:rPr>
          <w:lang w:val="fr-FR"/>
        </w:rPr>
        <w:t>828.</w:t>
      </w:r>
      <w:r w:rsidRPr="00A176EA">
        <w:rPr>
          <w:lang w:val="fr-FR"/>
        </w:rPr>
        <w:tab/>
      </w:r>
      <w:r w:rsidR="00EE5200">
        <w:rPr>
          <w:lang w:val="fr-FR"/>
        </w:rPr>
        <w:t>Les rapports du Royaume-Uni proviennent de contributions de l’ensemble des pouvoirs publics</w:t>
      </w:r>
      <w:r w:rsidR="000B562B" w:rsidRPr="00A176EA">
        <w:rPr>
          <w:lang w:val="fr-FR"/>
        </w:rPr>
        <w:t xml:space="preserve">. </w:t>
      </w:r>
      <w:r w:rsidR="00A179B1">
        <w:rPr>
          <w:lang w:val="fr-FR"/>
        </w:rPr>
        <w:t>Les projets de rapport sont communiqués aux parties prenantes concernées, dont des ONG et des organismes nationaux des droits de l’homme</w:t>
      </w:r>
      <w:r w:rsidR="000B562B" w:rsidRPr="00A176EA">
        <w:rPr>
          <w:lang w:val="fr-FR"/>
        </w:rPr>
        <w:t xml:space="preserve">, </w:t>
      </w:r>
      <w:r w:rsidR="00A179B1">
        <w:rPr>
          <w:lang w:val="fr-FR"/>
        </w:rPr>
        <w:t>en vue de recueillir leurs points de vue avant la finalisation des rapports et leur présentation</w:t>
      </w:r>
      <w:r w:rsidR="000B562B" w:rsidRPr="00A176EA">
        <w:rPr>
          <w:lang w:val="fr-FR"/>
        </w:rPr>
        <w:t xml:space="preserve"> </w:t>
      </w:r>
      <w:r w:rsidR="00A179B1">
        <w:rPr>
          <w:lang w:val="fr-FR"/>
        </w:rPr>
        <w:t>aux Nations Unies</w:t>
      </w:r>
      <w:r w:rsidR="000B562B" w:rsidRPr="00A176EA">
        <w:rPr>
          <w:lang w:val="fr-FR"/>
        </w:rPr>
        <w:t>.</w:t>
      </w:r>
    </w:p>
    <w:p w:rsidR="000B562B" w:rsidRPr="00A176EA" w:rsidRDefault="00A179B1" w:rsidP="00434B45">
      <w:pPr>
        <w:pStyle w:val="H23G"/>
        <w:rPr>
          <w:lang w:val="fr-FR"/>
        </w:rPr>
      </w:pPr>
      <w:bookmarkStart w:id="78" w:name="_Toc299724769"/>
      <w:r>
        <w:rPr>
          <w:lang w:val="fr-FR"/>
        </w:rPr>
        <w:t>Renseignements sur la</w:t>
      </w:r>
      <w:r w:rsidR="000B562B" w:rsidRPr="00A176EA">
        <w:rPr>
          <w:lang w:val="fr-FR"/>
        </w:rPr>
        <w:t xml:space="preserve"> non-discrimination </w:t>
      </w:r>
      <w:r>
        <w:rPr>
          <w:lang w:val="fr-FR"/>
        </w:rPr>
        <w:t>et l’égalité, et sur les recours efficaces</w:t>
      </w:r>
      <w:bookmarkEnd w:id="78"/>
    </w:p>
    <w:p w:rsidR="000B562B" w:rsidRPr="00A176EA" w:rsidRDefault="00A179B1" w:rsidP="00DC1857">
      <w:pPr>
        <w:pStyle w:val="H23G"/>
        <w:rPr>
          <w:lang w:val="fr-FR"/>
        </w:rPr>
      </w:pPr>
      <w:r>
        <w:rPr>
          <w:lang w:val="fr-FR"/>
        </w:rPr>
        <w:t>Royaume-Uni</w:t>
      </w:r>
    </w:p>
    <w:p w:rsidR="000B562B" w:rsidRPr="00A176EA" w:rsidRDefault="002549A9" w:rsidP="00434B45">
      <w:pPr>
        <w:pStyle w:val="SingleTxtG"/>
        <w:rPr>
          <w:lang w:val="fr-FR"/>
        </w:rPr>
      </w:pPr>
      <w:r w:rsidRPr="00A176EA">
        <w:rPr>
          <w:lang w:val="fr-FR"/>
        </w:rPr>
        <w:t>829.</w:t>
      </w:r>
      <w:r w:rsidRPr="00A176EA">
        <w:rPr>
          <w:lang w:val="fr-FR"/>
        </w:rPr>
        <w:tab/>
      </w:r>
      <w:r w:rsidR="00A179B1">
        <w:rPr>
          <w:lang w:val="fr-FR"/>
        </w:rPr>
        <w:t>Le tableau figurant en fin de rapport fournit une liste des lois adoptées depuis 1998 pour garantir l’égalité devant la loi, le droit à une égale protection de la loi et l’interdiction de la</w:t>
      </w:r>
      <w:r w:rsidR="000B562B" w:rsidRPr="00A176EA">
        <w:rPr>
          <w:lang w:val="fr-FR"/>
        </w:rPr>
        <w:t xml:space="preserve"> discrimination.</w:t>
      </w:r>
    </w:p>
    <w:p w:rsidR="000B562B" w:rsidRPr="00A176EA" w:rsidRDefault="002549A9" w:rsidP="00434B45">
      <w:pPr>
        <w:pStyle w:val="SingleTxtG"/>
        <w:rPr>
          <w:szCs w:val="24"/>
          <w:lang w:val="fr-FR"/>
        </w:rPr>
      </w:pPr>
      <w:r w:rsidRPr="00A176EA">
        <w:rPr>
          <w:szCs w:val="24"/>
          <w:lang w:val="fr-FR"/>
        </w:rPr>
        <w:t>830.</w:t>
      </w:r>
      <w:r w:rsidRPr="00A176EA">
        <w:rPr>
          <w:szCs w:val="24"/>
          <w:lang w:val="fr-FR"/>
        </w:rPr>
        <w:tab/>
      </w:r>
      <w:r w:rsidR="00592B97" w:rsidRPr="00592B97">
        <w:rPr>
          <w:lang w:val="fr-FR"/>
        </w:rPr>
        <w:t xml:space="preserve">Un des principes les plus importants sur lequel est fondée la Constitution non écrite du Royaume-Uni est celui de la </w:t>
      </w:r>
      <w:r w:rsidR="00CD0110">
        <w:rPr>
          <w:lang w:val="fr-FR"/>
        </w:rPr>
        <w:t>«</w:t>
      </w:r>
      <w:r w:rsidR="00592B97" w:rsidRPr="00592B97">
        <w:rPr>
          <w:lang w:val="fr-FR"/>
        </w:rPr>
        <w:t>primauté du droit</w:t>
      </w:r>
      <w:r w:rsidR="00CD0110">
        <w:rPr>
          <w:lang w:val="fr-FR"/>
        </w:rPr>
        <w:t>»</w:t>
      </w:r>
      <w:r w:rsidR="00592B97" w:rsidRPr="00592B97">
        <w:rPr>
          <w:lang w:val="fr-FR"/>
        </w:rPr>
        <w:t>, à savoir la conviction que toutes les personnes et les autorités sont égales devant la loi</w:t>
      </w:r>
      <w:r w:rsidR="000B562B" w:rsidRPr="00A176EA">
        <w:rPr>
          <w:lang w:val="fr-FR"/>
        </w:rPr>
        <w:t xml:space="preserve">. </w:t>
      </w:r>
      <w:r w:rsidR="00592B97" w:rsidRPr="00592B97">
        <w:rPr>
          <w:lang w:val="fr-FR"/>
        </w:rPr>
        <w:t xml:space="preserve">Ce principe contribue non seulement à renforcer l’équilibre entre pouvoirs et contre-pouvoirs inhérents à toute société démocratique mais aussi à promouvoir l’idée d’égalité juridique. Son application, sans restriction ni condition, montre que l’idée d’égalité est extrêmement importante au regard de la Constitution du Royaume-Uni. L’article premier de la loi </w:t>
      </w:r>
      <w:r w:rsidR="00877FC7" w:rsidRPr="00592B97">
        <w:rPr>
          <w:lang w:val="fr-FR"/>
        </w:rPr>
        <w:t xml:space="preserve">de 2005 </w:t>
      </w:r>
      <w:r w:rsidR="00592B97" w:rsidRPr="00592B97">
        <w:rPr>
          <w:lang w:val="fr-FR"/>
        </w:rPr>
        <w:t>portant réforme constitutionnelle témoigne de l’importance de cette notion au Royaume-Uni en disposant ce qui suit</w:t>
      </w:r>
      <w:r w:rsidR="00FC2B97">
        <w:rPr>
          <w:lang w:val="fr-FR"/>
        </w:rPr>
        <w:t>:</w:t>
      </w:r>
    </w:p>
    <w:p w:rsidR="000B562B" w:rsidRPr="00A176EA" w:rsidRDefault="00CD0110" w:rsidP="00434B45">
      <w:pPr>
        <w:pStyle w:val="SingleTxtG"/>
        <w:rPr>
          <w:lang w:val="fr-FR"/>
        </w:rPr>
      </w:pPr>
      <w:r>
        <w:rPr>
          <w:lang w:val="fr-FR"/>
        </w:rPr>
        <w:t>«</w:t>
      </w:r>
      <w:r w:rsidR="00592B97">
        <w:rPr>
          <w:lang w:val="fr-FR"/>
        </w:rPr>
        <w:t xml:space="preserve">La présente loi </w:t>
      </w:r>
      <w:r w:rsidR="001A6C12">
        <w:rPr>
          <w:lang w:val="fr-FR"/>
        </w:rPr>
        <w:t>n’a aucune incidence négative sur</w:t>
      </w:r>
      <w:r w:rsidR="00FC2B97">
        <w:rPr>
          <w:lang w:val="fr-FR"/>
        </w:rPr>
        <w:t>:</w:t>
      </w:r>
    </w:p>
    <w:p w:rsidR="000B562B" w:rsidRPr="00A176EA" w:rsidRDefault="000B562B" w:rsidP="00434B45">
      <w:pPr>
        <w:pStyle w:val="SingleTxtG"/>
        <w:ind w:firstLine="567"/>
        <w:rPr>
          <w:lang w:val="fr-FR"/>
        </w:rPr>
      </w:pPr>
      <w:r w:rsidRPr="00A176EA">
        <w:rPr>
          <w:lang w:val="fr-FR"/>
        </w:rPr>
        <w:t>a)</w:t>
      </w:r>
      <w:r w:rsidRPr="00A176EA">
        <w:rPr>
          <w:lang w:val="fr-FR"/>
        </w:rPr>
        <w:tab/>
      </w:r>
      <w:r w:rsidR="001A6C12" w:rsidRPr="001A6C12">
        <w:rPr>
          <w:lang w:val="fr-FR"/>
        </w:rPr>
        <w:t>Le principe constitutionnel de la primauté du droit</w:t>
      </w:r>
      <w:r w:rsidR="001A6C12">
        <w:rPr>
          <w:lang w:val="fr-FR"/>
        </w:rPr>
        <w:t>,</w:t>
      </w:r>
      <w:r w:rsidR="001A6C12" w:rsidRPr="001A6C12">
        <w:rPr>
          <w:lang w:val="fr-FR"/>
        </w:rPr>
        <w:t xml:space="preserve"> </w:t>
      </w:r>
      <w:r w:rsidR="001A6C12">
        <w:rPr>
          <w:lang w:val="fr-FR"/>
        </w:rPr>
        <w:t>ou</w:t>
      </w:r>
    </w:p>
    <w:p w:rsidR="000B562B" w:rsidRPr="00A176EA" w:rsidRDefault="000B562B" w:rsidP="00434B45">
      <w:pPr>
        <w:pStyle w:val="SingleTxtG"/>
        <w:ind w:firstLine="567"/>
        <w:rPr>
          <w:lang w:val="fr-FR"/>
        </w:rPr>
      </w:pPr>
      <w:r w:rsidRPr="00A176EA">
        <w:rPr>
          <w:lang w:val="fr-FR"/>
        </w:rPr>
        <w:t>b)</w:t>
      </w:r>
      <w:r w:rsidRPr="00A176EA">
        <w:rPr>
          <w:lang w:val="fr-FR"/>
        </w:rPr>
        <w:tab/>
      </w:r>
      <w:r w:rsidR="001A6C12" w:rsidRPr="001A6C12">
        <w:rPr>
          <w:lang w:val="fr-FR"/>
        </w:rPr>
        <w:t xml:space="preserve">Le rôle constitutionnel actuel du Lord </w:t>
      </w:r>
      <w:r w:rsidR="000B43D6">
        <w:rPr>
          <w:lang w:val="fr-FR"/>
        </w:rPr>
        <w:t>Chancelier</w:t>
      </w:r>
      <w:r w:rsidR="001A6C12" w:rsidRPr="001A6C12">
        <w:rPr>
          <w:lang w:val="fr-FR"/>
        </w:rPr>
        <w:t xml:space="preserve"> en ce qui concerne l’application de ce principe</w:t>
      </w:r>
      <w:r w:rsidR="00CD0110">
        <w:rPr>
          <w:lang w:val="fr-FR"/>
        </w:rPr>
        <w:t>»</w:t>
      </w:r>
      <w:r w:rsidR="001A6C12">
        <w:rPr>
          <w:lang w:val="fr-FR"/>
        </w:rPr>
        <w:t>.</w:t>
      </w:r>
    </w:p>
    <w:p w:rsidR="000B562B" w:rsidRPr="00A176EA" w:rsidRDefault="002549A9" w:rsidP="00434B45">
      <w:pPr>
        <w:pStyle w:val="SingleTxtG"/>
        <w:rPr>
          <w:lang w:val="fr-FR"/>
        </w:rPr>
      </w:pPr>
      <w:r w:rsidRPr="00A176EA">
        <w:rPr>
          <w:lang w:val="fr-FR"/>
        </w:rPr>
        <w:t>831.</w:t>
      </w:r>
      <w:r w:rsidRPr="00A176EA">
        <w:rPr>
          <w:lang w:val="fr-FR"/>
        </w:rPr>
        <w:tab/>
      </w:r>
      <w:r w:rsidR="00434CCA" w:rsidRPr="00434CCA">
        <w:rPr>
          <w:lang w:val="fr-FR"/>
        </w:rPr>
        <w:t xml:space="preserve">En Grande-Bretagne, plusieurs lois interdisant la discrimination ont été adoptées ces </w:t>
      </w:r>
      <w:r w:rsidR="00434CCA">
        <w:rPr>
          <w:lang w:val="fr-FR"/>
        </w:rPr>
        <w:t>40</w:t>
      </w:r>
      <w:r w:rsidR="00434CCA" w:rsidRPr="00434CCA">
        <w:rPr>
          <w:lang w:val="fr-FR"/>
        </w:rPr>
        <w:t xml:space="preserve"> dernières années</w:t>
      </w:r>
      <w:r w:rsidR="000B562B" w:rsidRPr="00A176EA">
        <w:rPr>
          <w:lang w:val="fr-FR"/>
        </w:rPr>
        <w:t xml:space="preserve">. </w:t>
      </w:r>
      <w:r w:rsidR="00434CCA">
        <w:rPr>
          <w:lang w:val="fr-FR"/>
        </w:rPr>
        <w:t>La première est</w:t>
      </w:r>
      <w:r w:rsidR="000B562B" w:rsidRPr="00A176EA">
        <w:rPr>
          <w:lang w:val="fr-FR"/>
        </w:rPr>
        <w:t xml:space="preserve"> </w:t>
      </w:r>
      <w:r w:rsidR="00A66614" w:rsidRPr="00BB0B5A">
        <w:rPr>
          <w:lang w:val="fr-FR"/>
        </w:rPr>
        <w:t xml:space="preserve">la loi de 1965 sur les relations interraciales </w:t>
      </w:r>
      <w:r w:rsidR="000B562B" w:rsidRPr="00BB0B5A">
        <w:rPr>
          <w:lang w:val="fr-FR"/>
        </w:rPr>
        <w:t>(</w:t>
      </w:r>
      <w:r w:rsidR="00A66614" w:rsidRPr="00BB0B5A">
        <w:rPr>
          <w:lang w:val="fr-FR"/>
        </w:rPr>
        <w:t xml:space="preserve">abrogée et remplacée </w:t>
      </w:r>
      <w:r w:rsidR="00434CCA" w:rsidRPr="00BB0B5A">
        <w:rPr>
          <w:lang w:val="fr-FR"/>
        </w:rPr>
        <w:t xml:space="preserve">depuis </w:t>
      </w:r>
      <w:r w:rsidR="00A66614" w:rsidRPr="00BB0B5A">
        <w:rPr>
          <w:lang w:val="fr-FR"/>
        </w:rPr>
        <w:t>par la loi de 1976 sur les relations interraciales</w:t>
      </w:r>
      <w:r w:rsidR="000B562B" w:rsidRPr="00BB0B5A">
        <w:rPr>
          <w:lang w:val="fr-FR"/>
        </w:rPr>
        <w:t xml:space="preserve">), </w:t>
      </w:r>
      <w:r w:rsidR="00A66614" w:rsidRPr="00BB0B5A">
        <w:rPr>
          <w:lang w:val="fr-FR"/>
        </w:rPr>
        <w:t>suivie de la loi de 1970</w:t>
      </w:r>
      <w:r w:rsidR="000B562B" w:rsidRPr="00BB0B5A">
        <w:rPr>
          <w:lang w:val="fr-FR"/>
        </w:rPr>
        <w:t xml:space="preserve"> </w:t>
      </w:r>
      <w:r w:rsidR="00434CCA" w:rsidRPr="00BB0B5A">
        <w:rPr>
          <w:lang w:val="fr-FR"/>
        </w:rPr>
        <w:t>sur l’égalité de rémunération et de la loi de 1975 contre la discrimination fondée sur le sexe. La loi contre la discrimination fondée sur le handicap a été adoptée en 1995. En 2003 et en 2006, d’autres lois ont interdit la discrimination fondée sur l’orientation sexuelle, la religion ou la conviction, et l’âge dans le domaine de l’emploi et de la formation professionnelle, de façon à donner effet à la Directive-cadre européenne. En 2007, une loi a interdit la discrimination fondée sur la religion ou la conviction et l’orientation sexuelle en dehors du lieu de travail. Toutes ces lois ont été ensuite intégrées dans la loi de 2010 sur l’égalité, adoptée en avril 2010, dont la majeure partie des dispositions sont entrées en vigueur le 1</w:t>
      </w:r>
      <w:r w:rsidR="00434CCA" w:rsidRPr="00BB0B5A">
        <w:rPr>
          <w:vertAlign w:val="superscript"/>
          <w:lang w:val="fr-FR"/>
        </w:rPr>
        <w:t>er</w:t>
      </w:r>
      <w:r w:rsidR="003B6ECA">
        <w:rPr>
          <w:lang w:val="fr-FR"/>
        </w:rPr>
        <w:t> </w:t>
      </w:r>
      <w:r w:rsidR="00434CCA" w:rsidRPr="00BB0B5A">
        <w:rPr>
          <w:lang w:val="fr-FR"/>
        </w:rPr>
        <w:t xml:space="preserve">octobre 2010. </w:t>
      </w:r>
      <w:r w:rsidR="00C83767">
        <w:rPr>
          <w:lang w:val="fr-FR"/>
        </w:rPr>
        <w:t>L</w:t>
      </w:r>
      <w:r w:rsidR="00434CCA" w:rsidRPr="00BB0B5A">
        <w:rPr>
          <w:lang w:val="fr-FR"/>
        </w:rPr>
        <w:t xml:space="preserve">es précédentes lois antidiscrimination ont </w:t>
      </w:r>
      <w:r w:rsidR="00C83767">
        <w:rPr>
          <w:lang w:val="fr-FR"/>
        </w:rPr>
        <w:t xml:space="preserve">donc </w:t>
      </w:r>
      <w:r w:rsidR="00434CCA" w:rsidRPr="00BB0B5A">
        <w:rPr>
          <w:lang w:val="fr-FR"/>
        </w:rPr>
        <w:t>été</w:t>
      </w:r>
      <w:r w:rsidR="00434CCA">
        <w:rPr>
          <w:lang w:val="fr-FR"/>
        </w:rPr>
        <w:t xml:space="preserve"> abrogées, exception faite d’un certain nombre de dispositions qui demeurent temporairement en vigueur</w:t>
      </w:r>
      <w:r w:rsidR="000B562B" w:rsidRPr="00A176EA">
        <w:rPr>
          <w:lang w:val="fr-FR"/>
        </w:rPr>
        <w:t>.</w:t>
      </w:r>
    </w:p>
    <w:p w:rsidR="000B562B" w:rsidRPr="00A176EA" w:rsidRDefault="002549A9" w:rsidP="00434B45">
      <w:pPr>
        <w:pStyle w:val="SingleTxtG"/>
        <w:rPr>
          <w:lang w:val="fr-FR"/>
        </w:rPr>
      </w:pPr>
      <w:r w:rsidRPr="00A176EA">
        <w:rPr>
          <w:lang w:val="fr-FR"/>
        </w:rPr>
        <w:t>832.</w:t>
      </w:r>
      <w:r w:rsidRPr="00A176EA">
        <w:rPr>
          <w:lang w:val="fr-FR"/>
        </w:rPr>
        <w:tab/>
      </w:r>
      <w:r w:rsidR="00BB0B5A">
        <w:rPr>
          <w:lang w:val="fr-FR"/>
        </w:rPr>
        <w:t xml:space="preserve">La loi </w:t>
      </w:r>
      <w:r w:rsidR="00BB0B5A" w:rsidRPr="00BB0B5A">
        <w:rPr>
          <w:lang w:val="fr-FR"/>
        </w:rPr>
        <w:t xml:space="preserve">contre la discrimination fondée sur le handicap </w:t>
      </w:r>
      <w:r w:rsidR="00BB0B5A">
        <w:rPr>
          <w:lang w:val="fr-FR"/>
        </w:rPr>
        <w:t>est la seule loi en matière de discrimination qui s’applique à l’ensemble du Royaume-Uni</w:t>
      </w:r>
      <w:r w:rsidR="000B562B" w:rsidRPr="00A176EA">
        <w:rPr>
          <w:lang w:val="fr-FR"/>
        </w:rPr>
        <w:t xml:space="preserve">. </w:t>
      </w:r>
      <w:r w:rsidR="00BB0B5A">
        <w:rPr>
          <w:lang w:val="fr-FR"/>
        </w:rPr>
        <w:t xml:space="preserve">Parmi celles qui ont été mentionnées, les autres s’appliquent à la Grande-Bretagne. La législation de </w:t>
      </w:r>
      <w:r w:rsidR="00BB0B5A" w:rsidRPr="00BB0B5A">
        <w:rPr>
          <w:lang w:val="fr-FR"/>
        </w:rPr>
        <w:t>l’</w:t>
      </w:r>
      <w:r w:rsidR="008F3DA4" w:rsidRPr="00BB0B5A">
        <w:rPr>
          <w:lang w:val="fr-FR"/>
        </w:rPr>
        <w:t>Irlande du Nord</w:t>
      </w:r>
      <w:r w:rsidR="000B562B" w:rsidRPr="00BB0B5A">
        <w:rPr>
          <w:lang w:val="fr-FR"/>
        </w:rPr>
        <w:t xml:space="preserve"> </w:t>
      </w:r>
      <w:r w:rsidR="00BB0B5A" w:rsidRPr="00BB0B5A">
        <w:rPr>
          <w:lang w:val="fr-FR"/>
        </w:rPr>
        <w:t>rejoint dans les grandes lignes celle de la Grande-Bretagne</w:t>
      </w:r>
      <w:r w:rsidR="000B562B" w:rsidRPr="00A176EA">
        <w:rPr>
          <w:lang w:val="fr-FR"/>
        </w:rPr>
        <w:t>.</w:t>
      </w:r>
    </w:p>
    <w:p w:rsidR="000B562B" w:rsidRPr="00A176EA" w:rsidRDefault="002549A9" w:rsidP="00CE4F5E">
      <w:pPr>
        <w:pStyle w:val="SingleTxtG"/>
        <w:rPr>
          <w:lang w:val="fr-FR"/>
        </w:rPr>
      </w:pPr>
      <w:r w:rsidRPr="00A176EA">
        <w:rPr>
          <w:lang w:val="fr-FR"/>
        </w:rPr>
        <w:t>833.</w:t>
      </w:r>
      <w:r w:rsidRPr="00A176EA">
        <w:rPr>
          <w:lang w:val="fr-FR"/>
        </w:rPr>
        <w:tab/>
      </w:r>
      <w:r w:rsidR="00BB0B5A">
        <w:rPr>
          <w:lang w:val="fr-FR"/>
        </w:rPr>
        <w:t xml:space="preserve">La législation de la Grande-Bretagne, en substance la loi de 2010 sur l’égalité, interdit la discrimination directe, la discrimination indirecte, la victimisation et le harcèlement dans l’emploi (et les domaines connexes), la formation professionnelle (dont </w:t>
      </w:r>
      <w:r w:rsidR="00FD470C">
        <w:rPr>
          <w:lang w:val="fr-FR"/>
        </w:rPr>
        <w:t>l’éducation postobligatoire</w:t>
      </w:r>
      <w:r w:rsidR="00BB0B5A">
        <w:rPr>
          <w:lang w:val="fr-FR"/>
        </w:rPr>
        <w:t xml:space="preserve"> et l’</w:t>
      </w:r>
      <w:r w:rsidR="00FD470C">
        <w:rPr>
          <w:lang w:val="fr-FR"/>
        </w:rPr>
        <w:t xml:space="preserve">enseignement supérieur), l’enseignement dans les écoles et les institutions d’éducation postobligatoire et d’enseignement supérieur, la fourniture de biens, d’équipements et de services, les clubs privés, l’affectation et la gestion de locaux, et l’exercice de fonctions publiques. L’un des principaux objectifs de la loi de 2010 était de rationaliser et de simplifier la législation, de la regrouper et de la rendre plus cohérente. L’autre objectif important était de la renforcer à plusieurs égards, dont la protection des personnes handicapées et de personnes comme les dispensateurs de soins, qui pourraient souffrir de discrimination en raison de leurs </w:t>
      </w:r>
      <w:r w:rsidR="00CE4F5E">
        <w:rPr>
          <w:lang w:val="fr-FR"/>
        </w:rPr>
        <w:t>rapports</w:t>
      </w:r>
      <w:r w:rsidR="00FD470C">
        <w:rPr>
          <w:lang w:val="fr-FR"/>
        </w:rPr>
        <w:t xml:space="preserve"> avec une personne âgée ou handicapée</w:t>
      </w:r>
      <w:r w:rsidR="000B562B" w:rsidRPr="00A176EA">
        <w:rPr>
          <w:lang w:val="fr-FR"/>
        </w:rPr>
        <w:t>.</w:t>
      </w:r>
    </w:p>
    <w:p w:rsidR="000B562B" w:rsidRPr="00A176EA" w:rsidRDefault="002549A9" w:rsidP="00002801">
      <w:pPr>
        <w:pStyle w:val="SingleTxtG"/>
        <w:rPr>
          <w:lang w:val="fr-FR"/>
        </w:rPr>
      </w:pPr>
      <w:r w:rsidRPr="00A176EA">
        <w:rPr>
          <w:lang w:val="fr-FR"/>
        </w:rPr>
        <w:t>834.</w:t>
      </w:r>
      <w:r w:rsidRPr="00A176EA">
        <w:rPr>
          <w:lang w:val="fr-FR"/>
        </w:rPr>
        <w:tab/>
      </w:r>
      <w:r w:rsidR="00CE4F5E">
        <w:rPr>
          <w:lang w:val="fr-FR"/>
        </w:rPr>
        <w:t xml:space="preserve">Entre autres choses, la loi de 2010 sur l’égalité </w:t>
      </w:r>
      <w:r w:rsidR="00EE31A6">
        <w:rPr>
          <w:lang w:val="fr-FR"/>
        </w:rPr>
        <w:t xml:space="preserve">renforce et étend l’obligation faite aux pouvoirs publics de réfléchir aux implications de leurs programmes et politiques </w:t>
      </w:r>
      <w:r w:rsidR="00245A9A">
        <w:rPr>
          <w:lang w:val="fr-FR"/>
        </w:rPr>
        <w:t>du point de vue</w:t>
      </w:r>
      <w:r w:rsidR="00EE31A6">
        <w:rPr>
          <w:lang w:val="fr-FR"/>
        </w:rPr>
        <w:t xml:space="preserve"> de la race, du genre et du handicap. La loi leur impose de prendre en compte la nécessité d’éliminer la discrimination, de faire progresser l’égalité des chances et de favoriser les bonnes relations </w:t>
      </w:r>
      <w:r w:rsidR="00245A9A">
        <w:rPr>
          <w:lang w:val="fr-FR"/>
        </w:rPr>
        <w:t xml:space="preserve">entre les personnes présentant une </w:t>
      </w:r>
      <w:r w:rsidR="00CD0110">
        <w:rPr>
          <w:lang w:val="fr-FR"/>
        </w:rPr>
        <w:t>«</w:t>
      </w:r>
      <w:r w:rsidR="00245A9A">
        <w:rPr>
          <w:lang w:val="fr-FR"/>
        </w:rPr>
        <w:t>caractéris</w:t>
      </w:r>
      <w:r w:rsidR="006D07AA">
        <w:rPr>
          <w:lang w:val="fr-FR"/>
        </w:rPr>
        <w:t>ti</w:t>
      </w:r>
      <w:r w:rsidR="00245A9A">
        <w:rPr>
          <w:lang w:val="fr-FR"/>
        </w:rPr>
        <w:t>que protégée</w:t>
      </w:r>
      <w:r w:rsidR="00CD0110">
        <w:rPr>
          <w:lang w:val="fr-FR"/>
        </w:rPr>
        <w:t>»</w:t>
      </w:r>
      <w:r w:rsidR="00245A9A">
        <w:rPr>
          <w:lang w:val="fr-FR"/>
        </w:rPr>
        <w:t xml:space="preserve"> </w:t>
      </w:r>
      <w:r w:rsidR="00002801">
        <w:rPr>
          <w:lang w:val="fr-FR"/>
        </w:rPr>
        <w:t>(</w:t>
      </w:r>
      <w:r w:rsidR="00245A9A">
        <w:rPr>
          <w:lang w:val="fr-FR"/>
        </w:rPr>
        <w:t>âge</w:t>
      </w:r>
      <w:r w:rsidR="00002801">
        <w:rPr>
          <w:lang w:val="fr-FR"/>
        </w:rPr>
        <w:t xml:space="preserve">, handicap, changement de sexe, grossesse et </w:t>
      </w:r>
      <w:r w:rsidR="006D07AA">
        <w:rPr>
          <w:lang w:val="fr-FR"/>
        </w:rPr>
        <w:t>maternité</w:t>
      </w:r>
      <w:r w:rsidR="00002801">
        <w:rPr>
          <w:lang w:val="fr-FR"/>
        </w:rPr>
        <w:t xml:space="preserve">, race, religion ou conviction, sexe et orientation sexuelle). Ce modèle de </w:t>
      </w:r>
      <w:r w:rsidR="00CD0110">
        <w:rPr>
          <w:lang w:val="fr-FR"/>
        </w:rPr>
        <w:t>«</w:t>
      </w:r>
      <w:r w:rsidR="00002801">
        <w:rPr>
          <w:lang w:val="fr-FR"/>
        </w:rPr>
        <w:t>devoir positif</w:t>
      </w:r>
      <w:r w:rsidR="00CD0110">
        <w:rPr>
          <w:lang w:val="fr-FR"/>
        </w:rPr>
        <w:t>»</w:t>
      </w:r>
      <w:r w:rsidR="00002801">
        <w:rPr>
          <w:lang w:val="fr-FR"/>
        </w:rPr>
        <w:t xml:space="preserve"> exige des pouvoirs publics qu’ils prennent en compte la question de l’égalité dans la conception et l’exécution de leurs politiques et la fourniture de leurs services, ainsi que dans leur fonction d’employeur</w:t>
      </w:r>
      <w:r w:rsidR="000B562B" w:rsidRPr="00A176EA">
        <w:rPr>
          <w:lang w:val="fr-FR"/>
        </w:rPr>
        <w:t>.</w:t>
      </w:r>
    </w:p>
    <w:p w:rsidR="000B562B" w:rsidRPr="00A176EA" w:rsidRDefault="002549A9" w:rsidP="007719F6">
      <w:pPr>
        <w:pStyle w:val="SingleTxtG"/>
        <w:rPr>
          <w:lang w:val="fr-FR"/>
        </w:rPr>
      </w:pPr>
      <w:r w:rsidRPr="00A176EA">
        <w:rPr>
          <w:lang w:val="fr-FR"/>
        </w:rPr>
        <w:t>835.</w:t>
      </w:r>
      <w:r w:rsidRPr="00A176EA">
        <w:rPr>
          <w:lang w:val="fr-FR"/>
        </w:rPr>
        <w:tab/>
      </w:r>
      <w:r w:rsidR="008063CD" w:rsidRPr="00002801">
        <w:rPr>
          <w:lang w:val="fr-FR"/>
        </w:rPr>
        <w:t>E</w:t>
      </w:r>
      <w:r w:rsidR="000B562B" w:rsidRPr="00002801">
        <w:rPr>
          <w:lang w:val="fr-FR"/>
        </w:rPr>
        <w:t xml:space="preserve">n </w:t>
      </w:r>
      <w:r w:rsidR="008F3DA4" w:rsidRPr="00002801">
        <w:rPr>
          <w:lang w:val="fr-FR"/>
        </w:rPr>
        <w:t>Irlande du Nord</w:t>
      </w:r>
      <w:r w:rsidR="000B562B" w:rsidRPr="00002801">
        <w:rPr>
          <w:lang w:val="fr-FR"/>
        </w:rPr>
        <w:t>,</w:t>
      </w:r>
      <w:r w:rsidR="000B562B" w:rsidRPr="00A176EA">
        <w:rPr>
          <w:lang w:val="fr-FR"/>
        </w:rPr>
        <w:t xml:space="preserve"> </w:t>
      </w:r>
      <w:r w:rsidR="0026428D" w:rsidRPr="0026428D">
        <w:rPr>
          <w:lang w:val="fr-FR"/>
        </w:rPr>
        <w:t>des protections supplémentaires ont été instaurées pour promouvoir l’égalité. La Commission pour l’égalité d’Irlande du Nord, créée à la suite de l’Accord de Belfast de 1998, doit promouvoir l’égalité de chances, l’action positive et les bonnes relations entre les personnes appartenant à des groupes raciaux différents. Elle est également chargée de veiller à l’application effective de la législation contre la discrimination et pour l’égalité, ainsi qu’au respect de l’obligation d’égalité consacrée par l’article 75 de la loi de 1998 sur l’Irlande du Nord, ce qui lui permet de mener des enquêtes pour s’assurer que ces différentes lois sont appliquées</w:t>
      </w:r>
      <w:r w:rsidR="0026428D">
        <w:rPr>
          <w:lang w:val="fr-FR"/>
        </w:rPr>
        <w:t xml:space="preserve">. La </w:t>
      </w:r>
      <w:r w:rsidR="0026428D" w:rsidRPr="0026428D">
        <w:rPr>
          <w:lang w:val="fr-FR"/>
        </w:rPr>
        <w:t>Commission pour l’égalité en Irlande du Nord</w:t>
      </w:r>
      <w:r w:rsidR="0026428D">
        <w:rPr>
          <w:lang w:val="fr-FR"/>
        </w:rPr>
        <w:t xml:space="preserve">, créée à la suite de l’Accord de Belfast de 1998, a pour tâche de promouvoir l’égalité des chances, l’action positive et les bonnes relations entre les personnes appartenant à des groupes raciaux différents. Elle est également chargée de veiller à l’application effective de la législation contre la discrimination et pour l’égalité, ainsi qu’au respect de l’obligation d’égalité consacrée </w:t>
      </w:r>
      <w:r w:rsidR="007719F6">
        <w:rPr>
          <w:lang w:val="fr-FR"/>
        </w:rPr>
        <w:t>par l’article 75 de la loi de 1998 sur l’Irlande du Nord, ce qui lui permet de mener des enquêtes pour s’assurer que ces différentes lois sont appliquées</w:t>
      </w:r>
      <w:r w:rsidR="000B562B" w:rsidRPr="00A176EA">
        <w:rPr>
          <w:lang w:val="fr-FR"/>
        </w:rPr>
        <w:t>.</w:t>
      </w:r>
    </w:p>
    <w:p w:rsidR="000B562B" w:rsidRPr="00A176EA" w:rsidRDefault="002549A9" w:rsidP="00434B45">
      <w:pPr>
        <w:pStyle w:val="SingleTxtG"/>
        <w:rPr>
          <w:snapToGrid w:val="0"/>
          <w:lang w:val="fr-FR"/>
        </w:rPr>
      </w:pPr>
      <w:r w:rsidRPr="00A176EA">
        <w:rPr>
          <w:snapToGrid w:val="0"/>
          <w:lang w:val="fr-FR"/>
        </w:rPr>
        <w:t>836.</w:t>
      </w:r>
      <w:r w:rsidRPr="00A176EA">
        <w:rPr>
          <w:snapToGrid w:val="0"/>
          <w:lang w:val="fr-FR"/>
        </w:rPr>
        <w:tab/>
      </w:r>
      <w:r w:rsidR="008063CD" w:rsidRPr="007719F6">
        <w:rPr>
          <w:snapToGrid w:val="0"/>
          <w:lang w:val="fr-FR"/>
        </w:rPr>
        <w:t>La loi sur le Gouvernement du pays de Galles</w:t>
      </w:r>
      <w:r w:rsidR="000B562B" w:rsidRPr="00A176EA">
        <w:rPr>
          <w:snapToGrid w:val="0"/>
          <w:lang w:val="fr-FR"/>
        </w:rPr>
        <w:t xml:space="preserve"> </w:t>
      </w:r>
      <w:r w:rsidR="007719F6" w:rsidRPr="007719F6">
        <w:rPr>
          <w:snapToGrid w:val="0"/>
          <w:lang w:val="fr-FR"/>
        </w:rPr>
        <w:t xml:space="preserve">contient des dispositions visant à promouvoir l’égalité et à protéger les droits. En particulier, les Ministres gallois doivent s’assurer que le Gouvernement de l’Assemblée galloise </w:t>
      </w:r>
      <w:r w:rsidR="007719F6">
        <w:rPr>
          <w:snapToGrid w:val="0"/>
          <w:lang w:val="fr-FR"/>
        </w:rPr>
        <w:t>agisse</w:t>
      </w:r>
      <w:r w:rsidR="000B562B" w:rsidRPr="00A176EA">
        <w:rPr>
          <w:snapToGrid w:val="0"/>
          <w:lang w:val="fr-FR"/>
        </w:rPr>
        <w:t xml:space="preserve"> </w:t>
      </w:r>
      <w:r w:rsidR="00CD0110">
        <w:rPr>
          <w:snapToGrid w:val="0"/>
          <w:lang w:val="fr-FR"/>
        </w:rPr>
        <w:t>«</w:t>
      </w:r>
      <w:r w:rsidR="007719F6">
        <w:rPr>
          <w:snapToGrid w:val="0"/>
          <w:lang w:val="fr-FR"/>
        </w:rPr>
        <w:t xml:space="preserve">en </w:t>
      </w:r>
      <w:r w:rsidR="00430750">
        <w:rPr>
          <w:snapToGrid w:val="0"/>
          <w:lang w:val="fr-FR"/>
        </w:rPr>
        <w:t>accordant toute l’importance voulue</w:t>
      </w:r>
      <w:r w:rsidR="007719F6">
        <w:rPr>
          <w:snapToGrid w:val="0"/>
          <w:lang w:val="fr-FR"/>
        </w:rPr>
        <w:t xml:space="preserve"> </w:t>
      </w:r>
      <w:r w:rsidR="00430750">
        <w:rPr>
          <w:snapToGrid w:val="0"/>
          <w:lang w:val="fr-FR"/>
        </w:rPr>
        <w:t>a</w:t>
      </w:r>
      <w:r w:rsidR="007719F6">
        <w:rPr>
          <w:snapToGrid w:val="0"/>
          <w:lang w:val="fr-FR"/>
        </w:rPr>
        <w:t>u principe de l’égalité des chances pour tous</w:t>
      </w:r>
      <w:r w:rsidR="00CD0110">
        <w:rPr>
          <w:snapToGrid w:val="0"/>
          <w:lang w:val="fr-FR"/>
        </w:rPr>
        <w:t>»</w:t>
      </w:r>
      <w:r w:rsidR="000B562B" w:rsidRPr="00A176EA">
        <w:rPr>
          <w:snapToGrid w:val="0"/>
          <w:lang w:val="fr-FR"/>
        </w:rPr>
        <w:t>.</w:t>
      </w:r>
    </w:p>
    <w:p w:rsidR="000B562B" w:rsidRPr="00A176EA" w:rsidRDefault="00531020" w:rsidP="00434B45">
      <w:pPr>
        <w:pStyle w:val="H23G"/>
        <w:rPr>
          <w:lang w:val="fr-FR"/>
        </w:rPr>
      </w:pPr>
      <w:r w:rsidRPr="00430750">
        <w:rPr>
          <w:lang w:val="fr-FR"/>
        </w:rPr>
        <w:t>Mesures concrètes</w:t>
      </w:r>
      <w:r w:rsidR="000B562B" w:rsidRPr="00A176EA">
        <w:rPr>
          <w:lang w:val="fr-FR"/>
        </w:rPr>
        <w:t xml:space="preserve"> </w:t>
      </w:r>
    </w:p>
    <w:p w:rsidR="000B562B" w:rsidRPr="00A176EA" w:rsidRDefault="002549A9" w:rsidP="00430750">
      <w:pPr>
        <w:pStyle w:val="SingleTxtG"/>
        <w:rPr>
          <w:lang w:val="fr-FR"/>
        </w:rPr>
      </w:pPr>
      <w:r w:rsidRPr="00A176EA">
        <w:rPr>
          <w:lang w:val="fr-FR"/>
        </w:rPr>
        <w:t>837.</w:t>
      </w:r>
      <w:r w:rsidRPr="00A176EA">
        <w:rPr>
          <w:lang w:val="fr-FR"/>
        </w:rPr>
        <w:tab/>
      </w:r>
      <w:r w:rsidR="00430750" w:rsidRPr="00430750">
        <w:rPr>
          <w:lang w:val="fr-FR"/>
        </w:rPr>
        <w:t xml:space="preserve">La loi de 2006 sur l’égalité a institué une série de mesures </w:t>
      </w:r>
      <w:r w:rsidR="00430750">
        <w:rPr>
          <w:lang w:val="fr-FR"/>
        </w:rPr>
        <w:t>concrètes</w:t>
      </w:r>
      <w:r w:rsidR="00430750" w:rsidRPr="00430750">
        <w:rPr>
          <w:lang w:val="fr-FR"/>
        </w:rPr>
        <w:t xml:space="preserve"> visant à renforcer l’égalité au Royaume-Uni. La loi ne porte pas seulement création d’une</w:t>
      </w:r>
      <w:r w:rsidR="00430750">
        <w:rPr>
          <w:lang w:val="fr-FR"/>
        </w:rPr>
        <w:t xml:space="preserve"> Commission de l’égalité et des droits de l’homme, elle permet aussi à cet organe d’intervenir en tant que défenseur indépendant de l’égalité et des droits de l’homme au Royaume-Uni</w:t>
      </w:r>
      <w:r w:rsidR="000B562B" w:rsidRPr="00A176EA">
        <w:rPr>
          <w:lang w:val="fr-FR"/>
        </w:rPr>
        <w:t>.</w:t>
      </w:r>
    </w:p>
    <w:p w:rsidR="000B562B" w:rsidRPr="00A176EA" w:rsidRDefault="002549A9" w:rsidP="00434B45">
      <w:pPr>
        <w:pStyle w:val="SingleTxtG"/>
        <w:rPr>
          <w:lang w:val="fr-FR"/>
        </w:rPr>
      </w:pPr>
      <w:r w:rsidRPr="00A176EA">
        <w:rPr>
          <w:lang w:val="fr-FR"/>
        </w:rPr>
        <w:t>838.</w:t>
      </w:r>
      <w:r w:rsidRPr="00A176EA">
        <w:rPr>
          <w:lang w:val="fr-FR"/>
        </w:rPr>
        <w:tab/>
      </w:r>
      <w:r w:rsidR="00430750">
        <w:rPr>
          <w:lang w:val="fr-FR"/>
        </w:rPr>
        <w:t xml:space="preserve">Le Gouvernement de coalition s’est engagé en faveur de l’égalité dans son Programme de coalition pour le Gouvernement, dans lequel il s’engage à lever les obstacles à la mobilité sociale et à l’égalité des chances. L’Office public </w:t>
      </w:r>
      <w:r w:rsidR="002E5F38">
        <w:rPr>
          <w:lang w:val="fr-FR"/>
        </w:rPr>
        <w:t>pour les</w:t>
      </w:r>
      <w:r w:rsidR="00430750">
        <w:rPr>
          <w:lang w:val="fr-FR"/>
        </w:rPr>
        <w:t xml:space="preserve"> égalités </w:t>
      </w:r>
      <w:r w:rsidR="007742EF">
        <w:rPr>
          <w:lang w:val="fr-FR"/>
        </w:rPr>
        <w:t>est chargé de la stratégie d’ensemble et des priorités du Gouvernement en matière d’égalité, qui président aux politiques et aux lois en la matière. Travaillant à tous les niveaux de l’administration publique, l’Office veille à ce que la politique d’égalité soit solidement intégrée dans l’approche du Gouvernement et qu’elle soit effectivement appliquée et exécutée</w:t>
      </w:r>
      <w:r w:rsidR="000B562B" w:rsidRPr="00A176EA">
        <w:rPr>
          <w:lang w:val="fr-FR"/>
        </w:rPr>
        <w:t>.</w:t>
      </w:r>
    </w:p>
    <w:p w:rsidR="000B562B" w:rsidRPr="00A176EA" w:rsidRDefault="002549A9" w:rsidP="009A4B0F">
      <w:pPr>
        <w:pStyle w:val="SingleTxtG"/>
        <w:spacing w:after="240"/>
        <w:rPr>
          <w:lang w:val="fr-FR"/>
        </w:rPr>
      </w:pPr>
      <w:r w:rsidRPr="00A176EA">
        <w:rPr>
          <w:lang w:val="fr-FR"/>
        </w:rPr>
        <w:t>839.</w:t>
      </w:r>
      <w:r w:rsidRPr="00A176EA">
        <w:rPr>
          <w:lang w:val="fr-FR"/>
        </w:rPr>
        <w:tab/>
      </w:r>
      <w:r w:rsidR="00F21CB0">
        <w:rPr>
          <w:lang w:val="fr-FR"/>
        </w:rPr>
        <w:t xml:space="preserve">Les mesures contre l’inégalité dans la société occupent un rang de priorité élevé dans le programme d’action du Gouvernement, dont la politique ne vise pas seulement les personnes défavorisées économiquement. L’approche du Gouvernement est plus globale et vise à s’attaquer aux causes (et aux conséquences) étroitement liées de l’exclusion sociale. </w:t>
      </w:r>
      <w:r w:rsidR="007C4C18" w:rsidRPr="007C4C18">
        <w:rPr>
          <w:lang w:val="fr-FR"/>
        </w:rPr>
        <w:t>Principale entité compétente en la matière,</w:t>
      </w:r>
      <w:r w:rsidR="007C4C18">
        <w:rPr>
          <w:lang w:val="fr-FR"/>
        </w:rPr>
        <w:t xml:space="preserve"> l</w:t>
      </w:r>
      <w:r w:rsidR="00F21CB0">
        <w:rPr>
          <w:lang w:val="fr-FR"/>
        </w:rPr>
        <w:t xml:space="preserve">’Équipe spéciale de lutte contre l’exclusion sociale </w:t>
      </w:r>
      <w:r w:rsidR="007C4C18" w:rsidRPr="007C4C18">
        <w:rPr>
          <w:lang w:val="fr-FR"/>
        </w:rPr>
        <w:t xml:space="preserve">définit les priorités gouvernementales, </w:t>
      </w:r>
      <w:r w:rsidR="007C4C18">
        <w:rPr>
          <w:lang w:val="fr-FR"/>
        </w:rPr>
        <w:t>teste</w:t>
      </w:r>
      <w:r w:rsidR="007C4C18" w:rsidRPr="007C4C18">
        <w:rPr>
          <w:lang w:val="fr-FR"/>
        </w:rPr>
        <w:t xml:space="preserve"> des solutions et facilite l’application des politiques entre les différents ministères et</w:t>
      </w:r>
      <w:r w:rsidR="007C4C18">
        <w:rPr>
          <w:lang w:val="fr-FR"/>
        </w:rPr>
        <w:t>, de ce fait, entre les pouvoirs publics et la société. Les mesures adoptées comprennent notamment des initiatives destinées à revitaliser la communauté, des programmes spécifiquement conçus pour améliorer la santé et le bien-être des enfants des zones défavorisées, des mesures visant à augmenter les investissements et améliorer la qualité des services déficients, ainsi que des plans et des incitations consacrés à la réinsertion des personnes défavorisées sur le marché du travail</w:t>
      </w:r>
      <w:r w:rsidR="000B562B" w:rsidRPr="00A176EA">
        <w:rPr>
          <w:lang w:val="fr-FR"/>
        </w:rPr>
        <w:t xml:space="preserve">. </w:t>
      </w:r>
    </w:p>
    <w:tbl>
      <w:tblPr>
        <w:tblW w:w="8497" w:type="dxa"/>
        <w:tblInd w:w="1134" w:type="dxa"/>
        <w:tblBorders>
          <w:top w:val="single" w:sz="4" w:space="0" w:color="auto"/>
        </w:tblBorders>
        <w:tblCellMar>
          <w:left w:w="0" w:type="dxa"/>
          <w:right w:w="113" w:type="dxa"/>
        </w:tblCellMar>
        <w:tblLook w:val="0000" w:firstRow="0" w:lastRow="0" w:firstColumn="0" w:lastColumn="0" w:noHBand="0" w:noVBand="0"/>
      </w:tblPr>
      <w:tblGrid>
        <w:gridCol w:w="4306"/>
        <w:gridCol w:w="4191"/>
      </w:tblGrid>
      <w:tr w:rsidR="000B562B" w:rsidRPr="00A176EA" w:rsidTr="009A4B0F">
        <w:tblPrEx>
          <w:tblCellMar>
            <w:top w:w="0" w:type="dxa"/>
            <w:bottom w:w="0" w:type="dxa"/>
          </w:tblCellMar>
        </w:tblPrEx>
        <w:trPr>
          <w:cantSplit/>
          <w:trHeight w:val="240"/>
          <w:tblHeader/>
        </w:trPr>
        <w:tc>
          <w:tcPr>
            <w:tcW w:w="4306" w:type="dxa"/>
            <w:tcBorders>
              <w:top w:val="single" w:sz="4" w:space="0" w:color="auto"/>
              <w:bottom w:val="single" w:sz="12" w:space="0" w:color="auto"/>
            </w:tcBorders>
            <w:shd w:val="clear" w:color="auto" w:fill="auto"/>
            <w:vAlign w:val="bottom"/>
          </w:tcPr>
          <w:p w:rsidR="000B562B" w:rsidRPr="00A176EA" w:rsidRDefault="007C4C18" w:rsidP="007C4C18">
            <w:pPr>
              <w:pStyle w:val="Text"/>
              <w:spacing w:before="80" w:after="80" w:line="200" w:lineRule="exact"/>
              <w:rPr>
                <w:rFonts w:ascii="Times New Roman" w:hAnsi="Times New Roman"/>
                <w:i/>
                <w:sz w:val="16"/>
                <w:lang w:val="fr-FR"/>
              </w:rPr>
            </w:pPr>
            <w:r>
              <w:rPr>
                <w:rFonts w:ascii="Times New Roman" w:hAnsi="Times New Roman"/>
                <w:i/>
                <w:sz w:val="16"/>
                <w:lang w:val="fr-FR"/>
              </w:rPr>
              <w:t>Mesures lé</w:t>
            </w:r>
            <w:r w:rsidR="000B562B" w:rsidRPr="00A176EA">
              <w:rPr>
                <w:rFonts w:ascii="Times New Roman" w:hAnsi="Times New Roman"/>
                <w:i/>
                <w:sz w:val="16"/>
                <w:lang w:val="fr-FR"/>
              </w:rPr>
              <w:t>gislative</w:t>
            </w:r>
            <w:r>
              <w:rPr>
                <w:rFonts w:ascii="Times New Roman" w:hAnsi="Times New Roman"/>
                <w:i/>
                <w:sz w:val="16"/>
                <w:lang w:val="fr-FR"/>
              </w:rPr>
              <w:t>s</w:t>
            </w:r>
            <w:r w:rsidR="000B562B" w:rsidRPr="00A176EA">
              <w:rPr>
                <w:rFonts w:ascii="Times New Roman" w:hAnsi="Times New Roman"/>
                <w:i/>
                <w:sz w:val="16"/>
                <w:lang w:val="fr-FR"/>
              </w:rPr>
              <w:t xml:space="preserve"> </w:t>
            </w:r>
            <w:r>
              <w:rPr>
                <w:rFonts w:ascii="Times New Roman" w:hAnsi="Times New Roman"/>
                <w:i/>
                <w:sz w:val="16"/>
                <w:lang w:val="fr-FR"/>
              </w:rPr>
              <w:t>et autres</w:t>
            </w:r>
            <w:r w:rsidR="000B562B" w:rsidRPr="00A176EA">
              <w:rPr>
                <w:rFonts w:ascii="Times New Roman" w:hAnsi="Times New Roman"/>
                <w:i/>
                <w:sz w:val="16"/>
                <w:lang w:val="fr-FR"/>
              </w:rPr>
              <w:t xml:space="preserve"> (</w:t>
            </w:r>
            <w:r>
              <w:rPr>
                <w:rFonts w:ascii="Times New Roman" w:hAnsi="Times New Roman"/>
                <w:i/>
                <w:sz w:val="16"/>
                <w:lang w:val="fr-FR"/>
              </w:rPr>
              <w:t>et année d’</w:t>
            </w:r>
            <w:r w:rsidR="000B562B" w:rsidRPr="00A176EA">
              <w:rPr>
                <w:rFonts w:ascii="Times New Roman" w:hAnsi="Times New Roman"/>
                <w:i/>
                <w:sz w:val="16"/>
                <w:lang w:val="fr-FR"/>
              </w:rPr>
              <w:t>adoption)</w:t>
            </w:r>
          </w:p>
        </w:tc>
        <w:tc>
          <w:tcPr>
            <w:tcW w:w="4191" w:type="dxa"/>
            <w:tcBorders>
              <w:top w:val="single" w:sz="4" w:space="0" w:color="auto"/>
              <w:bottom w:val="single" w:sz="12" w:space="0" w:color="auto"/>
            </w:tcBorders>
            <w:shd w:val="clear" w:color="auto" w:fill="auto"/>
            <w:vAlign w:val="bottom"/>
          </w:tcPr>
          <w:p w:rsidR="000B562B" w:rsidRPr="00A176EA" w:rsidRDefault="007C4C18" w:rsidP="00434B45">
            <w:pPr>
              <w:pStyle w:val="Text"/>
              <w:spacing w:before="80" w:after="80" w:line="200" w:lineRule="exact"/>
              <w:rPr>
                <w:rFonts w:ascii="Times New Roman" w:hAnsi="Times New Roman"/>
                <w:i/>
                <w:sz w:val="16"/>
                <w:lang w:val="fr-FR"/>
              </w:rPr>
            </w:pPr>
            <w:r>
              <w:rPr>
                <w:rFonts w:ascii="Times New Roman" w:hAnsi="Times New Roman"/>
                <w:i/>
                <w:sz w:val="16"/>
                <w:lang w:val="fr-FR"/>
              </w:rPr>
              <w:t>Objet principal</w:t>
            </w:r>
          </w:p>
        </w:tc>
      </w:tr>
      <w:tr w:rsidR="000B562B" w:rsidRPr="00A176EA" w:rsidTr="009A4B0F">
        <w:tblPrEx>
          <w:tblCellMar>
            <w:top w:w="0" w:type="dxa"/>
            <w:bottom w:w="0" w:type="dxa"/>
          </w:tblCellMar>
        </w:tblPrEx>
        <w:trPr>
          <w:cantSplit/>
          <w:trHeight w:val="240"/>
        </w:trPr>
        <w:tc>
          <w:tcPr>
            <w:tcW w:w="4306" w:type="dxa"/>
            <w:tcBorders>
              <w:top w:val="single" w:sz="12" w:space="0" w:color="auto"/>
            </w:tcBorders>
            <w:shd w:val="clear" w:color="auto" w:fill="auto"/>
          </w:tcPr>
          <w:p w:rsidR="000B562B" w:rsidRPr="00A176EA" w:rsidRDefault="007C4C18" w:rsidP="007C4C18">
            <w:pPr>
              <w:pStyle w:val="Text"/>
              <w:spacing w:before="40" w:after="120" w:line="220" w:lineRule="exact"/>
              <w:rPr>
                <w:rFonts w:ascii="Times New Roman" w:hAnsi="Times New Roman"/>
                <w:sz w:val="20"/>
                <w:lang w:val="fr-FR"/>
              </w:rPr>
            </w:pPr>
            <w:r>
              <w:rPr>
                <w:rFonts w:ascii="Times New Roman" w:hAnsi="Times New Roman"/>
                <w:sz w:val="20"/>
                <w:lang w:val="fr-FR"/>
              </w:rPr>
              <w:t xml:space="preserve">Loi de </w:t>
            </w:r>
            <w:r w:rsidRPr="00A176EA">
              <w:rPr>
                <w:rFonts w:ascii="Times New Roman" w:hAnsi="Times New Roman"/>
                <w:sz w:val="20"/>
                <w:lang w:val="fr-FR"/>
              </w:rPr>
              <w:t>1998</w:t>
            </w:r>
            <w:r>
              <w:rPr>
                <w:rFonts w:ascii="Times New Roman" w:hAnsi="Times New Roman"/>
                <w:sz w:val="20"/>
                <w:lang w:val="fr-FR"/>
              </w:rPr>
              <w:t xml:space="preserve"> sur les droits de l’homme</w:t>
            </w:r>
            <w:r w:rsidR="000B562B" w:rsidRPr="00A176EA">
              <w:rPr>
                <w:rFonts w:ascii="Times New Roman" w:hAnsi="Times New Roman"/>
                <w:sz w:val="20"/>
                <w:lang w:val="fr-FR"/>
              </w:rPr>
              <w:t xml:space="preserve"> </w:t>
            </w:r>
          </w:p>
        </w:tc>
        <w:tc>
          <w:tcPr>
            <w:tcW w:w="4191" w:type="dxa"/>
            <w:tcBorders>
              <w:top w:val="single" w:sz="12" w:space="0" w:color="auto"/>
            </w:tcBorders>
            <w:shd w:val="clear" w:color="auto" w:fill="auto"/>
          </w:tcPr>
          <w:p w:rsidR="000B562B" w:rsidRPr="00A176EA" w:rsidRDefault="00FE7FD1" w:rsidP="00FE7FD1">
            <w:pPr>
              <w:pStyle w:val="Text"/>
              <w:spacing w:before="40" w:after="120" w:line="220" w:lineRule="exact"/>
              <w:rPr>
                <w:rFonts w:ascii="Times New Roman" w:hAnsi="Times New Roman"/>
                <w:sz w:val="20"/>
                <w:lang w:val="fr-FR"/>
              </w:rPr>
            </w:pPr>
            <w:r>
              <w:rPr>
                <w:rFonts w:ascii="Times New Roman" w:hAnsi="Times New Roman"/>
                <w:sz w:val="20"/>
                <w:lang w:val="fr-FR"/>
              </w:rPr>
              <w:t xml:space="preserve">Application </w:t>
            </w:r>
            <w:r w:rsidRPr="00FE7FD1">
              <w:rPr>
                <w:rFonts w:ascii="Times New Roman" w:hAnsi="Times New Roman"/>
                <w:sz w:val="20"/>
                <w:lang w:val="fr-FR"/>
              </w:rPr>
              <w:t>directe de la</w:t>
            </w:r>
            <w:r w:rsidR="000B562B" w:rsidRPr="00FE7FD1">
              <w:rPr>
                <w:rFonts w:ascii="Times New Roman" w:hAnsi="Times New Roman"/>
                <w:sz w:val="20"/>
                <w:lang w:val="fr-FR"/>
              </w:rPr>
              <w:t xml:space="preserve"> </w:t>
            </w:r>
            <w:r w:rsidR="007A4C1B" w:rsidRPr="00FE7FD1">
              <w:rPr>
                <w:rFonts w:ascii="Times New Roman" w:hAnsi="Times New Roman"/>
                <w:sz w:val="20"/>
                <w:lang w:val="fr-FR"/>
              </w:rPr>
              <w:t>Convention européenne des droits de l’homme</w:t>
            </w:r>
            <w:r w:rsidR="000B562B" w:rsidRPr="00FE7FD1">
              <w:rPr>
                <w:rFonts w:ascii="Times New Roman" w:hAnsi="Times New Roman"/>
                <w:sz w:val="20"/>
                <w:lang w:val="fr-FR"/>
              </w:rPr>
              <w:t xml:space="preserve"> </w:t>
            </w:r>
            <w:r w:rsidRPr="00FE7FD1">
              <w:rPr>
                <w:rFonts w:ascii="Times New Roman" w:hAnsi="Times New Roman"/>
                <w:sz w:val="20"/>
                <w:lang w:val="fr-FR"/>
              </w:rPr>
              <w:t>par les juridictions nationales</w:t>
            </w:r>
            <w:r w:rsidR="000B562B" w:rsidRPr="00FE7FD1">
              <w:rPr>
                <w:rFonts w:ascii="Times New Roman" w:hAnsi="Times New Roman"/>
                <w:sz w:val="20"/>
                <w:lang w:val="fr-FR"/>
              </w:rPr>
              <w:t xml:space="preserve">. </w:t>
            </w:r>
            <w:r w:rsidRPr="00FE7FD1">
              <w:rPr>
                <w:rFonts w:ascii="Times New Roman" w:hAnsi="Times New Roman"/>
                <w:sz w:val="20"/>
                <w:lang w:val="fr-FR"/>
              </w:rPr>
              <w:t>Les personnes conservent le droit de faire appel auprès de la</w:t>
            </w:r>
            <w:r w:rsidR="000B562B" w:rsidRPr="00FE7FD1">
              <w:rPr>
                <w:rFonts w:ascii="Times New Roman" w:hAnsi="Times New Roman"/>
                <w:sz w:val="20"/>
                <w:lang w:val="fr-FR"/>
              </w:rPr>
              <w:t xml:space="preserve"> </w:t>
            </w:r>
            <w:r w:rsidR="007A4C1B" w:rsidRPr="00FE7FD1">
              <w:rPr>
                <w:rFonts w:ascii="Times New Roman" w:hAnsi="Times New Roman"/>
                <w:sz w:val="20"/>
                <w:lang w:val="fr-FR"/>
              </w:rPr>
              <w:t>Cour européenne des droits de l’homme</w:t>
            </w:r>
            <w:r w:rsidR="000B562B" w:rsidRPr="00FE7FD1">
              <w:rPr>
                <w:rFonts w:ascii="Times New Roman" w:hAnsi="Times New Roman"/>
                <w:sz w:val="20"/>
                <w:lang w:val="fr-FR"/>
              </w:rPr>
              <w:t xml:space="preserve"> </w:t>
            </w:r>
            <w:r w:rsidRPr="00FE7FD1">
              <w:rPr>
                <w:rFonts w:ascii="Times New Roman" w:hAnsi="Times New Roman"/>
                <w:sz w:val="20"/>
                <w:lang w:val="fr-FR"/>
              </w:rPr>
              <w:t>une fois tous les recours internes épuisés</w:t>
            </w:r>
            <w:r w:rsidR="000B562B" w:rsidRPr="00A176EA">
              <w:rPr>
                <w:rFonts w:ascii="Times New Roman" w:hAnsi="Times New Roman"/>
                <w:sz w:val="20"/>
                <w:lang w:val="fr-FR"/>
              </w:rPr>
              <w:t>.</w:t>
            </w:r>
          </w:p>
        </w:tc>
      </w:tr>
      <w:tr w:rsidR="000B562B" w:rsidRPr="00A176EA" w:rsidTr="009A4B0F">
        <w:tblPrEx>
          <w:tblCellMar>
            <w:top w:w="0" w:type="dxa"/>
            <w:bottom w:w="0" w:type="dxa"/>
          </w:tblCellMar>
        </w:tblPrEx>
        <w:trPr>
          <w:cantSplit/>
          <w:trHeight w:val="240"/>
        </w:trPr>
        <w:tc>
          <w:tcPr>
            <w:tcW w:w="4306" w:type="dxa"/>
            <w:shd w:val="clear" w:color="auto" w:fill="auto"/>
          </w:tcPr>
          <w:p w:rsidR="000B562B" w:rsidRPr="00A176EA" w:rsidRDefault="00FE7FD1" w:rsidP="00FE7FD1">
            <w:pPr>
              <w:pStyle w:val="Text"/>
              <w:spacing w:before="40" w:after="120" w:line="220" w:lineRule="exact"/>
              <w:rPr>
                <w:rFonts w:ascii="Times New Roman" w:hAnsi="Times New Roman"/>
                <w:sz w:val="20"/>
                <w:lang w:val="fr-FR"/>
              </w:rPr>
            </w:pPr>
            <w:r>
              <w:rPr>
                <w:rFonts w:ascii="Times New Roman" w:hAnsi="Times New Roman"/>
                <w:sz w:val="20"/>
                <w:lang w:val="fr-FR"/>
              </w:rPr>
              <w:t>Loi de</w:t>
            </w:r>
            <w:r w:rsidRPr="00A176EA">
              <w:rPr>
                <w:rFonts w:ascii="Times New Roman" w:hAnsi="Times New Roman"/>
                <w:sz w:val="20"/>
                <w:lang w:val="fr-FR"/>
              </w:rPr>
              <w:t xml:space="preserve"> 2002 </w:t>
            </w:r>
            <w:r>
              <w:rPr>
                <w:rFonts w:ascii="Times New Roman" w:hAnsi="Times New Roman"/>
                <w:sz w:val="20"/>
                <w:lang w:val="fr-FR"/>
              </w:rPr>
              <w:t>sur la</w:t>
            </w:r>
            <w:r w:rsidR="000B562B" w:rsidRPr="00A176EA">
              <w:rPr>
                <w:rFonts w:ascii="Times New Roman" w:hAnsi="Times New Roman"/>
                <w:sz w:val="20"/>
                <w:lang w:val="fr-FR"/>
              </w:rPr>
              <w:t xml:space="preserve"> </w:t>
            </w:r>
            <w:r>
              <w:rPr>
                <w:rFonts w:ascii="Times New Roman" w:hAnsi="Times New Roman"/>
                <w:sz w:val="20"/>
                <w:lang w:val="fr-FR"/>
              </w:rPr>
              <w:t>d</w:t>
            </w:r>
            <w:r w:rsidR="000B562B" w:rsidRPr="00A176EA">
              <w:rPr>
                <w:rFonts w:ascii="Times New Roman" w:hAnsi="Times New Roman"/>
                <w:sz w:val="20"/>
                <w:lang w:val="fr-FR"/>
              </w:rPr>
              <w:t>iscrimination</w:t>
            </w:r>
            <w:r>
              <w:rPr>
                <w:rFonts w:ascii="Times New Roman" w:hAnsi="Times New Roman"/>
                <w:sz w:val="20"/>
                <w:lang w:val="fr-FR"/>
              </w:rPr>
              <w:t xml:space="preserve"> fondée sur le sexe</w:t>
            </w:r>
            <w:r w:rsidR="000B562B" w:rsidRPr="00A176EA">
              <w:rPr>
                <w:rFonts w:ascii="Times New Roman" w:hAnsi="Times New Roman"/>
                <w:sz w:val="20"/>
                <w:lang w:val="fr-FR"/>
              </w:rPr>
              <w:t xml:space="preserve"> (</w:t>
            </w:r>
            <w:r w:rsidRPr="00A176EA">
              <w:rPr>
                <w:rFonts w:ascii="Times New Roman" w:hAnsi="Times New Roman"/>
                <w:sz w:val="20"/>
                <w:lang w:val="fr-FR"/>
              </w:rPr>
              <w:t xml:space="preserve">candidats </w:t>
            </w:r>
            <w:r>
              <w:rPr>
                <w:rFonts w:ascii="Times New Roman" w:hAnsi="Times New Roman"/>
                <w:sz w:val="20"/>
                <w:lang w:val="fr-FR"/>
              </w:rPr>
              <w:t>aux é</w:t>
            </w:r>
            <w:r w:rsidR="000B562B" w:rsidRPr="00A176EA">
              <w:rPr>
                <w:rFonts w:ascii="Times New Roman" w:hAnsi="Times New Roman"/>
                <w:sz w:val="20"/>
                <w:lang w:val="fr-FR"/>
              </w:rPr>
              <w:t>lection</w:t>
            </w:r>
            <w:r>
              <w:rPr>
                <w:rFonts w:ascii="Times New Roman" w:hAnsi="Times New Roman"/>
                <w:sz w:val="20"/>
                <w:lang w:val="fr-FR"/>
              </w:rPr>
              <w:t>s</w:t>
            </w:r>
            <w:r w:rsidR="000B562B" w:rsidRPr="00A176EA">
              <w:rPr>
                <w:rFonts w:ascii="Times New Roman" w:hAnsi="Times New Roman"/>
                <w:sz w:val="20"/>
                <w:lang w:val="fr-FR"/>
              </w:rPr>
              <w:t xml:space="preserve">) </w:t>
            </w:r>
          </w:p>
        </w:tc>
        <w:tc>
          <w:tcPr>
            <w:tcW w:w="4191" w:type="dxa"/>
            <w:shd w:val="clear" w:color="auto" w:fill="auto"/>
          </w:tcPr>
          <w:p w:rsidR="000B562B" w:rsidRPr="00A176EA" w:rsidRDefault="00FE7FD1" w:rsidP="00FE7FD1">
            <w:pPr>
              <w:pStyle w:val="Text"/>
              <w:spacing w:before="40" w:after="120" w:line="220" w:lineRule="exact"/>
              <w:rPr>
                <w:rFonts w:ascii="Times New Roman" w:hAnsi="Times New Roman"/>
                <w:sz w:val="20"/>
                <w:lang w:val="fr-FR"/>
              </w:rPr>
            </w:pPr>
            <w:r>
              <w:rPr>
                <w:rFonts w:ascii="Times New Roman" w:hAnsi="Times New Roman"/>
                <w:sz w:val="20"/>
                <w:lang w:val="fr-FR"/>
              </w:rPr>
              <w:t>Lutte contre la</w:t>
            </w:r>
            <w:r w:rsidR="000B562B" w:rsidRPr="00A176EA">
              <w:rPr>
                <w:rFonts w:ascii="Times New Roman" w:hAnsi="Times New Roman"/>
                <w:sz w:val="20"/>
                <w:lang w:val="fr-FR"/>
              </w:rPr>
              <w:t xml:space="preserve"> discrimination </w:t>
            </w:r>
            <w:r>
              <w:rPr>
                <w:rFonts w:ascii="Times New Roman" w:hAnsi="Times New Roman"/>
                <w:sz w:val="20"/>
                <w:lang w:val="fr-FR"/>
              </w:rPr>
              <w:t>fondée sur le genre</w:t>
            </w:r>
            <w:r w:rsidR="000B562B" w:rsidRPr="00A176EA">
              <w:rPr>
                <w:rFonts w:ascii="Times New Roman" w:hAnsi="Times New Roman"/>
                <w:sz w:val="20"/>
                <w:lang w:val="fr-FR"/>
              </w:rPr>
              <w:t xml:space="preserve"> </w:t>
            </w:r>
            <w:r>
              <w:rPr>
                <w:rFonts w:ascii="Times New Roman" w:hAnsi="Times New Roman"/>
                <w:sz w:val="20"/>
                <w:lang w:val="fr-FR"/>
              </w:rPr>
              <w:t>dans le processus électoral</w:t>
            </w:r>
            <w:r w:rsidR="000B562B" w:rsidRPr="00A176EA">
              <w:rPr>
                <w:rFonts w:ascii="Times New Roman" w:hAnsi="Times New Roman"/>
                <w:sz w:val="20"/>
                <w:lang w:val="fr-FR"/>
              </w:rPr>
              <w:t>.</w:t>
            </w:r>
          </w:p>
        </w:tc>
      </w:tr>
      <w:tr w:rsidR="000B562B" w:rsidRPr="00A176EA" w:rsidTr="009A4B0F">
        <w:tblPrEx>
          <w:tblCellMar>
            <w:top w:w="0" w:type="dxa"/>
            <w:bottom w:w="0" w:type="dxa"/>
          </w:tblCellMar>
        </w:tblPrEx>
        <w:trPr>
          <w:cantSplit/>
          <w:trHeight w:val="240"/>
        </w:trPr>
        <w:tc>
          <w:tcPr>
            <w:tcW w:w="4306" w:type="dxa"/>
            <w:shd w:val="clear" w:color="auto" w:fill="auto"/>
          </w:tcPr>
          <w:p w:rsidR="000B562B" w:rsidRPr="00A176EA" w:rsidRDefault="00FE7FD1" w:rsidP="00FE7FD1">
            <w:pPr>
              <w:pStyle w:val="Text"/>
              <w:spacing w:before="40" w:after="120" w:line="220" w:lineRule="exact"/>
              <w:rPr>
                <w:rFonts w:ascii="Times New Roman" w:hAnsi="Times New Roman"/>
                <w:sz w:val="20"/>
                <w:lang w:val="fr-FR"/>
              </w:rPr>
            </w:pPr>
            <w:r>
              <w:rPr>
                <w:rFonts w:ascii="Times New Roman" w:hAnsi="Times New Roman"/>
                <w:sz w:val="20"/>
                <w:lang w:val="fr-FR"/>
              </w:rPr>
              <w:t>Règlement de</w:t>
            </w:r>
            <w:r w:rsidR="000B562B" w:rsidRPr="00A176EA">
              <w:rPr>
                <w:rFonts w:ascii="Times New Roman" w:hAnsi="Times New Roman"/>
                <w:sz w:val="20"/>
                <w:lang w:val="fr-FR"/>
              </w:rPr>
              <w:t xml:space="preserve"> 2003</w:t>
            </w:r>
            <w:r>
              <w:rPr>
                <w:rFonts w:ascii="Times New Roman" w:hAnsi="Times New Roman"/>
                <w:sz w:val="20"/>
                <w:lang w:val="fr-FR"/>
              </w:rPr>
              <w:t xml:space="preserve"> sur l’égalité dans l’emploi</w:t>
            </w:r>
            <w:r w:rsidR="000B562B" w:rsidRPr="00A176EA">
              <w:rPr>
                <w:rFonts w:ascii="Times New Roman" w:hAnsi="Times New Roman"/>
                <w:sz w:val="20"/>
                <w:lang w:val="fr-FR"/>
              </w:rPr>
              <w:t xml:space="preserve"> (</w:t>
            </w:r>
            <w:r w:rsidRPr="00A176EA">
              <w:rPr>
                <w:rFonts w:ascii="Times New Roman" w:hAnsi="Times New Roman"/>
                <w:sz w:val="20"/>
                <w:lang w:val="fr-FR"/>
              </w:rPr>
              <w:t xml:space="preserve">orientation </w:t>
            </w:r>
            <w:r w:rsidR="000B562B" w:rsidRPr="00A176EA">
              <w:rPr>
                <w:rFonts w:ascii="Times New Roman" w:hAnsi="Times New Roman"/>
                <w:sz w:val="20"/>
                <w:lang w:val="fr-FR"/>
              </w:rPr>
              <w:t>sexu</w:t>
            </w:r>
            <w:r>
              <w:rPr>
                <w:rFonts w:ascii="Times New Roman" w:hAnsi="Times New Roman"/>
                <w:sz w:val="20"/>
                <w:lang w:val="fr-FR"/>
              </w:rPr>
              <w:t>el</w:t>
            </w:r>
            <w:r w:rsidR="000B562B" w:rsidRPr="00A176EA">
              <w:rPr>
                <w:rFonts w:ascii="Times New Roman" w:hAnsi="Times New Roman"/>
                <w:sz w:val="20"/>
                <w:lang w:val="fr-FR"/>
              </w:rPr>
              <w:t>l</w:t>
            </w:r>
            <w:r>
              <w:rPr>
                <w:rFonts w:ascii="Times New Roman" w:hAnsi="Times New Roman"/>
                <w:sz w:val="20"/>
                <w:lang w:val="fr-FR"/>
              </w:rPr>
              <w:t>e</w:t>
            </w:r>
            <w:r w:rsidR="000B562B" w:rsidRPr="00A176EA">
              <w:rPr>
                <w:rFonts w:ascii="Times New Roman" w:hAnsi="Times New Roman"/>
                <w:sz w:val="20"/>
                <w:lang w:val="fr-FR"/>
              </w:rPr>
              <w:t>, religion o</w:t>
            </w:r>
            <w:r>
              <w:rPr>
                <w:rFonts w:ascii="Times New Roman" w:hAnsi="Times New Roman"/>
                <w:sz w:val="20"/>
                <w:lang w:val="fr-FR"/>
              </w:rPr>
              <w:t>u</w:t>
            </w:r>
            <w:r w:rsidR="000B562B" w:rsidRPr="00A176EA">
              <w:rPr>
                <w:rFonts w:ascii="Times New Roman" w:hAnsi="Times New Roman"/>
                <w:sz w:val="20"/>
                <w:lang w:val="fr-FR"/>
              </w:rPr>
              <w:t xml:space="preserve"> </w:t>
            </w:r>
            <w:r>
              <w:rPr>
                <w:rFonts w:ascii="Times New Roman" w:hAnsi="Times New Roman"/>
                <w:sz w:val="20"/>
                <w:lang w:val="fr-FR"/>
              </w:rPr>
              <w:t>conviction</w:t>
            </w:r>
            <w:r w:rsidR="000B562B" w:rsidRPr="00A176EA">
              <w:rPr>
                <w:rFonts w:ascii="Times New Roman" w:hAnsi="Times New Roman"/>
                <w:sz w:val="20"/>
                <w:lang w:val="fr-FR"/>
              </w:rPr>
              <w:t>)</w:t>
            </w:r>
          </w:p>
        </w:tc>
        <w:tc>
          <w:tcPr>
            <w:tcW w:w="4191" w:type="dxa"/>
            <w:shd w:val="clear" w:color="auto" w:fill="auto"/>
          </w:tcPr>
          <w:p w:rsidR="000B562B" w:rsidRPr="00A176EA" w:rsidRDefault="00FE7FD1" w:rsidP="00FE7FD1">
            <w:pPr>
              <w:pStyle w:val="Text"/>
              <w:spacing w:before="40" w:after="120" w:line="220" w:lineRule="exact"/>
              <w:rPr>
                <w:rFonts w:ascii="Times New Roman" w:hAnsi="Times New Roman"/>
                <w:sz w:val="20"/>
                <w:lang w:val="fr-FR"/>
              </w:rPr>
            </w:pPr>
            <w:r>
              <w:rPr>
                <w:rFonts w:ascii="Times New Roman" w:hAnsi="Times New Roman"/>
                <w:sz w:val="20"/>
                <w:lang w:val="fr-FR"/>
              </w:rPr>
              <w:t>Lutte contre la</w:t>
            </w:r>
            <w:r w:rsidR="000B562B" w:rsidRPr="00A176EA">
              <w:rPr>
                <w:rFonts w:ascii="Times New Roman" w:hAnsi="Times New Roman"/>
                <w:sz w:val="20"/>
                <w:lang w:val="fr-FR"/>
              </w:rPr>
              <w:t xml:space="preserve"> discrimination </w:t>
            </w:r>
            <w:r>
              <w:rPr>
                <w:rFonts w:ascii="Times New Roman" w:hAnsi="Times New Roman"/>
                <w:sz w:val="20"/>
                <w:lang w:val="fr-FR"/>
              </w:rPr>
              <w:t>fondée sur</w:t>
            </w:r>
            <w:r w:rsidR="000B562B" w:rsidRPr="00A176EA">
              <w:rPr>
                <w:rFonts w:ascii="Times New Roman" w:hAnsi="Times New Roman"/>
                <w:sz w:val="20"/>
                <w:lang w:val="fr-FR"/>
              </w:rPr>
              <w:t xml:space="preserve"> </w:t>
            </w:r>
            <w:r>
              <w:rPr>
                <w:rFonts w:ascii="Times New Roman" w:hAnsi="Times New Roman"/>
                <w:sz w:val="20"/>
                <w:lang w:val="fr-FR"/>
              </w:rPr>
              <w:t>l’</w:t>
            </w:r>
            <w:r w:rsidRPr="00A176EA">
              <w:rPr>
                <w:rFonts w:ascii="Times New Roman" w:hAnsi="Times New Roman"/>
                <w:sz w:val="20"/>
                <w:lang w:val="fr-FR"/>
              </w:rPr>
              <w:t xml:space="preserve">orientation </w:t>
            </w:r>
            <w:r>
              <w:rPr>
                <w:rFonts w:ascii="Times New Roman" w:hAnsi="Times New Roman"/>
                <w:sz w:val="20"/>
                <w:lang w:val="fr-FR"/>
              </w:rPr>
              <w:t>sexuelle ou la</w:t>
            </w:r>
            <w:r w:rsidR="000B562B" w:rsidRPr="00A176EA">
              <w:rPr>
                <w:rFonts w:ascii="Times New Roman" w:hAnsi="Times New Roman"/>
                <w:sz w:val="20"/>
                <w:lang w:val="fr-FR"/>
              </w:rPr>
              <w:t xml:space="preserve"> religion </w:t>
            </w:r>
            <w:r>
              <w:rPr>
                <w:rFonts w:ascii="Times New Roman" w:hAnsi="Times New Roman"/>
                <w:sz w:val="20"/>
                <w:lang w:val="fr-FR"/>
              </w:rPr>
              <w:t>et la croyance sur le lieu de travail</w:t>
            </w:r>
            <w:r w:rsidR="000B562B" w:rsidRPr="00A176EA">
              <w:rPr>
                <w:rFonts w:ascii="Times New Roman" w:hAnsi="Times New Roman"/>
                <w:sz w:val="20"/>
                <w:lang w:val="fr-FR"/>
              </w:rPr>
              <w:t>.</w:t>
            </w:r>
          </w:p>
        </w:tc>
      </w:tr>
      <w:tr w:rsidR="000B562B" w:rsidRPr="00A176EA" w:rsidTr="009A4B0F">
        <w:tblPrEx>
          <w:tblCellMar>
            <w:top w:w="0" w:type="dxa"/>
            <w:bottom w:w="0" w:type="dxa"/>
          </w:tblCellMar>
        </w:tblPrEx>
        <w:trPr>
          <w:cantSplit/>
          <w:trHeight w:val="240"/>
        </w:trPr>
        <w:tc>
          <w:tcPr>
            <w:tcW w:w="4306" w:type="dxa"/>
            <w:shd w:val="clear" w:color="auto" w:fill="auto"/>
          </w:tcPr>
          <w:p w:rsidR="000B562B" w:rsidRPr="00A176EA" w:rsidRDefault="00FE7FD1" w:rsidP="00FE7FD1">
            <w:pPr>
              <w:pStyle w:val="Text"/>
              <w:spacing w:before="40" w:after="120" w:line="220" w:lineRule="exact"/>
              <w:rPr>
                <w:rFonts w:ascii="Times New Roman" w:hAnsi="Times New Roman"/>
                <w:sz w:val="20"/>
                <w:lang w:val="fr-FR"/>
              </w:rPr>
            </w:pPr>
            <w:r>
              <w:rPr>
                <w:rFonts w:ascii="Times New Roman" w:hAnsi="Times New Roman"/>
                <w:sz w:val="20"/>
                <w:lang w:val="fr-FR"/>
              </w:rPr>
              <w:t>Loi de</w:t>
            </w:r>
            <w:r w:rsidRPr="00A176EA">
              <w:rPr>
                <w:rFonts w:ascii="Times New Roman" w:hAnsi="Times New Roman"/>
                <w:sz w:val="20"/>
                <w:lang w:val="fr-FR"/>
              </w:rPr>
              <w:t xml:space="preserve"> 2004</w:t>
            </w:r>
            <w:r>
              <w:rPr>
                <w:rFonts w:ascii="Times New Roman" w:hAnsi="Times New Roman"/>
                <w:sz w:val="20"/>
                <w:lang w:val="fr-FR"/>
              </w:rPr>
              <w:t xml:space="preserve"> sur le partenariat civil</w:t>
            </w:r>
            <w:r w:rsidR="000B562B" w:rsidRPr="00A176EA">
              <w:rPr>
                <w:rFonts w:ascii="Times New Roman" w:hAnsi="Times New Roman"/>
                <w:sz w:val="20"/>
                <w:lang w:val="fr-FR"/>
              </w:rPr>
              <w:t xml:space="preserve"> </w:t>
            </w:r>
          </w:p>
        </w:tc>
        <w:tc>
          <w:tcPr>
            <w:tcW w:w="4191" w:type="dxa"/>
            <w:shd w:val="clear" w:color="auto" w:fill="auto"/>
          </w:tcPr>
          <w:p w:rsidR="000B562B" w:rsidRPr="00A176EA" w:rsidRDefault="00FE7FD1" w:rsidP="00FE7FD1">
            <w:pPr>
              <w:pStyle w:val="Text"/>
              <w:spacing w:before="40" w:after="120" w:line="220" w:lineRule="exact"/>
              <w:rPr>
                <w:rFonts w:ascii="Times New Roman" w:hAnsi="Times New Roman"/>
                <w:sz w:val="20"/>
                <w:lang w:val="fr-FR"/>
              </w:rPr>
            </w:pPr>
            <w:r>
              <w:rPr>
                <w:rFonts w:ascii="Times New Roman" w:hAnsi="Times New Roman"/>
                <w:sz w:val="20"/>
                <w:lang w:val="fr-FR"/>
              </w:rPr>
              <w:t>Reconnaissance c</w:t>
            </w:r>
            <w:r w:rsidR="000B562B" w:rsidRPr="00A176EA">
              <w:rPr>
                <w:rFonts w:ascii="Times New Roman" w:hAnsi="Times New Roman"/>
                <w:sz w:val="20"/>
                <w:lang w:val="fr-FR"/>
              </w:rPr>
              <w:t>ivil</w:t>
            </w:r>
            <w:r>
              <w:rPr>
                <w:rFonts w:ascii="Times New Roman" w:hAnsi="Times New Roman"/>
                <w:sz w:val="20"/>
                <w:lang w:val="fr-FR"/>
              </w:rPr>
              <w:t>e des partenariats entre personnes du même sexe</w:t>
            </w:r>
            <w:r w:rsidR="000B562B" w:rsidRPr="00A176EA">
              <w:rPr>
                <w:rFonts w:ascii="Times New Roman" w:hAnsi="Times New Roman"/>
                <w:sz w:val="20"/>
                <w:lang w:val="fr-FR"/>
              </w:rPr>
              <w:t>.</w:t>
            </w:r>
          </w:p>
        </w:tc>
      </w:tr>
      <w:tr w:rsidR="000B562B" w:rsidRPr="00A176EA" w:rsidTr="009A4B0F">
        <w:tblPrEx>
          <w:tblCellMar>
            <w:top w:w="0" w:type="dxa"/>
            <w:bottom w:w="0" w:type="dxa"/>
          </w:tblCellMar>
        </w:tblPrEx>
        <w:trPr>
          <w:cantSplit/>
          <w:trHeight w:val="240"/>
        </w:trPr>
        <w:tc>
          <w:tcPr>
            <w:tcW w:w="4306" w:type="dxa"/>
            <w:shd w:val="clear" w:color="auto" w:fill="auto"/>
          </w:tcPr>
          <w:p w:rsidR="000B562B" w:rsidRPr="00A176EA" w:rsidRDefault="00FE7FD1" w:rsidP="00FE7FD1">
            <w:pPr>
              <w:pStyle w:val="Text"/>
              <w:spacing w:before="40" w:after="120" w:line="220" w:lineRule="exact"/>
              <w:rPr>
                <w:rFonts w:ascii="Times New Roman" w:hAnsi="Times New Roman"/>
                <w:sz w:val="20"/>
                <w:lang w:val="fr-FR"/>
              </w:rPr>
            </w:pPr>
            <w:r>
              <w:rPr>
                <w:rFonts w:ascii="Times New Roman" w:hAnsi="Times New Roman"/>
                <w:sz w:val="20"/>
                <w:lang w:val="fr-FR"/>
              </w:rPr>
              <w:t>Loi de</w:t>
            </w:r>
            <w:r w:rsidRPr="00A176EA">
              <w:rPr>
                <w:rFonts w:ascii="Times New Roman" w:hAnsi="Times New Roman"/>
                <w:sz w:val="20"/>
                <w:lang w:val="fr-FR"/>
              </w:rPr>
              <w:t xml:space="preserve"> 2004</w:t>
            </w:r>
            <w:r>
              <w:rPr>
                <w:rFonts w:ascii="Times New Roman" w:hAnsi="Times New Roman"/>
                <w:sz w:val="20"/>
                <w:lang w:val="fr-FR"/>
              </w:rPr>
              <w:t xml:space="preserve"> sur les r</w:t>
            </w:r>
            <w:r w:rsidR="000B562B" w:rsidRPr="00A176EA">
              <w:rPr>
                <w:rFonts w:ascii="Times New Roman" w:hAnsi="Times New Roman"/>
                <w:sz w:val="20"/>
                <w:lang w:val="fr-FR"/>
              </w:rPr>
              <w:t xml:space="preserve">elations </w:t>
            </w:r>
            <w:r>
              <w:rPr>
                <w:rFonts w:ascii="Times New Roman" w:hAnsi="Times New Roman"/>
                <w:sz w:val="20"/>
                <w:lang w:val="fr-FR"/>
              </w:rPr>
              <w:t>de travail</w:t>
            </w:r>
          </w:p>
        </w:tc>
        <w:tc>
          <w:tcPr>
            <w:tcW w:w="4191" w:type="dxa"/>
            <w:shd w:val="clear" w:color="auto" w:fill="auto"/>
          </w:tcPr>
          <w:p w:rsidR="000B562B" w:rsidRPr="00A176EA" w:rsidRDefault="000B562B" w:rsidP="00FE7FD1">
            <w:pPr>
              <w:pStyle w:val="Text"/>
              <w:spacing w:before="40" w:after="120" w:line="220" w:lineRule="exact"/>
              <w:rPr>
                <w:rFonts w:ascii="Times New Roman" w:hAnsi="Times New Roman"/>
                <w:sz w:val="20"/>
                <w:lang w:val="fr-FR"/>
              </w:rPr>
            </w:pPr>
            <w:r w:rsidRPr="00A176EA">
              <w:rPr>
                <w:rFonts w:ascii="Times New Roman" w:hAnsi="Times New Roman"/>
                <w:sz w:val="20"/>
                <w:lang w:val="fr-FR"/>
              </w:rPr>
              <w:t xml:space="preserve">Protection </w:t>
            </w:r>
            <w:r w:rsidR="00FE7FD1">
              <w:rPr>
                <w:rFonts w:ascii="Times New Roman" w:hAnsi="Times New Roman"/>
                <w:sz w:val="20"/>
                <w:lang w:val="fr-FR"/>
              </w:rPr>
              <w:t>des</w:t>
            </w:r>
            <w:r w:rsidRPr="00A176EA">
              <w:rPr>
                <w:rFonts w:ascii="Times New Roman" w:hAnsi="Times New Roman"/>
                <w:sz w:val="20"/>
                <w:lang w:val="fr-FR"/>
              </w:rPr>
              <w:t xml:space="preserve"> employ</w:t>
            </w:r>
            <w:r w:rsidR="00FE7FD1">
              <w:rPr>
                <w:rFonts w:ascii="Times New Roman" w:hAnsi="Times New Roman"/>
                <w:sz w:val="20"/>
                <w:lang w:val="fr-FR"/>
              </w:rPr>
              <w:t>é</w:t>
            </w:r>
            <w:r w:rsidRPr="00A176EA">
              <w:rPr>
                <w:rFonts w:ascii="Times New Roman" w:hAnsi="Times New Roman"/>
                <w:sz w:val="20"/>
                <w:lang w:val="fr-FR"/>
              </w:rPr>
              <w:t xml:space="preserve">s </w:t>
            </w:r>
            <w:r w:rsidR="00FE7FD1">
              <w:rPr>
                <w:rFonts w:ascii="Times New Roman" w:hAnsi="Times New Roman"/>
                <w:sz w:val="20"/>
                <w:lang w:val="fr-FR"/>
              </w:rPr>
              <w:t>contre le licenciement</w:t>
            </w:r>
            <w:r w:rsidRPr="00A176EA">
              <w:rPr>
                <w:rFonts w:ascii="Times New Roman" w:hAnsi="Times New Roman"/>
                <w:sz w:val="20"/>
                <w:lang w:val="fr-FR"/>
              </w:rPr>
              <w:t xml:space="preserve"> </w:t>
            </w:r>
            <w:r w:rsidR="00FE7FD1">
              <w:rPr>
                <w:rFonts w:ascii="Times New Roman" w:hAnsi="Times New Roman"/>
                <w:sz w:val="20"/>
                <w:lang w:val="fr-FR"/>
              </w:rPr>
              <w:t>et</w:t>
            </w:r>
            <w:r w:rsidRPr="00A176EA">
              <w:rPr>
                <w:rFonts w:ascii="Times New Roman" w:hAnsi="Times New Roman"/>
                <w:sz w:val="20"/>
                <w:lang w:val="fr-FR"/>
              </w:rPr>
              <w:t xml:space="preserve"> </w:t>
            </w:r>
            <w:r w:rsidR="00FE7FD1">
              <w:rPr>
                <w:rFonts w:ascii="Times New Roman" w:hAnsi="Times New Roman"/>
                <w:sz w:val="20"/>
                <w:lang w:val="fr-FR"/>
              </w:rPr>
              <w:t xml:space="preserve">les </w:t>
            </w:r>
            <w:r w:rsidRPr="00A176EA">
              <w:rPr>
                <w:rFonts w:ascii="Times New Roman" w:hAnsi="Times New Roman"/>
                <w:sz w:val="20"/>
                <w:lang w:val="fr-FR"/>
              </w:rPr>
              <w:t>proc</w:t>
            </w:r>
            <w:r w:rsidR="00FE7FD1">
              <w:rPr>
                <w:rFonts w:ascii="Times New Roman" w:hAnsi="Times New Roman"/>
                <w:sz w:val="20"/>
                <w:lang w:val="fr-FR"/>
              </w:rPr>
              <w:t>é</w:t>
            </w:r>
            <w:r w:rsidRPr="00A176EA">
              <w:rPr>
                <w:rFonts w:ascii="Times New Roman" w:hAnsi="Times New Roman"/>
                <w:sz w:val="20"/>
                <w:lang w:val="fr-FR"/>
              </w:rPr>
              <w:t xml:space="preserve">dures </w:t>
            </w:r>
            <w:r w:rsidR="00FE7FD1">
              <w:rPr>
                <w:rFonts w:ascii="Times New Roman" w:hAnsi="Times New Roman"/>
                <w:sz w:val="20"/>
                <w:lang w:val="fr-FR"/>
              </w:rPr>
              <w:t>dans le cadre d’un conflit social</w:t>
            </w:r>
            <w:r w:rsidRPr="00A176EA">
              <w:rPr>
                <w:rFonts w:ascii="Times New Roman" w:hAnsi="Times New Roman"/>
                <w:sz w:val="20"/>
                <w:lang w:val="fr-FR"/>
              </w:rPr>
              <w:t>.</w:t>
            </w:r>
          </w:p>
        </w:tc>
      </w:tr>
      <w:tr w:rsidR="000B562B" w:rsidRPr="00A176EA" w:rsidTr="009A4B0F">
        <w:tblPrEx>
          <w:tblCellMar>
            <w:top w:w="0" w:type="dxa"/>
            <w:bottom w:w="0" w:type="dxa"/>
          </w:tblCellMar>
        </w:tblPrEx>
        <w:trPr>
          <w:cantSplit/>
          <w:trHeight w:val="240"/>
        </w:trPr>
        <w:tc>
          <w:tcPr>
            <w:tcW w:w="4306" w:type="dxa"/>
            <w:shd w:val="clear" w:color="auto" w:fill="auto"/>
          </w:tcPr>
          <w:p w:rsidR="000B562B" w:rsidRPr="00A176EA" w:rsidRDefault="00A11D29" w:rsidP="00BE5E0C">
            <w:pPr>
              <w:pStyle w:val="Text"/>
              <w:spacing w:before="40" w:after="120" w:line="220" w:lineRule="exact"/>
              <w:rPr>
                <w:rFonts w:ascii="Times New Roman" w:hAnsi="Times New Roman"/>
                <w:sz w:val="20"/>
                <w:lang w:val="fr-FR"/>
              </w:rPr>
            </w:pPr>
            <w:r>
              <w:rPr>
                <w:rFonts w:ascii="Times New Roman" w:hAnsi="Times New Roman"/>
                <w:sz w:val="20"/>
                <w:lang w:val="fr-FR"/>
              </w:rPr>
              <w:t>Loi de</w:t>
            </w:r>
            <w:r w:rsidRPr="00A176EA">
              <w:rPr>
                <w:rFonts w:ascii="Times New Roman" w:hAnsi="Times New Roman"/>
                <w:sz w:val="20"/>
                <w:lang w:val="fr-FR"/>
              </w:rPr>
              <w:t xml:space="preserve"> 2004</w:t>
            </w:r>
            <w:r>
              <w:rPr>
                <w:rFonts w:ascii="Times New Roman" w:hAnsi="Times New Roman"/>
                <w:sz w:val="20"/>
                <w:lang w:val="fr-FR"/>
              </w:rPr>
              <w:t xml:space="preserve"> </w:t>
            </w:r>
            <w:r w:rsidR="00BE5E0C">
              <w:rPr>
                <w:rFonts w:ascii="Times New Roman" w:hAnsi="Times New Roman"/>
                <w:sz w:val="20"/>
                <w:lang w:val="fr-FR"/>
              </w:rPr>
              <w:t>sur la reconnaissance du sexe</w:t>
            </w:r>
            <w:r w:rsidR="000B562B" w:rsidRPr="00A176EA">
              <w:rPr>
                <w:rFonts w:ascii="Times New Roman" w:hAnsi="Times New Roman"/>
                <w:sz w:val="20"/>
                <w:lang w:val="fr-FR"/>
              </w:rPr>
              <w:t xml:space="preserve"> </w:t>
            </w:r>
          </w:p>
        </w:tc>
        <w:tc>
          <w:tcPr>
            <w:tcW w:w="4191" w:type="dxa"/>
            <w:shd w:val="clear" w:color="auto" w:fill="auto"/>
          </w:tcPr>
          <w:p w:rsidR="000B562B" w:rsidRPr="00A176EA" w:rsidRDefault="00BE5E0C" w:rsidP="00BE5E0C">
            <w:pPr>
              <w:pStyle w:val="Text"/>
              <w:spacing w:before="40" w:after="120" w:line="220" w:lineRule="exact"/>
              <w:rPr>
                <w:rFonts w:ascii="Times New Roman" w:hAnsi="Times New Roman"/>
                <w:sz w:val="20"/>
                <w:lang w:val="fr-FR"/>
              </w:rPr>
            </w:pPr>
            <w:r>
              <w:rPr>
                <w:rFonts w:ascii="Times New Roman" w:hAnsi="Times New Roman"/>
                <w:sz w:val="20"/>
                <w:lang w:val="fr-FR"/>
              </w:rPr>
              <w:t>Reconnaissance civile de la nouvelle identité sexuelle des transsexuels</w:t>
            </w:r>
            <w:r w:rsidR="000B562B" w:rsidRPr="00A176EA">
              <w:rPr>
                <w:rFonts w:ascii="Times New Roman" w:hAnsi="Times New Roman"/>
                <w:sz w:val="20"/>
                <w:lang w:val="fr-FR"/>
              </w:rPr>
              <w:t>.</w:t>
            </w:r>
          </w:p>
        </w:tc>
      </w:tr>
      <w:tr w:rsidR="000B562B" w:rsidRPr="00A176EA" w:rsidTr="009A4B0F">
        <w:tblPrEx>
          <w:tblCellMar>
            <w:top w:w="0" w:type="dxa"/>
            <w:bottom w:w="0" w:type="dxa"/>
          </w:tblCellMar>
        </w:tblPrEx>
        <w:trPr>
          <w:cantSplit/>
          <w:trHeight w:val="240"/>
        </w:trPr>
        <w:tc>
          <w:tcPr>
            <w:tcW w:w="4306" w:type="dxa"/>
            <w:shd w:val="clear" w:color="auto" w:fill="auto"/>
          </w:tcPr>
          <w:p w:rsidR="000B562B" w:rsidRPr="00A176EA" w:rsidRDefault="00A11D29" w:rsidP="00BE5E0C">
            <w:pPr>
              <w:pStyle w:val="Text"/>
              <w:spacing w:before="40" w:after="120" w:line="220" w:lineRule="exact"/>
              <w:rPr>
                <w:rFonts w:ascii="Times New Roman" w:hAnsi="Times New Roman"/>
                <w:sz w:val="20"/>
                <w:lang w:val="fr-FR"/>
              </w:rPr>
            </w:pPr>
            <w:r>
              <w:rPr>
                <w:rFonts w:ascii="Times New Roman" w:hAnsi="Times New Roman"/>
                <w:sz w:val="20"/>
                <w:lang w:val="fr-FR"/>
              </w:rPr>
              <w:t>Loi de</w:t>
            </w:r>
            <w:r w:rsidRPr="00A176EA">
              <w:rPr>
                <w:rFonts w:ascii="Times New Roman" w:hAnsi="Times New Roman"/>
                <w:sz w:val="20"/>
                <w:lang w:val="fr-FR"/>
              </w:rPr>
              <w:t xml:space="preserve"> 2004</w:t>
            </w:r>
            <w:r>
              <w:rPr>
                <w:rFonts w:ascii="Times New Roman" w:hAnsi="Times New Roman"/>
                <w:sz w:val="20"/>
                <w:lang w:val="fr-FR"/>
              </w:rPr>
              <w:t xml:space="preserve"> </w:t>
            </w:r>
            <w:r w:rsidR="00BE5E0C">
              <w:rPr>
                <w:rFonts w:ascii="Times New Roman" w:hAnsi="Times New Roman"/>
                <w:sz w:val="20"/>
                <w:lang w:val="fr-FR"/>
              </w:rPr>
              <w:t>sur les enfants</w:t>
            </w:r>
            <w:r w:rsidR="000B562B" w:rsidRPr="00A176EA">
              <w:rPr>
                <w:rFonts w:ascii="Times New Roman" w:hAnsi="Times New Roman"/>
                <w:sz w:val="20"/>
                <w:lang w:val="fr-FR"/>
              </w:rPr>
              <w:t xml:space="preserve"> </w:t>
            </w:r>
          </w:p>
        </w:tc>
        <w:tc>
          <w:tcPr>
            <w:tcW w:w="4191" w:type="dxa"/>
            <w:shd w:val="clear" w:color="auto" w:fill="auto"/>
          </w:tcPr>
          <w:p w:rsidR="000B562B" w:rsidRPr="00A176EA" w:rsidRDefault="000B562B" w:rsidP="00BE5E0C">
            <w:pPr>
              <w:pStyle w:val="Text"/>
              <w:spacing w:before="40" w:after="120" w:line="220" w:lineRule="exact"/>
              <w:rPr>
                <w:rFonts w:ascii="Times New Roman" w:hAnsi="Times New Roman"/>
                <w:sz w:val="20"/>
                <w:lang w:val="fr-FR"/>
              </w:rPr>
            </w:pPr>
            <w:r w:rsidRPr="00A176EA">
              <w:rPr>
                <w:rFonts w:ascii="Times New Roman" w:hAnsi="Times New Roman"/>
                <w:sz w:val="20"/>
                <w:lang w:val="fr-FR"/>
              </w:rPr>
              <w:t xml:space="preserve">Protection </w:t>
            </w:r>
            <w:r w:rsidR="00BE5E0C">
              <w:rPr>
                <w:rFonts w:ascii="Times New Roman" w:hAnsi="Times New Roman"/>
                <w:sz w:val="20"/>
                <w:lang w:val="fr-FR"/>
              </w:rPr>
              <w:t>des enfants contre la maltraitance.</w:t>
            </w:r>
          </w:p>
        </w:tc>
      </w:tr>
      <w:tr w:rsidR="000B562B" w:rsidRPr="00A176EA" w:rsidTr="009A4B0F">
        <w:tblPrEx>
          <w:tblCellMar>
            <w:top w:w="0" w:type="dxa"/>
            <w:bottom w:w="0" w:type="dxa"/>
          </w:tblCellMar>
        </w:tblPrEx>
        <w:trPr>
          <w:cantSplit/>
          <w:trHeight w:val="240"/>
        </w:trPr>
        <w:tc>
          <w:tcPr>
            <w:tcW w:w="4306" w:type="dxa"/>
            <w:shd w:val="clear" w:color="auto" w:fill="auto"/>
          </w:tcPr>
          <w:p w:rsidR="000B562B" w:rsidRPr="00A176EA" w:rsidRDefault="00A11D29" w:rsidP="00BE5E0C">
            <w:pPr>
              <w:pStyle w:val="Text"/>
              <w:spacing w:before="40" w:after="120" w:line="220" w:lineRule="exact"/>
              <w:rPr>
                <w:rFonts w:ascii="Times New Roman" w:hAnsi="Times New Roman"/>
                <w:sz w:val="20"/>
                <w:lang w:val="fr-FR"/>
              </w:rPr>
            </w:pPr>
            <w:r>
              <w:rPr>
                <w:rFonts w:ascii="Times New Roman" w:hAnsi="Times New Roman"/>
                <w:sz w:val="20"/>
                <w:lang w:val="fr-FR"/>
              </w:rPr>
              <w:t>Loi de</w:t>
            </w:r>
            <w:r w:rsidRPr="00A176EA">
              <w:rPr>
                <w:rFonts w:ascii="Times New Roman" w:hAnsi="Times New Roman"/>
                <w:sz w:val="20"/>
                <w:lang w:val="fr-FR"/>
              </w:rPr>
              <w:t xml:space="preserve"> 2004</w:t>
            </w:r>
            <w:r>
              <w:rPr>
                <w:rFonts w:ascii="Times New Roman" w:hAnsi="Times New Roman"/>
                <w:sz w:val="20"/>
                <w:lang w:val="fr-FR"/>
              </w:rPr>
              <w:t xml:space="preserve"> </w:t>
            </w:r>
            <w:r w:rsidR="00BE5E0C">
              <w:rPr>
                <w:rFonts w:ascii="Times New Roman" w:hAnsi="Times New Roman"/>
                <w:sz w:val="20"/>
                <w:lang w:val="fr-FR"/>
              </w:rPr>
              <w:t>sur la violence familiale, les actes criminels et les victimes</w:t>
            </w:r>
          </w:p>
        </w:tc>
        <w:tc>
          <w:tcPr>
            <w:tcW w:w="4191" w:type="dxa"/>
            <w:shd w:val="clear" w:color="auto" w:fill="auto"/>
          </w:tcPr>
          <w:p w:rsidR="000B562B" w:rsidRPr="00A176EA" w:rsidRDefault="00BE5E0C" w:rsidP="00BE5E0C">
            <w:pPr>
              <w:pStyle w:val="Text"/>
              <w:spacing w:before="40" w:after="120" w:line="220" w:lineRule="exact"/>
              <w:rPr>
                <w:rFonts w:ascii="Times New Roman" w:hAnsi="Times New Roman"/>
                <w:sz w:val="20"/>
                <w:lang w:val="fr-FR"/>
              </w:rPr>
            </w:pPr>
            <w:r>
              <w:rPr>
                <w:rFonts w:ascii="Times New Roman" w:hAnsi="Times New Roman"/>
                <w:sz w:val="20"/>
                <w:lang w:val="fr-FR"/>
              </w:rPr>
              <w:t>Peines plus sévères pour les auteurs de violence familiale et renforcement du soutien</w:t>
            </w:r>
            <w:r w:rsidR="000B562B" w:rsidRPr="00A176EA">
              <w:rPr>
                <w:rFonts w:ascii="Times New Roman" w:hAnsi="Times New Roman"/>
                <w:sz w:val="20"/>
                <w:lang w:val="fr-FR"/>
              </w:rPr>
              <w:t xml:space="preserve"> </w:t>
            </w:r>
            <w:r>
              <w:rPr>
                <w:rFonts w:ascii="Times New Roman" w:hAnsi="Times New Roman"/>
                <w:sz w:val="20"/>
                <w:lang w:val="fr-FR"/>
              </w:rPr>
              <w:t>aux victimes.</w:t>
            </w:r>
          </w:p>
        </w:tc>
      </w:tr>
      <w:tr w:rsidR="000B562B" w:rsidRPr="00A176EA" w:rsidTr="009A4B0F">
        <w:tblPrEx>
          <w:tblCellMar>
            <w:top w:w="0" w:type="dxa"/>
            <w:bottom w:w="0" w:type="dxa"/>
          </w:tblCellMar>
        </w:tblPrEx>
        <w:trPr>
          <w:cantSplit/>
          <w:trHeight w:val="240"/>
        </w:trPr>
        <w:tc>
          <w:tcPr>
            <w:tcW w:w="4306" w:type="dxa"/>
            <w:shd w:val="clear" w:color="auto" w:fill="auto"/>
          </w:tcPr>
          <w:p w:rsidR="000B562B" w:rsidRPr="00A176EA" w:rsidRDefault="00A11D29" w:rsidP="00BE5E0C">
            <w:pPr>
              <w:pStyle w:val="Text"/>
              <w:spacing w:before="40" w:after="120" w:line="220" w:lineRule="exact"/>
              <w:rPr>
                <w:rFonts w:ascii="Times New Roman" w:hAnsi="Times New Roman"/>
                <w:sz w:val="20"/>
                <w:lang w:val="fr-FR"/>
              </w:rPr>
            </w:pPr>
            <w:r>
              <w:rPr>
                <w:rFonts w:ascii="Times New Roman" w:hAnsi="Times New Roman"/>
                <w:sz w:val="20"/>
                <w:lang w:val="fr-FR"/>
              </w:rPr>
              <w:t>Loi de</w:t>
            </w:r>
            <w:r w:rsidRPr="00A176EA">
              <w:rPr>
                <w:rFonts w:ascii="Times New Roman" w:hAnsi="Times New Roman"/>
                <w:sz w:val="20"/>
                <w:lang w:val="fr-FR"/>
              </w:rPr>
              <w:t xml:space="preserve"> 2005</w:t>
            </w:r>
            <w:r>
              <w:rPr>
                <w:rFonts w:ascii="Times New Roman" w:hAnsi="Times New Roman"/>
                <w:sz w:val="20"/>
                <w:lang w:val="fr-FR"/>
              </w:rPr>
              <w:t xml:space="preserve"> </w:t>
            </w:r>
            <w:r w:rsidR="00BE5E0C">
              <w:rPr>
                <w:rFonts w:ascii="Times New Roman" w:hAnsi="Times New Roman"/>
                <w:sz w:val="20"/>
                <w:lang w:val="fr-FR"/>
              </w:rPr>
              <w:t>contre la d</w:t>
            </w:r>
            <w:r w:rsidR="000B562B" w:rsidRPr="00A176EA">
              <w:rPr>
                <w:rFonts w:ascii="Times New Roman" w:hAnsi="Times New Roman"/>
                <w:sz w:val="20"/>
                <w:lang w:val="fr-FR"/>
              </w:rPr>
              <w:t xml:space="preserve">iscrimination </w:t>
            </w:r>
            <w:r w:rsidR="00BE5E0C">
              <w:rPr>
                <w:rFonts w:ascii="Times New Roman" w:hAnsi="Times New Roman"/>
                <w:sz w:val="20"/>
                <w:lang w:val="fr-FR"/>
              </w:rPr>
              <w:t>fondée sur le handicap</w:t>
            </w:r>
          </w:p>
        </w:tc>
        <w:tc>
          <w:tcPr>
            <w:tcW w:w="4191" w:type="dxa"/>
            <w:shd w:val="clear" w:color="auto" w:fill="auto"/>
          </w:tcPr>
          <w:p w:rsidR="000B562B" w:rsidRPr="00A176EA" w:rsidRDefault="00BE5E0C" w:rsidP="00BE5E0C">
            <w:pPr>
              <w:pStyle w:val="Text"/>
              <w:spacing w:before="40" w:after="120" w:line="220" w:lineRule="exact"/>
              <w:rPr>
                <w:rFonts w:ascii="Times New Roman" w:hAnsi="Times New Roman"/>
                <w:sz w:val="20"/>
                <w:lang w:val="fr-FR"/>
              </w:rPr>
            </w:pPr>
            <w:r>
              <w:rPr>
                <w:rFonts w:ascii="Times New Roman" w:hAnsi="Times New Roman"/>
                <w:sz w:val="20"/>
                <w:lang w:val="fr-FR"/>
              </w:rPr>
              <w:t>Renforcement des dispositions de lutte contre la discrimination à l’égard des personnes handicapées</w:t>
            </w:r>
            <w:r w:rsidR="000B562B" w:rsidRPr="00A176EA">
              <w:rPr>
                <w:rFonts w:ascii="Times New Roman" w:hAnsi="Times New Roman"/>
                <w:sz w:val="20"/>
                <w:lang w:val="fr-FR"/>
              </w:rPr>
              <w:t>.</w:t>
            </w:r>
          </w:p>
        </w:tc>
      </w:tr>
      <w:tr w:rsidR="000B562B" w:rsidRPr="00A176EA" w:rsidTr="009A4B0F">
        <w:tblPrEx>
          <w:tblCellMar>
            <w:top w:w="0" w:type="dxa"/>
            <w:bottom w:w="0" w:type="dxa"/>
          </w:tblCellMar>
        </w:tblPrEx>
        <w:trPr>
          <w:cantSplit/>
          <w:trHeight w:val="240"/>
        </w:trPr>
        <w:tc>
          <w:tcPr>
            <w:tcW w:w="4306" w:type="dxa"/>
            <w:shd w:val="clear" w:color="auto" w:fill="auto"/>
          </w:tcPr>
          <w:p w:rsidR="000B562B" w:rsidRPr="00A176EA" w:rsidRDefault="00BB6569" w:rsidP="007D0B21">
            <w:pPr>
              <w:pStyle w:val="Text"/>
              <w:spacing w:before="40" w:after="120" w:line="220" w:lineRule="exact"/>
              <w:rPr>
                <w:rFonts w:ascii="Times New Roman" w:hAnsi="Times New Roman"/>
                <w:sz w:val="20"/>
                <w:lang w:val="fr-FR"/>
              </w:rPr>
            </w:pPr>
            <w:r>
              <w:rPr>
                <w:rFonts w:ascii="Times New Roman" w:hAnsi="Times New Roman"/>
                <w:sz w:val="20"/>
                <w:lang w:val="fr-FR"/>
              </w:rPr>
              <w:t>Loi de</w:t>
            </w:r>
            <w:r w:rsidR="00A11D29" w:rsidRPr="00A176EA">
              <w:rPr>
                <w:rFonts w:ascii="Times New Roman" w:hAnsi="Times New Roman"/>
                <w:sz w:val="20"/>
                <w:lang w:val="fr-FR"/>
              </w:rPr>
              <w:t xml:space="preserve"> 2006</w:t>
            </w:r>
            <w:r>
              <w:rPr>
                <w:rFonts w:ascii="Times New Roman" w:hAnsi="Times New Roman"/>
                <w:sz w:val="20"/>
                <w:lang w:val="fr-FR"/>
              </w:rPr>
              <w:t xml:space="preserve"> </w:t>
            </w:r>
            <w:r w:rsidR="007D0B21">
              <w:rPr>
                <w:rFonts w:ascii="Times New Roman" w:hAnsi="Times New Roman"/>
                <w:sz w:val="20"/>
                <w:lang w:val="fr-FR"/>
              </w:rPr>
              <w:t>sur l’a</w:t>
            </w:r>
            <w:r w:rsidR="007D0B21" w:rsidRPr="00A176EA">
              <w:rPr>
                <w:rFonts w:ascii="Times New Roman" w:hAnsi="Times New Roman"/>
                <w:sz w:val="20"/>
                <w:lang w:val="fr-FR"/>
              </w:rPr>
              <w:t xml:space="preserve">dministration </w:t>
            </w:r>
            <w:r w:rsidR="007D0B21">
              <w:rPr>
                <w:rFonts w:ascii="Times New Roman" w:hAnsi="Times New Roman"/>
                <w:sz w:val="20"/>
                <w:lang w:val="fr-FR"/>
              </w:rPr>
              <w:t>é</w:t>
            </w:r>
            <w:r w:rsidR="000B562B" w:rsidRPr="00A176EA">
              <w:rPr>
                <w:rFonts w:ascii="Times New Roman" w:hAnsi="Times New Roman"/>
                <w:sz w:val="20"/>
                <w:lang w:val="fr-FR"/>
              </w:rPr>
              <w:t>lectoral</w:t>
            </w:r>
            <w:r w:rsidR="007D0B21">
              <w:rPr>
                <w:rFonts w:ascii="Times New Roman" w:hAnsi="Times New Roman"/>
                <w:sz w:val="20"/>
                <w:lang w:val="fr-FR"/>
              </w:rPr>
              <w:t>e</w:t>
            </w:r>
            <w:r w:rsidR="000B562B" w:rsidRPr="00A176EA">
              <w:rPr>
                <w:rFonts w:ascii="Times New Roman" w:hAnsi="Times New Roman"/>
                <w:sz w:val="20"/>
                <w:lang w:val="fr-FR"/>
              </w:rPr>
              <w:t xml:space="preserve"> </w:t>
            </w:r>
          </w:p>
        </w:tc>
        <w:tc>
          <w:tcPr>
            <w:tcW w:w="4191" w:type="dxa"/>
            <w:shd w:val="clear" w:color="auto" w:fill="auto"/>
          </w:tcPr>
          <w:p w:rsidR="000B562B" w:rsidRPr="00A176EA" w:rsidRDefault="007D0B21" w:rsidP="007D0B21">
            <w:pPr>
              <w:pStyle w:val="Text"/>
              <w:spacing w:before="40" w:after="120" w:line="220" w:lineRule="exact"/>
              <w:rPr>
                <w:rFonts w:ascii="Times New Roman" w:hAnsi="Times New Roman"/>
                <w:sz w:val="20"/>
                <w:lang w:val="fr-FR"/>
              </w:rPr>
            </w:pPr>
            <w:r w:rsidRPr="007D0B21">
              <w:rPr>
                <w:rFonts w:ascii="Times New Roman" w:hAnsi="Times New Roman"/>
                <w:sz w:val="20"/>
                <w:lang w:val="fr-FR"/>
              </w:rPr>
              <w:t>Améliorer la participation électorale et la confiance du public dans le processus électoral</w:t>
            </w:r>
            <w:r w:rsidR="000B562B" w:rsidRPr="007D0B21">
              <w:rPr>
                <w:rFonts w:ascii="Times New Roman" w:hAnsi="Times New Roman"/>
                <w:sz w:val="20"/>
                <w:lang w:val="fr-FR"/>
              </w:rPr>
              <w:t>.</w:t>
            </w:r>
          </w:p>
        </w:tc>
      </w:tr>
      <w:tr w:rsidR="000B562B" w:rsidRPr="00A176EA" w:rsidTr="009A4B0F">
        <w:tblPrEx>
          <w:tblCellMar>
            <w:top w:w="0" w:type="dxa"/>
            <w:bottom w:w="0" w:type="dxa"/>
          </w:tblCellMar>
        </w:tblPrEx>
        <w:trPr>
          <w:cantSplit/>
          <w:trHeight w:val="240"/>
        </w:trPr>
        <w:tc>
          <w:tcPr>
            <w:tcW w:w="4306" w:type="dxa"/>
            <w:shd w:val="clear" w:color="auto" w:fill="auto"/>
          </w:tcPr>
          <w:p w:rsidR="000B562B" w:rsidRPr="00A176EA" w:rsidRDefault="00BB6569" w:rsidP="00BE5E0C">
            <w:pPr>
              <w:pStyle w:val="Text"/>
              <w:spacing w:before="40" w:after="120" w:line="220" w:lineRule="exact"/>
              <w:rPr>
                <w:rFonts w:ascii="Times New Roman" w:hAnsi="Times New Roman"/>
                <w:sz w:val="20"/>
                <w:lang w:val="fr-FR"/>
              </w:rPr>
            </w:pPr>
            <w:r>
              <w:rPr>
                <w:rFonts w:ascii="Times New Roman" w:hAnsi="Times New Roman"/>
                <w:sz w:val="20"/>
                <w:lang w:val="fr-FR"/>
              </w:rPr>
              <w:t>Loi de</w:t>
            </w:r>
            <w:r w:rsidRPr="00A176EA">
              <w:rPr>
                <w:rFonts w:ascii="Times New Roman" w:hAnsi="Times New Roman"/>
                <w:sz w:val="20"/>
                <w:lang w:val="fr-FR"/>
              </w:rPr>
              <w:t xml:space="preserve"> 2006</w:t>
            </w:r>
            <w:r>
              <w:rPr>
                <w:rFonts w:ascii="Times New Roman" w:hAnsi="Times New Roman"/>
                <w:sz w:val="20"/>
                <w:lang w:val="fr-FR"/>
              </w:rPr>
              <w:t xml:space="preserve"> </w:t>
            </w:r>
            <w:r w:rsidR="00BE5E0C">
              <w:rPr>
                <w:rFonts w:ascii="Times New Roman" w:hAnsi="Times New Roman"/>
                <w:sz w:val="20"/>
                <w:lang w:val="fr-FR"/>
              </w:rPr>
              <w:t>sur l’égalité</w:t>
            </w:r>
            <w:r w:rsidR="000B562B" w:rsidRPr="00A176EA">
              <w:rPr>
                <w:rFonts w:ascii="Times New Roman" w:hAnsi="Times New Roman"/>
                <w:sz w:val="20"/>
                <w:lang w:val="fr-FR"/>
              </w:rPr>
              <w:t xml:space="preserve"> </w:t>
            </w:r>
          </w:p>
        </w:tc>
        <w:tc>
          <w:tcPr>
            <w:tcW w:w="4191" w:type="dxa"/>
            <w:shd w:val="clear" w:color="auto" w:fill="auto"/>
          </w:tcPr>
          <w:p w:rsidR="000B562B" w:rsidRPr="00A176EA" w:rsidRDefault="00BE5E0C" w:rsidP="00BE5E0C">
            <w:pPr>
              <w:pStyle w:val="Text"/>
              <w:spacing w:before="40" w:after="120" w:line="220" w:lineRule="exact"/>
              <w:rPr>
                <w:rFonts w:ascii="Times New Roman" w:hAnsi="Times New Roman"/>
                <w:sz w:val="20"/>
                <w:lang w:val="fr-FR"/>
              </w:rPr>
            </w:pPr>
            <w:r>
              <w:rPr>
                <w:rFonts w:ascii="Times New Roman" w:hAnsi="Times New Roman"/>
                <w:sz w:val="20"/>
                <w:lang w:val="fr-FR"/>
              </w:rPr>
              <w:t>Création de la</w:t>
            </w:r>
            <w:r w:rsidR="000B562B" w:rsidRPr="00A176EA">
              <w:rPr>
                <w:rFonts w:ascii="Times New Roman" w:hAnsi="Times New Roman"/>
                <w:sz w:val="20"/>
                <w:lang w:val="fr-FR"/>
              </w:rPr>
              <w:t xml:space="preserve"> </w:t>
            </w:r>
            <w:r w:rsidR="00696DBF" w:rsidRPr="00BE5E0C">
              <w:rPr>
                <w:rFonts w:ascii="Times New Roman" w:hAnsi="Times New Roman"/>
                <w:sz w:val="20"/>
                <w:lang w:val="fr-FR"/>
              </w:rPr>
              <w:t>Commission de l'égalité et des droits de l'homme</w:t>
            </w:r>
            <w:r w:rsidR="000B562B" w:rsidRPr="00BE5E0C">
              <w:rPr>
                <w:rFonts w:ascii="Times New Roman" w:hAnsi="Times New Roman"/>
                <w:sz w:val="20"/>
                <w:lang w:val="fr-FR"/>
              </w:rPr>
              <w:t xml:space="preserve"> </w:t>
            </w:r>
            <w:r w:rsidRPr="00BE5E0C">
              <w:rPr>
                <w:rFonts w:ascii="Times New Roman" w:hAnsi="Times New Roman"/>
                <w:sz w:val="20"/>
                <w:lang w:val="fr-FR"/>
              </w:rPr>
              <w:t>et</w:t>
            </w:r>
            <w:r w:rsidR="000B562B" w:rsidRPr="00BE5E0C">
              <w:rPr>
                <w:rFonts w:ascii="Times New Roman" w:hAnsi="Times New Roman"/>
                <w:sz w:val="20"/>
                <w:lang w:val="fr-FR"/>
              </w:rPr>
              <w:t xml:space="preserve"> promotion</w:t>
            </w:r>
            <w:r w:rsidR="000B562B" w:rsidRPr="00A176EA">
              <w:rPr>
                <w:rFonts w:ascii="Times New Roman" w:hAnsi="Times New Roman"/>
                <w:sz w:val="20"/>
                <w:lang w:val="fr-FR"/>
              </w:rPr>
              <w:t xml:space="preserve"> </w:t>
            </w:r>
            <w:r>
              <w:rPr>
                <w:rFonts w:ascii="Times New Roman" w:hAnsi="Times New Roman"/>
                <w:sz w:val="20"/>
                <w:lang w:val="fr-FR"/>
              </w:rPr>
              <w:t>des droits de l’homme</w:t>
            </w:r>
            <w:r w:rsidR="000B562B" w:rsidRPr="00A176EA">
              <w:rPr>
                <w:rFonts w:ascii="Times New Roman" w:hAnsi="Times New Roman"/>
                <w:sz w:val="20"/>
                <w:lang w:val="fr-FR"/>
              </w:rPr>
              <w:t>.</w:t>
            </w:r>
          </w:p>
        </w:tc>
      </w:tr>
      <w:tr w:rsidR="000B562B" w:rsidRPr="00A176EA" w:rsidTr="009A4B0F">
        <w:tblPrEx>
          <w:tblCellMar>
            <w:top w:w="0" w:type="dxa"/>
            <w:bottom w:w="0" w:type="dxa"/>
          </w:tblCellMar>
        </w:tblPrEx>
        <w:trPr>
          <w:cantSplit/>
          <w:trHeight w:val="240"/>
        </w:trPr>
        <w:tc>
          <w:tcPr>
            <w:tcW w:w="4306" w:type="dxa"/>
            <w:shd w:val="clear" w:color="auto" w:fill="auto"/>
          </w:tcPr>
          <w:p w:rsidR="000B562B" w:rsidRPr="00A176EA" w:rsidRDefault="00BB6569" w:rsidP="00BE5E0C">
            <w:pPr>
              <w:pStyle w:val="Text"/>
              <w:spacing w:before="40" w:after="120" w:line="220" w:lineRule="exact"/>
              <w:rPr>
                <w:rFonts w:ascii="Times New Roman" w:hAnsi="Times New Roman"/>
                <w:sz w:val="20"/>
                <w:lang w:val="fr-FR"/>
              </w:rPr>
            </w:pPr>
            <w:r>
              <w:rPr>
                <w:rFonts w:ascii="Times New Roman" w:hAnsi="Times New Roman"/>
                <w:sz w:val="20"/>
                <w:lang w:val="fr-FR"/>
              </w:rPr>
              <w:t>Loi de</w:t>
            </w:r>
            <w:r w:rsidRPr="00A176EA">
              <w:rPr>
                <w:rFonts w:ascii="Times New Roman" w:hAnsi="Times New Roman"/>
                <w:sz w:val="20"/>
                <w:lang w:val="fr-FR"/>
              </w:rPr>
              <w:t xml:space="preserve"> 2006</w:t>
            </w:r>
            <w:r>
              <w:rPr>
                <w:rFonts w:ascii="Times New Roman" w:hAnsi="Times New Roman"/>
                <w:sz w:val="20"/>
                <w:lang w:val="fr-FR"/>
              </w:rPr>
              <w:t xml:space="preserve"> </w:t>
            </w:r>
            <w:r w:rsidR="00BE5E0C">
              <w:rPr>
                <w:rFonts w:ascii="Times New Roman" w:hAnsi="Times New Roman"/>
                <w:sz w:val="20"/>
                <w:lang w:val="fr-FR"/>
              </w:rPr>
              <w:t>sur le travail et la famille</w:t>
            </w:r>
            <w:r w:rsidR="000B562B" w:rsidRPr="00A176EA">
              <w:rPr>
                <w:rFonts w:ascii="Times New Roman" w:hAnsi="Times New Roman"/>
                <w:sz w:val="20"/>
                <w:lang w:val="fr-FR"/>
              </w:rPr>
              <w:t xml:space="preserve"> </w:t>
            </w:r>
          </w:p>
        </w:tc>
        <w:tc>
          <w:tcPr>
            <w:tcW w:w="4191" w:type="dxa"/>
            <w:shd w:val="clear" w:color="auto" w:fill="auto"/>
          </w:tcPr>
          <w:p w:rsidR="000B562B" w:rsidRPr="00A176EA" w:rsidRDefault="00BE5E0C" w:rsidP="00967585">
            <w:pPr>
              <w:pStyle w:val="Text"/>
              <w:spacing w:before="40" w:after="120" w:line="220" w:lineRule="exact"/>
              <w:rPr>
                <w:rFonts w:ascii="Times New Roman" w:hAnsi="Times New Roman"/>
                <w:sz w:val="20"/>
                <w:lang w:val="fr-FR"/>
              </w:rPr>
            </w:pPr>
            <w:r>
              <w:rPr>
                <w:rFonts w:ascii="Times New Roman" w:hAnsi="Times New Roman"/>
                <w:sz w:val="20"/>
                <w:lang w:val="fr-FR"/>
              </w:rPr>
              <w:t>Équilibre plus juste des</w:t>
            </w:r>
            <w:r w:rsidR="000B562B" w:rsidRPr="00A176EA">
              <w:rPr>
                <w:rFonts w:ascii="Times New Roman" w:hAnsi="Times New Roman"/>
                <w:sz w:val="20"/>
                <w:lang w:val="fr-FR"/>
              </w:rPr>
              <w:t xml:space="preserve"> </w:t>
            </w:r>
            <w:r w:rsidR="00967585">
              <w:rPr>
                <w:rFonts w:ascii="Times New Roman" w:hAnsi="Times New Roman"/>
                <w:sz w:val="20"/>
                <w:lang w:val="fr-FR"/>
              </w:rPr>
              <w:t xml:space="preserve">droits et des </w:t>
            </w:r>
            <w:r w:rsidR="000B562B" w:rsidRPr="00A176EA">
              <w:rPr>
                <w:rFonts w:ascii="Times New Roman" w:hAnsi="Times New Roman"/>
                <w:sz w:val="20"/>
                <w:lang w:val="fr-FR"/>
              </w:rPr>
              <w:t>respons</w:t>
            </w:r>
            <w:r>
              <w:rPr>
                <w:rFonts w:ascii="Times New Roman" w:hAnsi="Times New Roman"/>
                <w:sz w:val="20"/>
                <w:lang w:val="fr-FR"/>
              </w:rPr>
              <w:t>a</w:t>
            </w:r>
            <w:r w:rsidR="000B562B" w:rsidRPr="00A176EA">
              <w:rPr>
                <w:rFonts w:ascii="Times New Roman" w:hAnsi="Times New Roman"/>
                <w:sz w:val="20"/>
                <w:lang w:val="fr-FR"/>
              </w:rPr>
              <w:t>bilit</w:t>
            </w:r>
            <w:r>
              <w:rPr>
                <w:rFonts w:ascii="Times New Roman" w:hAnsi="Times New Roman"/>
                <w:sz w:val="20"/>
                <w:lang w:val="fr-FR"/>
              </w:rPr>
              <w:t>é</w:t>
            </w:r>
            <w:r w:rsidR="000B562B" w:rsidRPr="00A176EA">
              <w:rPr>
                <w:rFonts w:ascii="Times New Roman" w:hAnsi="Times New Roman"/>
                <w:sz w:val="20"/>
                <w:lang w:val="fr-FR"/>
              </w:rPr>
              <w:t xml:space="preserve">s </w:t>
            </w:r>
            <w:r>
              <w:rPr>
                <w:rFonts w:ascii="Times New Roman" w:hAnsi="Times New Roman"/>
                <w:sz w:val="20"/>
                <w:lang w:val="fr-FR"/>
              </w:rPr>
              <w:t>des</w:t>
            </w:r>
            <w:r w:rsidR="000B562B" w:rsidRPr="00A176EA">
              <w:rPr>
                <w:rFonts w:ascii="Times New Roman" w:hAnsi="Times New Roman"/>
                <w:sz w:val="20"/>
                <w:lang w:val="fr-FR"/>
              </w:rPr>
              <w:t xml:space="preserve"> employe</w:t>
            </w:r>
            <w:r>
              <w:rPr>
                <w:rFonts w:ascii="Times New Roman" w:hAnsi="Times New Roman"/>
                <w:sz w:val="20"/>
                <w:lang w:val="fr-FR"/>
              </w:rPr>
              <w:t>u</w:t>
            </w:r>
            <w:r w:rsidR="000B562B" w:rsidRPr="00A176EA">
              <w:rPr>
                <w:rFonts w:ascii="Times New Roman" w:hAnsi="Times New Roman"/>
                <w:sz w:val="20"/>
                <w:lang w:val="fr-FR"/>
              </w:rPr>
              <w:t xml:space="preserve">rs </w:t>
            </w:r>
            <w:r>
              <w:rPr>
                <w:rFonts w:ascii="Times New Roman" w:hAnsi="Times New Roman"/>
                <w:sz w:val="20"/>
                <w:lang w:val="fr-FR"/>
              </w:rPr>
              <w:t>et des</w:t>
            </w:r>
            <w:r w:rsidR="000B562B" w:rsidRPr="00A176EA">
              <w:rPr>
                <w:rFonts w:ascii="Times New Roman" w:hAnsi="Times New Roman"/>
                <w:sz w:val="20"/>
                <w:lang w:val="fr-FR"/>
              </w:rPr>
              <w:t xml:space="preserve"> employ</w:t>
            </w:r>
            <w:r>
              <w:rPr>
                <w:rFonts w:ascii="Times New Roman" w:hAnsi="Times New Roman"/>
                <w:sz w:val="20"/>
                <w:lang w:val="fr-FR"/>
              </w:rPr>
              <w:t>é</w:t>
            </w:r>
            <w:r w:rsidR="000B562B" w:rsidRPr="00A176EA">
              <w:rPr>
                <w:rFonts w:ascii="Times New Roman" w:hAnsi="Times New Roman"/>
                <w:sz w:val="20"/>
                <w:lang w:val="fr-FR"/>
              </w:rPr>
              <w:t xml:space="preserve">s, </w:t>
            </w:r>
            <w:r w:rsidR="00967585">
              <w:rPr>
                <w:rFonts w:ascii="Times New Roman" w:hAnsi="Times New Roman"/>
                <w:sz w:val="20"/>
                <w:lang w:val="fr-FR"/>
              </w:rPr>
              <w:t>en particulier pour les femmes enceintes.</w:t>
            </w:r>
          </w:p>
        </w:tc>
      </w:tr>
      <w:tr w:rsidR="000B562B" w:rsidRPr="00A176EA" w:rsidTr="009A4B0F">
        <w:tblPrEx>
          <w:tblCellMar>
            <w:top w:w="0" w:type="dxa"/>
            <w:bottom w:w="0" w:type="dxa"/>
          </w:tblCellMar>
        </w:tblPrEx>
        <w:trPr>
          <w:cantSplit/>
          <w:trHeight w:val="240"/>
        </w:trPr>
        <w:tc>
          <w:tcPr>
            <w:tcW w:w="4306" w:type="dxa"/>
            <w:shd w:val="clear" w:color="auto" w:fill="auto"/>
          </w:tcPr>
          <w:p w:rsidR="000B562B" w:rsidRPr="00A176EA" w:rsidRDefault="00967585" w:rsidP="00967585">
            <w:pPr>
              <w:pStyle w:val="Text"/>
              <w:spacing w:before="40" w:after="120" w:line="220" w:lineRule="exact"/>
              <w:rPr>
                <w:rFonts w:ascii="Times New Roman" w:hAnsi="Times New Roman"/>
                <w:sz w:val="20"/>
                <w:lang w:val="fr-FR"/>
              </w:rPr>
            </w:pPr>
            <w:r>
              <w:rPr>
                <w:rFonts w:ascii="Times New Roman" w:hAnsi="Times New Roman"/>
                <w:sz w:val="20"/>
                <w:lang w:val="fr-FR"/>
              </w:rPr>
              <w:t>Règlement de</w:t>
            </w:r>
            <w:r w:rsidRPr="00A176EA">
              <w:rPr>
                <w:rFonts w:ascii="Times New Roman" w:hAnsi="Times New Roman"/>
                <w:sz w:val="20"/>
                <w:lang w:val="fr-FR"/>
              </w:rPr>
              <w:t xml:space="preserve"> 2006 </w:t>
            </w:r>
            <w:r>
              <w:rPr>
                <w:rFonts w:ascii="Times New Roman" w:hAnsi="Times New Roman"/>
                <w:sz w:val="20"/>
                <w:lang w:val="fr-FR"/>
              </w:rPr>
              <w:t>sur l’égalité dans l’emploi</w:t>
            </w:r>
            <w:r w:rsidR="000B562B" w:rsidRPr="00A176EA">
              <w:rPr>
                <w:rFonts w:ascii="Times New Roman" w:hAnsi="Times New Roman"/>
                <w:sz w:val="20"/>
                <w:lang w:val="fr-FR"/>
              </w:rPr>
              <w:t xml:space="preserve"> </w:t>
            </w:r>
          </w:p>
        </w:tc>
        <w:tc>
          <w:tcPr>
            <w:tcW w:w="4191" w:type="dxa"/>
            <w:shd w:val="clear" w:color="auto" w:fill="auto"/>
          </w:tcPr>
          <w:p w:rsidR="000B562B" w:rsidRPr="00A176EA" w:rsidRDefault="00967585" w:rsidP="00967585">
            <w:pPr>
              <w:pStyle w:val="Text"/>
              <w:spacing w:before="40" w:after="120" w:line="220" w:lineRule="exact"/>
              <w:rPr>
                <w:rFonts w:ascii="Times New Roman" w:hAnsi="Times New Roman"/>
                <w:sz w:val="20"/>
                <w:lang w:val="fr-FR"/>
              </w:rPr>
            </w:pPr>
            <w:r>
              <w:rPr>
                <w:rFonts w:ascii="Times New Roman" w:hAnsi="Times New Roman"/>
                <w:sz w:val="20"/>
                <w:lang w:val="fr-FR"/>
              </w:rPr>
              <w:t>Lutte contre la</w:t>
            </w:r>
            <w:r w:rsidR="000B562B" w:rsidRPr="00A176EA">
              <w:rPr>
                <w:rFonts w:ascii="Times New Roman" w:hAnsi="Times New Roman"/>
                <w:sz w:val="20"/>
                <w:lang w:val="fr-FR"/>
              </w:rPr>
              <w:t xml:space="preserve"> discrimination </w:t>
            </w:r>
            <w:r>
              <w:rPr>
                <w:rFonts w:ascii="Times New Roman" w:hAnsi="Times New Roman"/>
                <w:sz w:val="20"/>
                <w:lang w:val="fr-FR"/>
              </w:rPr>
              <w:t>fondée sur l’âge dans l’emploi</w:t>
            </w:r>
            <w:r w:rsidR="000B562B" w:rsidRPr="00A176EA">
              <w:rPr>
                <w:rFonts w:ascii="Times New Roman" w:hAnsi="Times New Roman"/>
                <w:sz w:val="20"/>
                <w:lang w:val="fr-FR"/>
              </w:rPr>
              <w:t>.</w:t>
            </w:r>
          </w:p>
        </w:tc>
      </w:tr>
      <w:tr w:rsidR="000B562B" w:rsidRPr="00A176EA" w:rsidTr="009A4B0F">
        <w:tblPrEx>
          <w:tblCellMar>
            <w:top w:w="0" w:type="dxa"/>
            <w:bottom w:w="0" w:type="dxa"/>
          </w:tblCellMar>
        </w:tblPrEx>
        <w:trPr>
          <w:cantSplit/>
          <w:trHeight w:val="240"/>
        </w:trPr>
        <w:tc>
          <w:tcPr>
            <w:tcW w:w="4306" w:type="dxa"/>
            <w:tcBorders>
              <w:bottom w:val="single" w:sz="12" w:space="0" w:color="auto"/>
            </w:tcBorders>
            <w:shd w:val="clear" w:color="auto" w:fill="auto"/>
          </w:tcPr>
          <w:p w:rsidR="000B562B" w:rsidRPr="00A176EA" w:rsidRDefault="00BB6569" w:rsidP="00967585">
            <w:pPr>
              <w:pStyle w:val="Text"/>
              <w:spacing w:before="40" w:after="120" w:line="220" w:lineRule="exact"/>
              <w:rPr>
                <w:rFonts w:ascii="Times New Roman" w:hAnsi="Times New Roman"/>
                <w:sz w:val="20"/>
                <w:lang w:val="fr-FR"/>
              </w:rPr>
            </w:pPr>
            <w:r>
              <w:rPr>
                <w:rFonts w:ascii="Times New Roman" w:hAnsi="Times New Roman"/>
                <w:sz w:val="20"/>
                <w:lang w:val="fr-FR"/>
              </w:rPr>
              <w:t>Loi de</w:t>
            </w:r>
            <w:r w:rsidRPr="00A176EA">
              <w:rPr>
                <w:rFonts w:ascii="Times New Roman" w:hAnsi="Times New Roman"/>
                <w:sz w:val="20"/>
                <w:lang w:val="fr-FR"/>
              </w:rPr>
              <w:t xml:space="preserve"> 2006</w:t>
            </w:r>
            <w:r>
              <w:rPr>
                <w:rFonts w:ascii="Times New Roman" w:hAnsi="Times New Roman"/>
                <w:sz w:val="20"/>
                <w:lang w:val="fr-FR"/>
              </w:rPr>
              <w:t xml:space="preserve"> </w:t>
            </w:r>
            <w:r w:rsidR="00967585">
              <w:rPr>
                <w:rFonts w:ascii="Times New Roman" w:hAnsi="Times New Roman"/>
                <w:sz w:val="20"/>
                <w:lang w:val="fr-FR"/>
              </w:rPr>
              <w:t xml:space="preserve">sur la </w:t>
            </w:r>
            <w:r w:rsidR="00967585" w:rsidRPr="00A176EA">
              <w:rPr>
                <w:rFonts w:ascii="Times New Roman" w:hAnsi="Times New Roman"/>
                <w:sz w:val="20"/>
                <w:lang w:val="fr-FR"/>
              </w:rPr>
              <w:t xml:space="preserve">Commission </w:t>
            </w:r>
            <w:r w:rsidR="00967585">
              <w:rPr>
                <w:rFonts w:ascii="Times New Roman" w:hAnsi="Times New Roman"/>
                <w:sz w:val="20"/>
                <w:lang w:val="fr-FR"/>
              </w:rPr>
              <w:t>écossaise des droits de l’homme</w:t>
            </w:r>
            <w:r w:rsidR="000B562B" w:rsidRPr="00A176EA">
              <w:rPr>
                <w:rFonts w:ascii="Times New Roman" w:hAnsi="Times New Roman"/>
                <w:sz w:val="20"/>
                <w:lang w:val="fr-FR"/>
              </w:rPr>
              <w:t xml:space="preserve"> </w:t>
            </w:r>
          </w:p>
        </w:tc>
        <w:tc>
          <w:tcPr>
            <w:tcW w:w="4191" w:type="dxa"/>
            <w:tcBorders>
              <w:bottom w:val="single" w:sz="12" w:space="0" w:color="auto"/>
            </w:tcBorders>
            <w:shd w:val="clear" w:color="auto" w:fill="auto"/>
          </w:tcPr>
          <w:p w:rsidR="000B562B" w:rsidRPr="00A176EA" w:rsidRDefault="00967585" w:rsidP="00967585">
            <w:pPr>
              <w:pStyle w:val="Text"/>
              <w:spacing w:before="40" w:after="120" w:line="220" w:lineRule="exact"/>
              <w:rPr>
                <w:rFonts w:ascii="Times New Roman" w:hAnsi="Times New Roman"/>
                <w:sz w:val="20"/>
                <w:lang w:val="fr-FR"/>
              </w:rPr>
            </w:pPr>
            <w:r>
              <w:rPr>
                <w:rFonts w:ascii="Times New Roman" w:hAnsi="Times New Roman"/>
                <w:sz w:val="20"/>
                <w:lang w:val="fr-FR"/>
              </w:rPr>
              <w:t>Création de la</w:t>
            </w:r>
            <w:r w:rsidR="000B562B" w:rsidRPr="00A176EA">
              <w:rPr>
                <w:rFonts w:ascii="Times New Roman" w:hAnsi="Times New Roman"/>
                <w:sz w:val="20"/>
                <w:lang w:val="fr-FR"/>
              </w:rPr>
              <w:t xml:space="preserve"> </w:t>
            </w:r>
            <w:r w:rsidRPr="00A176EA">
              <w:rPr>
                <w:rFonts w:ascii="Times New Roman" w:hAnsi="Times New Roman"/>
                <w:sz w:val="20"/>
                <w:lang w:val="fr-FR"/>
              </w:rPr>
              <w:t xml:space="preserve">Commission </w:t>
            </w:r>
            <w:r>
              <w:rPr>
                <w:rFonts w:ascii="Times New Roman" w:hAnsi="Times New Roman"/>
                <w:sz w:val="20"/>
                <w:lang w:val="fr-FR"/>
              </w:rPr>
              <w:t>écossaise des droits de l’homme</w:t>
            </w:r>
            <w:r w:rsidR="000B562B" w:rsidRPr="00A176EA">
              <w:rPr>
                <w:rFonts w:ascii="Times New Roman" w:hAnsi="Times New Roman"/>
                <w:sz w:val="20"/>
                <w:lang w:val="fr-FR"/>
              </w:rPr>
              <w:t>.</w:t>
            </w:r>
          </w:p>
        </w:tc>
      </w:tr>
    </w:tbl>
    <w:p w:rsidR="00C3206E" w:rsidRDefault="00220850" w:rsidP="00011EAC">
      <w:pPr>
        <w:pStyle w:val="HChG"/>
      </w:pPr>
      <w:bookmarkStart w:id="79" w:name="_Toc299724770"/>
      <w:r w:rsidRPr="00A176EA">
        <w:br w:type="page"/>
      </w:r>
      <w:r w:rsidR="008D38C0">
        <w:tab/>
      </w:r>
      <w:r w:rsidR="00C3206E">
        <w:t>Annex</w:t>
      </w:r>
      <w:r w:rsidR="0081578C">
        <w:t>e</w:t>
      </w:r>
      <w:r w:rsidR="00C3206E">
        <w:t xml:space="preserve"> I</w:t>
      </w:r>
    </w:p>
    <w:p w:rsidR="00E1450F" w:rsidRDefault="006835CA" w:rsidP="00FC2B97">
      <w:pPr>
        <w:pStyle w:val="HChG"/>
      </w:pPr>
      <w:r w:rsidRPr="00A176EA">
        <w:tab/>
      </w:r>
      <w:r w:rsidRPr="00A176EA">
        <w:tab/>
      </w:r>
      <w:r w:rsidR="00E1450F">
        <w:t xml:space="preserve">Dépendances de la Couronne </w:t>
      </w:r>
      <w:bookmarkStart w:id="80" w:name="_Toc299724771"/>
      <w:bookmarkEnd w:id="79"/>
      <w:r w:rsidR="00E1450F">
        <w:t>britannique</w:t>
      </w:r>
    </w:p>
    <w:p w:rsidR="000B562B" w:rsidRPr="00A176EA" w:rsidRDefault="00DC1857" w:rsidP="008A4260">
      <w:pPr>
        <w:pStyle w:val="H1G"/>
      </w:pPr>
      <w:r w:rsidRPr="00A176EA">
        <w:tab/>
      </w:r>
      <w:r w:rsidR="00DF629C" w:rsidRPr="00A176EA">
        <w:t>I.</w:t>
      </w:r>
      <w:r w:rsidR="00DF629C" w:rsidRPr="00A176EA">
        <w:tab/>
      </w:r>
      <w:bookmarkEnd w:id="80"/>
      <w:r w:rsidR="00AE4EE9">
        <w:t>Généralités</w:t>
      </w:r>
    </w:p>
    <w:p w:rsidR="000B562B" w:rsidRPr="00A176EA" w:rsidRDefault="002549A9" w:rsidP="00E1450F">
      <w:pPr>
        <w:pStyle w:val="SingleTxtG"/>
        <w:rPr>
          <w:lang w:val="fr-FR"/>
        </w:rPr>
      </w:pPr>
      <w:r w:rsidRPr="00A176EA">
        <w:rPr>
          <w:lang w:val="fr-FR"/>
        </w:rPr>
        <w:t>1.</w:t>
      </w:r>
      <w:r w:rsidRPr="00A176EA">
        <w:rPr>
          <w:lang w:val="fr-FR"/>
        </w:rPr>
        <w:tab/>
      </w:r>
      <w:r w:rsidR="00E1450F">
        <w:rPr>
          <w:lang w:val="fr-FR"/>
        </w:rPr>
        <w:t xml:space="preserve">La présente annexe est une compilation des rapports élaborés par les Gouvernements des dépendances de la Couronne britannique </w:t>
      </w:r>
      <w:r w:rsidR="000B562B" w:rsidRPr="00A176EA">
        <w:rPr>
          <w:lang w:val="fr-FR"/>
        </w:rPr>
        <w:t>(Guern</w:t>
      </w:r>
      <w:r w:rsidR="00E1450F">
        <w:rPr>
          <w:lang w:val="fr-FR"/>
        </w:rPr>
        <w:t>e</w:t>
      </w:r>
      <w:r w:rsidR="000B562B" w:rsidRPr="00A176EA">
        <w:rPr>
          <w:lang w:val="fr-FR"/>
        </w:rPr>
        <w:t xml:space="preserve">sey, Jersey </w:t>
      </w:r>
      <w:r w:rsidR="00E1450F">
        <w:rPr>
          <w:lang w:val="fr-FR"/>
        </w:rPr>
        <w:t>et île de</w:t>
      </w:r>
      <w:r w:rsidR="000B562B" w:rsidRPr="00A176EA">
        <w:rPr>
          <w:lang w:val="fr-FR"/>
        </w:rPr>
        <w:t xml:space="preserve"> Man). </w:t>
      </w:r>
      <w:r w:rsidR="00E1450F">
        <w:rPr>
          <w:lang w:val="fr-FR"/>
        </w:rPr>
        <w:t xml:space="preserve">Elle constitue le quatrième rapport des dépendances de la Couronne présenté </w:t>
      </w:r>
      <w:r w:rsidR="00E1450F" w:rsidRPr="00E1450F">
        <w:rPr>
          <w:lang w:val="fr-FR"/>
        </w:rPr>
        <w:t>en application de l'article 19 de la Convention des Nations Unies contre la torture et autres peines ou traitements cruels, inhumains ou dégradants.</w:t>
      </w:r>
      <w:r w:rsidR="00E1450F">
        <w:rPr>
          <w:lang w:val="fr-FR"/>
        </w:rPr>
        <w:t xml:space="preserve"> Les précédents rapports des dépendances de la Couronne </w:t>
      </w:r>
      <w:r w:rsidR="00A32E08">
        <w:rPr>
          <w:lang w:val="fr-FR"/>
        </w:rPr>
        <w:t>étaient</w:t>
      </w:r>
      <w:r w:rsidR="00E1450F">
        <w:rPr>
          <w:lang w:val="fr-FR"/>
        </w:rPr>
        <w:t xml:space="preserve"> intégrés dans les rapports périodiques du Royaume-Uni</w:t>
      </w:r>
      <w:r w:rsidR="000B562B" w:rsidRPr="00A176EA">
        <w:rPr>
          <w:lang w:val="fr-FR"/>
        </w:rPr>
        <w:t>.</w:t>
      </w:r>
    </w:p>
    <w:p w:rsidR="000B562B" w:rsidRPr="00A176EA" w:rsidRDefault="002549A9" w:rsidP="00DF629C">
      <w:pPr>
        <w:pStyle w:val="SingleTxtG"/>
        <w:rPr>
          <w:lang w:val="fr-FR"/>
        </w:rPr>
      </w:pPr>
      <w:r w:rsidRPr="00A176EA">
        <w:rPr>
          <w:lang w:val="fr-FR"/>
        </w:rPr>
        <w:t>2.</w:t>
      </w:r>
      <w:r w:rsidRPr="00A176EA">
        <w:rPr>
          <w:lang w:val="fr-FR"/>
        </w:rPr>
        <w:tab/>
      </w:r>
      <w:r w:rsidR="002821B4">
        <w:rPr>
          <w:lang w:val="fr-FR"/>
        </w:rPr>
        <w:t>Les faits nouveaux survenus depuis le précédent rapport sont exposés ci-après, par article et par</w:t>
      </w:r>
      <w:r w:rsidR="000B562B" w:rsidRPr="00A176EA">
        <w:rPr>
          <w:lang w:val="fr-FR"/>
        </w:rPr>
        <w:t xml:space="preserve"> </w:t>
      </w:r>
      <w:r w:rsidR="002821B4">
        <w:rPr>
          <w:lang w:val="fr-FR"/>
        </w:rPr>
        <w:t>dépendance de la Couronne</w:t>
      </w:r>
      <w:r w:rsidR="000B562B" w:rsidRPr="00A176EA">
        <w:rPr>
          <w:lang w:val="fr-FR"/>
        </w:rPr>
        <w:t>.</w:t>
      </w:r>
    </w:p>
    <w:p w:rsidR="000B562B" w:rsidRPr="00A176EA" w:rsidRDefault="000B562B" w:rsidP="00DF629C">
      <w:pPr>
        <w:pStyle w:val="H23G"/>
        <w:rPr>
          <w:lang w:val="fr-FR"/>
        </w:rPr>
      </w:pPr>
      <w:r w:rsidRPr="002821B4">
        <w:rPr>
          <w:lang w:val="fr-FR"/>
        </w:rPr>
        <w:t>Guern</w:t>
      </w:r>
      <w:r w:rsidR="005B3E8D" w:rsidRPr="002821B4">
        <w:rPr>
          <w:lang w:val="fr-FR"/>
        </w:rPr>
        <w:t>e</w:t>
      </w:r>
      <w:r w:rsidRPr="002821B4">
        <w:rPr>
          <w:lang w:val="fr-FR"/>
        </w:rPr>
        <w:t>sey</w:t>
      </w:r>
    </w:p>
    <w:p w:rsidR="000B562B" w:rsidRPr="00A176EA" w:rsidRDefault="002549A9" w:rsidP="002821B4">
      <w:pPr>
        <w:pStyle w:val="SingleTxtG"/>
        <w:rPr>
          <w:lang w:val="fr-FR"/>
        </w:rPr>
      </w:pPr>
      <w:r w:rsidRPr="00A176EA">
        <w:rPr>
          <w:lang w:val="fr-FR"/>
        </w:rPr>
        <w:t>3.</w:t>
      </w:r>
      <w:r w:rsidRPr="00A176EA">
        <w:rPr>
          <w:lang w:val="fr-FR"/>
        </w:rPr>
        <w:tab/>
      </w:r>
      <w:r w:rsidR="002821B4">
        <w:rPr>
          <w:lang w:val="fr-FR"/>
        </w:rPr>
        <w:t>La situation décrite en détail dans le rapport initial du bailliage de Guernesey sur la mise en œuvre de la Convention demeure pratiquement inchangée</w:t>
      </w:r>
      <w:r w:rsidR="000B562B" w:rsidRPr="00A176EA">
        <w:rPr>
          <w:lang w:val="fr-FR"/>
        </w:rPr>
        <w:t>.</w:t>
      </w:r>
      <w:r w:rsidR="002821B4">
        <w:rPr>
          <w:lang w:val="fr-FR"/>
        </w:rPr>
        <w:t xml:space="preserve"> </w:t>
      </w:r>
    </w:p>
    <w:p w:rsidR="000B562B" w:rsidRPr="00A176EA" w:rsidRDefault="002549A9" w:rsidP="00DF629C">
      <w:pPr>
        <w:pStyle w:val="SingleTxtG"/>
        <w:rPr>
          <w:lang w:val="fr-FR"/>
        </w:rPr>
      </w:pPr>
      <w:r w:rsidRPr="00A176EA">
        <w:rPr>
          <w:lang w:val="fr-FR"/>
        </w:rPr>
        <w:t>4.</w:t>
      </w:r>
      <w:r w:rsidRPr="00A176EA">
        <w:rPr>
          <w:lang w:val="fr-FR"/>
        </w:rPr>
        <w:tab/>
      </w:r>
      <w:r w:rsidR="002821B4">
        <w:rPr>
          <w:lang w:val="fr-FR"/>
        </w:rPr>
        <w:t>Les autorités du</w:t>
      </w:r>
      <w:r w:rsidR="000B562B" w:rsidRPr="00A176EA">
        <w:rPr>
          <w:lang w:val="fr-FR"/>
        </w:rPr>
        <w:t xml:space="preserve"> </w:t>
      </w:r>
      <w:r w:rsidR="005B3E8D" w:rsidRPr="002821B4">
        <w:rPr>
          <w:lang w:val="fr-FR"/>
        </w:rPr>
        <w:t xml:space="preserve">bailliage </w:t>
      </w:r>
      <w:r w:rsidR="002821B4">
        <w:rPr>
          <w:lang w:val="fr-FR"/>
        </w:rPr>
        <w:t>de</w:t>
      </w:r>
      <w:r w:rsidR="000B562B" w:rsidRPr="00A176EA">
        <w:rPr>
          <w:lang w:val="fr-FR"/>
        </w:rPr>
        <w:t xml:space="preserve"> Guern</w:t>
      </w:r>
      <w:r w:rsidR="002821B4">
        <w:rPr>
          <w:lang w:val="fr-FR"/>
        </w:rPr>
        <w:t>e</w:t>
      </w:r>
      <w:r w:rsidR="000B562B" w:rsidRPr="00A176EA">
        <w:rPr>
          <w:lang w:val="fr-FR"/>
        </w:rPr>
        <w:t xml:space="preserve">sey </w:t>
      </w:r>
      <w:r w:rsidR="002821B4">
        <w:rPr>
          <w:lang w:val="fr-FR"/>
        </w:rPr>
        <w:t xml:space="preserve">continuent de s’employer à ce que les dispositions de la Convention soient rigoureusement </w:t>
      </w:r>
      <w:r w:rsidR="00AE4EE9">
        <w:rPr>
          <w:lang w:val="fr-FR"/>
        </w:rPr>
        <w:t>respectées.</w:t>
      </w:r>
    </w:p>
    <w:p w:rsidR="000B562B" w:rsidRPr="00A176EA" w:rsidRDefault="002549A9" w:rsidP="00AE4EE9">
      <w:pPr>
        <w:pStyle w:val="SingleTxtG"/>
        <w:rPr>
          <w:lang w:val="fr-FR"/>
        </w:rPr>
      </w:pPr>
      <w:r w:rsidRPr="00A176EA">
        <w:rPr>
          <w:lang w:val="fr-FR"/>
        </w:rPr>
        <w:t>5.</w:t>
      </w:r>
      <w:r w:rsidRPr="00A176EA">
        <w:rPr>
          <w:lang w:val="fr-FR"/>
        </w:rPr>
        <w:tab/>
      </w:r>
      <w:r w:rsidR="002821B4">
        <w:rPr>
          <w:lang w:val="fr-FR"/>
        </w:rPr>
        <w:t>Les États de</w:t>
      </w:r>
      <w:r w:rsidR="000B562B" w:rsidRPr="00A176EA">
        <w:rPr>
          <w:lang w:val="fr-FR"/>
        </w:rPr>
        <w:t xml:space="preserve"> Guern</w:t>
      </w:r>
      <w:r w:rsidR="002821B4">
        <w:rPr>
          <w:lang w:val="fr-FR"/>
        </w:rPr>
        <w:t>e</w:t>
      </w:r>
      <w:r w:rsidR="000B562B" w:rsidRPr="00A176EA">
        <w:rPr>
          <w:lang w:val="fr-FR"/>
        </w:rPr>
        <w:t xml:space="preserve">sey, </w:t>
      </w:r>
      <w:r w:rsidR="002821B4">
        <w:rPr>
          <w:lang w:val="fr-FR"/>
        </w:rPr>
        <w:t xml:space="preserve">les États </w:t>
      </w:r>
      <w:r w:rsidR="006604CD">
        <w:rPr>
          <w:lang w:val="fr-FR"/>
        </w:rPr>
        <w:t>d’</w:t>
      </w:r>
      <w:r w:rsidR="000B562B" w:rsidRPr="00A176EA">
        <w:rPr>
          <w:lang w:val="fr-FR"/>
        </w:rPr>
        <w:t xml:space="preserve">Alderney </w:t>
      </w:r>
      <w:r w:rsidR="006604CD">
        <w:rPr>
          <w:lang w:val="fr-FR"/>
        </w:rPr>
        <w:t>et</w:t>
      </w:r>
      <w:r w:rsidR="000B562B" w:rsidRPr="00A176EA">
        <w:rPr>
          <w:lang w:val="fr-FR"/>
        </w:rPr>
        <w:t xml:space="preserve"> </w:t>
      </w:r>
      <w:r w:rsidR="006604CD">
        <w:rPr>
          <w:lang w:val="fr-FR"/>
        </w:rPr>
        <w:t xml:space="preserve">les </w:t>
      </w:r>
      <w:r w:rsidR="000B562B" w:rsidRPr="00A176EA">
        <w:rPr>
          <w:lang w:val="fr-FR"/>
        </w:rPr>
        <w:t xml:space="preserve">Chief Pleas </w:t>
      </w:r>
      <w:r w:rsidR="006604CD">
        <w:rPr>
          <w:lang w:val="fr-FR"/>
        </w:rPr>
        <w:t>(</w:t>
      </w:r>
      <w:r w:rsidR="00CD0110">
        <w:rPr>
          <w:lang w:val="fr-FR"/>
        </w:rPr>
        <w:t>«</w:t>
      </w:r>
      <w:r w:rsidR="006604CD">
        <w:rPr>
          <w:lang w:val="fr-FR"/>
        </w:rPr>
        <w:t>Grands Plaids</w:t>
      </w:r>
      <w:r w:rsidR="00CD0110">
        <w:rPr>
          <w:lang w:val="fr-FR"/>
        </w:rPr>
        <w:t>»</w:t>
      </w:r>
      <w:r w:rsidR="006604CD">
        <w:rPr>
          <w:lang w:val="fr-FR"/>
        </w:rPr>
        <w:t xml:space="preserve">) </w:t>
      </w:r>
      <w:r w:rsidR="006604CD" w:rsidRPr="006604CD">
        <w:rPr>
          <w:lang w:val="fr-FR"/>
        </w:rPr>
        <w:t>de Sercq</w:t>
      </w:r>
      <w:r w:rsidR="000B562B" w:rsidRPr="006604CD">
        <w:rPr>
          <w:rStyle w:val="FootnoteReference"/>
          <w:szCs w:val="24"/>
        </w:rPr>
        <w:footnoteReference w:id="137"/>
      </w:r>
      <w:r w:rsidR="000B562B" w:rsidRPr="006604CD">
        <w:rPr>
          <w:lang w:val="fr-FR"/>
        </w:rPr>
        <w:t xml:space="preserve"> </w:t>
      </w:r>
      <w:r w:rsidR="006604CD" w:rsidRPr="006604CD">
        <w:rPr>
          <w:lang w:val="fr-FR"/>
        </w:rPr>
        <w:t>ont adopté la loi de 2000 sur les droits de l’homme</w:t>
      </w:r>
      <w:r w:rsidR="000B562B" w:rsidRPr="006604CD">
        <w:rPr>
          <w:lang w:val="fr-FR"/>
        </w:rPr>
        <w:t xml:space="preserve"> (</w:t>
      </w:r>
      <w:r w:rsidR="005B3E8D" w:rsidRPr="006604CD">
        <w:rPr>
          <w:lang w:val="fr-FR"/>
        </w:rPr>
        <w:t>Bailliage de</w:t>
      </w:r>
      <w:r w:rsidR="000B562B" w:rsidRPr="006604CD">
        <w:rPr>
          <w:lang w:val="fr-FR"/>
        </w:rPr>
        <w:t xml:space="preserve"> Guern</w:t>
      </w:r>
      <w:r w:rsidR="005B3E8D" w:rsidRPr="006604CD">
        <w:rPr>
          <w:lang w:val="fr-FR"/>
        </w:rPr>
        <w:t>e</w:t>
      </w:r>
      <w:r w:rsidR="000B562B" w:rsidRPr="006604CD">
        <w:rPr>
          <w:lang w:val="fr-FR"/>
        </w:rPr>
        <w:t>sey)</w:t>
      </w:r>
      <w:r w:rsidR="006604CD" w:rsidRPr="006604CD">
        <w:rPr>
          <w:lang w:val="fr-FR"/>
        </w:rPr>
        <w:t>, qui</w:t>
      </w:r>
      <w:r w:rsidR="000B562B" w:rsidRPr="00A176EA">
        <w:rPr>
          <w:i/>
          <w:lang w:val="fr-FR"/>
        </w:rPr>
        <w:t xml:space="preserve"> </w:t>
      </w:r>
      <w:r w:rsidR="006604CD">
        <w:rPr>
          <w:lang w:val="fr-FR"/>
        </w:rPr>
        <w:t>a reçu la sanction royale et est entrée en vigueur le 1</w:t>
      </w:r>
      <w:r w:rsidR="006604CD" w:rsidRPr="006604CD">
        <w:rPr>
          <w:vertAlign w:val="superscript"/>
          <w:lang w:val="fr-FR"/>
        </w:rPr>
        <w:t>er</w:t>
      </w:r>
      <w:r w:rsidR="006604CD">
        <w:rPr>
          <w:lang w:val="fr-FR"/>
        </w:rPr>
        <w:t xml:space="preserve"> septembre</w:t>
      </w:r>
      <w:r w:rsidR="000B562B" w:rsidRPr="00A176EA">
        <w:rPr>
          <w:lang w:val="fr-FR"/>
        </w:rPr>
        <w:t xml:space="preserve"> 2006. </w:t>
      </w:r>
      <w:r w:rsidR="003B2B97">
        <w:rPr>
          <w:lang w:val="fr-FR"/>
        </w:rPr>
        <w:t>Ce texte est très similaire à la loi sur les droits de l’homme du Royaume-Uni. L’arti</w:t>
      </w:r>
      <w:r w:rsidR="000B562B" w:rsidRPr="00A176EA">
        <w:rPr>
          <w:lang w:val="fr-FR"/>
        </w:rPr>
        <w:t xml:space="preserve">cle 3 </w:t>
      </w:r>
      <w:r w:rsidR="003B2B97">
        <w:rPr>
          <w:lang w:val="fr-FR"/>
        </w:rPr>
        <w:t>de l’annexe</w:t>
      </w:r>
      <w:r w:rsidR="000B562B" w:rsidRPr="00A176EA">
        <w:rPr>
          <w:lang w:val="fr-FR"/>
        </w:rPr>
        <w:t xml:space="preserve"> 1 </w:t>
      </w:r>
      <w:r w:rsidR="003B2B97">
        <w:rPr>
          <w:lang w:val="fr-FR"/>
        </w:rPr>
        <w:t xml:space="preserve">stipule que </w:t>
      </w:r>
      <w:r w:rsidR="00AE4EE9" w:rsidRPr="00AE4EE9">
        <w:rPr>
          <w:lang w:val="fr-FR"/>
        </w:rPr>
        <w:t xml:space="preserve">nul ne peut être soumis à la torture </w:t>
      </w:r>
      <w:r w:rsidR="00736A5C">
        <w:rPr>
          <w:lang w:val="fr-FR"/>
        </w:rPr>
        <w:t>ni</w:t>
      </w:r>
      <w:r w:rsidR="00AE4EE9" w:rsidRPr="00AE4EE9">
        <w:rPr>
          <w:lang w:val="fr-FR"/>
        </w:rPr>
        <w:t xml:space="preserve"> à des peines et traitements inhumains ou dégradants</w:t>
      </w:r>
      <w:r w:rsidR="00AE4EE9">
        <w:rPr>
          <w:lang w:val="fr-FR"/>
        </w:rPr>
        <w:t>, et la loi renforce les recours dont disposent les individus qui considèrent que leurs droits à cet égard ont été violés</w:t>
      </w:r>
      <w:r w:rsidR="000B562B" w:rsidRPr="00A176EA">
        <w:rPr>
          <w:lang w:val="fr-FR"/>
        </w:rPr>
        <w:t>.</w:t>
      </w:r>
      <w:r w:rsidR="00AE4EE9">
        <w:rPr>
          <w:lang w:val="fr-FR"/>
        </w:rPr>
        <w:t xml:space="preserve"> </w:t>
      </w:r>
    </w:p>
    <w:p w:rsidR="000B562B" w:rsidRPr="00A176EA" w:rsidRDefault="000B562B" w:rsidP="00DF629C">
      <w:pPr>
        <w:pStyle w:val="SingleTxtG"/>
        <w:rPr>
          <w:b/>
          <w:lang w:val="fr-FR"/>
        </w:rPr>
      </w:pPr>
      <w:r w:rsidRPr="00AE4EE9">
        <w:rPr>
          <w:b/>
          <w:lang w:val="fr-FR"/>
        </w:rPr>
        <w:t>Jersey</w:t>
      </w:r>
    </w:p>
    <w:p w:rsidR="000B562B" w:rsidRPr="00A176EA" w:rsidRDefault="002549A9" w:rsidP="001D5445">
      <w:pPr>
        <w:pStyle w:val="SingleTxtG"/>
        <w:rPr>
          <w:szCs w:val="22"/>
          <w:lang w:val="fr-FR"/>
        </w:rPr>
      </w:pPr>
      <w:r w:rsidRPr="00A176EA">
        <w:rPr>
          <w:szCs w:val="22"/>
          <w:lang w:val="fr-FR"/>
        </w:rPr>
        <w:t>6.</w:t>
      </w:r>
      <w:r w:rsidRPr="00A176EA">
        <w:rPr>
          <w:szCs w:val="22"/>
          <w:lang w:val="fr-FR"/>
        </w:rPr>
        <w:tab/>
      </w:r>
      <w:r w:rsidR="00AE4EE9">
        <w:rPr>
          <w:szCs w:val="22"/>
          <w:lang w:val="fr-FR"/>
        </w:rPr>
        <w:t xml:space="preserve">Les </w:t>
      </w:r>
      <w:r w:rsidR="00AE4EE9">
        <w:rPr>
          <w:lang w:val="fr-FR"/>
        </w:rPr>
        <w:t>États du Gouvernement de</w:t>
      </w:r>
      <w:r w:rsidR="000B562B" w:rsidRPr="00A176EA">
        <w:rPr>
          <w:lang w:val="fr-FR"/>
        </w:rPr>
        <w:t xml:space="preserve"> Jersey </w:t>
      </w:r>
      <w:r w:rsidR="00AE4EE9">
        <w:rPr>
          <w:lang w:val="fr-FR"/>
        </w:rPr>
        <w:t xml:space="preserve">s’emploient en permanence à ce que les dispositions de la Convention soient pleinement respectées. Les informations fournies dans le présent rapport viennent donc compléter celles des rapports précédents. L’ensemble de la législation de Jersey </w:t>
      </w:r>
      <w:r w:rsidR="001D5445">
        <w:rPr>
          <w:lang w:val="fr-FR"/>
        </w:rPr>
        <w:t xml:space="preserve">est consultable à l’adresse Internet </w:t>
      </w:r>
      <w:hyperlink r:id="rId17" w:history="1">
        <w:r w:rsidR="000B562B" w:rsidRPr="00A176EA">
          <w:rPr>
            <w:rStyle w:val="Hyperlink"/>
            <w:szCs w:val="22"/>
            <w:lang w:val="fr-FR"/>
          </w:rPr>
          <w:t>www.jerseylaw.je</w:t>
        </w:r>
      </w:hyperlink>
      <w:r w:rsidR="001D5445">
        <w:rPr>
          <w:szCs w:val="22"/>
          <w:lang w:val="fr-FR"/>
        </w:rPr>
        <w:t>.</w:t>
      </w:r>
    </w:p>
    <w:p w:rsidR="000B562B" w:rsidRPr="00A176EA" w:rsidRDefault="002549A9" w:rsidP="001D5445">
      <w:pPr>
        <w:pStyle w:val="SingleTxtG"/>
        <w:rPr>
          <w:lang w:val="fr-FR"/>
        </w:rPr>
      </w:pPr>
      <w:r w:rsidRPr="00A176EA">
        <w:rPr>
          <w:lang w:val="fr-FR"/>
        </w:rPr>
        <w:t>7.</w:t>
      </w:r>
      <w:r w:rsidRPr="00A176EA">
        <w:rPr>
          <w:lang w:val="fr-FR"/>
        </w:rPr>
        <w:tab/>
      </w:r>
      <w:r w:rsidR="001D5445">
        <w:rPr>
          <w:lang w:val="fr-FR"/>
        </w:rPr>
        <w:t xml:space="preserve">La loi de 2000 sur les droits de l’homme (Jersey) a reçu la sanction royale le 17 mai 2000 et est entrée en vigueur le 10 décembre 2006. Les articles 2 à 12 inclus et 14, 16, 17 et 18 de la Convention européenne des droits de l’homme, les articles 1, 2 et 3 du premier </w:t>
      </w:r>
      <w:r w:rsidR="00A32E08">
        <w:rPr>
          <w:lang w:val="fr-FR"/>
        </w:rPr>
        <w:t>P</w:t>
      </w:r>
      <w:r w:rsidR="001D5445">
        <w:rPr>
          <w:lang w:val="fr-FR"/>
        </w:rPr>
        <w:t xml:space="preserve">rotocole, les articles 1 et 2 du sixième </w:t>
      </w:r>
      <w:r w:rsidR="00A32E08">
        <w:rPr>
          <w:lang w:val="fr-FR"/>
        </w:rPr>
        <w:t>P</w:t>
      </w:r>
      <w:r w:rsidR="001D5445">
        <w:rPr>
          <w:lang w:val="fr-FR"/>
        </w:rPr>
        <w:t>rotocole</w:t>
      </w:r>
      <w:r w:rsidR="001D5445" w:rsidRPr="001D5445">
        <w:rPr>
          <w:lang w:val="fr-FR"/>
        </w:rPr>
        <w:t xml:space="preserve"> </w:t>
      </w:r>
      <w:r w:rsidR="001D5445">
        <w:rPr>
          <w:lang w:val="fr-FR"/>
        </w:rPr>
        <w:t xml:space="preserve">et l’article 1 du treizième </w:t>
      </w:r>
      <w:r w:rsidR="00A32E08">
        <w:rPr>
          <w:lang w:val="fr-FR"/>
        </w:rPr>
        <w:t>P</w:t>
      </w:r>
      <w:r w:rsidR="001D5445">
        <w:rPr>
          <w:lang w:val="fr-FR"/>
        </w:rPr>
        <w:t xml:space="preserve">rotocole ont été intégrés dans le droit interne de l’île. L’incorporation de l’article 3 de la Convention renforce </w:t>
      </w:r>
      <w:r w:rsidR="00CC4128">
        <w:rPr>
          <w:lang w:val="fr-FR"/>
        </w:rPr>
        <w:t>l</w:t>
      </w:r>
      <w:r w:rsidR="001D5445">
        <w:rPr>
          <w:lang w:val="fr-FR"/>
        </w:rPr>
        <w:t>e droit interne</w:t>
      </w:r>
      <w:r w:rsidR="00CC4128">
        <w:rPr>
          <w:lang w:val="fr-FR"/>
        </w:rPr>
        <w:t>, qui</w:t>
      </w:r>
      <w:r w:rsidR="001D5445">
        <w:rPr>
          <w:lang w:val="fr-FR"/>
        </w:rPr>
        <w:t xml:space="preserve"> protège </w:t>
      </w:r>
      <w:r w:rsidR="00CC4128">
        <w:rPr>
          <w:lang w:val="fr-FR"/>
        </w:rPr>
        <w:t xml:space="preserve">les personnes </w:t>
      </w:r>
      <w:r w:rsidR="001D5445">
        <w:rPr>
          <w:lang w:val="fr-FR"/>
        </w:rPr>
        <w:t xml:space="preserve">contre la torture et </w:t>
      </w:r>
      <w:r w:rsidR="00CC4128">
        <w:rPr>
          <w:lang w:val="fr-FR"/>
        </w:rPr>
        <w:t>l</w:t>
      </w:r>
      <w:r w:rsidR="001D5445">
        <w:rPr>
          <w:lang w:val="fr-FR"/>
        </w:rPr>
        <w:t>es peines et traitements inhumains ou dégradants, qu’il sanctionne</w:t>
      </w:r>
      <w:r w:rsidR="000B562B" w:rsidRPr="00A176EA">
        <w:rPr>
          <w:lang w:val="fr-FR"/>
        </w:rPr>
        <w:t>.</w:t>
      </w:r>
    </w:p>
    <w:p w:rsidR="000B562B" w:rsidRPr="00A176EA" w:rsidRDefault="00E1450F" w:rsidP="00DF629C">
      <w:pPr>
        <w:pStyle w:val="H23G"/>
        <w:rPr>
          <w:lang w:val="fr-FR"/>
        </w:rPr>
      </w:pPr>
      <w:r w:rsidRPr="001D5445">
        <w:rPr>
          <w:lang w:val="fr-FR"/>
        </w:rPr>
        <w:t>Île de</w:t>
      </w:r>
      <w:r w:rsidR="000B562B" w:rsidRPr="001D5445">
        <w:rPr>
          <w:lang w:val="fr-FR"/>
        </w:rPr>
        <w:t xml:space="preserve"> Man</w:t>
      </w:r>
    </w:p>
    <w:p w:rsidR="000B562B" w:rsidRPr="00A176EA" w:rsidRDefault="002549A9" w:rsidP="00091B98">
      <w:pPr>
        <w:pStyle w:val="SingleTxtG"/>
        <w:rPr>
          <w:lang w:val="fr-FR"/>
        </w:rPr>
      </w:pPr>
      <w:r w:rsidRPr="00A176EA">
        <w:rPr>
          <w:lang w:val="fr-FR"/>
        </w:rPr>
        <w:t>8.</w:t>
      </w:r>
      <w:r w:rsidRPr="00A176EA">
        <w:rPr>
          <w:lang w:val="fr-FR"/>
        </w:rPr>
        <w:tab/>
      </w:r>
      <w:r w:rsidR="00DC71C2">
        <w:rPr>
          <w:lang w:val="fr-FR"/>
        </w:rPr>
        <w:t xml:space="preserve">Dans ses conclusions et recommandations concernant le quatrième rapport du Royaume-Uni </w:t>
      </w:r>
      <w:r w:rsidR="000B562B" w:rsidRPr="00A176EA">
        <w:rPr>
          <w:lang w:val="fr-FR"/>
        </w:rPr>
        <w:t>(CAT/C/CR/33/3, publi</w:t>
      </w:r>
      <w:r w:rsidR="00DC71C2">
        <w:rPr>
          <w:lang w:val="fr-FR"/>
        </w:rPr>
        <w:t>é le</w:t>
      </w:r>
      <w:r w:rsidR="000B562B" w:rsidRPr="00A176EA">
        <w:rPr>
          <w:lang w:val="fr-FR"/>
        </w:rPr>
        <w:t xml:space="preserve"> 10 </w:t>
      </w:r>
      <w:r w:rsidR="00DC71C2">
        <w:rPr>
          <w:lang w:val="fr-FR"/>
        </w:rPr>
        <w:t>dé</w:t>
      </w:r>
      <w:r w:rsidR="000B562B" w:rsidRPr="00A176EA">
        <w:rPr>
          <w:lang w:val="fr-FR"/>
        </w:rPr>
        <w:t>cemb</w:t>
      </w:r>
      <w:r w:rsidR="00DC71C2">
        <w:rPr>
          <w:lang w:val="fr-FR"/>
        </w:rPr>
        <w:t>re</w:t>
      </w:r>
      <w:r w:rsidR="000B562B" w:rsidRPr="00A176EA">
        <w:rPr>
          <w:lang w:val="fr-FR"/>
        </w:rPr>
        <w:t xml:space="preserve"> 2004)</w:t>
      </w:r>
      <w:r w:rsidR="00DC71C2">
        <w:rPr>
          <w:lang w:val="fr-FR"/>
        </w:rPr>
        <w:t>,</w:t>
      </w:r>
      <w:r w:rsidR="000B562B" w:rsidRPr="00A176EA">
        <w:rPr>
          <w:lang w:val="fr-FR"/>
        </w:rPr>
        <w:t xml:space="preserve"> </w:t>
      </w:r>
      <w:r w:rsidR="00DC71C2">
        <w:rPr>
          <w:lang w:val="fr-FR"/>
        </w:rPr>
        <w:t>l</w:t>
      </w:r>
      <w:r w:rsidR="000B562B" w:rsidRPr="00A176EA">
        <w:rPr>
          <w:lang w:val="fr-FR"/>
        </w:rPr>
        <w:t>e Com</w:t>
      </w:r>
      <w:r w:rsidR="00DC71C2">
        <w:rPr>
          <w:lang w:val="fr-FR"/>
        </w:rPr>
        <w:t>ité</w:t>
      </w:r>
      <w:r w:rsidR="000B562B" w:rsidRPr="00A176EA">
        <w:rPr>
          <w:lang w:val="fr-FR"/>
        </w:rPr>
        <w:t xml:space="preserve"> </w:t>
      </w:r>
      <w:r w:rsidR="00DC71C2">
        <w:rPr>
          <w:lang w:val="fr-FR"/>
        </w:rPr>
        <w:t xml:space="preserve">a </w:t>
      </w:r>
      <w:r w:rsidR="000B562B" w:rsidRPr="00A176EA">
        <w:rPr>
          <w:lang w:val="fr-FR"/>
        </w:rPr>
        <w:t>not</w:t>
      </w:r>
      <w:r w:rsidR="00DC71C2">
        <w:rPr>
          <w:lang w:val="fr-FR"/>
        </w:rPr>
        <w:t>é</w:t>
      </w:r>
      <w:r w:rsidR="000B562B" w:rsidRPr="00A176EA">
        <w:rPr>
          <w:lang w:val="fr-FR"/>
        </w:rPr>
        <w:t xml:space="preserve"> </w:t>
      </w:r>
      <w:r w:rsidR="00DC71C2">
        <w:rPr>
          <w:lang w:val="fr-FR"/>
        </w:rPr>
        <w:t>l’adoption de la loi de 2001 sur les droits de l’homme</w:t>
      </w:r>
      <w:r w:rsidR="000B562B" w:rsidRPr="00A176EA">
        <w:rPr>
          <w:lang w:val="fr-FR"/>
        </w:rPr>
        <w:t xml:space="preserve"> (par</w:t>
      </w:r>
      <w:r w:rsidR="00091B98">
        <w:rPr>
          <w:lang w:val="fr-FR"/>
        </w:rPr>
        <w:t>.</w:t>
      </w:r>
      <w:r w:rsidR="000B562B" w:rsidRPr="00A176EA">
        <w:rPr>
          <w:lang w:val="fr-FR"/>
        </w:rPr>
        <w:t xml:space="preserve"> 3</w:t>
      </w:r>
      <w:r w:rsidR="00CC4128">
        <w:rPr>
          <w:lang w:val="fr-FR"/>
        </w:rPr>
        <w:t>, al</w:t>
      </w:r>
      <w:r w:rsidR="00091B98">
        <w:rPr>
          <w:lang w:val="fr-FR"/>
        </w:rPr>
        <w:t>.</w:t>
      </w:r>
      <w:r w:rsidR="00DC71C2">
        <w:rPr>
          <w:lang w:val="fr-FR"/>
        </w:rPr>
        <w:t xml:space="preserve"> </w:t>
      </w:r>
      <w:r w:rsidR="000B562B" w:rsidRPr="00A176EA">
        <w:rPr>
          <w:lang w:val="fr-FR"/>
        </w:rPr>
        <w:t xml:space="preserve">h). </w:t>
      </w:r>
      <w:r w:rsidR="00DC71C2">
        <w:rPr>
          <w:lang w:val="fr-FR"/>
        </w:rPr>
        <w:t>Cette loi est entrée pleinement en vigueur le 1</w:t>
      </w:r>
      <w:r w:rsidR="00DC71C2" w:rsidRPr="00DC71C2">
        <w:rPr>
          <w:vertAlign w:val="superscript"/>
          <w:lang w:val="fr-FR"/>
        </w:rPr>
        <w:t>er</w:t>
      </w:r>
      <w:r w:rsidR="00DC71C2">
        <w:rPr>
          <w:lang w:val="fr-FR"/>
        </w:rPr>
        <w:t xml:space="preserve"> novembre </w:t>
      </w:r>
      <w:r w:rsidR="000B562B" w:rsidRPr="00A176EA">
        <w:rPr>
          <w:lang w:val="fr-FR"/>
        </w:rPr>
        <w:t xml:space="preserve">2006. </w:t>
      </w:r>
      <w:r w:rsidR="00CC4128">
        <w:rPr>
          <w:lang w:val="fr-FR"/>
        </w:rPr>
        <w:t xml:space="preserve">Elle </w:t>
      </w:r>
      <w:r w:rsidR="00DC71C2">
        <w:rPr>
          <w:lang w:val="fr-FR"/>
        </w:rPr>
        <w:t xml:space="preserve">donne encore plus de poids, dans la législation de l’île de Man, aux droits et libertés fondamentaux inscrits dans la </w:t>
      </w:r>
      <w:r w:rsidR="007A4C1B" w:rsidRPr="00DC71C2">
        <w:rPr>
          <w:lang w:val="fr-FR"/>
        </w:rPr>
        <w:t>Convention européenne de sauvegarde des droits de l'homme et des libertés fondamentales</w:t>
      </w:r>
      <w:r w:rsidR="000B562B" w:rsidRPr="00A176EA">
        <w:rPr>
          <w:lang w:val="fr-FR"/>
        </w:rPr>
        <w:t xml:space="preserve">. </w:t>
      </w:r>
      <w:r w:rsidR="00DC71C2">
        <w:rPr>
          <w:lang w:val="fr-FR"/>
        </w:rPr>
        <w:t>L’a</w:t>
      </w:r>
      <w:r w:rsidR="000B562B" w:rsidRPr="00A176EA">
        <w:rPr>
          <w:lang w:val="fr-FR"/>
        </w:rPr>
        <w:t xml:space="preserve">rticle 3 </w:t>
      </w:r>
      <w:r w:rsidR="00DC71C2">
        <w:rPr>
          <w:lang w:val="fr-FR"/>
        </w:rPr>
        <w:t xml:space="preserve">de la Convention européenne stipulant que nul ne peut être soumis à la torture ni à des peines ou traitements inhumains ou dégradants, </w:t>
      </w:r>
      <w:r w:rsidR="00AA03A4">
        <w:rPr>
          <w:lang w:val="fr-FR"/>
        </w:rPr>
        <w:t>ladite loi renforce</w:t>
      </w:r>
      <w:r w:rsidR="00AA03A4" w:rsidRPr="00AA03A4">
        <w:rPr>
          <w:lang w:val="fr-FR"/>
        </w:rPr>
        <w:t xml:space="preserve"> les recours dont disposent les individus qui considèrent que leurs droits à cet égard ont été violés</w:t>
      </w:r>
      <w:r w:rsidR="000B562B" w:rsidRPr="00A176EA">
        <w:rPr>
          <w:lang w:val="fr-FR"/>
        </w:rPr>
        <w:t>.</w:t>
      </w:r>
    </w:p>
    <w:p w:rsidR="000B562B" w:rsidRPr="00A176EA" w:rsidRDefault="002549A9" w:rsidP="00AA03A4">
      <w:pPr>
        <w:pStyle w:val="SingleTxtG"/>
        <w:rPr>
          <w:lang w:val="fr-FR"/>
        </w:rPr>
      </w:pPr>
      <w:r w:rsidRPr="00A176EA">
        <w:rPr>
          <w:lang w:val="fr-FR"/>
        </w:rPr>
        <w:t>9.</w:t>
      </w:r>
      <w:r w:rsidRPr="00A176EA">
        <w:rPr>
          <w:lang w:val="fr-FR"/>
        </w:rPr>
        <w:tab/>
      </w:r>
      <w:r w:rsidR="00AA03A4">
        <w:rPr>
          <w:lang w:val="fr-FR"/>
        </w:rPr>
        <w:t>Au</w:t>
      </w:r>
      <w:r w:rsidR="000B562B" w:rsidRPr="00A176EA">
        <w:rPr>
          <w:lang w:val="fr-FR"/>
        </w:rPr>
        <w:t xml:space="preserve"> paragraph</w:t>
      </w:r>
      <w:r w:rsidR="00AA03A4">
        <w:rPr>
          <w:lang w:val="fr-FR"/>
        </w:rPr>
        <w:t>e</w:t>
      </w:r>
      <w:r w:rsidR="000B562B" w:rsidRPr="00A176EA">
        <w:rPr>
          <w:lang w:val="fr-FR"/>
        </w:rPr>
        <w:t xml:space="preserve"> 3</w:t>
      </w:r>
      <w:r w:rsidR="00CC4128">
        <w:rPr>
          <w:lang w:val="fr-FR"/>
        </w:rPr>
        <w:t>, alinéa</w:t>
      </w:r>
      <w:r w:rsidR="00AA03A4">
        <w:rPr>
          <w:lang w:val="fr-FR"/>
        </w:rPr>
        <w:t xml:space="preserve"> </w:t>
      </w:r>
      <w:r w:rsidR="000B562B" w:rsidRPr="00A176EA">
        <w:rPr>
          <w:lang w:val="fr-FR"/>
        </w:rPr>
        <w:t>i</w:t>
      </w:r>
      <w:r w:rsidR="00CC4128">
        <w:rPr>
          <w:lang w:val="fr-FR"/>
        </w:rPr>
        <w:t>)</w:t>
      </w:r>
      <w:r w:rsidR="000B562B" w:rsidRPr="00A176EA">
        <w:rPr>
          <w:lang w:val="fr-FR"/>
        </w:rPr>
        <w:t xml:space="preserve"> </w:t>
      </w:r>
      <w:r w:rsidR="00AA03A4">
        <w:rPr>
          <w:lang w:val="fr-FR"/>
        </w:rPr>
        <w:t>de ses</w:t>
      </w:r>
      <w:r w:rsidR="000B562B" w:rsidRPr="00A176EA">
        <w:rPr>
          <w:lang w:val="fr-FR"/>
        </w:rPr>
        <w:t xml:space="preserve"> conclusions </w:t>
      </w:r>
      <w:r w:rsidR="00AA03A4">
        <w:rPr>
          <w:lang w:val="fr-FR"/>
        </w:rPr>
        <w:t>et</w:t>
      </w:r>
      <w:r w:rsidR="000B562B" w:rsidRPr="00A176EA">
        <w:rPr>
          <w:lang w:val="fr-FR"/>
        </w:rPr>
        <w:t xml:space="preserve"> recomm</w:t>
      </w:r>
      <w:r w:rsidR="00AA03A4">
        <w:rPr>
          <w:lang w:val="fr-FR"/>
        </w:rPr>
        <w:t>a</w:t>
      </w:r>
      <w:r w:rsidR="000B562B" w:rsidRPr="00A176EA">
        <w:rPr>
          <w:lang w:val="fr-FR"/>
        </w:rPr>
        <w:t>ndations</w:t>
      </w:r>
      <w:r w:rsidR="00AA03A4">
        <w:rPr>
          <w:lang w:val="fr-FR"/>
        </w:rPr>
        <w:t>,</w:t>
      </w:r>
      <w:r w:rsidR="000B562B" w:rsidRPr="00A176EA">
        <w:rPr>
          <w:lang w:val="fr-FR"/>
        </w:rPr>
        <w:t xml:space="preserve"> </w:t>
      </w:r>
      <w:r w:rsidR="00AA03A4">
        <w:rPr>
          <w:lang w:val="fr-FR"/>
        </w:rPr>
        <w:t>l</w:t>
      </w:r>
      <w:r w:rsidR="000B562B" w:rsidRPr="00A176EA">
        <w:rPr>
          <w:lang w:val="fr-FR"/>
        </w:rPr>
        <w:t xml:space="preserve">e </w:t>
      </w:r>
      <w:r w:rsidR="00AA03A4">
        <w:rPr>
          <w:lang w:val="fr-FR"/>
        </w:rPr>
        <w:t>Comité note la ratification rapide par le Royaume-Uni du Protocole facultatif à la Convention contre la torture. Le Gouvernement de l’île de Man a demandé au Gouvernement britannique d’étendre à l’île de Man le champ d’application de cette ratification</w:t>
      </w:r>
      <w:r w:rsidR="000B562B" w:rsidRPr="00A176EA">
        <w:rPr>
          <w:lang w:val="fr-FR"/>
        </w:rPr>
        <w:t>.</w:t>
      </w:r>
    </w:p>
    <w:p w:rsidR="00AA03A4" w:rsidRPr="000D23CB" w:rsidRDefault="00DF629C" w:rsidP="008A4260">
      <w:pPr>
        <w:pStyle w:val="H1G"/>
      </w:pPr>
      <w:bookmarkStart w:id="81" w:name="_Toc299724772"/>
      <w:r w:rsidRPr="00A176EA">
        <w:tab/>
      </w:r>
      <w:bookmarkEnd w:id="81"/>
      <w:r w:rsidR="00AA03A4">
        <w:t>II.</w:t>
      </w:r>
      <w:r w:rsidR="00AA03A4">
        <w:tab/>
      </w:r>
      <w:r w:rsidR="00AA03A4" w:rsidRPr="000D23CB">
        <w:t>Information</w:t>
      </w:r>
      <w:r w:rsidR="00CE0AB1" w:rsidRPr="000D23CB">
        <w:t>s</w:t>
      </w:r>
      <w:r w:rsidR="00AA03A4" w:rsidRPr="000D23CB">
        <w:t xml:space="preserve"> relati</w:t>
      </w:r>
      <w:r w:rsidR="00CE0AB1" w:rsidRPr="000D23CB">
        <w:t>ves</w:t>
      </w:r>
      <w:r w:rsidR="00AA03A4" w:rsidRPr="000D23CB">
        <w:t xml:space="preserve"> </w:t>
      </w:r>
      <w:r w:rsidR="00CE0AB1" w:rsidRPr="000D23CB">
        <w:t>aux</w:t>
      </w:r>
      <w:r w:rsidR="00AA03A4" w:rsidRPr="000D23CB">
        <w:t xml:space="preserve"> articles </w:t>
      </w:r>
      <w:r w:rsidR="00CE0AB1" w:rsidRPr="000D23CB">
        <w:t>de la première partie de la</w:t>
      </w:r>
      <w:r w:rsidR="00AA03A4" w:rsidRPr="000D23CB">
        <w:t xml:space="preserve"> Convention</w:t>
      </w:r>
    </w:p>
    <w:p w:rsidR="000B562B" w:rsidRPr="00CE0AB1" w:rsidRDefault="004273C0" w:rsidP="008D38C0">
      <w:pPr>
        <w:pStyle w:val="H1G"/>
      </w:pPr>
      <w:bookmarkStart w:id="82" w:name="_Toc299724773"/>
      <w:r>
        <w:tab/>
      </w:r>
      <w:r>
        <w:tab/>
      </w:r>
      <w:r w:rsidR="000B562B" w:rsidRPr="00CE0AB1">
        <w:t xml:space="preserve">Articles 2 </w:t>
      </w:r>
      <w:r w:rsidR="005B3E8D" w:rsidRPr="00CE0AB1">
        <w:t>et</w:t>
      </w:r>
      <w:r w:rsidR="000B562B" w:rsidRPr="00CE0AB1">
        <w:t xml:space="preserve"> 4</w:t>
      </w:r>
      <w:bookmarkEnd w:id="82"/>
    </w:p>
    <w:p w:rsidR="000B562B" w:rsidRPr="00A176EA" w:rsidRDefault="000B562B" w:rsidP="00DC1857">
      <w:pPr>
        <w:pStyle w:val="H23G"/>
        <w:rPr>
          <w:lang w:val="fr-FR"/>
        </w:rPr>
      </w:pPr>
      <w:r w:rsidRPr="00CE0AB1">
        <w:rPr>
          <w:lang w:val="fr-FR"/>
        </w:rPr>
        <w:t>Guern</w:t>
      </w:r>
      <w:r w:rsidR="005B3E8D" w:rsidRPr="00CE0AB1">
        <w:rPr>
          <w:lang w:val="fr-FR"/>
        </w:rPr>
        <w:t>e</w:t>
      </w:r>
      <w:r w:rsidRPr="00CE0AB1">
        <w:rPr>
          <w:lang w:val="fr-FR"/>
        </w:rPr>
        <w:t>sey</w:t>
      </w:r>
    </w:p>
    <w:p w:rsidR="000B562B" w:rsidRPr="00A176EA" w:rsidRDefault="00CE0AB1" w:rsidP="00DF629C">
      <w:pPr>
        <w:pStyle w:val="H23G"/>
        <w:rPr>
          <w:lang w:val="fr-FR"/>
        </w:rPr>
      </w:pPr>
      <w:r>
        <w:rPr>
          <w:lang w:val="fr-FR"/>
        </w:rPr>
        <w:t>Droit à l’assistance d’un avocat</w:t>
      </w:r>
    </w:p>
    <w:p w:rsidR="000B562B" w:rsidRPr="00A176EA" w:rsidRDefault="002549A9" w:rsidP="00B80B88">
      <w:pPr>
        <w:pStyle w:val="SingleTxtG"/>
        <w:rPr>
          <w:lang w:val="fr-FR"/>
        </w:rPr>
      </w:pPr>
      <w:r w:rsidRPr="00A176EA">
        <w:rPr>
          <w:lang w:val="fr-FR"/>
        </w:rPr>
        <w:t>10.</w:t>
      </w:r>
      <w:r w:rsidRPr="00A176EA">
        <w:rPr>
          <w:lang w:val="fr-FR"/>
        </w:rPr>
        <w:tab/>
      </w:r>
      <w:r w:rsidR="00F03DD7">
        <w:rPr>
          <w:lang w:val="fr-FR"/>
        </w:rPr>
        <w:t>L</w:t>
      </w:r>
      <w:r w:rsidR="0004306A">
        <w:rPr>
          <w:lang w:val="fr-FR"/>
        </w:rPr>
        <w:t>’article</w:t>
      </w:r>
      <w:r w:rsidR="000B562B" w:rsidRPr="00A176EA">
        <w:rPr>
          <w:lang w:val="fr-FR"/>
        </w:rPr>
        <w:t xml:space="preserve"> 66 </w:t>
      </w:r>
      <w:r w:rsidR="0004306A">
        <w:rPr>
          <w:lang w:val="fr-FR"/>
        </w:rPr>
        <w:t>de la loi de 2003 sur</w:t>
      </w:r>
      <w:r w:rsidR="000B562B" w:rsidRPr="00A176EA">
        <w:rPr>
          <w:lang w:val="fr-FR"/>
        </w:rPr>
        <w:t xml:space="preserve"> </w:t>
      </w:r>
      <w:r w:rsidR="007473FB">
        <w:rPr>
          <w:lang w:val="fr-FR"/>
        </w:rPr>
        <w:t xml:space="preserve">les pouvoirs de la police et les preuves pénales </w:t>
      </w:r>
      <w:r w:rsidR="000B562B" w:rsidRPr="0004306A">
        <w:rPr>
          <w:lang w:val="fr-FR"/>
        </w:rPr>
        <w:t>(</w:t>
      </w:r>
      <w:r w:rsidR="00CE0AB1" w:rsidRPr="0004306A">
        <w:rPr>
          <w:lang w:val="fr-FR"/>
        </w:rPr>
        <w:t>B</w:t>
      </w:r>
      <w:r w:rsidR="005B3E8D" w:rsidRPr="0004306A">
        <w:rPr>
          <w:lang w:val="fr-FR"/>
        </w:rPr>
        <w:t xml:space="preserve">ailliage </w:t>
      </w:r>
      <w:r w:rsidR="0004306A" w:rsidRPr="0004306A">
        <w:rPr>
          <w:lang w:val="fr-FR"/>
        </w:rPr>
        <w:t>de</w:t>
      </w:r>
      <w:r w:rsidR="000B562B" w:rsidRPr="0004306A">
        <w:rPr>
          <w:lang w:val="fr-FR"/>
        </w:rPr>
        <w:t xml:space="preserve"> Guern</w:t>
      </w:r>
      <w:r w:rsidR="0004306A" w:rsidRPr="0004306A">
        <w:rPr>
          <w:lang w:val="fr-FR"/>
        </w:rPr>
        <w:t>e</w:t>
      </w:r>
      <w:r w:rsidR="000B562B" w:rsidRPr="0004306A">
        <w:rPr>
          <w:lang w:val="fr-FR"/>
        </w:rPr>
        <w:t xml:space="preserve">sey) </w:t>
      </w:r>
      <w:r w:rsidR="007473FB">
        <w:rPr>
          <w:lang w:val="fr-FR"/>
        </w:rPr>
        <w:t>stipule qu’une personne arrêtée et placée en garde à vue a le droit de consulter un avocat à tout moment.</w:t>
      </w:r>
      <w:r w:rsidR="000B562B" w:rsidRPr="00A176EA">
        <w:rPr>
          <w:lang w:val="fr-FR"/>
        </w:rPr>
        <w:t xml:space="preserve"> </w:t>
      </w:r>
      <w:r w:rsidR="007473FB">
        <w:rPr>
          <w:lang w:val="fr-FR"/>
        </w:rPr>
        <w:t xml:space="preserve">Toutefois, ce droit peut être refusé à un individu </w:t>
      </w:r>
      <w:r w:rsidR="00794B46">
        <w:rPr>
          <w:lang w:val="fr-FR"/>
        </w:rPr>
        <w:t>placé en garde à vue</w:t>
      </w:r>
      <w:r w:rsidR="000D23CB">
        <w:rPr>
          <w:lang w:val="fr-FR"/>
        </w:rPr>
        <w:t>,</w:t>
      </w:r>
      <w:r w:rsidR="00794B46">
        <w:rPr>
          <w:lang w:val="fr-FR"/>
        </w:rPr>
        <w:t xml:space="preserve"> sans avoir été inculpé</w:t>
      </w:r>
      <w:r w:rsidR="000D23CB">
        <w:rPr>
          <w:lang w:val="fr-FR"/>
        </w:rPr>
        <w:t>,</w:t>
      </w:r>
      <w:r w:rsidR="00794B46">
        <w:rPr>
          <w:lang w:val="fr-FR"/>
        </w:rPr>
        <w:t xml:space="preserve"> </w:t>
      </w:r>
      <w:r w:rsidR="000D23CB">
        <w:rPr>
          <w:lang w:val="fr-FR"/>
        </w:rPr>
        <w:t>en cas</w:t>
      </w:r>
      <w:r w:rsidR="00794B46">
        <w:rPr>
          <w:lang w:val="fr-FR"/>
        </w:rPr>
        <w:t xml:space="preserve"> </w:t>
      </w:r>
      <w:r w:rsidR="000D23CB">
        <w:rPr>
          <w:lang w:val="fr-FR"/>
        </w:rPr>
        <w:t>d’</w:t>
      </w:r>
      <w:r w:rsidR="00794B46">
        <w:rPr>
          <w:lang w:val="fr-FR"/>
        </w:rPr>
        <w:t xml:space="preserve">infraction grave </w:t>
      </w:r>
      <w:r w:rsidR="000D23CB">
        <w:rPr>
          <w:lang w:val="fr-FR"/>
        </w:rPr>
        <w:t xml:space="preserve">justifiant l’arrestation sans mandat </w:t>
      </w:r>
      <w:r w:rsidR="00794B46">
        <w:rPr>
          <w:lang w:val="fr-FR"/>
        </w:rPr>
        <w:t xml:space="preserve">(dont le meurtre, l’homicide volontaire et le viol), mais seulement si </w:t>
      </w:r>
      <w:r w:rsidR="00B80B88">
        <w:rPr>
          <w:lang w:val="fr-FR"/>
        </w:rPr>
        <w:t xml:space="preserve">un officier du grade de commandant ou d’un grade supérieur a des motifs raisonnables de croire que l’accès à un avocat risque </w:t>
      </w:r>
      <w:r w:rsidR="008F0E2E">
        <w:rPr>
          <w:lang w:val="fr-FR"/>
        </w:rPr>
        <w:t>de</w:t>
      </w:r>
      <w:r w:rsidR="00FC2B97">
        <w:rPr>
          <w:lang w:val="fr-FR"/>
        </w:rPr>
        <w:t>:</w:t>
      </w:r>
    </w:p>
    <w:p w:rsidR="000B562B" w:rsidRPr="00A176EA" w:rsidRDefault="008F0E2E" w:rsidP="00BC0033">
      <w:pPr>
        <w:pStyle w:val="Bullet1G"/>
      </w:pPr>
      <w:r>
        <w:t>Permettre l’élimination ou l’altération d’éléments de preuve</w:t>
      </w:r>
      <w:r w:rsidR="00FC2B97">
        <w:t>;</w:t>
      </w:r>
    </w:p>
    <w:p w:rsidR="000B562B" w:rsidRPr="00A176EA" w:rsidRDefault="008F0E2E" w:rsidP="00BC0033">
      <w:pPr>
        <w:pStyle w:val="Bullet1G"/>
      </w:pPr>
      <w:r>
        <w:t>Provoquer une atteinte, éventuellement physique, aux personnes</w:t>
      </w:r>
      <w:r w:rsidR="00FC2B97">
        <w:t>;</w:t>
      </w:r>
    </w:p>
    <w:p w:rsidR="000B562B" w:rsidRPr="00A176EA" w:rsidRDefault="000B562B" w:rsidP="00BC0033">
      <w:pPr>
        <w:pStyle w:val="Bullet1G"/>
      </w:pPr>
      <w:r w:rsidRPr="00A176EA">
        <w:t>Alert</w:t>
      </w:r>
      <w:r w:rsidR="008F0E2E">
        <w:t>er</w:t>
      </w:r>
      <w:r w:rsidRPr="00A176EA">
        <w:t xml:space="preserve"> </w:t>
      </w:r>
      <w:r w:rsidR="008F0E2E">
        <w:t xml:space="preserve">des personnes soupçonnées d’avoir commis une telle infraction, mais qui n’ont pas encore été arrêtées, et faire obstacle à la </w:t>
      </w:r>
      <w:r w:rsidR="00E84686">
        <w:t>récupération</w:t>
      </w:r>
      <w:r w:rsidR="008F0E2E">
        <w:t xml:space="preserve"> de biens</w:t>
      </w:r>
      <w:r w:rsidR="00FC2B97">
        <w:t>;</w:t>
      </w:r>
      <w:r w:rsidRPr="00A176EA">
        <w:t xml:space="preserve"> o</w:t>
      </w:r>
      <w:r w:rsidR="008F0E2E">
        <w:t>u</w:t>
      </w:r>
    </w:p>
    <w:p w:rsidR="000B562B" w:rsidRPr="00A176EA" w:rsidRDefault="008F0E2E" w:rsidP="00BC0033">
      <w:pPr>
        <w:pStyle w:val="Bullet1G"/>
      </w:pPr>
      <w:r>
        <w:t xml:space="preserve">Empêcher la </w:t>
      </w:r>
      <w:r w:rsidR="00DF571C">
        <w:t>confiscation</w:t>
      </w:r>
      <w:r w:rsidR="000B562B" w:rsidRPr="00A176EA">
        <w:t xml:space="preserve"> </w:t>
      </w:r>
      <w:r>
        <w:t xml:space="preserve">du produit du trafic de stupéfiants du détenu </w:t>
      </w:r>
      <w:r w:rsidR="000B562B" w:rsidRPr="00A176EA">
        <w:t>(</w:t>
      </w:r>
      <w:r>
        <w:t>si l’infraction porte sur un trafic de</w:t>
      </w:r>
      <w:r w:rsidR="000B562B" w:rsidRPr="00A176EA">
        <w:t xml:space="preserve"> </w:t>
      </w:r>
      <w:r>
        <w:t>stupéfiants</w:t>
      </w:r>
      <w:r w:rsidR="000B562B" w:rsidRPr="00A176EA">
        <w:t>), o</w:t>
      </w:r>
      <w:r>
        <w:t>u</w:t>
      </w:r>
      <w:r w:rsidR="000B562B" w:rsidRPr="00A176EA">
        <w:t xml:space="preserve"> </w:t>
      </w:r>
      <w:r w:rsidR="00E16AD2">
        <w:t xml:space="preserve">des biens ou avantages pécuniaires </w:t>
      </w:r>
      <w:r w:rsidR="009E2C9D">
        <w:t xml:space="preserve">obtenus par le </w:t>
      </w:r>
      <w:r w:rsidR="00CA59EF">
        <w:t>gardé à vue</w:t>
      </w:r>
      <w:r w:rsidR="000B562B" w:rsidRPr="00A176EA">
        <w:t>.</w:t>
      </w:r>
    </w:p>
    <w:p w:rsidR="000B562B" w:rsidRPr="00A176EA" w:rsidRDefault="002549A9" w:rsidP="00F03DD7">
      <w:pPr>
        <w:pStyle w:val="SingleTxtG"/>
        <w:rPr>
          <w:lang w:val="fr-FR"/>
        </w:rPr>
      </w:pPr>
      <w:r w:rsidRPr="00A176EA">
        <w:rPr>
          <w:lang w:val="fr-FR"/>
        </w:rPr>
        <w:t>11.</w:t>
      </w:r>
      <w:r w:rsidRPr="00A176EA">
        <w:rPr>
          <w:lang w:val="fr-FR"/>
        </w:rPr>
        <w:tab/>
      </w:r>
      <w:r w:rsidR="00F03DD7">
        <w:rPr>
          <w:lang w:val="fr-FR"/>
        </w:rPr>
        <w:t xml:space="preserve">Dans un tel cas, le contact avec un conseiller juridique ne peut être différé que si ces motifs sont valables et, en tout état de cause, </w:t>
      </w:r>
      <w:r w:rsidR="00A940E1">
        <w:rPr>
          <w:lang w:val="fr-FR"/>
        </w:rPr>
        <w:t>doit intervenir au plus tard</w:t>
      </w:r>
      <w:r w:rsidR="00F03DD7">
        <w:rPr>
          <w:lang w:val="fr-FR"/>
        </w:rPr>
        <w:t xml:space="preserve"> 36 heures à compter de l’arrivée du </w:t>
      </w:r>
      <w:r w:rsidR="000D23CB">
        <w:rPr>
          <w:lang w:val="fr-FR"/>
        </w:rPr>
        <w:t>gardé à vue</w:t>
      </w:r>
      <w:r w:rsidR="00F03DD7">
        <w:rPr>
          <w:lang w:val="fr-FR"/>
        </w:rPr>
        <w:t xml:space="preserve"> au poste de police</w:t>
      </w:r>
      <w:r w:rsidR="000B562B" w:rsidRPr="00A176EA">
        <w:rPr>
          <w:lang w:val="fr-FR"/>
        </w:rPr>
        <w:t>.</w:t>
      </w:r>
      <w:r w:rsidR="00F03DD7">
        <w:rPr>
          <w:lang w:val="fr-FR"/>
        </w:rPr>
        <w:t xml:space="preserve"> </w:t>
      </w:r>
    </w:p>
    <w:p w:rsidR="000B562B" w:rsidRPr="00A176EA" w:rsidRDefault="002549A9" w:rsidP="00A82238">
      <w:pPr>
        <w:pStyle w:val="SingleTxtG"/>
        <w:tabs>
          <w:tab w:val="left" w:pos="567"/>
          <w:tab w:val="left" w:pos="1134"/>
          <w:tab w:val="left" w:pos="1701"/>
          <w:tab w:val="left" w:pos="2268"/>
          <w:tab w:val="left" w:pos="2835"/>
          <w:tab w:val="left" w:pos="3402"/>
          <w:tab w:val="left" w:pos="3969"/>
          <w:tab w:val="left" w:pos="5174"/>
        </w:tabs>
        <w:rPr>
          <w:lang w:val="fr-FR"/>
        </w:rPr>
      </w:pPr>
      <w:r w:rsidRPr="00A176EA">
        <w:rPr>
          <w:lang w:val="fr-FR"/>
        </w:rPr>
        <w:t>12.</w:t>
      </w:r>
      <w:r w:rsidRPr="00A176EA">
        <w:rPr>
          <w:lang w:val="fr-FR"/>
        </w:rPr>
        <w:tab/>
      </w:r>
      <w:r w:rsidR="00F03DD7">
        <w:rPr>
          <w:lang w:val="fr-FR"/>
        </w:rPr>
        <w:t xml:space="preserve">Les États </w:t>
      </w:r>
      <w:r w:rsidR="00092DBD">
        <w:rPr>
          <w:lang w:val="fr-FR"/>
        </w:rPr>
        <w:t xml:space="preserve">ont </w:t>
      </w:r>
      <w:r w:rsidR="008A7454">
        <w:rPr>
          <w:lang w:val="fr-FR"/>
        </w:rPr>
        <w:t>voulu</w:t>
      </w:r>
      <w:r w:rsidR="00092DBD">
        <w:rPr>
          <w:lang w:val="fr-FR"/>
        </w:rPr>
        <w:t xml:space="preserve"> protéger le détenu qui demande à s’entretenir avec un conseiller </w:t>
      </w:r>
      <w:r w:rsidR="009801B6">
        <w:rPr>
          <w:lang w:val="fr-FR"/>
        </w:rPr>
        <w:t xml:space="preserve">juridique </w:t>
      </w:r>
      <w:r w:rsidR="00092DBD">
        <w:rPr>
          <w:lang w:val="fr-FR"/>
        </w:rPr>
        <w:t xml:space="preserve">en prenant l’ordonnance de 1998 </w:t>
      </w:r>
      <w:r w:rsidR="0046532D">
        <w:rPr>
          <w:lang w:val="fr-FR"/>
        </w:rPr>
        <w:t>relative à</w:t>
      </w:r>
      <w:r w:rsidR="00092DBD">
        <w:rPr>
          <w:lang w:val="fr-FR"/>
        </w:rPr>
        <w:t xml:space="preserve"> l’</w:t>
      </w:r>
      <w:r w:rsidR="00CC4128">
        <w:rPr>
          <w:lang w:val="fr-FR"/>
        </w:rPr>
        <w:t>A</w:t>
      </w:r>
      <w:r w:rsidR="00092DBD">
        <w:rPr>
          <w:lang w:val="fr-FR"/>
        </w:rPr>
        <w:t xml:space="preserve">dministration pénitentiaire (Guernesey). Dans le cadre actuel, la confidentialité est garantie par la mise à disposition d’un local où le détenu s’entretient avec son conseiller à portée de vue </w:t>
      </w:r>
      <w:r w:rsidR="00B2603F">
        <w:rPr>
          <w:lang w:val="fr-FR"/>
        </w:rPr>
        <w:t xml:space="preserve">mais hors d’écoute </w:t>
      </w:r>
      <w:r w:rsidR="00092DBD">
        <w:rPr>
          <w:lang w:val="fr-FR"/>
        </w:rPr>
        <w:t xml:space="preserve">des agents pénitentiaires, qu’il s’agisse d’une affaire civile ou pénale. De plus, le détenu n’est pas limité dans sa correspondance avec ses conseillers. Il peut par ailleurs bénéficier </w:t>
      </w:r>
      <w:r w:rsidR="00A82238">
        <w:rPr>
          <w:lang w:val="fr-FR"/>
        </w:rPr>
        <w:t>du</w:t>
      </w:r>
      <w:r w:rsidR="00092DBD">
        <w:rPr>
          <w:lang w:val="fr-FR"/>
        </w:rPr>
        <w:t xml:space="preserve"> système </w:t>
      </w:r>
      <w:r w:rsidR="00A82238">
        <w:rPr>
          <w:lang w:val="fr-FR"/>
        </w:rPr>
        <w:t xml:space="preserve">général </w:t>
      </w:r>
      <w:r w:rsidR="00092DBD">
        <w:rPr>
          <w:lang w:val="fr-FR"/>
        </w:rPr>
        <w:t xml:space="preserve">informel d’aide juridictionnelle </w:t>
      </w:r>
      <w:r w:rsidR="00A82238">
        <w:rPr>
          <w:lang w:val="fr-FR"/>
        </w:rPr>
        <w:t>qui existe à Guernesey</w:t>
      </w:r>
      <w:r w:rsidR="000B562B" w:rsidRPr="00A176EA">
        <w:rPr>
          <w:lang w:val="fr-FR"/>
        </w:rPr>
        <w:t>.</w:t>
      </w:r>
    </w:p>
    <w:p w:rsidR="000B562B" w:rsidRPr="00A176EA" w:rsidRDefault="002549A9" w:rsidP="00575D01">
      <w:pPr>
        <w:pStyle w:val="SingleTxtG"/>
        <w:rPr>
          <w:lang w:val="fr-FR"/>
        </w:rPr>
      </w:pPr>
      <w:r w:rsidRPr="00A176EA">
        <w:rPr>
          <w:lang w:val="fr-FR"/>
        </w:rPr>
        <w:t>13.</w:t>
      </w:r>
      <w:r w:rsidRPr="00A176EA">
        <w:rPr>
          <w:lang w:val="fr-FR"/>
        </w:rPr>
        <w:tab/>
      </w:r>
      <w:r w:rsidR="00A82238">
        <w:rPr>
          <w:lang w:val="fr-FR"/>
        </w:rPr>
        <w:t xml:space="preserve">Malgré l’adoption, en 2003, </w:t>
      </w:r>
      <w:r w:rsidR="00575D01">
        <w:rPr>
          <w:lang w:val="fr-FR"/>
        </w:rPr>
        <w:t xml:space="preserve">de la loi </w:t>
      </w:r>
      <w:r w:rsidR="00A82238">
        <w:rPr>
          <w:lang w:val="fr-FR"/>
        </w:rPr>
        <w:t xml:space="preserve">sur </w:t>
      </w:r>
      <w:r w:rsidR="00575D01">
        <w:rPr>
          <w:lang w:val="fr-FR"/>
        </w:rPr>
        <w:t xml:space="preserve">l’aide juridictionnelle </w:t>
      </w:r>
      <w:r w:rsidR="000B562B" w:rsidRPr="0004306A">
        <w:rPr>
          <w:lang w:val="fr-FR"/>
        </w:rPr>
        <w:t>(</w:t>
      </w:r>
      <w:r w:rsidR="0004306A" w:rsidRPr="00575D01">
        <w:rPr>
          <w:lang w:val="fr-FR"/>
        </w:rPr>
        <w:t>B</w:t>
      </w:r>
      <w:r w:rsidR="005B3E8D" w:rsidRPr="00575D01">
        <w:rPr>
          <w:lang w:val="fr-FR"/>
        </w:rPr>
        <w:t xml:space="preserve">ailliage </w:t>
      </w:r>
      <w:r w:rsidR="0004306A" w:rsidRPr="00575D01">
        <w:rPr>
          <w:lang w:val="fr-FR"/>
        </w:rPr>
        <w:t>de</w:t>
      </w:r>
      <w:r w:rsidR="000B562B" w:rsidRPr="00575D01">
        <w:rPr>
          <w:lang w:val="fr-FR"/>
        </w:rPr>
        <w:t xml:space="preserve"> Guern</w:t>
      </w:r>
      <w:r w:rsidR="0004306A" w:rsidRPr="00575D01">
        <w:rPr>
          <w:lang w:val="fr-FR"/>
        </w:rPr>
        <w:t>e</w:t>
      </w:r>
      <w:r w:rsidR="000B562B" w:rsidRPr="00575D01">
        <w:rPr>
          <w:lang w:val="fr-FR"/>
        </w:rPr>
        <w:t>sey)</w:t>
      </w:r>
      <w:r w:rsidR="00575D01" w:rsidRPr="00575D01">
        <w:rPr>
          <w:lang w:val="fr-FR"/>
        </w:rPr>
        <w:t>, dont</w:t>
      </w:r>
      <w:r w:rsidR="00575D01">
        <w:rPr>
          <w:lang w:val="fr-FR"/>
        </w:rPr>
        <w:t xml:space="preserve"> </w:t>
      </w:r>
      <w:r w:rsidR="000B562B" w:rsidRPr="00A176EA">
        <w:rPr>
          <w:lang w:val="fr-FR"/>
        </w:rPr>
        <w:t xml:space="preserve"> </w:t>
      </w:r>
      <w:r w:rsidR="00575D01">
        <w:rPr>
          <w:lang w:val="fr-FR"/>
        </w:rPr>
        <w:t xml:space="preserve">une importante partie est </w:t>
      </w:r>
      <w:r w:rsidR="00AD6F87">
        <w:rPr>
          <w:lang w:val="fr-FR"/>
        </w:rPr>
        <w:t>appliquée</w:t>
      </w:r>
      <w:r w:rsidR="00575D01">
        <w:rPr>
          <w:lang w:val="fr-FR"/>
        </w:rPr>
        <w:t xml:space="preserve">, la partie </w:t>
      </w:r>
      <w:r w:rsidR="00AD6F87">
        <w:rPr>
          <w:lang w:val="fr-FR"/>
        </w:rPr>
        <w:t>introduisant le système</w:t>
      </w:r>
      <w:r w:rsidR="00B2603F">
        <w:rPr>
          <w:lang w:val="fr-FR"/>
        </w:rPr>
        <w:t xml:space="preserve"> d’aide juridictionnelle</w:t>
      </w:r>
      <w:r w:rsidR="00AD6F87">
        <w:rPr>
          <w:lang w:val="fr-FR"/>
        </w:rPr>
        <w:t xml:space="preserve"> n’est pas encore entrée en vigueur. C’est pourquoi l’Administrateur de l’aide juridictionnelle continue de gérer le système informel, qui bénéficie de fonds public</w:t>
      </w:r>
      <w:r w:rsidR="00B2603F">
        <w:rPr>
          <w:lang w:val="fr-FR"/>
        </w:rPr>
        <w:t>s</w:t>
      </w:r>
      <w:r w:rsidR="00AD6F87">
        <w:rPr>
          <w:lang w:val="fr-FR"/>
        </w:rPr>
        <w:t xml:space="preserve"> pour </w:t>
      </w:r>
      <w:r w:rsidR="00D104C4">
        <w:rPr>
          <w:lang w:val="fr-FR"/>
        </w:rPr>
        <w:t>maintenir une permanence d’avocats</w:t>
      </w:r>
      <w:r w:rsidR="000B562B" w:rsidRPr="00A176EA">
        <w:rPr>
          <w:lang w:val="fr-FR"/>
        </w:rPr>
        <w:t>.</w:t>
      </w:r>
    </w:p>
    <w:p w:rsidR="000B562B" w:rsidRPr="00A176EA" w:rsidRDefault="000B562B" w:rsidP="00DF629C">
      <w:pPr>
        <w:pStyle w:val="H23G"/>
        <w:rPr>
          <w:lang w:val="fr-FR"/>
        </w:rPr>
      </w:pPr>
      <w:r w:rsidRPr="00A176EA">
        <w:rPr>
          <w:lang w:val="fr-FR"/>
        </w:rPr>
        <w:t>Service</w:t>
      </w:r>
      <w:r w:rsidR="00C1128D">
        <w:rPr>
          <w:lang w:val="fr-FR"/>
        </w:rPr>
        <w:t>s de police</w:t>
      </w:r>
    </w:p>
    <w:p w:rsidR="000B562B" w:rsidRPr="00A176EA" w:rsidRDefault="002549A9" w:rsidP="005F0026">
      <w:pPr>
        <w:pStyle w:val="SingleTxtG"/>
        <w:rPr>
          <w:lang w:val="fr-FR"/>
        </w:rPr>
      </w:pPr>
      <w:r w:rsidRPr="00A176EA">
        <w:rPr>
          <w:lang w:val="fr-FR"/>
        </w:rPr>
        <w:t>14.</w:t>
      </w:r>
      <w:r w:rsidRPr="00A176EA">
        <w:rPr>
          <w:lang w:val="fr-FR"/>
        </w:rPr>
        <w:tab/>
      </w:r>
      <w:r w:rsidR="00C1128D">
        <w:rPr>
          <w:lang w:val="fr-FR"/>
        </w:rPr>
        <w:t xml:space="preserve">La </w:t>
      </w:r>
      <w:r w:rsidR="00C1128D" w:rsidRPr="00C1128D">
        <w:rPr>
          <w:lang w:val="fr-FR"/>
        </w:rPr>
        <w:t xml:space="preserve">loi </w:t>
      </w:r>
      <w:r w:rsidR="009801B6">
        <w:rPr>
          <w:lang w:val="fr-FR"/>
        </w:rPr>
        <w:t xml:space="preserve">de 2003 </w:t>
      </w:r>
      <w:r w:rsidR="00C1128D" w:rsidRPr="00C1128D">
        <w:rPr>
          <w:lang w:val="fr-FR"/>
        </w:rPr>
        <w:t>sur les pouvoirs de la police et les preuves pénales</w:t>
      </w:r>
      <w:r w:rsidR="006A0820">
        <w:rPr>
          <w:lang w:val="fr-FR"/>
        </w:rPr>
        <w:t xml:space="preserve"> est très proche de la loi de 1984 sur la police et les preuves pénales. Les auditions </w:t>
      </w:r>
      <w:r w:rsidR="00C11439">
        <w:rPr>
          <w:lang w:val="fr-FR"/>
        </w:rPr>
        <w:t xml:space="preserve">dans les </w:t>
      </w:r>
      <w:r w:rsidR="00B2603F">
        <w:rPr>
          <w:lang w:val="fr-FR"/>
        </w:rPr>
        <w:t>locaux de garde à vue</w:t>
      </w:r>
      <w:r w:rsidR="006A0820">
        <w:rPr>
          <w:lang w:val="fr-FR"/>
        </w:rPr>
        <w:t xml:space="preserve"> </w:t>
      </w:r>
      <w:r w:rsidR="00FD7CE6">
        <w:rPr>
          <w:lang w:val="fr-FR"/>
        </w:rPr>
        <w:t xml:space="preserve">continuent </w:t>
      </w:r>
      <w:r w:rsidR="00C11439">
        <w:rPr>
          <w:lang w:val="fr-FR"/>
        </w:rPr>
        <w:t>d’être</w:t>
      </w:r>
      <w:r w:rsidR="00FD7CE6">
        <w:rPr>
          <w:lang w:val="fr-FR"/>
        </w:rPr>
        <w:t xml:space="preserve"> enregistr</w:t>
      </w:r>
      <w:r w:rsidR="00C11439">
        <w:rPr>
          <w:lang w:val="fr-FR"/>
        </w:rPr>
        <w:t>ées sur bande sonore</w:t>
      </w:r>
      <w:r w:rsidR="00FD7CE6">
        <w:rPr>
          <w:lang w:val="fr-FR"/>
        </w:rPr>
        <w:t xml:space="preserve">. </w:t>
      </w:r>
      <w:r w:rsidR="005F0026">
        <w:rPr>
          <w:lang w:val="fr-FR"/>
        </w:rPr>
        <w:t xml:space="preserve">L’évolution des enregistrements vidéo sera suivie et </w:t>
      </w:r>
      <w:r w:rsidR="00C11439">
        <w:rPr>
          <w:lang w:val="fr-FR"/>
        </w:rPr>
        <w:t>l’on étudiera la possibilité de l’adopter</w:t>
      </w:r>
      <w:r w:rsidR="000B562B" w:rsidRPr="00A176EA">
        <w:rPr>
          <w:lang w:val="fr-FR"/>
        </w:rPr>
        <w:t>.</w:t>
      </w:r>
    </w:p>
    <w:p w:rsidR="000B562B" w:rsidRPr="00A176EA" w:rsidRDefault="002549A9" w:rsidP="00131A18">
      <w:pPr>
        <w:pStyle w:val="SingleTxtG"/>
        <w:rPr>
          <w:lang w:val="fr-FR"/>
        </w:rPr>
      </w:pPr>
      <w:r w:rsidRPr="00A176EA">
        <w:rPr>
          <w:lang w:val="fr-FR"/>
        </w:rPr>
        <w:t>15.</w:t>
      </w:r>
      <w:r w:rsidRPr="00A176EA">
        <w:rPr>
          <w:lang w:val="fr-FR"/>
        </w:rPr>
        <w:tab/>
      </w:r>
      <w:r w:rsidR="00C42987">
        <w:rPr>
          <w:lang w:val="fr-FR"/>
        </w:rPr>
        <w:t xml:space="preserve">Depuis août 2003, 10 arrestations ont été effectuées dans le bailliage pour des infractions relevant de la </w:t>
      </w:r>
      <w:r w:rsidR="00E32953" w:rsidRPr="005A14CC">
        <w:rPr>
          <w:lang w:val="fr-FR"/>
        </w:rPr>
        <w:t>loi de 2003 sur le t</w:t>
      </w:r>
      <w:r w:rsidR="000B562B" w:rsidRPr="005A14CC">
        <w:rPr>
          <w:lang w:val="fr-FR"/>
        </w:rPr>
        <w:t>errorism</w:t>
      </w:r>
      <w:r w:rsidR="00E32953" w:rsidRPr="005A14CC">
        <w:rPr>
          <w:lang w:val="fr-FR"/>
        </w:rPr>
        <w:t>e</w:t>
      </w:r>
      <w:r w:rsidR="000B562B" w:rsidRPr="005A14CC">
        <w:rPr>
          <w:lang w:val="fr-FR"/>
        </w:rPr>
        <w:t xml:space="preserve"> </w:t>
      </w:r>
      <w:r w:rsidR="00E32953" w:rsidRPr="005A14CC">
        <w:rPr>
          <w:lang w:val="fr-FR"/>
        </w:rPr>
        <w:t>et la criminalité</w:t>
      </w:r>
      <w:r w:rsidR="000B562B" w:rsidRPr="005A14CC">
        <w:rPr>
          <w:lang w:val="fr-FR"/>
        </w:rPr>
        <w:t xml:space="preserve"> (</w:t>
      </w:r>
      <w:r w:rsidR="0004306A" w:rsidRPr="005A14CC">
        <w:rPr>
          <w:lang w:val="fr-FR"/>
        </w:rPr>
        <w:t>B</w:t>
      </w:r>
      <w:r w:rsidR="005B3E8D" w:rsidRPr="005A14CC">
        <w:rPr>
          <w:lang w:val="fr-FR"/>
        </w:rPr>
        <w:t xml:space="preserve">ailliage </w:t>
      </w:r>
      <w:r w:rsidR="00E32953" w:rsidRPr="005A14CC">
        <w:rPr>
          <w:lang w:val="fr-FR"/>
        </w:rPr>
        <w:t>de</w:t>
      </w:r>
      <w:r w:rsidR="000B562B" w:rsidRPr="005A14CC">
        <w:rPr>
          <w:lang w:val="fr-FR"/>
        </w:rPr>
        <w:t xml:space="preserve"> Guern</w:t>
      </w:r>
      <w:r w:rsidR="00E32953" w:rsidRPr="005A14CC">
        <w:rPr>
          <w:lang w:val="fr-FR"/>
        </w:rPr>
        <w:t>e</w:t>
      </w:r>
      <w:r w:rsidR="000B562B" w:rsidRPr="005A14CC">
        <w:rPr>
          <w:lang w:val="fr-FR"/>
        </w:rPr>
        <w:t>sey). Se</w:t>
      </w:r>
      <w:r w:rsidR="00C42987" w:rsidRPr="005A14CC">
        <w:rPr>
          <w:lang w:val="fr-FR"/>
        </w:rPr>
        <w:t xml:space="preserve">pt </w:t>
      </w:r>
      <w:r w:rsidR="005A14CC" w:rsidRPr="005A14CC">
        <w:rPr>
          <w:lang w:val="fr-FR"/>
        </w:rPr>
        <w:t>l’ont été e</w:t>
      </w:r>
      <w:r w:rsidR="005A14CC">
        <w:rPr>
          <w:lang w:val="fr-FR"/>
        </w:rPr>
        <w:t xml:space="preserve">n vertu de l’article 15 de l’annexe 8 relatif aux individus qui, à l’arrivée ou au départ de l’un des ports, ont refusé de remplir une carte d’embarcation ou fourni des informations erronées. Les 3 autres infractions concernaient de fausses alertes à la bombe. Dans chaque cas, aucun </w:t>
      </w:r>
      <w:r w:rsidR="00731121">
        <w:rPr>
          <w:lang w:val="fr-FR"/>
        </w:rPr>
        <w:t>lien</w:t>
      </w:r>
      <w:r w:rsidR="005A14CC">
        <w:rPr>
          <w:lang w:val="fr-FR"/>
        </w:rPr>
        <w:t xml:space="preserve"> avec une activi</w:t>
      </w:r>
      <w:r w:rsidR="00731121">
        <w:rPr>
          <w:lang w:val="fr-FR"/>
        </w:rPr>
        <w:t>té terroriste n’a été identifié</w:t>
      </w:r>
      <w:r w:rsidR="005A14CC">
        <w:rPr>
          <w:lang w:val="fr-FR"/>
        </w:rPr>
        <w:t xml:space="preserve"> et les </w:t>
      </w:r>
      <w:r w:rsidR="00731121">
        <w:rPr>
          <w:lang w:val="fr-FR"/>
        </w:rPr>
        <w:t>intéressés</w:t>
      </w:r>
      <w:r w:rsidR="005A14CC">
        <w:rPr>
          <w:lang w:val="fr-FR"/>
        </w:rPr>
        <w:t xml:space="preserve"> ont été placés en garde à vue pour une durée relativement courte. </w:t>
      </w:r>
      <w:r w:rsidR="005A14CC" w:rsidRPr="00131A18">
        <w:rPr>
          <w:lang w:val="fr-FR"/>
        </w:rPr>
        <w:t xml:space="preserve">L’accès à </w:t>
      </w:r>
      <w:r w:rsidR="00131A18" w:rsidRPr="00131A18">
        <w:rPr>
          <w:lang w:val="fr-FR"/>
        </w:rPr>
        <w:t xml:space="preserve">des conseils juridiques leur a été accordé, conformément à la </w:t>
      </w:r>
      <w:r w:rsidR="00C1128D" w:rsidRPr="00131A18">
        <w:rPr>
          <w:lang w:val="fr-FR"/>
        </w:rPr>
        <w:t>loi sur les pouvoirs de la police et les preuves pénales</w:t>
      </w:r>
      <w:r w:rsidR="000B562B" w:rsidRPr="00131A18">
        <w:rPr>
          <w:lang w:val="fr-FR"/>
        </w:rPr>
        <w:t>.</w:t>
      </w:r>
    </w:p>
    <w:p w:rsidR="000B562B" w:rsidRPr="00A176EA" w:rsidRDefault="002549A9" w:rsidP="00836FCA">
      <w:pPr>
        <w:pStyle w:val="SingleTxtG"/>
        <w:rPr>
          <w:lang w:val="fr-FR"/>
        </w:rPr>
      </w:pPr>
      <w:r w:rsidRPr="00A176EA">
        <w:rPr>
          <w:lang w:val="fr-FR"/>
        </w:rPr>
        <w:t>16.</w:t>
      </w:r>
      <w:r w:rsidRPr="00A176EA">
        <w:rPr>
          <w:lang w:val="fr-FR"/>
        </w:rPr>
        <w:tab/>
      </w:r>
      <w:r w:rsidR="00836FCA" w:rsidRPr="00836FCA">
        <w:rPr>
          <w:lang w:val="fr-FR"/>
        </w:rPr>
        <w:t xml:space="preserve">Les gardés à vue continuent de bénéficier de l’aide juridictionnelle gratuite, </w:t>
      </w:r>
      <w:r w:rsidR="008D1448" w:rsidRPr="00836FCA">
        <w:rPr>
          <w:lang w:val="fr-FR"/>
        </w:rPr>
        <w:t>conformément à la loi de 2003 sur l’aide juridictionnelle</w:t>
      </w:r>
      <w:r w:rsidR="000B562B" w:rsidRPr="00836FCA">
        <w:rPr>
          <w:lang w:val="fr-FR"/>
        </w:rPr>
        <w:t xml:space="preserve"> (</w:t>
      </w:r>
      <w:r w:rsidR="0004306A" w:rsidRPr="00836FCA">
        <w:rPr>
          <w:lang w:val="fr-FR"/>
        </w:rPr>
        <w:t>B</w:t>
      </w:r>
      <w:r w:rsidR="005B3E8D" w:rsidRPr="00836FCA">
        <w:rPr>
          <w:lang w:val="fr-FR"/>
        </w:rPr>
        <w:t xml:space="preserve">ailliage </w:t>
      </w:r>
      <w:r w:rsidR="008D1448" w:rsidRPr="00836FCA">
        <w:rPr>
          <w:lang w:val="fr-FR"/>
        </w:rPr>
        <w:t>de</w:t>
      </w:r>
      <w:r w:rsidR="000B562B" w:rsidRPr="00836FCA">
        <w:rPr>
          <w:lang w:val="fr-FR"/>
        </w:rPr>
        <w:t xml:space="preserve"> Guern</w:t>
      </w:r>
      <w:r w:rsidR="008D1448" w:rsidRPr="00836FCA">
        <w:rPr>
          <w:lang w:val="fr-FR"/>
        </w:rPr>
        <w:t>e</w:t>
      </w:r>
      <w:r w:rsidR="000B562B" w:rsidRPr="00836FCA">
        <w:rPr>
          <w:lang w:val="fr-FR"/>
        </w:rPr>
        <w:t>sey).</w:t>
      </w:r>
      <w:r w:rsidR="000B562B" w:rsidRPr="0004306A">
        <w:rPr>
          <w:lang w:val="fr-FR"/>
        </w:rPr>
        <w:t xml:space="preserve"> </w:t>
      </w:r>
      <w:r w:rsidR="00E32B5E">
        <w:rPr>
          <w:lang w:val="fr-FR"/>
        </w:rPr>
        <w:t xml:space="preserve">Par ailleurs, un programme informel de visiteurs permet à des personnes nommées en toute indépendance d’accéder </w:t>
      </w:r>
      <w:r w:rsidR="003E30D7">
        <w:rPr>
          <w:lang w:val="fr-FR"/>
        </w:rPr>
        <w:t>sans restriction aux locaux de garde à vue, à tout moment, pour vérifier que les droits des détenus sont respectés</w:t>
      </w:r>
      <w:r w:rsidR="000B562B" w:rsidRPr="00A176EA">
        <w:rPr>
          <w:lang w:val="fr-FR"/>
        </w:rPr>
        <w:t>.</w:t>
      </w:r>
    </w:p>
    <w:p w:rsidR="000B562B" w:rsidRPr="00A176EA" w:rsidRDefault="006A0623" w:rsidP="00DF629C">
      <w:pPr>
        <w:pStyle w:val="H23G"/>
        <w:rPr>
          <w:lang w:val="fr-FR"/>
        </w:rPr>
      </w:pPr>
      <w:r w:rsidRPr="003E30D7">
        <w:rPr>
          <w:lang w:val="fr-FR"/>
        </w:rPr>
        <w:t>Service de contrôle des frontières de  Guernesey</w:t>
      </w:r>
      <w:r w:rsidRPr="00A176EA">
        <w:rPr>
          <w:lang w:val="fr-FR"/>
        </w:rPr>
        <w:t xml:space="preserve"> </w:t>
      </w:r>
      <w:r w:rsidR="000B562B" w:rsidRPr="00A176EA">
        <w:rPr>
          <w:lang w:val="fr-FR"/>
        </w:rPr>
        <w:t>(</w:t>
      </w:r>
      <w:r w:rsidR="003E30D7">
        <w:rPr>
          <w:lang w:val="fr-FR"/>
        </w:rPr>
        <w:t>ancien Service des douanes et de l’immigration</w:t>
      </w:r>
      <w:r>
        <w:rPr>
          <w:lang w:val="fr-FR"/>
        </w:rPr>
        <w:t>)</w:t>
      </w:r>
    </w:p>
    <w:p w:rsidR="000B562B" w:rsidRPr="008B623D" w:rsidRDefault="002549A9" w:rsidP="00DF629C">
      <w:pPr>
        <w:pStyle w:val="SingleTxtG"/>
        <w:rPr>
          <w:lang w:val="fr-FR"/>
        </w:rPr>
      </w:pPr>
      <w:r w:rsidRPr="00A176EA">
        <w:rPr>
          <w:lang w:val="fr-FR"/>
        </w:rPr>
        <w:t>17.</w:t>
      </w:r>
      <w:r w:rsidRPr="00A176EA">
        <w:rPr>
          <w:lang w:val="fr-FR"/>
        </w:rPr>
        <w:tab/>
      </w:r>
      <w:r w:rsidR="00C1128D" w:rsidRPr="003E30D7">
        <w:rPr>
          <w:lang w:val="fr-FR"/>
        </w:rPr>
        <w:t xml:space="preserve">La loi sur les pouvoirs de la police et les preuves pénales </w:t>
      </w:r>
      <w:r w:rsidR="003E30D7" w:rsidRPr="003E30D7">
        <w:rPr>
          <w:lang w:val="fr-FR"/>
        </w:rPr>
        <w:t>est</w:t>
      </w:r>
      <w:r w:rsidR="003E30D7">
        <w:rPr>
          <w:lang w:val="fr-FR"/>
        </w:rPr>
        <w:t xml:space="preserve"> entrée en vigueur en</w:t>
      </w:r>
      <w:r w:rsidR="000B562B" w:rsidRPr="00A176EA">
        <w:rPr>
          <w:lang w:val="fr-FR"/>
        </w:rPr>
        <w:t xml:space="preserve"> 2004. </w:t>
      </w:r>
      <w:r w:rsidR="008B623D" w:rsidRPr="008B623D">
        <w:rPr>
          <w:lang w:val="fr-FR"/>
        </w:rPr>
        <w:t xml:space="preserve">Les actions menées au titre de cette loi sont régies par les </w:t>
      </w:r>
      <w:r w:rsidR="00C1128D" w:rsidRPr="008B623D">
        <w:rPr>
          <w:lang w:val="fr-FR"/>
        </w:rPr>
        <w:t>Codes de bonnes pratiques qui l’accompagnent</w:t>
      </w:r>
      <w:r w:rsidR="000B562B" w:rsidRPr="008B623D">
        <w:rPr>
          <w:lang w:val="fr-FR"/>
        </w:rPr>
        <w:t xml:space="preserve">. </w:t>
      </w:r>
      <w:r w:rsidR="008B623D" w:rsidRPr="008B623D">
        <w:rPr>
          <w:lang w:val="fr-FR"/>
        </w:rPr>
        <w:t>Toute personne arrêtée a droit à des conseils juridiques gratuits qui sont fournis par un système d’aide juridictionnelle gratuite prévu par la loi</w:t>
      </w:r>
      <w:r w:rsidR="000B562B" w:rsidRPr="008B623D">
        <w:rPr>
          <w:lang w:val="fr-FR"/>
        </w:rPr>
        <w:t>.</w:t>
      </w:r>
      <w:r w:rsidR="008B623D">
        <w:rPr>
          <w:lang w:val="fr-FR"/>
        </w:rPr>
        <w:t xml:space="preserve"> </w:t>
      </w:r>
    </w:p>
    <w:p w:rsidR="000B562B" w:rsidRPr="008B623D" w:rsidRDefault="000B562B" w:rsidP="00DC1857">
      <w:pPr>
        <w:pStyle w:val="H23G"/>
        <w:rPr>
          <w:lang w:val="fr-FR"/>
        </w:rPr>
      </w:pPr>
      <w:r w:rsidRPr="008B623D">
        <w:rPr>
          <w:lang w:val="fr-FR"/>
        </w:rPr>
        <w:t>Jersey</w:t>
      </w:r>
    </w:p>
    <w:p w:rsidR="000B562B" w:rsidRPr="00A176EA" w:rsidRDefault="003E30D7" w:rsidP="00DF629C">
      <w:pPr>
        <w:pStyle w:val="H23G"/>
        <w:rPr>
          <w:lang w:val="fr-FR"/>
        </w:rPr>
      </w:pPr>
      <w:r w:rsidRPr="008B623D">
        <w:rPr>
          <w:lang w:val="fr-FR"/>
        </w:rPr>
        <w:t>Services de p</w:t>
      </w:r>
      <w:r w:rsidR="000B562B" w:rsidRPr="008B623D">
        <w:rPr>
          <w:lang w:val="fr-FR"/>
        </w:rPr>
        <w:t>olice</w:t>
      </w:r>
      <w:r w:rsidR="000B562B" w:rsidRPr="00A176EA">
        <w:rPr>
          <w:lang w:val="fr-FR"/>
        </w:rPr>
        <w:t xml:space="preserve"> </w:t>
      </w:r>
    </w:p>
    <w:p w:rsidR="000B562B" w:rsidRPr="00A176EA" w:rsidRDefault="002549A9" w:rsidP="001F6FBF">
      <w:pPr>
        <w:pStyle w:val="SingleTxtG"/>
        <w:rPr>
          <w:lang w:val="fr-FR"/>
        </w:rPr>
      </w:pPr>
      <w:r w:rsidRPr="00A176EA">
        <w:rPr>
          <w:lang w:val="fr-FR"/>
        </w:rPr>
        <w:t>18.</w:t>
      </w:r>
      <w:r w:rsidRPr="00A176EA">
        <w:rPr>
          <w:lang w:val="fr-FR"/>
        </w:rPr>
        <w:tab/>
      </w:r>
      <w:r w:rsidR="008B623D" w:rsidRPr="001F6FBF">
        <w:rPr>
          <w:lang w:val="fr-FR"/>
        </w:rPr>
        <w:t>Avant l’entrée en vigueur de la loi de 2000 sur les dr</w:t>
      </w:r>
      <w:r w:rsidR="004273C0">
        <w:rPr>
          <w:lang w:val="fr-FR"/>
        </w:rPr>
        <w:t>oits de l’homme (Jersey), le 10 </w:t>
      </w:r>
      <w:r w:rsidR="008B623D" w:rsidRPr="001F6FBF">
        <w:rPr>
          <w:lang w:val="fr-FR"/>
        </w:rPr>
        <w:t xml:space="preserve">décembre 2006, toutes les administrations concernées, dont la police des États de Jersey, </w:t>
      </w:r>
      <w:r w:rsidR="001F6FBF" w:rsidRPr="001F6FBF">
        <w:rPr>
          <w:lang w:val="fr-FR"/>
        </w:rPr>
        <w:t xml:space="preserve">ont examiné et vérifié </w:t>
      </w:r>
      <w:r w:rsidR="00731121">
        <w:rPr>
          <w:lang w:val="fr-FR"/>
        </w:rPr>
        <w:t>l’ensemble de</w:t>
      </w:r>
      <w:r w:rsidR="001F6FBF" w:rsidRPr="001F6FBF">
        <w:rPr>
          <w:lang w:val="fr-FR"/>
        </w:rPr>
        <w:t xml:space="preserve"> leurs politiques, pratiques et procédures internes pour s’assurer </w:t>
      </w:r>
      <w:r w:rsidR="00BC6DD7">
        <w:rPr>
          <w:lang w:val="fr-FR"/>
        </w:rPr>
        <w:t>de leur conformité</w:t>
      </w:r>
      <w:r w:rsidR="001F6FBF" w:rsidRPr="001F6FBF">
        <w:rPr>
          <w:lang w:val="fr-FR"/>
        </w:rPr>
        <w:t xml:space="preserve"> à la </w:t>
      </w:r>
      <w:r w:rsidR="007A4C1B" w:rsidRPr="001F6FBF">
        <w:rPr>
          <w:lang w:val="fr-FR"/>
        </w:rPr>
        <w:t>Convention européenne des droits de l’homme</w:t>
      </w:r>
      <w:r w:rsidR="000B562B" w:rsidRPr="001F6FBF">
        <w:rPr>
          <w:lang w:val="fr-FR"/>
        </w:rPr>
        <w:t>.</w:t>
      </w:r>
    </w:p>
    <w:p w:rsidR="000B562B" w:rsidRPr="00A176EA" w:rsidRDefault="002549A9" w:rsidP="0071441B">
      <w:pPr>
        <w:pStyle w:val="SingleTxtG"/>
        <w:rPr>
          <w:lang w:val="fr-FR"/>
        </w:rPr>
      </w:pPr>
      <w:r w:rsidRPr="00A176EA">
        <w:rPr>
          <w:lang w:val="fr-FR"/>
        </w:rPr>
        <w:t>19.</w:t>
      </w:r>
      <w:r w:rsidRPr="00A176EA">
        <w:rPr>
          <w:lang w:val="fr-FR"/>
        </w:rPr>
        <w:tab/>
      </w:r>
      <w:r w:rsidR="001F6FBF">
        <w:rPr>
          <w:lang w:val="fr-FR"/>
        </w:rPr>
        <w:t xml:space="preserve">La loi de 2003 sur les procédures policières et les preuves pénales a reçu la sanction royale le 17 décembre </w:t>
      </w:r>
      <w:r w:rsidR="000B562B" w:rsidRPr="00A176EA">
        <w:rPr>
          <w:lang w:val="fr-FR"/>
        </w:rPr>
        <w:t xml:space="preserve">2002. </w:t>
      </w:r>
      <w:r w:rsidR="001F6FBF">
        <w:rPr>
          <w:lang w:val="fr-FR"/>
        </w:rPr>
        <w:t>Ses parties</w:t>
      </w:r>
      <w:r w:rsidR="000B562B" w:rsidRPr="00A176EA">
        <w:rPr>
          <w:lang w:val="fr-FR"/>
        </w:rPr>
        <w:t xml:space="preserve"> 4 </w:t>
      </w:r>
      <w:r w:rsidR="001F6FBF">
        <w:rPr>
          <w:lang w:val="fr-FR"/>
        </w:rPr>
        <w:t>et</w:t>
      </w:r>
      <w:r w:rsidR="000B562B" w:rsidRPr="00A176EA">
        <w:rPr>
          <w:lang w:val="fr-FR"/>
        </w:rPr>
        <w:t xml:space="preserve"> 6 </w:t>
      </w:r>
      <w:r w:rsidR="001F6FBF">
        <w:rPr>
          <w:lang w:val="fr-FR"/>
        </w:rPr>
        <w:t xml:space="preserve">traitent </w:t>
      </w:r>
      <w:r w:rsidR="008300E3">
        <w:rPr>
          <w:lang w:val="fr-FR"/>
        </w:rPr>
        <w:t>du placement en garde à vue</w:t>
      </w:r>
      <w:r w:rsidR="000B562B" w:rsidRPr="00A176EA">
        <w:rPr>
          <w:lang w:val="fr-FR"/>
        </w:rPr>
        <w:t xml:space="preserve">, </w:t>
      </w:r>
      <w:r w:rsidR="001F6FBF">
        <w:rPr>
          <w:lang w:val="fr-FR"/>
        </w:rPr>
        <w:t>du traite</w:t>
      </w:r>
      <w:r w:rsidR="000B562B" w:rsidRPr="00A176EA">
        <w:rPr>
          <w:lang w:val="fr-FR"/>
        </w:rPr>
        <w:t xml:space="preserve">ment </w:t>
      </w:r>
      <w:r w:rsidR="001F6FBF">
        <w:rPr>
          <w:lang w:val="fr-FR"/>
        </w:rPr>
        <w:t>et de l’audition des personnes par les fonctionnaires de police. Elle est entrée en vigueur le 1</w:t>
      </w:r>
      <w:r w:rsidR="001F6FBF" w:rsidRPr="001F6FBF">
        <w:rPr>
          <w:vertAlign w:val="superscript"/>
          <w:lang w:val="fr-FR"/>
        </w:rPr>
        <w:t>er</w:t>
      </w:r>
      <w:r w:rsidR="001F6FBF">
        <w:rPr>
          <w:lang w:val="fr-FR"/>
        </w:rPr>
        <w:t xml:space="preserve"> décembre</w:t>
      </w:r>
      <w:r w:rsidR="000B562B" w:rsidRPr="00A176EA">
        <w:rPr>
          <w:lang w:val="fr-FR"/>
        </w:rPr>
        <w:t xml:space="preserve"> 2004.</w:t>
      </w:r>
    </w:p>
    <w:p w:rsidR="000B562B" w:rsidRPr="00A176EA" w:rsidRDefault="002549A9" w:rsidP="001F6FBF">
      <w:pPr>
        <w:pStyle w:val="SingleTxtG"/>
        <w:rPr>
          <w:lang w:val="fr-FR"/>
        </w:rPr>
      </w:pPr>
      <w:r w:rsidRPr="00A176EA">
        <w:rPr>
          <w:lang w:val="fr-FR"/>
        </w:rPr>
        <w:t>20.</w:t>
      </w:r>
      <w:r w:rsidRPr="00A176EA">
        <w:rPr>
          <w:lang w:val="fr-FR"/>
        </w:rPr>
        <w:tab/>
      </w:r>
      <w:r w:rsidR="001F6FBF">
        <w:rPr>
          <w:lang w:val="fr-FR"/>
        </w:rPr>
        <w:t xml:space="preserve">L’ordonnance de 2004 </w:t>
      </w:r>
      <w:r w:rsidR="0025598E">
        <w:rPr>
          <w:lang w:val="fr-FR"/>
        </w:rPr>
        <w:t>relative aux</w:t>
      </w:r>
      <w:r w:rsidR="001F6FBF">
        <w:rPr>
          <w:lang w:val="fr-FR"/>
        </w:rPr>
        <w:t xml:space="preserve"> procédures policières et </w:t>
      </w:r>
      <w:r w:rsidR="0025598E">
        <w:rPr>
          <w:lang w:val="fr-FR"/>
        </w:rPr>
        <w:t>aux</w:t>
      </w:r>
      <w:r w:rsidR="001F6FBF">
        <w:rPr>
          <w:lang w:val="fr-FR"/>
        </w:rPr>
        <w:t xml:space="preserve"> preuves pénales (Codes de bonnes pratiques) est entrée en vigueur le 1</w:t>
      </w:r>
      <w:r w:rsidR="001F6FBF" w:rsidRPr="001F6FBF">
        <w:rPr>
          <w:vertAlign w:val="superscript"/>
          <w:lang w:val="fr-FR"/>
        </w:rPr>
        <w:t>er</w:t>
      </w:r>
      <w:r w:rsidR="001F6FBF">
        <w:rPr>
          <w:lang w:val="fr-FR"/>
        </w:rPr>
        <w:t xml:space="preserve"> décembre 2004. Le Code C établit les bonnes pratiques relatives à la détention, au traitement et à l’audition des </w:t>
      </w:r>
      <w:r w:rsidR="00521C12">
        <w:rPr>
          <w:lang w:val="fr-FR"/>
        </w:rPr>
        <w:t>gardés à vue</w:t>
      </w:r>
      <w:r w:rsidR="001F6FBF">
        <w:rPr>
          <w:lang w:val="fr-FR"/>
        </w:rPr>
        <w:t xml:space="preserve">. Son article 6 prévoit des dispositions sur l’accès </w:t>
      </w:r>
      <w:r w:rsidR="009801B6">
        <w:rPr>
          <w:lang w:val="fr-FR"/>
        </w:rPr>
        <w:t>aux conseils juridiques</w:t>
      </w:r>
      <w:r w:rsidR="001F6FBF">
        <w:rPr>
          <w:lang w:val="fr-FR"/>
        </w:rPr>
        <w:t>. Son article 7 confère aux ressortissants étrangers le droit supplémentaire de communiquer avec leur Haut-Commissariat, leur ambassade ou leur consulat</w:t>
      </w:r>
      <w:r w:rsidR="000B562B" w:rsidRPr="00A176EA">
        <w:rPr>
          <w:lang w:val="fr-FR"/>
        </w:rPr>
        <w:t>.</w:t>
      </w:r>
    </w:p>
    <w:p w:rsidR="000B562B" w:rsidRPr="00A176EA" w:rsidRDefault="002549A9" w:rsidP="004A74CE">
      <w:pPr>
        <w:pStyle w:val="SingleTxtG"/>
        <w:tabs>
          <w:tab w:val="left" w:pos="567"/>
          <w:tab w:val="left" w:pos="1134"/>
          <w:tab w:val="left" w:pos="1701"/>
          <w:tab w:val="left" w:pos="2545"/>
        </w:tabs>
        <w:rPr>
          <w:lang w:val="fr-FR"/>
        </w:rPr>
      </w:pPr>
      <w:r w:rsidRPr="00A176EA">
        <w:rPr>
          <w:lang w:val="fr-FR"/>
        </w:rPr>
        <w:t>21.</w:t>
      </w:r>
      <w:r w:rsidRPr="00A176EA">
        <w:rPr>
          <w:lang w:val="fr-FR"/>
        </w:rPr>
        <w:tab/>
      </w:r>
      <w:r w:rsidR="004A74CE">
        <w:rPr>
          <w:lang w:val="fr-FR"/>
        </w:rPr>
        <w:t xml:space="preserve">Les Règles pénitentiaires </w:t>
      </w:r>
      <w:r w:rsidR="006C63FB">
        <w:rPr>
          <w:lang w:val="fr-FR"/>
        </w:rPr>
        <w:t xml:space="preserve">de 2007 </w:t>
      </w:r>
      <w:r w:rsidR="004A74CE">
        <w:rPr>
          <w:lang w:val="fr-FR"/>
        </w:rPr>
        <w:t>(Jersey)</w:t>
      </w:r>
      <w:r w:rsidR="008300E3">
        <w:rPr>
          <w:lang w:val="fr-FR"/>
        </w:rPr>
        <w:t>,</w:t>
      </w:r>
      <w:r w:rsidR="004A74CE">
        <w:rPr>
          <w:lang w:val="fr-FR"/>
        </w:rPr>
        <w:t xml:space="preserve"> entrées en vigueur le 31 janvier 2007</w:t>
      </w:r>
      <w:r w:rsidR="008300E3">
        <w:rPr>
          <w:lang w:val="fr-FR"/>
        </w:rPr>
        <w:t>,</w:t>
      </w:r>
      <w:r w:rsidR="004A74CE">
        <w:rPr>
          <w:lang w:val="fr-FR"/>
        </w:rPr>
        <w:t xml:space="preserve"> fixent la réglementation s’appliquant aux </w:t>
      </w:r>
      <w:r w:rsidR="004A74CE" w:rsidRPr="00AB2D54">
        <w:rPr>
          <w:lang w:val="fr-FR"/>
        </w:rPr>
        <w:t>individus en détention provisoire ou condamnés</w:t>
      </w:r>
      <w:r w:rsidR="000B562B" w:rsidRPr="00A176EA">
        <w:rPr>
          <w:lang w:val="fr-FR"/>
        </w:rPr>
        <w:t xml:space="preserve">. </w:t>
      </w:r>
      <w:r w:rsidR="004A74CE">
        <w:rPr>
          <w:lang w:val="fr-FR"/>
        </w:rPr>
        <w:t xml:space="preserve">Ces Règles </w:t>
      </w:r>
      <w:r w:rsidR="008300E3">
        <w:rPr>
          <w:lang w:val="fr-FR"/>
        </w:rPr>
        <w:t>prévoient</w:t>
      </w:r>
      <w:r w:rsidR="004A74CE">
        <w:rPr>
          <w:lang w:val="fr-FR"/>
        </w:rPr>
        <w:t xml:space="preserve"> des dispositions spécifiques pour les délinquants</w:t>
      </w:r>
      <w:r w:rsidR="004A74CE" w:rsidRPr="004A74CE">
        <w:rPr>
          <w:lang w:val="fr-FR"/>
        </w:rPr>
        <w:t xml:space="preserve"> </w:t>
      </w:r>
      <w:r w:rsidR="004A74CE">
        <w:rPr>
          <w:lang w:val="fr-FR"/>
        </w:rPr>
        <w:t>mineurs</w:t>
      </w:r>
      <w:r w:rsidR="000B562B" w:rsidRPr="00A176EA">
        <w:rPr>
          <w:lang w:val="fr-FR"/>
        </w:rPr>
        <w:t>.</w:t>
      </w:r>
    </w:p>
    <w:p w:rsidR="000B562B" w:rsidRPr="00A176EA" w:rsidRDefault="002549A9" w:rsidP="004273C0">
      <w:pPr>
        <w:pStyle w:val="SingleTxtG"/>
        <w:rPr>
          <w:lang w:val="fr-FR"/>
        </w:rPr>
      </w:pPr>
      <w:r w:rsidRPr="00A176EA">
        <w:rPr>
          <w:lang w:val="fr-FR"/>
        </w:rPr>
        <w:t>22.</w:t>
      </w:r>
      <w:r w:rsidRPr="00A176EA">
        <w:rPr>
          <w:lang w:val="fr-FR"/>
        </w:rPr>
        <w:tab/>
      </w:r>
      <w:r w:rsidR="004A74CE">
        <w:rPr>
          <w:lang w:val="fr-FR"/>
        </w:rPr>
        <w:t xml:space="preserve">La loi de 1990 </w:t>
      </w:r>
      <w:r w:rsidR="00FA4C36">
        <w:rPr>
          <w:lang w:val="fr-FR"/>
        </w:rPr>
        <w:t>sur</w:t>
      </w:r>
      <w:r w:rsidR="004A74CE">
        <w:rPr>
          <w:lang w:val="fr-FR"/>
        </w:rPr>
        <w:t xml:space="preserve"> la torture (Jersey) incrimine la torture. Une personne coupable d’une infraction de torture est passible d’une peine de réclusion à perpétuité</w:t>
      </w:r>
      <w:r w:rsidR="000B562B" w:rsidRPr="00A176EA">
        <w:rPr>
          <w:lang w:val="fr-FR"/>
        </w:rPr>
        <w:t xml:space="preserve"> (</w:t>
      </w:r>
      <w:r w:rsidR="00AE2E20">
        <w:rPr>
          <w:lang w:val="fr-FR"/>
        </w:rPr>
        <w:t>par</w:t>
      </w:r>
      <w:r w:rsidR="004273C0">
        <w:rPr>
          <w:lang w:val="fr-FR"/>
        </w:rPr>
        <w:t>.</w:t>
      </w:r>
      <w:r w:rsidR="00AE2E20">
        <w:rPr>
          <w:lang w:val="fr-FR"/>
        </w:rPr>
        <w:t xml:space="preserve"> 6 de l’</w:t>
      </w:r>
      <w:r w:rsidR="004A74CE">
        <w:rPr>
          <w:lang w:val="fr-FR"/>
        </w:rPr>
        <w:t>a</w:t>
      </w:r>
      <w:r w:rsidR="000B562B" w:rsidRPr="00A176EA">
        <w:rPr>
          <w:lang w:val="fr-FR"/>
        </w:rPr>
        <w:t>rticle 1).</w:t>
      </w:r>
    </w:p>
    <w:p w:rsidR="000B562B" w:rsidRPr="00A176EA" w:rsidRDefault="002549A9" w:rsidP="00D67947">
      <w:pPr>
        <w:pStyle w:val="SingleTxtG"/>
        <w:rPr>
          <w:lang w:val="fr-FR"/>
        </w:rPr>
      </w:pPr>
      <w:r w:rsidRPr="00A176EA">
        <w:rPr>
          <w:lang w:val="fr-FR"/>
        </w:rPr>
        <w:t>23.</w:t>
      </w:r>
      <w:r w:rsidRPr="00A176EA">
        <w:rPr>
          <w:lang w:val="fr-FR"/>
        </w:rPr>
        <w:tab/>
      </w:r>
      <w:r w:rsidR="003D0876">
        <w:rPr>
          <w:lang w:val="fr-FR"/>
        </w:rPr>
        <w:t xml:space="preserve">La complicité de tentative d’infraction peut </w:t>
      </w:r>
      <w:r w:rsidR="00C13A56">
        <w:rPr>
          <w:lang w:val="fr-FR"/>
        </w:rPr>
        <w:t xml:space="preserve">être incriminée en tant qu’infraction au droit coutumier, même si l’infraction principale à laquelle elle se rapporte </w:t>
      </w:r>
      <w:r w:rsidR="00D67947">
        <w:rPr>
          <w:lang w:val="fr-FR"/>
        </w:rPr>
        <w:t xml:space="preserve">est incriminée par le droit écrit </w:t>
      </w:r>
      <w:r w:rsidR="000B562B" w:rsidRPr="00A176EA">
        <w:rPr>
          <w:lang w:val="fr-FR"/>
        </w:rPr>
        <w:t xml:space="preserve">– </w:t>
      </w:r>
      <w:r w:rsidR="000B562B" w:rsidRPr="00DC5441">
        <w:rPr>
          <w:i/>
          <w:iCs/>
          <w:lang w:val="fr-FR"/>
        </w:rPr>
        <w:t>Martins &amp; Martins</w:t>
      </w:r>
      <w:r w:rsidR="000B562B" w:rsidRPr="00A176EA">
        <w:rPr>
          <w:lang w:val="fr-FR"/>
        </w:rPr>
        <w:t xml:space="preserve"> </w:t>
      </w:r>
      <w:r w:rsidR="00E94D44">
        <w:rPr>
          <w:lang w:val="fr-FR"/>
        </w:rPr>
        <w:t>c.</w:t>
      </w:r>
      <w:r w:rsidR="000B562B" w:rsidRPr="00A176EA">
        <w:rPr>
          <w:lang w:val="fr-FR"/>
        </w:rPr>
        <w:t xml:space="preserve"> </w:t>
      </w:r>
      <w:r w:rsidR="000B562B" w:rsidRPr="00DC5441">
        <w:rPr>
          <w:i/>
          <w:iCs/>
          <w:lang w:val="fr-FR"/>
        </w:rPr>
        <w:t>AG</w:t>
      </w:r>
      <w:r w:rsidR="000B562B" w:rsidRPr="00A176EA">
        <w:rPr>
          <w:lang w:val="fr-FR"/>
        </w:rPr>
        <w:t xml:space="preserve"> [2008] JCA 082.</w:t>
      </w:r>
    </w:p>
    <w:p w:rsidR="000B562B" w:rsidRPr="00A176EA" w:rsidRDefault="0004306A" w:rsidP="00DC1857">
      <w:pPr>
        <w:pStyle w:val="H23G"/>
        <w:rPr>
          <w:lang w:val="fr-FR"/>
        </w:rPr>
      </w:pPr>
      <w:r>
        <w:rPr>
          <w:lang w:val="fr-FR"/>
        </w:rPr>
        <w:t>Île de</w:t>
      </w:r>
      <w:r w:rsidR="000B562B" w:rsidRPr="00A176EA">
        <w:rPr>
          <w:lang w:val="fr-FR"/>
        </w:rPr>
        <w:t xml:space="preserve"> Man</w:t>
      </w:r>
    </w:p>
    <w:p w:rsidR="000B562B" w:rsidRPr="00A176EA" w:rsidRDefault="002549A9" w:rsidP="00E60090">
      <w:pPr>
        <w:pStyle w:val="SingleTxtG"/>
        <w:rPr>
          <w:lang w:val="fr-FR"/>
        </w:rPr>
      </w:pPr>
      <w:r w:rsidRPr="00A176EA">
        <w:rPr>
          <w:lang w:val="fr-FR"/>
        </w:rPr>
        <w:t>24.</w:t>
      </w:r>
      <w:r w:rsidRPr="00A176EA">
        <w:rPr>
          <w:lang w:val="fr-FR"/>
        </w:rPr>
        <w:tab/>
      </w:r>
      <w:r w:rsidR="00D67947">
        <w:rPr>
          <w:lang w:val="fr-FR"/>
        </w:rPr>
        <w:t xml:space="preserve">Ainsi qu’il a été indiqué au paragraphe 8 ci-dessus, le Gouvernement de l’île de Man a </w:t>
      </w:r>
      <w:r w:rsidR="006916C3">
        <w:rPr>
          <w:lang w:val="fr-FR"/>
        </w:rPr>
        <w:t xml:space="preserve">fait promulguer la loi de 2001 sur les droits de l’homme. </w:t>
      </w:r>
      <w:r w:rsidR="00E60090">
        <w:rPr>
          <w:lang w:val="fr-FR"/>
        </w:rPr>
        <w:t xml:space="preserve">Cette loi exige que la législation soit interprétée et appliquée d’une manière compatible avec les droits consacrés par la </w:t>
      </w:r>
      <w:r w:rsidR="006F4B46" w:rsidRPr="00E60090">
        <w:rPr>
          <w:lang w:val="fr-FR"/>
        </w:rPr>
        <w:t>Convention européenne des droits de l’homme</w:t>
      </w:r>
      <w:r w:rsidR="000B562B" w:rsidRPr="00A176EA">
        <w:rPr>
          <w:lang w:val="fr-FR"/>
        </w:rPr>
        <w:t xml:space="preserve">, </w:t>
      </w:r>
      <w:r w:rsidR="00E60090">
        <w:rPr>
          <w:lang w:val="fr-FR"/>
        </w:rPr>
        <w:t xml:space="preserve">dont l’interdiction de la torture et autres </w:t>
      </w:r>
      <w:r w:rsidR="006C63FB">
        <w:rPr>
          <w:lang w:val="fr-FR"/>
        </w:rPr>
        <w:t>formes de</w:t>
      </w:r>
      <w:r w:rsidR="00E60090" w:rsidRPr="00A176EA">
        <w:rPr>
          <w:lang w:val="fr-FR"/>
        </w:rPr>
        <w:t xml:space="preserve"> traitement inhumain ou dégradant</w:t>
      </w:r>
      <w:r w:rsidR="00E60090">
        <w:rPr>
          <w:lang w:val="fr-FR"/>
        </w:rPr>
        <w:t xml:space="preserve">. Sauf dans </w:t>
      </w:r>
      <w:r w:rsidR="006C63FB">
        <w:rPr>
          <w:lang w:val="fr-FR"/>
        </w:rPr>
        <w:t>certaines</w:t>
      </w:r>
      <w:r w:rsidR="00E60090">
        <w:rPr>
          <w:lang w:val="fr-FR"/>
        </w:rPr>
        <w:t xml:space="preserve"> circonstances limitées, les autorités publiques sont tenues d’agir d’une manière compatible avec les droits inscrits dans la Convention. </w:t>
      </w:r>
      <w:r w:rsidR="00647820">
        <w:rPr>
          <w:lang w:val="fr-FR"/>
        </w:rPr>
        <w:t xml:space="preserve">S’il s’avère qu’un organisme public a agi de manière illégale, un tribunal </w:t>
      </w:r>
      <w:r w:rsidR="00D74DEE">
        <w:rPr>
          <w:lang w:val="fr-FR"/>
        </w:rPr>
        <w:t xml:space="preserve">ou une juridiction administrative </w:t>
      </w:r>
      <w:r w:rsidR="00647820">
        <w:rPr>
          <w:lang w:val="fr-FR"/>
        </w:rPr>
        <w:t xml:space="preserve">pourra </w:t>
      </w:r>
      <w:r w:rsidR="00393689">
        <w:rPr>
          <w:lang w:val="fr-FR"/>
        </w:rPr>
        <w:t>accorder la réparation qui lui paraît juste et appropriée</w:t>
      </w:r>
      <w:r w:rsidR="000B562B" w:rsidRPr="00A176EA">
        <w:rPr>
          <w:lang w:val="fr-FR"/>
        </w:rPr>
        <w:t>.</w:t>
      </w:r>
    </w:p>
    <w:p w:rsidR="000B562B" w:rsidRPr="00393689" w:rsidRDefault="004273C0" w:rsidP="001C135E">
      <w:pPr>
        <w:pStyle w:val="H1G"/>
      </w:pPr>
      <w:bookmarkStart w:id="83" w:name="_Toc299724774"/>
      <w:r>
        <w:tab/>
      </w:r>
      <w:r>
        <w:tab/>
      </w:r>
      <w:r w:rsidR="000B562B" w:rsidRPr="00393689">
        <w:t>Article 3</w:t>
      </w:r>
      <w:bookmarkEnd w:id="83"/>
    </w:p>
    <w:p w:rsidR="000B562B" w:rsidRPr="00A176EA" w:rsidRDefault="000B562B" w:rsidP="00DC1857">
      <w:pPr>
        <w:pStyle w:val="H23G"/>
        <w:rPr>
          <w:lang w:val="fr-FR"/>
        </w:rPr>
      </w:pPr>
      <w:r w:rsidRPr="00393689">
        <w:rPr>
          <w:lang w:val="fr-FR"/>
        </w:rPr>
        <w:t>Guern</w:t>
      </w:r>
      <w:r w:rsidR="00AF39C5" w:rsidRPr="00393689">
        <w:rPr>
          <w:lang w:val="fr-FR"/>
        </w:rPr>
        <w:t>e</w:t>
      </w:r>
      <w:r w:rsidRPr="00393689">
        <w:rPr>
          <w:lang w:val="fr-FR"/>
        </w:rPr>
        <w:t>sey</w:t>
      </w:r>
    </w:p>
    <w:p w:rsidR="000B562B" w:rsidRPr="00A176EA" w:rsidRDefault="002549A9" w:rsidP="0071441B">
      <w:pPr>
        <w:pStyle w:val="SingleTxtG"/>
        <w:rPr>
          <w:lang w:val="fr-FR"/>
        </w:rPr>
      </w:pPr>
      <w:r w:rsidRPr="00A176EA">
        <w:rPr>
          <w:lang w:val="fr-FR"/>
        </w:rPr>
        <w:t>25.</w:t>
      </w:r>
      <w:r w:rsidRPr="00A176EA">
        <w:rPr>
          <w:lang w:val="fr-FR"/>
        </w:rPr>
        <w:tab/>
      </w:r>
      <w:r w:rsidR="00D74DEE">
        <w:rPr>
          <w:lang w:val="fr-FR"/>
        </w:rPr>
        <w:t>La loi de 1999 sur l’i</w:t>
      </w:r>
      <w:r w:rsidR="000B562B" w:rsidRPr="00A176EA">
        <w:rPr>
          <w:lang w:val="fr-FR"/>
        </w:rPr>
        <w:t xml:space="preserve">mmigration </w:t>
      </w:r>
      <w:r w:rsidR="00D74DEE">
        <w:rPr>
          <w:lang w:val="fr-FR"/>
        </w:rPr>
        <w:t>et l’asile a été étendue au</w:t>
      </w:r>
      <w:r w:rsidR="000B562B" w:rsidRPr="00A176EA">
        <w:rPr>
          <w:lang w:val="fr-FR"/>
        </w:rPr>
        <w:t xml:space="preserve"> </w:t>
      </w:r>
      <w:r w:rsidR="005B3E8D" w:rsidRPr="00D74DEE">
        <w:rPr>
          <w:lang w:val="fr-FR"/>
        </w:rPr>
        <w:t>bailliage</w:t>
      </w:r>
      <w:r w:rsidR="005B3E8D" w:rsidRPr="00A176EA">
        <w:rPr>
          <w:lang w:val="fr-FR"/>
        </w:rPr>
        <w:t xml:space="preserve"> </w:t>
      </w:r>
      <w:r w:rsidR="006C63FB">
        <w:rPr>
          <w:lang w:val="fr-FR"/>
        </w:rPr>
        <w:t>de</w:t>
      </w:r>
      <w:r w:rsidR="000B562B" w:rsidRPr="00A176EA">
        <w:rPr>
          <w:lang w:val="fr-FR"/>
        </w:rPr>
        <w:t xml:space="preserve"> Guern</w:t>
      </w:r>
      <w:r w:rsidR="00D74DEE">
        <w:rPr>
          <w:lang w:val="fr-FR"/>
        </w:rPr>
        <w:t>e</w:t>
      </w:r>
      <w:r w:rsidR="000B562B" w:rsidRPr="00A176EA">
        <w:rPr>
          <w:lang w:val="fr-FR"/>
        </w:rPr>
        <w:t xml:space="preserve">sey </w:t>
      </w:r>
      <w:r w:rsidR="00D74DEE">
        <w:rPr>
          <w:lang w:val="fr-FR"/>
        </w:rPr>
        <w:t xml:space="preserve">par l’ordonnance de 2003 relative à la loi de 1999 sur l’immigration et l’asile (Guernesey) </w:t>
      </w:r>
      <w:r w:rsidR="000B562B" w:rsidRPr="00A176EA">
        <w:rPr>
          <w:lang w:val="fr-FR"/>
        </w:rPr>
        <w:t>(</w:t>
      </w:r>
      <w:r w:rsidR="00D74DEE">
        <w:rPr>
          <w:lang w:val="fr-FR"/>
        </w:rPr>
        <w:t>décret du Royaume-Uni n° 2900 de 2003</w:t>
      </w:r>
      <w:r w:rsidR="000B562B" w:rsidRPr="00A176EA">
        <w:rPr>
          <w:lang w:val="fr-FR"/>
        </w:rPr>
        <w:t xml:space="preserve">), </w:t>
      </w:r>
      <w:r w:rsidR="00D74DEE">
        <w:rPr>
          <w:lang w:val="fr-FR"/>
        </w:rPr>
        <w:t>qui est entrée en vigueur le 11 décembre</w:t>
      </w:r>
      <w:r w:rsidR="000B562B" w:rsidRPr="00A176EA">
        <w:rPr>
          <w:lang w:val="fr-FR"/>
        </w:rPr>
        <w:t xml:space="preserve"> 2003. </w:t>
      </w:r>
      <w:r w:rsidR="00D74DEE">
        <w:rPr>
          <w:lang w:val="fr-FR"/>
        </w:rPr>
        <w:t xml:space="preserve">L’ordonnance a étendu, avec des modifications, les dispositions pertinentes de la loi et </w:t>
      </w:r>
      <w:r w:rsidR="009C1017">
        <w:rPr>
          <w:lang w:val="fr-FR"/>
        </w:rPr>
        <w:t xml:space="preserve">modifié par ailleurs l’ordonnance de 1993 relative à l’immigration (Guernesey), qui renforçait l’extension </w:t>
      </w:r>
      <w:r w:rsidR="00AD255E">
        <w:rPr>
          <w:lang w:val="fr-FR"/>
        </w:rPr>
        <w:t>au bailliage de Guernesey de la législation précédente sur l’immigration</w:t>
      </w:r>
      <w:r w:rsidR="000B562B" w:rsidRPr="00A176EA">
        <w:rPr>
          <w:lang w:val="fr-FR"/>
        </w:rPr>
        <w:t>.</w:t>
      </w:r>
    </w:p>
    <w:p w:rsidR="000B562B" w:rsidRPr="00A176EA" w:rsidRDefault="002549A9" w:rsidP="0071441B">
      <w:pPr>
        <w:pStyle w:val="SingleTxtG"/>
        <w:rPr>
          <w:lang w:val="fr-FR"/>
        </w:rPr>
      </w:pPr>
      <w:r w:rsidRPr="00A176EA">
        <w:rPr>
          <w:lang w:val="fr-FR"/>
        </w:rPr>
        <w:t>26.</w:t>
      </w:r>
      <w:r w:rsidRPr="00A176EA">
        <w:rPr>
          <w:lang w:val="fr-FR"/>
        </w:rPr>
        <w:tab/>
      </w:r>
      <w:r w:rsidR="00AD255E">
        <w:rPr>
          <w:lang w:val="fr-FR"/>
        </w:rPr>
        <w:t>L’e</w:t>
      </w:r>
      <w:r w:rsidR="000B562B" w:rsidRPr="00A176EA">
        <w:rPr>
          <w:lang w:val="fr-FR"/>
        </w:rPr>
        <w:t>xtradition</w:t>
      </w:r>
      <w:r w:rsidR="00AD255E">
        <w:rPr>
          <w:lang w:val="fr-FR"/>
        </w:rPr>
        <w:t xml:space="preserve"> demeure régie par la loi de 1989 sur l’extradition du Royaume-Uni, dont l</w:t>
      </w:r>
      <w:r w:rsidR="00AE2E20">
        <w:rPr>
          <w:lang w:val="fr-FR"/>
        </w:rPr>
        <w:t>e paragraphe 1 de l</w:t>
      </w:r>
      <w:r w:rsidR="003623CD">
        <w:rPr>
          <w:lang w:val="fr-FR"/>
        </w:rPr>
        <w:t>’article 29 stipule que l</w:t>
      </w:r>
      <w:r w:rsidR="00AD255E">
        <w:rPr>
          <w:lang w:val="fr-FR"/>
        </w:rPr>
        <w:t xml:space="preserve">es parties I à V </w:t>
      </w:r>
      <w:r w:rsidR="003623CD">
        <w:rPr>
          <w:lang w:val="fr-FR"/>
        </w:rPr>
        <w:t>s’appliquent au baill</w:t>
      </w:r>
      <w:r w:rsidR="00471843">
        <w:rPr>
          <w:lang w:val="fr-FR"/>
        </w:rPr>
        <w:t>i</w:t>
      </w:r>
      <w:r w:rsidR="003623CD">
        <w:rPr>
          <w:lang w:val="fr-FR"/>
        </w:rPr>
        <w:t xml:space="preserve">age de Guernesey comme si celui-ci faisait partie du Royaume-Uni </w:t>
      </w:r>
      <w:r w:rsidR="004D20ED">
        <w:rPr>
          <w:lang w:val="fr-FR"/>
        </w:rPr>
        <w:t>et y demeurent en vigueur bien que ladite loi ait été abrogée au Royaume-Uni suite à l’ordonnance de 2003 relative à la loi de 2003 sur l’extradition (</w:t>
      </w:r>
      <w:r w:rsidR="00C72F91">
        <w:rPr>
          <w:lang w:val="fr-FR"/>
        </w:rPr>
        <w:t>Entrée en vigueur et exceptions</w:t>
      </w:r>
      <w:r w:rsidR="00820FBD">
        <w:rPr>
          <w:lang w:val="fr-FR"/>
        </w:rPr>
        <w:t xml:space="preserve">). Par ailleurs, la loi de 2000 sur les droits de l’homme </w:t>
      </w:r>
      <w:r w:rsidR="00820FBD" w:rsidRPr="00A176EA">
        <w:rPr>
          <w:lang w:val="fr-FR"/>
        </w:rPr>
        <w:t>(</w:t>
      </w:r>
      <w:r w:rsidR="00820FBD">
        <w:rPr>
          <w:lang w:val="fr-FR"/>
        </w:rPr>
        <w:t>B</w:t>
      </w:r>
      <w:r w:rsidR="00820FBD" w:rsidRPr="00820FBD">
        <w:rPr>
          <w:lang w:val="fr-FR"/>
        </w:rPr>
        <w:t>ailliage</w:t>
      </w:r>
      <w:r w:rsidR="00820FBD" w:rsidRPr="00A176EA">
        <w:rPr>
          <w:lang w:val="fr-FR"/>
        </w:rPr>
        <w:t xml:space="preserve"> </w:t>
      </w:r>
      <w:r w:rsidR="00820FBD">
        <w:rPr>
          <w:lang w:val="fr-FR"/>
        </w:rPr>
        <w:t>de</w:t>
      </w:r>
      <w:r w:rsidR="00820FBD" w:rsidRPr="00A176EA">
        <w:rPr>
          <w:lang w:val="fr-FR"/>
        </w:rPr>
        <w:t xml:space="preserve"> Guern</w:t>
      </w:r>
      <w:r w:rsidR="00820FBD">
        <w:rPr>
          <w:lang w:val="fr-FR"/>
        </w:rPr>
        <w:t>e</w:t>
      </w:r>
      <w:r w:rsidR="00820FBD" w:rsidRPr="00A176EA">
        <w:rPr>
          <w:lang w:val="fr-FR"/>
        </w:rPr>
        <w:t>sey)</w:t>
      </w:r>
      <w:r w:rsidR="00820FBD">
        <w:rPr>
          <w:lang w:val="fr-FR"/>
        </w:rPr>
        <w:t xml:space="preserve"> impose aux pouvoirs publics d’agir d’une manière compatible avec les droits inscrits dans la Convention européenne des droits de l’homme, article 3 inclus</w:t>
      </w:r>
      <w:r w:rsidR="000B562B" w:rsidRPr="00A176EA">
        <w:rPr>
          <w:lang w:val="fr-FR"/>
        </w:rPr>
        <w:t>.</w:t>
      </w:r>
    </w:p>
    <w:p w:rsidR="000B562B" w:rsidRPr="00A176EA" w:rsidRDefault="002549A9" w:rsidP="0071441B">
      <w:pPr>
        <w:pStyle w:val="SingleTxtG"/>
        <w:rPr>
          <w:lang w:val="fr-FR"/>
        </w:rPr>
      </w:pPr>
      <w:r w:rsidRPr="00A176EA">
        <w:rPr>
          <w:lang w:val="fr-FR"/>
        </w:rPr>
        <w:t>27.</w:t>
      </w:r>
      <w:r w:rsidRPr="00A176EA">
        <w:rPr>
          <w:lang w:val="fr-FR"/>
        </w:rPr>
        <w:tab/>
      </w:r>
      <w:r w:rsidR="00820FBD">
        <w:rPr>
          <w:lang w:val="fr-FR"/>
        </w:rPr>
        <w:t>L</w:t>
      </w:r>
      <w:r w:rsidR="000B562B" w:rsidRPr="00A176EA">
        <w:rPr>
          <w:lang w:val="fr-FR"/>
        </w:rPr>
        <w:t xml:space="preserve">e </w:t>
      </w:r>
      <w:r w:rsidR="005B3E8D" w:rsidRPr="00820FBD">
        <w:rPr>
          <w:lang w:val="fr-FR"/>
        </w:rPr>
        <w:t>bailliage</w:t>
      </w:r>
      <w:r w:rsidR="005B3E8D" w:rsidRPr="00A176EA">
        <w:rPr>
          <w:lang w:val="fr-FR"/>
        </w:rPr>
        <w:t xml:space="preserve"> </w:t>
      </w:r>
      <w:r w:rsidR="00820FBD">
        <w:rPr>
          <w:lang w:val="fr-FR"/>
        </w:rPr>
        <w:t xml:space="preserve">n’a pas adopté de système de recours spécifique et formel contre les décisions en matière d’immigration, les pouvoirs publics considérant que le processus du contrôle juridictionnel et la loi de 2000 </w:t>
      </w:r>
      <w:r w:rsidR="006C63FB">
        <w:rPr>
          <w:lang w:val="fr-FR"/>
        </w:rPr>
        <w:t>sur</w:t>
      </w:r>
      <w:r w:rsidR="00820FBD">
        <w:rPr>
          <w:lang w:val="fr-FR"/>
        </w:rPr>
        <w:t xml:space="preserve"> les droits de l’homme </w:t>
      </w:r>
      <w:r w:rsidR="00820FBD" w:rsidRPr="00820FBD">
        <w:rPr>
          <w:lang w:val="fr-FR"/>
        </w:rPr>
        <w:t>(Bailliage de Guernesey)</w:t>
      </w:r>
      <w:r w:rsidR="00820FBD" w:rsidRPr="00A176EA">
        <w:rPr>
          <w:lang w:val="fr-FR"/>
        </w:rPr>
        <w:t xml:space="preserve"> </w:t>
      </w:r>
      <w:r w:rsidR="00820FBD">
        <w:rPr>
          <w:lang w:val="fr-FR"/>
        </w:rPr>
        <w:t>garantissent des recours suffisants</w:t>
      </w:r>
      <w:r w:rsidR="000B562B" w:rsidRPr="00A176EA">
        <w:rPr>
          <w:lang w:val="fr-FR"/>
        </w:rPr>
        <w:t>.</w:t>
      </w:r>
    </w:p>
    <w:p w:rsidR="000B562B" w:rsidRPr="00A176EA" w:rsidRDefault="000B562B" w:rsidP="00DC1857">
      <w:pPr>
        <w:pStyle w:val="H23G"/>
        <w:rPr>
          <w:lang w:val="fr-FR"/>
        </w:rPr>
      </w:pPr>
      <w:r w:rsidRPr="00B506E9">
        <w:rPr>
          <w:lang w:val="fr-FR"/>
        </w:rPr>
        <w:t>Jersey</w:t>
      </w:r>
    </w:p>
    <w:p w:rsidR="000B562B" w:rsidRPr="00A176EA" w:rsidRDefault="002549A9" w:rsidP="00DE083C">
      <w:pPr>
        <w:pStyle w:val="SingleTxtG"/>
        <w:rPr>
          <w:lang w:val="fr-FR"/>
        </w:rPr>
      </w:pPr>
      <w:r w:rsidRPr="00A176EA">
        <w:rPr>
          <w:lang w:val="fr-FR"/>
        </w:rPr>
        <w:t>28.</w:t>
      </w:r>
      <w:r w:rsidRPr="00A176EA">
        <w:rPr>
          <w:lang w:val="fr-FR"/>
        </w:rPr>
        <w:tab/>
      </w:r>
      <w:r w:rsidR="00DE083C">
        <w:rPr>
          <w:lang w:val="fr-FR"/>
        </w:rPr>
        <w:t>La loi de 1989 sur l’extradition a été remplacée par la loi de 2004 sur l’extradition (Jersey), qui est entrée en vigueur le 1</w:t>
      </w:r>
      <w:r w:rsidR="00DE083C" w:rsidRPr="00DE083C">
        <w:rPr>
          <w:vertAlign w:val="superscript"/>
          <w:lang w:val="fr-FR"/>
        </w:rPr>
        <w:t>er</w:t>
      </w:r>
      <w:r w:rsidR="00DE083C">
        <w:rPr>
          <w:lang w:val="fr-FR"/>
        </w:rPr>
        <w:t xml:space="preserve"> octobre </w:t>
      </w:r>
      <w:r w:rsidR="000B562B" w:rsidRPr="00A176EA">
        <w:rPr>
          <w:lang w:val="fr-FR"/>
        </w:rPr>
        <w:t>2004.</w:t>
      </w:r>
    </w:p>
    <w:p w:rsidR="000B562B" w:rsidRPr="00A176EA" w:rsidRDefault="002549A9" w:rsidP="00DE083C">
      <w:pPr>
        <w:pStyle w:val="SingleTxtG"/>
        <w:rPr>
          <w:lang w:val="fr-FR"/>
        </w:rPr>
      </w:pPr>
      <w:r w:rsidRPr="00A176EA">
        <w:rPr>
          <w:lang w:val="fr-FR"/>
        </w:rPr>
        <w:t>29.</w:t>
      </w:r>
      <w:r w:rsidRPr="00A176EA">
        <w:rPr>
          <w:lang w:val="fr-FR"/>
        </w:rPr>
        <w:tab/>
      </w:r>
      <w:r w:rsidR="00DE083C" w:rsidRPr="00DE083C">
        <w:rPr>
          <w:lang w:val="fr-FR"/>
        </w:rPr>
        <w:t xml:space="preserve">Aux termes de l’article 24 de la loi de 2004, le Juge d’instruction doit ordonner la mise en liberté de l’intéressé s’il considère que son extradition est incompatible avec la  </w:t>
      </w:r>
      <w:r w:rsidR="007A4C1B" w:rsidRPr="00DE083C">
        <w:rPr>
          <w:lang w:val="fr-FR"/>
        </w:rPr>
        <w:t>Convention européenne des droits de l’homme</w:t>
      </w:r>
      <w:r w:rsidR="000B562B" w:rsidRPr="00DE083C">
        <w:rPr>
          <w:lang w:val="fr-FR"/>
        </w:rPr>
        <w:t>.</w:t>
      </w:r>
      <w:r w:rsidR="000B562B" w:rsidRPr="00A176EA">
        <w:rPr>
          <w:lang w:val="fr-FR"/>
        </w:rPr>
        <w:t xml:space="preserve"> </w:t>
      </w:r>
      <w:r w:rsidR="009418D7">
        <w:rPr>
          <w:lang w:val="fr-FR"/>
        </w:rPr>
        <w:t xml:space="preserve">Cela inclut </w:t>
      </w:r>
      <w:r w:rsidR="006C63FB">
        <w:rPr>
          <w:lang w:val="fr-FR"/>
        </w:rPr>
        <w:t>l’</w:t>
      </w:r>
      <w:r w:rsidR="009418D7">
        <w:rPr>
          <w:lang w:val="fr-FR"/>
        </w:rPr>
        <w:t xml:space="preserve">incompatibilité avec l’article 3 de la Convention </w:t>
      </w:r>
      <w:r w:rsidR="006C63FB">
        <w:rPr>
          <w:lang w:val="fr-FR"/>
        </w:rPr>
        <w:t>si l’intéressé</w:t>
      </w:r>
      <w:r w:rsidR="009418D7">
        <w:rPr>
          <w:lang w:val="fr-FR"/>
        </w:rPr>
        <w:t xml:space="preserve"> risque d’être soumis à la torture. Pour décider si une extradition est incompatible avec la Convention, le Juge d’instruction doit prendre en considération tous les éléments pertinents</w:t>
      </w:r>
      <w:r w:rsidR="000B562B" w:rsidRPr="00A176EA">
        <w:rPr>
          <w:lang w:val="fr-FR"/>
        </w:rPr>
        <w:t>.</w:t>
      </w:r>
    </w:p>
    <w:p w:rsidR="000B562B" w:rsidRPr="00A176EA" w:rsidRDefault="0004306A" w:rsidP="00DC1857">
      <w:pPr>
        <w:pStyle w:val="H23G"/>
        <w:rPr>
          <w:lang w:val="fr-FR"/>
        </w:rPr>
      </w:pPr>
      <w:r>
        <w:rPr>
          <w:lang w:val="fr-FR"/>
        </w:rPr>
        <w:t>Île de</w:t>
      </w:r>
      <w:r w:rsidR="000B562B" w:rsidRPr="00A176EA">
        <w:rPr>
          <w:lang w:val="fr-FR"/>
        </w:rPr>
        <w:t xml:space="preserve"> Man</w:t>
      </w:r>
    </w:p>
    <w:p w:rsidR="000B562B" w:rsidRPr="00A176EA" w:rsidRDefault="002549A9" w:rsidP="006365D5">
      <w:pPr>
        <w:pStyle w:val="SingleTxtG"/>
        <w:rPr>
          <w:lang w:val="fr-FR"/>
        </w:rPr>
      </w:pPr>
      <w:r w:rsidRPr="00A176EA">
        <w:rPr>
          <w:lang w:val="fr-FR"/>
        </w:rPr>
        <w:t>30.</w:t>
      </w:r>
      <w:r w:rsidRPr="00A176EA">
        <w:rPr>
          <w:lang w:val="fr-FR"/>
        </w:rPr>
        <w:tab/>
      </w:r>
      <w:r w:rsidR="009418D7">
        <w:rPr>
          <w:lang w:val="fr-FR"/>
        </w:rPr>
        <w:t xml:space="preserve">La législation de l’île de Man en matière d’extradition n’a connu aucune modification depuis le rapport précédent. Toutefois, un projet de loi sur la question figure au programme législatif du Gouvernement de l’île. Son objectif est de </w:t>
      </w:r>
      <w:r w:rsidR="00BA2278">
        <w:rPr>
          <w:lang w:val="fr-FR"/>
        </w:rPr>
        <w:t>doter</w:t>
      </w:r>
      <w:r w:rsidR="009418D7">
        <w:rPr>
          <w:lang w:val="fr-FR"/>
        </w:rPr>
        <w:t xml:space="preserve"> l’île</w:t>
      </w:r>
      <w:r w:rsidR="00BA2278">
        <w:rPr>
          <w:lang w:val="fr-FR"/>
        </w:rPr>
        <w:t>,</w:t>
      </w:r>
      <w:r w:rsidR="009418D7">
        <w:rPr>
          <w:lang w:val="fr-FR"/>
        </w:rPr>
        <w:t xml:space="preserve"> en la matière</w:t>
      </w:r>
      <w:r w:rsidR="00BA2278">
        <w:rPr>
          <w:lang w:val="fr-FR"/>
        </w:rPr>
        <w:t>,</w:t>
      </w:r>
      <w:r w:rsidR="009418D7">
        <w:rPr>
          <w:lang w:val="fr-FR"/>
        </w:rPr>
        <w:t xml:space="preserve"> d’un cadre législatif moderne conforme aux normes internationales pertinentes. </w:t>
      </w:r>
      <w:r w:rsidR="0005686C">
        <w:rPr>
          <w:lang w:val="fr-FR"/>
        </w:rPr>
        <w:t>Aux termes du</w:t>
      </w:r>
      <w:r w:rsidR="009418D7">
        <w:rPr>
          <w:lang w:val="fr-FR"/>
        </w:rPr>
        <w:t xml:space="preserve"> projet de loi</w:t>
      </w:r>
      <w:r w:rsidR="0005686C">
        <w:rPr>
          <w:lang w:val="fr-FR"/>
        </w:rPr>
        <w:t>,</w:t>
      </w:r>
      <w:r w:rsidR="009418D7">
        <w:rPr>
          <w:lang w:val="fr-FR"/>
        </w:rPr>
        <w:t xml:space="preserve"> </w:t>
      </w:r>
      <w:r w:rsidR="0005686C">
        <w:rPr>
          <w:lang w:val="fr-FR"/>
        </w:rPr>
        <w:t>il incombe au</w:t>
      </w:r>
      <w:r w:rsidR="009418D7">
        <w:rPr>
          <w:lang w:val="fr-FR"/>
        </w:rPr>
        <w:t xml:space="preserve"> tribunal examinant une demande d’extradition </w:t>
      </w:r>
      <w:r w:rsidR="0005686C">
        <w:rPr>
          <w:lang w:val="fr-FR"/>
        </w:rPr>
        <w:t>de déterminer si l’extradition de l’intéressé est compatible avec les droits consacrés par la Convention au sens de la loi de 2001 sur les droits de l’</w:t>
      </w:r>
      <w:r w:rsidR="00143925">
        <w:rPr>
          <w:lang w:val="fr-FR"/>
        </w:rPr>
        <w:t xml:space="preserve">homme. Si le tribunal juge qu’elle n’est pas compatible, l’intéressé </w:t>
      </w:r>
      <w:r w:rsidR="006365D5">
        <w:rPr>
          <w:lang w:val="fr-FR"/>
        </w:rPr>
        <w:t xml:space="preserve">doit être </w:t>
      </w:r>
      <w:r w:rsidR="00383B03">
        <w:rPr>
          <w:lang w:val="fr-FR"/>
        </w:rPr>
        <w:t>re</w:t>
      </w:r>
      <w:r w:rsidR="006365D5">
        <w:rPr>
          <w:lang w:val="fr-FR"/>
        </w:rPr>
        <w:t>mis en liberté</w:t>
      </w:r>
      <w:r w:rsidR="000B562B" w:rsidRPr="00A176EA">
        <w:rPr>
          <w:lang w:val="fr-FR"/>
        </w:rPr>
        <w:t>.</w:t>
      </w:r>
    </w:p>
    <w:p w:rsidR="000B562B" w:rsidRPr="00A176EA" w:rsidRDefault="002549A9" w:rsidP="001B644B">
      <w:pPr>
        <w:pStyle w:val="SingleTxtG"/>
        <w:rPr>
          <w:lang w:val="fr-FR"/>
        </w:rPr>
      </w:pPr>
      <w:r w:rsidRPr="00A176EA">
        <w:rPr>
          <w:lang w:val="fr-FR"/>
        </w:rPr>
        <w:t>31.</w:t>
      </w:r>
      <w:r w:rsidRPr="00A176EA">
        <w:rPr>
          <w:lang w:val="fr-FR"/>
        </w:rPr>
        <w:tab/>
      </w:r>
      <w:r w:rsidR="003E030D">
        <w:rPr>
          <w:lang w:val="fr-FR"/>
        </w:rPr>
        <w:t xml:space="preserve">Le </w:t>
      </w:r>
      <w:r w:rsidR="001B644B">
        <w:rPr>
          <w:lang w:val="fr-FR"/>
        </w:rPr>
        <w:t>P</w:t>
      </w:r>
      <w:r w:rsidR="003E030D">
        <w:rPr>
          <w:lang w:val="fr-FR"/>
        </w:rPr>
        <w:t xml:space="preserve">rocureur général n’a reçu aucune demande d’extradition </w:t>
      </w:r>
      <w:r w:rsidR="001B644B">
        <w:rPr>
          <w:lang w:val="fr-FR"/>
        </w:rPr>
        <w:t>au titre d’allégations de torture au cours de la période à l’examen</w:t>
      </w:r>
      <w:r w:rsidR="000B562B" w:rsidRPr="00A176EA">
        <w:rPr>
          <w:lang w:val="fr-FR"/>
        </w:rPr>
        <w:t>.</w:t>
      </w:r>
    </w:p>
    <w:p w:rsidR="000B562B" w:rsidRPr="001B644B" w:rsidRDefault="004273C0" w:rsidP="001C135E">
      <w:pPr>
        <w:pStyle w:val="H1G"/>
      </w:pPr>
      <w:bookmarkStart w:id="84" w:name="_Toc299724775"/>
      <w:r>
        <w:tab/>
      </w:r>
      <w:r>
        <w:tab/>
      </w:r>
      <w:r w:rsidR="000B562B" w:rsidRPr="001B644B">
        <w:t>Article 5</w:t>
      </w:r>
      <w:bookmarkEnd w:id="84"/>
    </w:p>
    <w:p w:rsidR="000B562B" w:rsidRPr="00A176EA" w:rsidRDefault="000B562B" w:rsidP="00DC1857">
      <w:pPr>
        <w:pStyle w:val="H23G"/>
        <w:rPr>
          <w:lang w:val="fr-FR"/>
        </w:rPr>
      </w:pPr>
      <w:r w:rsidRPr="001B644B">
        <w:rPr>
          <w:lang w:val="fr-FR"/>
        </w:rPr>
        <w:t>Guern</w:t>
      </w:r>
      <w:r w:rsidR="005B3E8D" w:rsidRPr="001B644B">
        <w:rPr>
          <w:lang w:val="fr-FR"/>
        </w:rPr>
        <w:t>e</w:t>
      </w:r>
      <w:r w:rsidRPr="001B644B">
        <w:rPr>
          <w:lang w:val="fr-FR"/>
        </w:rPr>
        <w:t>sey</w:t>
      </w:r>
    </w:p>
    <w:p w:rsidR="000B562B" w:rsidRPr="00A176EA" w:rsidRDefault="002549A9" w:rsidP="0071441B">
      <w:pPr>
        <w:pStyle w:val="SingleTxtG"/>
        <w:rPr>
          <w:lang w:val="fr-FR"/>
        </w:rPr>
      </w:pPr>
      <w:r w:rsidRPr="00A176EA">
        <w:rPr>
          <w:lang w:val="fr-FR"/>
        </w:rPr>
        <w:t>32.</w:t>
      </w:r>
      <w:r w:rsidRPr="00A176EA">
        <w:rPr>
          <w:lang w:val="fr-FR"/>
        </w:rPr>
        <w:tab/>
      </w:r>
      <w:r w:rsidR="00CF6D7A">
        <w:rPr>
          <w:lang w:val="fr-FR"/>
        </w:rPr>
        <w:t>Les poursuites pour infraction de torture en vertu de l’article 11 de la loi de 1991 sur l’administration de la justice (Baill</w:t>
      </w:r>
      <w:r w:rsidR="00A5243F">
        <w:rPr>
          <w:lang w:val="fr-FR"/>
        </w:rPr>
        <w:t>i</w:t>
      </w:r>
      <w:r w:rsidR="00CF6D7A">
        <w:rPr>
          <w:lang w:val="fr-FR"/>
        </w:rPr>
        <w:t>age de Guernesey) (</w:t>
      </w:r>
      <w:r w:rsidR="00A5243F">
        <w:rPr>
          <w:lang w:val="fr-FR"/>
        </w:rPr>
        <w:t xml:space="preserve">datée à tort de 1996 dans le précédent rapport) peuvent toujours être engagées dans le bailliage, quelle que soit la nationalité de la victime et que </w:t>
      </w:r>
      <w:r w:rsidR="00471843">
        <w:rPr>
          <w:lang w:val="fr-FR"/>
        </w:rPr>
        <w:t>l’acte</w:t>
      </w:r>
      <w:r w:rsidR="00A5243F">
        <w:rPr>
          <w:lang w:val="fr-FR"/>
        </w:rPr>
        <w:t xml:space="preserve"> incriminé ait eu lieu dans le bailliage ou ailleurs. </w:t>
      </w:r>
      <w:r w:rsidR="00886C88">
        <w:rPr>
          <w:lang w:val="fr-FR"/>
        </w:rPr>
        <w:t xml:space="preserve">La compétence universelle s’applique également en vertu de la loi de 2002 sur le terrorisme et la criminalité (Bailliage de Guernesey), telle qu’amendée. </w:t>
      </w:r>
      <w:r w:rsidR="00C11439">
        <w:rPr>
          <w:lang w:val="fr-FR"/>
        </w:rPr>
        <w:t xml:space="preserve">Si une demande d’extradition à ce titre est refusée pour </w:t>
      </w:r>
      <w:r w:rsidR="00F7654C">
        <w:rPr>
          <w:lang w:val="fr-FR"/>
        </w:rPr>
        <w:t>un motif valable</w:t>
      </w:r>
      <w:r w:rsidR="00C11439">
        <w:rPr>
          <w:lang w:val="fr-FR"/>
        </w:rPr>
        <w:t>, conformément à la loi de 1989 sur l’extradition, les autorités du bailliage peuvent prendre en charge l’action pénale et poursuivre le suspect sur leur territoire</w:t>
      </w:r>
      <w:r w:rsidR="000B562B" w:rsidRPr="00A176EA">
        <w:rPr>
          <w:lang w:val="fr-FR"/>
        </w:rPr>
        <w:t>.</w:t>
      </w:r>
    </w:p>
    <w:p w:rsidR="000B562B" w:rsidRPr="00A176EA" w:rsidRDefault="002549A9" w:rsidP="0071441B">
      <w:pPr>
        <w:pStyle w:val="SingleTxtG"/>
        <w:rPr>
          <w:lang w:val="fr-FR"/>
        </w:rPr>
      </w:pPr>
      <w:r w:rsidRPr="00A176EA">
        <w:rPr>
          <w:lang w:val="fr-FR"/>
        </w:rPr>
        <w:t>33.</w:t>
      </w:r>
      <w:r w:rsidRPr="00A176EA">
        <w:rPr>
          <w:lang w:val="fr-FR"/>
        </w:rPr>
        <w:tab/>
      </w:r>
      <w:r w:rsidR="00E033B8">
        <w:rPr>
          <w:lang w:val="fr-FR"/>
        </w:rPr>
        <w:t xml:space="preserve">Les modifications apportées aux lois sur </w:t>
      </w:r>
      <w:r w:rsidR="00EF779D">
        <w:rPr>
          <w:lang w:val="fr-FR"/>
        </w:rPr>
        <w:t xml:space="preserve">les Conventions de Genève par les Conventions de Genève et la loi de 2009 sur le personnel des Nations Unies (Protocoles) ont été étendues au bailliage par </w:t>
      </w:r>
      <w:r w:rsidR="00AF4EE2">
        <w:rPr>
          <w:lang w:val="fr-FR"/>
        </w:rPr>
        <w:t>arrêté ministériel</w:t>
      </w:r>
      <w:r w:rsidR="000B562B" w:rsidRPr="00A176EA">
        <w:rPr>
          <w:lang w:val="fr-FR"/>
        </w:rPr>
        <w:t>.</w:t>
      </w:r>
    </w:p>
    <w:p w:rsidR="000B562B" w:rsidRPr="00A176EA" w:rsidRDefault="000B562B" w:rsidP="005F36E7">
      <w:pPr>
        <w:pStyle w:val="H23G"/>
        <w:rPr>
          <w:lang w:val="fr-FR"/>
        </w:rPr>
      </w:pPr>
      <w:r w:rsidRPr="00A176EA">
        <w:rPr>
          <w:lang w:val="fr-FR"/>
        </w:rPr>
        <w:t>Jersey</w:t>
      </w:r>
    </w:p>
    <w:p w:rsidR="000B562B" w:rsidRPr="00A176EA" w:rsidRDefault="002549A9" w:rsidP="0027005F">
      <w:pPr>
        <w:pStyle w:val="SingleTxtG"/>
        <w:rPr>
          <w:b/>
          <w:lang w:val="fr-FR"/>
        </w:rPr>
      </w:pPr>
      <w:r w:rsidRPr="00A176EA">
        <w:rPr>
          <w:lang w:val="fr-FR"/>
        </w:rPr>
        <w:t>34.</w:t>
      </w:r>
      <w:r w:rsidRPr="00A176EA">
        <w:rPr>
          <w:b/>
          <w:lang w:val="fr-FR"/>
        </w:rPr>
        <w:tab/>
      </w:r>
      <w:r w:rsidR="00AF4EE2" w:rsidRPr="00AF4EE2">
        <w:rPr>
          <w:lang w:val="fr-FR"/>
        </w:rPr>
        <w:t>Le deuxième rapport</w:t>
      </w:r>
      <w:r w:rsidR="00AF4EE2">
        <w:rPr>
          <w:b/>
          <w:lang w:val="fr-FR"/>
        </w:rPr>
        <w:t xml:space="preserve"> </w:t>
      </w:r>
      <w:r w:rsidR="00AF4EE2">
        <w:rPr>
          <w:lang w:val="fr-FR"/>
        </w:rPr>
        <w:t xml:space="preserve">périodique </w:t>
      </w:r>
      <w:r w:rsidR="00383B03">
        <w:rPr>
          <w:lang w:val="fr-FR"/>
        </w:rPr>
        <w:t>mentionnait</w:t>
      </w:r>
      <w:r w:rsidR="0027005F">
        <w:rPr>
          <w:lang w:val="fr-FR"/>
        </w:rPr>
        <w:t xml:space="preserve"> la loi de 1990 </w:t>
      </w:r>
      <w:r w:rsidR="00FA4C36">
        <w:rPr>
          <w:lang w:val="fr-FR"/>
        </w:rPr>
        <w:t>sur</w:t>
      </w:r>
      <w:r w:rsidR="0027005F">
        <w:rPr>
          <w:lang w:val="fr-FR"/>
        </w:rPr>
        <w:t xml:space="preserve"> la torture (Jersey), adoptée pour permettre la ratification de la Convention au nom de Jersey. La situation demeure inchangée au regard de l’article 1 de ladite loi. Les affaires de torture peuvent être jugées dans le bailliage, que l’infraction y ait été commise ou non et quelle que soit la nationalité de son auteur</w:t>
      </w:r>
      <w:r w:rsidR="000B562B" w:rsidRPr="00A176EA">
        <w:rPr>
          <w:lang w:val="fr-FR"/>
        </w:rPr>
        <w:t>.</w:t>
      </w:r>
    </w:p>
    <w:p w:rsidR="000B562B" w:rsidRPr="00A176EA" w:rsidRDefault="002549A9" w:rsidP="0071441B">
      <w:pPr>
        <w:pStyle w:val="SingleTxtG"/>
        <w:rPr>
          <w:lang w:val="fr-FR"/>
        </w:rPr>
      </w:pPr>
      <w:r w:rsidRPr="00A176EA">
        <w:rPr>
          <w:lang w:val="fr-FR"/>
        </w:rPr>
        <w:t>35.</w:t>
      </w:r>
      <w:r w:rsidRPr="00A176EA">
        <w:rPr>
          <w:lang w:val="fr-FR"/>
        </w:rPr>
        <w:tab/>
      </w:r>
      <w:r w:rsidR="0027005F">
        <w:rPr>
          <w:lang w:val="fr-FR"/>
        </w:rPr>
        <w:t>L</w:t>
      </w:r>
      <w:r w:rsidR="00A524C2">
        <w:rPr>
          <w:lang w:val="fr-FR"/>
        </w:rPr>
        <w:t xml:space="preserve">’extension à Jersey </w:t>
      </w:r>
      <w:r w:rsidR="00E409AF">
        <w:rPr>
          <w:lang w:val="fr-FR"/>
        </w:rPr>
        <w:t>de la loi de 1995 sur les Conventions de Genève (Modification) par l’ordonnance de 1999 relative à la loi sur les Conventions de Genève (Jersey) continue de donner effet aux</w:t>
      </w:r>
      <w:r w:rsidR="0027005F">
        <w:rPr>
          <w:lang w:val="fr-FR"/>
        </w:rPr>
        <w:t xml:space="preserve"> p</w:t>
      </w:r>
      <w:r w:rsidR="000B562B" w:rsidRPr="00A176EA">
        <w:rPr>
          <w:lang w:val="fr-FR"/>
        </w:rPr>
        <w:t>rotocol</w:t>
      </w:r>
      <w:r w:rsidR="0027005F">
        <w:rPr>
          <w:lang w:val="fr-FR"/>
        </w:rPr>
        <w:t>e</w:t>
      </w:r>
      <w:r w:rsidR="000B562B" w:rsidRPr="00A176EA">
        <w:rPr>
          <w:lang w:val="fr-FR"/>
        </w:rPr>
        <w:t xml:space="preserve">s 1 </w:t>
      </w:r>
      <w:r w:rsidR="0027005F">
        <w:rPr>
          <w:lang w:val="fr-FR"/>
        </w:rPr>
        <w:t xml:space="preserve">et 2 </w:t>
      </w:r>
      <w:r w:rsidR="00E409AF">
        <w:rPr>
          <w:lang w:val="fr-FR"/>
        </w:rPr>
        <w:t>des Conventions de Genève</w:t>
      </w:r>
      <w:r w:rsidR="000B562B" w:rsidRPr="00A176EA">
        <w:rPr>
          <w:lang w:val="fr-FR"/>
        </w:rPr>
        <w:t>.</w:t>
      </w:r>
    </w:p>
    <w:p w:rsidR="000B562B" w:rsidRPr="00A176EA" w:rsidRDefault="0004306A" w:rsidP="00DC1857">
      <w:pPr>
        <w:pStyle w:val="H23G"/>
        <w:rPr>
          <w:lang w:val="fr-FR"/>
        </w:rPr>
      </w:pPr>
      <w:r>
        <w:rPr>
          <w:lang w:val="fr-FR"/>
        </w:rPr>
        <w:t>Île de</w:t>
      </w:r>
      <w:r w:rsidR="000B562B" w:rsidRPr="00A176EA">
        <w:rPr>
          <w:lang w:val="fr-FR"/>
        </w:rPr>
        <w:t xml:space="preserve"> Man</w:t>
      </w:r>
    </w:p>
    <w:p w:rsidR="000B562B" w:rsidRPr="00A176EA" w:rsidRDefault="002549A9" w:rsidP="0071441B">
      <w:pPr>
        <w:pStyle w:val="SingleTxtG"/>
        <w:rPr>
          <w:lang w:val="fr-FR"/>
        </w:rPr>
      </w:pPr>
      <w:r w:rsidRPr="00A176EA">
        <w:rPr>
          <w:lang w:val="fr-FR"/>
        </w:rPr>
        <w:t>36.</w:t>
      </w:r>
      <w:r w:rsidRPr="00A176EA">
        <w:rPr>
          <w:lang w:val="fr-FR"/>
        </w:rPr>
        <w:tab/>
      </w:r>
      <w:r w:rsidR="006B6CDA">
        <w:rPr>
          <w:lang w:val="fr-FR"/>
        </w:rPr>
        <w:t>Aucun changement n’est intervenu depuis le rapport précédent</w:t>
      </w:r>
      <w:r w:rsidR="000B562B" w:rsidRPr="00A176EA">
        <w:rPr>
          <w:lang w:val="fr-FR"/>
        </w:rPr>
        <w:t>.</w:t>
      </w:r>
    </w:p>
    <w:p w:rsidR="000B562B" w:rsidRPr="006B6CDA" w:rsidRDefault="004273C0" w:rsidP="001C135E">
      <w:pPr>
        <w:pStyle w:val="H1G"/>
      </w:pPr>
      <w:bookmarkStart w:id="85" w:name="_Toc299724776"/>
      <w:r>
        <w:tab/>
      </w:r>
      <w:r>
        <w:tab/>
      </w:r>
      <w:r w:rsidR="000B562B" w:rsidRPr="006B6CDA">
        <w:t xml:space="preserve">Articles 6 </w:t>
      </w:r>
      <w:r w:rsidR="00016977" w:rsidRPr="006B6CDA">
        <w:t>et</w:t>
      </w:r>
      <w:r w:rsidR="000B562B" w:rsidRPr="006B6CDA">
        <w:t xml:space="preserve"> 7</w:t>
      </w:r>
      <w:bookmarkEnd w:id="85"/>
    </w:p>
    <w:p w:rsidR="000B562B" w:rsidRPr="00A176EA" w:rsidRDefault="000B562B" w:rsidP="00DC1857">
      <w:pPr>
        <w:pStyle w:val="H23G"/>
        <w:rPr>
          <w:lang w:val="fr-FR"/>
        </w:rPr>
      </w:pPr>
      <w:r w:rsidRPr="006B6CDA">
        <w:rPr>
          <w:lang w:val="fr-FR"/>
        </w:rPr>
        <w:t>Guern</w:t>
      </w:r>
      <w:r w:rsidR="00016977" w:rsidRPr="006B6CDA">
        <w:rPr>
          <w:lang w:val="fr-FR"/>
        </w:rPr>
        <w:t>e</w:t>
      </w:r>
      <w:r w:rsidRPr="006B6CDA">
        <w:rPr>
          <w:lang w:val="fr-FR"/>
        </w:rPr>
        <w:t>sey</w:t>
      </w:r>
    </w:p>
    <w:p w:rsidR="000B562B" w:rsidRPr="00A176EA" w:rsidRDefault="002549A9" w:rsidP="006B6CDA">
      <w:pPr>
        <w:pStyle w:val="SingleTxtG"/>
        <w:rPr>
          <w:lang w:val="fr-FR"/>
        </w:rPr>
      </w:pPr>
      <w:r w:rsidRPr="00A176EA">
        <w:rPr>
          <w:lang w:val="fr-FR"/>
        </w:rPr>
        <w:t>37.</w:t>
      </w:r>
      <w:r w:rsidRPr="00A176EA">
        <w:rPr>
          <w:lang w:val="fr-FR"/>
        </w:rPr>
        <w:tab/>
      </w:r>
      <w:r w:rsidR="006B6CDA">
        <w:rPr>
          <w:lang w:val="fr-FR"/>
        </w:rPr>
        <w:t xml:space="preserve">La loi de 2003 sur les pouvoirs de la police et les preuves pénales (Bailliage de Guernesey) a reçu la sanction royale le 8 octobre 2003 et est entrée en vigueur le 5 avril </w:t>
      </w:r>
      <w:r w:rsidR="000B562B" w:rsidRPr="00A176EA">
        <w:rPr>
          <w:lang w:val="fr-FR"/>
        </w:rPr>
        <w:t>2004.</w:t>
      </w:r>
    </w:p>
    <w:p w:rsidR="000B562B" w:rsidRPr="00A176EA" w:rsidRDefault="002549A9" w:rsidP="0071441B">
      <w:pPr>
        <w:pStyle w:val="SingleTxtG"/>
        <w:rPr>
          <w:lang w:val="fr-FR"/>
        </w:rPr>
      </w:pPr>
      <w:r w:rsidRPr="00A176EA">
        <w:rPr>
          <w:lang w:val="fr-FR"/>
        </w:rPr>
        <w:t>38.</w:t>
      </w:r>
      <w:r w:rsidRPr="00A176EA">
        <w:rPr>
          <w:lang w:val="fr-FR"/>
        </w:rPr>
        <w:tab/>
      </w:r>
      <w:r w:rsidR="006B6CDA">
        <w:rPr>
          <w:lang w:val="fr-FR"/>
        </w:rPr>
        <w:t xml:space="preserve">L’ordonnance de 2004 </w:t>
      </w:r>
      <w:r w:rsidR="00383B03">
        <w:rPr>
          <w:lang w:val="fr-FR"/>
        </w:rPr>
        <w:t>relative aux</w:t>
      </w:r>
      <w:r w:rsidR="006B6CDA">
        <w:rPr>
          <w:lang w:val="fr-FR"/>
        </w:rPr>
        <w:t xml:space="preserve"> pouvoirs de la police et </w:t>
      </w:r>
      <w:r w:rsidR="00383B03">
        <w:rPr>
          <w:lang w:val="fr-FR"/>
        </w:rPr>
        <w:t>aux</w:t>
      </w:r>
      <w:r w:rsidR="006B6CDA">
        <w:rPr>
          <w:lang w:val="fr-FR"/>
        </w:rPr>
        <w:t xml:space="preserve"> preuves pénales (Codes de bonnes pratiques) </w:t>
      </w:r>
      <w:r w:rsidR="006B6CDA" w:rsidRPr="00A176EA">
        <w:rPr>
          <w:lang w:val="fr-FR"/>
        </w:rPr>
        <w:t>(</w:t>
      </w:r>
      <w:r w:rsidR="006B6CDA" w:rsidRPr="006B6CDA">
        <w:rPr>
          <w:lang w:val="fr-FR"/>
        </w:rPr>
        <w:t>Bailliage de Guernesey) est entrée en vigueur à la même</w:t>
      </w:r>
      <w:r w:rsidR="000B562B" w:rsidRPr="006B6CDA">
        <w:rPr>
          <w:lang w:val="fr-FR"/>
        </w:rPr>
        <w:t xml:space="preserve"> date. </w:t>
      </w:r>
      <w:r w:rsidR="00016977" w:rsidRPr="006B6CDA">
        <w:rPr>
          <w:lang w:val="fr-FR"/>
        </w:rPr>
        <w:t xml:space="preserve">Le </w:t>
      </w:r>
      <w:r w:rsidR="000B562B" w:rsidRPr="006B6CDA">
        <w:rPr>
          <w:lang w:val="fr-FR"/>
        </w:rPr>
        <w:t xml:space="preserve">Code C </w:t>
      </w:r>
      <w:r w:rsidR="00016977" w:rsidRPr="006B6CDA">
        <w:rPr>
          <w:lang w:val="fr-FR"/>
        </w:rPr>
        <w:t xml:space="preserve">porte sur </w:t>
      </w:r>
      <w:r w:rsidR="00383B03">
        <w:rPr>
          <w:lang w:val="fr-FR"/>
        </w:rPr>
        <w:t>le placement en garde à vue</w:t>
      </w:r>
      <w:r w:rsidR="00016977" w:rsidRPr="006B6CDA">
        <w:rPr>
          <w:lang w:val="fr-FR"/>
        </w:rPr>
        <w:t xml:space="preserve">, le traitement </w:t>
      </w:r>
      <w:r w:rsidR="00A74364">
        <w:rPr>
          <w:lang w:val="fr-FR"/>
        </w:rPr>
        <w:t>et l’audition de personnes par d</w:t>
      </w:r>
      <w:r w:rsidR="00016977" w:rsidRPr="006B6CDA">
        <w:rPr>
          <w:lang w:val="fr-FR"/>
        </w:rPr>
        <w:t>es fonctionnaires de police</w:t>
      </w:r>
      <w:r w:rsidR="000B562B" w:rsidRPr="006B6CDA">
        <w:rPr>
          <w:lang w:val="fr-FR"/>
        </w:rPr>
        <w:t>.</w:t>
      </w:r>
    </w:p>
    <w:p w:rsidR="000B562B" w:rsidRPr="00A176EA" w:rsidRDefault="002549A9" w:rsidP="0071441B">
      <w:pPr>
        <w:pStyle w:val="SingleTxtG"/>
        <w:rPr>
          <w:lang w:val="fr-FR"/>
        </w:rPr>
      </w:pPr>
      <w:r w:rsidRPr="00A176EA">
        <w:rPr>
          <w:lang w:val="fr-FR"/>
        </w:rPr>
        <w:t>39.</w:t>
      </w:r>
      <w:r w:rsidRPr="00A176EA">
        <w:rPr>
          <w:lang w:val="fr-FR"/>
        </w:rPr>
        <w:tab/>
      </w:r>
      <w:r w:rsidR="004A0335" w:rsidRPr="004D6D5B">
        <w:rPr>
          <w:lang w:val="fr-FR"/>
        </w:rPr>
        <w:t>Les articles</w:t>
      </w:r>
      <w:r w:rsidR="000B562B" w:rsidRPr="004D6D5B">
        <w:rPr>
          <w:lang w:val="fr-FR"/>
        </w:rPr>
        <w:t xml:space="preserve"> 3.3 </w:t>
      </w:r>
      <w:r w:rsidR="004A0335" w:rsidRPr="004D6D5B">
        <w:rPr>
          <w:lang w:val="fr-FR"/>
        </w:rPr>
        <w:t>et</w:t>
      </w:r>
      <w:r w:rsidR="000B562B" w:rsidRPr="004D6D5B">
        <w:rPr>
          <w:lang w:val="fr-FR"/>
        </w:rPr>
        <w:t xml:space="preserve"> 7.1 </w:t>
      </w:r>
      <w:r w:rsidR="004A0335" w:rsidRPr="004D6D5B">
        <w:rPr>
          <w:lang w:val="fr-FR"/>
        </w:rPr>
        <w:t>à</w:t>
      </w:r>
      <w:r w:rsidR="000B562B" w:rsidRPr="004D6D5B">
        <w:rPr>
          <w:lang w:val="fr-FR"/>
        </w:rPr>
        <w:t xml:space="preserve"> 7.5 </w:t>
      </w:r>
      <w:r w:rsidR="004A0335" w:rsidRPr="004D6D5B">
        <w:rPr>
          <w:lang w:val="fr-FR"/>
        </w:rPr>
        <w:t>du</w:t>
      </w:r>
      <w:r w:rsidR="000B562B" w:rsidRPr="004D6D5B">
        <w:rPr>
          <w:lang w:val="fr-FR"/>
        </w:rPr>
        <w:t xml:space="preserve"> Code C</w:t>
      </w:r>
      <w:r w:rsidR="000B562B" w:rsidRPr="00A176EA">
        <w:rPr>
          <w:lang w:val="fr-FR"/>
        </w:rPr>
        <w:t xml:space="preserve"> </w:t>
      </w:r>
      <w:r w:rsidR="00A03861">
        <w:rPr>
          <w:lang w:val="fr-FR"/>
        </w:rPr>
        <w:t>précisent</w:t>
      </w:r>
      <w:r w:rsidR="004D6D5B">
        <w:rPr>
          <w:lang w:val="fr-FR"/>
        </w:rPr>
        <w:t xml:space="preserve"> </w:t>
      </w:r>
      <w:r w:rsidR="00A03861">
        <w:rPr>
          <w:lang w:val="fr-FR"/>
        </w:rPr>
        <w:t>clairement</w:t>
      </w:r>
      <w:r w:rsidR="004D6D5B">
        <w:rPr>
          <w:lang w:val="fr-FR"/>
        </w:rPr>
        <w:t xml:space="preserve"> le droit des ressortissants étrangers </w:t>
      </w:r>
      <w:r w:rsidR="00627BCF">
        <w:rPr>
          <w:lang w:val="fr-FR"/>
        </w:rPr>
        <w:t>de</w:t>
      </w:r>
      <w:r w:rsidR="004D6D5B">
        <w:rPr>
          <w:lang w:val="fr-FR"/>
        </w:rPr>
        <w:t xml:space="preserve"> communiquer avec des membres de leur consulat ou de leur ambassade, qui peuvent leur rendre visite. Le gardé à vue doit être informé de </w:t>
      </w:r>
      <w:r w:rsidR="00DA3EA3">
        <w:rPr>
          <w:lang w:val="fr-FR"/>
        </w:rPr>
        <w:t>ce</w:t>
      </w:r>
      <w:r w:rsidR="004D6D5B">
        <w:rPr>
          <w:lang w:val="fr-FR"/>
        </w:rPr>
        <w:t xml:space="preserve"> droit </w:t>
      </w:r>
      <w:r w:rsidR="00DA3EA3">
        <w:rPr>
          <w:lang w:val="fr-FR"/>
        </w:rPr>
        <w:t xml:space="preserve">le plus rapidement </w:t>
      </w:r>
      <w:r w:rsidR="004D6D5B">
        <w:rPr>
          <w:lang w:val="fr-FR"/>
        </w:rPr>
        <w:t xml:space="preserve">possible et toute demande </w:t>
      </w:r>
      <w:r w:rsidR="00DA3EA3">
        <w:rPr>
          <w:lang w:val="fr-FR"/>
        </w:rPr>
        <w:t>d’exercice de ce droit</w:t>
      </w:r>
      <w:r w:rsidR="00627BCF">
        <w:rPr>
          <w:lang w:val="fr-FR"/>
        </w:rPr>
        <w:t xml:space="preserve"> </w:t>
      </w:r>
      <w:r w:rsidR="004D6D5B">
        <w:rPr>
          <w:lang w:val="fr-FR"/>
        </w:rPr>
        <w:t>doit être trait</w:t>
      </w:r>
      <w:r w:rsidR="00A03861">
        <w:rPr>
          <w:lang w:val="fr-FR"/>
        </w:rPr>
        <w:t xml:space="preserve">ée </w:t>
      </w:r>
      <w:r w:rsidR="00DA3EA3">
        <w:rPr>
          <w:lang w:val="fr-FR"/>
        </w:rPr>
        <w:t xml:space="preserve">dès que </w:t>
      </w:r>
      <w:r w:rsidR="00A03861">
        <w:rPr>
          <w:lang w:val="fr-FR"/>
        </w:rPr>
        <w:t>possible.</w:t>
      </w:r>
    </w:p>
    <w:p w:rsidR="000B562B" w:rsidRPr="00A176EA" w:rsidRDefault="002549A9" w:rsidP="005D2932">
      <w:pPr>
        <w:pStyle w:val="SingleTxtG"/>
        <w:rPr>
          <w:lang w:val="fr-FR"/>
        </w:rPr>
      </w:pPr>
      <w:r w:rsidRPr="00A176EA">
        <w:rPr>
          <w:lang w:val="fr-FR"/>
        </w:rPr>
        <w:t>40.</w:t>
      </w:r>
      <w:r w:rsidRPr="00A176EA">
        <w:rPr>
          <w:lang w:val="fr-FR"/>
        </w:rPr>
        <w:tab/>
      </w:r>
      <w:r w:rsidR="00A03861">
        <w:rPr>
          <w:lang w:val="fr-FR"/>
        </w:rPr>
        <w:t xml:space="preserve">Les </w:t>
      </w:r>
      <w:r w:rsidR="000E52AE">
        <w:rPr>
          <w:lang w:val="fr-FR"/>
        </w:rPr>
        <w:t>employés</w:t>
      </w:r>
      <w:r w:rsidR="00A03861">
        <w:rPr>
          <w:lang w:val="fr-FR"/>
        </w:rPr>
        <w:t xml:space="preserve"> consulaire</w:t>
      </w:r>
      <w:r w:rsidR="000E52AE">
        <w:rPr>
          <w:lang w:val="fr-FR"/>
        </w:rPr>
        <w:t>s</w:t>
      </w:r>
      <w:r w:rsidR="00A03861">
        <w:rPr>
          <w:lang w:val="fr-FR"/>
        </w:rPr>
        <w:t xml:space="preserve"> peuvent rendre visite à l’un de leurs concitoyens en garde à vue pour </w:t>
      </w:r>
      <w:r w:rsidR="005D2932">
        <w:rPr>
          <w:lang w:val="fr-FR"/>
        </w:rPr>
        <w:t>s’entretenir avec lui</w:t>
      </w:r>
      <w:r w:rsidR="00A03861">
        <w:rPr>
          <w:lang w:val="fr-FR"/>
        </w:rPr>
        <w:t xml:space="preserve"> et, le cas échéant, </w:t>
      </w:r>
      <w:r w:rsidR="005D2932">
        <w:rPr>
          <w:lang w:val="fr-FR"/>
        </w:rPr>
        <w:t>prendre des dispositions en matière de conseils juridiques. De tels entretiens sont confidentiels</w:t>
      </w:r>
      <w:r w:rsidR="000B562B" w:rsidRPr="00A176EA">
        <w:rPr>
          <w:lang w:val="fr-FR"/>
        </w:rPr>
        <w:t>.</w:t>
      </w:r>
    </w:p>
    <w:p w:rsidR="000B562B" w:rsidRPr="00A176EA" w:rsidRDefault="002549A9" w:rsidP="00521C12">
      <w:pPr>
        <w:pStyle w:val="SingleTxtG"/>
        <w:rPr>
          <w:lang w:val="fr-FR"/>
        </w:rPr>
      </w:pPr>
      <w:r w:rsidRPr="00A176EA">
        <w:rPr>
          <w:lang w:val="fr-FR"/>
        </w:rPr>
        <w:t>41.</w:t>
      </w:r>
      <w:r w:rsidRPr="00A176EA">
        <w:rPr>
          <w:lang w:val="fr-FR"/>
        </w:rPr>
        <w:tab/>
      </w:r>
      <w:r w:rsidR="005D2932">
        <w:rPr>
          <w:lang w:val="fr-FR"/>
        </w:rPr>
        <w:t xml:space="preserve">Si aucune demande d’extradition pour infraction de </w:t>
      </w:r>
      <w:r w:rsidR="00F7654C">
        <w:rPr>
          <w:lang w:val="fr-FR"/>
        </w:rPr>
        <w:t xml:space="preserve">torture ou en vertu de la loi contre le terrorisme et la criminalité </w:t>
      </w:r>
      <w:r w:rsidR="005D2932">
        <w:rPr>
          <w:lang w:val="fr-FR"/>
        </w:rPr>
        <w:t>n’</w:t>
      </w:r>
      <w:r w:rsidR="00F7654C">
        <w:rPr>
          <w:lang w:val="fr-FR"/>
        </w:rPr>
        <w:t xml:space="preserve">a été présentée, ou si celle-ci a été refusée pour un motif valable, conformément à la loi de 1989 sur l’extradition, les autorités du bailliage peuvent poursuivre le suspect sur le territoire de Guernesey. Dans un tel cas, </w:t>
      </w:r>
      <w:r w:rsidR="009A6454">
        <w:rPr>
          <w:lang w:val="fr-FR"/>
        </w:rPr>
        <w:t xml:space="preserve">le magistrat statuera de la même façon que pour une infraction grave et selon les critères habituels de </w:t>
      </w:r>
      <w:r w:rsidR="00521C12">
        <w:rPr>
          <w:lang w:val="fr-FR"/>
        </w:rPr>
        <w:t>preuves suffisantes et de politique publique, et le défendeur jouira des mêmes garanties que toute autre personne</w:t>
      </w:r>
      <w:r w:rsidR="000B562B" w:rsidRPr="00A176EA">
        <w:rPr>
          <w:lang w:val="fr-FR"/>
        </w:rPr>
        <w:t>.</w:t>
      </w:r>
    </w:p>
    <w:p w:rsidR="000B562B" w:rsidRPr="00A176EA" w:rsidRDefault="000B562B" w:rsidP="00DC1857">
      <w:pPr>
        <w:pStyle w:val="H23G"/>
        <w:rPr>
          <w:lang w:val="fr-FR"/>
        </w:rPr>
      </w:pPr>
      <w:r w:rsidRPr="00A176EA">
        <w:rPr>
          <w:lang w:val="fr-FR"/>
        </w:rPr>
        <w:t>Jersey</w:t>
      </w:r>
    </w:p>
    <w:p w:rsidR="000B562B" w:rsidRPr="00A176EA" w:rsidRDefault="002549A9" w:rsidP="00521C12">
      <w:pPr>
        <w:pStyle w:val="SingleTxtG"/>
        <w:rPr>
          <w:lang w:val="fr-FR"/>
        </w:rPr>
      </w:pPr>
      <w:r w:rsidRPr="00A176EA">
        <w:rPr>
          <w:lang w:val="fr-FR"/>
        </w:rPr>
        <w:t>42.</w:t>
      </w:r>
      <w:r w:rsidRPr="00A176EA">
        <w:rPr>
          <w:lang w:val="fr-FR"/>
        </w:rPr>
        <w:tab/>
      </w:r>
      <w:r w:rsidR="00521C12">
        <w:rPr>
          <w:lang w:val="fr-FR"/>
        </w:rPr>
        <w:t xml:space="preserve">La loi de 2003 sur les procédures policières et les preuves pénales a reçu la sanction royale le 17 décembre </w:t>
      </w:r>
      <w:r w:rsidR="00521C12" w:rsidRPr="00A176EA">
        <w:rPr>
          <w:lang w:val="fr-FR"/>
        </w:rPr>
        <w:t xml:space="preserve">2002. </w:t>
      </w:r>
      <w:r w:rsidR="00521C12">
        <w:rPr>
          <w:lang w:val="fr-FR"/>
        </w:rPr>
        <w:t>Ses parties</w:t>
      </w:r>
      <w:r w:rsidR="00521C12" w:rsidRPr="00A176EA">
        <w:rPr>
          <w:lang w:val="fr-FR"/>
        </w:rPr>
        <w:t xml:space="preserve"> 4 </w:t>
      </w:r>
      <w:r w:rsidR="00521C12">
        <w:rPr>
          <w:lang w:val="fr-FR"/>
        </w:rPr>
        <w:t>et</w:t>
      </w:r>
      <w:r w:rsidR="00521C12" w:rsidRPr="00A176EA">
        <w:rPr>
          <w:lang w:val="fr-FR"/>
        </w:rPr>
        <w:t xml:space="preserve"> 6 </w:t>
      </w:r>
      <w:r w:rsidR="00521C12">
        <w:rPr>
          <w:lang w:val="fr-FR"/>
        </w:rPr>
        <w:t xml:space="preserve">traitent </w:t>
      </w:r>
      <w:r w:rsidR="00627BCF">
        <w:rPr>
          <w:lang w:val="fr-FR"/>
        </w:rPr>
        <w:t>du placement en garde à vue</w:t>
      </w:r>
      <w:r w:rsidR="00521C12" w:rsidRPr="00A176EA">
        <w:rPr>
          <w:lang w:val="fr-FR"/>
        </w:rPr>
        <w:t xml:space="preserve">, </w:t>
      </w:r>
      <w:r w:rsidR="00521C12">
        <w:rPr>
          <w:lang w:val="fr-FR"/>
        </w:rPr>
        <w:t>du traite</w:t>
      </w:r>
      <w:r w:rsidR="00521C12" w:rsidRPr="00A176EA">
        <w:rPr>
          <w:lang w:val="fr-FR"/>
        </w:rPr>
        <w:t xml:space="preserve">ment </w:t>
      </w:r>
      <w:r w:rsidR="00521C12">
        <w:rPr>
          <w:lang w:val="fr-FR"/>
        </w:rPr>
        <w:t>et de l’audition de personnes par les fonctionnaires de police. Elle est entrée en vigueur le 1</w:t>
      </w:r>
      <w:r w:rsidR="00521C12" w:rsidRPr="001F6FBF">
        <w:rPr>
          <w:vertAlign w:val="superscript"/>
          <w:lang w:val="fr-FR"/>
        </w:rPr>
        <w:t>er</w:t>
      </w:r>
      <w:r w:rsidR="00521C12">
        <w:rPr>
          <w:lang w:val="fr-FR"/>
        </w:rPr>
        <w:t xml:space="preserve"> décembre</w:t>
      </w:r>
      <w:r w:rsidR="00521C12" w:rsidRPr="00A176EA">
        <w:rPr>
          <w:lang w:val="fr-FR"/>
        </w:rPr>
        <w:t xml:space="preserve"> 2004</w:t>
      </w:r>
      <w:r w:rsidR="000B562B" w:rsidRPr="00A176EA">
        <w:rPr>
          <w:lang w:val="fr-FR"/>
        </w:rPr>
        <w:t>.</w:t>
      </w:r>
    </w:p>
    <w:p w:rsidR="000B562B" w:rsidRPr="00A176EA" w:rsidRDefault="002549A9" w:rsidP="0071441B">
      <w:pPr>
        <w:pStyle w:val="SingleTxtG"/>
        <w:rPr>
          <w:lang w:val="fr-FR"/>
        </w:rPr>
      </w:pPr>
      <w:r w:rsidRPr="00A176EA">
        <w:rPr>
          <w:lang w:val="fr-FR"/>
        </w:rPr>
        <w:t>43.</w:t>
      </w:r>
      <w:r w:rsidRPr="00A176EA">
        <w:rPr>
          <w:lang w:val="fr-FR"/>
        </w:rPr>
        <w:tab/>
      </w:r>
      <w:r w:rsidR="00521C12">
        <w:rPr>
          <w:lang w:val="fr-FR"/>
        </w:rPr>
        <w:t xml:space="preserve">L’ordonnance de 2004 sur les procédures policières et les preuves pénales (Codes de bonnes pratiques) est entrée en vigueur à la même date. Le Code C établit les bonnes pratiques relatives </w:t>
      </w:r>
      <w:r w:rsidR="00DD59D7">
        <w:rPr>
          <w:lang w:val="fr-FR"/>
        </w:rPr>
        <w:t>au placement en garde à vue</w:t>
      </w:r>
      <w:r w:rsidR="00521C12">
        <w:rPr>
          <w:lang w:val="fr-FR"/>
        </w:rPr>
        <w:t xml:space="preserve">, au traitement et à l’audition </w:t>
      </w:r>
      <w:r w:rsidR="00DD59D7">
        <w:rPr>
          <w:lang w:val="fr-FR"/>
        </w:rPr>
        <w:t>de personnes</w:t>
      </w:r>
      <w:r w:rsidR="00521C12">
        <w:rPr>
          <w:lang w:val="fr-FR"/>
        </w:rPr>
        <w:t>.</w:t>
      </w:r>
    </w:p>
    <w:p w:rsidR="000B562B" w:rsidRPr="00A176EA" w:rsidRDefault="002549A9" w:rsidP="00521C12">
      <w:pPr>
        <w:pStyle w:val="SingleTxtG"/>
        <w:tabs>
          <w:tab w:val="left" w:pos="567"/>
          <w:tab w:val="left" w:pos="1134"/>
          <w:tab w:val="left" w:pos="1701"/>
          <w:tab w:val="left" w:pos="2268"/>
          <w:tab w:val="left" w:pos="2835"/>
          <w:tab w:val="left" w:pos="3402"/>
          <w:tab w:val="left" w:pos="4052"/>
        </w:tabs>
        <w:rPr>
          <w:lang w:val="fr-FR"/>
        </w:rPr>
      </w:pPr>
      <w:r w:rsidRPr="00A176EA">
        <w:rPr>
          <w:lang w:val="fr-FR"/>
        </w:rPr>
        <w:t>44.</w:t>
      </w:r>
      <w:r w:rsidRPr="00A176EA">
        <w:rPr>
          <w:lang w:val="fr-FR"/>
        </w:rPr>
        <w:tab/>
      </w:r>
      <w:r w:rsidR="00AB6279" w:rsidRPr="00521C12">
        <w:rPr>
          <w:lang w:val="fr-FR"/>
        </w:rPr>
        <w:t>L’article</w:t>
      </w:r>
      <w:r w:rsidR="000B562B" w:rsidRPr="00521C12">
        <w:rPr>
          <w:lang w:val="fr-FR"/>
        </w:rPr>
        <w:t xml:space="preserve"> 7 </w:t>
      </w:r>
      <w:r w:rsidR="00AB6279" w:rsidRPr="00521C12">
        <w:rPr>
          <w:lang w:val="fr-FR"/>
        </w:rPr>
        <w:t>du</w:t>
      </w:r>
      <w:r w:rsidR="000B562B" w:rsidRPr="00521C12">
        <w:rPr>
          <w:lang w:val="fr-FR"/>
        </w:rPr>
        <w:t xml:space="preserve"> Code C</w:t>
      </w:r>
      <w:r w:rsidR="000B562B" w:rsidRPr="00A176EA">
        <w:rPr>
          <w:lang w:val="fr-FR"/>
        </w:rPr>
        <w:t xml:space="preserve"> </w:t>
      </w:r>
      <w:r w:rsidR="00521C12">
        <w:rPr>
          <w:lang w:val="fr-FR"/>
        </w:rPr>
        <w:t xml:space="preserve">confère aux citoyens d’un pays indépendant du Commonwealth (dont la République d’Irlande) le droit supplémentaire de communiquer à tout moment avec leur Haut-Commissariat, leur ambassade ou leur consulat. </w:t>
      </w:r>
      <w:r w:rsidR="00DA3EA3">
        <w:rPr>
          <w:lang w:val="fr-FR"/>
        </w:rPr>
        <w:t xml:space="preserve">Le gardé à vue doit être informé de ce droit le plus rapidement possible et toute demande d’exercice de ce droit </w:t>
      </w:r>
      <w:r w:rsidR="00521C12">
        <w:rPr>
          <w:lang w:val="fr-FR"/>
        </w:rPr>
        <w:t>doit être traitée dès que possible</w:t>
      </w:r>
      <w:r w:rsidR="000B562B" w:rsidRPr="00A176EA">
        <w:rPr>
          <w:lang w:val="fr-FR"/>
        </w:rPr>
        <w:t>.</w:t>
      </w:r>
    </w:p>
    <w:p w:rsidR="000B562B" w:rsidRPr="00A176EA" w:rsidRDefault="002549A9" w:rsidP="0071441B">
      <w:pPr>
        <w:pStyle w:val="SingleTxtG"/>
        <w:rPr>
          <w:lang w:val="fr-FR"/>
        </w:rPr>
      </w:pPr>
      <w:r w:rsidRPr="00A176EA">
        <w:rPr>
          <w:lang w:val="fr-FR"/>
        </w:rPr>
        <w:t>45.</w:t>
      </w:r>
      <w:r w:rsidRPr="00A176EA">
        <w:rPr>
          <w:lang w:val="fr-FR"/>
        </w:rPr>
        <w:tab/>
      </w:r>
      <w:r w:rsidR="004634E1">
        <w:rPr>
          <w:lang w:val="fr-FR"/>
        </w:rPr>
        <w:t xml:space="preserve">Les </w:t>
      </w:r>
      <w:r w:rsidR="000E52AE">
        <w:rPr>
          <w:lang w:val="fr-FR"/>
        </w:rPr>
        <w:t>employés</w:t>
      </w:r>
      <w:r w:rsidR="004634E1">
        <w:rPr>
          <w:lang w:val="fr-FR"/>
        </w:rPr>
        <w:t xml:space="preserve"> consulaire</w:t>
      </w:r>
      <w:r w:rsidR="000E52AE">
        <w:rPr>
          <w:lang w:val="fr-FR"/>
        </w:rPr>
        <w:t>s</w:t>
      </w:r>
      <w:r w:rsidR="004634E1">
        <w:rPr>
          <w:lang w:val="fr-FR"/>
        </w:rPr>
        <w:t xml:space="preserve"> peuvent rendre visite à l’un de leurs concitoyens en garde à vue pour s’entretenir avec lui et, le cas échéant, prendre des dispositions en matière de conseils juridiques. De tels entretiens sont confidentiels</w:t>
      </w:r>
      <w:r w:rsidR="000B562B" w:rsidRPr="00A176EA">
        <w:rPr>
          <w:lang w:val="fr-FR"/>
        </w:rPr>
        <w:t>.</w:t>
      </w:r>
    </w:p>
    <w:p w:rsidR="000B562B" w:rsidRPr="00A176EA" w:rsidRDefault="002549A9" w:rsidP="0071441B">
      <w:pPr>
        <w:pStyle w:val="SingleTxtG"/>
        <w:rPr>
          <w:lang w:val="fr-FR"/>
        </w:rPr>
      </w:pPr>
      <w:r w:rsidRPr="00A176EA">
        <w:rPr>
          <w:lang w:val="fr-FR"/>
        </w:rPr>
        <w:t>46.</w:t>
      </w:r>
      <w:r w:rsidRPr="00A176EA">
        <w:rPr>
          <w:lang w:val="fr-FR"/>
        </w:rPr>
        <w:tab/>
      </w:r>
      <w:r w:rsidR="00DA3EA3">
        <w:rPr>
          <w:lang w:val="fr-FR"/>
        </w:rPr>
        <w:t xml:space="preserve">À </w:t>
      </w:r>
      <w:r w:rsidR="004634E1">
        <w:rPr>
          <w:lang w:val="fr-FR"/>
        </w:rPr>
        <w:t xml:space="preserve">ce jour, il n’y a pas eu de poursuites pour torture à Jersey. Cela dit, toute action </w:t>
      </w:r>
      <w:r w:rsidR="00DA3EA3">
        <w:rPr>
          <w:lang w:val="fr-FR"/>
        </w:rPr>
        <w:t>et toutes</w:t>
      </w:r>
      <w:r w:rsidR="004634E1">
        <w:rPr>
          <w:lang w:val="fr-FR"/>
        </w:rPr>
        <w:t xml:space="preserve"> poursuites pénales serai</w:t>
      </w:r>
      <w:r w:rsidR="00DA3EA3">
        <w:rPr>
          <w:lang w:val="fr-FR"/>
        </w:rPr>
        <w:t>en</w:t>
      </w:r>
      <w:r w:rsidR="004634E1">
        <w:rPr>
          <w:lang w:val="fr-FR"/>
        </w:rPr>
        <w:t>t traitée</w:t>
      </w:r>
      <w:r w:rsidR="00DA3EA3">
        <w:rPr>
          <w:lang w:val="fr-FR"/>
        </w:rPr>
        <w:t>s</w:t>
      </w:r>
      <w:r w:rsidR="004634E1">
        <w:rPr>
          <w:lang w:val="fr-FR"/>
        </w:rPr>
        <w:t xml:space="preserve"> de la même façon qu’une infraction grave </w:t>
      </w:r>
      <w:r w:rsidR="00044969">
        <w:rPr>
          <w:lang w:val="fr-FR"/>
        </w:rPr>
        <w:t>et les règles habituelles de la preuve s’appliqueraient</w:t>
      </w:r>
      <w:r w:rsidR="004A38B6">
        <w:rPr>
          <w:lang w:val="fr-FR"/>
        </w:rPr>
        <w:t>. Toute personne contre laquelle des poursuites ont été engagées est garantie de recevoir un traitement juste à toutes les étapes de la procédure</w:t>
      </w:r>
      <w:r w:rsidR="000B562B" w:rsidRPr="00A176EA">
        <w:rPr>
          <w:lang w:val="fr-FR"/>
        </w:rPr>
        <w:t>.</w:t>
      </w:r>
    </w:p>
    <w:p w:rsidR="000B562B" w:rsidRPr="004A38B6" w:rsidRDefault="00AB6279" w:rsidP="00DC1857">
      <w:pPr>
        <w:pStyle w:val="H23G"/>
        <w:rPr>
          <w:lang w:val="fr-FR"/>
        </w:rPr>
      </w:pPr>
      <w:r w:rsidRPr="004A38B6">
        <w:rPr>
          <w:lang w:val="fr-FR"/>
        </w:rPr>
        <w:t>Î</w:t>
      </w:r>
      <w:r w:rsidR="000B562B" w:rsidRPr="004A38B6">
        <w:rPr>
          <w:lang w:val="fr-FR"/>
        </w:rPr>
        <w:t xml:space="preserve">le </w:t>
      </w:r>
      <w:r w:rsidRPr="004A38B6">
        <w:rPr>
          <w:lang w:val="fr-FR"/>
        </w:rPr>
        <w:t>de</w:t>
      </w:r>
      <w:r w:rsidR="000B562B" w:rsidRPr="004A38B6">
        <w:rPr>
          <w:lang w:val="fr-FR"/>
        </w:rPr>
        <w:t xml:space="preserve"> Man</w:t>
      </w:r>
    </w:p>
    <w:p w:rsidR="000B562B" w:rsidRPr="00A176EA" w:rsidRDefault="002549A9" w:rsidP="00471843">
      <w:pPr>
        <w:pStyle w:val="SingleTxtG"/>
        <w:rPr>
          <w:lang w:val="fr-FR"/>
        </w:rPr>
      </w:pPr>
      <w:r w:rsidRPr="004A38B6">
        <w:rPr>
          <w:lang w:val="fr-FR"/>
        </w:rPr>
        <w:t>47.</w:t>
      </w:r>
      <w:r w:rsidRPr="004A38B6">
        <w:rPr>
          <w:lang w:val="fr-FR"/>
        </w:rPr>
        <w:tab/>
      </w:r>
      <w:r w:rsidR="00AB6279" w:rsidRPr="004A38B6">
        <w:rPr>
          <w:lang w:val="fr-FR"/>
        </w:rPr>
        <w:t>Les</w:t>
      </w:r>
      <w:r w:rsidR="000B562B" w:rsidRPr="004A38B6">
        <w:rPr>
          <w:lang w:val="fr-FR"/>
        </w:rPr>
        <w:t xml:space="preserve"> Codes </w:t>
      </w:r>
      <w:r w:rsidR="00AB6279" w:rsidRPr="004A38B6">
        <w:rPr>
          <w:lang w:val="fr-FR"/>
        </w:rPr>
        <w:t>de bonnes pratiques</w:t>
      </w:r>
      <w:r w:rsidR="000B562B" w:rsidRPr="00A176EA">
        <w:rPr>
          <w:lang w:val="fr-FR"/>
        </w:rPr>
        <w:t xml:space="preserve"> </w:t>
      </w:r>
      <w:r w:rsidR="00526854">
        <w:rPr>
          <w:lang w:val="fr-FR"/>
        </w:rPr>
        <w:t xml:space="preserve">accompagnant la loi de 1998 sur les pouvoirs et les procédures de la police (loi du Tynwald), dont il a été question dans le rapport précédent, sont </w:t>
      </w:r>
      <w:r w:rsidR="00EB43BC">
        <w:rPr>
          <w:lang w:val="fr-FR"/>
        </w:rPr>
        <w:t xml:space="preserve">actuellement actualisées pour être alignées sur celles en vigueur au Royaume-Uni. Des projets de nouveaux codes ont été rédigés et </w:t>
      </w:r>
      <w:r w:rsidR="00DA3EA3">
        <w:rPr>
          <w:lang w:val="fr-FR"/>
        </w:rPr>
        <w:t>sont en attente</w:t>
      </w:r>
      <w:r w:rsidR="00EB43BC">
        <w:rPr>
          <w:lang w:val="fr-FR"/>
        </w:rPr>
        <w:t xml:space="preserve"> </w:t>
      </w:r>
      <w:r w:rsidR="00DA3EA3">
        <w:rPr>
          <w:lang w:val="fr-FR"/>
        </w:rPr>
        <w:t>d</w:t>
      </w:r>
      <w:r w:rsidR="008F56B2">
        <w:rPr>
          <w:lang w:val="fr-FR"/>
        </w:rPr>
        <w:t>es pouvoirs</w:t>
      </w:r>
      <w:r w:rsidR="00471843">
        <w:rPr>
          <w:lang w:val="fr-FR"/>
        </w:rPr>
        <w:t xml:space="preserve"> supplémentaires qui seront conférés à la police par le projet de loi sur la justice pénale (Dispositions diverses) pour entrer en vigueur</w:t>
      </w:r>
      <w:r w:rsidR="000B562B" w:rsidRPr="00A176EA">
        <w:rPr>
          <w:lang w:val="fr-FR"/>
        </w:rPr>
        <w:t>.</w:t>
      </w:r>
    </w:p>
    <w:p w:rsidR="000B562B" w:rsidRPr="00471843" w:rsidRDefault="004273C0" w:rsidP="001C135E">
      <w:pPr>
        <w:pStyle w:val="H1G"/>
      </w:pPr>
      <w:bookmarkStart w:id="86" w:name="_Toc299724777"/>
      <w:r>
        <w:tab/>
      </w:r>
      <w:r>
        <w:tab/>
      </w:r>
      <w:r w:rsidR="000B562B" w:rsidRPr="00471843">
        <w:t>Article 8</w:t>
      </w:r>
      <w:bookmarkEnd w:id="86"/>
    </w:p>
    <w:p w:rsidR="000B562B" w:rsidRPr="00A176EA" w:rsidRDefault="000B562B" w:rsidP="00DC1857">
      <w:pPr>
        <w:pStyle w:val="H23G"/>
        <w:rPr>
          <w:lang w:val="fr-FR"/>
        </w:rPr>
      </w:pPr>
      <w:r w:rsidRPr="00471843">
        <w:rPr>
          <w:lang w:val="fr-FR"/>
        </w:rPr>
        <w:t>Guern</w:t>
      </w:r>
      <w:r w:rsidR="006A0623" w:rsidRPr="00471843">
        <w:rPr>
          <w:lang w:val="fr-FR"/>
        </w:rPr>
        <w:t>e</w:t>
      </w:r>
      <w:r w:rsidRPr="00471843">
        <w:rPr>
          <w:lang w:val="fr-FR"/>
        </w:rPr>
        <w:t>sey</w:t>
      </w:r>
    </w:p>
    <w:p w:rsidR="000B562B" w:rsidRPr="00A176EA" w:rsidRDefault="002549A9" w:rsidP="0071441B">
      <w:pPr>
        <w:pStyle w:val="SingleTxtG"/>
        <w:rPr>
          <w:lang w:val="fr-FR"/>
        </w:rPr>
      </w:pPr>
      <w:r w:rsidRPr="00A176EA">
        <w:rPr>
          <w:lang w:val="fr-FR"/>
        </w:rPr>
        <w:t>48.</w:t>
      </w:r>
      <w:r w:rsidRPr="00A176EA">
        <w:rPr>
          <w:lang w:val="fr-FR"/>
        </w:rPr>
        <w:tab/>
      </w:r>
      <w:r w:rsidR="00471843">
        <w:rPr>
          <w:lang w:val="fr-FR"/>
        </w:rPr>
        <w:t>L’e</w:t>
      </w:r>
      <w:r w:rsidR="00471843" w:rsidRPr="00A176EA">
        <w:rPr>
          <w:lang w:val="fr-FR"/>
        </w:rPr>
        <w:t>xtradition</w:t>
      </w:r>
      <w:r w:rsidR="00471843">
        <w:rPr>
          <w:lang w:val="fr-FR"/>
        </w:rPr>
        <w:t xml:space="preserve"> demeure régie par la loi de 1989 sur l’extradition du Royaume-Uni, dont l</w:t>
      </w:r>
      <w:r w:rsidR="00AE2E20">
        <w:rPr>
          <w:lang w:val="fr-FR"/>
        </w:rPr>
        <w:t>e paragraphe 1 de l</w:t>
      </w:r>
      <w:r w:rsidR="00471843">
        <w:rPr>
          <w:lang w:val="fr-FR"/>
        </w:rPr>
        <w:t>’article 29 stipule que les parties I à V s’appliquent au bailliage de Guernesey comme si celui-ci faisait partie du Royaume-Uni et y demeurent en vigueur bien que ladite loi ait été abrogée au Royaume-Uni suite à l’ordonnance de 2003 relative à la loi de 2003 sur l’extradition (Entrée en vigueur et exceptions). Dans la législation du bailliage, la personne faisant l’objet d’une demande d’extradition continue de bénéficier des protections visées dans ladite loi. L’infraction de torture est passible d’une peine maximale de réclusion à perpétuité et d’extradition. Des poursuites pour infraction de torture peuvent être engagées dans le bailliage, que l’acte incriminé ait eu lieu dans le bailliage ou ailleurs</w:t>
      </w:r>
      <w:r w:rsidR="000B562B" w:rsidRPr="00A176EA">
        <w:rPr>
          <w:lang w:val="fr-FR"/>
        </w:rPr>
        <w:t>.</w:t>
      </w:r>
    </w:p>
    <w:p w:rsidR="000B562B" w:rsidRPr="00A176EA" w:rsidRDefault="000B562B" w:rsidP="00DC1857">
      <w:pPr>
        <w:pStyle w:val="H23G"/>
        <w:rPr>
          <w:lang w:val="fr-FR"/>
        </w:rPr>
      </w:pPr>
      <w:r w:rsidRPr="00471843">
        <w:rPr>
          <w:lang w:val="fr-FR"/>
        </w:rPr>
        <w:t>Jersey</w:t>
      </w:r>
    </w:p>
    <w:p w:rsidR="000B562B" w:rsidRPr="0004306A" w:rsidRDefault="002549A9" w:rsidP="007157EB">
      <w:pPr>
        <w:pStyle w:val="SingleTxtG"/>
        <w:rPr>
          <w:lang w:val="fr-FR"/>
        </w:rPr>
      </w:pPr>
      <w:r w:rsidRPr="00A176EA">
        <w:rPr>
          <w:lang w:val="fr-FR"/>
        </w:rPr>
        <w:t>49.</w:t>
      </w:r>
      <w:r w:rsidRPr="00A176EA">
        <w:rPr>
          <w:lang w:val="fr-FR"/>
        </w:rPr>
        <w:tab/>
      </w:r>
      <w:r w:rsidR="00BC6DD7">
        <w:rPr>
          <w:lang w:val="fr-FR"/>
        </w:rPr>
        <w:t xml:space="preserve">L’extradition  n’est pas subordonnée à l’existence d’un traité mais régie par la loi de 2004 sur l’extradition (Jersey). L’article 3 de cette loi </w:t>
      </w:r>
      <w:r w:rsidR="00927EA0">
        <w:rPr>
          <w:lang w:val="fr-FR"/>
        </w:rPr>
        <w:t xml:space="preserve">donne la définition d’une </w:t>
      </w:r>
      <w:r w:rsidR="00CD0110">
        <w:rPr>
          <w:lang w:val="fr-FR"/>
        </w:rPr>
        <w:t>«</w:t>
      </w:r>
      <w:r w:rsidR="00927EA0">
        <w:rPr>
          <w:lang w:val="fr-FR"/>
        </w:rPr>
        <w:t>infraction passible d’une mesure d’extradition</w:t>
      </w:r>
      <w:r w:rsidR="00CD0110">
        <w:rPr>
          <w:lang w:val="fr-FR"/>
        </w:rPr>
        <w:t>»</w:t>
      </w:r>
      <w:r w:rsidR="00927EA0">
        <w:rPr>
          <w:lang w:val="fr-FR"/>
        </w:rPr>
        <w:t xml:space="preserve"> </w:t>
      </w:r>
      <w:r w:rsidR="00EA0727">
        <w:rPr>
          <w:lang w:val="fr-FR"/>
        </w:rPr>
        <w:t>s’agissant</w:t>
      </w:r>
      <w:r w:rsidR="00927EA0">
        <w:rPr>
          <w:lang w:val="fr-FR"/>
        </w:rPr>
        <w:t xml:space="preserve"> d’une personne qui n’a pas encore été jugée et l’article 4 la définition de la même infraction </w:t>
      </w:r>
      <w:r w:rsidR="00EA0727">
        <w:rPr>
          <w:lang w:val="fr-FR"/>
        </w:rPr>
        <w:t>s’agissant</w:t>
      </w:r>
      <w:r w:rsidR="00927EA0">
        <w:rPr>
          <w:lang w:val="fr-FR"/>
        </w:rPr>
        <w:t xml:space="preserve"> d’une personne déjà condamnée. Dans les deux cas, le comportement de l’individu accusé ou condamné doit constituer </w:t>
      </w:r>
      <w:r w:rsidR="00EA0727">
        <w:rPr>
          <w:lang w:val="fr-FR"/>
        </w:rPr>
        <w:t xml:space="preserve">au regard de la loi de Jersey </w:t>
      </w:r>
      <w:r w:rsidR="00927EA0">
        <w:rPr>
          <w:lang w:val="fr-FR"/>
        </w:rPr>
        <w:t xml:space="preserve">une infraction passible d’une peine de réclusion ou autre forme de détention d’une durée de 12 mois ou plus. La torture étant passible d’une peine de réclusion à perpétuité en vertu de la loi de 1990 </w:t>
      </w:r>
      <w:r w:rsidR="00FA4C36">
        <w:rPr>
          <w:lang w:val="fr-FR"/>
        </w:rPr>
        <w:t>sur</w:t>
      </w:r>
      <w:r w:rsidR="00927EA0">
        <w:rPr>
          <w:lang w:val="fr-FR"/>
        </w:rPr>
        <w:t xml:space="preserve"> la torture (Jersey), elle satisfait donc à ce critère. Aux termes d</w:t>
      </w:r>
      <w:r w:rsidR="00AE2E20">
        <w:rPr>
          <w:lang w:val="fr-FR"/>
        </w:rPr>
        <w:t xml:space="preserve">u paragraphe 3, alinéa c de l’article 3 et du paragraphe 3, alinéa c de l’article 4 </w:t>
      </w:r>
      <w:r w:rsidR="00927EA0">
        <w:rPr>
          <w:lang w:val="fr-FR"/>
        </w:rPr>
        <w:t xml:space="preserve">de la loi de 2004 sur l’extradition (Jersey), un comportement constitue également une infraction susceptible d’extradition dans un territoire donné si, dans </w:t>
      </w:r>
      <w:r w:rsidR="00FA4C36">
        <w:rPr>
          <w:lang w:val="fr-FR"/>
        </w:rPr>
        <w:t>des</w:t>
      </w:r>
      <w:r w:rsidR="00927EA0">
        <w:rPr>
          <w:lang w:val="fr-FR"/>
        </w:rPr>
        <w:t xml:space="preserve"> circonstances</w:t>
      </w:r>
      <w:r w:rsidR="00FA4C36">
        <w:rPr>
          <w:lang w:val="fr-FR"/>
        </w:rPr>
        <w:t xml:space="preserve"> analogues</w:t>
      </w:r>
      <w:r w:rsidR="00927EA0">
        <w:rPr>
          <w:lang w:val="fr-FR"/>
        </w:rPr>
        <w:t xml:space="preserve">, </w:t>
      </w:r>
      <w:r w:rsidR="00FA4C36">
        <w:rPr>
          <w:lang w:val="fr-FR"/>
        </w:rPr>
        <w:t xml:space="preserve">un comportement équivalent constituerait au regard de la loi de Jersey une infraction extraterritoriale passible </w:t>
      </w:r>
      <w:r w:rsidR="00FA4C36" w:rsidRPr="00FA4C36">
        <w:rPr>
          <w:lang w:val="fr-FR"/>
        </w:rPr>
        <w:t>d’une peine de réclusion ou autre forme de détention d’une durée de 12 mois ou plus</w:t>
      </w:r>
      <w:r w:rsidR="00FA4C36">
        <w:rPr>
          <w:lang w:val="fr-FR"/>
        </w:rPr>
        <w:t>. C’est le cas en matière de torture, en vertu de l’application extraterritoriale de l’article 1 de la loi de 1990 sur la torture (Jersey)</w:t>
      </w:r>
      <w:r w:rsidR="000B562B" w:rsidRPr="0004306A">
        <w:rPr>
          <w:lang w:val="fr-FR"/>
        </w:rPr>
        <w:t>.</w:t>
      </w:r>
    </w:p>
    <w:p w:rsidR="000B562B" w:rsidRPr="00A176EA" w:rsidRDefault="006A0623" w:rsidP="00DC1857">
      <w:pPr>
        <w:pStyle w:val="H23G"/>
        <w:rPr>
          <w:lang w:val="fr-FR"/>
        </w:rPr>
      </w:pPr>
      <w:r w:rsidRPr="00BA2278">
        <w:rPr>
          <w:lang w:val="fr-FR"/>
        </w:rPr>
        <w:t>Î</w:t>
      </w:r>
      <w:r w:rsidR="000B562B" w:rsidRPr="00BA2278">
        <w:rPr>
          <w:lang w:val="fr-FR"/>
        </w:rPr>
        <w:t xml:space="preserve">le </w:t>
      </w:r>
      <w:r w:rsidRPr="00BA2278">
        <w:rPr>
          <w:lang w:val="fr-FR"/>
        </w:rPr>
        <w:t>de</w:t>
      </w:r>
      <w:r w:rsidR="000B562B" w:rsidRPr="00BA2278">
        <w:rPr>
          <w:lang w:val="fr-FR"/>
        </w:rPr>
        <w:t xml:space="preserve"> Man</w:t>
      </w:r>
    </w:p>
    <w:p w:rsidR="000B562B" w:rsidRPr="00A176EA" w:rsidRDefault="002549A9" w:rsidP="00BA2278">
      <w:pPr>
        <w:pStyle w:val="SingleTxtG"/>
        <w:rPr>
          <w:lang w:val="fr-FR"/>
        </w:rPr>
      </w:pPr>
      <w:r w:rsidRPr="00A176EA">
        <w:rPr>
          <w:lang w:val="fr-FR"/>
        </w:rPr>
        <w:t>50.</w:t>
      </w:r>
      <w:r w:rsidRPr="00A176EA">
        <w:rPr>
          <w:lang w:val="fr-FR"/>
        </w:rPr>
        <w:tab/>
      </w:r>
      <w:r w:rsidR="00BA2278">
        <w:rPr>
          <w:lang w:val="fr-FR"/>
        </w:rPr>
        <w:t>Aucun changement n’est intervenu depuis le rapport précédent. Néanmoins, un projet de loi sur l’extradition figure au programme législatif du Gouvernement de l’île. Son objectif est de doter l’île, en la matière, d’un cadre législatif moderne conforme aux normes internationales pertinentes</w:t>
      </w:r>
      <w:r w:rsidR="000B562B" w:rsidRPr="00A176EA">
        <w:rPr>
          <w:lang w:val="fr-FR"/>
        </w:rPr>
        <w:t>.</w:t>
      </w:r>
    </w:p>
    <w:p w:rsidR="000B562B" w:rsidRPr="00BA2278" w:rsidRDefault="004273C0" w:rsidP="001C135E">
      <w:pPr>
        <w:pStyle w:val="H1G"/>
      </w:pPr>
      <w:bookmarkStart w:id="87" w:name="_Toc299724778"/>
      <w:r>
        <w:tab/>
      </w:r>
      <w:r>
        <w:tab/>
      </w:r>
      <w:r w:rsidR="000B562B" w:rsidRPr="00BA2278">
        <w:t>Article 9</w:t>
      </w:r>
      <w:bookmarkEnd w:id="87"/>
    </w:p>
    <w:p w:rsidR="000B562B" w:rsidRPr="00A176EA" w:rsidRDefault="000B562B" w:rsidP="00DC1857">
      <w:pPr>
        <w:pStyle w:val="H23G"/>
        <w:rPr>
          <w:lang w:val="fr-FR"/>
        </w:rPr>
      </w:pPr>
      <w:r w:rsidRPr="00BA2278">
        <w:rPr>
          <w:lang w:val="fr-FR"/>
        </w:rPr>
        <w:t>Guern</w:t>
      </w:r>
      <w:r w:rsidR="006A0623" w:rsidRPr="00BA2278">
        <w:rPr>
          <w:lang w:val="fr-FR"/>
        </w:rPr>
        <w:t>e</w:t>
      </w:r>
      <w:r w:rsidRPr="00BA2278">
        <w:rPr>
          <w:lang w:val="fr-FR"/>
        </w:rPr>
        <w:t>sey</w:t>
      </w:r>
    </w:p>
    <w:p w:rsidR="000B562B" w:rsidRPr="00A176EA" w:rsidRDefault="002549A9" w:rsidP="007157EB">
      <w:pPr>
        <w:pStyle w:val="SingleTxtG"/>
        <w:rPr>
          <w:lang w:val="fr-FR"/>
        </w:rPr>
      </w:pPr>
      <w:r w:rsidRPr="00A176EA">
        <w:rPr>
          <w:lang w:val="fr-FR"/>
        </w:rPr>
        <w:t>51.</w:t>
      </w:r>
      <w:r w:rsidRPr="00A176EA">
        <w:rPr>
          <w:lang w:val="fr-FR"/>
        </w:rPr>
        <w:tab/>
      </w:r>
      <w:r w:rsidR="00BA2278" w:rsidRPr="00BA2278">
        <w:rPr>
          <w:lang w:val="fr-FR"/>
        </w:rPr>
        <w:t xml:space="preserve">La Convention de 1959 du Conseil de l’Europe sur l’entraide judiciaire en matière pénale a été étendue au </w:t>
      </w:r>
      <w:r w:rsidR="005B3E8D" w:rsidRPr="00BA2278">
        <w:rPr>
          <w:lang w:val="fr-FR"/>
        </w:rPr>
        <w:t>bailliage le 20 janvier</w:t>
      </w:r>
      <w:r w:rsidR="000B562B" w:rsidRPr="00BA2278">
        <w:rPr>
          <w:lang w:val="fr-FR"/>
        </w:rPr>
        <w:t xml:space="preserve"> 2003.</w:t>
      </w:r>
    </w:p>
    <w:p w:rsidR="000B562B" w:rsidRPr="00A176EA" w:rsidRDefault="002549A9" w:rsidP="007157EB">
      <w:pPr>
        <w:pStyle w:val="SingleTxtG"/>
        <w:rPr>
          <w:lang w:val="fr-FR"/>
        </w:rPr>
      </w:pPr>
      <w:r w:rsidRPr="00A176EA">
        <w:rPr>
          <w:lang w:val="fr-FR"/>
        </w:rPr>
        <w:t>52.</w:t>
      </w:r>
      <w:r w:rsidRPr="00A176EA">
        <w:rPr>
          <w:lang w:val="fr-FR"/>
        </w:rPr>
        <w:tab/>
      </w:r>
      <w:r w:rsidR="00E1628C">
        <w:rPr>
          <w:lang w:val="fr-FR"/>
        </w:rPr>
        <w:t xml:space="preserve">L’entraide judiciaire est de la responsabilité du Procureur général de Sa Majesté et relève d’un certain nombre de lois de Guernesey portant sur l’obtention d’éléments de preuve, </w:t>
      </w:r>
      <w:r w:rsidR="006B1711">
        <w:rPr>
          <w:lang w:val="fr-FR"/>
        </w:rPr>
        <w:t xml:space="preserve">la saisie de biens et l’exécution </w:t>
      </w:r>
      <w:r w:rsidR="001678DC">
        <w:rPr>
          <w:lang w:val="fr-FR"/>
        </w:rPr>
        <w:t>des décisions</w:t>
      </w:r>
      <w:r w:rsidR="006B1711">
        <w:rPr>
          <w:lang w:val="fr-FR"/>
        </w:rPr>
        <w:t xml:space="preserve"> de confiscation rendues par une juridiction étrangère. </w:t>
      </w:r>
      <w:r w:rsidR="00F775E0">
        <w:rPr>
          <w:lang w:val="fr-FR"/>
        </w:rPr>
        <w:t>En matière civile</w:t>
      </w:r>
      <w:r w:rsidR="004E18C3">
        <w:rPr>
          <w:lang w:val="fr-FR"/>
        </w:rPr>
        <w:t xml:space="preserve">, la loi de 2007 sur la confiscation </w:t>
      </w:r>
      <w:r w:rsidR="007A0A90">
        <w:rPr>
          <w:lang w:val="fr-FR"/>
        </w:rPr>
        <w:t>d’avoirs financiers</w:t>
      </w:r>
      <w:r w:rsidR="004E18C3">
        <w:rPr>
          <w:lang w:val="fr-FR"/>
        </w:rPr>
        <w:t xml:space="preserve">, etc. </w:t>
      </w:r>
      <w:r w:rsidR="006966D4">
        <w:rPr>
          <w:lang w:val="fr-FR"/>
        </w:rPr>
        <w:t>d</w:t>
      </w:r>
      <w:r w:rsidR="007A0A90">
        <w:rPr>
          <w:lang w:val="fr-FR"/>
        </w:rPr>
        <w:t>ans</w:t>
      </w:r>
      <w:r w:rsidR="006966D4">
        <w:rPr>
          <w:lang w:val="fr-FR"/>
        </w:rPr>
        <w:t xml:space="preserve"> </w:t>
      </w:r>
      <w:r w:rsidR="00E87CD1">
        <w:rPr>
          <w:lang w:val="fr-FR"/>
        </w:rPr>
        <w:t>une</w:t>
      </w:r>
      <w:r w:rsidR="006966D4">
        <w:rPr>
          <w:lang w:val="fr-FR"/>
        </w:rPr>
        <w:t xml:space="preserve"> procédure civile (Bailliage de Guernesey) prévoit les ordonnances pouvant être </w:t>
      </w:r>
      <w:r w:rsidR="00F775E0">
        <w:rPr>
          <w:lang w:val="fr-FR"/>
        </w:rPr>
        <w:t>rendues</w:t>
      </w:r>
      <w:r w:rsidR="006966D4">
        <w:rPr>
          <w:lang w:val="fr-FR"/>
        </w:rPr>
        <w:t xml:space="preserve"> pour </w:t>
      </w:r>
      <w:r w:rsidR="007A0A90">
        <w:rPr>
          <w:lang w:val="fr-FR"/>
        </w:rPr>
        <w:t xml:space="preserve">la </w:t>
      </w:r>
      <w:r w:rsidR="00431B25">
        <w:rPr>
          <w:lang w:val="fr-FR"/>
        </w:rPr>
        <w:t>production</w:t>
      </w:r>
      <w:r w:rsidR="007A0A90">
        <w:rPr>
          <w:lang w:val="fr-FR"/>
        </w:rPr>
        <w:t xml:space="preserve"> de preuves documentaires, </w:t>
      </w:r>
      <w:r w:rsidR="00924CB7">
        <w:rPr>
          <w:lang w:val="fr-FR"/>
        </w:rPr>
        <w:t>l</w:t>
      </w:r>
      <w:r w:rsidR="00431B25">
        <w:rPr>
          <w:lang w:val="fr-FR"/>
        </w:rPr>
        <w:t xml:space="preserve">es </w:t>
      </w:r>
      <w:r w:rsidR="00924CB7">
        <w:rPr>
          <w:lang w:val="fr-FR"/>
        </w:rPr>
        <w:t>information</w:t>
      </w:r>
      <w:r w:rsidR="00431B25">
        <w:rPr>
          <w:lang w:val="fr-FR"/>
        </w:rPr>
        <w:t>s</w:t>
      </w:r>
      <w:r w:rsidR="00924CB7">
        <w:rPr>
          <w:lang w:val="fr-FR"/>
        </w:rPr>
        <w:t xml:space="preserve"> </w:t>
      </w:r>
      <w:r w:rsidR="00431B25">
        <w:rPr>
          <w:lang w:val="fr-FR"/>
        </w:rPr>
        <w:t>sur les clients bancaires</w:t>
      </w:r>
      <w:r w:rsidR="00924CB7">
        <w:rPr>
          <w:lang w:val="fr-FR"/>
        </w:rPr>
        <w:t xml:space="preserve">, la </w:t>
      </w:r>
      <w:r w:rsidR="00431B25">
        <w:rPr>
          <w:lang w:val="fr-FR"/>
        </w:rPr>
        <w:t>surveillance</w:t>
      </w:r>
      <w:r w:rsidR="00924CB7">
        <w:rPr>
          <w:lang w:val="fr-FR"/>
        </w:rPr>
        <w:t xml:space="preserve"> de</w:t>
      </w:r>
      <w:r w:rsidR="00431B25">
        <w:rPr>
          <w:lang w:val="fr-FR"/>
        </w:rPr>
        <w:t>s</w:t>
      </w:r>
      <w:r w:rsidR="00924CB7">
        <w:rPr>
          <w:lang w:val="fr-FR"/>
        </w:rPr>
        <w:t xml:space="preserve"> comptes </w:t>
      </w:r>
      <w:r w:rsidR="001678DC">
        <w:rPr>
          <w:lang w:val="fr-FR"/>
        </w:rPr>
        <w:t xml:space="preserve">bancaires </w:t>
      </w:r>
      <w:r w:rsidR="00924CB7">
        <w:rPr>
          <w:lang w:val="fr-FR"/>
        </w:rPr>
        <w:t xml:space="preserve">dans le cadre d’une enquête de confiscation civile à l’étranger et </w:t>
      </w:r>
      <w:r w:rsidR="00F775E0">
        <w:rPr>
          <w:lang w:val="fr-FR"/>
        </w:rPr>
        <w:t xml:space="preserve">l’exécution d’ordonnances de confiscation </w:t>
      </w:r>
      <w:r w:rsidR="00924CB7">
        <w:rPr>
          <w:lang w:val="fr-FR"/>
        </w:rPr>
        <w:t xml:space="preserve">civile </w:t>
      </w:r>
      <w:r w:rsidR="00F775E0">
        <w:rPr>
          <w:lang w:val="fr-FR"/>
        </w:rPr>
        <w:t>rendues à l’étranger</w:t>
      </w:r>
      <w:r w:rsidR="000B562B" w:rsidRPr="00A176EA">
        <w:rPr>
          <w:lang w:val="fr-FR"/>
        </w:rPr>
        <w:t>.</w:t>
      </w:r>
    </w:p>
    <w:p w:rsidR="000B562B" w:rsidRPr="00A176EA" w:rsidRDefault="000B562B" w:rsidP="00DC1857">
      <w:pPr>
        <w:pStyle w:val="H23G"/>
        <w:rPr>
          <w:lang w:val="fr-FR"/>
        </w:rPr>
      </w:pPr>
      <w:r w:rsidRPr="00431B25">
        <w:rPr>
          <w:lang w:val="fr-FR"/>
        </w:rPr>
        <w:t>Jersey</w:t>
      </w:r>
    </w:p>
    <w:p w:rsidR="000B562B" w:rsidRPr="0004306A" w:rsidRDefault="002549A9" w:rsidP="007119F0">
      <w:pPr>
        <w:pStyle w:val="SingleTxtG"/>
        <w:rPr>
          <w:lang w:val="fr-FR"/>
        </w:rPr>
      </w:pPr>
      <w:r w:rsidRPr="00A176EA">
        <w:rPr>
          <w:lang w:val="fr-FR"/>
        </w:rPr>
        <w:t>53.</w:t>
      </w:r>
      <w:r w:rsidRPr="00A176EA">
        <w:rPr>
          <w:lang w:val="fr-FR"/>
        </w:rPr>
        <w:tab/>
      </w:r>
      <w:r w:rsidR="00431B25">
        <w:rPr>
          <w:lang w:val="fr-FR"/>
        </w:rPr>
        <w:t xml:space="preserve">En vertu de la </w:t>
      </w:r>
      <w:r w:rsidR="00431B25" w:rsidRPr="00B74CD9">
        <w:rPr>
          <w:lang w:val="fr-FR"/>
        </w:rPr>
        <w:t>loi de 2001 sur la justice pénale (</w:t>
      </w:r>
      <w:r w:rsidR="00135BF6">
        <w:rPr>
          <w:lang w:val="fr-FR"/>
        </w:rPr>
        <w:t>C</w:t>
      </w:r>
      <w:r w:rsidR="00431B25" w:rsidRPr="00B74CD9">
        <w:rPr>
          <w:lang w:val="fr-FR"/>
        </w:rPr>
        <w:t xml:space="preserve">oopération </w:t>
      </w:r>
      <w:r w:rsidR="006D07AA" w:rsidRPr="00B74CD9">
        <w:rPr>
          <w:lang w:val="fr-FR"/>
        </w:rPr>
        <w:t>internationale</w:t>
      </w:r>
      <w:r w:rsidR="00431B25" w:rsidRPr="00B74CD9">
        <w:rPr>
          <w:lang w:val="fr-FR"/>
        </w:rPr>
        <w:t>) (Jersey)</w:t>
      </w:r>
      <w:r w:rsidR="00B74CD9" w:rsidRPr="00B74CD9">
        <w:rPr>
          <w:lang w:val="fr-FR"/>
        </w:rPr>
        <w:t>,</w:t>
      </w:r>
      <w:r w:rsidR="00431B25">
        <w:rPr>
          <w:lang w:val="fr-FR"/>
        </w:rPr>
        <w:t xml:space="preserve"> dans le cadre de poursuites pénales l’entraide judiciaire s’applique tant </w:t>
      </w:r>
      <w:r w:rsidR="007119F0">
        <w:rPr>
          <w:lang w:val="fr-FR"/>
        </w:rPr>
        <w:t xml:space="preserve">à l’étape de l’enquête qu’à celle de </w:t>
      </w:r>
      <w:r w:rsidR="00B2254F">
        <w:rPr>
          <w:lang w:val="fr-FR"/>
        </w:rPr>
        <w:t>l’</w:t>
      </w:r>
      <w:r w:rsidR="006D07AA">
        <w:rPr>
          <w:lang w:val="fr-FR"/>
        </w:rPr>
        <w:t>activité</w:t>
      </w:r>
      <w:r w:rsidR="00B2254F">
        <w:rPr>
          <w:lang w:val="fr-FR"/>
        </w:rPr>
        <w:t xml:space="preserve"> probatoire</w:t>
      </w:r>
      <w:r w:rsidR="007119F0">
        <w:rPr>
          <w:lang w:val="fr-FR"/>
        </w:rPr>
        <w:t>.</w:t>
      </w:r>
    </w:p>
    <w:p w:rsidR="000B562B" w:rsidRPr="00A176EA" w:rsidRDefault="002549A9" w:rsidP="004C051B">
      <w:pPr>
        <w:pStyle w:val="SingleTxtG"/>
        <w:rPr>
          <w:lang w:val="fr-FR"/>
        </w:rPr>
      </w:pPr>
      <w:r w:rsidRPr="007119F0">
        <w:rPr>
          <w:lang w:val="fr-FR"/>
        </w:rPr>
        <w:t>54.</w:t>
      </w:r>
      <w:r w:rsidRPr="007119F0">
        <w:rPr>
          <w:lang w:val="fr-FR"/>
        </w:rPr>
        <w:tab/>
      </w:r>
      <w:r w:rsidR="00F775E0" w:rsidRPr="007119F0">
        <w:rPr>
          <w:lang w:val="fr-FR"/>
        </w:rPr>
        <w:t>En outre</w:t>
      </w:r>
      <w:r w:rsidR="000B562B" w:rsidRPr="007119F0">
        <w:rPr>
          <w:lang w:val="fr-FR"/>
        </w:rPr>
        <w:t xml:space="preserve">, </w:t>
      </w:r>
      <w:r w:rsidR="00F775E0" w:rsidRPr="007119F0">
        <w:rPr>
          <w:lang w:val="fr-FR"/>
        </w:rPr>
        <w:t xml:space="preserve">l’entraide judiciaire est possible s’agissant des enquêtes et des procédures dans le cadre des actions civiles en recouvrement, conformément aux dispositions de la loi de 2007 sur le recouvrement des avoirs civils (Coopération internationale) (Jersey), qui est entrée en vigueur le 28 décembre </w:t>
      </w:r>
      <w:r w:rsidR="000B562B" w:rsidRPr="007119F0">
        <w:rPr>
          <w:lang w:val="fr-FR"/>
        </w:rPr>
        <w:t>2007.</w:t>
      </w:r>
    </w:p>
    <w:p w:rsidR="000B562B" w:rsidRPr="00A176EA" w:rsidRDefault="002549A9" w:rsidP="004C051B">
      <w:pPr>
        <w:pStyle w:val="SingleTxtG"/>
        <w:rPr>
          <w:lang w:val="fr-FR"/>
        </w:rPr>
      </w:pPr>
      <w:r w:rsidRPr="00A176EA">
        <w:rPr>
          <w:lang w:val="fr-FR"/>
        </w:rPr>
        <w:t>55.</w:t>
      </w:r>
      <w:r w:rsidRPr="00A176EA">
        <w:rPr>
          <w:lang w:val="fr-FR"/>
        </w:rPr>
        <w:tab/>
      </w:r>
      <w:r w:rsidR="000D1E2E">
        <w:rPr>
          <w:lang w:val="fr-FR"/>
        </w:rPr>
        <w:t xml:space="preserve">Depuis le dernier rapport, le Procureur général de Sa Majesté pour Jersey, chargé des questions d’entraide judiciaire en vertu des deux lois précitées, a reçu </w:t>
      </w:r>
      <w:r w:rsidR="006A6FE2">
        <w:rPr>
          <w:lang w:val="fr-FR"/>
        </w:rPr>
        <w:t xml:space="preserve">d’un gouvernement étranger </w:t>
      </w:r>
      <w:r w:rsidR="000D1E2E">
        <w:rPr>
          <w:lang w:val="fr-FR"/>
        </w:rPr>
        <w:t xml:space="preserve">une requête d’entraide </w:t>
      </w:r>
      <w:r w:rsidR="002048C6">
        <w:rPr>
          <w:lang w:val="fr-FR"/>
        </w:rPr>
        <w:t xml:space="preserve">judiciaire </w:t>
      </w:r>
      <w:r w:rsidR="006A6FE2">
        <w:rPr>
          <w:lang w:val="fr-FR"/>
        </w:rPr>
        <w:t>relative à des infractions de torture. Il s’agissait d’une requête d’un pays du Moyen-Orient aux fins d’obtenir des preuves liées à une infraction pour laquelle</w:t>
      </w:r>
      <w:r w:rsidR="006A6FE2" w:rsidRPr="006A6FE2">
        <w:rPr>
          <w:lang w:val="fr-FR"/>
        </w:rPr>
        <w:t xml:space="preserve"> </w:t>
      </w:r>
      <w:r w:rsidR="006A6FE2">
        <w:rPr>
          <w:lang w:val="fr-FR"/>
        </w:rPr>
        <w:t>le suspect</w:t>
      </w:r>
      <w:r w:rsidR="006A6FE2" w:rsidRPr="006A6FE2">
        <w:rPr>
          <w:lang w:val="fr-FR"/>
        </w:rPr>
        <w:t xml:space="preserve"> </w:t>
      </w:r>
      <w:r w:rsidR="006A6FE2">
        <w:rPr>
          <w:lang w:val="fr-FR"/>
        </w:rPr>
        <w:t xml:space="preserve">encourait, entre autres, une peine de flagellation publique s’il était condamné. </w:t>
      </w:r>
      <w:r w:rsidR="00657B89">
        <w:rPr>
          <w:lang w:val="fr-FR"/>
        </w:rPr>
        <w:t>Le Procureur général a obtenu du juge</w:t>
      </w:r>
      <w:r w:rsidR="00657B89" w:rsidRPr="00657B89">
        <w:rPr>
          <w:lang w:val="fr-FR"/>
        </w:rPr>
        <w:t xml:space="preserve"> </w:t>
      </w:r>
      <w:r w:rsidR="00135BF6">
        <w:rPr>
          <w:lang w:val="fr-FR"/>
        </w:rPr>
        <w:t xml:space="preserve">étranger </w:t>
      </w:r>
      <w:r w:rsidR="00657B89">
        <w:rPr>
          <w:lang w:val="fr-FR"/>
        </w:rPr>
        <w:t xml:space="preserve">un accord selon lequel cette peine ne serait pas prononcée si Jersey accordait l’entraide judiciaire. </w:t>
      </w:r>
      <w:r w:rsidR="002048C6">
        <w:rPr>
          <w:lang w:val="fr-FR"/>
        </w:rPr>
        <w:t xml:space="preserve">Compte tenu du fait que le Royaume-Uni avait accordé son aide pour la même affaire, l’entraide judiciaire a été accordée. </w:t>
      </w:r>
      <w:r w:rsidR="00FF29A1">
        <w:rPr>
          <w:lang w:val="fr-FR"/>
        </w:rPr>
        <w:t>Cela confirme que les droits de l’homme, dont ceux énoncés à l’article 3 de la Convention, sont toujours pris en considération pour décider si l’entraide judiciaire doit être accordée ou non</w:t>
      </w:r>
      <w:r w:rsidR="000B562B" w:rsidRPr="00A176EA">
        <w:rPr>
          <w:lang w:val="fr-FR"/>
        </w:rPr>
        <w:t>.</w:t>
      </w:r>
    </w:p>
    <w:p w:rsidR="000B562B" w:rsidRPr="00A176EA" w:rsidRDefault="000D1E2E" w:rsidP="00DC1857">
      <w:pPr>
        <w:pStyle w:val="H23G"/>
        <w:rPr>
          <w:lang w:val="fr-FR"/>
        </w:rPr>
      </w:pPr>
      <w:r>
        <w:rPr>
          <w:lang w:val="fr-FR"/>
        </w:rPr>
        <w:t>Île de</w:t>
      </w:r>
      <w:r w:rsidR="000B562B" w:rsidRPr="00A176EA">
        <w:rPr>
          <w:lang w:val="fr-FR"/>
        </w:rPr>
        <w:t xml:space="preserve"> Man</w:t>
      </w:r>
    </w:p>
    <w:p w:rsidR="000B562B" w:rsidRPr="00A176EA" w:rsidRDefault="002549A9" w:rsidP="004430F5">
      <w:pPr>
        <w:pStyle w:val="SingleTxtG"/>
        <w:rPr>
          <w:lang w:val="fr-FR"/>
        </w:rPr>
      </w:pPr>
      <w:r w:rsidRPr="00A176EA">
        <w:rPr>
          <w:lang w:val="fr-FR"/>
        </w:rPr>
        <w:t>56.</w:t>
      </w:r>
      <w:r w:rsidRPr="00A176EA">
        <w:rPr>
          <w:lang w:val="fr-FR"/>
        </w:rPr>
        <w:tab/>
      </w:r>
      <w:r w:rsidR="004430F5">
        <w:rPr>
          <w:lang w:val="fr-FR"/>
        </w:rPr>
        <w:t>La loi de 2003 sur la Cour pénale internationale, entrée en vigueur le 1</w:t>
      </w:r>
      <w:r w:rsidR="004430F5" w:rsidRPr="004430F5">
        <w:rPr>
          <w:vertAlign w:val="superscript"/>
          <w:lang w:val="fr-FR"/>
        </w:rPr>
        <w:t>er</w:t>
      </w:r>
      <w:r w:rsidR="004430F5">
        <w:rPr>
          <w:lang w:val="fr-FR"/>
        </w:rPr>
        <w:t xml:space="preserve"> avril 2004, dispose que l’île de Man doit coopérer avec la Cour pénale internationale en matière de poursuites et/ou d’extradition portant sur des individus accusés de crime de guerre, torture</w:t>
      </w:r>
      <w:r w:rsidR="004430F5" w:rsidRPr="004430F5">
        <w:rPr>
          <w:lang w:val="fr-FR"/>
        </w:rPr>
        <w:t xml:space="preserve"> </w:t>
      </w:r>
      <w:r w:rsidR="004430F5">
        <w:rPr>
          <w:lang w:val="fr-FR"/>
        </w:rPr>
        <w:t>incluse</w:t>
      </w:r>
      <w:r w:rsidR="000B562B" w:rsidRPr="00A176EA">
        <w:rPr>
          <w:lang w:val="fr-FR"/>
        </w:rPr>
        <w:t>.</w:t>
      </w:r>
    </w:p>
    <w:p w:rsidR="000B562B" w:rsidRPr="004430F5" w:rsidRDefault="004273C0" w:rsidP="001C135E">
      <w:pPr>
        <w:pStyle w:val="H1G"/>
      </w:pPr>
      <w:bookmarkStart w:id="88" w:name="_Toc299724779"/>
      <w:r>
        <w:tab/>
      </w:r>
      <w:r>
        <w:tab/>
      </w:r>
      <w:r w:rsidR="000B562B" w:rsidRPr="004430F5">
        <w:t>Article 10</w:t>
      </w:r>
      <w:bookmarkEnd w:id="88"/>
    </w:p>
    <w:p w:rsidR="000B562B" w:rsidRPr="00A176EA" w:rsidRDefault="000B562B" w:rsidP="00DC1857">
      <w:pPr>
        <w:pStyle w:val="H23G"/>
        <w:rPr>
          <w:lang w:val="fr-FR"/>
        </w:rPr>
      </w:pPr>
      <w:r w:rsidRPr="004430F5">
        <w:rPr>
          <w:lang w:val="fr-FR"/>
        </w:rPr>
        <w:t>Guern</w:t>
      </w:r>
      <w:r w:rsidR="006A0623" w:rsidRPr="004430F5">
        <w:rPr>
          <w:lang w:val="fr-FR"/>
        </w:rPr>
        <w:t>e</w:t>
      </w:r>
      <w:r w:rsidRPr="004430F5">
        <w:rPr>
          <w:lang w:val="fr-FR"/>
        </w:rPr>
        <w:t>sey</w:t>
      </w:r>
    </w:p>
    <w:p w:rsidR="000B562B" w:rsidRPr="00A176EA" w:rsidRDefault="004430F5" w:rsidP="004C051B">
      <w:pPr>
        <w:pStyle w:val="H23G"/>
        <w:rPr>
          <w:lang w:val="fr-FR"/>
        </w:rPr>
      </w:pPr>
      <w:r w:rsidRPr="00A176EA">
        <w:rPr>
          <w:lang w:val="fr-FR"/>
        </w:rPr>
        <w:t>Service</w:t>
      </w:r>
      <w:r>
        <w:rPr>
          <w:lang w:val="fr-FR"/>
        </w:rPr>
        <w:t>s de</w:t>
      </w:r>
      <w:r w:rsidRPr="00A176EA">
        <w:rPr>
          <w:lang w:val="fr-FR"/>
        </w:rPr>
        <w:t xml:space="preserve"> </w:t>
      </w:r>
      <w:r>
        <w:rPr>
          <w:lang w:val="fr-FR"/>
        </w:rPr>
        <w:t>p</w:t>
      </w:r>
      <w:r w:rsidR="000B562B" w:rsidRPr="00A176EA">
        <w:rPr>
          <w:lang w:val="fr-FR"/>
        </w:rPr>
        <w:t xml:space="preserve">olice </w:t>
      </w:r>
    </w:p>
    <w:p w:rsidR="000B562B" w:rsidRPr="002359FC" w:rsidRDefault="002549A9" w:rsidP="00960378">
      <w:pPr>
        <w:pStyle w:val="SingleTxtG"/>
        <w:rPr>
          <w:lang w:val="fr-FR"/>
        </w:rPr>
      </w:pPr>
      <w:r w:rsidRPr="002359FC">
        <w:rPr>
          <w:lang w:val="fr-FR"/>
        </w:rPr>
        <w:t>57.</w:t>
      </w:r>
      <w:r w:rsidRPr="002359FC">
        <w:rPr>
          <w:lang w:val="fr-FR"/>
        </w:rPr>
        <w:tab/>
      </w:r>
      <w:r w:rsidR="007277EF" w:rsidRPr="002359FC">
        <w:rPr>
          <w:lang w:val="fr-FR"/>
        </w:rPr>
        <w:t xml:space="preserve">Une formation est régulièrement dispensée aux fonctionnaires de police (parfois </w:t>
      </w:r>
      <w:r w:rsidR="004E311C" w:rsidRPr="002359FC">
        <w:rPr>
          <w:lang w:val="fr-FR"/>
        </w:rPr>
        <w:t>aussi</w:t>
      </w:r>
      <w:r w:rsidR="007277EF" w:rsidRPr="002359FC">
        <w:rPr>
          <w:lang w:val="fr-FR"/>
        </w:rPr>
        <w:t xml:space="preserve"> aux fonctionnaires du Service de contrôle des frontières de Guernesey) dans les domaines suivants</w:t>
      </w:r>
      <w:r w:rsidR="00FC2B97" w:rsidRPr="002359FC">
        <w:rPr>
          <w:lang w:val="fr-FR"/>
        </w:rPr>
        <w:t>:</w:t>
      </w:r>
    </w:p>
    <w:p w:rsidR="0042073D" w:rsidRPr="005D70AB" w:rsidRDefault="007277EF" w:rsidP="00BC0033">
      <w:pPr>
        <w:pStyle w:val="Bullet1G"/>
      </w:pPr>
      <w:r w:rsidRPr="005D70AB">
        <w:t xml:space="preserve">Les fonctions des </w:t>
      </w:r>
      <w:r w:rsidR="004E311C">
        <w:t>fonctionnaires</w:t>
      </w:r>
      <w:r w:rsidRPr="005D70AB">
        <w:t xml:space="preserve"> de police responsables des gardes à vue </w:t>
      </w:r>
      <w:r w:rsidR="0042073D" w:rsidRPr="005D70AB">
        <w:t>(</w:t>
      </w:r>
      <w:r w:rsidRPr="005D70AB">
        <w:t>tous ceux qui agissent ou sont susceptibles d’agir en qualité de responsables des gardes à vue</w:t>
      </w:r>
      <w:r w:rsidR="0042073D" w:rsidRPr="005D70AB">
        <w:t>)</w:t>
      </w:r>
      <w:r w:rsidRPr="005D70AB">
        <w:t>,</w:t>
      </w:r>
    </w:p>
    <w:p w:rsidR="0042073D" w:rsidRPr="005D70AB" w:rsidRDefault="005D70AB" w:rsidP="00BC0033">
      <w:pPr>
        <w:pStyle w:val="Bullet1G"/>
      </w:pPr>
      <w:r w:rsidRPr="005D70AB">
        <w:t>La sécurité des fonctionnaires de police</w:t>
      </w:r>
      <w:r w:rsidR="0042073D" w:rsidRPr="005D70AB">
        <w:t xml:space="preserve"> (</w:t>
      </w:r>
      <w:r w:rsidRPr="005D70AB">
        <w:t>recours à la</w:t>
      </w:r>
      <w:r w:rsidR="0042073D" w:rsidRPr="005D70AB">
        <w:t xml:space="preserve"> force)</w:t>
      </w:r>
      <w:r>
        <w:t>,</w:t>
      </w:r>
    </w:p>
    <w:p w:rsidR="0042073D" w:rsidRPr="005D70AB" w:rsidRDefault="005D70AB" w:rsidP="00BC0033">
      <w:pPr>
        <w:pStyle w:val="Bullet1G"/>
      </w:pPr>
      <w:r w:rsidRPr="005D70AB">
        <w:t>L’emploi des armes à feu</w:t>
      </w:r>
      <w:r>
        <w:t>,</w:t>
      </w:r>
    </w:p>
    <w:p w:rsidR="0042073D" w:rsidRPr="005D70AB" w:rsidRDefault="005D70AB" w:rsidP="00BC0033">
      <w:pPr>
        <w:pStyle w:val="Bullet1G"/>
      </w:pPr>
      <w:r>
        <w:t xml:space="preserve">Les </w:t>
      </w:r>
      <w:r w:rsidRPr="005D70AB">
        <w:t xml:space="preserve">options </w:t>
      </w:r>
      <w:r>
        <w:t>à létalité réduite</w:t>
      </w:r>
      <w:r w:rsidR="0042073D" w:rsidRPr="005D70AB">
        <w:t xml:space="preserve"> (</w:t>
      </w:r>
      <w:r w:rsidR="007477E0">
        <w:t>formation à l’emploi du</w:t>
      </w:r>
      <w:r>
        <w:t xml:space="preserve"> </w:t>
      </w:r>
      <w:r w:rsidR="0042073D" w:rsidRPr="005D70AB">
        <w:t>Taser</w:t>
      </w:r>
      <w:r w:rsidR="007477E0">
        <w:t xml:space="preserve"> pour des </w:t>
      </w:r>
      <w:r>
        <w:t>fonctionnaires de police sélectionnés au sein de la Division des armes à feu</w:t>
      </w:r>
      <w:r w:rsidR="0042073D" w:rsidRPr="005D70AB">
        <w:t>)</w:t>
      </w:r>
      <w:r>
        <w:t>,</w:t>
      </w:r>
    </w:p>
    <w:p w:rsidR="0042073D" w:rsidRPr="005D70AB" w:rsidRDefault="005D70AB" w:rsidP="00BC0033">
      <w:pPr>
        <w:pStyle w:val="Bullet1G"/>
      </w:pPr>
      <w:r w:rsidRPr="005D70AB">
        <w:t xml:space="preserve">Programme </w:t>
      </w:r>
      <w:r w:rsidR="00F41807">
        <w:t xml:space="preserve">de formation et de perfectionnement de la police de l’île </w:t>
      </w:r>
      <w:r w:rsidR="0042073D" w:rsidRPr="005D70AB">
        <w:t xml:space="preserve">(principes </w:t>
      </w:r>
      <w:r w:rsidR="00F41807">
        <w:t>des droits de l’homme et législation sur les pouvoirs de la police et les preuves pénales</w:t>
      </w:r>
      <w:r w:rsidR="0042073D" w:rsidRPr="005D70AB">
        <w:t>).</w:t>
      </w:r>
    </w:p>
    <w:p w:rsidR="000B562B" w:rsidRPr="00A176EA" w:rsidRDefault="002549A9" w:rsidP="00F41807">
      <w:pPr>
        <w:pStyle w:val="SingleTxtG"/>
        <w:rPr>
          <w:lang w:val="fr-FR"/>
        </w:rPr>
      </w:pPr>
      <w:r w:rsidRPr="00A176EA">
        <w:rPr>
          <w:lang w:val="fr-FR"/>
        </w:rPr>
        <w:t>58.</w:t>
      </w:r>
      <w:r w:rsidRPr="00A176EA">
        <w:rPr>
          <w:lang w:val="fr-FR"/>
        </w:rPr>
        <w:tab/>
      </w:r>
      <w:r w:rsidR="00F41807">
        <w:rPr>
          <w:lang w:val="fr-FR"/>
        </w:rPr>
        <w:t>L’ensemble de cette formation inclut les principes du traitement humain, conformément à la loi de 2000 sur les droits de l’homme (Bailliage de Guernesey), à la loi de 2003 sur les pouvoirs de la police et les preuves pénales (Bailliage de Guernesey</w:t>
      </w:r>
      <w:r w:rsidR="007477E0">
        <w:rPr>
          <w:lang w:val="fr-FR"/>
        </w:rPr>
        <w:t>) et</w:t>
      </w:r>
      <w:r w:rsidR="00F41807">
        <w:rPr>
          <w:lang w:val="fr-FR"/>
        </w:rPr>
        <w:t xml:space="preserve"> aux Codes de bonnes pratiques </w:t>
      </w:r>
      <w:r w:rsidR="007477E0">
        <w:rPr>
          <w:lang w:val="fr-FR"/>
        </w:rPr>
        <w:t>annexés à</w:t>
      </w:r>
      <w:r w:rsidR="00F41807">
        <w:rPr>
          <w:lang w:val="fr-FR"/>
        </w:rPr>
        <w:t xml:space="preserve"> cette dernière</w:t>
      </w:r>
      <w:r w:rsidR="000B562B" w:rsidRPr="00A176EA">
        <w:rPr>
          <w:lang w:val="fr-FR"/>
        </w:rPr>
        <w:t>.</w:t>
      </w:r>
    </w:p>
    <w:p w:rsidR="000B562B" w:rsidRPr="00A176EA" w:rsidRDefault="002549A9" w:rsidP="007C0E73">
      <w:pPr>
        <w:pStyle w:val="SingleTxtG"/>
        <w:rPr>
          <w:lang w:val="fr-FR"/>
        </w:rPr>
      </w:pPr>
      <w:r w:rsidRPr="00A176EA">
        <w:rPr>
          <w:lang w:val="fr-FR"/>
        </w:rPr>
        <w:t>59.</w:t>
      </w:r>
      <w:r w:rsidRPr="00A176EA">
        <w:rPr>
          <w:lang w:val="fr-FR"/>
        </w:rPr>
        <w:tab/>
      </w:r>
      <w:r w:rsidR="00F41807">
        <w:rPr>
          <w:lang w:val="fr-FR"/>
        </w:rPr>
        <w:t xml:space="preserve">La formation est dispensée, essentiellement au niveau local, par des fonctionnaires de police </w:t>
      </w:r>
      <w:r w:rsidR="0045433B">
        <w:rPr>
          <w:lang w:val="fr-FR"/>
        </w:rPr>
        <w:t>qualifiés</w:t>
      </w:r>
      <w:r w:rsidR="00F41807">
        <w:rPr>
          <w:lang w:val="fr-FR"/>
        </w:rPr>
        <w:t xml:space="preserve">. </w:t>
      </w:r>
      <w:r w:rsidR="007C0E73">
        <w:rPr>
          <w:lang w:val="fr-FR"/>
        </w:rPr>
        <w:t>Pour les formations plus spécialisées, les fonctionnaires doivent se rendre sur le territoire du Royaume-Uni et ailleurs</w:t>
      </w:r>
      <w:r w:rsidR="000B562B" w:rsidRPr="00A176EA">
        <w:rPr>
          <w:lang w:val="fr-FR"/>
        </w:rPr>
        <w:t>.</w:t>
      </w:r>
    </w:p>
    <w:p w:rsidR="000B562B" w:rsidRPr="00A176EA" w:rsidRDefault="002549A9" w:rsidP="004C051B">
      <w:pPr>
        <w:pStyle w:val="SingleTxtG"/>
        <w:rPr>
          <w:lang w:val="fr-FR"/>
        </w:rPr>
      </w:pPr>
      <w:r w:rsidRPr="00A176EA">
        <w:rPr>
          <w:lang w:val="fr-FR"/>
        </w:rPr>
        <w:t>60.</w:t>
      </w:r>
      <w:r w:rsidRPr="00A176EA">
        <w:rPr>
          <w:lang w:val="fr-FR"/>
        </w:rPr>
        <w:tab/>
      </w:r>
      <w:r w:rsidR="007C0E73">
        <w:rPr>
          <w:lang w:val="fr-FR"/>
        </w:rPr>
        <w:t>Tous les fonctionnaires de police du</w:t>
      </w:r>
      <w:r w:rsidR="000B562B" w:rsidRPr="00A176EA">
        <w:rPr>
          <w:lang w:val="fr-FR"/>
        </w:rPr>
        <w:t xml:space="preserve"> </w:t>
      </w:r>
      <w:r w:rsidR="005B3E8D" w:rsidRPr="007C0E73">
        <w:rPr>
          <w:lang w:val="fr-FR"/>
        </w:rPr>
        <w:t>bailliage</w:t>
      </w:r>
      <w:r w:rsidR="000B562B" w:rsidRPr="00A176EA">
        <w:rPr>
          <w:lang w:val="fr-FR"/>
        </w:rPr>
        <w:t xml:space="preserve"> </w:t>
      </w:r>
      <w:r w:rsidR="007C0E73">
        <w:rPr>
          <w:lang w:val="fr-FR"/>
        </w:rPr>
        <w:t xml:space="preserve">sont formés </w:t>
      </w:r>
      <w:r w:rsidR="00621202">
        <w:rPr>
          <w:lang w:val="fr-FR"/>
        </w:rPr>
        <w:t xml:space="preserve">à la loi de 2003 sur les pouvoirs de la police et les preuves pénales, </w:t>
      </w:r>
      <w:r w:rsidR="0045433B">
        <w:rPr>
          <w:lang w:val="fr-FR"/>
        </w:rPr>
        <w:t>qui figure également</w:t>
      </w:r>
      <w:r w:rsidR="00621202">
        <w:rPr>
          <w:lang w:val="fr-FR"/>
        </w:rPr>
        <w:t xml:space="preserve"> dans d’autres volets de </w:t>
      </w:r>
      <w:r w:rsidR="0045433B">
        <w:rPr>
          <w:lang w:val="fr-FR"/>
        </w:rPr>
        <w:t>la</w:t>
      </w:r>
      <w:r w:rsidR="00621202">
        <w:rPr>
          <w:lang w:val="fr-FR"/>
        </w:rPr>
        <w:t xml:space="preserve"> formation</w:t>
      </w:r>
      <w:r w:rsidR="000B562B" w:rsidRPr="00A176EA">
        <w:rPr>
          <w:lang w:val="fr-FR"/>
        </w:rPr>
        <w:t>.</w:t>
      </w:r>
    </w:p>
    <w:p w:rsidR="000B562B" w:rsidRPr="00A176EA" w:rsidRDefault="006A0623" w:rsidP="00DC1857">
      <w:pPr>
        <w:pStyle w:val="H23G"/>
        <w:rPr>
          <w:lang w:val="fr-FR"/>
        </w:rPr>
      </w:pPr>
      <w:r w:rsidRPr="00621202">
        <w:rPr>
          <w:lang w:val="fr-FR"/>
        </w:rPr>
        <w:t>Service de contrôle des frontières de Guernesey</w:t>
      </w:r>
    </w:p>
    <w:p w:rsidR="000B562B" w:rsidRPr="00A176EA" w:rsidRDefault="002549A9" w:rsidP="004C051B">
      <w:pPr>
        <w:pStyle w:val="SingleTxtG"/>
        <w:rPr>
          <w:lang w:val="fr-FR"/>
        </w:rPr>
      </w:pPr>
      <w:r w:rsidRPr="00A176EA">
        <w:rPr>
          <w:lang w:val="fr-FR"/>
        </w:rPr>
        <w:t>61.</w:t>
      </w:r>
      <w:r w:rsidRPr="00A176EA">
        <w:rPr>
          <w:lang w:val="fr-FR"/>
        </w:rPr>
        <w:tab/>
      </w:r>
      <w:r w:rsidR="00FB526D">
        <w:rPr>
          <w:lang w:val="fr-FR"/>
        </w:rPr>
        <w:t xml:space="preserve">La formation de l’ensemble du personnel du </w:t>
      </w:r>
      <w:r w:rsidR="006A0623" w:rsidRPr="00B116B3">
        <w:rPr>
          <w:lang w:val="fr-FR"/>
        </w:rPr>
        <w:t xml:space="preserve">Service de contrôle des frontières de Guernesey </w:t>
      </w:r>
      <w:r w:rsidR="00FB526D" w:rsidRPr="00B116B3">
        <w:rPr>
          <w:lang w:val="fr-FR"/>
        </w:rPr>
        <w:t>est assurée par des organismes de formatio</w:t>
      </w:r>
      <w:r w:rsidR="00FB526D">
        <w:rPr>
          <w:lang w:val="fr-FR"/>
        </w:rPr>
        <w:t xml:space="preserve">n agréés, tant à Guernesey qu’au Royaume-Uni. Les normes et le niveau de formation sont comparables à ceux des fonctionnaires occupant les mêmes fonctions au Royaume-Uni. Toute formation </w:t>
      </w:r>
      <w:r w:rsidR="00B116B3">
        <w:rPr>
          <w:lang w:val="fr-FR"/>
        </w:rPr>
        <w:t xml:space="preserve">comprend le respect de la Convention européenne des droits de l’homme. Le personnel chargé de la surveillance des détenus est tenu de suivre une formation </w:t>
      </w:r>
      <w:r w:rsidR="00EA083A">
        <w:rPr>
          <w:lang w:val="fr-FR"/>
        </w:rPr>
        <w:t>spécifique reconnue et ne peut exercer ces fonctions tant qu’il n’a pas atteint les normes de compétence requises</w:t>
      </w:r>
      <w:r w:rsidR="000B562B" w:rsidRPr="00A176EA">
        <w:rPr>
          <w:lang w:val="fr-FR"/>
        </w:rPr>
        <w:t>.</w:t>
      </w:r>
    </w:p>
    <w:p w:rsidR="000B562B" w:rsidRPr="00A176EA" w:rsidRDefault="002549A9" w:rsidP="004C051B">
      <w:pPr>
        <w:pStyle w:val="SingleTxtG"/>
        <w:rPr>
          <w:lang w:val="fr-FR"/>
        </w:rPr>
      </w:pPr>
      <w:r w:rsidRPr="00A176EA">
        <w:rPr>
          <w:lang w:val="fr-FR"/>
        </w:rPr>
        <w:t>62.</w:t>
      </w:r>
      <w:r w:rsidRPr="00A176EA">
        <w:rPr>
          <w:lang w:val="fr-FR"/>
        </w:rPr>
        <w:tab/>
      </w:r>
      <w:r w:rsidR="00621202" w:rsidRPr="00EA083A">
        <w:rPr>
          <w:lang w:val="fr-FR"/>
        </w:rPr>
        <w:t>La loi sur les pouvoirs de la police et les preuves pénales est entrée en vigueur en 2004 et toutes les actions menées au titre de cette loi sont régies par les Codes de bonnes pratiques qui l’accompagnent</w:t>
      </w:r>
      <w:r w:rsidR="000B562B" w:rsidRPr="00EA083A">
        <w:rPr>
          <w:lang w:val="fr-FR"/>
        </w:rPr>
        <w:t xml:space="preserve">. </w:t>
      </w:r>
      <w:r w:rsidR="00621202" w:rsidRPr="00EA083A">
        <w:rPr>
          <w:lang w:val="fr-FR"/>
        </w:rPr>
        <w:t>L</w:t>
      </w:r>
      <w:r w:rsidR="000B562B" w:rsidRPr="00EA083A">
        <w:rPr>
          <w:lang w:val="fr-FR"/>
        </w:rPr>
        <w:t xml:space="preserve">e </w:t>
      </w:r>
      <w:r w:rsidR="006A0623" w:rsidRPr="00EA083A">
        <w:rPr>
          <w:lang w:val="fr-FR"/>
        </w:rPr>
        <w:t xml:space="preserve">Service de contrôle des frontières </w:t>
      </w:r>
      <w:r w:rsidR="00EA083A">
        <w:rPr>
          <w:lang w:val="fr-FR"/>
        </w:rPr>
        <w:t xml:space="preserve">fonde sa pratique sur les lois et les </w:t>
      </w:r>
      <w:r w:rsidR="0045433B">
        <w:rPr>
          <w:lang w:val="fr-FR"/>
        </w:rPr>
        <w:t>C</w:t>
      </w:r>
      <w:r w:rsidR="00EA083A">
        <w:rPr>
          <w:lang w:val="fr-FR"/>
        </w:rPr>
        <w:t>odes de bonnes pratiques</w:t>
      </w:r>
      <w:r w:rsidR="0045433B">
        <w:rPr>
          <w:lang w:val="fr-FR"/>
        </w:rPr>
        <w:t>,</w:t>
      </w:r>
      <w:r w:rsidR="00EA083A">
        <w:rPr>
          <w:lang w:val="fr-FR"/>
        </w:rPr>
        <w:t xml:space="preserve"> et </w:t>
      </w:r>
      <w:r w:rsidR="0045433B">
        <w:rPr>
          <w:lang w:val="fr-FR"/>
        </w:rPr>
        <w:t>le personnel est formé</w:t>
      </w:r>
      <w:r w:rsidR="00EA083A">
        <w:rPr>
          <w:lang w:val="fr-FR"/>
        </w:rPr>
        <w:t xml:space="preserve"> en conséquence</w:t>
      </w:r>
      <w:r w:rsidR="000B562B" w:rsidRPr="00A176EA">
        <w:rPr>
          <w:lang w:val="fr-FR"/>
        </w:rPr>
        <w:t>.</w:t>
      </w:r>
    </w:p>
    <w:p w:rsidR="000B562B" w:rsidRPr="00A176EA" w:rsidRDefault="000B562B" w:rsidP="00DC1857">
      <w:pPr>
        <w:pStyle w:val="H23G"/>
        <w:rPr>
          <w:lang w:val="fr-FR"/>
        </w:rPr>
      </w:pPr>
      <w:r w:rsidRPr="00EA083A">
        <w:rPr>
          <w:lang w:val="fr-FR"/>
        </w:rPr>
        <w:t>Jersey</w:t>
      </w:r>
    </w:p>
    <w:p w:rsidR="000B562B" w:rsidRPr="00A176EA" w:rsidRDefault="002549A9" w:rsidP="004C051B">
      <w:pPr>
        <w:pStyle w:val="SingleTxtG"/>
        <w:rPr>
          <w:lang w:val="fr-FR"/>
        </w:rPr>
      </w:pPr>
      <w:r w:rsidRPr="00A176EA">
        <w:rPr>
          <w:lang w:val="fr-FR"/>
        </w:rPr>
        <w:t>63.</w:t>
      </w:r>
      <w:r w:rsidRPr="00A176EA">
        <w:rPr>
          <w:lang w:val="fr-FR"/>
        </w:rPr>
        <w:tab/>
      </w:r>
      <w:r w:rsidR="00EA083A">
        <w:rPr>
          <w:lang w:val="fr-FR"/>
        </w:rPr>
        <w:t xml:space="preserve">Au sein de </w:t>
      </w:r>
      <w:r w:rsidR="00EA083A" w:rsidRPr="00EA083A">
        <w:rPr>
          <w:lang w:val="fr-FR"/>
        </w:rPr>
        <w:t>l’</w:t>
      </w:r>
      <w:r w:rsidR="008E4932" w:rsidRPr="00EA083A">
        <w:rPr>
          <w:lang w:val="fr-FR"/>
        </w:rPr>
        <w:t>Administration pénitentiaire</w:t>
      </w:r>
      <w:r w:rsidR="00EA083A">
        <w:rPr>
          <w:lang w:val="fr-FR"/>
        </w:rPr>
        <w:t xml:space="preserve"> de</w:t>
      </w:r>
      <w:r w:rsidR="000B562B" w:rsidRPr="00A176EA">
        <w:rPr>
          <w:lang w:val="fr-FR"/>
        </w:rPr>
        <w:t xml:space="preserve"> </w:t>
      </w:r>
      <w:r w:rsidR="00EA083A" w:rsidRPr="00A176EA">
        <w:rPr>
          <w:lang w:val="fr-FR"/>
        </w:rPr>
        <w:t>Jersey</w:t>
      </w:r>
      <w:r w:rsidR="00EA083A">
        <w:rPr>
          <w:lang w:val="fr-FR"/>
        </w:rPr>
        <w:t xml:space="preserve">, le traitement approprié et humain des détenus occupe une place éminente dans différents modules de formation destinés </w:t>
      </w:r>
      <w:r w:rsidR="0045433B">
        <w:rPr>
          <w:lang w:val="fr-FR"/>
        </w:rPr>
        <w:t>à des</w:t>
      </w:r>
      <w:r w:rsidR="00EA083A">
        <w:rPr>
          <w:lang w:val="fr-FR"/>
        </w:rPr>
        <w:t xml:space="preserve"> personnel</w:t>
      </w:r>
      <w:r w:rsidR="0045433B">
        <w:rPr>
          <w:lang w:val="fr-FR"/>
        </w:rPr>
        <w:t>s</w:t>
      </w:r>
      <w:r w:rsidR="00EA083A">
        <w:rPr>
          <w:lang w:val="fr-FR"/>
        </w:rPr>
        <w:t xml:space="preserve"> de grades et de disciplines divers. </w:t>
      </w:r>
      <w:r w:rsidR="0045433B">
        <w:rPr>
          <w:lang w:val="fr-FR"/>
        </w:rPr>
        <w:t>Ce sont, e</w:t>
      </w:r>
      <w:r w:rsidR="00EA083A">
        <w:rPr>
          <w:lang w:val="fr-FR"/>
        </w:rPr>
        <w:t>n particulier, les sessions consacrées à la gestion des conflits, aux techniques de neutralisation et de contrainte</w:t>
      </w:r>
      <w:r w:rsidR="0045433B">
        <w:rPr>
          <w:lang w:val="fr-FR"/>
        </w:rPr>
        <w:t xml:space="preserve"> physique</w:t>
      </w:r>
      <w:r w:rsidR="00EA083A">
        <w:rPr>
          <w:lang w:val="fr-FR"/>
        </w:rPr>
        <w:t xml:space="preserve">, aux qualités interpersonnelles et </w:t>
      </w:r>
      <w:r w:rsidR="00072A5B">
        <w:rPr>
          <w:lang w:val="fr-FR"/>
        </w:rPr>
        <w:t>aux moyens permettant d’apaiser la violence</w:t>
      </w:r>
      <w:r w:rsidR="000B562B" w:rsidRPr="00A176EA">
        <w:rPr>
          <w:lang w:val="fr-FR"/>
        </w:rPr>
        <w:t>.</w:t>
      </w:r>
    </w:p>
    <w:p w:rsidR="000B562B" w:rsidRPr="00A176EA" w:rsidRDefault="002549A9" w:rsidP="005E2498">
      <w:pPr>
        <w:pStyle w:val="SingleTxtG"/>
        <w:rPr>
          <w:lang w:val="fr-FR"/>
        </w:rPr>
      </w:pPr>
      <w:r w:rsidRPr="00A176EA">
        <w:rPr>
          <w:lang w:val="fr-FR"/>
        </w:rPr>
        <w:t>64.</w:t>
      </w:r>
      <w:r w:rsidRPr="00A176EA">
        <w:rPr>
          <w:lang w:val="fr-FR"/>
        </w:rPr>
        <w:tab/>
      </w:r>
      <w:r w:rsidR="00072A5B">
        <w:rPr>
          <w:lang w:val="fr-FR"/>
        </w:rPr>
        <w:t xml:space="preserve">Les nouvelles recrues du Service des douanes et de l’immigration de Jersey sont formées par des formateurs </w:t>
      </w:r>
      <w:r w:rsidR="005E2498">
        <w:rPr>
          <w:lang w:val="fr-FR"/>
        </w:rPr>
        <w:t xml:space="preserve">de l’Administration fiscale et douanière de Sa Majesté et du </w:t>
      </w:r>
      <w:r w:rsidR="006A0623" w:rsidRPr="005E2498">
        <w:rPr>
          <w:lang w:val="fr-FR"/>
        </w:rPr>
        <w:t>Service de contrôle des frontières du Royaume-Uni</w:t>
      </w:r>
      <w:r w:rsidR="005E2498" w:rsidRPr="005E2498">
        <w:rPr>
          <w:lang w:val="fr-FR"/>
        </w:rPr>
        <w:t xml:space="preserve"> titulaires</w:t>
      </w:r>
      <w:r w:rsidR="005E2498">
        <w:rPr>
          <w:lang w:val="fr-FR"/>
        </w:rPr>
        <w:t xml:space="preserve"> d’une accréditation nationale</w:t>
      </w:r>
      <w:r w:rsidR="000B562B" w:rsidRPr="00A176EA">
        <w:rPr>
          <w:lang w:val="fr-FR"/>
        </w:rPr>
        <w:t xml:space="preserve">. </w:t>
      </w:r>
      <w:r w:rsidR="005E2498">
        <w:rPr>
          <w:lang w:val="fr-FR"/>
        </w:rPr>
        <w:t>Cette formation porte notamment sur les techniques d’audition, les méthodes de travail sûres et professionnelles, et la connaissance de la législation relative aux droits de l’homme</w:t>
      </w:r>
      <w:r w:rsidR="000B562B" w:rsidRPr="00A176EA">
        <w:rPr>
          <w:lang w:val="fr-FR"/>
        </w:rPr>
        <w:t>.</w:t>
      </w:r>
    </w:p>
    <w:p w:rsidR="000B562B" w:rsidRPr="00A176EA" w:rsidRDefault="002549A9" w:rsidP="004C051B">
      <w:pPr>
        <w:pStyle w:val="SingleTxtG"/>
        <w:rPr>
          <w:lang w:val="fr-FR"/>
        </w:rPr>
      </w:pPr>
      <w:r w:rsidRPr="00A176EA">
        <w:rPr>
          <w:lang w:val="fr-FR"/>
        </w:rPr>
        <w:t>65.</w:t>
      </w:r>
      <w:r w:rsidRPr="00A176EA">
        <w:rPr>
          <w:lang w:val="fr-FR"/>
        </w:rPr>
        <w:tab/>
      </w:r>
      <w:r w:rsidR="005E2498">
        <w:rPr>
          <w:lang w:val="fr-FR"/>
        </w:rPr>
        <w:t xml:space="preserve">Jersey ne disposant d’aucun centre de rétention, les </w:t>
      </w:r>
      <w:r w:rsidR="0045433B">
        <w:rPr>
          <w:lang w:val="fr-FR"/>
        </w:rPr>
        <w:t>immigrants</w:t>
      </w:r>
      <w:r w:rsidR="005E2498">
        <w:rPr>
          <w:lang w:val="fr-FR"/>
        </w:rPr>
        <w:t xml:space="preserve"> retenus depuis plus de 24 heures sont transféré</w:t>
      </w:r>
      <w:r w:rsidR="003930E7">
        <w:rPr>
          <w:lang w:val="fr-FR"/>
        </w:rPr>
        <w:t>e</w:t>
      </w:r>
      <w:r w:rsidR="005E2498">
        <w:rPr>
          <w:lang w:val="fr-FR"/>
        </w:rPr>
        <w:t xml:space="preserve">s au centre pénitentiaire de La Moye jusqu’à leur libération. Pendant leur séjour dans ce centre, </w:t>
      </w:r>
      <w:r w:rsidR="009A6DC0">
        <w:rPr>
          <w:lang w:val="fr-FR"/>
        </w:rPr>
        <w:t>ils</w:t>
      </w:r>
      <w:r w:rsidR="00641E29">
        <w:rPr>
          <w:lang w:val="fr-FR"/>
        </w:rPr>
        <w:t xml:space="preserve"> sont pris en charge et surveillés par le personnel pénitentiaire</w:t>
      </w:r>
      <w:r w:rsidR="000B562B" w:rsidRPr="00A176EA">
        <w:rPr>
          <w:lang w:val="fr-FR"/>
        </w:rPr>
        <w:t>.</w:t>
      </w:r>
    </w:p>
    <w:p w:rsidR="000B562B" w:rsidRPr="00A176EA" w:rsidRDefault="002549A9" w:rsidP="004C051B">
      <w:pPr>
        <w:pStyle w:val="SingleTxtG"/>
        <w:rPr>
          <w:lang w:val="fr-FR"/>
        </w:rPr>
      </w:pPr>
      <w:r w:rsidRPr="00A176EA">
        <w:rPr>
          <w:lang w:val="fr-FR"/>
        </w:rPr>
        <w:t>66.</w:t>
      </w:r>
      <w:r w:rsidRPr="00A176EA">
        <w:rPr>
          <w:lang w:val="fr-FR"/>
        </w:rPr>
        <w:tab/>
      </w:r>
      <w:r w:rsidR="007D1E76">
        <w:rPr>
          <w:lang w:val="fr-FR"/>
        </w:rPr>
        <w:t xml:space="preserve">Tout fonctionnaire de la </w:t>
      </w:r>
      <w:r w:rsidR="006C3CFE">
        <w:rPr>
          <w:lang w:val="fr-FR"/>
        </w:rPr>
        <w:t>P</w:t>
      </w:r>
      <w:r w:rsidR="007D1E76">
        <w:rPr>
          <w:lang w:val="fr-FR"/>
        </w:rPr>
        <w:t xml:space="preserve">olice honoraire reçoit une brochure de formation complète sur l’application des droits de l’homme par les fonctionnaires de police et </w:t>
      </w:r>
      <w:r w:rsidR="002E625B">
        <w:rPr>
          <w:lang w:val="fr-FR"/>
        </w:rPr>
        <w:t>le personnel d’appui. Cela inclut des informations sur l’interdiction de la torture, des recommandations sur le respect des Codes de bonnes pratiques accompagnant la loi de 2003 sur les procédures policières et les preuves pénales (Jersey), et des conseils sur la prévention des techniques d’audition illégales</w:t>
      </w:r>
      <w:r w:rsidR="000B562B" w:rsidRPr="00A176EA">
        <w:rPr>
          <w:lang w:val="fr-FR"/>
        </w:rPr>
        <w:t>.</w:t>
      </w:r>
    </w:p>
    <w:p w:rsidR="000B562B" w:rsidRPr="00A176EA" w:rsidRDefault="002E625B" w:rsidP="004C051B">
      <w:pPr>
        <w:pStyle w:val="H23G"/>
        <w:rPr>
          <w:lang w:val="fr-FR"/>
        </w:rPr>
      </w:pPr>
      <w:r>
        <w:rPr>
          <w:lang w:val="fr-FR"/>
        </w:rPr>
        <w:t>Île de</w:t>
      </w:r>
      <w:r w:rsidR="000B562B" w:rsidRPr="00A176EA">
        <w:rPr>
          <w:lang w:val="fr-FR"/>
        </w:rPr>
        <w:t xml:space="preserve"> Man</w:t>
      </w:r>
    </w:p>
    <w:p w:rsidR="000B562B" w:rsidRPr="00A176EA" w:rsidRDefault="002549A9" w:rsidP="004C051B">
      <w:pPr>
        <w:pStyle w:val="SingleTxtG"/>
        <w:rPr>
          <w:lang w:val="fr-FR"/>
        </w:rPr>
      </w:pPr>
      <w:r w:rsidRPr="00A176EA">
        <w:rPr>
          <w:lang w:val="fr-FR"/>
        </w:rPr>
        <w:t>67.</w:t>
      </w:r>
      <w:r w:rsidRPr="00A176EA">
        <w:rPr>
          <w:lang w:val="fr-FR"/>
        </w:rPr>
        <w:tab/>
      </w:r>
      <w:r w:rsidR="002E625B">
        <w:rPr>
          <w:lang w:val="fr-FR"/>
        </w:rPr>
        <w:t>Les Services de police et l’Administration pénitentiaire de l’île de Man ont reçu une formation relative aux dispositions de la loi de 2001 sur les droits de l’homme et actualisent leurs connaissances à mesure de l’évolution de la formation et des bonnes pratiques au Royaume-Uni en général</w:t>
      </w:r>
      <w:r w:rsidR="000B562B" w:rsidRPr="00A176EA">
        <w:rPr>
          <w:lang w:val="fr-FR"/>
        </w:rPr>
        <w:t>.</w:t>
      </w:r>
    </w:p>
    <w:p w:rsidR="000B562B" w:rsidRPr="002E625B" w:rsidRDefault="004273C0" w:rsidP="001C135E">
      <w:pPr>
        <w:pStyle w:val="H1G"/>
      </w:pPr>
      <w:bookmarkStart w:id="89" w:name="_Toc299724780"/>
      <w:r>
        <w:tab/>
      </w:r>
      <w:r>
        <w:tab/>
      </w:r>
      <w:r w:rsidR="000B562B" w:rsidRPr="002E625B">
        <w:t>Article 11</w:t>
      </w:r>
      <w:bookmarkEnd w:id="89"/>
    </w:p>
    <w:p w:rsidR="000B562B" w:rsidRPr="002E625B" w:rsidRDefault="000B562B" w:rsidP="004C051B">
      <w:pPr>
        <w:pStyle w:val="H23G"/>
        <w:rPr>
          <w:lang w:val="fr-FR"/>
        </w:rPr>
      </w:pPr>
      <w:r w:rsidRPr="002E625B">
        <w:rPr>
          <w:lang w:val="fr-FR"/>
        </w:rPr>
        <w:t>Guern</w:t>
      </w:r>
      <w:r w:rsidR="006A0623" w:rsidRPr="002E625B">
        <w:rPr>
          <w:lang w:val="fr-FR"/>
        </w:rPr>
        <w:t>e</w:t>
      </w:r>
      <w:r w:rsidRPr="002E625B">
        <w:rPr>
          <w:lang w:val="fr-FR"/>
        </w:rPr>
        <w:t>sey</w:t>
      </w:r>
    </w:p>
    <w:p w:rsidR="000B562B" w:rsidRPr="00A176EA" w:rsidRDefault="002232D2" w:rsidP="004C051B">
      <w:pPr>
        <w:pStyle w:val="H23G"/>
        <w:rPr>
          <w:lang w:val="fr-FR"/>
        </w:rPr>
      </w:pPr>
      <w:r w:rsidRPr="002E625B">
        <w:rPr>
          <w:lang w:val="fr-FR"/>
        </w:rPr>
        <w:t>Droit de garder le</w:t>
      </w:r>
      <w:r w:rsidR="000B562B" w:rsidRPr="002E625B">
        <w:rPr>
          <w:lang w:val="fr-FR"/>
        </w:rPr>
        <w:t xml:space="preserve"> silence</w:t>
      </w:r>
    </w:p>
    <w:p w:rsidR="000B562B" w:rsidRPr="00A176EA" w:rsidRDefault="002549A9" w:rsidP="004C051B">
      <w:pPr>
        <w:pStyle w:val="SingleTxtG"/>
        <w:rPr>
          <w:lang w:val="fr-FR"/>
        </w:rPr>
      </w:pPr>
      <w:r w:rsidRPr="00A176EA">
        <w:rPr>
          <w:lang w:val="fr-FR"/>
        </w:rPr>
        <w:t>68.</w:t>
      </w:r>
      <w:r w:rsidRPr="00A176EA">
        <w:rPr>
          <w:lang w:val="fr-FR"/>
        </w:rPr>
        <w:tab/>
      </w:r>
      <w:r w:rsidR="002E625B">
        <w:rPr>
          <w:lang w:val="fr-FR"/>
        </w:rPr>
        <w:t>À</w:t>
      </w:r>
      <w:r w:rsidR="002E625B" w:rsidRPr="00A176EA">
        <w:rPr>
          <w:lang w:val="fr-FR"/>
        </w:rPr>
        <w:t xml:space="preserve"> </w:t>
      </w:r>
      <w:r w:rsidR="000B562B" w:rsidRPr="00A176EA">
        <w:rPr>
          <w:lang w:val="fr-FR"/>
        </w:rPr>
        <w:t>Guern</w:t>
      </w:r>
      <w:r w:rsidR="002E625B">
        <w:rPr>
          <w:lang w:val="fr-FR"/>
        </w:rPr>
        <w:t>e</w:t>
      </w:r>
      <w:r w:rsidR="000B562B" w:rsidRPr="00A176EA">
        <w:rPr>
          <w:lang w:val="fr-FR"/>
        </w:rPr>
        <w:t xml:space="preserve">sey, </w:t>
      </w:r>
      <w:r w:rsidR="002E625B">
        <w:rPr>
          <w:lang w:val="fr-FR"/>
        </w:rPr>
        <w:t xml:space="preserve">qu’un conseiller juridique soit présent ou non, </w:t>
      </w:r>
      <w:r w:rsidR="0046532D">
        <w:rPr>
          <w:lang w:val="fr-FR"/>
        </w:rPr>
        <w:t>aucune conclusion défavorable ne peut être tirée du silence</w:t>
      </w:r>
      <w:r w:rsidR="0046532D" w:rsidRPr="0046532D">
        <w:rPr>
          <w:lang w:val="fr-FR"/>
        </w:rPr>
        <w:t xml:space="preserve"> </w:t>
      </w:r>
      <w:r w:rsidR="0046532D">
        <w:rPr>
          <w:lang w:val="fr-FR"/>
        </w:rPr>
        <w:t>d’une personne auditionnée, inculpée, inform</w:t>
      </w:r>
      <w:r w:rsidR="009A6DC0">
        <w:rPr>
          <w:lang w:val="fr-FR"/>
        </w:rPr>
        <w:t>é</w:t>
      </w:r>
      <w:r w:rsidR="0046532D">
        <w:rPr>
          <w:lang w:val="fr-FR"/>
        </w:rPr>
        <w:t xml:space="preserve">e de ses droits ou </w:t>
      </w:r>
      <w:r w:rsidR="009A6DC0">
        <w:rPr>
          <w:lang w:val="fr-FR"/>
        </w:rPr>
        <w:t>témoin</w:t>
      </w:r>
      <w:r w:rsidR="000B562B" w:rsidRPr="00A176EA">
        <w:rPr>
          <w:lang w:val="fr-FR"/>
        </w:rPr>
        <w:t>.</w:t>
      </w:r>
    </w:p>
    <w:p w:rsidR="0046532D" w:rsidRDefault="0046532D" w:rsidP="004C051B">
      <w:pPr>
        <w:pStyle w:val="SingleTxtG"/>
        <w:rPr>
          <w:b/>
          <w:lang w:val="fr-FR" w:eastAsia="fr-CH"/>
        </w:rPr>
      </w:pPr>
      <w:r>
        <w:rPr>
          <w:b/>
          <w:lang w:val="fr-FR" w:eastAsia="fr-CH"/>
        </w:rPr>
        <w:t>M</w:t>
      </w:r>
      <w:r w:rsidRPr="0046532D">
        <w:rPr>
          <w:b/>
          <w:lang w:val="fr-FR" w:eastAsia="fr-CH"/>
        </w:rPr>
        <w:t xml:space="preserve">esures prises pour prévenir la discrimination ethnique </w:t>
      </w:r>
    </w:p>
    <w:p w:rsidR="000B562B" w:rsidRPr="00A176EA" w:rsidRDefault="002549A9" w:rsidP="004C051B">
      <w:pPr>
        <w:pStyle w:val="SingleTxtG"/>
        <w:rPr>
          <w:lang w:val="fr-FR"/>
        </w:rPr>
      </w:pPr>
      <w:r w:rsidRPr="00A176EA">
        <w:rPr>
          <w:lang w:val="fr-FR"/>
        </w:rPr>
        <w:t>69.</w:t>
      </w:r>
      <w:r w:rsidRPr="00A176EA">
        <w:rPr>
          <w:lang w:val="fr-FR"/>
        </w:rPr>
        <w:tab/>
      </w:r>
      <w:r w:rsidR="009A6DC0">
        <w:rPr>
          <w:lang w:val="fr-FR"/>
        </w:rPr>
        <w:t>Bien que</w:t>
      </w:r>
      <w:r w:rsidR="0046532D">
        <w:rPr>
          <w:lang w:val="fr-FR"/>
        </w:rPr>
        <w:t xml:space="preserve"> les autorités insulaires n’</w:t>
      </w:r>
      <w:r w:rsidR="009A6DC0">
        <w:rPr>
          <w:lang w:val="fr-FR"/>
        </w:rPr>
        <w:t>aie</w:t>
      </w:r>
      <w:r w:rsidR="0046532D">
        <w:rPr>
          <w:lang w:val="fr-FR"/>
        </w:rPr>
        <w:t xml:space="preserve">nt pas adopté de législation équivalente à la loi de 1998 sur la </w:t>
      </w:r>
      <w:r w:rsidR="009600F2">
        <w:rPr>
          <w:lang w:val="fr-FR"/>
        </w:rPr>
        <w:t>criminalité et les atteintes à l’ordre public, si une infraction comporte un élément à caractère racial, celui-ci est considéré comme une circonstance aggravante. La loi de 2005 sur la haine raciale (Bailliage de Guernesey) incrimine les actes visant à susciter la haine raciale ou susceptibles de le faire, lesquels sont passibles d’une peine maximale de sept ans de privation de liberté</w:t>
      </w:r>
      <w:r w:rsidR="000B562B" w:rsidRPr="00A176EA">
        <w:rPr>
          <w:lang w:val="fr-FR"/>
        </w:rPr>
        <w:t>.</w:t>
      </w:r>
    </w:p>
    <w:p w:rsidR="000B562B" w:rsidRPr="009600F2" w:rsidRDefault="006A0623" w:rsidP="004C051B">
      <w:pPr>
        <w:pStyle w:val="H23G"/>
        <w:rPr>
          <w:lang w:val="fr-FR"/>
        </w:rPr>
      </w:pPr>
      <w:r w:rsidRPr="009600F2">
        <w:rPr>
          <w:lang w:val="fr-FR"/>
        </w:rPr>
        <w:t>Service de contrôle des frontières de Guernesey</w:t>
      </w:r>
    </w:p>
    <w:p w:rsidR="000B562B" w:rsidRPr="00A176EA" w:rsidRDefault="002549A9" w:rsidP="004C051B">
      <w:pPr>
        <w:pStyle w:val="SingleTxtG"/>
        <w:rPr>
          <w:lang w:val="fr-FR"/>
        </w:rPr>
      </w:pPr>
      <w:r w:rsidRPr="009600F2">
        <w:rPr>
          <w:lang w:val="fr-FR"/>
        </w:rPr>
        <w:t>70.</w:t>
      </w:r>
      <w:r w:rsidRPr="009600F2">
        <w:rPr>
          <w:lang w:val="fr-FR"/>
        </w:rPr>
        <w:tab/>
      </w:r>
      <w:r w:rsidR="002232D2" w:rsidRPr="009600F2">
        <w:rPr>
          <w:lang w:val="fr-FR"/>
        </w:rPr>
        <w:t>L</w:t>
      </w:r>
      <w:r w:rsidR="000B562B" w:rsidRPr="009600F2">
        <w:rPr>
          <w:lang w:val="fr-FR"/>
        </w:rPr>
        <w:t xml:space="preserve">e </w:t>
      </w:r>
      <w:r w:rsidR="006A0623" w:rsidRPr="009600F2">
        <w:rPr>
          <w:lang w:val="fr-FR"/>
        </w:rPr>
        <w:t>Service de contrôle des frontières de Guernesey</w:t>
      </w:r>
      <w:r w:rsidR="006A0623" w:rsidRPr="00A176EA">
        <w:rPr>
          <w:lang w:val="fr-FR"/>
        </w:rPr>
        <w:t xml:space="preserve"> </w:t>
      </w:r>
      <w:r w:rsidR="009600F2">
        <w:rPr>
          <w:lang w:val="fr-FR"/>
        </w:rPr>
        <w:t>n’a reçu aucune plainte pour torture de la part d’une personne en rétention</w:t>
      </w:r>
      <w:r w:rsidR="000B562B" w:rsidRPr="00A176EA">
        <w:rPr>
          <w:lang w:val="fr-FR"/>
        </w:rPr>
        <w:t>.</w:t>
      </w:r>
    </w:p>
    <w:p w:rsidR="000B562B" w:rsidRPr="00A176EA" w:rsidRDefault="002549A9" w:rsidP="004C051B">
      <w:pPr>
        <w:pStyle w:val="SingleTxtG"/>
        <w:rPr>
          <w:lang w:val="fr-FR"/>
        </w:rPr>
      </w:pPr>
      <w:r w:rsidRPr="00A176EA">
        <w:rPr>
          <w:lang w:val="fr-FR"/>
        </w:rPr>
        <w:t>71.</w:t>
      </w:r>
      <w:r w:rsidRPr="00A176EA">
        <w:rPr>
          <w:lang w:val="fr-FR"/>
        </w:rPr>
        <w:tab/>
      </w:r>
      <w:r w:rsidR="002232D2">
        <w:rPr>
          <w:lang w:val="fr-FR"/>
        </w:rPr>
        <w:t>L</w:t>
      </w:r>
      <w:r w:rsidR="000B562B" w:rsidRPr="00A176EA">
        <w:rPr>
          <w:lang w:val="fr-FR"/>
        </w:rPr>
        <w:t xml:space="preserve">e </w:t>
      </w:r>
      <w:r w:rsidR="006A0623" w:rsidRPr="009600F2">
        <w:rPr>
          <w:lang w:val="fr-FR"/>
        </w:rPr>
        <w:t>Service de contrôle des frontières de Guernesey</w:t>
      </w:r>
      <w:r w:rsidR="006A0623" w:rsidRPr="00A176EA">
        <w:rPr>
          <w:lang w:val="fr-FR"/>
        </w:rPr>
        <w:t xml:space="preserve"> </w:t>
      </w:r>
      <w:r w:rsidR="009600F2">
        <w:rPr>
          <w:lang w:val="fr-FR"/>
        </w:rPr>
        <w:t xml:space="preserve">fait partie du programme </w:t>
      </w:r>
      <w:r w:rsidR="009A6DC0">
        <w:rPr>
          <w:lang w:val="fr-FR"/>
        </w:rPr>
        <w:t>d’inspection</w:t>
      </w:r>
      <w:r w:rsidR="009600F2">
        <w:rPr>
          <w:lang w:val="fr-FR"/>
        </w:rPr>
        <w:t xml:space="preserve"> permettant à des personnes désignées d’accéder sans restriction aux locaux de rétention du Service de contrôle des frontières afin de vérifier que les droits des personnes retenues sont respectés</w:t>
      </w:r>
      <w:r w:rsidR="000B562B" w:rsidRPr="00A176EA">
        <w:rPr>
          <w:lang w:val="fr-FR"/>
        </w:rPr>
        <w:t>.</w:t>
      </w:r>
    </w:p>
    <w:p w:rsidR="000B562B" w:rsidRPr="00A176EA" w:rsidRDefault="002549A9" w:rsidP="004C051B">
      <w:pPr>
        <w:pStyle w:val="SingleTxtG"/>
        <w:rPr>
          <w:lang w:val="fr-FR"/>
        </w:rPr>
      </w:pPr>
      <w:r w:rsidRPr="00A176EA">
        <w:rPr>
          <w:lang w:val="fr-FR"/>
        </w:rPr>
        <w:t>72.</w:t>
      </w:r>
      <w:r w:rsidRPr="00A176EA">
        <w:rPr>
          <w:lang w:val="fr-FR"/>
        </w:rPr>
        <w:tab/>
      </w:r>
      <w:r w:rsidR="002232D2">
        <w:rPr>
          <w:lang w:val="fr-FR"/>
        </w:rPr>
        <w:t>L</w:t>
      </w:r>
      <w:r w:rsidR="000B562B" w:rsidRPr="00A176EA">
        <w:rPr>
          <w:lang w:val="fr-FR"/>
        </w:rPr>
        <w:t xml:space="preserve">e </w:t>
      </w:r>
      <w:r w:rsidR="006A0623" w:rsidRPr="001D6408">
        <w:rPr>
          <w:lang w:val="fr-FR"/>
        </w:rPr>
        <w:t xml:space="preserve">Service de contrôle des frontières de Guernesey </w:t>
      </w:r>
      <w:r w:rsidR="0025598E">
        <w:rPr>
          <w:lang w:val="fr-FR"/>
        </w:rPr>
        <w:t xml:space="preserve">est chargé de la détention des personnes retenues en vertu de la loi de 1971 sur l’immigration, conformément à la politique écrite du Service et aux bonnes pratiques inscrites dans le Code de bonnes pratiques </w:t>
      </w:r>
      <w:r w:rsidR="009A6DC0">
        <w:rPr>
          <w:lang w:val="fr-FR"/>
        </w:rPr>
        <w:t>annexé à</w:t>
      </w:r>
      <w:r w:rsidR="0025598E">
        <w:rPr>
          <w:lang w:val="fr-FR"/>
        </w:rPr>
        <w:t xml:space="preserve"> la loi sur les pouvoirs de la police et les preuves pénales</w:t>
      </w:r>
      <w:r w:rsidR="000B562B" w:rsidRPr="00A176EA">
        <w:rPr>
          <w:lang w:val="fr-FR"/>
        </w:rPr>
        <w:t>.</w:t>
      </w:r>
    </w:p>
    <w:p w:rsidR="000B562B" w:rsidRPr="00A176EA" w:rsidRDefault="008E4932" w:rsidP="004C051B">
      <w:pPr>
        <w:pStyle w:val="H23G"/>
        <w:rPr>
          <w:lang w:val="fr-FR"/>
        </w:rPr>
      </w:pPr>
      <w:r w:rsidRPr="0025598E">
        <w:rPr>
          <w:lang w:val="fr-FR"/>
        </w:rPr>
        <w:t>Administration pénitentiaire</w:t>
      </w:r>
    </w:p>
    <w:p w:rsidR="000B562B" w:rsidRPr="00A176EA" w:rsidRDefault="002549A9" w:rsidP="00136708">
      <w:pPr>
        <w:pStyle w:val="SingleTxtG"/>
        <w:tabs>
          <w:tab w:val="left" w:pos="567"/>
          <w:tab w:val="left" w:pos="1134"/>
          <w:tab w:val="left" w:pos="1701"/>
          <w:tab w:val="left" w:pos="2277"/>
        </w:tabs>
        <w:rPr>
          <w:lang w:val="fr-FR"/>
        </w:rPr>
      </w:pPr>
      <w:r w:rsidRPr="00A176EA">
        <w:rPr>
          <w:lang w:val="fr-FR"/>
        </w:rPr>
        <w:t>73.</w:t>
      </w:r>
      <w:r w:rsidRPr="00A176EA">
        <w:rPr>
          <w:lang w:val="fr-FR"/>
        </w:rPr>
        <w:tab/>
      </w:r>
      <w:r w:rsidR="0025598E">
        <w:rPr>
          <w:lang w:val="fr-FR"/>
        </w:rPr>
        <w:t xml:space="preserve">Le fonctionnement de l’Administration pénitentiaire est contrôlé par l’assemblée parlementaire des États de Guernesey, par des </w:t>
      </w:r>
      <w:r w:rsidR="00366E84">
        <w:rPr>
          <w:lang w:val="fr-FR"/>
        </w:rPr>
        <w:t xml:space="preserve">audits externes de l’Inspecteur général des prisons du Royaume-Uni et par les Groupes de visiteurs qui effectuent des inspections. Si la législation régissant les établissements pénitentiaires est </w:t>
      </w:r>
      <w:r w:rsidR="009A6DC0">
        <w:rPr>
          <w:lang w:val="fr-FR"/>
        </w:rPr>
        <w:t xml:space="preserve">constituée de </w:t>
      </w:r>
      <w:r w:rsidR="00366E84">
        <w:rPr>
          <w:lang w:val="fr-FR"/>
        </w:rPr>
        <w:t xml:space="preserve">l’ordonnance de 1998 relative aux établissements pénitentiaires (Guernesey) prise par les </w:t>
      </w:r>
      <w:r w:rsidR="00366E84" w:rsidRPr="00366E84">
        <w:rPr>
          <w:lang w:val="fr-FR"/>
        </w:rPr>
        <w:t>États</w:t>
      </w:r>
      <w:r w:rsidR="00366E84">
        <w:rPr>
          <w:lang w:val="fr-FR"/>
        </w:rPr>
        <w:t xml:space="preserve">, </w:t>
      </w:r>
      <w:r w:rsidR="00136708">
        <w:rPr>
          <w:lang w:val="fr-FR"/>
        </w:rPr>
        <w:t xml:space="preserve">et </w:t>
      </w:r>
      <w:r w:rsidR="009A6DC0">
        <w:rPr>
          <w:lang w:val="fr-FR"/>
        </w:rPr>
        <w:t>d</w:t>
      </w:r>
      <w:r w:rsidR="00136708">
        <w:rPr>
          <w:lang w:val="fr-FR"/>
        </w:rPr>
        <w:t xml:space="preserve">es différentes Règles pénitentiaires établies par le Gouverneur, un système plus moderne sera prochainement introduit, lequel permettra </w:t>
      </w:r>
      <w:r w:rsidR="009A6DC0">
        <w:rPr>
          <w:lang w:val="fr-FR"/>
        </w:rPr>
        <w:t>d’apporter des modifications</w:t>
      </w:r>
      <w:r w:rsidR="00136708">
        <w:rPr>
          <w:lang w:val="fr-FR"/>
        </w:rPr>
        <w:t xml:space="preserve"> plus rapidement qu’aujourd’hui</w:t>
      </w:r>
      <w:r w:rsidR="000B562B" w:rsidRPr="00A176EA">
        <w:rPr>
          <w:lang w:val="fr-FR"/>
        </w:rPr>
        <w:t>.</w:t>
      </w:r>
    </w:p>
    <w:p w:rsidR="000B562B" w:rsidRPr="00A176EA" w:rsidRDefault="000B562B" w:rsidP="004C051B">
      <w:pPr>
        <w:pStyle w:val="H23G"/>
        <w:rPr>
          <w:lang w:val="fr-FR"/>
        </w:rPr>
      </w:pPr>
      <w:r w:rsidRPr="00A176EA">
        <w:rPr>
          <w:lang w:val="fr-FR"/>
        </w:rPr>
        <w:t>Jersey</w:t>
      </w:r>
    </w:p>
    <w:p w:rsidR="000B562B" w:rsidRPr="00A176EA" w:rsidRDefault="00136708" w:rsidP="004C051B">
      <w:pPr>
        <w:pStyle w:val="H23G"/>
        <w:rPr>
          <w:lang w:val="fr-FR"/>
        </w:rPr>
      </w:pPr>
      <w:r w:rsidRPr="00A176EA">
        <w:rPr>
          <w:lang w:val="fr-FR"/>
        </w:rPr>
        <w:t xml:space="preserve">Police </w:t>
      </w:r>
      <w:r>
        <w:rPr>
          <w:lang w:val="fr-FR"/>
        </w:rPr>
        <w:t>honoraire</w:t>
      </w:r>
      <w:r w:rsidR="000B562B" w:rsidRPr="00A176EA">
        <w:rPr>
          <w:lang w:val="fr-FR"/>
        </w:rPr>
        <w:t xml:space="preserve"> </w:t>
      </w:r>
    </w:p>
    <w:p w:rsidR="000B562B" w:rsidRPr="00A176EA" w:rsidRDefault="002549A9" w:rsidP="004C051B">
      <w:pPr>
        <w:pStyle w:val="SingleTxtG"/>
        <w:rPr>
          <w:lang w:val="fr-FR"/>
        </w:rPr>
      </w:pPr>
      <w:r w:rsidRPr="00A176EA">
        <w:rPr>
          <w:lang w:val="fr-FR"/>
        </w:rPr>
        <w:t>74.</w:t>
      </w:r>
      <w:r w:rsidRPr="00A176EA">
        <w:rPr>
          <w:lang w:val="fr-FR"/>
        </w:rPr>
        <w:tab/>
      </w:r>
      <w:r w:rsidR="00222DA6">
        <w:rPr>
          <w:lang w:val="fr-FR"/>
        </w:rPr>
        <w:t xml:space="preserve">Le </w:t>
      </w:r>
      <w:r w:rsidR="006C3CFE">
        <w:rPr>
          <w:lang w:val="fr-FR"/>
        </w:rPr>
        <w:t xml:space="preserve">Procureur général de Sa Majesté, chef de la Police honoraire, examine en permanence les orientations et les instructions relatives au fonctionnement de la Police honoraire. Toute arrestation est soumise à des règles édictées par le Procureur  général. </w:t>
      </w:r>
      <w:r w:rsidR="00D85693">
        <w:rPr>
          <w:lang w:val="fr-FR"/>
        </w:rPr>
        <w:t xml:space="preserve">La Police honoraire n’est pas habilitée à </w:t>
      </w:r>
      <w:r w:rsidR="004D2B24">
        <w:rPr>
          <w:lang w:val="fr-FR"/>
        </w:rPr>
        <w:t>placer</w:t>
      </w:r>
      <w:r w:rsidR="00D85693">
        <w:rPr>
          <w:lang w:val="fr-FR"/>
        </w:rPr>
        <w:t xml:space="preserve"> des individus en garde à vue, en rétention ou en détention</w:t>
      </w:r>
      <w:r w:rsidR="000B562B" w:rsidRPr="00A176EA">
        <w:rPr>
          <w:lang w:val="fr-FR"/>
        </w:rPr>
        <w:t>.</w:t>
      </w:r>
    </w:p>
    <w:p w:rsidR="000B562B" w:rsidRPr="00D85693" w:rsidRDefault="008E4932" w:rsidP="004C051B">
      <w:pPr>
        <w:pStyle w:val="H23G"/>
        <w:rPr>
          <w:lang w:val="fr-FR"/>
        </w:rPr>
      </w:pPr>
      <w:r w:rsidRPr="00D85693">
        <w:rPr>
          <w:lang w:val="fr-FR"/>
        </w:rPr>
        <w:t>Administration pénitentiaire</w:t>
      </w:r>
    </w:p>
    <w:p w:rsidR="000B562B" w:rsidRPr="007473FB" w:rsidRDefault="002549A9" w:rsidP="004C051B">
      <w:pPr>
        <w:pStyle w:val="SingleTxtG"/>
        <w:rPr>
          <w:lang w:val="fr-FR"/>
        </w:rPr>
      </w:pPr>
      <w:r w:rsidRPr="00D85693">
        <w:rPr>
          <w:lang w:val="fr-FR"/>
        </w:rPr>
        <w:t>75.</w:t>
      </w:r>
      <w:r w:rsidRPr="00D85693">
        <w:rPr>
          <w:lang w:val="fr-FR"/>
        </w:rPr>
        <w:tab/>
      </w:r>
      <w:r w:rsidR="00F15A27" w:rsidRPr="00D85693">
        <w:rPr>
          <w:lang w:val="fr-FR"/>
        </w:rPr>
        <w:t>Les</w:t>
      </w:r>
      <w:r w:rsidR="000B562B" w:rsidRPr="00D85693">
        <w:rPr>
          <w:lang w:val="fr-FR"/>
        </w:rPr>
        <w:t xml:space="preserve"> </w:t>
      </w:r>
      <w:r w:rsidR="00F15A27" w:rsidRPr="00D85693">
        <w:rPr>
          <w:lang w:val="fr-FR"/>
        </w:rPr>
        <w:t xml:space="preserve">Règles pénitentiaires </w:t>
      </w:r>
      <w:r w:rsidR="00D85693">
        <w:rPr>
          <w:lang w:val="fr-FR"/>
        </w:rPr>
        <w:t xml:space="preserve">ont été révisées en </w:t>
      </w:r>
      <w:r w:rsidR="000B562B" w:rsidRPr="00D85693">
        <w:rPr>
          <w:lang w:val="fr-FR"/>
        </w:rPr>
        <w:t xml:space="preserve">2006, </w:t>
      </w:r>
      <w:r w:rsidR="00D85693">
        <w:rPr>
          <w:lang w:val="fr-FR"/>
        </w:rPr>
        <w:t xml:space="preserve">l’accent ayant été mis sur le respect de la </w:t>
      </w:r>
      <w:r w:rsidR="007A4C1B" w:rsidRPr="00D85693">
        <w:rPr>
          <w:lang w:val="fr-FR"/>
        </w:rPr>
        <w:t>Convention européenne des droits de l’homme</w:t>
      </w:r>
      <w:r w:rsidR="000B562B" w:rsidRPr="00A176EA">
        <w:rPr>
          <w:lang w:val="fr-FR"/>
        </w:rPr>
        <w:t xml:space="preserve">. </w:t>
      </w:r>
      <w:r w:rsidR="00D85693">
        <w:rPr>
          <w:lang w:val="fr-FR"/>
        </w:rPr>
        <w:t>De nouvelles Règles pénitentiaires (Jersey) ont donc été promulguées en</w:t>
      </w:r>
      <w:r w:rsidR="000B562B" w:rsidRPr="007473FB">
        <w:rPr>
          <w:lang w:val="fr-FR"/>
        </w:rPr>
        <w:t xml:space="preserve"> 2007.</w:t>
      </w:r>
    </w:p>
    <w:p w:rsidR="000B562B" w:rsidRPr="00A176EA" w:rsidRDefault="002549A9" w:rsidP="004C051B">
      <w:pPr>
        <w:pStyle w:val="SingleTxtG"/>
        <w:rPr>
          <w:lang w:val="fr-FR"/>
        </w:rPr>
      </w:pPr>
      <w:r w:rsidRPr="007473FB">
        <w:rPr>
          <w:lang w:val="fr-FR"/>
        </w:rPr>
        <w:t>76.</w:t>
      </w:r>
      <w:r w:rsidRPr="007473FB">
        <w:rPr>
          <w:lang w:val="fr-FR"/>
        </w:rPr>
        <w:tab/>
      </w:r>
      <w:r w:rsidR="00D85693">
        <w:rPr>
          <w:lang w:val="fr-FR"/>
        </w:rPr>
        <w:t xml:space="preserve">Le fonctionnement de la prison de Jersey est examiné en permanence par le </w:t>
      </w:r>
      <w:r w:rsidR="00385BDD">
        <w:rPr>
          <w:lang w:val="fr-FR"/>
        </w:rPr>
        <w:t xml:space="preserve">Comité d’inspection et, en 2008, cet établissement a reçu deux visites de la </w:t>
      </w:r>
      <w:r w:rsidR="000B562B" w:rsidRPr="00A176EA">
        <w:rPr>
          <w:lang w:val="fr-FR"/>
        </w:rPr>
        <w:t>Howard League for Penal Reform</w:t>
      </w:r>
      <w:r w:rsidR="00385BDD">
        <w:rPr>
          <w:lang w:val="fr-FR"/>
        </w:rPr>
        <w:t xml:space="preserve"> (</w:t>
      </w:r>
      <w:r w:rsidR="00CD0110">
        <w:rPr>
          <w:lang w:val="fr-FR"/>
        </w:rPr>
        <w:t>«</w:t>
      </w:r>
      <w:r w:rsidR="00385BDD">
        <w:rPr>
          <w:lang w:val="fr-FR"/>
        </w:rPr>
        <w:t>Ligue Howard pour la réforme pénale</w:t>
      </w:r>
      <w:r w:rsidR="00CD0110">
        <w:rPr>
          <w:lang w:val="fr-FR"/>
        </w:rPr>
        <w:t>»</w:t>
      </w:r>
      <w:r w:rsidR="00385BDD">
        <w:rPr>
          <w:lang w:val="fr-FR"/>
        </w:rPr>
        <w:t>)</w:t>
      </w:r>
      <w:r w:rsidR="000B562B" w:rsidRPr="00A176EA">
        <w:rPr>
          <w:lang w:val="fr-FR"/>
        </w:rPr>
        <w:t>.</w:t>
      </w:r>
    </w:p>
    <w:p w:rsidR="000B562B" w:rsidRPr="00A176EA" w:rsidRDefault="002549A9" w:rsidP="004C051B">
      <w:pPr>
        <w:pStyle w:val="SingleTxtG"/>
        <w:rPr>
          <w:lang w:val="fr-FR"/>
        </w:rPr>
      </w:pPr>
      <w:r w:rsidRPr="00A176EA">
        <w:rPr>
          <w:lang w:val="fr-FR"/>
        </w:rPr>
        <w:t>77.</w:t>
      </w:r>
      <w:r w:rsidRPr="00A176EA">
        <w:rPr>
          <w:lang w:val="fr-FR"/>
        </w:rPr>
        <w:tab/>
      </w:r>
      <w:r w:rsidR="00385BDD">
        <w:rPr>
          <w:lang w:val="fr-FR"/>
        </w:rPr>
        <w:t xml:space="preserve">À l’issue d’un rapport rendu en 2005 par </w:t>
      </w:r>
      <w:r w:rsidR="00385BDD" w:rsidRPr="00596C22">
        <w:rPr>
          <w:lang w:val="fr-FR"/>
        </w:rPr>
        <w:t>l’Inspecteur général des prisons de Sa Majesté</w:t>
      </w:r>
      <w:r w:rsidR="00385BDD">
        <w:rPr>
          <w:lang w:val="fr-FR"/>
        </w:rPr>
        <w:t>, la prison de Jersey a élaboré un vaste Plan d’amélioration des performances. Il a fallu pour cela procéder à un examen complet des politiques, des systèmes et des procédures, ce qui a permis d’améliorer le parc pénitentiaire, le régime pénitentiaire et les politiques et procédures régissant l’établissement</w:t>
      </w:r>
      <w:r w:rsidR="000B562B" w:rsidRPr="00A176EA">
        <w:rPr>
          <w:lang w:val="fr-FR"/>
        </w:rPr>
        <w:t>.</w:t>
      </w:r>
    </w:p>
    <w:p w:rsidR="000B562B" w:rsidRPr="00A176EA" w:rsidRDefault="00385BDD" w:rsidP="004C051B">
      <w:pPr>
        <w:pStyle w:val="H23G"/>
        <w:rPr>
          <w:lang w:val="fr-FR"/>
        </w:rPr>
      </w:pPr>
      <w:r>
        <w:rPr>
          <w:lang w:val="fr-FR"/>
        </w:rPr>
        <w:t>Douanes et</w:t>
      </w:r>
      <w:r w:rsidR="000B562B" w:rsidRPr="00A176EA">
        <w:rPr>
          <w:lang w:val="fr-FR"/>
        </w:rPr>
        <w:t xml:space="preserve"> </w:t>
      </w:r>
      <w:r>
        <w:rPr>
          <w:lang w:val="fr-FR"/>
        </w:rPr>
        <w:t>i</w:t>
      </w:r>
      <w:r w:rsidR="000B562B" w:rsidRPr="00A176EA">
        <w:rPr>
          <w:lang w:val="fr-FR"/>
        </w:rPr>
        <w:t>mmigration</w:t>
      </w:r>
    </w:p>
    <w:p w:rsidR="000B562B" w:rsidRPr="00A176EA" w:rsidRDefault="002549A9" w:rsidP="004C051B">
      <w:pPr>
        <w:pStyle w:val="SingleTxtG"/>
        <w:rPr>
          <w:lang w:val="fr-FR"/>
        </w:rPr>
      </w:pPr>
      <w:r w:rsidRPr="00A176EA">
        <w:rPr>
          <w:lang w:val="fr-FR"/>
        </w:rPr>
        <w:t>78.</w:t>
      </w:r>
      <w:r w:rsidRPr="00A176EA">
        <w:rPr>
          <w:lang w:val="fr-FR"/>
        </w:rPr>
        <w:tab/>
      </w:r>
      <w:r w:rsidR="00385BDD">
        <w:rPr>
          <w:lang w:val="fr-FR"/>
        </w:rPr>
        <w:t xml:space="preserve">Le Service des douanes et de l’immigration de Jersey respecte toutes les dispositions applicables de la loi de 2003 sur les procédures policières et les preuves pénales (Jersey) </w:t>
      </w:r>
      <w:r w:rsidR="00DA6497">
        <w:rPr>
          <w:lang w:val="fr-FR"/>
        </w:rPr>
        <w:t xml:space="preserve">et continue de fonctionner conformément aux Codes de bonnes pratiques relatifs au traitement, </w:t>
      </w:r>
      <w:r w:rsidR="00402DB8">
        <w:rPr>
          <w:lang w:val="fr-FR"/>
        </w:rPr>
        <w:t xml:space="preserve">à la détention et à la prise en charge des détenus. </w:t>
      </w:r>
      <w:r w:rsidR="00402DB8" w:rsidRPr="00402DB8">
        <w:rPr>
          <w:lang w:val="fr-FR"/>
        </w:rPr>
        <w:t>Les détenus considérés comme présentant un risque font l’objet d’une surveillance constante</w:t>
      </w:r>
      <w:r w:rsidR="000B562B" w:rsidRPr="00402DB8">
        <w:rPr>
          <w:lang w:val="fr-FR"/>
        </w:rPr>
        <w:t>.</w:t>
      </w:r>
    </w:p>
    <w:p w:rsidR="000B562B" w:rsidRPr="00A176EA" w:rsidRDefault="002549A9" w:rsidP="001C3155">
      <w:pPr>
        <w:pStyle w:val="SingleTxtG"/>
        <w:rPr>
          <w:lang w:val="fr-FR"/>
        </w:rPr>
      </w:pPr>
      <w:r w:rsidRPr="00A176EA">
        <w:rPr>
          <w:lang w:val="fr-FR"/>
        </w:rPr>
        <w:t>79.</w:t>
      </w:r>
      <w:r w:rsidRPr="00A176EA">
        <w:rPr>
          <w:lang w:val="fr-FR"/>
        </w:rPr>
        <w:tab/>
      </w:r>
      <w:r w:rsidR="00402DB8">
        <w:rPr>
          <w:lang w:val="fr-FR"/>
        </w:rPr>
        <w:t xml:space="preserve">La décision de placer ou non </w:t>
      </w:r>
      <w:r w:rsidR="002A2EF1">
        <w:rPr>
          <w:lang w:val="fr-FR"/>
        </w:rPr>
        <w:t>un individu</w:t>
      </w:r>
      <w:r w:rsidR="00402DB8">
        <w:rPr>
          <w:lang w:val="fr-FR"/>
        </w:rPr>
        <w:t xml:space="preserve"> en </w:t>
      </w:r>
      <w:r w:rsidR="00864306">
        <w:rPr>
          <w:lang w:val="fr-FR"/>
        </w:rPr>
        <w:t>r</w:t>
      </w:r>
      <w:r w:rsidR="00402DB8">
        <w:rPr>
          <w:lang w:val="fr-FR"/>
        </w:rPr>
        <w:t xml:space="preserve">étention incombe à un responsable du Service des douanes et de l’immigration, en vertu des pouvoirs qui lui sont conférés par la loi de 1971 sur l’immigration. Les </w:t>
      </w:r>
      <w:r w:rsidR="002A2EF1">
        <w:rPr>
          <w:lang w:val="fr-FR"/>
        </w:rPr>
        <w:t>intéressés</w:t>
      </w:r>
      <w:r w:rsidR="00402DB8">
        <w:rPr>
          <w:lang w:val="fr-FR"/>
        </w:rPr>
        <w:t xml:space="preserve"> peuvent. La durée de la </w:t>
      </w:r>
      <w:r w:rsidR="00BC4DB8">
        <w:rPr>
          <w:lang w:val="fr-FR"/>
        </w:rPr>
        <w:t>r</w:t>
      </w:r>
      <w:r w:rsidR="00402DB8">
        <w:rPr>
          <w:lang w:val="fr-FR"/>
        </w:rPr>
        <w:t>étention des personnes en situation irrégulière au regard de l’immigration n’est pas limitée par la loi</w:t>
      </w:r>
      <w:r w:rsidR="000B562B" w:rsidRPr="00A176EA">
        <w:rPr>
          <w:lang w:val="fr-FR"/>
        </w:rPr>
        <w:t>.</w:t>
      </w:r>
    </w:p>
    <w:p w:rsidR="000B562B" w:rsidRPr="00A176EA" w:rsidRDefault="002549A9" w:rsidP="00472F36">
      <w:pPr>
        <w:pStyle w:val="SingleTxtG"/>
        <w:rPr>
          <w:lang w:val="fr-FR"/>
        </w:rPr>
      </w:pPr>
      <w:r w:rsidRPr="00A176EA">
        <w:rPr>
          <w:lang w:val="fr-FR"/>
        </w:rPr>
        <w:t>80.</w:t>
      </w:r>
      <w:r w:rsidRPr="00A176EA">
        <w:rPr>
          <w:lang w:val="fr-FR"/>
        </w:rPr>
        <w:tab/>
      </w:r>
      <w:r w:rsidR="003930E7">
        <w:rPr>
          <w:lang w:val="fr-FR"/>
        </w:rPr>
        <w:t>Une rétention de</w:t>
      </w:r>
      <w:r w:rsidR="00864306">
        <w:rPr>
          <w:lang w:val="fr-FR"/>
        </w:rPr>
        <w:t xml:space="preserve"> </w:t>
      </w:r>
      <w:r w:rsidR="003930E7">
        <w:rPr>
          <w:lang w:val="fr-FR"/>
        </w:rPr>
        <w:t xml:space="preserve">plus </w:t>
      </w:r>
      <w:r w:rsidR="00864306">
        <w:rPr>
          <w:lang w:val="fr-FR"/>
        </w:rPr>
        <w:t xml:space="preserve">24 heures </w:t>
      </w:r>
      <w:r w:rsidR="003930E7">
        <w:rPr>
          <w:lang w:val="fr-FR"/>
        </w:rPr>
        <w:t>doit être autorisée à l’échelon du Directeur adjoint. Jersey ne disposant d’aucun centre de rétention, les personnes retenues depuis plus de 24</w:t>
      </w:r>
      <w:r w:rsidR="00472F36">
        <w:rPr>
          <w:lang w:val="fr-FR"/>
        </w:rPr>
        <w:t> </w:t>
      </w:r>
      <w:r w:rsidR="003930E7">
        <w:rPr>
          <w:lang w:val="fr-FR"/>
        </w:rPr>
        <w:t xml:space="preserve">heures sont transférées au centre pénitentiaire de La Moye jusqu’à leur libération ou leur </w:t>
      </w:r>
      <w:r w:rsidR="002A2EF1">
        <w:rPr>
          <w:lang w:val="fr-FR"/>
        </w:rPr>
        <w:t>expulsion</w:t>
      </w:r>
      <w:r w:rsidR="003930E7">
        <w:rPr>
          <w:lang w:val="fr-FR"/>
        </w:rPr>
        <w:t xml:space="preserve">. La prolongation de la rétention est examinée tous les sept jours </w:t>
      </w:r>
      <w:r w:rsidR="002A2EF1">
        <w:rPr>
          <w:lang w:val="fr-FR"/>
        </w:rPr>
        <w:t>par le</w:t>
      </w:r>
      <w:r w:rsidR="003930E7">
        <w:rPr>
          <w:lang w:val="fr-FR"/>
        </w:rPr>
        <w:t xml:space="preserve"> Directeur adjoint ou à un niveau supérieur de</w:t>
      </w:r>
      <w:r w:rsidR="00A2565A">
        <w:rPr>
          <w:lang w:val="fr-FR"/>
        </w:rPr>
        <w:t xml:space="preserve"> la hiérarchie, ainsi que tous les mois à l’échelon du Directeur ou plus haut dans la hiérarchie</w:t>
      </w:r>
      <w:r w:rsidR="000B562B" w:rsidRPr="00A176EA">
        <w:rPr>
          <w:lang w:val="fr-FR"/>
        </w:rPr>
        <w:t>.</w:t>
      </w:r>
    </w:p>
    <w:p w:rsidR="000B562B" w:rsidRPr="00A176EA" w:rsidRDefault="00A2565A" w:rsidP="004C051B">
      <w:pPr>
        <w:pStyle w:val="H23G"/>
        <w:rPr>
          <w:lang w:val="fr-FR"/>
        </w:rPr>
      </w:pPr>
      <w:r w:rsidRPr="00A176EA">
        <w:rPr>
          <w:lang w:val="fr-FR"/>
        </w:rPr>
        <w:t xml:space="preserve">Services </w:t>
      </w:r>
      <w:r>
        <w:rPr>
          <w:lang w:val="fr-FR"/>
        </w:rPr>
        <w:t>de santé mentale</w:t>
      </w:r>
    </w:p>
    <w:p w:rsidR="000B562B" w:rsidRPr="00A176EA" w:rsidRDefault="002549A9" w:rsidP="004C051B">
      <w:pPr>
        <w:pStyle w:val="SingleTxtG"/>
        <w:rPr>
          <w:lang w:val="fr-FR"/>
        </w:rPr>
      </w:pPr>
      <w:r w:rsidRPr="00A176EA">
        <w:rPr>
          <w:lang w:val="fr-FR"/>
        </w:rPr>
        <w:t>81.</w:t>
      </w:r>
      <w:r w:rsidRPr="00A176EA">
        <w:rPr>
          <w:lang w:val="fr-FR"/>
        </w:rPr>
        <w:tab/>
      </w:r>
      <w:r w:rsidR="00A2565A" w:rsidRPr="00A2565A">
        <w:rPr>
          <w:lang w:val="fr-FR"/>
        </w:rPr>
        <w:t>Jersey FOCUS on Mental Health</w:t>
      </w:r>
      <w:r w:rsidR="00A2565A">
        <w:rPr>
          <w:lang w:val="fr-FR"/>
        </w:rPr>
        <w:t>, un organisme caritatif local pour la santé mentale, emploie une personne chargée de défendre les patients</w:t>
      </w:r>
      <w:r w:rsidR="002A2EF1">
        <w:rPr>
          <w:lang w:val="fr-FR"/>
        </w:rPr>
        <w:t>,</w:t>
      </w:r>
      <w:r w:rsidR="00A2565A">
        <w:rPr>
          <w:lang w:val="fr-FR"/>
        </w:rPr>
        <w:t xml:space="preserve"> dont le rôle essentiel est de travailler avec l’unité </w:t>
      </w:r>
      <w:r w:rsidR="00961C89">
        <w:rPr>
          <w:lang w:val="fr-FR"/>
        </w:rPr>
        <w:t>hospitalière de psychiatrie aiguë</w:t>
      </w:r>
      <w:r w:rsidR="00A2565A">
        <w:rPr>
          <w:lang w:val="fr-FR"/>
        </w:rPr>
        <w:t xml:space="preserve">. Cette personne est présente dans l’unité cinq jours par semaine et exprime </w:t>
      </w:r>
      <w:r w:rsidR="00961C89">
        <w:rPr>
          <w:lang w:val="fr-FR"/>
        </w:rPr>
        <w:t>les opinions de chaque patient</w:t>
      </w:r>
      <w:r w:rsidR="000B562B" w:rsidRPr="00A176EA">
        <w:rPr>
          <w:lang w:val="fr-FR"/>
        </w:rPr>
        <w:t>.</w:t>
      </w:r>
    </w:p>
    <w:p w:rsidR="000B562B" w:rsidRPr="00A176EA" w:rsidRDefault="002549A9" w:rsidP="004C051B">
      <w:pPr>
        <w:pStyle w:val="SingleTxtG"/>
        <w:rPr>
          <w:lang w:val="fr-FR"/>
        </w:rPr>
      </w:pPr>
      <w:r w:rsidRPr="00A176EA">
        <w:rPr>
          <w:lang w:val="fr-FR"/>
        </w:rPr>
        <w:t>82.</w:t>
      </w:r>
      <w:r w:rsidRPr="00A176EA">
        <w:rPr>
          <w:lang w:val="fr-FR"/>
        </w:rPr>
        <w:tab/>
      </w:r>
      <w:r w:rsidR="00961C89">
        <w:rPr>
          <w:lang w:val="fr-FR"/>
        </w:rPr>
        <w:t xml:space="preserve">Bien que les services de santé de Jersey ne soient pas tenus d’effectuer des inspections régulières, le service de santé mentale a été inspecté en 2007 par l’organisme d’Agrément des services hospitaliers de psychiatrie aiguë, une initiative d’assurance qualité du Royal College of Psychiatrists et du Royal College of Nursing. À </w:t>
      </w:r>
      <w:r w:rsidR="002A2EF1">
        <w:rPr>
          <w:lang w:val="fr-FR"/>
        </w:rPr>
        <w:t>l’</w:t>
      </w:r>
      <w:r w:rsidR="00961C89">
        <w:rPr>
          <w:lang w:val="fr-FR"/>
        </w:rPr>
        <w:t>époque, le service n’était que la septième unité à recevoir cet agrément fondé sur 270 critères. Le service a par ailleurs reçu un rapport de la Commission de santé britannique sur l’unité hospitalière de psychiatrie aiguë</w:t>
      </w:r>
      <w:r w:rsidR="000B562B" w:rsidRPr="00A176EA">
        <w:rPr>
          <w:lang w:val="fr-FR"/>
        </w:rPr>
        <w:t>.</w:t>
      </w:r>
    </w:p>
    <w:p w:rsidR="000B562B" w:rsidRPr="00A176EA" w:rsidRDefault="002549A9" w:rsidP="004C051B">
      <w:pPr>
        <w:pStyle w:val="SingleTxtG"/>
        <w:rPr>
          <w:lang w:val="fr-FR"/>
        </w:rPr>
      </w:pPr>
      <w:r w:rsidRPr="00A176EA">
        <w:rPr>
          <w:lang w:val="fr-FR"/>
        </w:rPr>
        <w:t>83.</w:t>
      </w:r>
      <w:r w:rsidRPr="00A176EA">
        <w:rPr>
          <w:lang w:val="fr-FR"/>
        </w:rPr>
        <w:tab/>
      </w:r>
      <w:r w:rsidR="00F653DC">
        <w:rPr>
          <w:lang w:val="fr-FR"/>
        </w:rPr>
        <w:t>Les données sur les</w:t>
      </w:r>
      <w:r w:rsidR="000B562B" w:rsidRPr="00A176EA">
        <w:rPr>
          <w:lang w:val="fr-FR"/>
        </w:rPr>
        <w:t xml:space="preserve"> d</w:t>
      </w:r>
      <w:r w:rsidR="00F653DC">
        <w:rPr>
          <w:lang w:val="fr-FR"/>
        </w:rPr>
        <w:t>é</w:t>
      </w:r>
      <w:r w:rsidR="000B562B" w:rsidRPr="00A176EA">
        <w:rPr>
          <w:lang w:val="fr-FR"/>
        </w:rPr>
        <w:t xml:space="preserve">tentions </w:t>
      </w:r>
      <w:r w:rsidR="00F653DC">
        <w:rPr>
          <w:lang w:val="fr-FR"/>
        </w:rPr>
        <w:t>au titre de la loi de 1969 sur la santé mentale sont les suivantes</w:t>
      </w:r>
      <w:r w:rsidR="00FC2B97">
        <w:rPr>
          <w:lang w:val="fr-FR"/>
        </w:rPr>
        <w:t>:</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017"/>
        <w:gridCol w:w="608"/>
        <w:gridCol w:w="608"/>
        <w:gridCol w:w="608"/>
        <w:gridCol w:w="608"/>
        <w:gridCol w:w="608"/>
        <w:gridCol w:w="608"/>
        <w:gridCol w:w="608"/>
        <w:gridCol w:w="1097"/>
      </w:tblGrid>
      <w:tr w:rsidR="005538A6" w:rsidRPr="00A176EA">
        <w:trPr>
          <w:cantSplit/>
          <w:trHeight w:val="240"/>
          <w:tblHeader/>
        </w:trPr>
        <w:tc>
          <w:tcPr>
            <w:tcW w:w="2943" w:type="dxa"/>
            <w:tcBorders>
              <w:top w:val="single" w:sz="4" w:space="0" w:color="auto"/>
              <w:bottom w:val="single" w:sz="12" w:space="0" w:color="auto"/>
            </w:tcBorders>
            <w:shd w:val="clear" w:color="auto" w:fill="auto"/>
            <w:vAlign w:val="bottom"/>
          </w:tcPr>
          <w:p w:rsidR="000B562B" w:rsidRPr="00A176EA" w:rsidRDefault="000B562B" w:rsidP="00472F36">
            <w:pPr>
              <w:pStyle w:val="Text"/>
              <w:keepNext/>
              <w:keepLines/>
              <w:spacing w:before="80" w:after="80" w:line="200" w:lineRule="exact"/>
              <w:rPr>
                <w:rFonts w:ascii="Times New Roman" w:hAnsi="Times New Roman"/>
                <w:i/>
                <w:sz w:val="16"/>
                <w:lang w:val="fr-FR"/>
              </w:rPr>
            </w:pPr>
            <w:r w:rsidRPr="00A176EA">
              <w:rPr>
                <w:rFonts w:ascii="Times New Roman" w:hAnsi="Times New Roman"/>
                <w:i/>
                <w:sz w:val="16"/>
                <w:lang w:val="fr-FR"/>
              </w:rPr>
              <w:t xml:space="preserve">Type </w:t>
            </w:r>
            <w:r w:rsidR="00F653DC">
              <w:rPr>
                <w:rFonts w:ascii="Times New Roman" w:hAnsi="Times New Roman"/>
                <w:i/>
                <w:sz w:val="16"/>
                <w:lang w:val="fr-FR"/>
              </w:rPr>
              <w:t>de</w:t>
            </w:r>
            <w:r w:rsidRPr="00A176EA">
              <w:rPr>
                <w:rFonts w:ascii="Times New Roman" w:hAnsi="Times New Roman"/>
                <w:i/>
                <w:sz w:val="16"/>
                <w:lang w:val="fr-FR"/>
              </w:rPr>
              <w:t xml:space="preserve"> </w:t>
            </w:r>
            <w:r w:rsidR="00F653DC">
              <w:rPr>
                <w:rFonts w:ascii="Times New Roman" w:hAnsi="Times New Roman"/>
                <w:i/>
                <w:sz w:val="16"/>
                <w:lang w:val="fr-FR"/>
              </w:rPr>
              <w:t>dét</w:t>
            </w:r>
            <w:r w:rsidRPr="00A176EA">
              <w:rPr>
                <w:rFonts w:ascii="Times New Roman" w:hAnsi="Times New Roman"/>
                <w:i/>
                <w:sz w:val="16"/>
                <w:lang w:val="fr-FR"/>
              </w:rPr>
              <w:t>ention</w:t>
            </w:r>
          </w:p>
        </w:tc>
        <w:tc>
          <w:tcPr>
            <w:tcW w:w="709" w:type="dxa"/>
            <w:tcBorders>
              <w:top w:val="single" w:sz="4" w:space="0" w:color="auto"/>
              <w:bottom w:val="single" w:sz="12" w:space="0" w:color="auto"/>
            </w:tcBorders>
            <w:shd w:val="clear" w:color="auto" w:fill="auto"/>
            <w:vAlign w:val="bottom"/>
          </w:tcPr>
          <w:p w:rsidR="000B562B" w:rsidRPr="00A176EA" w:rsidRDefault="000B562B" w:rsidP="00472F36">
            <w:pPr>
              <w:pStyle w:val="Text"/>
              <w:keepNext/>
              <w:keepLines/>
              <w:spacing w:before="80" w:after="80" w:line="200" w:lineRule="exact"/>
              <w:ind w:left="113" w:right="57"/>
              <w:jc w:val="right"/>
              <w:rPr>
                <w:rFonts w:ascii="Times New Roman" w:hAnsi="Times New Roman"/>
                <w:i/>
                <w:sz w:val="16"/>
                <w:lang w:val="fr-FR"/>
              </w:rPr>
            </w:pPr>
            <w:r w:rsidRPr="00A176EA">
              <w:rPr>
                <w:rFonts w:ascii="Times New Roman" w:hAnsi="Times New Roman"/>
                <w:i/>
                <w:sz w:val="16"/>
                <w:lang w:val="fr-FR"/>
              </w:rPr>
              <w:t>2003</w:t>
            </w:r>
          </w:p>
        </w:tc>
        <w:tc>
          <w:tcPr>
            <w:tcW w:w="709" w:type="dxa"/>
            <w:tcBorders>
              <w:top w:val="single" w:sz="4" w:space="0" w:color="auto"/>
              <w:bottom w:val="single" w:sz="12" w:space="0" w:color="auto"/>
            </w:tcBorders>
            <w:shd w:val="clear" w:color="auto" w:fill="auto"/>
            <w:vAlign w:val="bottom"/>
          </w:tcPr>
          <w:p w:rsidR="000B562B" w:rsidRPr="00A176EA" w:rsidRDefault="000B562B" w:rsidP="00472F36">
            <w:pPr>
              <w:pStyle w:val="Text"/>
              <w:keepNext/>
              <w:keepLines/>
              <w:spacing w:before="80" w:after="80" w:line="200" w:lineRule="exact"/>
              <w:ind w:left="113" w:right="57"/>
              <w:jc w:val="right"/>
              <w:rPr>
                <w:rFonts w:ascii="Times New Roman" w:hAnsi="Times New Roman"/>
                <w:i/>
                <w:sz w:val="16"/>
                <w:lang w:val="fr-FR"/>
              </w:rPr>
            </w:pPr>
            <w:r w:rsidRPr="00A176EA">
              <w:rPr>
                <w:rFonts w:ascii="Times New Roman" w:hAnsi="Times New Roman"/>
                <w:i/>
                <w:sz w:val="16"/>
                <w:lang w:val="fr-FR"/>
              </w:rPr>
              <w:t>2004</w:t>
            </w:r>
          </w:p>
        </w:tc>
        <w:tc>
          <w:tcPr>
            <w:tcW w:w="709" w:type="dxa"/>
            <w:tcBorders>
              <w:top w:val="single" w:sz="4" w:space="0" w:color="auto"/>
              <w:bottom w:val="single" w:sz="12" w:space="0" w:color="auto"/>
            </w:tcBorders>
            <w:shd w:val="clear" w:color="auto" w:fill="auto"/>
            <w:vAlign w:val="bottom"/>
          </w:tcPr>
          <w:p w:rsidR="000B562B" w:rsidRPr="00A176EA" w:rsidRDefault="000B562B" w:rsidP="00472F36">
            <w:pPr>
              <w:pStyle w:val="Text"/>
              <w:keepNext/>
              <w:keepLines/>
              <w:spacing w:before="80" w:after="80" w:line="200" w:lineRule="exact"/>
              <w:ind w:left="113" w:right="57"/>
              <w:jc w:val="right"/>
              <w:rPr>
                <w:rFonts w:ascii="Times New Roman" w:hAnsi="Times New Roman"/>
                <w:i/>
                <w:sz w:val="16"/>
                <w:lang w:val="fr-FR"/>
              </w:rPr>
            </w:pPr>
            <w:r w:rsidRPr="00A176EA">
              <w:rPr>
                <w:rFonts w:ascii="Times New Roman" w:hAnsi="Times New Roman"/>
                <w:i/>
                <w:sz w:val="16"/>
                <w:lang w:val="fr-FR"/>
              </w:rPr>
              <w:t>2005</w:t>
            </w:r>
          </w:p>
        </w:tc>
        <w:tc>
          <w:tcPr>
            <w:tcW w:w="708" w:type="dxa"/>
            <w:tcBorders>
              <w:top w:val="single" w:sz="4" w:space="0" w:color="auto"/>
              <w:bottom w:val="single" w:sz="12" w:space="0" w:color="auto"/>
            </w:tcBorders>
            <w:shd w:val="clear" w:color="auto" w:fill="auto"/>
            <w:vAlign w:val="bottom"/>
          </w:tcPr>
          <w:p w:rsidR="000B562B" w:rsidRPr="00A176EA" w:rsidRDefault="000B562B" w:rsidP="00472F36">
            <w:pPr>
              <w:pStyle w:val="Text"/>
              <w:keepNext/>
              <w:keepLines/>
              <w:spacing w:before="80" w:after="80" w:line="200" w:lineRule="exact"/>
              <w:ind w:left="113" w:right="57"/>
              <w:jc w:val="right"/>
              <w:rPr>
                <w:rFonts w:ascii="Times New Roman" w:hAnsi="Times New Roman"/>
                <w:i/>
                <w:sz w:val="16"/>
                <w:lang w:val="fr-FR"/>
              </w:rPr>
            </w:pPr>
            <w:r w:rsidRPr="00A176EA">
              <w:rPr>
                <w:rFonts w:ascii="Times New Roman" w:hAnsi="Times New Roman"/>
                <w:i/>
                <w:sz w:val="16"/>
                <w:lang w:val="fr-FR"/>
              </w:rPr>
              <w:t>2006</w:t>
            </w:r>
          </w:p>
        </w:tc>
        <w:tc>
          <w:tcPr>
            <w:tcW w:w="709" w:type="dxa"/>
            <w:tcBorders>
              <w:top w:val="single" w:sz="4" w:space="0" w:color="auto"/>
              <w:bottom w:val="single" w:sz="12" w:space="0" w:color="auto"/>
            </w:tcBorders>
            <w:shd w:val="clear" w:color="auto" w:fill="auto"/>
            <w:vAlign w:val="bottom"/>
          </w:tcPr>
          <w:p w:rsidR="000B562B" w:rsidRPr="00A176EA" w:rsidRDefault="000B562B" w:rsidP="00472F36">
            <w:pPr>
              <w:pStyle w:val="Text"/>
              <w:keepNext/>
              <w:keepLines/>
              <w:spacing w:before="80" w:after="80" w:line="200" w:lineRule="exact"/>
              <w:ind w:left="113" w:right="57"/>
              <w:jc w:val="right"/>
              <w:rPr>
                <w:rFonts w:ascii="Times New Roman" w:hAnsi="Times New Roman"/>
                <w:i/>
                <w:sz w:val="16"/>
                <w:lang w:val="fr-FR"/>
              </w:rPr>
            </w:pPr>
            <w:r w:rsidRPr="00A176EA">
              <w:rPr>
                <w:rFonts w:ascii="Times New Roman" w:hAnsi="Times New Roman"/>
                <w:i/>
                <w:sz w:val="16"/>
                <w:lang w:val="fr-FR"/>
              </w:rPr>
              <w:t>2007</w:t>
            </w:r>
          </w:p>
        </w:tc>
        <w:tc>
          <w:tcPr>
            <w:tcW w:w="709" w:type="dxa"/>
            <w:tcBorders>
              <w:top w:val="single" w:sz="4" w:space="0" w:color="auto"/>
              <w:bottom w:val="single" w:sz="12" w:space="0" w:color="auto"/>
            </w:tcBorders>
            <w:shd w:val="clear" w:color="auto" w:fill="auto"/>
            <w:vAlign w:val="bottom"/>
          </w:tcPr>
          <w:p w:rsidR="000B562B" w:rsidRPr="00A176EA" w:rsidRDefault="000B562B" w:rsidP="00472F36">
            <w:pPr>
              <w:pStyle w:val="Text"/>
              <w:keepNext/>
              <w:keepLines/>
              <w:spacing w:before="80" w:after="80" w:line="200" w:lineRule="exact"/>
              <w:ind w:left="113" w:right="57"/>
              <w:jc w:val="right"/>
              <w:rPr>
                <w:rFonts w:ascii="Times New Roman" w:hAnsi="Times New Roman"/>
                <w:i/>
                <w:sz w:val="16"/>
                <w:lang w:val="fr-FR"/>
              </w:rPr>
            </w:pPr>
            <w:r w:rsidRPr="00A176EA">
              <w:rPr>
                <w:rFonts w:ascii="Times New Roman" w:hAnsi="Times New Roman"/>
                <w:i/>
                <w:sz w:val="16"/>
                <w:lang w:val="fr-FR"/>
              </w:rPr>
              <w:t>2008</w:t>
            </w:r>
          </w:p>
        </w:tc>
        <w:tc>
          <w:tcPr>
            <w:tcW w:w="709" w:type="dxa"/>
            <w:tcBorders>
              <w:top w:val="single" w:sz="4" w:space="0" w:color="auto"/>
              <w:bottom w:val="single" w:sz="12" w:space="0" w:color="auto"/>
            </w:tcBorders>
            <w:shd w:val="clear" w:color="auto" w:fill="auto"/>
            <w:vAlign w:val="bottom"/>
          </w:tcPr>
          <w:p w:rsidR="000B562B" w:rsidRPr="00A176EA" w:rsidRDefault="000B562B" w:rsidP="00472F36">
            <w:pPr>
              <w:pStyle w:val="Text"/>
              <w:keepNext/>
              <w:keepLines/>
              <w:spacing w:before="80" w:after="80" w:line="200" w:lineRule="exact"/>
              <w:ind w:left="113" w:right="57"/>
              <w:jc w:val="right"/>
              <w:rPr>
                <w:rFonts w:ascii="Times New Roman" w:hAnsi="Times New Roman"/>
                <w:i/>
                <w:sz w:val="16"/>
                <w:lang w:val="fr-FR"/>
              </w:rPr>
            </w:pPr>
            <w:r w:rsidRPr="00A176EA">
              <w:rPr>
                <w:rFonts w:ascii="Times New Roman" w:hAnsi="Times New Roman"/>
                <w:i/>
                <w:sz w:val="16"/>
                <w:lang w:val="fr-FR"/>
              </w:rPr>
              <w:t>2009</w:t>
            </w:r>
          </w:p>
        </w:tc>
        <w:tc>
          <w:tcPr>
            <w:tcW w:w="1559" w:type="dxa"/>
            <w:tcBorders>
              <w:top w:val="single" w:sz="4" w:space="0" w:color="auto"/>
              <w:bottom w:val="single" w:sz="12" w:space="0" w:color="auto"/>
            </w:tcBorders>
            <w:shd w:val="clear" w:color="auto" w:fill="auto"/>
            <w:vAlign w:val="bottom"/>
          </w:tcPr>
          <w:p w:rsidR="000B562B" w:rsidRPr="00472F36" w:rsidRDefault="00FA4907" w:rsidP="00472F36">
            <w:pPr>
              <w:pStyle w:val="Text"/>
              <w:keepNext/>
              <w:keepLines/>
              <w:spacing w:before="80" w:after="80" w:line="200" w:lineRule="exact"/>
              <w:ind w:left="113" w:right="57"/>
              <w:jc w:val="right"/>
              <w:rPr>
                <w:rFonts w:ascii="Times New Roman" w:hAnsi="Times New Roman"/>
                <w:b/>
                <w:bCs/>
                <w:i/>
                <w:sz w:val="16"/>
                <w:lang w:val="fr-FR"/>
              </w:rPr>
            </w:pPr>
            <w:r w:rsidRPr="00472F36">
              <w:rPr>
                <w:rFonts w:ascii="Times New Roman" w:hAnsi="Times New Roman"/>
                <w:b/>
                <w:bCs/>
                <w:i/>
                <w:sz w:val="16"/>
                <w:lang w:val="fr-FR"/>
              </w:rPr>
              <w:t xml:space="preserve">Total général des </w:t>
            </w:r>
            <w:r w:rsidR="005538A6" w:rsidRPr="00472F36">
              <w:rPr>
                <w:rFonts w:ascii="Times New Roman" w:hAnsi="Times New Roman"/>
                <w:b/>
                <w:bCs/>
                <w:i/>
                <w:sz w:val="16"/>
                <w:lang w:val="fr-FR"/>
              </w:rPr>
              <w:t>7</w:t>
            </w:r>
            <w:r w:rsidRPr="00472F36">
              <w:rPr>
                <w:rFonts w:ascii="Times New Roman" w:hAnsi="Times New Roman"/>
                <w:b/>
                <w:bCs/>
                <w:i/>
                <w:sz w:val="16"/>
                <w:lang w:val="fr-FR"/>
              </w:rPr>
              <w:t xml:space="preserve"> années</w:t>
            </w:r>
            <w:r w:rsidR="000B562B" w:rsidRPr="00472F36">
              <w:rPr>
                <w:rFonts w:ascii="Times New Roman" w:hAnsi="Times New Roman"/>
                <w:b/>
                <w:bCs/>
                <w:i/>
                <w:sz w:val="16"/>
                <w:lang w:val="fr-FR"/>
              </w:rPr>
              <w:t xml:space="preserve"> </w:t>
            </w:r>
          </w:p>
        </w:tc>
      </w:tr>
      <w:tr w:rsidR="005538A6" w:rsidRPr="00A176EA">
        <w:trPr>
          <w:cantSplit/>
          <w:trHeight w:val="240"/>
        </w:trPr>
        <w:tc>
          <w:tcPr>
            <w:tcW w:w="2943" w:type="dxa"/>
            <w:tcBorders>
              <w:top w:val="single" w:sz="12" w:space="0" w:color="auto"/>
            </w:tcBorders>
            <w:shd w:val="clear" w:color="auto" w:fill="auto"/>
          </w:tcPr>
          <w:p w:rsidR="000B562B" w:rsidRPr="00A176EA" w:rsidRDefault="00FA4907" w:rsidP="00472F36">
            <w:pPr>
              <w:pStyle w:val="Text"/>
              <w:keepNext/>
              <w:keepLines/>
              <w:spacing w:before="40" w:after="40" w:line="220" w:lineRule="exact"/>
              <w:rPr>
                <w:rFonts w:ascii="Times New Roman" w:hAnsi="Times New Roman"/>
                <w:sz w:val="18"/>
                <w:lang w:val="fr-FR"/>
              </w:rPr>
            </w:pPr>
            <w:r>
              <w:rPr>
                <w:rFonts w:ascii="Times New Roman" w:hAnsi="Times New Roman"/>
                <w:sz w:val="18"/>
                <w:lang w:val="fr-FR"/>
              </w:rPr>
              <w:t>Urgence</w:t>
            </w:r>
            <w:r w:rsidR="00FC2B97">
              <w:rPr>
                <w:rFonts w:ascii="Times New Roman" w:hAnsi="Times New Roman"/>
                <w:sz w:val="18"/>
                <w:lang w:val="fr-FR"/>
              </w:rPr>
              <w:t>:</w:t>
            </w:r>
            <w:r w:rsidR="006D07AA" w:rsidRPr="00A176EA">
              <w:rPr>
                <w:rFonts w:ascii="Times New Roman" w:hAnsi="Times New Roman"/>
                <w:sz w:val="18"/>
                <w:lang w:val="fr-FR"/>
              </w:rPr>
              <w:t xml:space="preserve"> </w:t>
            </w:r>
            <w:r w:rsidR="000B562B" w:rsidRPr="00A176EA">
              <w:rPr>
                <w:rFonts w:ascii="Times New Roman" w:hAnsi="Times New Roman"/>
                <w:sz w:val="18"/>
                <w:lang w:val="fr-FR"/>
              </w:rPr>
              <w:br/>
            </w:r>
            <w:r>
              <w:rPr>
                <w:rFonts w:ascii="Times New Roman" w:hAnsi="Times New Roman"/>
                <w:sz w:val="18"/>
                <w:lang w:val="fr-FR"/>
              </w:rPr>
              <w:t xml:space="preserve">Jusqu’à </w:t>
            </w:r>
            <w:r w:rsidR="000B562B" w:rsidRPr="00A176EA">
              <w:rPr>
                <w:rFonts w:ascii="Times New Roman" w:hAnsi="Times New Roman"/>
                <w:sz w:val="18"/>
                <w:lang w:val="fr-FR"/>
              </w:rPr>
              <w:t xml:space="preserve">72 </w:t>
            </w:r>
            <w:r>
              <w:rPr>
                <w:rFonts w:ascii="Times New Roman" w:hAnsi="Times New Roman"/>
                <w:sz w:val="18"/>
                <w:lang w:val="fr-FR"/>
              </w:rPr>
              <w:t>heures</w:t>
            </w:r>
            <w:r w:rsidR="000B562B" w:rsidRPr="00A176EA">
              <w:rPr>
                <w:rFonts w:ascii="Times New Roman" w:hAnsi="Times New Roman"/>
                <w:sz w:val="18"/>
                <w:lang w:val="fr-FR"/>
              </w:rPr>
              <w:t xml:space="preserve"> (</w:t>
            </w:r>
            <w:r>
              <w:rPr>
                <w:rFonts w:ascii="Times New Roman" w:hAnsi="Times New Roman"/>
                <w:sz w:val="18"/>
                <w:lang w:val="fr-FR"/>
              </w:rPr>
              <w:t>dont les</w:t>
            </w:r>
            <w:r w:rsidR="000B562B" w:rsidRPr="00A176EA">
              <w:rPr>
                <w:rFonts w:ascii="Times New Roman" w:hAnsi="Times New Roman"/>
                <w:sz w:val="18"/>
                <w:lang w:val="fr-FR"/>
              </w:rPr>
              <w:t xml:space="preserve"> 3 h</w:t>
            </w:r>
            <w:r>
              <w:rPr>
                <w:rFonts w:ascii="Times New Roman" w:hAnsi="Times New Roman"/>
                <w:sz w:val="18"/>
                <w:lang w:val="fr-FR"/>
              </w:rPr>
              <w:t>eures</w:t>
            </w:r>
            <w:r w:rsidR="005B5097">
              <w:rPr>
                <w:rFonts w:ascii="Times New Roman" w:hAnsi="Times New Roman"/>
                <w:sz w:val="18"/>
                <w:lang w:val="fr-FR"/>
              </w:rPr>
              <w:t xml:space="preserve"> pendant lesquelles</w:t>
            </w:r>
            <w:r w:rsidR="000B562B" w:rsidRPr="00A176EA">
              <w:rPr>
                <w:rFonts w:ascii="Times New Roman" w:hAnsi="Times New Roman"/>
                <w:sz w:val="18"/>
                <w:lang w:val="fr-FR"/>
              </w:rPr>
              <w:t xml:space="preserve"> </w:t>
            </w:r>
            <w:r w:rsidR="005B5097">
              <w:rPr>
                <w:rFonts w:ascii="Times New Roman" w:hAnsi="Times New Roman"/>
                <w:sz w:val="18"/>
                <w:lang w:val="fr-FR"/>
              </w:rPr>
              <w:t xml:space="preserve">le personnel infirmier est habilité à retenir le patient, </w:t>
            </w:r>
            <w:r w:rsidRPr="00820D3B">
              <w:rPr>
                <w:rFonts w:ascii="Times New Roman" w:hAnsi="Times New Roman"/>
                <w:sz w:val="18"/>
                <w:lang w:val="fr-FR"/>
              </w:rPr>
              <w:t>à compter du</w:t>
            </w:r>
            <w:r w:rsidR="000B562B" w:rsidRPr="00820D3B">
              <w:rPr>
                <w:rFonts w:ascii="Times New Roman" w:hAnsi="Times New Roman"/>
                <w:sz w:val="18"/>
                <w:lang w:val="fr-FR"/>
              </w:rPr>
              <w:t xml:space="preserve"> 11/04)</w:t>
            </w:r>
          </w:p>
        </w:tc>
        <w:tc>
          <w:tcPr>
            <w:tcW w:w="709" w:type="dxa"/>
            <w:tcBorders>
              <w:top w:val="single" w:sz="12" w:space="0" w:color="auto"/>
            </w:tcBorders>
            <w:shd w:val="clear" w:color="auto" w:fill="auto"/>
            <w:vAlign w:val="bottom"/>
          </w:tcPr>
          <w:p w:rsidR="000B562B" w:rsidRPr="00A176EA" w:rsidRDefault="000B562B" w:rsidP="00472F36">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13</w:t>
            </w:r>
          </w:p>
        </w:tc>
        <w:tc>
          <w:tcPr>
            <w:tcW w:w="709" w:type="dxa"/>
            <w:tcBorders>
              <w:top w:val="single" w:sz="12" w:space="0" w:color="auto"/>
            </w:tcBorders>
            <w:shd w:val="clear" w:color="auto" w:fill="auto"/>
            <w:vAlign w:val="bottom"/>
          </w:tcPr>
          <w:p w:rsidR="000B562B" w:rsidRPr="00A176EA" w:rsidRDefault="000B562B" w:rsidP="00472F36">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27</w:t>
            </w:r>
          </w:p>
        </w:tc>
        <w:tc>
          <w:tcPr>
            <w:tcW w:w="709" w:type="dxa"/>
            <w:tcBorders>
              <w:top w:val="single" w:sz="12" w:space="0" w:color="auto"/>
            </w:tcBorders>
            <w:shd w:val="clear" w:color="auto" w:fill="auto"/>
            <w:vAlign w:val="bottom"/>
          </w:tcPr>
          <w:p w:rsidR="000B562B" w:rsidRPr="00A176EA" w:rsidRDefault="000B562B" w:rsidP="00472F36">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33</w:t>
            </w:r>
          </w:p>
        </w:tc>
        <w:tc>
          <w:tcPr>
            <w:tcW w:w="708" w:type="dxa"/>
            <w:tcBorders>
              <w:top w:val="single" w:sz="12" w:space="0" w:color="auto"/>
            </w:tcBorders>
            <w:shd w:val="clear" w:color="auto" w:fill="auto"/>
            <w:vAlign w:val="bottom"/>
          </w:tcPr>
          <w:p w:rsidR="000B562B" w:rsidRPr="00A176EA" w:rsidRDefault="000B562B" w:rsidP="00472F36">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26</w:t>
            </w:r>
          </w:p>
        </w:tc>
        <w:tc>
          <w:tcPr>
            <w:tcW w:w="709" w:type="dxa"/>
            <w:tcBorders>
              <w:top w:val="single" w:sz="12" w:space="0" w:color="auto"/>
            </w:tcBorders>
            <w:shd w:val="clear" w:color="auto" w:fill="auto"/>
            <w:vAlign w:val="bottom"/>
          </w:tcPr>
          <w:p w:rsidR="000B562B" w:rsidRPr="00A176EA" w:rsidRDefault="000B562B" w:rsidP="00472F36">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15</w:t>
            </w:r>
          </w:p>
        </w:tc>
        <w:tc>
          <w:tcPr>
            <w:tcW w:w="709" w:type="dxa"/>
            <w:tcBorders>
              <w:top w:val="single" w:sz="12" w:space="0" w:color="auto"/>
            </w:tcBorders>
            <w:shd w:val="clear" w:color="auto" w:fill="auto"/>
            <w:vAlign w:val="bottom"/>
          </w:tcPr>
          <w:p w:rsidR="000B562B" w:rsidRPr="00A176EA" w:rsidRDefault="000B562B" w:rsidP="00472F36">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8</w:t>
            </w:r>
          </w:p>
        </w:tc>
        <w:tc>
          <w:tcPr>
            <w:tcW w:w="709" w:type="dxa"/>
            <w:tcBorders>
              <w:top w:val="single" w:sz="12" w:space="0" w:color="auto"/>
            </w:tcBorders>
            <w:shd w:val="clear" w:color="auto" w:fill="auto"/>
            <w:vAlign w:val="bottom"/>
          </w:tcPr>
          <w:p w:rsidR="000B562B" w:rsidRPr="00A176EA" w:rsidRDefault="000B562B" w:rsidP="00472F36">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7</w:t>
            </w:r>
          </w:p>
        </w:tc>
        <w:tc>
          <w:tcPr>
            <w:tcW w:w="1559" w:type="dxa"/>
            <w:tcBorders>
              <w:top w:val="single" w:sz="12" w:space="0" w:color="auto"/>
            </w:tcBorders>
            <w:shd w:val="clear" w:color="auto" w:fill="auto"/>
            <w:vAlign w:val="bottom"/>
          </w:tcPr>
          <w:p w:rsidR="000B562B" w:rsidRPr="00472F36" w:rsidRDefault="000B562B" w:rsidP="00472F36">
            <w:pPr>
              <w:pStyle w:val="Text"/>
              <w:keepNext/>
              <w:keepLines/>
              <w:spacing w:before="40" w:after="40" w:line="220" w:lineRule="exact"/>
              <w:ind w:left="113" w:right="57"/>
              <w:jc w:val="right"/>
              <w:rPr>
                <w:rFonts w:ascii="Times New Roman" w:hAnsi="Times New Roman"/>
                <w:b/>
                <w:bCs/>
                <w:sz w:val="18"/>
                <w:lang w:val="fr-FR"/>
              </w:rPr>
            </w:pPr>
            <w:r w:rsidRPr="00472F36">
              <w:rPr>
                <w:rFonts w:ascii="Times New Roman" w:hAnsi="Times New Roman"/>
                <w:b/>
                <w:bCs/>
                <w:sz w:val="18"/>
                <w:lang w:val="fr-FR"/>
              </w:rPr>
              <w:t>129</w:t>
            </w:r>
          </w:p>
        </w:tc>
      </w:tr>
      <w:tr w:rsidR="005538A6" w:rsidRPr="00A176EA">
        <w:trPr>
          <w:cantSplit/>
          <w:trHeight w:val="240"/>
        </w:trPr>
        <w:tc>
          <w:tcPr>
            <w:tcW w:w="2943" w:type="dxa"/>
            <w:shd w:val="clear" w:color="auto" w:fill="auto"/>
          </w:tcPr>
          <w:p w:rsidR="000B562B" w:rsidRPr="00A176EA" w:rsidRDefault="000B562B" w:rsidP="00472F36">
            <w:pPr>
              <w:pStyle w:val="Text"/>
              <w:keepNext/>
              <w:keepLines/>
              <w:spacing w:before="40" w:after="40" w:line="220" w:lineRule="exact"/>
              <w:rPr>
                <w:rFonts w:ascii="Times New Roman" w:hAnsi="Times New Roman"/>
                <w:sz w:val="18"/>
                <w:lang w:val="fr-FR"/>
              </w:rPr>
            </w:pPr>
            <w:r w:rsidRPr="00A176EA">
              <w:rPr>
                <w:rFonts w:ascii="Times New Roman" w:hAnsi="Times New Roman"/>
                <w:sz w:val="18"/>
                <w:lang w:val="fr-FR"/>
              </w:rPr>
              <w:t>Observation</w:t>
            </w:r>
            <w:r w:rsidR="00FC2B97">
              <w:rPr>
                <w:rFonts w:ascii="Times New Roman" w:hAnsi="Times New Roman"/>
                <w:sz w:val="18"/>
                <w:lang w:val="fr-FR"/>
              </w:rPr>
              <w:t>:</w:t>
            </w:r>
            <w:r w:rsidR="006D07AA" w:rsidRPr="00A176EA">
              <w:rPr>
                <w:rFonts w:ascii="Times New Roman" w:hAnsi="Times New Roman"/>
                <w:sz w:val="18"/>
                <w:lang w:val="fr-FR"/>
              </w:rPr>
              <w:t xml:space="preserve"> </w:t>
            </w:r>
            <w:r w:rsidRPr="00A176EA">
              <w:rPr>
                <w:rFonts w:ascii="Times New Roman" w:hAnsi="Times New Roman"/>
                <w:sz w:val="18"/>
                <w:lang w:val="fr-FR"/>
              </w:rPr>
              <w:br/>
            </w:r>
            <w:r w:rsidR="00FA4907">
              <w:rPr>
                <w:rFonts w:ascii="Times New Roman" w:hAnsi="Times New Roman"/>
                <w:sz w:val="18"/>
                <w:lang w:val="fr-FR"/>
              </w:rPr>
              <w:t>Jusqu’à</w:t>
            </w:r>
            <w:r w:rsidR="00FA4907" w:rsidRPr="00A176EA">
              <w:rPr>
                <w:rFonts w:ascii="Times New Roman" w:hAnsi="Times New Roman"/>
                <w:sz w:val="18"/>
                <w:lang w:val="fr-FR"/>
              </w:rPr>
              <w:t xml:space="preserve"> </w:t>
            </w:r>
            <w:r w:rsidRPr="00A176EA">
              <w:rPr>
                <w:rFonts w:ascii="Times New Roman" w:hAnsi="Times New Roman"/>
                <w:sz w:val="18"/>
                <w:lang w:val="fr-FR"/>
              </w:rPr>
              <w:t xml:space="preserve">28 </w:t>
            </w:r>
            <w:r w:rsidR="005B5097">
              <w:rPr>
                <w:rFonts w:ascii="Times New Roman" w:hAnsi="Times New Roman"/>
                <w:sz w:val="18"/>
                <w:lang w:val="fr-FR"/>
              </w:rPr>
              <w:t>jours</w:t>
            </w:r>
          </w:p>
        </w:tc>
        <w:tc>
          <w:tcPr>
            <w:tcW w:w="709" w:type="dxa"/>
            <w:shd w:val="clear" w:color="auto" w:fill="auto"/>
            <w:vAlign w:val="bottom"/>
          </w:tcPr>
          <w:p w:rsidR="000B562B" w:rsidRPr="00A176EA" w:rsidRDefault="000B562B" w:rsidP="00472F36">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25</w:t>
            </w:r>
          </w:p>
        </w:tc>
        <w:tc>
          <w:tcPr>
            <w:tcW w:w="709" w:type="dxa"/>
            <w:shd w:val="clear" w:color="auto" w:fill="auto"/>
            <w:vAlign w:val="bottom"/>
          </w:tcPr>
          <w:p w:rsidR="000B562B" w:rsidRPr="00A176EA" w:rsidRDefault="000B562B" w:rsidP="00472F36">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38</w:t>
            </w:r>
          </w:p>
        </w:tc>
        <w:tc>
          <w:tcPr>
            <w:tcW w:w="709" w:type="dxa"/>
            <w:shd w:val="clear" w:color="auto" w:fill="auto"/>
            <w:vAlign w:val="bottom"/>
          </w:tcPr>
          <w:p w:rsidR="000B562B" w:rsidRPr="00A176EA" w:rsidRDefault="000B562B" w:rsidP="00472F36">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46</w:t>
            </w:r>
          </w:p>
        </w:tc>
        <w:tc>
          <w:tcPr>
            <w:tcW w:w="708" w:type="dxa"/>
            <w:shd w:val="clear" w:color="auto" w:fill="auto"/>
            <w:vAlign w:val="bottom"/>
          </w:tcPr>
          <w:p w:rsidR="000B562B" w:rsidRPr="00A176EA" w:rsidRDefault="000B562B" w:rsidP="00472F36">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30</w:t>
            </w:r>
          </w:p>
        </w:tc>
        <w:tc>
          <w:tcPr>
            <w:tcW w:w="709" w:type="dxa"/>
            <w:shd w:val="clear" w:color="auto" w:fill="auto"/>
            <w:vAlign w:val="bottom"/>
          </w:tcPr>
          <w:p w:rsidR="000B562B" w:rsidRPr="00A176EA" w:rsidRDefault="000B562B" w:rsidP="00472F36">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46</w:t>
            </w:r>
          </w:p>
        </w:tc>
        <w:tc>
          <w:tcPr>
            <w:tcW w:w="709" w:type="dxa"/>
            <w:shd w:val="clear" w:color="auto" w:fill="auto"/>
            <w:vAlign w:val="bottom"/>
          </w:tcPr>
          <w:p w:rsidR="000B562B" w:rsidRPr="00A176EA" w:rsidRDefault="000B562B" w:rsidP="00472F36">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44</w:t>
            </w:r>
          </w:p>
        </w:tc>
        <w:tc>
          <w:tcPr>
            <w:tcW w:w="709" w:type="dxa"/>
            <w:shd w:val="clear" w:color="auto" w:fill="auto"/>
            <w:vAlign w:val="bottom"/>
          </w:tcPr>
          <w:p w:rsidR="000B562B" w:rsidRPr="00A176EA" w:rsidRDefault="000B562B" w:rsidP="00472F36">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18</w:t>
            </w:r>
          </w:p>
        </w:tc>
        <w:tc>
          <w:tcPr>
            <w:tcW w:w="1559" w:type="dxa"/>
            <w:shd w:val="clear" w:color="auto" w:fill="auto"/>
            <w:vAlign w:val="bottom"/>
          </w:tcPr>
          <w:p w:rsidR="000B562B" w:rsidRPr="00472F36" w:rsidRDefault="000B562B" w:rsidP="00472F36">
            <w:pPr>
              <w:pStyle w:val="Text"/>
              <w:keepNext/>
              <w:keepLines/>
              <w:spacing w:before="40" w:after="40" w:line="220" w:lineRule="exact"/>
              <w:ind w:left="113" w:right="57"/>
              <w:jc w:val="right"/>
              <w:rPr>
                <w:rFonts w:ascii="Times New Roman" w:hAnsi="Times New Roman"/>
                <w:b/>
                <w:bCs/>
                <w:sz w:val="18"/>
                <w:lang w:val="fr-FR"/>
              </w:rPr>
            </w:pPr>
            <w:r w:rsidRPr="00472F36">
              <w:rPr>
                <w:rFonts w:ascii="Times New Roman" w:hAnsi="Times New Roman"/>
                <w:b/>
                <w:bCs/>
                <w:sz w:val="18"/>
                <w:lang w:val="fr-FR"/>
              </w:rPr>
              <w:t>247</w:t>
            </w:r>
          </w:p>
        </w:tc>
      </w:tr>
      <w:tr w:rsidR="005538A6" w:rsidRPr="00A176EA">
        <w:trPr>
          <w:cantSplit/>
          <w:trHeight w:val="240"/>
        </w:trPr>
        <w:tc>
          <w:tcPr>
            <w:tcW w:w="2943" w:type="dxa"/>
            <w:shd w:val="clear" w:color="auto" w:fill="auto"/>
          </w:tcPr>
          <w:p w:rsidR="000B562B" w:rsidRPr="00A176EA" w:rsidRDefault="000B562B" w:rsidP="00472F36">
            <w:pPr>
              <w:pStyle w:val="Text"/>
              <w:keepNext/>
              <w:keepLines/>
              <w:spacing w:before="40" w:after="40" w:line="220" w:lineRule="exact"/>
              <w:rPr>
                <w:rFonts w:ascii="Times New Roman" w:hAnsi="Times New Roman"/>
                <w:sz w:val="18"/>
                <w:lang w:val="fr-FR"/>
              </w:rPr>
            </w:pPr>
            <w:r w:rsidRPr="00A176EA">
              <w:rPr>
                <w:rFonts w:ascii="Times New Roman" w:hAnsi="Times New Roman"/>
                <w:sz w:val="18"/>
                <w:lang w:val="fr-FR"/>
              </w:rPr>
              <w:t>Tr</w:t>
            </w:r>
            <w:r w:rsidR="00FA4907">
              <w:rPr>
                <w:rFonts w:ascii="Times New Roman" w:hAnsi="Times New Roman"/>
                <w:sz w:val="18"/>
                <w:lang w:val="fr-FR"/>
              </w:rPr>
              <w:t>aite</w:t>
            </w:r>
            <w:r w:rsidRPr="00A176EA">
              <w:rPr>
                <w:rFonts w:ascii="Times New Roman" w:hAnsi="Times New Roman"/>
                <w:sz w:val="18"/>
                <w:lang w:val="fr-FR"/>
              </w:rPr>
              <w:t>ment</w:t>
            </w:r>
            <w:r w:rsidR="00FC2B97">
              <w:rPr>
                <w:rFonts w:ascii="Times New Roman" w:hAnsi="Times New Roman"/>
                <w:sz w:val="18"/>
                <w:lang w:val="fr-FR"/>
              </w:rPr>
              <w:t>:</w:t>
            </w:r>
            <w:r w:rsidR="006D07AA" w:rsidRPr="00A176EA">
              <w:rPr>
                <w:rFonts w:ascii="Times New Roman" w:hAnsi="Times New Roman"/>
                <w:sz w:val="18"/>
                <w:lang w:val="fr-FR"/>
              </w:rPr>
              <w:t xml:space="preserve"> </w:t>
            </w:r>
            <w:r w:rsidRPr="00A176EA">
              <w:rPr>
                <w:rFonts w:ascii="Times New Roman" w:hAnsi="Times New Roman"/>
                <w:sz w:val="18"/>
                <w:lang w:val="fr-FR"/>
              </w:rPr>
              <w:br/>
            </w:r>
            <w:r w:rsidR="00FA4907">
              <w:rPr>
                <w:rFonts w:ascii="Times New Roman" w:hAnsi="Times New Roman"/>
                <w:sz w:val="18"/>
                <w:lang w:val="fr-FR"/>
              </w:rPr>
              <w:t>Jusqu’à</w:t>
            </w:r>
            <w:r w:rsidR="00FA4907" w:rsidRPr="00A176EA">
              <w:rPr>
                <w:rFonts w:ascii="Times New Roman" w:hAnsi="Times New Roman"/>
                <w:sz w:val="18"/>
                <w:lang w:val="fr-FR"/>
              </w:rPr>
              <w:t xml:space="preserve"> </w:t>
            </w:r>
            <w:r w:rsidR="00FA4907">
              <w:rPr>
                <w:rFonts w:ascii="Times New Roman" w:hAnsi="Times New Roman"/>
                <w:sz w:val="18"/>
                <w:lang w:val="fr-FR"/>
              </w:rPr>
              <w:t>12 mois</w:t>
            </w:r>
          </w:p>
        </w:tc>
        <w:tc>
          <w:tcPr>
            <w:tcW w:w="709" w:type="dxa"/>
            <w:shd w:val="clear" w:color="auto" w:fill="auto"/>
            <w:vAlign w:val="bottom"/>
          </w:tcPr>
          <w:p w:rsidR="000B562B" w:rsidRPr="00A176EA" w:rsidRDefault="000B562B" w:rsidP="00472F36">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29</w:t>
            </w:r>
          </w:p>
        </w:tc>
        <w:tc>
          <w:tcPr>
            <w:tcW w:w="709" w:type="dxa"/>
            <w:shd w:val="clear" w:color="auto" w:fill="auto"/>
            <w:vAlign w:val="bottom"/>
          </w:tcPr>
          <w:p w:rsidR="000B562B" w:rsidRPr="00A176EA" w:rsidRDefault="000B562B" w:rsidP="00472F36">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32</w:t>
            </w:r>
          </w:p>
        </w:tc>
        <w:tc>
          <w:tcPr>
            <w:tcW w:w="709" w:type="dxa"/>
            <w:shd w:val="clear" w:color="auto" w:fill="auto"/>
            <w:vAlign w:val="bottom"/>
          </w:tcPr>
          <w:p w:rsidR="000B562B" w:rsidRPr="00A176EA" w:rsidRDefault="000B562B" w:rsidP="00472F36">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47</w:t>
            </w:r>
          </w:p>
        </w:tc>
        <w:tc>
          <w:tcPr>
            <w:tcW w:w="708" w:type="dxa"/>
            <w:shd w:val="clear" w:color="auto" w:fill="auto"/>
            <w:vAlign w:val="bottom"/>
          </w:tcPr>
          <w:p w:rsidR="000B562B" w:rsidRPr="00A176EA" w:rsidRDefault="000B562B" w:rsidP="00472F36">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37</w:t>
            </w:r>
          </w:p>
        </w:tc>
        <w:tc>
          <w:tcPr>
            <w:tcW w:w="709" w:type="dxa"/>
            <w:shd w:val="clear" w:color="auto" w:fill="auto"/>
            <w:vAlign w:val="bottom"/>
          </w:tcPr>
          <w:p w:rsidR="000B562B" w:rsidRPr="00A176EA" w:rsidRDefault="000B562B" w:rsidP="00472F36">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37</w:t>
            </w:r>
          </w:p>
        </w:tc>
        <w:tc>
          <w:tcPr>
            <w:tcW w:w="709" w:type="dxa"/>
            <w:shd w:val="clear" w:color="auto" w:fill="auto"/>
            <w:vAlign w:val="bottom"/>
          </w:tcPr>
          <w:p w:rsidR="000B562B" w:rsidRPr="00A176EA" w:rsidRDefault="000B562B" w:rsidP="00472F36">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40</w:t>
            </w:r>
          </w:p>
        </w:tc>
        <w:tc>
          <w:tcPr>
            <w:tcW w:w="709" w:type="dxa"/>
            <w:shd w:val="clear" w:color="auto" w:fill="auto"/>
            <w:vAlign w:val="bottom"/>
          </w:tcPr>
          <w:p w:rsidR="000B562B" w:rsidRPr="00A176EA" w:rsidRDefault="000B562B" w:rsidP="00472F36">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29</w:t>
            </w:r>
          </w:p>
        </w:tc>
        <w:tc>
          <w:tcPr>
            <w:tcW w:w="1559" w:type="dxa"/>
            <w:shd w:val="clear" w:color="auto" w:fill="auto"/>
            <w:vAlign w:val="bottom"/>
          </w:tcPr>
          <w:p w:rsidR="000B562B" w:rsidRPr="00472F36" w:rsidRDefault="000B562B" w:rsidP="00472F36">
            <w:pPr>
              <w:pStyle w:val="Text"/>
              <w:keepNext/>
              <w:keepLines/>
              <w:spacing w:before="40" w:after="40" w:line="220" w:lineRule="exact"/>
              <w:ind w:left="113" w:right="57"/>
              <w:jc w:val="right"/>
              <w:rPr>
                <w:rFonts w:ascii="Times New Roman" w:hAnsi="Times New Roman"/>
                <w:b/>
                <w:bCs/>
                <w:sz w:val="18"/>
                <w:lang w:val="fr-FR"/>
              </w:rPr>
            </w:pPr>
            <w:r w:rsidRPr="00472F36">
              <w:rPr>
                <w:rFonts w:ascii="Times New Roman" w:hAnsi="Times New Roman"/>
                <w:b/>
                <w:bCs/>
                <w:sz w:val="18"/>
                <w:lang w:val="fr-FR"/>
              </w:rPr>
              <w:t>251</w:t>
            </w:r>
          </w:p>
        </w:tc>
      </w:tr>
      <w:tr w:rsidR="005538A6" w:rsidRPr="00A176EA" w:rsidTr="00D541A6">
        <w:trPr>
          <w:cantSplit/>
          <w:trHeight w:val="240"/>
        </w:trPr>
        <w:tc>
          <w:tcPr>
            <w:tcW w:w="2943" w:type="dxa"/>
            <w:tcBorders>
              <w:bottom w:val="single" w:sz="4" w:space="0" w:color="auto"/>
            </w:tcBorders>
            <w:shd w:val="clear" w:color="auto" w:fill="auto"/>
          </w:tcPr>
          <w:p w:rsidR="000B562B" w:rsidRPr="00A176EA" w:rsidRDefault="005538A6" w:rsidP="00472F36">
            <w:pPr>
              <w:pStyle w:val="Text"/>
              <w:keepNext/>
              <w:keepLines/>
              <w:spacing w:before="40" w:after="40" w:line="220" w:lineRule="exact"/>
              <w:rPr>
                <w:rFonts w:ascii="Times New Roman" w:hAnsi="Times New Roman"/>
                <w:sz w:val="18"/>
                <w:lang w:val="fr-FR"/>
              </w:rPr>
            </w:pPr>
            <w:r>
              <w:rPr>
                <w:rFonts w:ascii="Times New Roman" w:hAnsi="Times New Roman"/>
                <w:sz w:val="18"/>
                <w:lang w:val="fr-FR"/>
              </w:rPr>
              <w:t>Internement</w:t>
            </w:r>
            <w:r w:rsidR="00FC2B97">
              <w:rPr>
                <w:rFonts w:ascii="Times New Roman" w:hAnsi="Times New Roman"/>
                <w:sz w:val="18"/>
                <w:lang w:val="fr-FR"/>
              </w:rPr>
              <w:t>:</w:t>
            </w:r>
            <w:r w:rsidR="006D07AA">
              <w:rPr>
                <w:rFonts w:ascii="Times New Roman" w:hAnsi="Times New Roman"/>
                <w:sz w:val="18"/>
                <w:lang w:val="fr-FR"/>
              </w:rPr>
              <w:t xml:space="preserve"> </w:t>
            </w:r>
            <w:r w:rsidR="000B562B" w:rsidRPr="00A176EA">
              <w:rPr>
                <w:rFonts w:ascii="Times New Roman" w:hAnsi="Times New Roman"/>
                <w:sz w:val="18"/>
                <w:lang w:val="fr-FR"/>
              </w:rPr>
              <w:br/>
            </w:r>
            <w:r w:rsidR="00FA4907">
              <w:rPr>
                <w:rFonts w:ascii="Times New Roman" w:hAnsi="Times New Roman"/>
                <w:sz w:val="18"/>
                <w:lang w:val="fr-FR"/>
              </w:rPr>
              <w:t>Jusqu’à</w:t>
            </w:r>
            <w:r w:rsidR="00FA4907" w:rsidRPr="00A176EA">
              <w:rPr>
                <w:rFonts w:ascii="Times New Roman" w:hAnsi="Times New Roman"/>
                <w:sz w:val="18"/>
                <w:lang w:val="fr-FR"/>
              </w:rPr>
              <w:t xml:space="preserve"> </w:t>
            </w:r>
            <w:r w:rsidR="00FA4907">
              <w:rPr>
                <w:rFonts w:ascii="Times New Roman" w:hAnsi="Times New Roman"/>
                <w:sz w:val="18"/>
                <w:lang w:val="fr-FR"/>
              </w:rPr>
              <w:t>12 mois</w:t>
            </w:r>
          </w:p>
        </w:tc>
        <w:tc>
          <w:tcPr>
            <w:tcW w:w="709" w:type="dxa"/>
            <w:tcBorders>
              <w:bottom w:val="single" w:sz="4" w:space="0" w:color="auto"/>
            </w:tcBorders>
            <w:shd w:val="clear" w:color="auto" w:fill="auto"/>
            <w:vAlign w:val="bottom"/>
          </w:tcPr>
          <w:p w:rsidR="000B562B" w:rsidRPr="00A176EA" w:rsidRDefault="000B562B" w:rsidP="00472F36">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9</w:t>
            </w:r>
          </w:p>
        </w:tc>
        <w:tc>
          <w:tcPr>
            <w:tcW w:w="709" w:type="dxa"/>
            <w:tcBorders>
              <w:bottom w:val="single" w:sz="4" w:space="0" w:color="auto"/>
            </w:tcBorders>
            <w:shd w:val="clear" w:color="auto" w:fill="auto"/>
            <w:vAlign w:val="bottom"/>
          </w:tcPr>
          <w:p w:rsidR="000B562B" w:rsidRPr="00A176EA" w:rsidRDefault="000B562B" w:rsidP="00472F36">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2</w:t>
            </w:r>
          </w:p>
        </w:tc>
        <w:tc>
          <w:tcPr>
            <w:tcW w:w="709" w:type="dxa"/>
            <w:tcBorders>
              <w:bottom w:val="single" w:sz="4" w:space="0" w:color="auto"/>
            </w:tcBorders>
            <w:shd w:val="clear" w:color="auto" w:fill="auto"/>
            <w:vAlign w:val="bottom"/>
          </w:tcPr>
          <w:p w:rsidR="000B562B" w:rsidRPr="00A176EA" w:rsidRDefault="000B562B" w:rsidP="00472F36">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5</w:t>
            </w:r>
          </w:p>
        </w:tc>
        <w:tc>
          <w:tcPr>
            <w:tcW w:w="708" w:type="dxa"/>
            <w:tcBorders>
              <w:bottom w:val="single" w:sz="4" w:space="0" w:color="auto"/>
            </w:tcBorders>
            <w:shd w:val="clear" w:color="auto" w:fill="auto"/>
            <w:vAlign w:val="bottom"/>
          </w:tcPr>
          <w:p w:rsidR="000B562B" w:rsidRPr="00A176EA" w:rsidRDefault="000B562B" w:rsidP="00472F36">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3</w:t>
            </w:r>
          </w:p>
        </w:tc>
        <w:tc>
          <w:tcPr>
            <w:tcW w:w="709" w:type="dxa"/>
            <w:tcBorders>
              <w:bottom w:val="single" w:sz="4" w:space="0" w:color="auto"/>
            </w:tcBorders>
            <w:shd w:val="clear" w:color="auto" w:fill="auto"/>
            <w:vAlign w:val="bottom"/>
          </w:tcPr>
          <w:p w:rsidR="000B562B" w:rsidRPr="00A176EA" w:rsidRDefault="000B562B" w:rsidP="00472F36">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1</w:t>
            </w:r>
          </w:p>
        </w:tc>
        <w:tc>
          <w:tcPr>
            <w:tcW w:w="709" w:type="dxa"/>
            <w:tcBorders>
              <w:bottom w:val="single" w:sz="4" w:space="0" w:color="auto"/>
            </w:tcBorders>
            <w:shd w:val="clear" w:color="auto" w:fill="auto"/>
            <w:vAlign w:val="bottom"/>
          </w:tcPr>
          <w:p w:rsidR="000B562B" w:rsidRPr="00A176EA" w:rsidRDefault="000B562B" w:rsidP="00472F36">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1</w:t>
            </w:r>
          </w:p>
        </w:tc>
        <w:tc>
          <w:tcPr>
            <w:tcW w:w="709" w:type="dxa"/>
            <w:tcBorders>
              <w:bottom w:val="single" w:sz="4" w:space="0" w:color="auto"/>
            </w:tcBorders>
            <w:shd w:val="clear" w:color="auto" w:fill="auto"/>
            <w:vAlign w:val="bottom"/>
          </w:tcPr>
          <w:p w:rsidR="000B562B" w:rsidRPr="00A176EA" w:rsidRDefault="000B562B" w:rsidP="00472F36">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1</w:t>
            </w:r>
          </w:p>
        </w:tc>
        <w:tc>
          <w:tcPr>
            <w:tcW w:w="1559" w:type="dxa"/>
            <w:tcBorders>
              <w:bottom w:val="single" w:sz="4" w:space="0" w:color="auto"/>
            </w:tcBorders>
            <w:shd w:val="clear" w:color="auto" w:fill="auto"/>
            <w:vAlign w:val="bottom"/>
          </w:tcPr>
          <w:p w:rsidR="000B562B" w:rsidRPr="00472F36" w:rsidRDefault="000B562B" w:rsidP="00472F36">
            <w:pPr>
              <w:pStyle w:val="Text"/>
              <w:keepNext/>
              <w:keepLines/>
              <w:spacing w:before="40" w:after="40" w:line="220" w:lineRule="exact"/>
              <w:ind w:left="113" w:right="57"/>
              <w:jc w:val="right"/>
              <w:rPr>
                <w:rFonts w:ascii="Times New Roman" w:hAnsi="Times New Roman"/>
                <w:b/>
                <w:bCs/>
                <w:sz w:val="18"/>
                <w:lang w:val="fr-FR"/>
              </w:rPr>
            </w:pPr>
            <w:r w:rsidRPr="00472F36">
              <w:rPr>
                <w:rFonts w:ascii="Times New Roman" w:hAnsi="Times New Roman"/>
                <w:b/>
                <w:bCs/>
                <w:sz w:val="18"/>
                <w:lang w:val="fr-FR"/>
              </w:rPr>
              <w:t>22</w:t>
            </w:r>
          </w:p>
        </w:tc>
      </w:tr>
      <w:tr w:rsidR="005538A6" w:rsidRPr="00D541A6" w:rsidTr="00D541A6">
        <w:trPr>
          <w:cantSplit/>
          <w:trHeight w:val="240"/>
        </w:trPr>
        <w:tc>
          <w:tcPr>
            <w:tcW w:w="2943" w:type="dxa"/>
            <w:tcBorders>
              <w:top w:val="single" w:sz="4" w:space="0" w:color="auto"/>
              <w:bottom w:val="single" w:sz="12" w:space="0" w:color="auto"/>
            </w:tcBorders>
            <w:shd w:val="clear" w:color="auto" w:fill="auto"/>
          </w:tcPr>
          <w:p w:rsidR="000B562B" w:rsidRPr="00D541A6" w:rsidRDefault="000B562B" w:rsidP="00D541A6">
            <w:pPr>
              <w:pStyle w:val="Text"/>
              <w:keepNext/>
              <w:keepLines/>
              <w:spacing w:before="80" w:after="80" w:line="220" w:lineRule="exact"/>
              <w:ind w:left="283"/>
              <w:rPr>
                <w:rFonts w:ascii="Times New Roman" w:hAnsi="Times New Roman"/>
                <w:b/>
                <w:bCs/>
                <w:sz w:val="18"/>
                <w:lang w:val="fr-FR"/>
              </w:rPr>
            </w:pPr>
            <w:r w:rsidRPr="00D541A6">
              <w:rPr>
                <w:rFonts w:ascii="Times New Roman" w:hAnsi="Times New Roman"/>
                <w:b/>
                <w:bCs/>
                <w:sz w:val="18"/>
                <w:lang w:val="fr-FR"/>
              </w:rPr>
              <w:t>Tota</w:t>
            </w:r>
            <w:r w:rsidR="00FA4907" w:rsidRPr="00D541A6">
              <w:rPr>
                <w:rFonts w:ascii="Times New Roman" w:hAnsi="Times New Roman"/>
                <w:b/>
                <w:bCs/>
                <w:sz w:val="18"/>
                <w:lang w:val="fr-FR"/>
              </w:rPr>
              <w:t>ux</w:t>
            </w:r>
          </w:p>
        </w:tc>
        <w:tc>
          <w:tcPr>
            <w:tcW w:w="709" w:type="dxa"/>
            <w:tcBorders>
              <w:top w:val="single" w:sz="4" w:space="0" w:color="auto"/>
              <w:bottom w:val="single" w:sz="12" w:space="0" w:color="auto"/>
            </w:tcBorders>
            <w:shd w:val="clear" w:color="auto" w:fill="auto"/>
            <w:vAlign w:val="bottom"/>
          </w:tcPr>
          <w:p w:rsidR="000B562B" w:rsidRPr="00D541A6" w:rsidRDefault="000B562B" w:rsidP="00D541A6">
            <w:pPr>
              <w:pStyle w:val="Text"/>
              <w:keepNext/>
              <w:keepLines/>
              <w:spacing w:before="80" w:after="80" w:line="220" w:lineRule="exact"/>
              <w:ind w:left="113" w:right="57"/>
              <w:jc w:val="right"/>
              <w:rPr>
                <w:rFonts w:ascii="Times New Roman" w:hAnsi="Times New Roman"/>
                <w:b/>
                <w:bCs/>
                <w:sz w:val="18"/>
                <w:lang w:val="fr-FR"/>
              </w:rPr>
            </w:pPr>
            <w:r w:rsidRPr="00D541A6">
              <w:rPr>
                <w:rFonts w:ascii="Times New Roman" w:hAnsi="Times New Roman"/>
                <w:b/>
                <w:bCs/>
                <w:sz w:val="18"/>
                <w:lang w:val="fr-FR"/>
              </w:rPr>
              <w:t>76</w:t>
            </w:r>
          </w:p>
        </w:tc>
        <w:tc>
          <w:tcPr>
            <w:tcW w:w="709" w:type="dxa"/>
            <w:tcBorders>
              <w:top w:val="single" w:sz="4" w:space="0" w:color="auto"/>
              <w:bottom w:val="single" w:sz="12" w:space="0" w:color="auto"/>
            </w:tcBorders>
            <w:shd w:val="clear" w:color="auto" w:fill="auto"/>
            <w:vAlign w:val="bottom"/>
          </w:tcPr>
          <w:p w:rsidR="000B562B" w:rsidRPr="00D541A6" w:rsidRDefault="000B562B" w:rsidP="00D541A6">
            <w:pPr>
              <w:pStyle w:val="Text"/>
              <w:keepNext/>
              <w:keepLines/>
              <w:spacing w:before="80" w:after="80" w:line="220" w:lineRule="exact"/>
              <w:ind w:left="113" w:right="57"/>
              <w:jc w:val="right"/>
              <w:rPr>
                <w:rFonts w:ascii="Times New Roman" w:hAnsi="Times New Roman"/>
                <w:b/>
                <w:bCs/>
                <w:sz w:val="18"/>
                <w:lang w:val="fr-FR"/>
              </w:rPr>
            </w:pPr>
            <w:r w:rsidRPr="00D541A6">
              <w:rPr>
                <w:rFonts w:ascii="Times New Roman" w:hAnsi="Times New Roman"/>
                <w:b/>
                <w:bCs/>
                <w:sz w:val="18"/>
                <w:lang w:val="fr-FR"/>
              </w:rPr>
              <w:t>99</w:t>
            </w:r>
          </w:p>
        </w:tc>
        <w:tc>
          <w:tcPr>
            <w:tcW w:w="709" w:type="dxa"/>
            <w:tcBorders>
              <w:top w:val="single" w:sz="4" w:space="0" w:color="auto"/>
              <w:bottom w:val="single" w:sz="12" w:space="0" w:color="auto"/>
            </w:tcBorders>
            <w:shd w:val="clear" w:color="auto" w:fill="auto"/>
            <w:vAlign w:val="bottom"/>
          </w:tcPr>
          <w:p w:rsidR="000B562B" w:rsidRPr="00D541A6" w:rsidRDefault="000B562B" w:rsidP="00D541A6">
            <w:pPr>
              <w:pStyle w:val="Text"/>
              <w:keepNext/>
              <w:keepLines/>
              <w:spacing w:before="80" w:after="80" w:line="220" w:lineRule="exact"/>
              <w:ind w:left="113" w:right="57"/>
              <w:jc w:val="right"/>
              <w:rPr>
                <w:rFonts w:ascii="Times New Roman" w:hAnsi="Times New Roman"/>
                <w:b/>
                <w:bCs/>
                <w:sz w:val="18"/>
                <w:lang w:val="fr-FR"/>
              </w:rPr>
            </w:pPr>
            <w:r w:rsidRPr="00D541A6">
              <w:rPr>
                <w:rFonts w:ascii="Times New Roman" w:hAnsi="Times New Roman"/>
                <w:b/>
                <w:bCs/>
                <w:sz w:val="18"/>
                <w:lang w:val="fr-FR"/>
              </w:rPr>
              <w:t>131</w:t>
            </w:r>
          </w:p>
        </w:tc>
        <w:tc>
          <w:tcPr>
            <w:tcW w:w="708" w:type="dxa"/>
            <w:tcBorders>
              <w:top w:val="single" w:sz="4" w:space="0" w:color="auto"/>
              <w:bottom w:val="single" w:sz="12" w:space="0" w:color="auto"/>
            </w:tcBorders>
            <w:shd w:val="clear" w:color="auto" w:fill="auto"/>
            <w:vAlign w:val="bottom"/>
          </w:tcPr>
          <w:p w:rsidR="000B562B" w:rsidRPr="00D541A6" w:rsidRDefault="000B562B" w:rsidP="00D541A6">
            <w:pPr>
              <w:pStyle w:val="Text"/>
              <w:keepNext/>
              <w:keepLines/>
              <w:spacing w:before="80" w:after="80" w:line="220" w:lineRule="exact"/>
              <w:ind w:left="113" w:right="57"/>
              <w:jc w:val="right"/>
              <w:rPr>
                <w:rFonts w:ascii="Times New Roman" w:hAnsi="Times New Roman"/>
                <w:b/>
                <w:bCs/>
                <w:sz w:val="18"/>
                <w:lang w:val="fr-FR"/>
              </w:rPr>
            </w:pPr>
            <w:r w:rsidRPr="00D541A6">
              <w:rPr>
                <w:rFonts w:ascii="Times New Roman" w:hAnsi="Times New Roman"/>
                <w:b/>
                <w:bCs/>
                <w:sz w:val="18"/>
                <w:lang w:val="fr-FR"/>
              </w:rPr>
              <w:t>96</w:t>
            </w:r>
          </w:p>
        </w:tc>
        <w:tc>
          <w:tcPr>
            <w:tcW w:w="709" w:type="dxa"/>
            <w:tcBorders>
              <w:top w:val="single" w:sz="4" w:space="0" w:color="auto"/>
              <w:bottom w:val="single" w:sz="12" w:space="0" w:color="auto"/>
            </w:tcBorders>
            <w:shd w:val="clear" w:color="auto" w:fill="auto"/>
            <w:vAlign w:val="bottom"/>
          </w:tcPr>
          <w:p w:rsidR="000B562B" w:rsidRPr="00D541A6" w:rsidRDefault="000B562B" w:rsidP="00D541A6">
            <w:pPr>
              <w:pStyle w:val="Text"/>
              <w:keepNext/>
              <w:keepLines/>
              <w:spacing w:before="80" w:after="80" w:line="220" w:lineRule="exact"/>
              <w:ind w:left="113" w:right="57"/>
              <w:jc w:val="right"/>
              <w:rPr>
                <w:rFonts w:ascii="Times New Roman" w:hAnsi="Times New Roman"/>
                <w:b/>
                <w:bCs/>
                <w:sz w:val="18"/>
                <w:lang w:val="fr-FR"/>
              </w:rPr>
            </w:pPr>
            <w:r w:rsidRPr="00D541A6">
              <w:rPr>
                <w:rFonts w:ascii="Times New Roman" w:hAnsi="Times New Roman"/>
                <w:b/>
                <w:bCs/>
                <w:sz w:val="18"/>
                <w:lang w:val="fr-FR"/>
              </w:rPr>
              <w:t>99</w:t>
            </w:r>
          </w:p>
        </w:tc>
        <w:tc>
          <w:tcPr>
            <w:tcW w:w="709" w:type="dxa"/>
            <w:tcBorders>
              <w:top w:val="single" w:sz="4" w:space="0" w:color="auto"/>
              <w:bottom w:val="single" w:sz="12" w:space="0" w:color="auto"/>
            </w:tcBorders>
            <w:shd w:val="clear" w:color="auto" w:fill="auto"/>
            <w:vAlign w:val="bottom"/>
          </w:tcPr>
          <w:p w:rsidR="000B562B" w:rsidRPr="00D541A6" w:rsidRDefault="000B562B" w:rsidP="00D541A6">
            <w:pPr>
              <w:pStyle w:val="Text"/>
              <w:keepNext/>
              <w:keepLines/>
              <w:spacing w:before="80" w:after="80" w:line="220" w:lineRule="exact"/>
              <w:ind w:left="113" w:right="57"/>
              <w:jc w:val="right"/>
              <w:rPr>
                <w:rFonts w:ascii="Times New Roman" w:hAnsi="Times New Roman"/>
                <w:b/>
                <w:bCs/>
                <w:sz w:val="18"/>
                <w:lang w:val="fr-FR"/>
              </w:rPr>
            </w:pPr>
            <w:r w:rsidRPr="00D541A6">
              <w:rPr>
                <w:rFonts w:ascii="Times New Roman" w:hAnsi="Times New Roman"/>
                <w:b/>
                <w:bCs/>
                <w:sz w:val="18"/>
                <w:lang w:val="fr-FR"/>
              </w:rPr>
              <w:t>93</w:t>
            </w:r>
          </w:p>
        </w:tc>
        <w:tc>
          <w:tcPr>
            <w:tcW w:w="709" w:type="dxa"/>
            <w:tcBorders>
              <w:top w:val="single" w:sz="4" w:space="0" w:color="auto"/>
              <w:bottom w:val="single" w:sz="12" w:space="0" w:color="auto"/>
            </w:tcBorders>
            <w:shd w:val="clear" w:color="auto" w:fill="auto"/>
            <w:vAlign w:val="bottom"/>
          </w:tcPr>
          <w:p w:rsidR="000B562B" w:rsidRPr="00D541A6" w:rsidRDefault="000B562B" w:rsidP="00D541A6">
            <w:pPr>
              <w:pStyle w:val="Text"/>
              <w:keepNext/>
              <w:keepLines/>
              <w:spacing w:before="80" w:after="80" w:line="220" w:lineRule="exact"/>
              <w:ind w:left="113" w:right="57"/>
              <w:jc w:val="right"/>
              <w:rPr>
                <w:rFonts w:ascii="Times New Roman" w:hAnsi="Times New Roman"/>
                <w:b/>
                <w:bCs/>
                <w:sz w:val="18"/>
                <w:lang w:val="fr-FR"/>
              </w:rPr>
            </w:pPr>
            <w:r w:rsidRPr="00D541A6">
              <w:rPr>
                <w:rFonts w:ascii="Times New Roman" w:hAnsi="Times New Roman"/>
                <w:b/>
                <w:bCs/>
                <w:sz w:val="18"/>
                <w:lang w:val="fr-FR"/>
              </w:rPr>
              <w:t>55</w:t>
            </w:r>
          </w:p>
        </w:tc>
        <w:tc>
          <w:tcPr>
            <w:tcW w:w="1559" w:type="dxa"/>
            <w:tcBorders>
              <w:top w:val="single" w:sz="4" w:space="0" w:color="auto"/>
              <w:bottom w:val="single" w:sz="12" w:space="0" w:color="auto"/>
            </w:tcBorders>
            <w:shd w:val="clear" w:color="auto" w:fill="auto"/>
            <w:vAlign w:val="bottom"/>
          </w:tcPr>
          <w:p w:rsidR="000B562B" w:rsidRPr="00D541A6" w:rsidRDefault="000B562B" w:rsidP="00D541A6">
            <w:pPr>
              <w:pStyle w:val="Text"/>
              <w:keepNext/>
              <w:keepLines/>
              <w:spacing w:before="80" w:after="80" w:line="220" w:lineRule="exact"/>
              <w:ind w:left="113" w:right="57"/>
              <w:jc w:val="right"/>
              <w:rPr>
                <w:rFonts w:ascii="Times New Roman" w:hAnsi="Times New Roman"/>
                <w:b/>
                <w:bCs/>
                <w:sz w:val="18"/>
                <w:lang w:val="fr-FR"/>
              </w:rPr>
            </w:pPr>
            <w:r w:rsidRPr="00D541A6">
              <w:rPr>
                <w:rFonts w:ascii="Times New Roman" w:hAnsi="Times New Roman"/>
                <w:b/>
                <w:bCs/>
                <w:sz w:val="18"/>
                <w:lang w:val="fr-FR"/>
              </w:rPr>
              <w:t>649</w:t>
            </w:r>
          </w:p>
        </w:tc>
      </w:tr>
    </w:tbl>
    <w:p w:rsidR="000B562B" w:rsidRPr="00A176EA" w:rsidRDefault="00FA4907" w:rsidP="004C051B">
      <w:pPr>
        <w:pStyle w:val="H23G"/>
        <w:rPr>
          <w:lang w:val="fr-FR"/>
        </w:rPr>
      </w:pPr>
      <w:r>
        <w:rPr>
          <w:lang w:val="fr-FR"/>
        </w:rPr>
        <w:t>Île de</w:t>
      </w:r>
      <w:r w:rsidR="000B562B" w:rsidRPr="00A176EA">
        <w:rPr>
          <w:lang w:val="fr-FR"/>
        </w:rPr>
        <w:t xml:space="preserve"> Man</w:t>
      </w:r>
    </w:p>
    <w:p w:rsidR="000B562B" w:rsidRPr="00A176EA" w:rsidRDefault="002549A9" w:rsidP="004C051B">
      <w:pPr>
        <w:pStyle w:val="SingleTxtG"/>
        <w:rPr>
          <w:lang w:val="fr-FR"/>
        </w:rPr>
      </w:pPr>
      <w:r w:rsidRPr="00A176EA">
        <w:rPr>
          <w:lang w:val="fr-FR"/>
        </w:rPr>
        <w:t>84.</w:t>
      </w:r>
      <w:r w:rsidRPr="00A176EA">
        <w:rPr>
          <w:lang w:val="fr-FR"/>
        </w:rPr>
        <w:tab/>
      </w:r>
      <w:r w:rsidR="005538A6">
        <w:rPr>
          <w:lang w:val="fr-FR"/>
        </w:rPr>
        <w:t>Il n’y a eu aucun décès en garde à vue au cours de la période à l’examen</w:t>
      </w:r>
      <w:r w:rsidR="000B562B" w:rsidRPr="00A176EA">
        <w:rPr>
          <w:lang w:val="fr-FR"/>
        </w:rPr>
        <w:t>.</w:t>
      </w:r>
    </w:p>
    <w:p w:rsidR="000B562B" w:rsidRPr="00A176EA" w:rsidRDefault="002549A9" w:rsidP="004C051B">
      <w:pPr>
        <w:pStyle w:val="SingleTxtG"/>
        <w:rPr>
          <w:lang w:val="fr-FR"/>
        </w:rPr>
      </w:pPr>
      <w:r w:rsidRPr="00A176EA">
        <w:rPr>
          <w:lang w:val="fr-FR"/>
        </w:rPr>
        <w:t>85.</w:t>
      </w:r>
      <w:r w:rsidRPr="00A176EA">
        <w:rPr>
          <w:lang w:val="fr-FR"/>
        </w:rPr>
        <w:tab/>
      </w:r>
      <w:r w:rsidR="00983CAD">
        <w:rPr>
          <w:lang w:val="fr-FR"/>
        </w:rPr>
        <w:t>Il n’y a eu aucun suicide dans la prison de l’île de Man depuis la présentation du troisième rapport périodique</w:t>
      </w:r>
      <w:r w:rsidR="000B562B" w:rsidRPr="00A176EA">
        <w:rPr>
          <w:lang w:val="fr-FR"/>
        </w:rPr>
        <w:t>.</w:t>
      </w:r>
    </w:p>
    <w:p w:rsidR="000B562B" w:rsidRPr="00A176EA" w:rsidRDefault="002549A9" w:rsidP="004C051B">
      <w:pPr>
        <w:pStyle w:val="SingleTxtG"/>
        <w:rPr>
          <w:lang w:val="fr-FR"/>
        </w:rPr>
      </w:pPr>
      <w:r w:rsidRPr="00A176EA">
        <w:rPr>
          <w:lang w:val="fr-FR"/>
        </w:rPr>
        <w:t>86.</w:t>
      </w:r>
      <w:r w:rsidRPr="00A176EA">
        <w:rPr>
          <w:lang w:val="fr-FR"/>
        </w:rPr>
        <w:tab/>
      </w:r>
      <w:r w:rsidR="00983CAD">
        <w:rPr>
          <w:lang w:val="fr-FR"/>
        </w:rPr>
        <w:t>Le Gouvernement de l’île de Man a ouvert un nouvel établissement pénitentiaire spécialement conçu pour répondre aux normes d’une prison moderne. Tous les détenus y ont été transférés et l’ancien établissement a été fermé</w:t>
      </w:r>
      <w:r w:rsidR="000B562B" w:rsidRPr="00A176EA">
        <w:rPr>
          <w:lang w:val="fr-FR"/>
        </w:rPr>
        <w:t>.</w:t>
      </w:r>
    </w:p>
    <w:p w:rsidR="000B562B" w:rsidRPr="00A176EA" w:rsidRDefault="002549A9" w:rsidP="004C051B">
      <w:pPr>
        <w:pStyle w:val="SingleTxtG"/>
        <w:rPr>
          <w:lang w:val="fr-FR"/>
        </w:rPr>
      </w:pPr>
      <w:r w:rsidRPr="00A176EA">
        <w:rPr>
          <w:lang w:val="fr-FR"/>
        </w:rPr>
        <w:t>87.</w:t>
      </w:r>
      <w:r w:rsidRPr="00A176EA">
        <w:rPr>
          <w:lang w:val="fr-FR"/>
        </w:rPr>
        <w:tab/>
      </w:r>
      <w:r w:rsidR="00983CAD">
        <w:rPr>
          <w:lang w:val="fr-FR"/>
        </w:rPr>
        <w:t xml:space="preserve">Les services de santé en milieu carcéral sont désormais dispensés en vertu d’un accord </w:t>
      </w:r>
      <w:r w:rsidR="00BB684A">
        <w:rPr>
          <w:lang w:val="fr-FR"/>
        </w:rPr>
        <w:t>contractuel</w:t>
      </w:r>
      <w:r w:rsidR="00983CAD">
        <w:rPr>
          <w:lang w:val="fr-FR"/>
        </w:rPr>
        <w:t xml:space="preserve"> avec le Ministère de la santé </w:t>
      </w:r>
      <w:r w:rsidR="00BB684A">
        <w:rPr>
          <w:lang w:val="fr-FR"/>
        </w:rPr>
        <w:t>précisant</w:t>
      </w:r>
      <w:r w:rsidR="00983CAD">
        <w:rPr>
          <w:lang w:val="fr-FR"/>
        </w:rPr>
        <w:t xml:space="preserve"> les normes de soins </w:t>
      </w:r>
      <w:r w:rsidR="00BB684A">
        <w:rPr>
          <w:lang w:val="fr-FR"/>
        </w:rPr>
        <w:t>appliquées</w:t>
      </w:r>
      <w:r w:rsidR="00983CAD">
        <w:rPr>
          <w:lang w:val="fr-FR"/>
        </w:rPr>
        <w:t xml:space="preserve">. Le personnel de santé se compose d’infirmiers/ères qualifiés </w:t>
      </w:r>
      <w:r w:rsidR="00BB684A">
        <w:rPr>
          <w:lang w:val="fr-FR"/>
        </w:rPr>
        <w:t xml:space="preserve">placés sous la responsabilité d’un directeur clinique du service de santé. Les détenus ont accès à des soins de santé appropriés, dont des services de psychiatrie, de traitement de la toxicomanie et de soins dentaires d’une qualité </w:t>
      </w:r>
      <w:r w:rsidR="00165726">
        <w:rPr>
          <w:lang w:val="fr-FR"/>
        </w:rPr>
        <w:t>équivalente</w:t>
      </w:r>
      <w:r w:rsidR="00BB684A">
        <w:rPr>
          <w:lang w:val="fr-FR"/>
        </w:rPr>
        <w:t xml:space="preserve"> à ceux dispensés au </w:t>
      </w:r>
      <w:r w:rsidR="00165726">
        <w:rPr>
          <w:lang w:val="fr-FR"/>
        </w:rPr>
        <w:t>grand public</w:t>
      </w:r>
      <w:r w:rsidR="000B562B" w:rsidRPr="00A176EA">
        <w:rPr>
          <w:lang w:val="fr-FR"/>
        </w:rPr>
        <w:t>.</w:t>
      </w:r>
    </w:p>
    <w:p w:rsidR="000B562B" w:rsidRPr="00A176EA" w:rsidRDefault="002549A9" w:rsidP="004C051B">
      <w:pPr>
        <w:pStyle w:val="SingleTxtG"/>
        <w:rPr>
          <w:lang w:val="fr-FR"/>
        </w:rPr>
      </w:pPr>
      <w:r w:rsidRPr="00A176EA">
        <w:rPr>
          <w:lang w:val="fr-FR"/>
        </w:rPr>
        <w:t>88.</w:t>
      </w:r>
      <w:r w:rsidRPr="00A176EA">
        <w:rPr>
          <w:lang w:val="fr-FR"/>
        </w:rPr>
        <w:tab/>
      </w:r>
      <w:r w:rsidR="00165726">
        <w:rPr>
          <w:lang w:val="fr-FR"/>
        </w:rPr>
        <w:t>Les Règles pénitentiaires de 2001 mentionnées dans le précédent rapport ont été modifiées par les Règles pénitentiaires (Modifications) de 2003</w:t>
      </w:r>
      <w:r w:rsidR="000B562B" w:rsidRPr="00A176EA">
        <w:rPr>
          <w:rStyle w:val="FootnoteReference"/>
          <w:bCs/>
          <w:szCs w:val="24"/>
        </w:rPr>
        <w:footnoteReference w:id="138"/>
      </w:r>
      <w:r w:rsidR="007473FB">
        <w:rPr>
          <w:lang w:val="fr-FR"/>
        </w:rPr>
        <w:t>.</w:t>
      </w:r>
    </w:p>
    <w:p w:rsidR="000B562B" w:rsidRPr="00A176EA" w:rsidRDefault="002549A9" w:rsidP="004C051B">
      <w:pPr>
        <w:pStyle w:val="SingleTxtG"/>
        <w:rPr>
          <w:lang w:val="fr-FR"/>
        </w:rPr>
      </w:pPr>
      <w:r w:rsidRPr="00A176EA">
        <w:rPr>
          <w:lang w:val="fr-FR"/>
        </w:rPr>
        <w:t>89.</w:t>
      </w:r>
      <w:r w:rsidRPr="00A176EA">
        <w:rPr>
          <w:lang w:val="fr-FR"/>
        </w:rPr>
        <w:tab/>
      </w:r>
      <w:r w:rsidR="00806CAA" w:rsidRPr="00806CAA">
        <w:rPr>
          <w:lang w:val="fr-FR"/>
        </w:rPr>
        <w:t xml:space="preserve">Le Comité d’inspection a été renommé </w:t>
      </w:r>
      <w:r w:rsidR="00632BA9" w:rsidRPr="00806CAA">
        <w:rPr>
          <w:lang w:val="fr-FR"/>
        </w:rPr>
        <w:t>Comité de surveillance indépendant e</w:t>
      </w:r>
      <w:r w:rsidR="000B562B" w:rsidRPr="00806CAA">
        <w:rPr>
          <w:lang w:val="fr-FR"/>
        </w:rPr>
        <w:t xml:space="preserve">n </w:t>
      </w:r>
      <w:r w:rsidR="00632BA9" w:rsidRPr="00806CAA">
        <w:rPr>
          <w:lang w:val="fr-FR"/>
        </w:rPr>
        <w:t>o</w:t>
      </w:r>
      <w:r w:rsidR="000B562B" w:rsidRPr="00806CAA">
        <w:rPr>
          <w:lang w:val="fr-FR"/>
        </w:rPr>
        <w:t>ctob</w:t>
      </w:r>
      <w:r w:rsidR="00632BA9" w:rsidRPr="00806CAA">
        <w:rPr>
          <w:lang w:val="fr-FR"/>
        </w:rPr>
        <w:t>re</w:t>
      </w:r>
      <w:r w:rsidR="000B562B" w:rsidRPr="00806CAA">
        <w:rPr>
          <w:lang w:val="fr-FR"/>
        </w:rPr>
        <w:t xml:space="preserve"> 2007.</w:t>
      </w:r>
      <w:r w:rsidR="000B562B" w:rsidRPr="00A176EA">
        <w:rPr>
          <w:lang w:val="fr-FR"/>
        </w:rPr>
        <w:t xml:space="preserve"> </w:t>
      </w:r>
      <w:r w:rsidR="00806CAA">
        <w:rPr>
          <w:lang w:val="fr-FR"/>
        </w:rPr>
        <w:t>Ce changement de nom instauré par la loi de 2007 sur la justice pénale, la police et les tribunaux</w:t>
      </w:r>
      <w:r w:rsidR="000B562B" w:rsidRPr="00A176EA">
        <w:rPr>
          <w:rStyle w:val="FootnoteReference"/>
          <w:szCs w:val="24"/>
        </w:rPr>
        <w:footnoteReference w:id="139"/>
      </w:r>
      <w:r w:rsidR="000B562B" w:rsidRPr="00A176EA">
        <w:rPr>
          <w:lang w:val="fr-FR"/>
        </w:rPr>
        <w:t xml:space="preserve"> </w:t>
      </w:r>
      <w:r w:rsidR="00806CAA">
        <w:rPr>
          <w:lang w:val="fr-FR"/>
        </w:rPr>
        <w:t xml:space="preserve">décrit mieux les fonctions de cet organisme. En vertu de la même loi, le Comité ne fait plus partie du processus de la Commission </w:t>
      </w:r>
      <w:r w:rsidR="00745B56">
        <w:rPr>
          <w:lang w:val="fr-FR"/>
        </w:rPr>
        <w:t>des libérations conditionnelles</w:t>
      </w:r>
      <w:r w:rsidR="00806CAA">
        <w:rPr>
          <w:lang w:val="fr-FR"/>
        </w:rPr>
        <w:t xml:space="preserve">. Toutes les affaires examinées par la Commission étaient auparavant transmises en premier lieu au Comité, qui les examinait et formulait des recommandations à la Commission. Il a été considéré que les questions de libération conditionnelle ne devaient être traitées que par la Commission </w:t>
      </w:r>
      <w:r w:rsidR="00745B56">
        <w:rPr>
          <w:lang w:val="fr-FR"/>
        </w:rPr>
        <w:t>des libérations conditionnelles</w:t>
      </w:r>
      <w:r w:rsidR="000B562B" w:rsidRPr="00A176EA">
        <w:rPr>
          <w:lang w:val="fr-FR"/>
        </w:rPr>
        <w:t>.</w:t>
      </w:r>
    </w:p>
    <w:p w:rsidR="000B562B" w:rsidRPr="00A176EA" w:rsidRDefault="002549A9" w:rsidP="004C051B">
      <w:pPr>
        <w:pStyle w:val="SingleTxtG"/>
        <w:rPr>
          <w:lang w:val="fr-FR"/>
        </w:rPr>
      </w:pPr>
      <w:r w:rsidRPr="00A176EA">
        <w:rPr>
          <w:lang w:val="fr-FR"/>
        </w:rPr>
        <w:t>90.</w:t>
      </w:r>
      <w:r w:rsidRPr="00A176EA">
        <w:rPr>
          <w:lang w:val="fr-FR"/>
        </w:rPr>
        <w:tab/>
      </w:r>
      <w:r w:rsidR="00A567A6">
        <w:rPr>
          <w:lang w:val="fr-FR"/>
        </w:rPr>
        <w:t xml:space="preserve">Comme indiqué dans le précédent rapport, les auditions dans un poste de police de personnes suspectées d’avoir commis une infraction doivent faire l’objet d’un enregistrement sonore et être réalisées dans des conditions rigoureusement contrôlées de façon à garantir la stricte exactitude de l’enregistrement. </w:t>
      </w:r>
      <w:r w:rsidR="00991797">
        <w:rPr>
          <w:lang w:val="fr-FR"/>
        </w:rPr>
        <w:t>Le projet de loi sur la justice pénale (Dispositions diverses), en cours d’examen par le Parlement, prévoit l’enregistrement vidéo des auditions</w:t>
      </w:r>
      <w:r w:rsidR="000B562B" w:rsidRPr="00A176EA">
        <w:rPr>
          <w:lang w:val="fr-FR"/>
        </w:rPr>
        <w:t>.</w:t>
      </w:r>
    </w:p>
    <w:p w:rsidR="000B562B" w:rsidRPr="00991797" w:rsidRDefault="009E24CA" w:rsidP="001C135E">
      <w:pPr>
        <w:pStyle w:val="H1G"/>
      </w:pPr>
      <w:bookmarkStart w:id="90" w:name="_Toc299724781"/>
      <w:r>
        <w:tab/>
      </w:r>
      <w:r>
        <w:tab/>
      </w:r>
      <w:r w:rsidR="000B562B" w:rsidRPr="00991797">
        <w:t xml:space="preserve">Articles 12 </w:t>
      </w:r>
      <w:r w:rsidR="007473FB" w:rsidRPr="00991797">
        <w:t>et</w:t>
      </w:r>
      <w:r w:rsidR="000B562B" w:rsidRPr="00991797">
        <w:t xml:space="preserve"> 13</w:t>
      </w:r>
      <w:bookmarkEnd w:id="90"/>
    </w:p>
    <w:p w:rsidR="000B562B" w:rsidRPr="00A176EA" w:rsidRDefault="000B562B" w:rsidP="004C051B">
      <w:pPr>
        <w:pStyle w:val="H23G"/>
        <w:rPr>
          <w:lang w:val="fr-FR"/>
        </w:rPr>
      </w:pPr>
      <w:r w:rsidRPr="00991797">
        <w:rPr>
          <w:lang w:val="fr-FR"/>
        </w:rPr>
        <w:t>Guern</w:t>
      </w:r>
      <w:r w:rsidR="00BF42ED" w:rsidRPr="00991797">
        <w:rPr>
          <w:lang w:val="fr-FR"/>
        </w:rPr>
        <w:t>e</w:t>
      </w:r>
      <w:r w:rsidRPr="00991797">
        <w:rPr>
          <w:lang w:val="fr-FR"/>
        </w:rPr>
        <w:t>sey</w:t>
      </w:r>
    </w:p>
    <w:p w:rsidR="000B562B" w:rsidRPr="00A176EA" w:rsidRDefault="00991797" w:rsidP="004C051B">
      <w:pPr>
        <w:pStyle w:val="H23G"/>
        <w:rPr>
          <w:lang w:val="fr-FR"/>
        </w:rPr>
      </w:pPr>
      <w:r>
        <w:rPr>
          <w:lang w:val="fr-FR"/>
        </w:rPr>
        <w:t>Enquêtes sur les décès en garde à vue ou en détention</w:t>
      </w:r>
    </w:p>
    <w:p w:rsidR="000B562B" w:rsidRPr="00A176EA" w:rsidRDefault="002549A9" w:rsidP="004C051B">
      <w:pPr>
        <w:pStyle w:val="SingleTxtG"/>
        <w:rPr>
          <w:lang w:val="fr-FR"/>
        </w:rPr>
      </w:pPr>
      <w:r w:rsidRPr="00A176EA">
        <w:rPr>
          <w:lang w:val="fr-FR"/>
        </w:rPr>
        <w:t>91.</w:t>
      </w:r>
      <w:r w:rsidRPr="00A176EA">
        <w:rPr>
          <w:lang w:val="fr-FR"/>
        </w:rPr>
        <w:tab/>
      </w:r>
      <w:r w:rsidR="00991797">
        <w:rPr>
          <w:lang w:val="fr-FR"/>
        </w:rPr>
        <w:t>Lorsqu’un décès survient en garde à vue ou en détention, un médecin examine le corps avant que l’un des officiers de justice (</w:t>
      </w:r>
      <w:r w:rsidR="004B2B67">
        <w:rPr>
          <w:lang w:val="fr-FR"/>
        </w:rPr>
        <w:t xml:space="preserve">le </w:t>
      </w:r>
      <w:r w:rsidR="00991797">
        <w:rPr>
          <w:lang w:val="fr-FR"/>
        </w:rPr>
        <w:t>Procureur de Sa Majesté</w:t>
      </w:r>
      <w:r w:rsidR="004B2B67">
        <w:rPr>
          <w:lang w:val="fr-FR"/>
        </w:rPr>
        <w:t xml:space="preserve"> ou le Contrôleur de Sa Majesté, tous deux nommés par la Couronne et indépendants des États) ne décide s’il y a lieu d’ouvrir une enquête. Toute enquête doit être menée par un juge ou un juge adjoint </w:t>
      </w:r>
      <w:r w:rsidR="00CE6AB7">
        <w:rPr>
          <w:lang w:val="fr-FR"/>
        </w:rPr>
        <w:t xml:space="preserve">du Tribunal d’instance </w:t>
      </w:r>
      <w:r w:rsidR="004B2B67">
        <w:rPr>
          <w:lang w:val="fr-FR"/>
        </w:rPr>
        <w:t xml:space="preserve">agissant en qualité de </w:t>
      </w:r>
      <w:r w:rsidR="004B2B67" w:rsidRPr="004B2B67">
        <w:rPr>
          <w:i/>
          <w:lang w:val="fr-FR"/>
        </w:rPr>
        <w:t>coroner</w:t>
      </w:r>
      <w:r w:rsidR="004B2B67">
        <w:rPr>
          <w:lang w:val="fr-FR"/>
        </w:rPr>
        <w:t xml:space="preserve">. </w:t>
      </w:r>
      <w:r w:rsidR="00DA76A6" w:rsidRPr="00504D31">
        <w:rPr>
          <w:lang w:val="fr-FR"/>
        </w:rPr>
        <w:t xml:space="preserve">L’Administration pénitentiaire de Guernesey a enregistré un décès en détention en 2008. </w:t>
      </w:r>
      <w:r w:rsidR="00BF42ED" w:rsidRPr="00504D31">
        <w:rPr>
          <w:lang w:val="fr-FR"/>
        </w:rPr>
        <w:t>L</w:t>
      </w:r>
      <w:r w:rsidR="000B562B" w:rsidRPr="00504D31">
        <w:rPr>
          <w:lang w:val="fr-FR"/>
        </w:rPr>
        <w:t xml:space="preserve">e </w:t>
      </w:r>
      <w:r w:rsidR="00BF42ED" w:rsidRPr="00504D31">
        <w:rPr>
          <w:snapToGrid w:val="0"/>
          <w:lang w:val="fr-FR"/>
        </w:rPr>
        <w:t xml:space="preserve">Médiateur </w:t>
      </w:r>
      <w:r w:rsidR="00BF42ED" w:rsidRPr="00504D31">
        <w:rPr>
          <w:lang w:val="fr-FR"/>
        </w:rPr>
        <w:t>des établissements pénitentiaires et de la probation</w:t>
      </w:r>
      <w:r w:rsidR="000B562B" w:rsidRPr="00504D31">
        <w:rPr>
          <w:lang w:val="fr-FR"/>
        </w:rPr>
        <w:t xml:space="preserve"> </w:t>
      </w:r>
      <w:r w:rsidR="00BF42ED" w:rsidRPr="00504D31">
        <w:rPr>
          <w:lang w:val="fr-FR"/>
        </w:rPr>
        <w:t xml:space="preserve">pour l’Angleterre et le </w:t>
      </w:r>
      <w:r w:rsidR="00DA76A6" w:rsidRPr="00504D31">
        <w:rPr>
          <w:lang w:val="fr-FR"/>
        </w:rPr>
        <w:t>p</w:t>
      </w:r>
      <w:r w:rsidR="005601A1" w:rsidRPr="00504D31">
        <w:rPr>
          <w:lang w:val="fr-FR"/>
        </w:rPr>
        <w:t>ays de Galles</w:t>
      </w:r>
      <w:r w:rsidR="000B562B" w:rsidRPr="00504D31">
        <w:rPr>
          <w:lang w:val="fr-FR"/>
        </w:rPr>
        <w:t xml:space="preserve"> (</w:t>
      </w:r>
      <w:r w:rsidR="0013278C" w:rsidRPr="00504D31">
        <w:rPr>
          <w:lang w:val="fr-FR"/>
        </w:rPr>
        <w:t>qui,</w:t>
      </w:r>
      <w:r w:rsidR="0013278C">
        <w:rPr>
          <w:lang w:val="fr-FR"/>
        </w:rPr>
        <w:t xml:space="preserve"> légalement, n’a ni rôle ni pouvoirs à Guernesey) a été invité à enquêter sur les circonstances de ce décès et a formulé des recommandations destinées à améliorer les pratiques locales</w:t>
      </w:r>
      <w:r w:rsidR="000B562B" w:rsidRPr="00A176EA">
        <w:rPr>
          <w:lang w:val="fr-FR"/>
        </w:rPr>
        <w:t>.</w:t>
      </w:r>
    </w:p>
    <w:p w:rsidR="000B562B" w:rsidRPr="00A176EA" w:rsidRDefault="002549A9" w:rsidP="004C051B">
      <w:pPr>
        <w:pStyle w:val="SingleTxtG"/>
        <w:rPr>
          <w:lang w:val="fr-FR"/>
        </w:rPr>
      </w:pPr>
      <w:r w:rsidRPr="00A176EA">
        <w:rPr>
          <w:lang w:val="fr-FR"/>
        </w:rPr>
        <w:t>92.</w:t>
      </w:r>
      <w:r w:rsidRPr="00A176EA">
        <w:rPr>
          <w:lang w:val="fr-FR"/>
        </w:rPr>
        <w:tab/>
      </w:r>
      <w:r w:rsidR="0013278C">
        <w:rPr>
          <w:lang w:val="fr-FR"/>
        </w:rPr>
        <w:t>Par ailleurs, la loi de 2008 sur les plaintes contre la police (Guernesey) porte</w:t>
      </w:r>
      <w:r w:rsidR="00E90AE8">
        <w:rPr>
          <w:lang w:val="fr-FR"/>
        </w:rPr>
        <w:t>ra</w:t>
      </w:r>
      <w:r w:rsidR="0013278C">
        <w:rPr>
          <w:lang w:val="fr-FR"/>
        </w:rPr>
        <w:t xml:space="preserve"> création de la Commission des plaintes </w:t>
      </w:r>
      <w:r w:rsidR="00E90AE8">
        <w:rPr>
          <w:lang w:val="fr-FR"/>
        </w:rPr>
        <w:t xml:space="preserve">contre la police, qui supervisera les enquêtes sur les plaintes portant sur les décès ou les </w:t>
      </w:r>
      <w:r w:rsidR="00504D31">
        <w:rPr>
          <w:lang w:val="fr-FR"/>
        </w:rPr>
        <w:t>blessures graves ou, si aucune plainte n’est déposée, sur les allégations d’infraction pénale ou disciplinaire commise par des fonctionnaires de police</w:t>
      </w:r>
      <w:r w:rsidR="000B562B" w:rsidRPr="00A176EA">
        <w:rPr>
          <w:lang w:val="fr-FR"/>
        </w:rPr>
        <w:t>.</w:t>
      </w:r>
    </w:p>
    <w:p w:rsidR="000B562B" w:rsidRPr="00504D31" w:rsidRDefault="006A0623" w:rsidP="004C051B">
      <w:pPr>
        <w:pStyle w:val="H23G"/>
        <w:rPr>
          <w:lang w:val="fr-FR"/>
        </w:rPr>
      </w:pPr>
      <w:r w:rsidRPr="00504D31">
        <w:rPr>
          <w:lang w:val="fr-FR"/>
        </w:rPr>
        <w:t xml:space="preserve">Service de contrôle des frontières de </w:t>
      </w:r>
      <w:r w:rsidR="000B562B" w:rsidRPr="00504D31">
        <w:rPr>
          <w:lang w:val="fr-FR"/>
        </w:rPr>
        <w:t>Guern</w:t>
      </w:r>
      <w:r w:rsidRPr="00504D31">
        <w:rPr>
          <w:lang w:val="fr-FR"/>
        </w:rPr>
        <w:t>esey</w:t>
      </w:r>
    </w:p>
    <w:p w:rsidR="000B562B" w:rsidRPr="00A176EA" w:rsidRDefault="002549A9" w:rsidP="004C051B">
      <w:pPr>
        <w:pStyle w:val="SingleTxtG"/>
        <w:rPr>
          <w:lang w:val="fr-FR"/>
        </w:rPr>
      </w:pPr>
      <w:r w:rsidRPr="00504D31">
        <w:rPr>
          <w:lang w:val="fr-FR"/>
        </w:rPr>
        <w:t>93.</w:t>
      </w:r>
      <w:r w:rsidRPr="00504D31">
        <w:rPr>
          <w:lang w:val="fr-FR"/>
        </w:rPr>
        <w:tab/>
      </w:r>
      <w:r w:rsidR="0013278C" w:rsidRPr="00504D31">
        <w:rPr>
          <w:lang w:val="fr-FR"/>
        </w:rPr>
        <w:t>L</w:t>
      </w:r>
      <w:r w:rsidR="000B562B" w:rsidRPr="00504D31">
        <w:rPr>
          <w:lang w:val="fr-FR"/>
        </w:rPr>
        <w:t xml:space="preserve">e </w:t>
      </w:r>
      <w:r w:rsidR="006A0623" w:rsidRPr="00504D31">
        <w:rPr>
          <w:lang w:val="fr-FR"/>
        </w:rPr>
        <w:t xml:space="preserve">Service de contrôle des frontières de Guernesey </w:t>
      </w:r>
      <w:r w:rsidR="00504D31">
        <w:rPr>
          <w:lang w:val="fr-FR"/>
        </w:rPr>
        <w:t>dispose d’une procédure pour traiter les décès en rétention, après quoi les services de police prennent l’enquête en charge</w:t>
      </w:r>
      <w:r w:rsidR="000B562B" w:rsidRPr="00A176EA">
        <w:rPr>
          <w:lang w:val="fr-FR"/>
        </w:rPr>
        <w:t>.</w:t>
      </w:r>
    </w:p>
    <w:p w:rsidR="000B562B" w:rsidRPr="00A176EA" w:rsidRDefault="002549A9" w:rsidP="004C051B">
      <w:pPr>
        <w:pStyle w:val="SingleTxtG"/>
        <w:rPr>
          <w:lang w:val="fr-FR"/>
        </w:rPr>
      </w:pPr>
      <w:r w:rsidRPr="00A176EA">
        <w:rPr>
          <w:lang w:val="fr-FR"/>
        </w:rPr>
        <w:t>94.</w:t>
      </w:r>
      <w:r w:rsidRPr="00A176EA">
        <w:rPr>
          <w:lang w:val="fr-FR"/>
        </w:rPr>
        <w:tab/>
      </w:r>
      <w:r w:rsidR="00504D31">
        <w:rPr>
          <w:lang w:val="fr-FR"/>
        </w:rPr>
        <w:t>Les plaintes des personnes en rétention sont traitées conformément à la politique et aux procédures disciplinaires internes. Elles sont transmises aux services de police, s’il y a lieu, en cas d’allégations de comportement criminel</w:t>
      </w:r>
      <w:r w:rsidR="000B562B" w:rsidRPr="00A176EA">
        <w:rPr>
          <w:lang w:val="fr-FR"/>
        </w:rPr>
        <w:t>.</w:t>
      </w:r>
    </w:p>
    <w:p w:rsidR="000B562B" w:rsidRPr="00A176EA" w:rsidRDefault="00504D31" w:rsidP="004C051B">
      <w:pPr>
        <w:pStyle w:val="H23G"/>
        <w:rPr>
          <w:lang w:val="fr-FR"/>
        </w:rPr>
      </w:pPr>
      <w:r>
        <w:rPr>
          <w:lang w:val="fr-FR"/>
        </w:rPr>
        <w:t>Évolution du système de plaintes contre la police</w:t>
      </w:r>
    </w:p>
    <w:p w:rsidR="000B562B" w:rsidRPr="00A176EA" w:rsidRDefault="002549A9" w:rsidP="004C051B">
      <w:pPr>
        <w:pStyle w:val="SingleTxtG"/>
        <w:rPr>
          <w:lang w:val="fr-FR"/>
        </w:rPr>
      </w:pPr>
      <w:r w:rsidRPr="00A176EA">
        <w:rPr>
          <w:lang w:val="fr-FR"/>
        </w:rPr>
        <w:t>95.</w:t>
      </w:r>
      <w:r w:rsidRPr="00A176EA">
        <w:rPr>
          <w:lang w:val="fr-FR"/>
        </w:rPr>
        <w:tab/>
      </w:r>
      <w:r w:rsidR="00504D31">
        <w:rPr>
          <w:lang w:val="fr-FR"/>
        </w:rPr>
        <w:t xml:space="preserve">La nouvelle </w:t>
      </w:r>
      <w:r w:rsidR="00504D31" w:rsidRPr="00504D31">
        <w:rPr>
          <w:lang w:val="fr-FR"/>
        </w:rPr>
        <w:t>loi de 2008 sur les plaintes contre la police (Guernesey)</w:t>
      </w:r>
      <w:r w:rsidR="00504D31">
        <w:rPr>
          <w:lang w:val="fr-FR"/>
        </w:rPr>
        <w:t xml:space="preserve"> modernisera le système de plaintes en introduisant un cadre précis dans lequel seront entendues les allégations à l’encontre d’un fonctionnaire de police. La loi permettra de traiter une plainte par l’un des moyens </w:t>
      </w:r>
      <w:r w:rsidR="000319EE">
        <w:rPr>
          <w:lang w:val="fr-FR"/>
        </w:rPr>
        <w:t>suivants</w:t>
      </w:r>
      <w:r w:rsidR="00FC2B97">
        <w:rPr>
          <w:lang w:val="fr-FR"/>
        </w:rPr>
        <w:t>:</w:t>
      </w:r>
    </w:p>
    <w:p w:rsidR="000B562B" w:rsidRPr="00A176EA" w:rsidRDefault="000B4D48" w:rsidP="009E24CA">
      <w:pPr>
        <w:pStyle w:val="Bullet1G"/>
      </w:pPr>
      <w:r>
        <w:t>Un</w:t>
      </w:r>
      <w:r w:rsidR="00504D31" w:rsidRPr="00CC1361">
        <w:t xml:space="preserve"> r</w:t>
      </w:r>
      <w:r w:rsidR="00BD3857" w:rsidRPr="00CC1361">
        <w:t>èglement amiable</w:t>
      </w:r>
      <w:r w:rsidR="000B562B" w:rsidRPr="00A176EA">
        <w:t xml:space="preserve">, </w:t>
      </w:r>
      <w:r w:rsidR="00CC1361">
        <w:t>par lequel le plaignant consent à ce qu’aucune procédure pénale ou disciplinaire ne soit engagée</w:t>
      </w:r>
      <w:r w:rsidR="000B562B" w:rsidRPr="00A176EA">
        <w:t>, o</w:t>
      </w:r>
      <w:r w:rsidR="00CC1361">
        <w:t>u</w:t>
      </w:r>
    </w:p>
    <w:p w:rsidR="000B562B" w:rsidRPr="000319EE" w:rsidRDefault="000B4D48" w:rsidP="009E24CA">
      <w:pPr>
        <w:pStyle w:val="Bullet1G"/>
      </w:pPr>
      <w:r>
        <w:t xml:space="preserve">Une </w:t>
      </w:r>
      <w:r w:rsidR="00CC1361">
        <w:t>enquête officielle</w:t>
      </w:r>
      <w:r w:rsidR="000319EE">
        <w:t xml:space="preserve"> qui</w:t>
      </w:r>
      <w:r w:rsidR="000B562B" w:rsidRPr="00A176EA">
        <w:t xml:space="preserve">, </w:t>
      </w:r>
      <w:r w:rsidR="000319EE">
        <w:t xml:space="preserve">à la demande du Chef de la police, doit être menée par un membre de la Force de police de l’île. Celui-ci, dans certaines circonstances, pourra être </w:t>
      </w:r>
      <w:r w:rsidR="000319EE" w:rsidRPr="000319EE">
        <w:t>supervisé par la Commission des plaintes contre la police de Guernesey</w:t>
      </w:r>
      <w:r w:rsidR="000B562B" w:rsidRPr="000319EE">
        <w:t>.</w:t>
      </w:r>
    </w:p>
    <w:p w:rsidR="000B562B" w:rsidRPr="00A176EA" w:rsidRDefault="002549A9" w:rsidP="004C051B">
      <w:pPr>
        <w:pStyle w:val="SingleTxtG"/>
        <w:rPr>
          <w:i/>
          <w:lang w:val="fr-FR"/>
        </w:rPr>
      </w:pPr>
      <w:r w:rsidRPr="000319EE">
        <w:rPr>
          <w:lang w:val="fr-FR"/>
        </w:rPr>
        <w:t>96.</w:t>
      </w:r>
      <w:r w:rsidRPr="000319EE">
        <w:rPr>
          <w:lang w:val="fr-FR"/>
        </w:rPr>
        <w:tab/>
      </w:r>
      <w:r w:rsidR="005B17FF">
        <w:rPr>
          <w:lang w:val="fr-FR"/>
        </w:rPr>
        <w:t xml:space="preserve">En l’absence de dépôt de plainte, la Commission des plaintes contre la police peut superviser une enquête pouvant aboutir à des poursuites pénales ou disciplinaires et a compétence pour requérir du Chef de la police qu’il engage une procédure disciplinaire ou transmette l’affaire au Procureur de Sa Majesté aux fins d’envisager des poursuites pénales. En cas d’action disciplinaire, l’affaire est entendue par </w:t>
      </w:r>
      <w:r w:rsidR="000B4D48">
        <w:rPr>
          <w:lang w:val="fr-FR"/>
        </w:rPr>
        <w:t>la Juridiction administrative chargée</w:t>
      </w:r>
      <w:r w:rsidR="005B17FF">
        <w:rPr>
          <w:lang w:val="fr-FR"/>
        </w:rPr>
        <w:t xml:space="preserve"> des plaintes, qui prononce le jugement qui lui semble approprié</w:t>
      </w:r>
      <w:r w:rsidR="000B562B" w:rsidRPr="00A176EA">
        <w:rPr>
          <w:lang w:val="fr-FR"/>
        </w:rPr>
        <w:t>.</w:t>
      </w:r>
    </w:p>
    <w:p w:rsidR="000B562B" w:rsidRPr="00A176EA" w:rsidRDefault="000B562B" w:rsidP="004C051B">
      <w:pPr>
        <w:pStyle w:val="H23G"/>
        <w:rPr>
          <w:lang w:val="fr-FR"/>
        </w:rPr>
      </w:pPr>
      <w:r w:rsidRPr="00A176EA">
        <w:rPr>
          <w:lang w:val="fr-FR"/>
        </w:rPr>
        <w:t>Acc</w:t>
      </w:r>
      <w:r w:rsidR="009801B6">
        <w:rPr>
          <w:lang w:val="fr-FR"/>
        </w:rPr>
        <w:t>è</w:t>
      </w:r>
      <w:r w:rsidRPr="00A176EA">
        <w:rPr>
          <w:lang w:val="fr-FR"/>
        </w:rPr>
        <w:t xml:space="preserve">s </w:t>
      </w:r>
      <w:r w:rsidR="009801B6">
        <w:rPr>
          <w:lang w:val="fr-FR"/>
        </w:rPr>
        <w:t>à des conseils juridiques</w:t>
      </w:r>
    </w:p>
    <w:p w:rsidR="000B562B" w:rsidRPr="00A176EA" w:rsidRDefault="002549A9" w:rsidP="004C051B">
      <w:pPr>
        <w:pStyle w:val="SingleTxtG"/>
        <w:rPr>
          <w:lang w:val="fr-FR"/>
        </w:rPr>
      </w:pPr>
      <w:r w:rsidRPr="00A176EA">
        <w:rPr>
          <w:lang w:val="fr-FR"/>
        </w:rPr>
        <w:t>97.</w:t>
      </w:r>
      <w:r w:rsidRPr="00A176EA">
        <w:rPr>
          <w:lang w:val="fr-FR"/>
        </w:rPr>
        <w:tab/>
      </w:r>
      <w:r w:rsidR="008A7454">
        <w:rPr>
          <w:lang w:val="fr-FR"/>
        </w:rPr>
        <w:t xml:space="preserve">Les États ont voulu protéger le détenu qui demande à s’entretenir avec un conseiller juridique en prenant l’ordonnance de 1998 relative à l’administration pénitentiaire (Guernesey). Dans le cadre actuel, la confidentialité est garantie par la mise à disposition d’un local où le détenu s’entretient avec son conseiller à portée de vue </w:t>
      </w:r>
      <w:r w:rsidR="002D0358">
        <w:rPr>
          <w:lang w:val="fr-FR"/>
        </w:rPr>
        <w:t xml:space="preserve">mais hors d’écoute </w:t>
      </w:r>
      <w:r w:rsidR="008A7454">
        <w:rPr>
          <w:lang w:val="fr-FR"/>
        </w:rPr>
        <w:t xml:space="preserve">des agents </w:t>
      </w:r>
      <w:r w:rsidR="006D07AA">
        <w:rPr>
          <w:lang w:val="fr-FR"/>
        </w:rPr>
        <w:t>pénitentiaires</w:t>
      </w:r>
      <w:r w:rsidR="008A7454">
        <w:rPr>
          <w:lang w:val="fr-FR"/>
        </w:rPr>
        <w:t>, qu’il s’agisse d’une affaire civile ou pénale. De plus, le détenu n’est pas limité dans sa correspondance avec ses conseillers. Il peut par ailleurs bénéficier du système général informel d’aide juridictionnelle qui existe à Guernesey</w:t>
      </w:r>
      <w:r w:rsidR="000B562B" w:rsidRPr="00A176EA">
        <w:rPr>
          <w:lang w:val="fr-FR"/>
        </w:rPr>
        <w:t>.</w:t>
      </w:r>
    </w:p>
    <w:p w:rsidR="000B562B" w:rsidRPr="00A176EA" w:rsidRDefault="000B562B" w:rsidP="004C051B">
      <w:pPr>
        <w:pStyle w:val="H23G"/>
        <w:rPr>
          <w:lang w:val="fr-FR"/>
        </w:rPr>
      </w:pPr>
      <w:r w:rsidRPr="008A7454">
        <w:rPr>
          <w:lang w:val="fr-FR"/>
        </w:rPr>
        <w:t xml:space="preserve">Protection </w:t>
      </w:r>
      <w:r w:rsidR="00BD3857" w:rsidRPr="008A7454">
        <w:rPr>
          <w:lang w:val="fr-FR"/>
        </w:rPr>
        <w:t>des plaignants et des témoins</w:t>
      </w:r>
    </w:p>
    <w:p w:rsidR="000B562B" w:rsidRPr="00A176EA" w:rsidRDefault="002549A9" w:rsidP="004C051B">
      <w:pPr>
        <w:pStyle w:val="SingleTxtG"/>
        <w:rPr>
          <w:lang w:val="fr-FR"/>
        </w:rPr>
      </w:pPr>
      <w:r w:rsidRPr="00A176EA">
        <w:rPr>
          <w:lang w:val="fr-FR"/>
        </w:rPr>
        <w:t>98.</w:t>
      </w:r>
      <w:r w:rsidRPr="00A176EA">
        <w:rPr>
          <w:lang w:val="fr-FR"/>
        </w:rPr>
        <w:tab/>
      </w:r>
      <w:r w:rsidR="008A7454">
        <w:rPr>
          <w:lang w:val="fr-FR"/>
        </w:rPr>
        <w:t xml:space="preserve">Pour veiller à </w:t>
      </w:r>
      <w:r w:rsidR="00C875EB">
        <w:rPr>
          <w:lang w:val="fr-FR"/>
        </w:rPr>
        <w:t>la protection d</w:t>
      </w:r>
      <w:r w:rsidR="008A7454">
        <w:rPr>
          <w:lang w:val="fr-FR"/>
        </w:rPr>
        <w:t xml:space="preserve">es personnes qui coopèrent à une enquête sur une infraction ou sont témoins ou témoins potentiels, </w:t>
      </w:r>
      <w:r w:rsidR="008A7454" w:rsidRPr="00A24987">
        <w:rPr>
          <w:lang w:val="fr-FR"/>
        </w:rPr>
        <w:t>les</w:t>
      </w:r>
      <w:r w:rsidR="000B562B" w:rsidRPr="00A24987">
        <w:rPr>
          <w:lang w:val="fr-FR"/>
        </w:rPr>
        <w:t xml:space="preserve"> </w:t>
      </w:r>
      <w:r w:rsidR="008A7454" w:rsidRPr="00A24987">
        <w:rPr>
          <w:lang w:val="fr-FR"/>
        </w:rPr>
        <w:t>États ont adopté</w:t>
      </w:r>
      <w:r w:rsidR="000B562B" w:rsidRPr="00A24987">
        <w:rPr>
          <w:lang w:val="fr-FR"/>
        </w:rPr>
        <w:t xml:space="preserve"> </w:t>
      </w:r>
      <w:r w:rsidR="00BD3857" w:rsidRPr="00A24987">
        <w:rPr>
          <w:lang w:val="fr-FR"/>
        </w:rPr>
        <w:t>la loi de 2006 sur la justice pénale</w:t>
      </w:r>
      <w:r w:rsidR="000B562B" w:rsidRPr="00A24987">
        <w:rPr>
          <w:i/>
          <w:lang w:val="fr-FR"/>
        </w:rPr>
        <w:t xml:space="preserve"> </w:t>
      </w:r>
      <w:r w:rsidR="00BD3857" w:rsidRPr="00A24987">
        <w:rPr>
          <w:lang w:val="fr-FR"/>
        </w:rPr>
        <w:t xml:space="preserve">(Dispositions diverses) </w:t>
      </w:r>
      <w:r w:rsidR="000B562B" w:rsidRPr="00A24987">
        <w:rPr>
          <w:lang w:val="fr-FR"/>
        </w:rPr>
        <w:t>(</w:t>
      </w:r>
      <w:r w:rsidR="002232D2" w:rsidRPr="00A24987">
        <w:rPr>
          <w:lang w:val="fr-FR"/>
        </w:rPr>
        <w:t>Bailliage de Guernesey</w:t>
      </w:r>
      <w:r w:rsidR="000B562B" w:rsidRPr="00A24987">
        <w:rPr>
          <w:lang w:val="fr-FR"/>
        </w:rPr>
        <w:t xml:space="preserve">), </w:t>
      </w:r>
      <w:r w:rsidR="008A7454" w:rsidRPr="00A24987">
        <w:rPr>
          <w:lang w:val="fr-FR"/>
        </w:rPr>
        <w:t>qui</w:t>
      </w:r>
      <w:r w:rsidR="008A7454">
        <w:rPr>
          <w:lang w:val="fr-FR"/>
        </w:rPr>
        <w:t xml:space="preserve"> incrimine quiconque intimide ces personnes, leur porte atteinte ou menace de leur porter atteinte</w:t>
      </w:r>
      <w:r w:rsidR="000B562B" w:rsidRPr="00A176EA">
        <w:rPr>
          <w:lang w:val="fr-FR"/>
        </w:rPr>
        <w:t>.</w:t>
      </w:r>
    </w:p>
    <w:p w:rsidR="000B562B" w:rsidRPr="00A176EA" w:rsidRDefault="002549A9" w:rsidP="009E24CA">
      <w:pPr>
        <w:pStyle w:val="SingleTxtG"/>
        <w:spacing w:after="240"/>
        <w:rPr>
          <w:lang w:val="fr-FR"/>
        </w:rPr>
      </w:pPr>
      <w:r w:rsidRPr="00A176EA">
        <w:rPr>
          <w:lang w:val="fr-FR"/>
        </w:rPr>
        <w:t>99.</w:t>
      </w:r>
      <w:r w:rsidRPr="00A176EA">
        <w:rPr>
          <w:lang w:val="fr-FR"/>
        </w:rPr>
        <w:tab/>
      </w:r>
      <w:r w:rsidR="00A24987">
        <w:rPr>
          <w:lang w:val="fr-FR"/>
        </w:rPr>
        <w:t>Les statistiques disponibles sur les suicides en garde à vue</w:t>
      </w:r>
      <w:r w:rsidR="00391296">
        <w:rPr>
          <w:lang w:val="fr-FR"/>
        </w:rPr>
        <w:t xml:space="preserve"> </w:t>
      </w:r>
      <w:r w:rsidR="002D0358">
        <w:rPr>
          <w:lang w:val="fr-FR"/>
        </w:rPr>
        <w:t xml:space="preserve">et en détention, </w:t>
      </w:r>
      <w:r w:rsidR="00391296">
        <w:rPr>
          <w:lang w:val="fr-FR"/>
        </w:rPr>
        <w:t xml:space="preserve">et </w:t>
      </w:r>
      <w:r w:rsidR="00A24987">
        <w:rPr>
          <w:lang w:val="fr-FR"/>
        </w:rPr>
        <w:t xml:space="preserve">les plaintes contre des fonctionnaires de police, des agents pénitentiaires et des personnels </w:t>
      </w:r>
      <w:r w:rsidR="00391296">
        <w:rPr>
          <w:lang w:val="fr-FR"/>
        </w:rPr>
        <w:t>des services de santé mentale figurent dans le tableau ci-dessous</w:t>
      </w:r>
      <w:r w:rsidR="000B562B" w:rsidRPr="00A176EA">
        <w:rPr>
          <w:lang w:val="fr-FR"/>
        </w:rPr>
        <w:t>.</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435"/>
        <w:gridCol w:w="705"/>
        <w:gridCol w:w="705"/>
        <w:gridCol w:w="705"/>
        <w:gridCol w:w="705"/>
        <w:gridCol w:w="705"/>
        <w:gridCol w:w="705"/>
        <w:gridCol w:w="705"/>
      </w:tblGrid>
      <w:tr w:rsidR="000B562B" w:rsidRPr="00A176EA">
        <w:trPr>
          <w:cantSplit/>
          <w:trHeight w:val="240"/>
          <w:tblHeader/>
        </w:trPr>
        <w:tc>
          <w:tcPr>
            <w:tcW w:w="3119" w:type="dxa"/>
            <w:tcBorders>
              <w:top w:val="single" w:sz="4" w:space="0" w:color="auto"/>
              <w:bottom w:val="single" w:sz="12" w:space="0" w:color="auto"/>
            </w:tcBorders>
            <w:shd w:val="clear" w:color="auto" w:fill="auto"/>
            <w:vAlign w:val="bottom"/>
          </w:tcPr>
          <w:p w:rsidR="000B562B" w:rsidRPr="00A176EA" w:rsidRDefault="000B562B" w:rsidP="004C051B">
            <w:pPr>
              <w:pStyle w:val="Text"/>
              <w:spacing w:before="80" w:after="80" w:line="200" w:lineRule="exact"/>
              <w:rPr>
                <w:rFonts w:ascii="Times New Roman" w:hAnsi="Times New Roman"/>
                <w:i/>
                <w:sz w:val="16"/>
                <w:lang w:val="fr-FR"/>
              </w:rPr>
            </w:pPr>
          </w:p>
        </w:tc>
        <w:tc>
          <w:tcPr>
            <w:tcW w:w="794" w:type="dxa"/>
            <w:tcBorders>
              <w:top w:val="single" w:sz="4" w:space="0" w:color="auto"/>
              <w:bottom w:val="single" w:sz="12" w:space="0" w:color="auto"/>
            </w:tcBorders>
            <w:shd w:val="clear" w:color="auto" w:fill="auto"/>
            <w:vAlign w:val="bottom"/>
          </w:tcPr>
          <w:p w:rsidR="000B562B" w:rsidRPr="00A176EA" w:rsidRDefault="000B562B" w:rsidP="009E24CA">
            <w:pPr>
              <w:pStyle w:val="Text"/>
              <w:spacing w:before="80" w:after="80" w:line="200" w:lineRule="exact"/>
              <w:ind w:left="113" w:right="57"/>
              <w:jc w:val="right"/>
              <w:rPr>
                <w:rFonts w:ascii="Times New Roman" w:hAnsi="Times New Roman"/>
                <w:i/>
                <w:sz w:val="16"/>
                <w:lang w:val="fr-FR"/>
              </w:rPr>
            </w:pPr>
            <w:r w:rsidRPr="00A176EA">
              <w:rPr>
                <w:rFonts w:ascii="Times New Roman" w:hAnsi="Times New Roman"/>
                <w:i/>
                <w:sz w:val="16"/>
                <w:lang w:val="fr-FR"/>
              </w:rPr>
              <w:t>2003</w:t>
            </w:r>
          </w:p>
        </w:tc>
        <w:tc>
          <w:tcPr>
            <w:tcW w:w="794" w:type="dxa"/>
            <w:tcBorders>
              <w:top w:val="single" w:sz="4" w:space="0" w:color="auto"/>
              <w:bottom w:val="single" w:sz="12" w:space="0" w:color="auto"/>
            </w:tcBorders>
            <w:shd w:val="clear" w:color="auto" w:fill="auto"/>
            <w:vAlign w:val="bottom"/>
          </w:tcPr>
          <w:p w:rsidR="000B562B" w:rsidRPr="00A176EA" w:rsidRDefault="000B562B" w:rsidP="009E24CA">
            <w:pPr>
              <w:pStyle w:val="Text"/>
              <w:spacing w:before="80" w:after="80" w:line="200" w:lineRule="exact"/>
              <w:ind w:left="113" w:right="57"/>
              <w:jc w:val="right"/>
              <w:rPr>
                <w:rFonts w:ascii="Times New Roman" w:hAnsi="Times New Roman"/>
                <w:i/>
                <w:sz w:val="16"/>
                <w:lang w:val="fr-FR"/>
              </w:rPr>
            </w:pPr>
            <w:r w:rsidRPr="00A176EA">
              <w:rPr>
                <w:rFonts w:ascii="Times New Roman" w:hAnsi="Times New Roman"/>
                <w:i/>
                <w:sz w:val="16"/>
                <w:lang w:val="fr-FR"/>
              </w:rPr>
              <w:t>2004</w:t>
            </w:r>
          </w:p>
        </w:tc>
        <w:tc>
          <w:tcPr>
            <w:tcW w:w="794" w:type="dxa"/>
            <w:tcBorders>
              <w:top w:val="single" w:sz="4" w:space="0" w:color="auto"/>
              <w:bottom w:val="single" w:sz="12" w:space="0" w:color="auto"/>
            </w:tcBorders>
            <w:shd w:val="clear" w:color="auto" w:fill="auto"/>
            <w:vAlign w:val="bottom"/>
          </w:tcPr>
          <w:p w:rsidR="000B562B" w:rsidRPr="00A176EA" w:rsidRDefault="000B562B" w:rsidP="009E24CA">
            <w:pPr>
              <w:pStyle w:val="Text"/>
              <w:spacing w:before="80" w:after="80" w:line="200" w:lineRule="exact"/>
              <w:ind w:left="113" w:right="57"/>
              <w:jc w:val="right"/>
              <w:rPr>
                <w:rFonts w:ascii="Times New Roman" w:hAnsi="Times New Roman"/>
                <w:i/>
                <w:sz w:val="16"/>
                <w:lang w:val="fr-FR"/>
              </w:rPr>
            </w:pPr>
            <w:r w:rsidRPr="00A176EA">
              <w:rPr>
                <w:rFonts w:ascii="Times New Roman" w:hAnsi="Times New Roman"/>
                <w:i/>
                <w:sz w:val="16"/>
                <w:lang w:val="fr-FR"/>
              </w:rPr>
              <w:t>2005</w:t>
            </w:r>
          </w:p>
        </w:tc>
        <w:tc>
          <w:tcPr>
            <w:tcW w:w="794" w:type="dxa"/>
            <w:tcBorders>
              <w:top w:val="single" w:sz="4" w:space="0" w:color="auto"/>
              <w:bottom w:val="single" w:sz="12" w:space="0" w:color="auto"/>
            </w:tcBorders>
            <w:shd w:val="clear" w:color="auto" w:fill="auto"/>
            <w:vAlign w:val="bottom"/>
          </w:tcPr>
          <w:p w:rsidR="000B562B" w:rsidRPr="00A176EA" w:rsidRDefault="000B562B" w:rsidP="009E24CA">
            <w:pPr>
              <w:pStyle w:val="Text"/>
              <w:spacing w:before="80" w:after="80" w:line="200" w:lineRule="exact"/>
              <w:ind w:left="113" w:right="57"/>
              <w:jc w:val="right"/>
              <w:rPr>
                <w:rFonts w:ascii="Times New Roman" w:hAnsi="Times New Roman"/>
                <w:i/>
                <w:sz w:val="16"/>
                <w:lang w:val="fr-FR"/>
              </w:rPr>
            </w:pPr>
            <w:r w:rsidRPr="00A176EA">
              <w:rPr>
                <w:rFonts w:ascii="Times New Roman" w:hAnsi="Times New Roman"/>
                <w:i/>
                <w:sz w:val="16"/>
                <w:lang w:val="fr-FR"/>
              </w:rPr>
              <w:t>2006</w:t>
            </w:r>
          </w:p>
        </w:tc>
        <w:tc>
          <w:tcPr>
            <w:tcW w:w="794" w:type="dxa"/>
            <w:tcBorders>
              <w:top w:val="single" w:sz="4" w:space="0" w:color="auto"/>
              <w:bottom w:val="single" w:sz="12" w:space="0" w:color="auto"/>
            </w:tcBorders>
            <w:shd w:val="clear" w:color="auto" w:fill="auto"/>
            <w:vAlign w:val="bottom"/>
          </w:tcPr>
          <w:p w:rsidR="000B562B" w:rsidRPr="00A176EA" w:rsidRDefault="000B562B" w:rsidP="009E24CA">
            <w:pPr>
              <w:pStyle w:val="Text"/>
              <w:spacing w:before="80" w:after="80" w:line="200" w:lineRule="exact"/>
              <w:ind w:left="113" w:right="57"/>
              <w:jc w:val="right"/>
              <w:rPr>
                <w:rFonts w:ascii="Times New Roman" w:hAnsi="Times New Roman"/>
                <w:i/>
                <w:sz w:val="16"/>
                <w:lang w:val="fr-FR"/>
              </w:rPr>
            </w:pPr>
            <w:r w:rsidRPr="00A176EA">
              <w:rPr>
                <w:rFonts w:ascii="Times New Roman" w:hAnsi="Times New Roman"/>
                <w:i/>
                <w:sz w:val="16"/>
                <w:lang w:val="fr-FR"/>
              </w:rPr>
              <w:t>2007</w:t>
            </w:r>
          </w:p>
        </w:tc>
        <w:tc>
          <w:tcPr>
            <w:tcW w:w="794" w:type="dxa"/>
            <w:tcBorders>
              <w:top w:val="single" w:sz="4" w:space="0" w:color="auto"/>
              <w:bottom w:val="single" w:sz="12" w:space="0" w:color="auto"/>
            </w:tcBorders>
            <w:shd w:val="clear" w:color="auto" w:fill="auto"/>
            <w:vAlign w:val="bottom"/>
          </w:tcPr>
          <w:p w:rsidR="000B562B" w:rsidRPr="00A176EA" w:rsidRDefault="000B562B" w:rsidP="009E24CA">
            <w:pPr>
              <w:pStyle w:val="Text"/>
              <w:spacing w:before="80" w:after="80" w:line="200" w:lineRule="exact"/>
              <w:ind w:left="113" w:right="57"/>
              <w:jc w:val="right"/>
              <w:rPr>
                <w:rFonts w:ascii="Times New Roman" w:hAnsi="Times New Roman"/>
                <w:i/>
                <w:sz w:val="16"/>
                <w:lang w:val="fr-FR"/>
              </w:rPr>
            </w:pPr>
            <w:r w:rsidRPr="00A176EA">
              <w:rPr>
                <w:rFonts w:ascii="Times New Roman" w:hAnsi="Times New Roman"/>
                <w:i/>
                <w:sz w:val="16"/>
                <w:lang w:val="fr-FR"/>
              </w:rPr>
              <w:t>2008</w:t>
            </w:r>
          </w:p>
        </w:tc>
        <w:tc>
          <w:tcPr>
            <w:tcW w:w="794" w:type="dxa"/>
            <w:tcBorders>
              <w:top w:val="single" w:sz="4" w:space="0" w:color="auto"/>
              <w:bottom w:val="single" w:sz="12" w:space="0" w:color="auto"/>
            </w:tcBorders>
            <w:shd w:val="clear" w:color="auto" w:fill="auto"/>
            <w:vAlign w:val="bottom"/>
          </w:tcPr>
          <w:p w:rsidR="000B562B" w:rsidRPr="00A176EA" w:rsidRDefault="000B562B" w:rsidP="009E24CA">
            <w:pPr>
              <w:pStyle w:val="Text"/>
              <w:spacing w:before="80" w:after="80" w:line="200" w:lineRule="exact"/>
              <w:ind w:left="113" w:right="57"/>
              <w:jc w:val="right"/>
              <w:rPr>
                <w:rFonts w:ascii="Times New Roman" w:hAnsi="Times New Roman"/>
                <w:i/>
                <w:sz w:val="16"/>
                <w:lang w:val="fr-FR"/>
              </w:rPr>
            </w:pPr>
            <w:r w:rsidRPr="00A176EA">
              <w:rPr>
                <w:rFonts w:ascii="Times New Roman" w:hAnsi="Times New Roman"/>
                <w:i/>
                <w:sz w:val="16"/>
                <w:lang w:val="fr-FR"/>
              </w:rPr>
              <w:t>2009</w:t>
            </w:r>
          </w:p>
        </w:tc>
      </w:tr>
      <w:tr w:rsidR="000B562B" w:rsidRPr="00F93490">
        <w:trPr>
          <w:cantSplit/>
          <w:trHeight w:val="240"/>
        </w:trPr>
        <w:tc>
          <w:tcPr>
            <w:tcW w:w="3119" w:type="dxa"/>
            <w:tcBorders>
              <w:top w:val="single" w:sz="12" w:space="0" w:color="auto"/>
            </w:tcBorders>
            <w:shd w:val="clear" w:color="auto" w:fill="auto"/>
          </w:tcPr>
          <w:p w:rsidR="000B562B" w:rsidRPr="00F93490" w:rsidRDefault="000B562B" w:rsidP="004C051B">
            <w:pPr>
              <w:pStyle w:val="Text"/>
              <w:spacing w:before="40" w:after="40" w:line="220" w:lineRule="exact"/>
              <w:rPr>
                <w:rFonts w:ascii="Times New Roman" w:hAnsi="Times New Roman"/>
                <w:sz w:val="18"/>
                <w:lang w:val="fr-FR"/>
              </w:rPr>
            </w:pPr>
            <w:r w:rsidRPr="00F93490">
              <w:rPr>
                <w:rFonts w:ascii="Times New Roman" w:hAnsi="Times New Roman"/>
                <w:sz w:val="18"/>
                <w:lang w:val="fr-FR"/>
              </w:rPr>
              <w:t>Police</w:t>
            </w:r>
          </w:p>
        </w:tc>
        <w:tc>
          <w:tcPr>
            <w:tcW w:w="794" w:type="dxa"/>
            <w:tcBorders>
              <w:top w:val="single" w:sz="12" w:space="0" w:color="auto"/>
            </w:tcBorders>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lang w:val="fr-FR"/>
              </w:rPr>
            </w:pPr>
          </w:p>
        </w:tc>
        <w:tc>
          <w:tcPr>
            <w:tcW w:w="794" w:type="dxa"/>
            <w:tcBorders>
              <w:top w:val="single" w:sz="12" w:space="0" w:color="auto"/>
            </w:tcBorders>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lang w:val="fr-FR"/>
              </w:rPr>
            </w:pPr>
          </w:p>
        </w:tc>
        <w:tc>
          <w:tcPr>
            <w:tcW w:w="794" w:type="dxa"/>
            <w:tcBorders>
              <w:top w:val="single" w:sz="12" w:space="0" w:color="auto"/>
            </w:tcBorders>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lang w:val="fr-FR"/>
              </w:rPr>
            </w:pPr>
          </w:p>
        </w:tc>
        <w:tc>
          <w:tcPr>
            <w:tcW w:w="794" w:type="dxa"/>
            <w:tcBorders>
              <w:top w:val="single" w:sz="12" w:space="0" w:color="auto"/>
            </w:tcBorders>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lang w:val="fr-FR"/>
              </w:rPr>
            </w:pPr>
          </w:p>
        </w:tc>
        <w:tc>
          <w:tcPr>
            <w:tcW w:w="794" w:type="dxa"/>
            <w:tcBorders>
              <w:top w:val="single" w:sz="12" w:space="0" w:color="auto"/>
            </w:tcBorders>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lang w:val="fr-FR"/>
              </w:rPr>
            </w:pPr>
          </w:p>
        </w:tc>
        <w:tc>
          <w:tcPr>
            <w:tcW w:w="794" w:type="dxa"/>
            <w:tcBorders>
              <w:top w:val="single" w:sz="12" w:space="0" w:color="auto"/>
            </w:tcBorders>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lang w:val="fr-FR"/>
              </w:rPr>
            </w:pPr>
          </w:p>
        </w:tc>
        <w:tc>
          <w:tcPr>
            <w:tcW w:w="794" w:type="dxa"/>
            <w:tcBorders>
              <w:top w:val="single" w:sz="12" w:space="0" w:color="auto"/>
            </w:tcBorders>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lang w:val="fr-FR"/>
              </w:rPr>
            </w:pPr>
          </w:p>
        </w:tc>
      </w:tr>
      <w:tr w:rsidR="000B562B" w:rsidRPr="00F93490">
        <w:trPr>
          <w:cantSplit/>
          <w:trHeight w:val="240"/>
        </w:trPr>
        <w:tc>
          <w:tcPr>
            <w:tcW w:w="3119" w:type="dxa"/>
            <w:shd w:val="clear" w:color="auto" w:fill="auto"/>
          </w:tcPr>
          <w:p w:rsidR="000B562B" w:rsidRPr="00F93490" w:rsidRDefault="000B562B" w:rsidP="00BD3857">
            <w:pPr>
              <w:pStyle w:val="Text"/>
              <w:spacing w:before="40" w:after="40" w:line="220" w:lineRule="exact"/>
              <w:rPr>
                <w:rFonts w:ascii="Times New Roman" w:hAnsi="Times New Roman"/>
                <w:sz w:val="18"/>
                <w:szCs w:val="22"/>
                <w:lang w:val="fr-FR"/>
              </w:rPr>
            </w:pPr>
            <w:r w:rsidRPr="00F93490">
              <w:rPr>
                <w:rFonts w:ascii="Times New Roman" w:hAnsi="Times New Roman"/>
                <w:sz w:val="18"/>
                <w:szCs w:val="22"/>
                <w:lang w:val="fr-FR"/>
              </w:rPr>
              <w:t xml:space="preserve">Suicides </w:t>
            </w:r>
            <w:r w:rsidR="00BD3857" w:rsidRPr="00F93490">
              <w:rPr>
                <w:rFonts w:ascii="Times New Roman" w:hAnsi="Times New Roman"/>
                <w:sz w:val="18"/>
                <w:szCs w:val="22"/>
                <w:lang w:val="fr-FR"/>
              </w:rPr>
              <w:t>en garde à vue</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0</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0</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0</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0</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0</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0</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0</w:t>
            </w:r>
          </w:p>
        </w:tc>
      </w:tr>
      <w:tr w:rsidR="000B562B" w:rsidRPr="00F93490">
        <w:trPr>
          <w:cantSplit/>
          <w:trHeight w:val="240"/>
        </w:trPr>
        <w:tc>
          <w:tcPr>
            <w:tcW w:w="3119" w:type="dxa"/>
            <w:shd w:val="clear" w:color="auto" w:fill="auto"/>
          </w:tcPr>
          <w:p w:rsidR="000B562B" w:rsidRPr="00F93490" w:rsidRDefault="00BD3857" w:rsidP="004C051B">
            <w:pPr>
              <w:pStyle w:val="Text"/>
              <w:spacing w:before="40" w:after="40" w:line="220" w:lineRule="exact"/>
              <w:rPr>
                <w:rFonts w:ascii="Times New Roman" w:hAnsi="Times New Roman"/>
                <w:sz w:val="18"/>
                <w:szCs w:val="22"/>
                <w:lang w:val="fr-FR"/>
              </w:rPr>
            </w:pPr>
            <w:r w:rsidRPr="00F93490">
              <w:rPr>
                <w:rFonts w:ascii="Times New Roman" w:hAnsi="Times New Roman"/>
                <w:sz w:val="18"/>
                <w:szCs w:val="22"/>
                <w:lang w:val="fr-FR"/>
              </w:rPr>
              <w:t>Plaintes contre la police</w:t>
            </w:r>
            <w:r w:rsidR="00FC2B97">
              <w:rPr>
                <w:rFonts w:ascii="Times New Roman" w:hAnsi="Times New Roman"/>
                <w:sz w:val="18"/>
                <w:szCs w:val="22"/>
                <w:lang w:val="fr-FR"/>
              </w:rPr>
              <w:t>:</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szCs w:val="22"/>
                <w:lang w:val="fr-FR"/>
              </w:rPr>
            </w:pP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szCs w:val="22"/>
                <w:lang w:val="fr-FR"/>
              </w:rPr>
            </w:pP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szCs w:val="22"/>
                <w:lang w:val="fr-FR"/>
              </w:rPr>
            </w:pP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szCs w:val="22"/>
                <w:lang w:val="fr-FR"/>
              </w:rPr>
            </w:pP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szCs w:val="22"/>
                <w:lang w:val="fr-FR"/>
              </w:rPr>
            </w:pP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szCs w:val="22"/>
                <w:lang w:val="fr-FR"/>
              </w:rPr>
            </w:pP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szCs w:val="22"/>
                <w:lang w:val="fr-FR"/>
              </w:rPr>
            </w:pPr>
          </w:p>
        </w:tc>
      </w:tr>
      <w:tr w:rsidR="000B562B" w:rsidRPr="00F93490">
        <w:trPr>
          <w:cantSplit/>
          <w:trHeight w:val="240"/>
        </w:trPr>
        <w:tc>
          <w:tcPr>
            <w:tcW w:w="3119" w:type="dxa"/>
            <w:shd w:val="clear" w:color="auto" w:fill="auto"/>
          </w:tcPr>
          <w:p w:rsidR="000B562B" w:rsidRPr="00F93490" w:rsidRDefault="00BD3857" w:rsidP="004C051B">
            <w:pPr>
              <w:pStyle w:val="Text"/>
              <w:spacing w:before="40" w:after="40" w:line="220" w:lineRule="exact"/>
              <w:rPr>
                <w:rFonts w:ascii="Times New Roman" w:hAnsi="Times New Roman"/>
                <w:sz w:val="18"/>
                <w:szCs w:val="22"/>
                <w:lang w:val="fr-FR"/>
              </w:rPr>
            </w:pPr>
            <w:r w:rsidRPr="00F93490">
              <w:rPr>
                <w:rFonts w:ascii="Times New Roman" w:hAnsi="Times New Roman"/>
                <w:sz w:val="18"/>
                <w:szCs w:val="22"/>
                <w:lang w:val="fr-FR"/>
              </w:rPr>
              <w:t>Jugées fondées</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szCs w:val="22"/>
                <w:lang w:val="fr-FR"/>
              </w:rPr>
            </w:pPr>
            <w:r w:rsidRPr="00F93490">
              <w:rPr>
                <w:rFonts w:ascii="Times New Roman" w:hAnsi="Times New Roman"/>
                <w:sz w:val="18"/>
                <w:szCs w:val="22"/>
                <w:lang w:val="fr-FR"/>
              </w:rPr>
              <w:t>26</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szCs w:val="22"/>
                <w:lang w:val="fr-FR"/>
              </w:rPr>
            </w:pPr>
            <w:r w:rsidRPr="00F93490">
              <w:rPr>
                <w:rFonts w:ascii="Times New Roman" w:hAnsi="Times New Roman"/>
                <w:sz w:val="18"/>
                <w:szCs w:val="22"/>
                <w:lang w:val="fr-FR"/>
              </w:rPr>
              <w:t>15</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szCs w:val="22"/>
                <w:lang w:val="fr-FR"/>
              </w:rPr>
            </w:pPr>
            <w:r w:rsidRPr="00F93490">
              <w:rPr>
                <w:rFonts w:ascii="Times New Roman" w:hAnsi="Times New Roman"/>
                <w:sz w:val="18"/>
                <w:szCs w:val="22"/>
                <w:lang w:val="fr-FR"/>
              </w:rPr>
              <w:t>10</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szCs w:val="22"/>
                <w:lang w:val="fr-FR"/>
              </w:rPr>
            </w:pPr>
            <w:r w:rsidRPr="00F93490">
              <w:rPr>
                <w:rFonts w:ascii="Times New Roman" w:hAnsi="Times New Roman"/>
                <w:sz w:val="18"/>
                <w:szCs w:val="22"/>
                <w:lang w:val="fr-FR"/>
              </w:rPr>
              <w:t>5</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szCs w:val="22"/>
                <w:lang w:val="fr-FR"/>
              </w:rPr>
            </w:pPr>
            <w:r w:rsidRPr="00F93490">
              <w:rPr>
                <w:rFonts w:ascii="Times New Roman" w:hAnsi="Times New Roman"/>
                <w:sz w:val="18"/>
                <w:szCs w:val="22"/>
                <w:lang w:val="fr-FR"/>
              </w:rPr>
              <w:t>5</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szCs w:val="22"/>
                <w:lang w:val="fr-FR"/>
              </w:rPr>
            </w:pPr>
            <w:r w:rsidRPr="00F93490">
              <w:rPr>
                <w:rFonts w:ascii="Times New Roman" w:hAnsi="Times New Roman"/>
                <w:sz w:val="18"/>
                <w:szCs w:val="22"/>
                <w:lang w:val="fr-FR"/>
              </w:rPr>
              <w:t>3</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szCs w:val="22"/>
                <w:lang w:val="fr-FR"/>
              </w:rPr>
            </w:pPr>
            <w:r w:rsidRPr="00F93490">
              <w:rPr>
                <w:rFonts w:ascii="Times New Roman" w:hAnsi="Times New Roman"/>
                <w:sz w:val="18"/>
                <w:szCs w:val="22"/>
                <w:lang w:val="fr-FR"/>
              </w:rPr>
              <w:t>1</w:t>
            </w:r>
          </w:p>
        </w:tc>
      </w:tr>
      <w:tr w:rsidR="000B562B" w:rsidRPr="00F93490">
        <w:trPr>
          <w:cantSplit/>
          <w:trHeight w:val="240"/>
        </w:trPr>
        <w:tc>
          <w:tcPr>
            <w:tcW w:w="3119" w:type="dxa"/>
            <w:shd w:val="clear" w:color="auto" w:fill="auto"/>
          </w:tcPr>
          <w:p w:rsidR="000B562B" w:rsidRPr="00F93490" w:rsidRDefault="00E90AE8" w:rsidP="004C051B">
            <w:pPr>
              <w:pStyle w:val="Text"/>
              <w:spacing w:before="40" w:after="40" w:line="220" w:lineRule="exact"/>
              <w:rPr>
                <w:rFonts w:ascii="Times New Roman" w:hAnsi="Times New Roman"/>
                <w:sz w:val="18"/>
                <w:szCs w:val="22"/>
                <w:lang w:val="fr-FR"/>
              </w:rPr>
            </w:pPr>
            <w:r w:rsidRPr="00F93490">
              <w:rPr>
                <w:rFonts w:ascii="Times New Roman" w:hAnsi="Times New Roman"/>
                <w:sz w:val="18"/>
                <w:szCs w:val="22"/>
                <w:lang w:val="fr-FR"/>
              </w:rPr>
              <w:t>Jugées en partie fondées</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szCs w:val="22"/>
                <w:lang w:val="fr-FR"/>
              </w:rPr>
            </w:pPr>
            <w:r w:rsidRPr="00F93490">
              <w:rPr>
                <w:rFonts w:ascii="Times New Roman" w:hAnsi="Times New Roman"/>
                <w:sz w:val="18"/>
                <w:szCs w:val="22"/>
                <w:lang w:val="fr-FR"/>
              </w:rPr>
              <w:t>3</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szCs w:val="22"/>
                <w:lang w:val="fr-FR"/>
              </w:rPr>
            </w:pPr>
            <w:r w:rsidRPr="00F93490">
              <w:rPr>
                <w:rFonts w:ascii="Times New Roman" w:hAnsi="Times New Roman"/>
                <w:sz w:val="18"/>
                <w:szCs w:val="22"/>
                <w:lang w:val="fr-FR"/>
              </w:rPr>
              <w:t>2</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szCs w:val="22"/>
                <w:lang w:val="fr-FR"/>
              </w:rPr>
            </w:pPr>
            <w:r w:rsidRPr="00F93490">
              <w:rPr>
                <w:rFonts w:ascii="Times New Roman" w:hAnsi="Times New Roman"/>
                <w:sz w:val="18"/>
                <w:szCs w:val="22"/>
                <w:lang w:val="fr-FR"/>
              </w:rPr>
              <w:t>3</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szCs w:val="22"/>
                <w:lang w:val="fr-FR"/>
              </w:rPr>
            </w:pPr>
            <w:r w:rsidRPr="00F93490">
              <w:rPr>
                <w:rFonts w:ascii="Times New Roman" w:hAnsi="Times New Roman"/>
                <w:sz w:val="18"/>
                <w:szCs w:val="22"/>
                <w:lang w:val="fr-FR"/>
              </w:rPr>
              <w:t>3</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szCs w:val="22"/>
                <w:lang w:val="fr-FR"/>
              </w:rPr>
            </w:pPr>
            <w:r w:rsidRPr="00F93490">
              <w:rPr>
                <w:rFonts w:ascii="Times New Roman" w:hAnsi="Times New Roman"/>
                <w:sz w:val="18"/>
                <w:szCs w:val="22"/>
                <w:lang w:val="fr-FR"/>
              </w:rPr>
              <w:t>0</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szCs w:val="22"/>
                <w:lang w:val="fr-FR"/>
              </w:rPr>
            </w:pPr>
            <w:r w:rsidRPr="00F93490">
              <w:rPr>
                <w:rFonts w:ascii="Times New Roman" w:hAnsi="Times New Roman"/>
                <w:sz w:val="18"/>
                <w:szCs w:val="22"/>
                <w:lang w:val="fr-FR"/>
              </w:rPr>
              <w:t>0</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szCs w:val="22"/>
                <w:lang w:val="fr-FR"/>
              </w:rPr>
            </w:pPr>
            <w:r w:rsidRPr="00F93490">
              <w:rPr>
                <w:rFonts w:ascii="Times New Roman" w:hAnsi="Times New Roman"/>
                <w:sz w:val="18"/>
                <w:szCs w:val="22"/>
                <w:lang w:val="fr-FR"/>
              </w:rPr>
              <w:t>0</w:t>
            </w:r>
          </w:p>
        </w:tc>
      </w:tr>
      <w:tr w:rsidR="000B562B" w:rsidRPr="00F93490">
        <w:trPr>
          <w:cantSplit/>
          <w:trHeight w:val="240"/>
        </w:trPr>
        <w:tc>
          <w:tcPr>
            <w:tcW w:w="3119" w:type="dxa"/>
            <w:shd w:val="clear" w:color="auto" w:fill="auto"/>
          </w:tcPr>
          <w:p w:rsidR="000B562B" w:rsidRPr="00F93490" w:rsidRDefault="00E90AE8" w:rsidP="004C051B">
            <w:pPr>
              <w:pStyle w:val="Text"/>
              <w:spacing w:before="40" w:after="40" w:line="220" w:lineRule="exact"/>
              <w:rPr>
                <w:rFonts w:ascii="Times New Roman" w:hAnsi="Times New Roman"/>
                <w:sz w:val="18"/>
                <w:szCs w:val="22"/>
                <w:lang w:val="fr-FR"/>
              </w:rPr>
            </w:pPr>
            <w:r w:rsidRPr="00F93490">
              <w:rPr>
                <w:rFonts w:ascii="Times New Roman" w:hAnsi="Times New Roman"/>
                <w:sz w:val="18"/>
                <w:szCs w:val="22"/>
                <w:lang w:val="fr-FR"/>
              </w:rPr>
              <w:t>Jugées non fondées</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szCs w:val="22"/>
                <w:lang w:val="fr-FR"/>
              </w:rPr>
            </w:pPr>
            <w:r w:rsidRPr="00F93490">
              <w:rPr>
                <w:rFonts w:ascii="Times New Roman" w:hAnsi="Times New Roman"/>
                <w:sz w:val="18"/>
                <w:szCs w:val="22"/>
                <w:lang w:val="fr-FR"/>
              </w:rPr>
              <w:t>20</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szCs w:val="22"/>
                <w:lang w:val="fr-FR"/>
              </w:rPr>
            </w:pPr>
            <w:r w:rsidRPr="00F93490">
              <w:rPr>
                <w:rFonts w:ascii="Times New Roman" w:hAnsi="Times New Roman"/>
                <w:sz w:val="18"/>
                <w:szCs w:val="22"/>
                <w:lang w:val="fr-FR"/>
              </w:rPr>
              <w:t>15</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szCs w:val="22"/>
                <w:lang w:val="fr-FR"/>
              </w:rPr>
            </w:pPr>
            <w:r w:rsidRPr="00F93490">
              <w:rPr>
                <w:rFonts w:ascii="Times New Roman" w:hAnsi="Times New Roman"/>
                <w:sz w:val="18"/>
                <w:szCs w:val="22"/>
                <w:lang w:val="fr-FR"/>
              </w:rPr>
              <w:t>15</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szCs w:val="22"/>
                <w:lang w:val="fr-FR"/>
              </w:rPr>
            </w:pPr>
            <w:r w:rsidRPr="00F93490">
              <w:rPr>
                <w:rFonts w:ascii="Times New Roman" w:hAnsi="Times New Roman"/>
                <w:sz w:val="18"/>
                <w:szCs w:val="22"/>
                <w:lang w:val="fr-FR"/>
              </w:rPr>
              <w:t>19</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szCs w:val="22"/>
                <w:lang w:val="fr-FR"/>
              </w:rPr>
            </w:pPr>
            <w:r w:rsidRPr="00F93490">
              <w:rPr>
                <w:rFonts w:ascii="Times New Roman" w:hAnsi="Times New Roman"/>
                <w:sz w:val="18"/>
                <w:szCs w:val="22"/>
                <w:lang w:val="fr-FR"/>
              </w:rPr>
              <w:t>11</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szCs w:val="22"/>
                <w:lang w:val="fr-FR"/>
              </w:rPr>
            </w:pPr>
            <w:r w:rsidRPr="00F93490">
              <w:rPr>
                <w:rFonts w:ascii="Times New Roman" w:hAnsi="Times New Roman"/>
                <w:sz w:val="18"/>
                <w:szCs w:val="22"/>
                <w:lang w:val="fr-FR"/>
              </w:rPr>
              <w:t>14</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szCs w:val="22"/>
                <w:lang w:val="fr-FR"/>
              </w:rPr>
            </w:pPr>
            <w:r w:rsidRPr="00F93490">
              <w:rPr>
                <w:rFonts w:ascii="Times New Roman" w:hAnsi="Times New Roman"/>
                <w:sz w:val="18"/>
                <w:szCs w:val="22"/>
                <w:lang w:val="fr-FR"/>
              </w:rPr>
              <w:t>4</w:t>
            </w:r>
          </w:p>
        </w:tc>
      </w:tr>
      <w:tr w:rsidR="000B562B" w:rsidRPr="00F93490">
        <w:trPr>
          <w:cantSplit/>
          <w:trHeight w:val="240"/>
        </w:trPr>
        <w:tc>
          <w:tcPr>
            <w:tcW w:w="3119" w:type="dxa"/>
            <w:shd w:val="clear" w:color="auto" w:fill="auto"/>
          </w:tcPr>
          <w:p w:rsidR="000B562B" w:rsidRPr="00F93490" w:rsidRDefault="00BD3857" w:rsidP="004C051B">
            <w:pPr>
              <w:pStyle w:val="Text"/>
              <w:spacing w:before="40" w:after="40" w:line="220" w:lineRule="exact"/>
              <w:rPr>
                <w:rFonts w:ascii="Times New Roman" w:hAnsi="Times New Roman"/>
                <w:sz w:val="18"/>
                <w:szCs w:val="22"/>
                <w:lang w:val="fr-FR"/>
              </w:rPr>
            </w:pPr>
            <w:r w:rsidRPr="00F93490">
              <w:rPr>
                <w:rFonts w:ascii="Times New Roman" w:hAnsi="Times New Roman"/>
                <w:sz w:val="18"/>
                <w:szCs w:val="22"/>
                <w:lang w:val="fr-FR"/>
              </w:rPr>
              <w:t>Réglées à l’amiable</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szCs w:val="22"/>
                <w:lang w:val="fr-FR"/>
              </w:rPr>
            </w:pPr>
            <w:r w:rsidRPr="00F93490">
              <w:rPr>
                <w:rFonts w:ascii="Times New Roman" w:hAnsi="Times New Roman"/>
                <w:sz w:val="18"/>
                <w:szCs w:val="22"/>
                <w:lang w:val="fr-FR"/>
              </w:rPr>
              <w:t>12</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szCs w:val="22"/>
                <w:lang w:val="fr-FR"/>
              </w:rPr>
            </w:pPr>
            <w:r w:rsidRPr="00F93490">
              <w:rPr>
                <w:rFonts w:ascii="Times New Roman" w:hAnsi="Times New Roman"/>
                <w:sz w:val="18"/>
                <w:szCs w:val="22"/>
                <w:lang w:val="fr-FR"/>
              </w:rPr>
              <w:t>6</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szCs w:val="22"/>
                <w:lang w:val="fr-FR"/>
              </w:rPr>
            </w:pPr>
            <w:r w:rsidRPr="00F93490">
              <w:rPr>
                <w:rFonts w:ascii="Times New Roman" w:hAnsi="Times New Roman"/>
                <w:sz w:val="18"/>
                <w:szCs w:val="22"/>
                <w:lang w:val="fr-FR"/>
              </w:rPr>
              <w:t>7</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szCs w:val="22"/>
                <w:lang w:val="fr-FR"/>
              </w:rPr>
            </w:pPr>
            <w:r w:rsidRPr="00F93490">
              <w:rPr>
                <w:rFonts w:ascii="Times New Roman" w:hAnsi="Times New Roman"/>
                <w:sz w:val="18"/>
                <w:szCs w:val="22"/>
                <w:lang w:val="fr-FR"/>
              </w:rPr>
              <w:t>13</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szCs w:val="22"/>
                <w:lang w:val="fr-FR"/>
              </w:rPr>
            </w:pPr>
            <w:r w:rsidRPr="00F93490">
              <w:rPr>
                <w:rFonts w:ascii="Times New Roman" w:hAnsi="Times New Roman"/>
                <w:sz w:val="18"/>
                <w:szCs w:val="22"/>
                <w:lang w:val="fr-FR"/>
              </w:rPr>
              <w:t>11</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szCs w:val="22"/>
                <w:lang w:val="fr-FR"/>
              </w:rPr>
            </w:pPr>
            <w:r w:rsidRPr="00F93490">
              <w:rPr>
                <w:rFonts w:ascii="Times New Roman" w:hAnsi="Times New Roman"/>
                <w:sz w:val="18"/>
                <w:szCs w:val="22"/>
                <w:lang w:val="fr-FR"/>
              </w:rPr>
              <w:t>14</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szCs w:val="22"/>
                <w:lang w:val="fr-FR"/>
              </w:rPr>
            </w:pPr>
            <w:r w:rsidRPr="00F93490">
              <w:rPr>
                <w:rFonts w:ascii="Times New Roman" w:hAnsi="Times New Roman"/>
                <w:sz w:val="18"/>
                <w:szCs w:val="22"/>
                <w:lang w:val="fr-FR"/>
              </w:rPr>
              <w:t>31</w:t>
            </w:r>
          </w:p>
        </w:tc>
      </w:tr>
      <w:tr w:rsidR="000B562B" w:rsidRPr="00F93490">
        <w:trPr>
          <w:cantSplit/>
          <w:trHeight w:val="240"/>
        </w:trPr>
        <w:tc>
          <w:tcPr>
            <w:tcW w:w="3119" w:type="dxa"/>
            <w:shd w:val="clear" w:color="auto" w:fill="auto"/>
          </w:tcPr>
          <w:p w:rsidR="000B562B" w:rsidRPr="00F93490" w:rsidRDefault="00BD3857" w:rsidP="004C051B">
            <w:pPr>
              <w:pStyle w:val="Text"/>
              <w:spacing w:before="40" w:after="40" w:line="220" w:lineRule="exact"/>
              <w:rPr>
                <w:rFonts w:ascii="Times New Roman" w:hAnsi="Times New Roman"/>
                <w:sz w:val="18"/>
                <w:szCs w:val="22"/>
                <w:lang w:val="fr-FR"/>
              </w:rPr>
            </w:pPr>
            <w:r w:rsidRPr="00F93490">
              <w:rPr>
                <w:rFonts w:ascii="Times New Roman" w:hAnsi="Times New Roman"/>
                <w:sz w:val="18"/>
                <w:szCs w:val="22"/>
                <w:lang w:val="fr-FR"/>
              </w:rPr>
              <w:t>Retirées</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szCs w:val="22"/>
                <w:lang w:val="fr-FR"/>
              </w:rPr>
            </w:pPr>
            <w:r w:rsidRPr="00F93490">
              <w:rPr>
                <w:rFonts w:ascii="Times New Roman" w:hAnsi="Times New Roman"/>
                <w:sz w:val="18"/>
                <w:szCs w:val="22"/>
                <w:lang w:val="fr-FR"/>
              </w:rPr>
              <w:t>0</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szCs w:val="22"/>
                <w:lang w:val="fr-FR"/>
              </w:rPr>
            </w:pPr>
            <w:r w:rsidRPr="00F93490">
              <w:rPr>
                <w:rFonts w:ascii="Times New Roman" w:hAnsi="Times New Roman"/>
                <w:sz w:val="18"/>
                <w:szCs w:val="22"/>
                <w:lang w:val="fr-FR"/>
              </w:rPr>
              <w:t>2</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szCs w:val="22"/>
                <w:lang w:val="fr-FR"/>
              </w:rPr>
            </w:pPr>
            <w:r w:rsidRPr="00F93490">
              <w:rPr>
                <w:rFonts w:ascii="Times New Roman" w:hAnsi="Times New Roman"/>
                <w:sz w:val="18"/>
                <w:szCs w:val="22"/>
                <w:lang w:val="fr-FR"/>
              </w:rPr>
              <w:t>2</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szCs w:val="22"/>
                <w:lang w:val="fr-FR"/>
              </w:rPr>
            </w:pPr>
            <w:r w:rsidRPr="00F93490">
              <w:rPr>
                <w:rFonts w:ascii="Times New Roman" w:hAnsi="Times New Roman"/>
                <w:sz w:val="18"/>
                <w:szCs w:val="22"/>
                <w:lang w:val="fr-FR"/>
              </w:rPr>
              <w:t>2</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szCs w:val="22"/>
                <w:lang w:val="fr-FR"/>
              </w:rPr>
            </w:pPr>
            <w:r w:rsidRPr="00F93490">
              <w:rPr>
                <w:rFonts w:ascii="Times New Roman" w:hAnsi="Times New Roman"/>
                <w:sz w:val="18"/>
                <w:szCs w:val="22"/>
                <w:lang w:val="fr-FR"/>
              </w:rPr>
              <w:t>4</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szCs w:val="22"/>
                <w:lang w:val="fr-FR"/>
              </w:rPr>
            </w:pPr>
            <w:r w:rsidRPr="00F93490">
              <w:rPr>
                <w:rFonts w:ascii="Times New Roman" w:hAnsi="Times New Roman"/>
                <w:sz w:val="18"/>
                <w:szCs w:val="22"/>
                <w:lang w:val="fr-FR"/>
              </w:rPr>
              <w:t>4</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szCs w:val="22"/>
                <w:lang w:val="fr-FR"/>
              </w:rPr>
            </w:pPr>
            <w:r w:rsidRPr="00F93490">
              <w:rPr>
                <w:rFonts w:ascii="Times New Roman" w:hAnsi="Times New Roman"/>
                <w:sz w:val="18"/>
                <w:szCs w:val="22"/>
                <w:lang w:val="fr-FR"/>
              </w:rPr>
              <w:t>10</w:t>
            </w:r>
          </w:p>
        </w:tc>
      </w:tr>
      <w:tr w:rsidR="000B562B" w:rsidRPr="00F93490">
        <w:trPr>
          <w:cantSplit/>
          <w:trHeight w:val="240"/>
        </w:trPr>
        <w:tc>
          <w:tcPr>
            <w:tcW w:w="3119" w:type="dxa"/>
            <w:shd w:val="clear" w:color="auto" w:fill="auto"/>
          </w:tcPr>
          <w:p w:rsidR="000B562B" w:rsidRPr="00F93490" w:rsidRDefault="00F93490" w:rsidP="004C051B">
            <w:pPr>
              <w:pStyle w:val="Text"/>
              <w:spacing w:before="40" w:after="40" w:line="220" w:lineRule="exact"/>
              <w:rPr>
                <w:rFonts w:ascii="Times New Roman" w:hAnsi="Times New Roman"/>
                <w:sz w:val="18"/>
                <w:szCs w:val="22"/>
                <w:lang w:val="fr-FR"/>
              </w:rPr>
            </w:pPr>
            <w:r w:rsidRPr="00F93490">
              <w:rPr>
                <w:rFonts w:ascii="Times New Roman" w:hAnsi="Times New Roman"/>
                <w:sz w:val="18"/>
                <w:szCs w:val="22"/>
                <w:lang w:val="fr-FR"/>
              </w:rPr>
              <w:t>Mesures correctives</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szCs w:val="22"/>
                <w:lang w:val="fr-FR"/>
              </w:rPr>
            </w:pPr>
            <w:r w:rsidRPr="00F93490">
              <w:rPr>
                <w:rFonts w:ascii="Times New Roman" w:hAnsi="Times New Roman"/>
                <w:sz w:val="18"/>
                <w:szCs w:val="22"/>
                <w:lang w:val="fr-FR"/>
              </w:rPr>
              <w:t>-</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szCs w:val="22"/>
                <w:lang w:val="fr-FR"/>
              </w:rPr>
            </w:pPr>
            <w:r w:rsidRPr="00F93490">
              <w:rPr>
                <w:rFonts w:ascii="Times New Roman" w:hAnsi="Times New Roman"/>
                <w:sz w:val="18"/>
                <w:szCs w:val="22"/>
                <w:lang w:val="fr-FR"/>
              </w:rPr>
              <w:t>2</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szCs w:val="22"/>
                <w:lang w:val="fr-FR"/>
              </w:rPr>
            </w:pPr>
            <w:r w:rsidRPr="00F93490">
              <w:rPr>
                <w:rFonts w:ascii="Times New Roman" w:hAnsi="Times New Roman"/>
                <w:sz w:val="18"/>
                <w:szCs w:val="22"/>
                <w:lang w:val="fr-FR"/>
              </w:rPr>
              <w:t>0</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szCs w:val="22"/>
                <w:lang w:val="fr-FR"/>
              </w:rPr>
            </w:pPr>
            <w:r w:rsidRPr="00F93490">
              <w:rPr>
                <w:rFonts w:ascii="Times New Roman" w:hAnsi="Times New Roman"/>
                <w:sz w:val="18"/>
                <w:szCs w:val="22"/>
                <w:lang w:val="fr-FR"/>
              </w:rPr>
              <w:t>0</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szCs w:val="22"/>
                <w:lang w:val="fr-FR"/>
              </w:rPr>
            </w:pPr>
            <w:r w:rsidRPr="00F93490">
              <w:rPr>
                <w:rFonts w:ascii="Times New Roman" w:hAnsi="Times New Roman"/>
                <w:sz w:val="18"/>
                <w:szCs w:val="22"/>
                <w:lang w:val="fr-FR"/>
              </w:rPr>
              <w:t>0</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szCs w:val="22"/>
                <w:lang w:val="fr-FR"/>
              </w:rPr>
            </w:pPr>
            <w:r w:rsidRPr="00F93490">
              <w:rPr>
                <w:rFonts w:ascii="Times New Roman" w:hAnsi="Times New Roman"/>
                <w:sz w:val="18"/>
                <w:szCs w:val="22"/>
                <w:lang w:val="fr-FR"/>
              </w:rPr>
              <w:t>0</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szCs w:val="22"/>
                <w:lang w:val="fr-FR"/>
              </w:rPr>
            </w:pPr>
            <w:r w:rsidRPr="00F93490">
              <w:rPr>
                <w:rFonts w:ascii="Times New Roman" w:hAnsi="Times New Roman"/>
                <w:sz w:val="18"/>
                <w:szCs w:val="22"/>
                <w:lang w:val="fr-FR"/>
              </w:rPr>
              <w:t>0</w:t>
            </w:r>
          </w:p>
        </w:tc>
      </w:tr>
      <w:tr w:rsidR="000B562B" w:rsidRPr="00F93490">
        <w:trPr>
          <w:cantSplit/>
          <w:trHeight w:val="240"/>
        </w:trPr>
        <w:tc>
          <w:tcPr>
            <w:tcW w:w="3119" w:type="dxa"/>
            <w:shd w:val="clear" w:color="auto" w:fill="auto"/>
          </w:tcPr>
          <w:p w:rsidR="000B562B" w:rsidRPr="00F93490" w:rsidRDefault="00BD3857" w:rsidP="004C051B">
            <w:pPr>
              <w:pStyle w:val="Text"/>
              <w:spacing w:before="40" w:after="40" w:line="220" w:lineRule="exact"/>
              <w:rPr>
                <w:rFonts w:ascii="Times New Roman" w:hAnsi="Times New Roman"/>
                <w:sz w:val="18"/>
                <w:szCs w:val="22"/>
                <w:lang w:val="fr-FR"/>
              </w:rPr>
            </w:pPr>
            <w:r w:rsidRPr="00F93490">
              <w:rPr>
                <w:rFonts w:ascii="Times New Roman" w:hAnsi="Times New Roman"/>
                <w:sz w:val="18"/>
                <w:szCs w:val="22"/>
                <w:lang w:val="fr-FR"/>
              </w:rPr>
              <w:t>En cours</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szCs w:val="22"/>
                <w:lang w:val="fr-FR"/>
              </w:rPr>
            </w:pPr>
            <w:r w:rsidRPr="00F93490">
              <w:rPr>
                <w:rFonts w:ascii="Times New Roman" w:hAnsi="Times New Roman"/>
                <w:sz w:val="18"/>
                <w:szCs w:val="22"/>
                <w:lang w:val="fr-FR"/>
              </w:rPr>
              <w:t>8</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szCs w:val="22"/>
                <w:lang w:val="fr-FR"/>
              </w:rPr>
            </w:pPr>
            <w:r w:rsidRPr="00F93490">
              <w:rPr>
                <w:rFonts w:ascii="Times New Roman" w:hAnsi="Times New Roman"/>
                <w:sz w:val="18"/>
                <w:szCs w:val="22"/>
                <w:lang w:val="fr-FR"/>
              </w:rPr>
              <w:t>3</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szCs w:val="22"/>
                <w:lang w:val="fr-FR"/>
              </w:rPr>
            </w:pPr>
            <w:r w:rsidRPr="00F93490">
              <w:rPr>
                <w:rFonts w:ascii="Times New Roman" w:hAnsi="Times New Roman"/>
                <w:sz w:val="18"/>
                <w:szCs w:val="22"/>
                <w:lang w:val="fr-FR"/>
              </w:rPr>
              <w:t>0</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szCs w:val="22"/>
                <w:lang w:val="fr-FR"/>
              </w:rPr>
            </w:pPr>
            <w:r w:rsidRPr="00F93490">
              <w:rPr>
                <w:rFonts w:ascii="Times New Roman" w:hAnsi="Times New Roman"/>
                <w:sz w:val="18"/>
                <w:szCs w:val="22"/>
                <w:lang w:val="fr-FR"/>
              </w:rPr>
              <w:t>0</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szCs w:val="22"/>
                <w:lang w:val="fr-FR"/>
              </w:rPr>
            </w:pPr>
            <w:r w:rsidRPr="00F93490">
              <w:rPr>
                <w:rFonts w:ascii="Times New Roman" w:hAnsi="Times New Roman"/>
                <w:sz w:val="18"/>
                <w:szCs w:val="22"/>
                <w:lang w:val="fr-FR"/>
              </w:rPr>
              <w:t>0</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szCs w:val="22"/>
                <w:lang w:val="fr-FR"/>
              </w:rPr>
            </w:pPr>
            <w:r w:rsidRPr="00F93490">
              <w:rPr>
                <w:rFonts w:ascii="Times New Roman" w:hAnsi="Times New Roman"/>
                <w:sz w:val="18"/>
                <w:szCs w:val="22"/>
                <w:lang w:val="fr-FR"/>
              </w:rPr>
              <w:t>3</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szCs w:val="22"/>
                <w:lang w:val="fr-FR"/>
              </w:rPr>
            </w:pPr>
            <w:r w:rsidRPr="00F93490">
              <w:rPr>
                <w:rFonts w:ascii="Times New Roman" w:hAnsi="Times New Roman"/>
                <w:sz w:val="18"/>
                <w:szCs w:val="22"/>
                <w:lang w:val="fr-FR"/>
              </w:rPr>
              <w:t>2</w:t>
            </w:r>
          </w:p>
        </w:tc>
      </w:tr>
      <w:tr w:rsidR="000B562B" w:rsidRPr="00F93490">
        <w:trPr>
          <w:cantSplit/>
          <w:trHeight w:val="240"/>
        </w:trPr>
        <w:tc>
          <w:tcPr>
            <w:tcW w:w="3119" w:type="dxa"/>
            <w:shd w:val="clear" w:color="auto" w:fill="auto"/>
          </w:tcPr>
          <w:p w:rsidR="000B562B" w:rsidRPr="00F93490" w:rsidRDefault="00F93490" w:rsidP="004C051B">
            <w:pPr>
              <w:pStyle w:val="Text"/>
              <w:spacing w:before="40" w:after="40" w:line="220" w:lineRule="exact"/>
              <w:rPr>
                <w:rFonts w:ascii="Times New Roman" w:hAnsi="Times New Roman"/>
                <w:sz w:val="18"/>
                <w:szCs w:val="22"/>
                <w:lang w:val="fr-FR"/>
              </w:rPr>
            </w:pPr>
            <w:r w:rsidRPr="00F93490">
              <w:rPr>
                <w:rFonts w:ascii="Times New Roman" w:hAnsi="Times New Roman"/>
                <w:sz w:val="18"/>
                <w:szCs w:val="22"/>
                <w:lang w:val="fr-FR"/>
              </w:rPr>
              <w:t>Classées sans suite</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szCs w:val="22"/>
                <w:lang w:val="fr-FR"/>
              </w:rPr>
            </w:pPr>
            <w:r w:rsidRPr="00F93490">
              <w:rPr>
                <w:rFonts w:ascii="Times New Roman" w:hAnsi="Times New Roman"/>
                <w:sz w:val="18"/>
                <w:szCs w:val="22"/>
                <w:lang w:val="fr-FR"/>
              </w:rPr>
              <w:t>3</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szCs w:val="22"/>
                <w:lang w:val="fr-FR"/>
              </w:rPr>
            </w:pPr>
            <w:r w:rsidRPr="00F93490">
              <w:rPr>
                <w:rFonts w:ascii="Times New Roman" w:hAnsi="Times New Roman"/>
                <w:sz w:val="18"/>
                <w:szCs w:val="22"/>
                <w:lang w:val="fr-FR"/>
              </w:rPr>
              <w:t>2</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szCs w:val="22"/>
                <w:lang w:val="fr-FR"/>
              </w:rPr>
            </w:pPr>
            <w:r w:rsidRPr="00F93490">
              <w:rPr>
                <w:rFonts w:ascii="Times New Roman" w:hAnsi="Times New Roman"/>
                <w:sz w:val="18"/>
                <w:szCs w:val="22"/>
                <w:lang w:val="fr-FR"/>
              </w:rPr>
              <w:t>4</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szCs w:val="22"/>
                <w:lang w:val="fr-FR"/>
              </w:rPr>
            </w:pPr>
            <w:r w:rsidRPr="00F93490">
              <w:rPr>
                <w:rFonts w:ascii="Times New Roman" w:hAnsi="Times New Roman"/>
                <w:sz w:val="18"/>
                <w:szCs w:val="22"/>
                <w:lang w:val="fr-FR"/>
              </w:rPr>
              <w:t>5</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szCs w:val="22"/>
                <w:lang w:val="fr-FR"/>
              </w:rPr>
            </w:pPr>
            <w:r w:rsidRPr="00F93490">
              <w:rPr>
                <w:rFonts w:ascii="Times New Roman" w:hAnsi="Times New Roman"/>
                <w:sz w:val="18"/>
                <w:szCs w:val="22"/>
                <w:lang w:val="fr-FR"/>
              </w:rPr>
              <w:t>2</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szCs w:val="22"/>
                <w:lang w:val="fr-FR"/>
              </w:rPr>
            </w:pPr>
            <w:r w:rsidRPr="00F93490">
              <w:rPr>
                <w:rFonts w:ascii="Times New Roman" w:hAnsi="Times New Roman"/>
                <w:sz w:val="18"/>
                <w:szCs w:val="22"/>
                <w:lang w:val="fr-FR"/>
              </w:rPr>
              <w:t>-</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szCs w:val="22"/>
                <w:lang w:val="fr-FR"/>
              </w:rPr>
            </w:pPr>
            <w:r w:rsidRPr="00F93490">
              <w:rPr>
                <w:rFonts w:ascii="Times New Roman" w:hAnsi="Times New Roman"/>
                <w:sz w:val="18"/>
                <w:szCs w:val="22"/>
                <w:lang w:val="fr-FR"/>
              </w:rPr>
              <w:t>-</w:t>
            </w:r>
          </w:p>
        </w:tc>
      </w:tr>
      <w:tr w:rsidR="000B562B" w:rsidRPr="00F93490">
        <w:trPr>
          <w:cantSplit/>
          <w:trHeight w:val="240"/>
        </w:trPr>
        <w:tc>
          <w:tcPr>
            <w:tcW w:w="3119" w:type="dxa"/>
            <w:tcBorders>
              <w:bottom w:val="single" w:sz="12" w:space="0" w:color="auto"/>
            </w:tcBorders>
            <w:shd w:val="clear" w:color="auto" w:fill="auto"/>
          </w:tcPr>
          <w:p w:rsidR="000B562B" w:rsidRPr="00F93490" w:rsidRDefault="00BD3857" w:rsidP="004C051B">
            <w:pPr>
              <w:pStyle w:val="Text"/>
              <w:spacing w:before="40" w:after="40" w:line="220" w:lineRule="exact"/>
              <w:rPr>
                <w:rFonts w:ascii="Times New Roman" w:hAnsi="Times New Roman"/>
                <w:sz w:val="18"/>
                <w:szCs w:val="22"/>
                <w:lang w:val="fr-FR"/>
              </w:rPr>
            </w:pPr>
            <w:r w:rsidRPr="00F93490">
              <w:rPr>
                <w:rFonts w:ascii="Times New Roman" w:hAnsi="Times New Roman"/>
                <w:sz w:val="18"/>
                <w:szCs w:val="22"/>
                <w:lang w:val="fr-FR"/>
              </w:rPr>
              <w:t>Non réglées</w:t>
            </w:r>
          </w:p>
        </w:tc>
        <w:tc>
          <w:tcPr>
            <w:tcW w:w="794" w:type="dxa"/>
            <w:tcBorders>
              <w:bottom w:val="single" w:sz="12" w:space="0" w:color="auto"/>
            </w:tcBorders>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szCs w:val="22"/>
                <w:lang w:val="fr-FR"/>
              </w:rPr>
            </w:pPr>
            <w:r w:rsidRPr="00F93490">
              <w:rPr>
                <w:rFonts w:ascii="Times New Roman" w:hAnsi="Times New Roman"/>
                <w:sz w:val="18"/>
                <w:szCs w:val="22"/>
                <w:lang w:val="fr-FR"/>
              </w:rPr>
              <w:t>1</w:t>
            </w:r>
          </w:p>
        </w:tc>
        <w:tc>
          <w:tcPr>
            <w:tcW w:w="794" w:type="dxa"/>
            <w:tcBorders>
              <w:bottom w:val="single" w:sz="12" w:space="0" w:color="auto"/>
            </w:tcBorders>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szCs w:val="22"/>
                <w:lang w:val="fr-FR"/>
              </w:rPr>
            </w:pPr>
            <w:r w:rsidRPr="00F93490">
              <w:rPr>
                <w:rFonts w:ascii="Times New Roman" w:hAnsi="Times New Roman"/>
                <w:sz w:val="18"/>
                <w:szCs w:val="22"/>
                <w:lang w:val="fr-FR"/>
              </w:rPr>
              <w:t>0</w:t>
            </w:r>
          </w:p>
        </w:tc>
        <w:tc>
          <w:tcPr>
            <w:tcW w:w="794" w:type="dxa"/>
            <w:tcBorders>
              <w:bottom w:val="single" w:sz="12" w:space="0" w:color="auto"/>
            </w:tcBorders>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szCs w:val="22"/>
                <w:lang w:val="fr-FR"/>
              </w:rPr>
            </w:pPr>
            <w:r w:rsidRPr="00F93490">
              <w:rPr>
                <w:rFonts w:ascii="Times New Roman" w:hAnsi="Times New Roman"/>
                <w:sz w:val="18"/>
                <w:szCs w:val="22"/>
                <w:lang w:val="fr-FR"/>
              </w:rPr>
              <w:t>0</w:t>
            </w:r>
          </w:p>
        </w:tc>
        <w:tc>
          <w:tcPr>
            <w:tcW w:w="794" w:type="dxa"/>
            <w:tcBorders>
              <w:bottom w:val="single" w:sz="12" w:space="0" w:color="auto"/>
            </w:tcBorders>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szCs w:val="22"/>
                <w:lang w:val="fr-FR"/>
              </w:rPr>
            </w:pPr>
            <w:r w:rsidRPr="00F93490">
              <w:rPr>
                <w:rFonts w:ascii="Times New Roman" w:hAnsi="Times New Roman"/>
                <w:sz w:val="18"/>
                <w:szCs w:val="22"/>
                <w:lang w:val="fr-FR"/>
              </w:rPr>
              <w:t>0</w:t>
            </w:r>
          </w:p>
        </w:tc>
        <w:tc>
          <w:tcPr>
            <w:tcW w:w="794" w:type="dxa"/>
            <w:tcBorders>
              <w:bottom w:val="single" w:sz="12" w:space="0" w:color="auto"/>
            </w:tcBorders>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szCs w:val="22"/>
                <w:lang w:val="fr-FR"/>
              </w:rPr>
            </w:pPr>
            <w:r w:rsidRPr="00F93490">
              <w:rPr>
                <w:rFonts w:ascii="Times New Roman" w:hAnsi="Times New Roman"/>
                <w:sz w:val="18"/>
                <w:szCs w:val="22"/>
                <w:lang w:val="fr-FR"/>
              </w:rPr>
              <w:t>0</w:t>
            </w:r>
          </w:p>
        </w:tc>
        <w:tc>
          <w:tcPr>
            <w:tcW w:w="794" w:type="dxa"/>
            <w:tcBorders>
              <w:bottom w:val="single" w:sz="12" w:space="0" w:color="auto"/>
            </w:tcBorders>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szCs w:val="22"/>
                <w:lang w:val="fr-FR"/>
              </w:rPr>
            </w:pPr>
            <w:r w:rsidRPr="00F93490">
              <w:rPr>
                <w:rFonts w:ascii="Times New Roman" w:hAnsi="Times New Roman"/>
                <w:sz w:val="18"/>
                <w:szCs w:val="22"/>
                <w:lang w:val="fr-FR"/>
              </w:rPr>
              <w:t>0</w:t>
            </w:r>
          </w:p>
        </w:tc>
        <w:tc>
          <w:tcPr>
            <w:tcW w:w="794" w:type="dxa"/>
            <w:tcBorders>
              <w:bottom w:val="single" w:sz="12" w:space="0" w:color="auto"/>
            </w:tcBorders>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szCs w:val="22"/>
                <w:lang w:val="fr-FR"/>
              </w:rPr>
            </w:pPr>
            <w:r w:rsidRPr="00F93490">
              <w:rPr>
                <w:rFonts w:ascii="Times New Roman" w:hAnsi="Times New Roman"/>
                <w:sz w:val="18"/>
                <w:szCs w:val="22"/>
                <w:lang w:val="fr-FR"/>
              </w:rPr>
              <w:t>0</w:t>
            </w:r>
          </w:p>
        </w:tc>
      </w:tr>
    </w:tbl>
    <w:p w:rsidR="000B562B" w:rsidRPr="00F93490" w:rsidRDefault="000B562B" w:rsidP="002C6F62">
      <w:pPr>
        <w:pStyle w:val="Text"/>
        <w:spacing w:after="0"/>
        <w:rPr>
          <w:lang w:val="fr-FR"/>
        </w:rPr>
      </w:pP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482"/>
        <w:gridCol w:w="699"/>
        <w:gridCol w:w="699"/>
        <w:gridCol w:w="698"/>
        <w:gridCol w:w="698"/>
        <w:gridCol w:w="698"/>
        <w:gridCol w:w="698"/>
        <w:gridCol w:w="698"/>
      </w:tblGrid>
      <w:tr w:rsidR="000B562B" w:rsidRPr="00F93490">
        <w:trPr>
          <w:cantSplit/>
          <w:trHeight w:val="240"/>
          <w:tblHeader/>
        </w:trPr>
        <w:tc>
          <w:tcPr>
            <w:tcW w:w="3119" w:type="dxa"/>
            <w:tcBorders>
              <w:top w:val="single" w:sz="4" w:space="0" w:color="auto"/>
              <w:bottom w:val="single" w:sz="12" w:space="0" w:color="auto"/>
            </w:tcBorders>
            <w:shd w:val="clear" w:color="auto" w:fill="auto"/>
            <w:vAlign w:val="bottom"/>
          </w:tcPr>
          <w:p w:rsidR="000B562B" w:rsidRPr="00F93490" w:rsidRDefault="000B562B" w:rsidP="004C051B">
            <w:pPr>
              <w:pStyle w:val="Text"/>
              <w:spacing w:before="80" w:after="80" w:line="200" w:lineRule="exact"/>
              <w:rPr>
                <w:rFonts w:ascii="Times New Roman" w:hAnsi="Times New Roman"/>
                <w:i/>
                <w:sz w:val="16"/>
                <w:lang w:val="fr-FR"/>
              </w:rPr>
            </w:pPr>
          </w:p>
        </w:tc>
        <w:tc>
          <w:tcPr>
            <w:tcW w:w="794" w:type="dxa"/>
            <w:tcBorders>
              <w:top w:val="single" w:sz="4" w:space="0" w:color="auto"/>
              <w:bottom w:val="single" w:sz="12" w:space="0" w:color="auto"/>
            </w:tcBorders>
            <w:shd w:val="clear" w:color="auto" w:fill="auto"/>
            <w:vAlign w:val="bottom"/>
          </w:tcPr>
          <w:p w:rsidR="000B562B" w:rsidRPr="00F93490" w:rsidRDefault="000B562B" w:rsidP="009E24CA">
            <w:pPr>
              <w:pStyle w:val="Text"/>
              <w:spacing w:before="80" w:after="80" w:line="200" w:lineRule="exact"/>
              <w:ind w:left="113" w:right="57"/>
              <w:jc w:val="right"/>
              <w:rPr>
                <w:rFonts w:ascii="Times New Roman" w:hAnsi="Times New Roman"/>
                <w:i/>
                <w:sz w:val="16"/>
                <w:lang w:val="fr-FR"/>
              </w:rPr>
            </w:pPr>
            <w:r w:rsidRPr="00F93490">
              <w:rPr>
                <w:rFonts w:ascii="Times New Roman" w:hAnsi="Times New Roman"/>
                <w:i/>
                <w:sz w:val="16"/>
                <w:lang w:val="fr-FR"/>
              </w:rPr>
              <w:t>2003</w:t>
            </w:r>
          </w:p>
        </w:tc>
        <w:tc>
          <w:tcPr>
            <w:tcW w:w="794" w:type="dxa"/>
            <w:tcBorders>
              <w:top w:val="single" w:sz="4" w:space="0" w:color="auto"/>
              <w:bottom w:val="single" w:sz="12" w:space="0" w:color="auto"/>
            </w:tcBorders>
            <w:shd w:val="clear" w:color="auto" w:fill="auto"/>
            <w:vAlign w:val="bottom"/>
          </w:tcPr>
          <w:p w:rsidR="000B562B" w:rsidRPr="00F93490" w:rsidRDefault="000B562B" w:rsidP="009E24CA">
            <w:pPr>
              <w:pStyle w:val="Text"/>
              <w:spacing w:before="80" w:after="80" w:line="200" w:lineRule="exact"/>
              <w:ind w:left="113" w:right="57"/>
              <w:jc w:val="right"/>
              <w:rPr>
                <w:rFonts w:ascii="Times New Roman" w:hAnsi="Times New Roman"/>
                <w:i/>
                <w:sz w:val="16"/>
                <w:lang w:val="fr-FR"/>
              </w:rPr>
            </w:pPr>
            <w:r w:rsidRPr="00F93490">
              <w:rPr>
                <w:rFonts w:ascii="Times New Roman" w:hAnsi="Times New Roman"/>
                <w:i/>
                <w:sz w:val="16"/>
                <w:lang w:val="fr-FR"/>
              </w:rPr>
              <w:t>2004</w:t>
            </w:r>
          </w:p>
        </w:tc>
        <w:tc>
          <w:tcPr>
            <w:tcW w:w="794" w:type="dxa"/>
            <w:tcBorders>
              <w:top w:val="single" w:sz="4" w:space="0" w:color="auto"/>
              <w:bottom w:val="single" w:sz="12" w:space="0" w:color="auto"/>
            </w:tcBorders>
            <w:shd w:val="clear" w:color="auto" w:fill="auto"/>
            <w:vAlign w:val="bottom"/>
          </w:tcPr>
          <w:p w:rsidR="000B562B" w:rsidRPr="00F93490" w:rsidRDefault="000B562B" w:rsidP="009E24CA">
            <w:pPr>
              <w:pStyle w:val="Text"/>
              <w:spacing w:before="80" w:after="80" w:line="200" w:lineRule="exact"/>
              <w:ind w:left="113" w:right="57"/>
              <w:jc w:val="right"/>
              <w:rPr>
                <w:rFonts w:ascii="Times New Roman" w:hAnsi="Times New Roman"/>
                <w:i/>
                <w:sz w:val="16"/>
                <w:lang w:val="fr-FR"/>
              </w:rPr>
            </w:pPr>
            <w:r w:rsidRPr="00F93490">
              <w:rPr>
                <w:rFonts w:ascii="Times New Roman" w:hAnsi="Times New Roman"/>
                <w:i/>
                <w:sz w:val="16"/>
                <w:lang w:val="fr-FR"/>
              </w:rPr>
              <w:t>2005</w:t>
            </w:r>
          </w:p>
        </w:tc>
        <w:tc>
          <w:tcPr>
            <w:tcW w:w="794" w:type="dxa"/>
            <w:tcBorders>
              <w:top w:val="single" w:sz="4" w:space="0" w:color="auto"/>
              <w:bottom w:val="single" w:sz="12" w:space="0" w:color="auto"/>
            </w:tcBorders>
            <w:shd w:val="clear" w:color="auto" w:fill="auto"/>
            <w:vAlign w:val="bottom"/>
          </w:tcPr>
          <w:p w:rsidR="000B562B" w:rsidRPr="00F93490" w:rsidRDefault="000B562B" w:rsidP="009E24CA">
            <w:pPr>
              <w:pStyle w:val="Text"/>
              <w:spacing w:before="80" w:after="80" w:line="200" w:lineRule="exact"/>
              <w:ind w:left="113" w:right="57"/>
              <w:jc w:val="right"/>
              <w:rPr>
                <w:rFonts w:ascii="Times New Roman" w:hAnsi="Times New Roman"/>
                <w:i/>
                <w:sz w:val="16"/>
                <w:lang w:val="fr-FR"/>
              </w:rPr>
            </w:pPr>
            <w:r w:rsidRPr="00F93490">
              <w:rPr>
                <w:rFonts w:ascii="Times New Roman" w:hAnsi="Times New Roman"/>
                <w:i/>
                <w:sz w:val="16"/>
                <w:lang w:val="fr-FR"/>
              </w:rPr>
              <w:t>2006</w:t>
            </w:r>
          </w:p>
        </w:tc>
        <w:tc>
          <w:tcPr>
            <w:tcW w:w="794" w:type="dxa"/>
            <w:tcBorders>
              <w:top w:val="single" w:sz="4" w:space="0" w:color="auto"/>
              <w:bottom w:val="single" w:sz="12" w:space="0" w:color="auto"/>
            </w:tcBorders>
            <w:shd w:val="clear" w:color="auto" w:fill="auto"/>
            <w:vAlign w:val="bottom"/>
          </w:tcPr>
          <w:p w:rsidR="000B562B" w:rsidRPr="00F93490" w:rsidRDefault="000B562B" w:rsidP="009E24CA">
            <w:pPr>
              <w:pStyle w:val="Text"/>
              <w:spacing w:before="80" w:after="80" w:line="200" w:lineRule="exact"/>
              <w:ind w:left="113" w:right="57"/>
              <w:jc w:val="right"/>
              <w:rPr>
                <w:rFonts w:ascii="Times New Roman" w:hAnsi="Times New Roman"/>
                <w:i/>
                <w:sz w:val="16"/>
                <w:lang w:val="fr-FR"/>
              </w:rPr>
            </w:pPr>
            <w:r w:rsidRPr="00F93490">
              <w:rPr>
                <w:rFonts w:ascii="Times New Roman" w:hAnsi="Times New Roman"/>
                <w:i/>
                <w:sz w:val="16"/>
                <w:lang w:val="fr-FR"/>
              </w:rPr>
              <w:t>2007</w:t>
            </w:r>
          </w:p>
        </w:tc>
        <w:tc>
          <w:tcPr>
            <w:tcW w:w="794" w:type="dxa"/>
            <w:tcBorders>
              <w:top w:val="single" w:sz="4" w:space="0" w:color="auto"/>
              <w:bottom w:val="single" w:sz="12" w:space="0" w:color="auto"/>
            </w:tcBorders>
            <w:shd w:val="clear" w:color="auto" w:fill="auto"/>
            <w:vAlign w:val="bottom"/>
          </w:tcPr>
          <w:p w:rsidR="000B562B" w:rsidRPr="00F93490" w:rsidRDefault="000B562B" w:rsidP="009E24CA">
            <w:pPr>
              <w:pStyle w:val="Text"/>
              <w:spacing w:before="80" w:after="80" w:line="200" w:lineRule="exact"/>
              <w:ind w:left="113" w:right="57"/>
              <w:jc w:val="right"/>
              <w:rPr>
                <w:rFonts w:ascii="Times New Roman" w:hAnsi="Times New Roman"/>
                <w:i/>
                <w:sz w:val="16"/>
                <w:lang w:val="fr-FR"/>
              </w:rPr>
            </w:pPr>
            <w:r w:rsidRPr="00F93490">
              <w:rPr>
                <w:rFonts w:ascii="Times New Roman" w:hAnsi="Times New Roman"/>
                <w:i/>
                <w:sz w:val="16"/>
                <w:lang w:val="fr-FR"/>
              </w:rPr>
              <w:t>2008</w:t>
            </w:r>
          </w:p>
        </w:tc>
        <w:tc>
          <w:tcPr>
            <w:tcW w:w="794" w:type="dxa"/>
            <w:tcBorders>
              <w:top w:val="single" w:sz="4" w:space="0" w:color="auto"/>
              <w:bottom w:val="single" w:sz="12" w:space="0" w:color="auto"/>
            </w:tcBorders>
            <w:shd w:val="clear" w:color="auto" w:fill="auto"/>
            <w:vAlign w:val="bottom"/>
          </w:tcPr>
          <w:p w:rsidR="000B562B" w:rsidRPr="00F93490" w:rsidRDefault="000B562B" w:rsidP="009E24CA">
            <w:pPr>
              <w:pStyle w:val="Text"/>
              <w:spacing w:before="80" w:after="80" w:line="200" w:lineRule="exact"/>
              <w:ind w:left="113" w:right="57"/>
              <w:jc w:val="right"/>
              <w:rPr>
                <w:rFonts w:ascii="Times New Roman" w:hAnsi="Times New Roman"/>
                <w:i/>
                <w:sz w:val="16"/>
                <w:lang w:val="fr-FR"/>
              </w:rPr>
            </w:pPr>
            <w:r w:rsidRPr="00F93490">
              <w:rPr>
                <w:rFonts w:ascii="Times New Roman" w:hAnsi="Times New Roman"/>
                <w:i/>
                <w:sz w:val="16"/>
                <w:lang w:val="fr-FR"/>
              </w:rPr>
              <w:t>2009</w:t>
            </w:r>
          </w:p>
        </w:tc>
      </w:tr>
      <w:tr w:rsidR="000B562B" w:rsidRPr="00F93490">
        <w:trPr>
          <w:cantSplit/>
          <w:trHeight w:val="240"/>
        </w:trPr>
        <w:tc>
          <w:tcPr>
            <w:tcW w:w="3119" w:type="dxa"/>
            <w:tcBorders>
              <w:top w:val="single" w:sz="12" w:space="0" w:color="auto"/>
            </w:tcBorders>
            <w:shd w:val="clear" w:color="auto" w:fill="auto"/>
          </w:tcPr>
          <w:p w:rsidR="000B562B" w:rsidRPr="00F93490" w:rsidRDefault="0095559A" w:rsidP="004C051B">
            <w:pPr>
              <w:pStyle w:val="Text"/>
              <w:spacing w:before="40" w:after="40" w:line="220" w:lineRule="exact"/>
              <w:rPr>
                <w:rFonts w:ascii="Times New Roman" w:hAnsi="Times New Roman"/>
                <w:sz w:val="18"/>
                <w:lang w:val="fr-FR"/>
              </w:rPr>
            </w:pPr>
            <w:r w:rsidRPr="00F93490">
              <w:rPr>
                <w:rFonts w:ascii="Times New Roman" w:hAnsi="Times New Roman"/>
                <w:sz w:val="18"/>
                <w:lang w:val="fr-FR"/>
              </w:rPr>
              <w:t>Administration pénitentiaire</w:t>
            </w:r>
          </w:p>
        </w:tc>
        <w:tc>
          <w:tcPr>
            <w:tcW w:w="794" w:type="dxa"/>
            <w:tcBorders>
              <w:top w:val="single" w:sz="12" w:space="0" w:color="auto"/>
            </w:tcBorders>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lang w:val="fr-FR"/>
              </w:rPr>
            </w:pPr>
          </w:p>
        </w:tc>
        <w:tc>
          <w:tcPr>
            <w:tcW w:w="794" w:type="dxa"/>
            <w:tcBorders>
              <w:top w:val="single" w:sz="12" w:space="0" w:color="auto"/>
            </w:tcBorders>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lang w:val="fr-FR"/>
              </w:rPr>
            </w:pPr>
          </w:p>
        </w:tc>
        <w:tc>
          <w:tcPr>
            <w:tcW w:w="794" w:type="dxa"/>
            <w:tcBorders>
              <w:top w:val="single" w:sz="12" w:space="0" w:color="auto"/>
            </w:tcBorders>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lang w:val="fr-FR"/>
              </w:rPr>
            </w:pPr>
          </w:p>
        </w:tc>
        <w:tc>
          <w:tcPr>
            <w:tcW w:w="794" w:type="dxa"/>
            <w:tcBorders>
              <w:top w:val="single" w:sz="12" w:space="0" w:color="auto"/>
            </w:tcBorders>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lang w:val="fr-FR"/>
              </w:rPr>
            </w:pPr>
          </w:p>
        </w:tc>
        <w:tc>
          <w:tcPr>
            <w:tcW w:w="794" w:type="dxa"/>
            <w:tcBorders>
              <w:top w:val="single" w:sz="12" w:space="0" w:color="auto"/>
            </w:tcBorders>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lang w:val="fr-FR"/>
              </w:rPr>
            </w:pPr>
          </w:p>
        </w:tc>
        <w:tc>
          <w:tcPr>
            <w:tcW w:w="794" w:type="dxa"/>
            <w:tcBorders>
              <w:top w:val="single" w:sz="12" w:space="0" w:color="auto"/>
            </w:tcBorders>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lang w:val="fr-FR"/>
              </w:rPr>
            </w:pPr>
          </w:p>
        </w:tc>
        <w:tc>
          <w:tcPr>
            <w:tcW w:w="794" w:type="dxa"/>
            <w:tcBorders>
              <w:top w:val="single" w:sz="12" w:space="0" w:color="auto"/>
            </w:tcBorders>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lang w:val="fr-FR"/>
              </w:rPr>
            </w:pPr>
          </w:p>
        </w:tc>
      </w:tr>
      <w:tr w:rsidR="000B562B" w:rsidRPr="00F93490">
        <w:trPr>
          <w:cantSplit/>
          <w:trHeight w:val="240"/>
        </w:trPr>
        <w:tc>
          <w:tcPr>
            <w:tcW w:w="3119" w:type="dxa"/>
            <w:shd w:val="clear" w:color="auto" w:fill="auto"/>
          </w:tcPr>
          <w:p w:rsidR="000B562B" w:rsidRPr="00F93490" w:rsidRDefault="000B562B" w:rsidP="00BD3857">
            <w:pPr>
              <w:pStyle w:val="Text"/>
              <w:spacing w:before="40" w:after="40" w:line="220" w:lineRule="exact"/>
              <w:rPr>
                <w:rFonts w:ascii="Times New Roman" w:hAnsi="Times New Roman"/>
                <w:sz w:val="18"/>
                <w:lang w:val="fr-FR"/>
              </w:rPr>
            </w:pPr>
            <w:r w:rsidRPr="00F93490">
              <w:rPr>
                <w:rFonts w:ascii="Times New Roman" w:hAnsi="Times New Roman"/>
                <w:sz w:val="18"/>
                <w:lang w:val="fr-FR"/>
              </w:rPr>
              <w:t xml:space="preserve">Suicides </w:t>
            </w:r>
            <w:r w:rsidR="00BD3857" w:rsidRPr="00F93490">
              <w:rPr>
                <w:rFonts w:ascii="Times New Roman" w:hAnsi="Times New Roman"/>
                <w:sz w:val="18"/>
                <w:lang w:val="fr-FR"/>
              </w:rPr>
              <w:t>en détention</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0</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1</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0</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0</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0</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0</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0</w:t>
            </w:r>
          </w:p>
        </w:tc>
      </w:tr>
      <w:tr w:rsidR="000B562B" w:rsidRPr="00F93490">
        <w:trPr>
          <w:cantSplit/>
          <w:trHeight w:val="240"/>
        </w:trPr>
        <w:tc>
          <w:tcPr>
            <w:tcW w:w="3119" w:type="dxa"/>
            <w:shd w:val="clear" w:color="auto" w:fill="auto"/>
          </w:tcPr>
          <w:p w:rsidR="000B562B" w:rsidRPr="00F93490" w:rsidRDefault="0095559A" w:rsidP="004C051B">
            <w:pPr>
              <w:pStyle w:val="Text"/>
              <w:spacing w:before="40" w:after="40" w:line="220" w:lineRule="exact"/>
              <w:rPr>
                <w:rFonts w:ascii="Times New Roman" w:hAnsi="Times New Roman"/>
                <w:sz w:val="18"/>
                <w:lang w:val="fr-FR"/>
              </w:rPr>
            </w:pPr>
            <w:r w:rsidRPr="00F93490">
              <w:rPr>
                <w:rFonts w:ascii="Times New Roman" w:hAnsi="Times New Roman"/>
                <w:sz w:val="18"/>
                <w:lang w:val="fr-FR"/>
              </w:rPr>
              <w:t>Procédures disciplinaires à l’encontre du personnel</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0</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0</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1</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3</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3</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1</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5</w:t>
            </w:r>
          </w:p>
        </w:tc>
      </w:tr>
      <w:tr w:rsidR="000B562B" w:rsidRPr="00F93490">
        <w:trPr>
          <w:cantSplit/>
          <w:trHeight w:val="240"/>
        </w:trPr>
        <w:tc>
          <w:tcPr>
            <w:tcW w:w="3119" w:type="dxa"/>
            <w:shd w:val="clear" w:color="auto" w:fill="auto"/>
          </w:tcPr>
          <w:p w:rsidR="000B562B" w:rsidRPr="00F93490" w:rsidRDefault="00BD3857" w:rsidP="00CE0667">
            <w:pPr>
              <w:pStyle w:val="Text"/>
              <w:spacing w:before="40" w:after="40" w:line="220" w:lineRule="exact"/>
              <w:rPr>
                <w:rFonts w:ascii="Times New Roman" w:hAnsi="Times New Roman"/>
                <w:sz w:val="18"/>
                <w:lang w:val="fr-FR"/>
              </w:rPr>
            </w:pPr>
            <w:r w:rsidRPr="00F93490">
              <w:rPr>
                <w:rFonts w:ascii="Times New Roman" w:hAnsi="Times New Roman"/>
                <w:sz w:val="18"/>
                <w:lang w:val="fr-FR"/>
              </w:rPr>
              <w:t xml:space="preserve">Plaintes contre </w:t>
            </w:r>
            <w:r w:rsidR="00CE0667" w:rsidRPr="00F93490">
              <w:rPr>
                <w:rFonts w:ascii="Times New Roman" w:hAnsi="Times New Roman"/>
                <w:sz w:val="18"/>
                <w:lang w:val="fr-FR"/>
              </w:rPr>
              <w:t>le personnel</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2</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4</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0</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1</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0</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3</w:t>
            </w:r>
          </w:p>
        </w:tc>
      </w:tr>
      <w:tr w:rsidR="000B562B" w:rsidRPr="00F93490">
        <w:trPr>
          <w:cantSplit/>
          <w:trHeight w:val="240"/>
        </w:trPr>
        <w:tc>
          <w:tcPr>
            <w:tcW w:w="3119" w:type="dxa"/>
            <w:shd w:val="clear" w:color="auto" w:fill="auto"/>
          </w:tcPr>
          <w:p w:rsidR="000B562B" w:rsidRPr="00F93490" w:rsidRDefault="00F93490" w:rsidP="004C051B">
            <w:pPr>
              <w:pStyle w:val="Text"/>
              <w:spacing w:before="40" w:after="40" w:line="220" w:lineRule="exact"/>
              <w:rPr>
                <w:rFonts w:ascii="Times New Roman" w:hAnsi="Times New Roman"/>
                <w:sz w:val="18"/>
                <w:lang w:val="fr-FR"/>
              </w:rPr>
            </w:pPr>
            <w:r w:rsidRPr="00F93490">
              <w:rPr>
                <w:rFonts w:ascii="Times New Roman" w:hAnsi="Times New Roman"/>
                <w:sz w:val="18"/>
                <w:lang w:val="fr-FR"/>
              </w:rPr>
              <w:t>Population carcérale</w:t>
            </w:r>
            <w:r w:rsidR="00FC2B97">
              <w:rPr>
                <w:rFonts w:ascii="Times New Roman" w:hAnsi="Times New Roman"/>
                <w:sz w:val="18"/>
                <w:lang w:val="fr-FR"/>
              </w:rPr>
              <w:t>:</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lang w:val="fr-FR"/>
              </w:rPr>
            </w:pP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lang w:val="fr-FR"/>
              </w:rPr>
            </w:pP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lang w:val="fr-FR"/>
              </w:rPr>
            </w:pP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lang w:val="fr-FR"/>
              </w:rPr>
            </w:pP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lang w:val="fr-FR"/>
              </w:rPr>
            </w:pP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lang w:val="fr-FR"/>
              </w:rPr>
            </w:pP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lang w:val="fr-FR"/>
              </w:rPr>
            </w:pPr>
          </w:p>
        </w:tc>
      </w:tr>
      <w:tr w:rsidR="000B562B" w:rsidRPr="00F93490">
        <w:trPr>
          <w:cantSplit/>
          <w:trHeight w:val="240"/>
        </w:trPr>
        <w:tc>
          <w:tcPr>
            <w:tcW w:w="3119" w:type="dxa"/>
            <w:shd w:val="clear" w:color="auto" w:fill="auto"/>
          </w:tcPr>
          <w:p w:rsidR="000B562B" w:rsidRPr="00F93490" w:rsidRDefault="000B562B" w:rsidP="004C051B">
            <w:pPr>
              <w:pStyle w:val="Text"/>
              <w:spacing w:before="40" w:after="40" w:line="220" w:lineRule="exact"/>
              <w:rPr>
                <w:rFonts w:ascii="Times New Roman" w:hAnsi="Times New Roman"/>
                <w:sz w:val="18"/>
                <w:lang w:val="fr-FR"/>
              </w:rPr>
            </w:pPr>
            <w:r w:rsidRPr="00F93490">
              <w:rPr>
                <w:rFonts w:ascii="Times New Roman" w:hAnsi="Times New Roman"/>
                <w:sz w:val="18"/>
                <w:lang w:val="fr-FR"/>
              </w:rPr>
              <w:t>Maximum</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78</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122</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122</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122</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122</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122</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122</w:t>
            </w:r>
          </w:p>
        </w:tc>
      </w:tr>
      <w:tr w:rsidR="000B562B" w:rsidRPr="00F93490">
        <w:trPr>
          <w:cantSplit/>
          <w:trHeight w:val="240"/>
        </w:trPr>
        <w:tc>
          <w:tcPr>
            <w:tcW w:w="3119" w:type="dxa"/>
            <w:shd w:val="clear" w:color="auto" w:fill="auto"/>
          </w:tcPr>
          <w:p w:rsidR="000B562B" w:rsidRPr="00F93490" w:rsidRDefault="00F93490" w:rsidP="004C051B">
            <w:pPr>
              <w:pStyle w:val="Text"/>
              <w:spacing w:before="40" w:after="40" w:line="220" w:lineRule="exact"/>
              <w:rPr>
                <w:rFonts w:ascii="Times New Roman" w:hAnsi="Times New Roman"/>
                <w:sz w:val="18"/>
                <w:lang w:val="fr-FR"/>
              </w:rPr>
            </w:pPr>
            <w:r w:rsidRPr="00F93490">
              <w:rPr>
                <w:rFonts w:ascii="Times New Roman" w:hAnsi="Times New Roman"/>
                <w:sz w:val="18"/>
                <w:lang w:val="fr-FR"/>
              </w:rPr>
              <w:t>Niveau le plus élevé</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90</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113</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126</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129</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126</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98</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91</w:t>
            </w:r>
          </w:p>
        </w:tc>
      </w:tr>
      <w:tr w:rsidR="000B562B" w:rsidRPr="00F93490">
        <w:trPr>
          <w:cantSplit/>
          <w:trHeight w:val="240"/>
        </w:trPr>
        <w:tc>
          <w:tcPr>
            <w:tcW w:w="3119" w:type="dxa"/>
            <w:shd w:val="clear" w:color="auto" w:fill="auto"/>
          </w:tcPr>
          <w:p w:rsidR="000B562B" w:rsidRPr="00F93490" w:rsidRDefault="00F93490" w:rsidP="004C051B">
            <w:pPr>
              <w:pStyle w:val="Text"/>
              <w:spacing w:before="40" w:after="40" w:line="220" w:lineRule="exact"/>
              <w:rPr>
                <w:rFonts w:ascii="Times New Roman" w:hAnsi="Times New Roman"/>
                <w:sz w:val="18"/>
                <w:lang w:val="fr-FR"/>
              </w:rPr>
            </w:pPr>
            <w:r w:rsidRPr="00F93490">
              <w:rPr>
                <w:rFonts w:ascii="Times New Roman" w:hAnsi="Times New Roman"/>
                <w:sz w:val="18"/>
                <w:lang w:val="fr-FR"/>
              </w:rPr>
              <w:t>Niveau le plus bas</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66</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77</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89</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103</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89</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72</w:t>
            </w:r>
          </w:p>
        </w:tc>
        <w:tc>
          <w:tcPr>
            <w:tcW w:w="794" w:type="dxa"/>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64</w:t>
            </w:r>
          </w:p>
        </w:tc>
      </w:tr>
      <w:tr w:rsidR="000B562B" w:rsidRPr="00F93490">
        <w:trPr>
          <w:cantSplit/>
          <w:trHeight w:val="240"/>
        </w:trPr>
        <w:tc>
          <w:tcPr>
            <w:tcW w:w="3119" w:type="dxa"/>
            <w:tcBorders>
              <w:bottom w:val="single" w:sz="12" w:space="0" w:color="auto"/>
            </w:tcBorders>
            <w:shd w:val="clear" w:color="auto" w:fill="auto"/>
          </w:tcPr>
          <w:p w:rsidR="000B562B" w:rsidRPr="00F93490" w:rsidRDefault="00F93490" w:rsidP="004C051B">
            <w:pPr>
              <w:pStyle w:val="Text"/>
              <w:spacing w:before="40" w:after="40" w:line="220" w:lineRule="exact"/>
              <w:rPr>
                <w:rFonts w:ascii="Times New Roman" w:hAnsi="Times New Roman"/>
                <w:sz w:val="18"/>
                <w:lang w:val="fr-FR"/>
              </w:rPr>
            </w:pPr>
            <w:r w:rsidRPr="00F93490">
              <w:rPr>
                <w:rFonts w:ascii="Times New Roman" w:hAnsi="Times New Roman"/>
                <w:sz w:val="18"/>
                <w:lang w:val="fr-FR"/>
              </w:rPr>
              <w:t>Moyenne</w:t>
            </w:r>
          </w:p>
        </w:tc>
        <w:tc>
          <w:tcPr>
            <w:tcW w:w="794" w:type="dxa"/>
            <w:tcBorders>
              <w:bottom w:val="single" w:sz="12" w:space="0" w:color="auto"/>
            </w:tcBorders>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78</w:t>
            </w:r>
          </w:p>
        </w:tc>
        <w:tc>
          <w:tcPr>
            <w:tcW w:w="794" w:type="dxa"/>
            <w:tcBorders>
              <w:bottom w:val="single" w:sz="12" w:space="0" w:color="auto"/>
            </w:tcBorders>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92</w:t>
            </w:r>
          </w:p>
        </w:tc>
        <w:tc>
          <w:tcPr>
            <w:tcW w:w="794" w:type="dxa"/>
            <w:tcBorders>
              <w:bottom w:val="single" w:sz="12" w:space="0" w:color="auto"/>
            </w:tcBorders>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105</w:t>
            </w:r>
          </w:p>
        </w:tc>
        <w:tc>
          <w:tcPr>
            <w:tcW w:w="794" w:type="dxa"/>
            <w:tcBorders>
              <w:bottom w:val="single" w:sz="12" w:space="0" w:color="auto"/>
            </w:tcBorders>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117</w:t>
            </w:r>
          </w:p>
        </w:tc>
        <w:tc>
          <w:tcPr>
            <w:tcW w:w="794" w:type="dxa"/>
            <w:tcBorders>
              <w:bottom w:val="single" w:sz="12" w:space="0" w:color="auto"/>
            </w:tcBorders>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108</w:t>
            </w:r>
          </w:p>
        </w:tc>
        <w:tc>
          <w:tcPr>
            <w:tcW w:w="794" w:type="dxa"/>
            <w:tcBorders>
              <w:bottom w:val="single" w:sz="12" w:space="0" w:color="auto"/>
            </w:tcBorders>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88</w:t>
            </w:r>
          </w:p>
        </w:tc>
        <w:tc>
          <w:tcPr>
            <w:tcW w:w="794" w:type="dxa"/>
            <w:tcBorders>
              <w:bottom w:val="single" w:sz="12" w:space="0" w:color="auto"/>
            </w:tcBorders>
            <w:shd w:val="clear" w:color="auto" w:fill="auto"/>
            <w:vAlign w:val="bottom"/>
          </w:tcPr>
          <w:p w:rsidR="000B562B" w:rsidRPr="00F93490" w:rsidRDefault="000B562B" w:rsidP="009E24CA">
            <w:pPr>
              <w:pStyle w:val="Text"/>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78</w:t>
            </w:r>
          </w:p>
        </w:tc>
      </w:tr>
    </w:tbl>
    <w:p w:rsidR="000B562B" w:rsidRPr="00F93490" w:rsidRDefault="000B562B" w:rsidP="009E24CA">
      <w:pPr>
        <w:pStyle w:val="Text"/>
        <w:rPr>
          <w:lang w:val="fr-FR"/>
        </w:rPr>
      </w:pP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462"/>
        <w:gridCol w:w="702"/>
        <w:gridCol w:w="701"/>
        <w:gridCol w:w="701"/>
        <w:gridCol w:w="701"/>
        <w:gridCol w:w="701"/>
        <w:gridCol w:w="701"/>
        <w:gridCol w:w="701"/>
      </w:tblGrid>
      <w:tr w:rsidR="000B562B" w:rsidRPr="00F93490">
        <w:trPr>
          <w:cantSplit/>
          <w:trHeight w:val="240"/>
          <w:tblHeader/>
        </w:trPr>
        <w:tc>
          <w:tcPr>
            <w:tcW w:w="3119" w:type="dxa"/>
            <w:tcBorders>
              <w:top w:val="single" w:sz="4" w:space="0" w:color="auto"/>
              <w:bottom w:val="single" w:sz="12" w:space="0" w:color="auto"/>
            </w:tcBorders>
            <w:shd w:val="clear" w:color="auto" w:fill="auto"/>
            <w:vAlign w:val="bottom"/>
          </w:tcPr>
          <w:p w:rsidR="000B562B" w:rsidRPr="00F93490" w:rsidRDefault="000B562B" w:rsidP="009E24CA">
            <w:pPr>
              <w:pStyle w:val="Text"/>
              <w:keepNext/>
              <w:keepLines/>
              <w:spacing w:before="80" w:after="80" w:line="200" w:lineRule="exact"/>
              <w:rPr>
                <w:rFonts w:ascii="Times New Roman" w:hAnsi="Times New Roman"/>
                <w:i/>
                <w:sz w:val="16"/>
                <w:lang w:val="fr-FR"/>
              </w:rPr>
            </w:pPr>
          </w:p>
        </w:tc>
        <w:tc>
          <w:tcPr>
            <w:tcW w:w="794" w:type="dxa"/>
            <w:tcBorders>
              <w:top w:val="single" w:sz="4" w:space="0" w:color="auto"/>
              <w:bottom w:val="single" w:sz="12" w:space="0" w:color="auto"/>
            </w:tcBorders>
            <w:shd w:val="clear" w:color="auto" w:fill="auto"/>
            <w:vAlign w:val="bottom"/>
          </w:tcPr>
          <w:p w:rsidR="000B562B" w:rsidRPr="00F93490" w:rsidRDefault="000B562B" w:rsidP="002C6F62">
            <w:pPr>
              <w:pStyle w:val="Text"/>
              <w:keepNext/>
              <w:keepLines/>
              <w:spacing w:before="80" w:after="80" w:line="200" w:lineRule="exact"/>
              <w:ind w:left="113" w:right="57"/>
              <w:jc w:val="right"/>
              <w:rPr>
                <w:rFonts w:ascii="Times New Roman" w:hAnsi="Times New Roman"/>
                <w:i/>
                <w:sz w:val="16"/>
                <w:lang w:val="fr-FR"/>
              </w:rPr>
            </w:pPr>
            <w:r w:rsidRPr="00F93490">
              <w:rPr>
                <w:rFonts w:ascii="Times New Roman" w:hAnsi="Times New Roman"/>
                <w:i/>
                <w:sz w:val="16"/>
                <w:lang w:val="fr-FR"/>
              </w:rPr>
              <w:t>2003</w:t>
            </w:r>
          </w:p>
        </w:tc>
        <w:tc>
          <w:tcPr>
            <w:tcW w:w="794" w:type="dxa"/>
            <w:tcBorders>
              <w:top w:val="single" w:sz="4" w:space="0" w:color="auto"/>
              <w:bottom w:val="single" w:sz="12" w:space="0" w:color="auto"/>
            </w:tcBorders>
            <w:shd w:val="clear" w:color="auto" w:fill="auto"/>
            <w:vAlign w:val="bottom"/>
          </w:tcPr>
          <w:p w:rsidR="000B562B" w:rsidRPr="00F93490" w:rsidRDefault="000B562B" w:rsidP="002C6F62">
            <w:pPr>
              <w:pStyle w:val="Text"/>
              <w:keepNext/>
              <w:keepLines/>
              <w:spacing w:before="80" w:after="80" w:line="200" w:lineRule="exact"/>
              <w:ind w:left="113" w:right="57"/>
              <w:jc w:val="right"/>
              <w:rPr>
                <w:rFonts w:ascii="Times New Roman" w:hAnsi="Times New Roman"/>
                <w:i/>
                <w:sz w:val="16"/>
                <w:lang w:val="fr-FR"/>
              </w:rPr>
            </w:pPr>
            <w:r w:rsidRPr="00F93490">
              <w:rPr>
                <w:rFonts w:ascii="Times New Roman" w:hAnsi="Times New Roman"/>
                <w:i/>
                <w:sz w:val="16"/>
                <w:lang w:val="fr-FR"/>
              </w:rPr>
              <w:t>2004</w:t>
            </w:r>
          </w:p>
        </w:tc>
        <w:tc>
          <w:tcPr>
            <w:tcW w:w="794" w:type="dxa"/>
            <w:tcBorders>
              <w:top w:val="single" w:sz="4" w:space="0" w:color="auto"/>
              <w:bottom w:val="single" w:sz="12" w:space="0" w:color="auto"/>
            </w:tcBorders>
            <w:shd w:val="clear" w:color="auto" w:fill="auto"/>
            <w:vAlign w:val="bottom"/>
          </w:tcPr>
          <w:p w:rsidR="000B562B" w:rsidRPr="00F93490" w:rsidRDefault="000B562B" w:rsidP="002C6F62">
            <w:pPr>
              <w:pStyle w:val="Text"/>
              <w:keepNext/>
              <w:keepLines/>
              <w:spacing w:before="80" w:after="80" w:line="200" w:lineRule="exact"/>
              <w:ind w:left="113" w:right="57"/>
              <w:jc w:val="right"/>
              <w:rPr>
                <w:rFonts w:ascii="Times New Roman" w:hAnsi="Times New Roman"/>
                <w:i/>
                <w:sz w:val="16"/>
                <w:lang w:val="fr-FR"/>
              </w:rPr>
            </w:pPr>
            <w:r w:rsidRPr="00F93490">
              <w:rPr>
                <w:rFonts w:ascii="Times New Roman" w:hAnsi="Times New Roman"/>
                <w:i/>
                <w:sz w:val="16"/>
                <w:lang w:val="fr-FR"/>
              </w:rPr>
              <w:t>2005</w:t>
            </w:r>
          </w:p>
        </w:tc>
        <w:tc>
          <w:tcPr>
            <w:tcW w:w="794" w:type="dxa"/>
            <w:tcBorders>
              <w:top w:val="single" w:sz="4" w:space="0" w:color="auto"/>
              <w:bottom w:val="single" w:sz="12" w:space="0" w:color="auto"/>
            </w:tcBorders>
            <w:shd w:val="clear" w:color="auto" w:fill="auto"/>
            <w:vAlign w:val="bottom"/>
          </w:tcPr>
          <w:p w:rsidR="000B562B" w:rsidRPr="00F93490" w:rsidRDefault="000B562B" w:rsidP="002C6F62">
            <w:pPr>
              <w:pStyle w:val="Text"/>
              <w:keepNext/>
              <w:keepLines/>
              <w:spacing w:before="80" w:after="80" w:line="200" w:lineRule="exact"/>
              <w:ind w:left="113" w:right="57"/>
              <w:jc w:val="right"/>
              <w:rPr>
                <w:rFonts w:ascii="Times New Roman" w:hAnsi="Times New Roman"/>
                <w:i/>
                <w:sz w:val="16"/>
                <w:lang w:val="fr-FR"/>
              </w:rPr>
            </w:pPr>
            <w:r w:rsidRPr="00F93490">
              <w:rPr>
                <w:rFonts w:ascii="Times New Roman" w:hAnsi="Times New Roman"/>
                <w:i/>
                <w:sz w:val="16"/>
                <w:lang w:val="fr-FR"/>
              </w:rPr>
              <w:t>2006</w:t>
            </w:r>
          </w:p>
        </w:tc>
        <w:tc>
          <w:tcPr>
            <w:tcW w:w="794" w:type="dxa"/>
            <w:tcBorders>
              <w:top w:val="single" w:sz="4" w:space="0" w:color="auto"/>
              <w:bottom w:val="single" w:sz="12" w:space="0" w:color="auto"/>
            </w:tcBorders>
            <w:shd w:val="clear" w:color="auto" w:fill="auto"/>
            <w:vAlign w:val="bottom"/>
          </w:tcPr>
          <w:p w:rsidR="000B562B" w:rsidRPr="00F93490" w:rsidRDefault="000B562B" w:rsidP="002C6F62">
            <w:pPr>
              <w:pStyle w:val="Text"/>
              <w:keepNext/>
              <w:keepLines/>
              <w:spacing w:before="80" w:after="80" w:line="200" w:lineRule="exact"/>
              <w:ind w:left="113" w:right="57"/>
              <w:jc w:val="right"/>
              <w:rPr>
                <w:rFonts w:ascii="Times New Roman" w:hAnsi="Times New Roman"/>
                <w:i/>
                <w:sz w:val="16"/>
                <w:lang w:val="fr-FR"/>
              </w:rPr>
            </w:pPr>
            <w:r w:rsidRPr="00F93490">
              <w:rPr>
                <w:rFonts w:ascii="Times New Roman" w:hAnsi="Times New Roman"/>
                <w:i/>
                <w:sz w:val="16"/>
                <w:lang w:val="fr-FR"/>
              </w:rPr>
              <w:t>2007</w:t>
            </w:r>
          </w:p>
        </w:tc>
        <w:tc>
          <w:tcPr>
            <w:tcW w:w="794" w:type="dxa"/>
            <w:tcBorders>
              <w:top w:val="single" w:sz="4" w:space="0" w:color="auto"/>
              <w:bottom w:val="single" w:sz="12" w:space="0" w:color="auto"/>
            </w:tcBorders>
            <w:shd w:val="clear" w:color="auto" w:fill="auto"/>
            <w:vAlign w:val="bottom"/>
          </w:tcPr>
          <w:p w:rsidR="000B562B" w:rsidRPr="00F93490" w:rsidRDefault="000B562B" w:rsidP="002C6F62">
            <w:pPr>
              <w:pStyle w:val="Text"/>
              <w:keepNext/>
              <w:keepLines/>
              <w:spacing w:before="80" w:after="80" w:line="200" w:lineRule="exact"/>
              <w:ind w:left="113" w:right="57"/>
              <w:jc w:val="right"/>
              <w:rPr>
                <w:rFonts w:ascii="Times New Roman" w:hAnsi="Times New Roman"/>
                <w:i/>
                <w:sz w:val="16"/>
                <w:lang w:val="fr-FR"/>
              </w:rPr>
            </w:pPr>
            <w:r w:rsidRPr="00F93490">
              <w:rPr>
                <w:rFonts w:ascii="Times New Roman" w:hAnsi="Times New Roman"/>
                <w:i/>
                <w:sz w:val="16"/>
                <w:lang w:val="fr-FR"/>
              </w:rPr>
              <w:t>2008</w:t>
            </w:r>
          </w:p>
        </w:tc>
        <w:tc>
          <w:tcPr>
            <w:tcW w:w="794" w:type="dxa"/>
            <w:tcBorders>
              <w:top w:val="single" w:sz="4" w:space="0" w:color="auto"/>
              <w:bottom w:val="single" w:sz="12" w:space="0" w:color="auto"/>
            </w:tcBorders>
            <w:shd w:val="clear" w:color="auto" w:fill="auto"/>
            <w:vAlign w:val="bottom"/>
          </w:tcPr>
          <w:p w:rsidR="000B562B" w:rsidRPr="00F93490" w:rsidRDefault="000B562B" w:rsidP="002C6F62">
            <w:pPr>
              <w:pStyle w:val="Text"/>
              <w:keepNext/>
              <w:keepLines/>
              <w:spacing w:before="80" w:after="80" w:line="200" w:lineRule="exact"/>
              <w:ind w:left="113" w:right="57"/>
              <w:jc w:val="right"/>
              <w:rPr>
                <w:rFonts w:ascii="Times New Roman" w:hAnsi="Times New Roman"/>
                <w:i/>
                <w:sz w:val="16"/>
                <w:lang w:val="fr-FR"/>
              </w:rPr>
            </w:pPr>
            <w:r w:rsidRPr="00F93490">
              <w:rPr>
                <w:rFonts w:ascii="Times New Roman" w:hAnsi="Times New Roman"/>
                <w:i/>
                <w:sz w:val="16"/>
                <w:lang w:val="fr-FR"/>
              </w:rPr>
              <w:t>2009</w:t>
            </w:r>
          </w:p>
        </w:tc>
      </w:tr>
      <w:tr w:rsidR="000B562B" w:rsidRPr="00F93490">
        <w:trPr>
          <w:cantSplit/>
          <w:trHeight w:val="240"/>
        </w:trPr>
        <w:tc>
          <w:tcPr>
            <w:tcW w:w="3119" w:type="dxa"/>
            <w:tcBorders>
              <w:top w:val="single" w:sz="12" w:space="0" w:color="auto"/>
            </w:tcBorders>
            <w:shd w:val="clear" w:color="auto" w:fill="auto"/>
          </w:tcPr>
          <w:p w:rsidR="000B562B" w:rsidRPr="00F93490" w:rsidRDefault="00F93490" w:rsidP="009E24CA">
            <w:pPr>
              <w:pStyle w:val="Text"/>
              <w:keepNext/>
              <w:keepLines/>
              <w:spacing w:before="40" w:after="40" w:line="220" w:lineRule="exact"/>
              <w:rPr>
                <w:rFonts w:ascii="Times New Roman" w:hAnsi="Times New Roman"/>
                <w:sz w:val="18"/>
                <w:lang w:val="fr-FR"/>
              </w:rPr>
            </w:pPr>
            <w:r w:rsidRPr="00F93490">
              <w:rPr>
                <w:rFonts w:ascii="Times New Roman" w:hAnsi="Times New Roman"/>
                <w:sz w:val="18"/>
                <w:lang w:val="fr-FR"/>
              </w:rPr>
              <w:t>Service de contrôle des frontières de Guernesey</w:t>
            </w:r>
          </w:p>
        </w:tc>
        <w:tc>
          <w:tcPr>
            <w:tcW w:w="794" w:type="dxa"/>
            <w:tcBorders>
              <w:top w:val="single" w:sz="12" w:space="0" w:color="auto"/>
            </w:tcBorders>
            <w:shd w:val="clear" w:color="auto" w:fill="auto"/>
            <w:vAlign w:val="bottom"/>
          </w:tcPr>
          <w:p w:rsidR="000B562B" w:rsidRPr="00F93490" w:rsidRDefault="000B562B" w:rsidP="002C6F62">
            <w:pPr>
              <w:pStyle w:val="Text"/>
              <w:keepNext/>
              <w:keepLines/>
              <w:spacing w:before="40" w:after="40" w:line="220" w:lineRule="exact"/>
              <w:ind w:left="113" w:right="57"/>
              <w:jc w:val="right"/>
              <w:rPr>
                <w:rFonts w:ascii="Times New Roman" w:hAnsi="Times New Roman"/>
                <w:sz w:val="18"/>
                <w:lang w:val="fr-FR"/>
              </w:rPr>
            </w:pPr>
          </w:p>
        </w:tc>
        <w:tc>
          <w:tcPr>
            <w:tcW w:w="794" w:type="dxa"/>
            <w:tcBorders>
              <w:top w:val="single" w:sz="12" w:space="0" w:color="auto"/>
            </w:tcBorders>
            <w:shd w:val="clear" w:color="auto" w:fill="auto"/>
            <w:vAlign w:val="bottom"/>
          </w:tcPr>
          <w:p w:rsidR="000B562B" w:rsidRPr="00F93490" w:rsidRDefault="000B562B" w:rsidP="002C6F62">
            <w:pPr>
              <w:pStyle w:val="Text"/>
              <w:keepNext/>
              <w:keepLines/>
              <w:spacing w:before="40" w:after="40" w:line="220" w:lineRule="exact"/>
              <w:ind w:left="113" w:right="57"/>
              <w:jc w:val="right"/>
              <w:rPr>
                <w:rFonts w:ascii="Times New Roman" w:hAnsi="Times New Roman"/>
                <w:sz w:val="18"/>
                <w:lang w:val="fr-FR"/>
              </w:rPr>
            </w:pPr>
          </w:p>
        </w:tc>
        <w:tc>
          <w:tcPr>
            <w:tcW w:w="794" w:type="dxa"/>
            <w:tcBorders>
              <w:top w:val="single" w:sz="12" w:space="0" w:color="auto"/>
            </w:tcBorders>
            <w:shd w:val="clear" w:color="auto" w:fill="auto"/>
            <w:vAlign w:val="bottom"/>
          </w:tcPr>
          <w:p w:rsidR="000B562B" w:rsidRPr="00F93490" w:rsidRDefault="000B562B" w:rsidP="002C6F62">
            <w:pPr>
              <w:pStyle w:val="Text"/>
              <w:keepNext/>
              <w:keepLines/>
              <w:spacing w:before="40" w:after="40" w:line="220" w:lineRule="exact"/>
              <w:ind w:left="113" w:right="57"/>
              <w:jc w:val="right"/>
              <w:rPr>
                <w:rFonts w:ascii="Times New Roman" w:hAnsi="Times New Roman"/>
                <w:sz w:val="18"/>
                <w:lang w:val="fr-FR"/>
              </w:rPr>
            </w:pPr>
          </w:p>
        </w:tc>
        <w:tc>
          <w:tcPr>
            <w:tcW w:w="794" w:type="dxa"/>
            <w:tcBorders>
              <w:top w:val="single" w:sz="12" w:space="0" w:color="auto"/>
            </w:tcBorders>
            <w:shd w:val="clear" w:color="auto" w:fill="auto"/>
            <w:vAlign w:val="bottom"/>
          </w:tcPr>
          <w:p w:rsidR="000B562B" w:rsidRPr="00F93490" w:rsidRDefault="000B562B" w:rsidP="002C6F62">
            <w:pPr>
              <w:pStyle w:val="Text"/>
              <w:keepNext/>
              <w:keepLines/>
              <w:spacing w:before="40" w:after="40" w:line="220" w:lineRule="exact"/>
              <w:ind w:left="113" w:right="57"/>
              <w:jc w:val="right"/>
              <w:rPr>
                <w:rFonts w:ascii="Times New Roman" w:hAnsi="Times New Roman"/>
                <w:sz w:val="18"/>
                <w:lang w:val="fr-FR"/>
              </w:rPr>
            </w:pPr>
          </w:p>
        </w:tc>
        <w:tc>
          <w:tcPr>
            <w:tcW w:w="794" w:type="dxa"/>
            <w:tcBorders>
              <w:top w:val="single" w:sz="12" w:space="0" w:color="auto"/>
            </w:tcBorders>
            <w:shd w:val="clear" w:color="auto" w:fill="auto"/>
            <w:vAlign w:val="bottom"/>
          </w:tcPr>
          <w:p w:rsidR="000B562B" w:rsidRPr="00F93490" w:rsidRDefault="000B562B" w:rsidP="002C6F62">
            <w:pPr>
              <w:pStyle w:val="Text"/>
              <w:keepNext/>
              <w:keepLines/>
              <w:spacing w:before="40" w:after="40" w:line="220" w:lineRule="exact"/>
              <w:ind w:left="113" w:right="57"/>
              <w:jc w:val="right"/>
              <w:rPr>
                <w:rFonts w:ascii="Times New Roman" w:hAnsi="Times New Roman"/>
                <w:sz w:val="18"/>
                <w:lang w:val="fr-FR"/>
              </w:rPr>
            </w:pPr>
          </w:p>
        </w:tc>
        <w:tc>
          <w:tcPr>
            <w:tcW w:w="794" w:type="dxa"/>
            <w:tcBorders>
              <w:top w:val="single" w:sz="12" w:space="0" w:color="auto"/>
            </w:tcBorders>
            <w:shd w:val="clear" w:color="auto" w:fill="auto"/>
            <w:vAlign w:val="bottom"/>
          </w:tcPr>
          <w:p w:rsidR="000B562B" w:rsidRPr="00F93490" w:rsidRDefault="000B562B" w:rsidP="002C6F62">
            <w:pPr>
              <w:pStyle w:val="Text"/>
              <w:keepNext/>
              <w:keepLines/>
              <w:spacing w:before="40" w:after="40" w:line="220" w:lineRule="exact"/>
              <w:ind w:left="113" w:right="57"/>
              <w:jc w:val="right"/>
              <w:rPr>
                <w:rFonts w:ascii="Times New Roman" w:hAnsi="Times New Roman"/>
                <w:sz w:val="18"/>
                <w:lang w:val="fr-FR"/>
              </w:rPr>
            </w:pPr>
          </w:p>
        </w:tc>
        <w:tc>
          <w:tcPr>
            <w:tcW w:w="794" w:type="dxa"/>
            <w:tcBorders>
              <w:top w:val="single" w:sz="12" w:space="0" w:color="auto"/>
            </w:tcBorders>
            <w:shd w:val="clear" w:color="auto" w:fill="auto"/>
            <w:vAlign w:val="bottom"/>
          </w:tcPr>
          <w:p w:rsidR="000B562B" w:rsidRPr="00F93490" w:rsidRDefault="000B562B" w:rsidP="002C6F62">
            <w:pPr>
              <w:pStyle w:val="Text"/>
              <w:keepNext/>
              <w:keepLines/>
              <w:spacing w:before="40" w:after="40" w:line="220" w:lineRule="exact"/>
              <w:ind w:left="113" w:right="57"/>
              <w:jc w:val="right"/>
              <w:rPr>
                <w:rFonts w:ascii="Times New Roman" w:hAnsi="Times New Roman"/>
                <w:sz w:val="18"/>
                <w:lang w:val="fr-FR"/>
              </w:rPr>
            </w:pPr>
          </w:p>
        </w:tc>
      </w:tr>
      <w:tr w:rsidR="000B562B" w:rsidRPr="00F93490">
        <w:trPr>
          <w:cantSplit/>
          <w:trHeight w:val="240"/>
        </w:trPr>
        <w:tc>
          <w:tcPr>
            <w:tcW w:w="3119" w:type="dxa"/>
            <w:shd w:val="clear" w:color="auto" w:fill="auto"/>
          </w:tcPr>
          <w:p w:rsidR="000B562B" w:rsidRPr="00F93490" w:rsidRDefault="000B562B" w:rsidP="009E24CA">
            <w:pPr>
              <w:pStyle w:val="Text"/>
              <w:keepNext/>
              <w:keepLines/>
              <w:spacing w:before="40" w:after="40" w:line="220" w:lineRule="exact"/>
              <w:rPr>
                <w:rFonts w:ascii="Times New Roman" w:hAnsi="Times New Roman"/>
                <w:sz w:val="18"/>
                <w:lang w:val="fr-FR"/>
              </w:rPr>
            </w:pPr>
            <w:r w:rsidRPr="00F93490">
              <w:rPr>
                <w:rFonts w:ascii="Times New Roman" w:hAnsi="Times New Roman"/>
                <w:sz w:val="18"/>
                <w:lang w:val="fr-FR"/>
              </w:rPr>
              <w:t xml:space="preserve">Suicides </w:t>
            </w:r>
            <w:r w:rsidR="004C480D" w:rsidRPr="00F93490">
              <w:rPr>
                <w:rFonts w:ascii="Times New Roman" w:hAnsi="Times New Roman"/>
                <w:sz w:val="18"/>
                <w:lang w:val="fr-FR"/>
              </w:rPr>
              <w:t xml:space="preserve">en </w:t>
            </w:r>
            <w:r w:rsidR="00F93490" w:rsidRPr="00F93490">
              <w:rPr>
                <w:rFonts w:ascii="Times New Roman" w:hAnsi="Times New Roman"/>
                <w:sz w:val="18"/>
                <w:lang w:val="fr-FR"/>
              </w:rPr>
              <w:t>r</w:t>
            </w:r>
            <w:r w:rsidR="004C480D" w:rsidRPr="00F93490">
              <w:rPr>
                <w:rFonts w:ascii="Times New Roman" w:hAnsi="Times New Roman"/>
                <w:sz w:val="18"/>
                <w:lang w:val="fr-FR"/>
              </w:rPr>
              <w:t>étention</w:t>
            </w:r>
          </w:p>
        </w:tc>
        <w:tc>
          <w:tcPr>
            <w:tcW w:w="794" w:type="dxa"/>
            <w:shd w:val="clear" w:color="auto" w:fill="auto"/>
            <w:vAlign w:val="bottom"/>
          </w:tcPr>
          <w:p w:rsidR="000B562B" w:rsidRPr="00F93490" w:rsidRDefault="000B562B" w:rsidP="002C6F62">
            <w:pPr>
              <w:pStyle w:val="Text"/>
              <w:keepNext/>
              <w:keepLines/>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0</w:t>
            </w:r>
          </w:p>
        </w:tc>
        <w:tc>
          <w:tcPr>
            <w:tcW w:w="794" w:type="dxa"/>
            <w:shd w:val="clear" w:color="auto" w:fill="auto"/>
            <w:vAlign w:val="bottom"/>
          </w:tcPr>
          <w:p w:rsidR="000B562B" w:rsidRPr="00F93490" w:rsidRDefault="000B562B" w:rsidP="002C6F62">
            <w:pPr>
              <w:pStyle w:val="Text"/>
              <w:keepNext/>
              <w:keepLines/>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0</w:t>
            </w:r>
          </w:p>
        </w:tc>
        <w:tc>
          <w:tcPr>
            <w:tcW w:w="794" w:type="dxa"/>
            <w:shd w:val="clear" w:color="auto" w:fill="auto"/>
            <w:vAlign w:val="bottom"/>
          </w:tcPr>
          <w:p w:rsidR="000B562B" w:rsidRPr="00F93490" w:rsidRDefault="000B562B" w:rsidP="002C6F62">
            <w:pPr>
              <w:pStyle w:val="Text"/>
              <w:keepNext/>
              <w:keepLines/>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0</w:t>
            </w:r>
          </w:p>
        </w:tc>
        <w:tc>
          <w:tcPr>
            <w:tcW w:w="794" w:type="dxa"/>
            <w:shd w:val="clear" w:color="auto" w:fill="auto"/>
            <w:vAlign w:val="bottom"/>
          </w:tcPr>
          <w:p w:rsidR="000B562B" w:rsidRPr="00F93490" w:rsidRDefault="000B562B" w:rsidP="002C6F62">
            <w:pPr>
              <w:pStyle w:val="Text"/>
              <w:keepNext/>
              <w:keepLines/>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0</w:t>
            </w:r>
          </w:p>
        </w:tc>
        <w:tc>
          <w:tcPr>
            <w:tcW w:w="794" w:type="dxa"/>
            <w:shd w:val="clear" w:color="auto" w:fill="auto"/>
            <w:vAlign w:val="bottom"/>
          </w:tcPr>
          <w:p w:rsidR="000B562B" w:rsidRPr="00F93490" w:rsidRDefault="000B562B" w:rsidP="002C6F62">
            <w:pPr>
              <w:pStyle w:val="Text"/>
              <w:keepNext/>
              <w:keepLines/>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0</w:t>
            </w:r>
          </w:p>
        </w:tc>
        <w:tc>
          <w:tcPr>
            <w:tcW w:w="794" w:type="dxa"/>
            <w:shd w:val="clear" w:color="auto" w:fill="auto"/>
            <w:vAlign w:val="bottom"/>
          </w:tcPr>
          <w:p w:rsidR="000B562B" w:rsidRPr="00F93490" w:rsidRDefault="000B562B" w:rsidP="002C6F62">
            <w:pPr>
              <w:pStyle w:val="Text"/>
              <w:keepNext/>
              <w:keepLines/>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0</w:t>
            </w:r>
          </w:p>
        </w:tc>
        <w:tc>
          <w:tcPr>
            <w:tcW w:w="794" w:type="dxa"/>
            <w:shd w:val="clear" w:color="auto" w:fill="auto"/>
            <w:vAlign w:val="bottom"/>
          </w:tcPr>
          <w:p w:rsidR="000B562B" w:rsidRPr="00F93490" w:rsidRDefault="000B562B" w:rsidP="002C6F62">
            <w:pPr>
              <w:pStyle w:val="Text"/>
              <w:keepNext/>
              <w:keepLines/>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0</w:t>
            </w:r>
          </w:p>
        </w:tc>
      </w:tr>
      <w:tr w:rsidR="000B562B" w:rsidRPr="00A176EA">
        <w:trPr>
          <w:cantSplit/>
          <w:trHeight w:val="240"/>
        </w:trPr>
        <w:tc>
          <w:tcPr>
            <w:tcW w:w="3119" w:type="dxa"/>
            <w:shd w:val="clear" w:color="auto" w:fill="auto"/>
          </w:tcPr>
          <w:p w:rsidR="000B562B" w:rsidRPr="00F93490" w:rsidRDefault="000B562B" w:rsidP="009E24CA">
            <w:pPr>
              <w:pStyle w:val="Text"/>
              <w:keepNext/>
              <w:keepLines/>
              <w:spacing w:before="40" w:after="40" w:line="220" w:lineRule="exact"/>
              <w:rPr>
                <w:rFonts w:ascii="Times New Roman" w:hAnsi="Times New Roman"/>
                <w:sz w:val="18"/>
                <w:lang w:val="fr-FR"/>
              </w:rPr>
            </w:pPr>
            <w:r w:rsidRPr="00F93490">
              <w:rPr>
                <w:rFonts w:ascii="Times New Roman" w:hAnsi="Times New Roman"/>
                <w:sz w:val="18"/>
                <w:lang w:val="fr-FR"/>
              </w:rPr>
              <w:t>Extraditions</w:t>
            </w:r>
          </w:p>
        </w:tc>
        <w:tc>
          <w:tcPr>
            <w:tcW w:w="794" w:type="dxa"/>
            <w:shd w:val="clear" w:color="auto" w:fill="auto"/>
            <w:vAlign w:val="bottom"/>
          </w:tcPr>
          <w:p w:rsidR="000B562B" w:rsidRPr="00F93490" w:rsidRDefault="000B562B" w:rsidP="002C6F62">
            <w:pPr>
              <w:pStyle w:val="Text"/>
              <w:keepNext/>
              <w:keepLines/>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0</w:t>
            </w:r>
          </w:p>
        </w:tc>
        <w:tc>
          <w:tcPr>
            <w:tcW w:w="794" w:type="dxa"/>
            <w:shd w:val="clear" w:color="auto" w:fill="auto"/>
            <w:vAlign w:val="bottom"/>
          </w:tcPr>
          <w:p w:rsidR="000B562B" w:rsidRPr="00F93490" w:rsidRDefault="000B562B" w:rsidP="002C6F62">
            <w:pPr>
              <w:pStyle w:val="Text"/>
              <w:keepNext/>
              <w:keepLines/>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0</w:t>
            </w:r>
          </w:p>
        </w:tc>
        <w:tc>
          <w:tcPr>
            <w:tcW w:w="794" w:type="dxa"/>
            <w:shd w:val="clear" w:color="auto" w:fill="auto"/>
            <w:vAlign w:val="bottom"/>
          </w:tcPr>
          <w:p w:rsidR="000B562B" w:rsidRPr="00F93490" w:rsidRDefault="000B562B" w:rsidP="002C6F62">
            <w:pPr>
              <w:pStyle w:val="Text"/>
              <w:keepNext/>
              <w:keepLines/>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0</w:t>
            </w:r>
          </w:p>
        </w:tc>
        <w:tc>
          <w:tcPr>
            <w:tcW w:w="794" w:type="dxa"/>
            <w:shd w:val="clear" w:color="auto" w:fill="auto"/>
            <w:vAlign w:val="bottom"/>
          </w:tcPr>
          <w:p w:rsidR="000B562B" w:rsidRPr="00F93490" w:rsidRDefault="000B562B" w:rsidP="002C6F62">
            <w:pPr>
              <w:pStyle w:val="Text"/>
              <w:keepNext/>
              <w:keepLines/>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0</w:t>
            </w:r>
          </w:p>
        </w:tc>
        <w:tc>
          <w:tcPr>
            <w:tcW w:w="794" w:type="dxa"/>
            <w:shd w:val="clear" w:color="auto" w:fill="auto"/>
            <w:vAlign w:val="bottom"/>
          </w:tcPr>
          <w:p w:rsidR="000B562B" w:rsidRPr="00F93490" w:rsidRDefault="000B562B" w:rsidP="002C6F62">
            <w:pPr>
              <w:pStyle w:val="Text"/>
              <w:keepNext/>
              <w:keepLines/>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0</w:t>
            </w:r>
          </w:p>
        </w:tc>
        <w:tc>
          <w:tcPr>
            <w:tcW w:w="794" w:type="dxa"/>
            <w:shd w:val="clear" w:color="auto" w:fill="auto"/>
            <w:vAlign w:val="bottom"/>
          </w:tcPr>
          <w:p w:rsidR="000B562B" w:rsidRPr="00F93490" w:rsidRDefault="000B562B" w:rsidP="002C6F62">
            <w:pPr>
              <w:pStyle w:val="Text"/>
              <w:keepNext/>
              <w:keepLines/>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0</w:t>
            </w:r>
          </w:p>
        </w:tc>
        <w:tc>
          <w:tcPr>
            <w:tcW w:w="794" w:type="dxa"/>
            <w:shd w:val="clear" w:color="auto" w:fill="auto"/>
            <w:vAlign w:val="bottom"/>
          </w:tcPr>
          <w:p w:rsidR="000B562B" w:rsidRPr="00A176EA" w:rsidRDefault="000B562B" w:rsidP="002C6F62">
            <w:pPr>
              <w:pStyle w:val="Text"/>
              <w:keepNext/>
              <w:keepLines/>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0</w:t>
            </w:r>
          </w:p>
        </w:tc>
      </w:tr>
      <w:tr w:rsidR="000B562B" w:rsidRPr="00F93490">
        <w:trPr>
          <w:cantSplit/>
          <w:trHeight w:val="240"/>
        </w:trPr>
        <w:tc>
          <w:tcPr>
            <w:tcW w:w="3119" w:type="dxa"/>
            <w:tcBorders>
              <w:bottom w:val="single" w:sz="12" w:space="0" w:color="auto"/>
            </w:tcBorders>
            <w:shd w:val="clear" w:color="auto" w:fill="auto"/>
          </w:tcPr>
          <w:p w:rsidR="000B562B" w:rsidRPr="00F93490" w:rsidRDefault="004C480D" w:rsidP="009E24CA">
            <w:pPr>
              <w:pStyle w:val="Text"/>
              <w:keepNext/>
              <w:keepLines/>
              <w:spacing w:before="40" w:after="40" w:line="220" w:lineRule="exact"/>
              <w:rPr>
                <w:rFonts w:ascii="Times New Roman" w:hAnsi="Times New Roman"/>
                <w:sz w:val="18"/>
                <w:lang w:val="fr-FR"/>
              </w:rPr>
            </w:pPr>
            <w:r w:rsidRPr="00F93490">
              <w:rPr>
                <w:rFonts w:ascii="Times New Roman" w:hAnsi="Times New Roman"/>
                <w:sz w:val="18"/>
                <w:lang w:val="fr-FR"/>
              </w:rPr>
              <w:t>Expulsions de ressortissants étrangers</w:t>
            </w:r>
          </w:p>
        </w:tc>
        <w:tc>
          <w:tcPr>
            <w:tcW w:w="794" w:type="dxa"/>
            <w:tcBorders>
              <w:bottom w:val="single" w:sz="12" w:space="0" w:color="auto"/>
            </w:tcBorders>
            <w:shd w:val="clear" w:color="auto" w:fill="auto"/>
            <w:vAlign w:val="bottom"/>
          </w:tcPr>
          <w:p w:rsidR="000B562B" w:rsidRPr="00F93490" w:rsidRDefault="000B562B" w:rsidP="002C6F62">
            <w:pPr>
              <w:pStyle w:val="Text"/>
              <w:keepNext/>
              <w:keepLines/>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2</w:t>
            </w:r>
          </w:p>
        </w:tc>
        <w:tc>
          <w:tcPr>
            <w:tcW w:w="794" w:type="dxa"/>
            <w:tcBorders>
              <w:bottom w:val="single" w:sz="12" w:space="0" w:color="auto"/>
            </w:tcBorders>
            <w:shd w:val="clear" w:color="auto" w:fill="auto"/>
            <w:vAlign w:val="bottom"/>
          </w:tcPr>
          <w:p w:rsidR="000B562B" w:rsidRPr="00F93490" w:rsidRDefault="000B562B" w:rsidP="002C6F62">
            <w:pPr>
              <w:pStyle w:val="Text"/>
              <w:keepNext/>
              <w:keepLines/>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0</w:t>
            </w:r>
          </w:p>
        </w:tc>
        <w:tc>
          <w:tcPr>
            <w:tcW w:w="794" w:type="dxa"/>
            <w:tcBorders>
              <w:bottom w:val="single" w:sz="12" w:space="0" w:color="auto"/>
            </w:tcBorders>
            <w:shd w:val="clear" w:color="auto" w:fill="auto"/>
            <w:vAlign w:val="bottom"/>
          </w:tcPr>
          <w:p w:rsidR="000B562B" w:rsidRPr="00F93490" w:rsidRDefault="000B562B" w:rsidP="002C6F62">
            <w:pPr>
              <w:pStyle w:val="Text"/>
              <w:keepNext/>
              <w:keepLines/>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3</w:t>
            </w:r>
          </w:p>
        </w:tc>
        <w:tc>
          <w:tcPr>
            <w:tcW w:w="794" w:type="dxa"/>
            <w:tcBorders>
              <w:bottom w:val="single" w:sz="12" w:space="0" w:color="auto"/>
            </w:tcBorders>
            <w:shd w:val="clear" w:color="auto" w:fill="auto"/>
            <w:vAlign w:val="bottom"/>
          </w:tcPr>
          <w:p w:rsidR="000B562B" w:rsidRPr="00F93490" w:rsidRDefault="000B562B" w:rsidP="002C6F62">
            <w:pPr>
              <w:pStyle w:val="Text"/>
              <w:keepNext/>
              <w:keepLines/>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1</w:t>
            </w:r>
          </w:p>
        </w:tc>
        <w:tc>
          <w:tcPr>
            <w:tcW w:w="794" w:type="dxa"/>
            <w:tcBorders>
              <w:bottom w:val="single" w:sz="12" w:space="0" w:color="auto"/>
            </w:tcBorders>
            <w:shd w:val="clear" w:color="auto" w:fill="auto"/>
            <w:vAlign w:val="bottom"/>
          </w:tcPr>
          <w:p w:rsidR="000B562B" w:rsidRPr="00F93490" w:rsidRDefault="000B562B" w:rsidP="002C6F62">
            <w:pPr>
              <w:pStyle w:val="Text"/>
              <w:keepNext/>
              <w:keepLines/>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6</w:t>
            </w:r>
          </w:p>
        </w:tc>
        <w:tc>
          <w:tcPr>
            <w:tcW w:w="794" w:type="dxa"/>
            <w:tcBorders>
              <w:bottom w:val="single" w:sz="12" w:space="0" w:color="auto"/>
            </w:tcBorders>
            <w:shd w:val="clear" w:color="auto" w:fill="auto"/>
            <w:vAlign w:val="bottom"/>
          </w:tcPr>
          <w:p w:rsidR="000B562B" w:rsidRPr="00F93490" w:rsidRDefault="000B562B" w:rsidP="002C6F62">
            <w:pPr>
              <w:pStyle w:val="Text"/>
              <w:keepNext/>
              <w:keepLines/>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0</w:t>
            </w:r>
          </w:p>
        </w:tc>
        <w:tc>
          <w:tcPr>
            <w:tcW w:w="794" w:type="dxa"/>
            <w:tcBorders>
              <w:bottom w:val="single" w:sz="12" w:space="0" w:color="auto"/>
            </w:tcBorders>
            <w:shd w:val="clear" w:color="auto" w:fill="auto"/>
            <w:vAlign w:val="bottom"/>
          </w:tcPr>
          <w:p w:rsidR="000B562B" w:rsidRPr="00F93490" w:rsidRDefault="000B562B" w:rsidP="002C6F62">
            <w:pPr>
              <w:pStyle w:val="Text"/>
              <w:keepNext/>
              <w:keepLines/>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6</w:t>
            </w:r>
          </w:p>
        </w:tc>
      </w:tr>
    </w:tbl>
    <w:p w:rsidR="000B562B" w:rsidRPr="00F93490" w:rsidRDefault="000B562B" w:rsidP="002C6F62">
      <w:pPr>
        <w:pStyle w:val="Text"/>
        <w:spacing w:after="0"/>
        <w:rPr>
          <w:lang w:val="fr-FR"/>
        </w:rPr>
      </w:pP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470"/>
        <w:gridCol w:w="700"/>
        <w:gridCol w:w="700"/>
        <w:gridCol w:w="700"/>
        <w:gridCol w:w="700"/>
        <w:gridCol w:w="700"/>
        <w:gridCol w:w="700"/>
        <w:gridCol w:w="700"/>
      </w:tblGrid>
      <w:tr w:rsidR="000B562B" w:rsidRPr="00F93490">
        <w:trPr>
          <w:cantSplit/>
          <w:trHeight w:val="240"/>
          <w:tblHeader/>
        </w:trPr>
        <w:tc>
          <w:tcPr>
            <w:tcW w:w="3119" w:type="dxa"/>
            <w:tcBorders>
              <w:top w:val="single" w:sz="4" w:space="0" w:color="auto"/>
              <w:bottom w:val="single" w:sz="12" w:space="0" w:color="auto"/>
            </w:tcBorders>
            <w:shd w:val="clear" w:color="auto" w:fill="auto"/>
            <w:vAlign w:val="bottom"/>
          </w:tcPr>
          <w:p w:rsidR="000B562B" w:rsidRPr="00F93490" w:rsidRDefault="000B562B" w:rsidP="004C051B">
            <w:pPr>
              <w:pStyle w:val="Text"/>
              <w:spacing w:before="80" w:after="80" w:line="200" w:lineRule="exact"/>
              <w:rPr>
                <w:rFonts w:ascii="Times New Roman" w:hAnsi="Times New Roman"/>
                <w:i/>
                <w:sz w:val="16"/>
                <w:lang w:val="fr-FR"/>
              </w:rPr>
            </w:pPr>
          </w:p>
        </w:tc>
        <w:tc>
          <w:tcPr>
            <w:tcW w:w="794" w:type="dxa"/>
            <w:tcBorders>
              <w:top w:val="single" w:sz="4" w:space="0" w:color="auto"/>
              <w:bottom w:val="single" w:sz="12" w:space="0" w:color="auto"/>
            </w:tcBorders>
            <w:shd w:val="clear" w:color="auto" w:fill="auto"/>
            <w:vAlign w:val="bottom"/>
          </w:tcPr>
          <w:p w:rsidR="000B562B" w:rsidRPr="00F93490" w:rsidRDefault="000B562B" w:rsidP="002C6F62">
            <w:pPr>
              <w:pStyle w:val="Text"/>
              <w:keepNext/>
              <w:keepLines/>
              <w:spacing w:before="80" w:after="80" w:line="200" w:lineRule="exact"/>
              <w:ind w:left="113" w:right="57"/>
              <w:jc w:val="right"/>
              <w:rPr>
                <w:rFonts w:ascii="Times New Roman" w:hAnsi="Times New Roman"/>
                <w:i/>
                <w:sz w:val="16"/>
                <w:lang w:val="fr-FR"/>
              </w:rPr>
            </w:pPr>
            <w:r w:rsidRPr="00F93490">
              <w:rPr>
                <w:rFonts w:ascii="Times New Roman" w:hAnsi="Times New Roman"/>
                <w:i/>
                <w:sz w:val="16"/>
                <w:lang w:val="fr-FR"/>
              </w:rPr>
              <w:t>2003</w:t>
            </w:r>
          </w:p>
        </w:tc>
        <w:tc>
          <w:tcPr>
            <w:tcW w:w="794" w:type="dxa"/>
            <w:tcBorders>
              <w:top w:val="single" w:sz="4" w:space="0" w:color="auto"/>
              <w:bottom w:val="single" w:sz="12" w:space="0" w:color="auto"/>
            </w:tcBorders>
            <w:shd w:val="clear" w:color="auto" w:fill="auto"/>
            <w:vAlign w:val="bottom"/>
          </w:tcPr>
          <w:p w:rsidR="000B562B" w:rsidRPr="00F93490" w:rsidRDefault="000B562B" w:rsidP="002C6F62">
            <w:pPr>
              <w:pStyle w:val="Text"/>
              <w:keepNext/>
              <w:keepLines/>
              <w:spacing w:before="80" w:after="80" w:line="200" w:lineRule="exact"/>
              <w:ind w:left="113" w:right="57"/>
              <w:jc w:val="right"/>
              <w:rPr>
                <w:rFonts w:ascii="Times New Roman" w:hAnsi="Times New Roman"/>
                <w:i/>
                <w:sz w:val="16"/>
                <w:lang w:val="fr-FR"/>
              </w:rPr>
            </w:pPr>
            <w:r w:rsidRPr="00F93490">
              <w:rPr>
                <w:rFonts w:ascii="Times New Roman" w:hAnsi="Times New Roman"/>
                <w:i/>
                <w:sz w:val="16"/>
                <w:lang w:val="fr-FR"/>
              </w:rPr>
              <w:t>2004</w:t>
            </w:r>
          </w:p>
        </w:tc>
        <w:tc>
          <w:tcPr>
            <w:tcW w:w="794" w:type="dxa"/>
            <w:tcBorders>
              <w:top w:val="single" w:sz="4" w:space="0" w:color="auto"/>
              <w:bottom w:val="single" w:sz="12" w:space="0" w:color="auto"/>
            </w:tcBorders>
            <w:shd w:val="clear" w:color="auto" w:fill="auto"/>
            <w:vAlign w:val="bottom"/>
          </w:tcPr>
          <w:p w:rsidR="000B562B" w:rsidRPr="00F93490" w:rsidRDefault="000B562B" w:rsidP="002C6F62">
            <w:pPr>
              <w:pStyle w:val="Text"/>
              <w:keepNext/>
              <w:keepLines/>
              <w:spacing w:before="80" w:after="80" w:line="200" w:lineRule="exact"/>
              <w:ind w:left="113" w:right="57"/>
              <w:jc w:val="right"/>
              <w:rPr>
                <w:rFonts w:ascii="Times New Roman" w:hAnsi="Times New Roman"/>
                <w:i/>
                <w:sz w:val="16"/>
                <w:lang w:val="fr-FR"/>
              </w:rPr>
            </w:pPr>
            <w:r w:rsidRPr="00F93490">
              <w:rPr>
                <w:rFonts w:ascii="Times New Roman" w:hAnsi="Times New Roman"/>
                <w:i/>
                <w:sz w:val="16"/>
                <w:lang w:val="fr-FR"/>
              </w:rPr>
              <w:t>2005</w:t>
            </w:r>
          </w:p>
        </w:tc>
        <w:tc>
          <w:tcPr>
            <w:tcW w:w="794" w:type="dxa"/>
            <w:tcBorders>
              <w:top w:val="single" w:sz="4" w:space="0" w:color="auto"/>
              <w:bottom w:val="single" w:sz="12" w:space="0" w:color="auto"/>
            </w:tcBorders>
            <w:shd w:val="clear" w:color="auto" w:fill="auto"/>
            <w:vAlign w:val="bottom"/>
          </w:tcPr>
          <w:p w:rsidR="000B562B" w:rsidRPr="00F93490" w:rsidRDefault="000B562B" w:rsidP="002C6F62">
            <w:pPr>
              <w:pStyle w:val="Text"/>
              <w:keepNext/>
              <w:keepLines/>
              <w:spacing w:before="80" w:after="80" w:line="200" w:lineRule="exact"/>
              <w:ind w:left="113" w:right="57"/>
              <w:jc w:val="right"/>
              <w:rPr>
                <w:rFonts w:ascii="Times New Roman" w:hAnsi="Times New Roman"/>
                <w:i/>
                <w:sz w:val="16"/>
                <w:lang w:val="fr-FR"/>
              </w:rPr>
            </w:pPr>
            <w:r w:rsidRPr="00F93490">
              <w:rPr>
                <w:rFonts w:ascii="Times New Roman" w:hAnsi="Times New Roman"/>
                <w:i/>
                <w:sz w:val="16"/>
                <w:lang w:val="fr-FR"/>
              </w:rPr>
              <w:t>2006</w:t>
            </w:r>
          </w:p>
        </w:tc>
        <w:tc>
          <w:tcPr>
            <w:tcW w:w="794" w:type="dxa"/>
            <w:tcBorders>
              <w:top w:val="single" w:sz="4" w:space="0" w:color="auto"/>
              <w:bottom w:val="single" w:sz="12" w:space="0" w:color="auto"/>
            </w:tcBorders>
            <w:shd w:val="clear" w:color="auto" w:fill="auto"/>
            <w:vAlign w:val="bottom"/>
          </w:tcPr>
          <w:p w:rsidR="000B562B" w:rsidRPr="00F93490" w:rsidRDefault="000B562B" w:rsidP="002C6F62">
            <w:pPr>
              <w:pStyle w:val="Text"/>
              <w:keepNext/>
              <w:keepLines/>
              <w:spacing w:before="80" w:after="80" w:line="200" w:lineRule="exact"/>
              <w:ind w:left="113" w:right="57"/>
              <w:jc w:val="right"/>
              <w:rPr>
                <w:rFonts w:ascii="Times New Roman" w:hAnsi="Times New Roman"/>
                <w:i/>
                <w:sz w:val="16"/>
                <w:lang w:val="fr-FR"/>
              </w:rPr>
            </w:pPr>
            <w:r w:rsidRPr="00F93490">
              <w:rPr>
                <w:rFonts w:ascii="Times New Roman" w:hAnsi="Times New Roman"/>
                <w:i/>
                <w:sz w:val="16"/>
                <w:lang w:val="fr-FR"/>
              </w:rPr>
              <w:t>2007</w:t>
            </w:r>
          </w:p>
        </w:tc>
        <w:tc>
          <w:tcPr>
            <w:tcW w:w="794" w:type="dxa"/>
            <w:tcBorders>
              <w:top w:val="single" w:sz="4" w:space="0" w:color="auto"/>
              <w:bottom w:val="single" w:sz="12" w:space="0" w:color="auto"/>
            </w:tcBorders>
            <w:shd w:val="clear" w:color="auto" w:fill="auto"/>
            <w:vAlign w:val="bottom"/>
          </w:tcPr>
          <w:p w:rsidR="000B562B" w:rsidRPr="00F93490" w:rsidRDefault="000B562B" w:rsidP="002C6F62">
            <w:pPr>
              <w:pStyle w:val="Text"/>
              <w:keepNext/>
              <w:keepLines/>
              <w:spacing w:before="80" w:after="80" w:line="200" w:lineRule="exact"/>
              <w:ind w:left="113" w:right="57"/>
              <w:jc w:val="right"/>
              <w:rPr>
                <w:rFonts w:ascii="Times New Roman" w:hAnsi="Times New Roman"/>
                <w:i/>
                <w:sz w:val="16"/>
                <w:lang w:val="fr-FR"/>
              </w:rPr>
            </w:pPr>
            <w:r w:rsidRPr="00F93490">
              <w:rPr>
                <w:rFonts w:ascii="Times New Roman" w:hAnsi="Times New Roman"/>
                <w:i/>
                <w:sz w:val="16"/>
                <w:lang w:val="fr-FR"/>
              </w:rPr>
              <w:t>2008</w:t>
            </w:r>
          </w:p>
        </w:tc>
        <w:tc>
          <w:tcPr>
            <w:tcW w:w="794" w:type="dxa"/>
            <w:tcBorders>
              <w:top w:val="single" w:sz="4" w:space="0" w:color="auto"/>
              <w:bottom w:val="single" w:sz="12" w:space="0" w:color="auto"/>
            </w:tcBorders>
            <w:shd w:val="clear" w:color="auto" w:fill="auto"/>
            <w:vAlign w:val="bottom"/>
          </w:tcPr>
          <w:p w:rsidR="000B562B" w:rsidRPr="00F93490" w:rsidRDefault="000B562B" w:rsidP="002C6F62">
            <w:pPr>
              <w:pStyle w:val="Text"/>
              <w:keepNext/>
              <w:keepLines/>
              <w:spacing w:before="80" w:after="80" w:line="200" w:lineRule="exact"/>
              <w:ind w:left="113" w:right="57"/>
              <w:jc w:val="right"/>
              <w:rPr>
                <w:rFonts w:ascii="Times New Roman" w:hAnsi="Times New Roman"/>
                <w:i/>
                <w:sz w:val="16"/>
                <w:lang w:val="fr-FR"/>
              </w:rPr>
            </w:pPr>
            <w:r w:rsidRPr="00F93490">
              <w:rPr>
                <w:rFonts w:ascii="Times New Roman" w:hAnsi="Times New Roman"/>
                <w:i/>
                <w:sz w:val="16"/>
                <w:lang w:val="fr-FR"/>
              </w:rPr>
              <w:t>2009</w:t>
            </w:r>
          </w:p>
        </w:tc>
      </w:tr>
      <w:tr w:rsidR="000B562B" w:rsidRPr="00F93490">
        <w:trPr>
          <w:cantSplit/>
          <w:trHeight w:val="240"/>
        </w:trPr>
        <w:tc>
          <w:tcPr>
            <w:tcW w:w="3119" w:type="dxa"/>
            <w:tcBorders>
              <w:top w:val="single" w:sz="12" w:space="0" w:color="auto"/>
            </w:tcBorders>
            <w:shd w:val="clear" w:color="auto" w:fill="auto"/>
          </w:tcPr>
          <w:p w:rsidR="000B562B" w:rsidRPr="00F93490" w:rsidRDefault="004C480D" w:rsidP="004C051B">
            <w:pPr>
              <w:pStyle w:val="Text"/>
              <w:spacing w:before="40" w:after="40" w:line="220" w:lineRule="exact"/>
              <w:rPr>
                <w:rFonts w:ascii="Times New Roman" w:hAnsi="Times New Roman"/>
                <w:sz w:val="18"/>
                <w:lang w:val="fr-FR"/>
              </w:rPr>
            </w:pPr>
            <w:r w:rsidRPr="00F93490">
              <w:rPr>
                <w:rFonts w:ascii="Times New Roman" w:hAnsi="Times New Roman"/>
                <w:sz w:val="18"/>
                <w:lang w:val="fr-FR"/>
              </w:rPr>
              <w:t>Hôpital psychiatrique</w:t>
            </w:r>
            <w:r w:rsidR="00FC2B97">
              <w:rPr>
                <w:rFonts w:ascii="Times New Roman" w:hAnsi="Times New Roman"/>
                <w:sz w:val="18"/>
                <w:lang w:val="fr-FR"/>
              </w:rPr>
              <w:t>:</w:t>
            </w:r>
          </w:p>
        </w:tc>
        <w:tc>
          <w:tcPr>
            <w:tcW w:w="794" w:type="dxa"/>
            <w:tcBorders>
              <w:top w:val="single" w:sz="12" w:space="0" w:color="auto"/>
            </w:tcBorders>
            <w:shd w:val="clear" w:color="auto" w:fill="auto"/>
            <w:vAlign w:val="bottom"/>
          </w:tcPr>
          <w:p w:rsidR="000B562B" w:rsidRPr="00F93490" w:rsidRDefault="000B562B" w:rsidP="002C6F62">
            <w:pPr>
              <w:pStyle w:val="Text"/>
              <w:keepNext/>
              <w:keepLines/>
              <w:spacing w:before="40" w:after="40" w:line="220" w:lineRule="exact"/>
              <w:ind w:left="113" w:right="57"/>
              <w:jc w:val="right"/>
              <w:rPr>
                <w:rFonts w:ascii="Times New Roman" w:hAnsi="Times New Roman"/>
                <w:sz w:val="18"/>
                <w:lang w:val="fr-FR"/>
              </w:rPr>
            </w:pPr>
          </w:p>
        </w:tc>
        <w:tc>
          <w:tcPr>
            <w:tcW w:w="794" w:type="dxa"/>
            <w:tcBorders>
              <w:top w:val="single" w:sz="12" w:space="0" w:color="auto"/>
            </w:tcBorders>
            <w:shd w:val="clear" w:color="auto" w:fill="auto"/>
            <w:vAlign w:val="bottom"/>
          </w:tcPr>
          <w:p w:rsidR="000B562B" w:rsidRPr="00F93490" w:rsidRDefault="000B562B" w:rsidP="002C6F62">
            <w:pPr>
              <w:pStyle w:val="Text"/>
              <w:keepNext/>
              <w:keepLines/>
              <w:spacing w:before="40" w:after="40" w:line="220" w:lineRule="exact"/>
              <w:ind w:left="113" w:right="57"/>
              <w:jc w:val="right"/>
              <w:rPr>
                <w:rFonts w:ascii="Times New Roman" w:hAnsi="Times New Roman"/>
                <w:sz w:val="18"/>
                <w:lang w:val="fr-FR"/>
              </w:rPr>
            </w:pPr>
          </w:p>
        </w:tc>
        <w:tc>
          <w:tcPr>
            <w:tcW w:w="794" w:type="dxa"/>
            <w:tcBorders>
              <w:top w:val="single" w:sz="12" w:space="0" w:color="auto"/>
            </w:tcBorders>
            <w:shd w:val="clear" w:color="auto" w:fill="auto"/>
            <w:vAlign w:val="bottom"/>
          </w:tcPr>
          <w:p w:rsidR="000B562B" w:rsidRPr="00F93490" w:rsidRDefault="000B562B" w:rsidP="002C6F62">
            <w:pPr>
              <w:pStyle w:val="Text"/>
              <w:keepNext/>
              <w:keepLines/>
              <w:spacing w:before="40" w:after="40" w:line="220" w:lineRule="exact"/>
              <w:ind w:left="113" w:right="57"/>
              <w:jc w:val="right"/>
              <w:rPr>
                <w:rFonts w:ascii="Times New Roman" w:hAnsi="Times New Roman"/>
                <w:sz w:val="18"/>
                <w:lang w:val="fr-FR"/>
              </w:rPr>
            </w:pPr>
          </w:p>
        </w:tc>
        <w:tc>
          <w:tcPr>
            <w:tcW w:w="794" w:type="dxa"/>
            <w:tcBorders>
              <w:top w:val="single" w:sz="12" w:space="0" w:color="auto"/>
            </w:tcBorders>
            <w:shd w:val="clear" w:color="auto" w:fill="auto"/>
            <w:vAlign w:val="bottom"/>
          </w:tcPr>
          <w:p w:rsidR="000B562B" w:rsidRPr="00F93490" w:rsidRDefault="000B562B" w:rsidP="002C6F62">
            <w:pPr>
              <w:pStyle w:val="Text"/>
              <w:keepNext/>
              <w:keepLines/>
              <w:spacing w:before="40" w:after="40" w:line="220" w:lineRule="exact"/>
              <w:ind w:left="113" w:right="57"/>
              <w:jc w:val="right"/>
              <w:rPr>
                <w:rFonts w:ascii="Times New Roman" w:hAnsi="Times New Roman"/>
                <w:sz w:val="18"/>
                <w:lang w:val="fr-FR"/>
              </w:rPr>
            </w:pPr>
          </w:p>
        </w:tc>
        <w:tc>
          <w:tcPr>
            <w:tcW w:w="794" w:type="dxa"/>
            <w:tcBorders>
              <w:top w:val="single" w:sz="12" w:space="0" w:color="auto"/>
            </w:tcBorders>
            <w:shd w:val="clear" w:color="auto" w:fill="auto"/>
            <w:vAlign w:val="bottom"/>
          </w:tcPr>
          <w:p w:rsidR="000B562B" w:rsidRPr="00F93490" w:rsidRDefault="000B562B" w:rsidP="002C6F62">
            <w:pPr>
              <w:pStyle w:val="Text"/>
              <w:keepNext/>
              <w:keepLines/>
              <w:spacing w:before="40" w:after="40" w:line="220" w:lineRule="exact"/>
              <w:ind w:left="113" w:right="57"/>
              <w:jc w:val="right"/>
              <w:rPr>
                <w:rFonts w:ascii="Times New Roman" w:hAnsi="Times New Roman"/>
                <w:sz w:val="18"/>
                <w:lang w:val="fr-FR"/>
              </w:rPr>
            </w:pPr>
          </w:p>
        </w:tc>
        <w:tc>
          <w:tcPr>
            <w:tcW w:w="794" w:type="dxa"/>
            <w:tcBorders>
              <w:top w:val="single" w:sz="12" w:space="0" w:color="auto"/>
            </w:tcBorders>
            <w:shd w:val="clear" w:color="auto" w:fill="auto"/>
            <w:vAlign w:val="bottom"/>
          </w:tcPr>
          <w:p w:rsidR="000B562B" w:rsidRPr="00F93490" w:rsidRDefault="000B562B" w:rsidP="002C6F62">
            <w:pPr>
              <w:pStyle w:val="Text"/>
              <w:keepNext/>
              <w:keepLines/>
              <w:spacing w:before="40" w:after="40" w:line="220" w:lineRule="exact"/>
              <w:ind w:left="113" w:right="57"/>
              <w:jc w:val="right"/>
              <w:rPr>
                <w:rFonts w:ascii="Times New Roman" w:hAnsi="Times New Roman"/>
                <w:sz w:val="18"/>
                <w:lang w:val="fr-FR"/>
              </w:rPr>
            </w:pPr>
          </w:p>
        </w:tc>
        <w:tc>
          <w:tcPr>
            <w:tcW w:w="794" w:type="dxa"/>
            <w:tcBorders>
              <w:top w:val="single" w:sz="12" w:space="0" w:color="auto"/>
            </w:tcBorders>
            <w:shd w:val="clear" w:color="auto" w:fill="auto"/>
            <w:vAlign w:val="bottom"/>
          </w:tcPr>
          <w:p w:rsidR="000B562B" w:rsidRPr="00F93490" w:rsidRDefault="000B562B" w:rsidP="002C6F62">
            <w:pPr>
              <w:pStyle w:val="Text"/>
              <w:keepNext/>
              <w:keepLines/>
              <w:spacing w:before="40" w:after="40" w:line="220" w:lineRule="exact"/>
              <w:ind w:left="113" w:right="57"/>
              <w:jc w:val="right"/>
              <w:rPr>
                <w:rFonts w:ascii="Times New Roman" w:hAnsi="Times New Roman"/>
                <w:sz w:val="18"/>
                <w:lang w:val="fr-FR"/>
              </w:rPr>
            </w:pPr>
          </w:p>
        </w:tc>
      </w:tr>
      <w:tr w:rsidR="000B562B" w:rsidRPr="00F93490">
        <w:trPr>
          <w:cantSplit/>
          <w:trHeight w:val="240"/>
        </w:trPr>
        <w:tc>
          <w:tcPr>
            <w:tcW w:w="3119" w:type="dxa"/>
            <w:shd w:val="clear" w:color="auto" w:fill="auto"/>
          </w:tcPr>
          <w:p w:rsidR="000B562B" w:rsidRPr="00F93490" w:rsidRDefault="000B562B" w:rsidP="00F93490">
            <w:pPr>
              <w:pStyle w:val="Text"/>
              <w:spacing w:before="40" w:after="40" w:line="220" w:lineRule="exact"/>
              <w:rPr>
                <w:rFonts w:ascii="Times New Roman" w:hAnsi="Times New Roman"/>
                <w:sz w:val="18"/>
                <w:lang w:val="fr-FR"/>
              </w:rPr>
            </w:pPr>
            <w:r w:rsidRPr="00F93490">
              <w:rPr>
                <w:rFonts w:ascii="Times New Roman" w:hAnsi="Times New Roman"/>
                <w:sz w:val="18"/>
                <w:lang w:val="fr-FR"/>
              </w:rPr>
              <w:t xml:space="preserve">Suicides </w:t>
            </w:r>
            <w:r w:rsidR="004C480D" w:rsidRPr="00F93490">
              <w:rPr>
                <w:rFonts w:ascii="Times New Roman" w:hAnsi="Times New Roman"/>
                <w:sz w:val="18"/>
                <w:lang w:val="fr-FR"/>
              </w:rPr>
              <w:t xml:space="preserve">de </w:t>
            </w:r>
            <w:r w:rsidR="00F93490" w:rsidRPr="00F93490">
              <w:rPr>
                <w:rFonts w:ascii="Times New Roman" w:hAnsi="Times New Roman"/>
                <w:sz w:val="18"/>
                <w:lang w:val="fr-FR"/>
              </w:rPr>
              <w:t>personnes internées</w:t>
            </w:r>
          </w:p>
        </w:tc>
        <w:tc>
          <w:tcPr>
            <w:tcW w:w="794" w:type="dxa"/>
            <w:shd w:val="clear" w:color="auto" w:fill="auto"/>
            <w:vAlign w:val="bottom"/>
          </w:tcPr>
          <w:p w:rsidR="000B562B" w:rsidRPr="00F93490" w:rsidRDefault="000B562B" w:rsidP="002C6F62">
            <w:pPr>
              <w:pStyle w:val="Text"/>
              <w:keepNext/>
              <w:keepLines/>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0</w:t>
            </w:r>
          </w:p>
        </w:tc>
        <w:tc>
          <w:tcPr>
            <w:tcW w:w="794" w:type="dxa"/>
            <w:shd w:val="clear" w:color="auto" w:fill="auto"/>
            <w:vAlign w:val="bottom"/>
          </w:tcPr>
          <w:p w:rsidR="000B562B" w:rsidRPr="00F93490" w:rsidRDefault="000B562B" w:rsidP="002C6F62">
            <w:pPr>
              <w:pStyle w:val="Text"/>
              <w:keepNext/>
              <w:keepLines/>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0</w:t>
            </w:r>
          </w:p>
        </w:tc>
        <w:tc>
          <w:tcPr>
            <w:tcW w:w="794" w:type="dxa"/>
            <w:shd w:val="clear" w:color="auto" w:fill="auto"/>
            <w:vAlign w:val="bottom"/>
          </w:tcPr>
          <w:p w:rsidR="000B562B" w:rsidRPr="00F93490" w:rsidRDefault="000B562B" w:rsidP="002C6F62">
            <w:pPr>
              <w:pStyle w:val="Text"/>
              <w:keepNext/>
              <w:keepLines/>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0</w:t>
            </w:r>
          </w:p>
        </w:tc>
        <w:tc>
          <w:tcPr>
            <w:tcW w:w="794" w:type="dxa"/>
            <w:shd w:val="clear" w:color="auto" w:fill="auto"/>
            <w:vAlign w:val="bottom"/>
          </w:tcPr>
          <w:p w:rsidR="000B562B" w:rsidRPr="00F93490" w:rsidRDefault="000B562B" w:rsidP="002C6F62">
            <w:pPr>
              <w:pStyle w:val="Text"/>
              <w:keepNext/>
              <w:keepLines/>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0</w:t>
            </w:r>
          </w:p>
        </w:tc>
        <w:tc>
          <w:tcPr>
            <w:tcW w:w="794" w:type="dxa"/>
            <w:shd w:val="clear" w:color="auto" w:fill="auto"/>
            <w:vAlign w:val="bottom"/>
          </w:tcPr>
          <w:p w:rsidR="000B562B" w:rsidRPr="00F93490" w:rsidRDefault="000B562B" w:rsidP="002C6F62">
            <w:pPr>
              <w:pStyle w:val="Text"/>
              <w:keepNext/>
              <w:keepLines/>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0</w:t>
            </w:r>
          </w:p>
        </w:tc>
        <w:tc>
          <w:tcPr>
            <w:tcW w:w="794" w:type="dxa"/>
            <w:shd w:val="clear" w:color="auto" w:fill="auto"/>
            <w:vAlign w:val="bottom"/>
          </w:tcPr>
          <w:p w:rsidR="000B562B" w:rsidRPr="00F93490" w:rsidRDefault="000B562B" w:rsidP="002C6F62">
            <w:pPr>
              <w:pStyle w:val="Text"/>
              <w:keepNext/>
              <w:keepLines/>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0</w:t>
            </w:r>
          </w:p>
        </w:tc>
        <w:tc>
          <w:tcPr>
            <w:tcW w:w="794" w:type="dxa"/>
            <w:shd w:val="clear" w:color="auto" w:fill="auto"/>
            <w:vAlign w:val="bottom"/>
          </w:tcPr>
          <w:p w:rsidR="000B562B" w:rsidRPr="00F93490" w:rsidRDefault="000B562B" w:rsidP="002C6F62">
            <w:pPr>
              <w:pStyle w:val="Text"/>
              <w:keepNext/>
              <w:keepLines/>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0</w:t>
            </w:r>
          </w:p>
        </w:tc>
      </w:tr>
      <w:tr w:rsidR="000B562B" w:rsidRPr="00F93490">
        <w:trPr>
          <w:cantSplit/>
          <w:trHeight w:val="240"/>
        </w:trPr>
        <w:tc>
          <w:tcPr>
            <w:tcW w:w="3119" w:type="dxa"/>
            <w:tcBorders>
              <w:bottom w:val="single" w:sz="12" w:space="0" w:color="auto"/>
            </w:tcBorders>
            <w:shd w:val="clear" w:color="auto" w:fill="auto"/>
          </w:tcPr>
          <w:p w:rsidR="000B562B" w:rsidRPr="00F93490" w:rsidRDefault="004C480D" w:rsidP="00F93490">
            <w:pPr>
              <w:pStyle w:val="Text"/>
              <w:spacing w:before="40" w:after="40" w:line="220" w:lineRule="exact"/>
              <w:rPr>
                <w:rFonts w:ascii="Times New Roman" w:hAnsi="Times New Roman"/>
                <w:sz w:val="18"/>
                <w:lang w:val="fr-FR"/>
              </w:rPr>
            </w:pPr>
            <w:r w:rsidRPr="00F93490">
              <w:rPr>
                <w:rFonts w:ascii="Times New Roman" w:hAnsi="Times New Roman"/>
                <w:sz w:val="18"/>
                <w:lang w:val="fr-FR"/>
              </w:rPr>
              <w:t xml:space="preserve">Plaintes contre </w:t>
            </w:r>
            <w:r w:rsidR="00F93490" w:rsidRPr="00F93490">
              <w:rPr>
                <w:rFonts w:ascii="Times New Roman" w:hAnsi="Times New Roman"/>
                <w:sz w:val="18"/>
                <w:lang w:val="fr-FR"/>
              </w:rPr>
              <w:t>le personnel</w:t>
            </w:r>
          </w:p>
        </w:tc>
        <w:tc>
          <w:tcPr>
            <w:tcW w:w="794" w:type="dxa"/>
            <w:tcBorders>
              <w:bottom w:val="single" w:sz="12" w:space="0" w:color="auto"/>
            </w:tcBorders>
            <w:shd w:val="clear" w:color="auto" w:fill="auto"/>
            <w:vAlign w:val="bottom"/>
          </w:tcPr>
          <w:p w:rsidR="000B562B" w:rsidRPr="00F93490" w:rsidRDefault="000B562B" w:rsidP="002C6F62">
            <w:pPr>
              <w:pStyle w:val="Text"/>
              <w:keepNext/>
              <w:keepLines/>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0</w:t>
            </w:r>
          </w:p>
        </w:tc>
        <w:tc>
          <w:tcPr>
            <w:tcW w:w="794" w:type="dxa"/>
            <w:tcBorders>
              <w:bottom w:val="single" w:sz="12" w:space="0" w:color="auto"/>
            </w:tcBorders>
            <w:shd w:val="clear" w:color="auto" w:fill="auto"/>
            <w:vAlign w:val="bottom"/>
          </w:tcPr>
          <w:p w:rsidR="000B562B" w:rsidRPr="00F93490" w:rsidRDefault="000B562B" w:rsidP="002C6F62">
            <w:pPr>
              <w:pStyle w:val="Text"/>
              <w:keepNext/>
              <w:keepLines/>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3</w:t>
            </w:r>
          </w:p>
        </w:tc>
        <w:tc>
          <w:tcPr>
            <w:tcW w:w="794" w:type="dxa"/>
            <w:tcBorders>
              <w:bottom w:val="single" w:sz="12" w:space="0" w:color="auto"/>
            </w:tcBorders>
            <w:shd w:val="clear" w:color="auto" w:fill="auto"/>
            <w:vAlign w:val="bottom"/>
          </w:tcPr>
          <w:p w:rsidR="000B562B" w:rsidRPr="00F93490" w:rsidRDefault="000B562B" w:rsidP="002C6F62">
            <w:pPr>
              <w:pStyle w:val="Text"/>
              <w:keepNext/>
              <w:keepLines/>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4</w:t>
            </w:r>
          </w:p>
        </w:tc>
        <w:tc>
          <w:tcPr>
            <w:tcW w:w="794" w:type="dxa"/>
            <w:tcBorders>
              <w:bottom w:val="single" w:sz="12" w:space="0" w:color="auto"/>
            </w:tcBorders>
            <w:shd w:val="clear" w:color="auto" w:fill="auto"/>
            <w:vAlign w:val="bottom"/>
          </w:tcPr>
          <w:p w:rsidR="000B562B" w:rsidRPr="00F93490" w:rsidRDefault="000B562B" w:rsidP="002C6F62">
            <w:pPr>
              <w:pStyle w:val="Text"/>
              <w:keepNext/>
              <w:keepLines/>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0</w:t>
            </w:r>
          </w:p>
        </w:tc>
        <w:tc>
          <w:tcPr>
            <w:tcW w:w="794" w:type="dxa"/>
            <w:tcBorders>
              <w:bottom w:val="single" w:sz="12" w:space="0" w:color="auto"/>
            </w:tcBorders>
            <w:shd w:val="clear" w:color="auto" w:fill="auto"/>
            <w:vAlign w:val="bottom"/>
          </w:tcPr>
          <w:p w:rsidR="000B562B" w:rsidRPr="00F93490" w:rsidRDefault="000B562B" w:rsidP="002C6F62">
            <w:pPr>
              <w:pStyle w:val="Text"/>
              <w:keepNext/>
              <w:keepLines/>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3</w:t>
            </w:r>
          </w:p>
        </w:tc>
        <w:tc>
          <w:tcPr>
            <w:tcW w:w="794" w:type="dxa"/>
            <w:tcBorders>
              <w:bottom w:val="single" w:sz="12" w:space="0" w:color="auto"/>
            </w:tcBorders>
            <w:shd w:val="clear" w:color="auto" w:fill="auto"/>
            <w:vAlign w:val="bottom"/>
          </w:tcPr>
          <w:p w:rsidR="000B562B" w:rsidRPr="00F93490" w:rsidRDefault="000B562B" w:rsidP="002C6F62">
            <w:pPr>
              <w:pStyle w:val="Text"/>
              <w:keepNext/>
              <w:keepLines/>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5</w:t>
            </w:r>
          </w:p>
        </w:tc>
        <w:tc>
          <w:tcPr>
            <w:tcW w:w="794" w:type="dxa"/>
            <w:tcBorders>
              <w:bottom w:val="single" w:sz="12" w:space="0" w:color="auto"/>
            </w:tcBorders>
            <w:shd w:val="clear" w:color="auto" w:fill="auto"/>
            <w:vAlign w:val="bottom"/>
          </w:tcPr>
          <w:p w:rsidR="000B562B" w:rsidRPr="00F93490" w:rsidRDefault="000B562B" w:rsidP="002C6F62">
            <w:pPr>
              <w:pStyle w:val="Text"/>
              <w:keepNext/>
              <w:keepLines/>
              <w:spacing w:before="40" w:after="40" w:line="220" w:lineRule="exact"/>
              <w:ind w:left="113" w:right="57"/>
              <w:jc w:val="right"/>
              <w:rPr>
                <w:rFonts w:ascii="Times New Roman" w:hAnsi="Times New Roman"/>
                <w:sz w:val="18"/>
                <w:lang w:val="fr-FR"/>
              </w:rPr>
            </w:pPr>
            <w:r w:rsidRPr="00F93490">
              <w:rPr>
                <w:rFonts w:ascii="Times New Roman" w:hAnsi="Times New Roman"/>
                <w:sz w:val="18"/>
                <w:lang w:val="fr-FR"/>
              </w:rPr>
              <w:t>3</w:t>
            </w:r>
          </w:p>
        </w:tc>
      </w:tr>
    </w:tbl>
    <w:p w:rsidR="000B562B" w:rsidRPr="00F93490" w:rsidRDefault="000B562B" w:rsidP="000B562B">
      <w:pPr>
        <w:pStyle w:val="Text"/>
        <w:spacing w:after="0"/>
        <w:rPr>
          <w:lang w:val="fr-FR"/>
        </w:rPr>
      </w:pP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428"/>
        <w:gridCol w:w="706"/>
        <w:gridCol w:w="706"/>
        <w:gridCol w:w="706"/>
        <w:gridCol w:w="706"/>
        <w:gridCol w:w="706"/>
        <w:gridCol w:w="706"/>
        <w:gridCol w:w="706"/>
      </w:tblGrid>
      <w:tr w:rsidR="000B562B" w:rsidRPr="00F93490">
        <w:trPr>
          <w:cantSplit/>
          <w:trHeight w:val="240"/>
          <w:tblHeader/>
        </w:trPr>
        <w:tc>
          <w:tcPr>
            <w:tcW w:w="3119" w:type="dxa"/>
            <w:tcBorders>
              <w:top w:val="single" w:sz="4" w:space="0" w:color="auto"/>
              <w:bottom w:val="single" w:sz="12" w:space="0" w:color="auto"/>
            </w:tcBorders>
            <w:shd w:val="clear" w:color="auto" w:fill="auto"/>
            <w:vAlign w:val="bottom"/>
          </w:tcPr>
          <w:p w:rsidR="000B562B" w:rsidRPr="00F93490" w:rsidRDefault="000B562B" w:rsidP="008A4455">
            <w:pPr>
              <w:pStyle w:val="Text"/>
              <w:spacing w:before="80" w:after="80" w:line="200" w:lineRule="exact"/>
              <w:rPr>
                <w:rFonts w:ascii="Times New Roman" w:hAnsi="Times New Roman"/>
                <w:i/>
                <w:sz w:val="16"/>
                <w:lang w:val="fr-FR"/>
              </w:rPr>
            </w:pPr>
          </w:p>
        </w:tc>
        <w:tc>
          <w:tcPr>
            <w:tcW w:w="794" w:type="dxa"/>
            <w:tcBorders>
              <w:top w:val="single" w:sz="4" w:space="0" w:color="auto"/>
              <w:bottom w:val="single" w:sz="12" w:space="0" w:color="auto"/>
            </w:tcBorders>
            <w:shd w:val="clear" w:color="auto" w:fill="auto"/>
            <w:vAlign w:val="bottom"/>
          </w:tcPr>
          <w:p w:rsidR="000B562B" w:rsidRPr="00F93490" w:rsidRDefault="000B562B" w:rsidP="002C6F62">
            <w:pPr>
              <w:pStyle w:val="Text"/>
              <w:keepNext/>
              <w:keepLines/>
              <w:spacing w:before="80" w:after="80" w:line="200" w:lineRule="exact"/>
              <w:ind w:left="113" w:right="57"/>
              <w:jc w:val="right"/>
              <w:rPr>
                <w:rFonts w:ascii="Times New Roman" w:hAnsi="Times New Roman"/>
                <w:i/>
                <w:sz w:val="16"/>
                <w:lang w:val="fr-FR"/>
              </w:rPr>
            </w:pPr>
            <w:r w:rsidRPr="00F93490">
              <w:rPr>
                <w:rFonts w:ascii="Times New Roman" w:hAnsi="Times New Roman"/>
                <w:i/>
                <w:sz w:val="16"/>
                <w:lang w:val="fr-FR"/>
              </w:rPr>
              <w:t>2003</w:t>
            </w:r>
          </w:p>
        </w:tc>
        <w:tc>
          <w:tcPr>
            <w:tcW w:w="794" w:type="dxa"/>
            <w:tcBorders>
              <w:top w:val="single" w:sz="4" w:space="0" w:color="auto"/>
              <w:bottom w:val="single" w:sz="12" w:space="0" w:color="auto"/>
            </w:tcBorders>
            <w:shd w:val="clear" w:color="auto" w:fill="auto"/>
            <w:vAlign w:val="bottom"/>
          </w:tcPr>
          <w:p w:rsidR="000B562B" w:rsidRPr="00F93490" w:rsidRDefault="000B562B" w:rsidP="002C6F62">
            <w:pPr>
              <w:pStyle w:val="Text"/>
              <w:keepNext/>
              <w:keepLines/>
              <w:spacing w:before="80" w:after="80" w:line="200" w:lineRule="exact"/>
              <w:ind w:left="113" w:right="57"/>
              <w:jc w:val="right"/>
              <w:rPr>
                <w:rFonts w:ascii="Times New Roman" w:hAnsi="Times New Roman"/>
                <w:i/>
                <w:sz w:val="16"/>
                <w:lang w:val="fr-FR"/>
              </w:rPr>
            </w:pPr>
            <w:r w:rsidRPr="00F93490">
              <w:rPr>
                <w:rFonts w:ascii="Times New Roman" w:hAnsi="Times New Roman"/>
                <w:i/>
                <w:sz w:val="16"/>
                <w:lang w:val="fr-FR"/>
              </w:rPr>
              <w:t>2004</w:t>
            </w:r>
          </w:p>
        </w:tc>
        <w:tc>
          <w:tcPr>
            <w:tcW w:w="794" w:type="dxa"/>
            <w:tcBorders>
              <w:top w:val="single" w:sz="4" w:space="0" w:color="auto"/>
              <w:bottom w:val="single" w:sz="12" w:space="0" w:color="auto"/>
            </w:tcBorders>
            <w:shd w:val="clear" w:color="auto" w:fill="auto"/>
            <w:vAlign w:val="bottom"/>
          </w:tcPr>
          <w:p w:rsidR="000B562B" w:rsidRPr="00F93490" w:rsidRDefault="000B562B" w:rsidP="002C6F62">
            <w:pPr>
              <w:pStyle w:val="Text"/>
              <w:keepNext/>
              <w:keepLines/>
              <w:spacing w:before="80" w:after="80" w:line="200" w:lineRule="exact"/>
              <w:ind w:left="113" w:right="57"/>
              <w:jc w:val="right"/>
              <w:rPr>
                <w:rFonts w:ascii="Times New Roman" w:hAnsi="Times New Roman"/>
                <w:i/>
                <w:sz w:val="16"/>
                <w:lang w:val="fr-FR"/>
              </w:rPr>
            </w:pPr>
            <w:r w:rsidRPr="00F93490">
              <w:rPr>
                <w:rFonts w:ascii="Times New Roman" w:hAnsi="Times New Roman"/>
                <w:i/>
                <w:sz w:val="16"/>
                <w:lang w:val="fr-FR"/>
              </w:rPr>
              <w:t>2005</w:t>
            </w:r>
          </w:p>
        </w:tc>
        <w:tc>
          <w:tcPr>
            <w:tcW w:w="794" w:type="dxa"/>
            <w:tcBorders>
              <w:top w:val="single" w:sz="4" w:space="0" w:color="auto"/>
              <w:bottom w:val="single" w:sz="12" w:space="0" w:color="auto"/>
            </w:tcBorders>
            <w:shd w:val="clear" w:color="auto" w:fill="auto"/>
            <w:vAlign w:val="bottom"/>
          </w:tcPr>
          <w:p w:rsidR="000B562B" w:rsidRPr="00F93490" w:rsidRDefault="000B562B" w:rsidP="002C6F62">
            <w:pPr>
              <w:pStyle w:val="Text"/>
              <w:keepNext/>
              <w:keepLines/>
              <w:spacing w:before="80" w:after="80" w:line="200" w:lineRule="exact"/>
              <w:ind w:left="113" w:right="57"/>
              <w:jc w:val="right"/>
              <w:rPr>
                <w:rFonts w:ascii="Times New Roman" w:hAnsi="Times New Roman"/>
                <w:i/>
                <w:sz w:val="16"/>
                <w:lang w:val="fr-FR"/>
              </w:rPr>
            </w:pPr>
            <w:r w:rsidRPr="00F93490">
              <w:rPr>
                <w:rFonts w:ascii="Times New Roman" w:hAnsi="Times New Roman"/>
                <w:i/>
                <w:sz w:val="16"/>
                <w:lang w:val="fr-FR"/>
              </w:rPr>
              <w:t>2006</w:t>
            </w:r>
          </w:p>
        </w:tc>
        <w:tc>
          <w:tcPr>
            <w:tcW w:w="794" w:type="dxa"/>
            <w:tcBorders>
              <w:top w:val="single" w:sz="4" w:space="0" w:color="auto"/>
              <w:bottom w:val="single" w:sz="12" w:space="0" w:color="auto"/>
            </w:tcBorders>
            <w:shd w:val="clear" w:color="auto" w:fill="auto"/>
            <w:vAlign w:val="bottom"/>
          </w:tcPr>
          <w:p w:rsidR="000B562B" w:rsidRPr="00F93490" w:rsidRDefault="000B562B" w:rsidP="002C6F62">
            <w:pPr>
              <w:pStyle w:val="Text"/>
              <w:keepNext/>
              <w:keepLines/>
              <w:spacing w:before="80" w:after="80" w:line="200" w:lineRule="exact"/>
              <w:ind w:left="113" w:right="57"/>
              <w:jc w:val="right"/>
              <w:rPr>
                <w:rFonts w:ascii="Times New Roman" w:hAnsi="Times New Roman"/>
                <w:i/>
                <w:sz w:val="16"/>
                <w:lang w:val="fr-FR"/>
              </w:rPr>
            </w:pPr>
            <w:r w:rsidRPr="00F93490">
              <w:rPr>
                <w:rFonts w:ascii="Times New Roman" w:hAnsi="Times New Roman"/>
                <w:i/>
                <w:sz w:val="16"/>
                <w:lang w:val="fr-FR"/>
              </w:rPr>
              <w:t>2007</w:t>
            </w:r>
          </w:p>
        </w:tc>
        <w:tc>
          <w:tcPr>
            <w:tcW w:w="794" w:type="dxa"/>
            <w:tcBorders>
              <w:top w:val="single" w:sz="4" w:space="0" w:color="auto"/>
              <w:bottom w:val="single" w:sz="12" w:space="0" w:color="auto"/>
            </w:tcBorders>
            <w:shd w:val="clear" w:color="auto" w:fill="auto"/>
            <w:vAlign w:val="bottom"/>
          </w:tcPr>
          <w:p w:rsidR="000B562B" w:rsidRPr="00F93490" w:rsidRDefault="000B562B" w:rsidP="002C6F62">
            <w:pPr>
              <w:pStyle w:val="Text"/>
              <w:keepNext/>
              <w:keepLines/>
              <w:spacing w:before="80" w:after="80" w:line="200" w:lineRule="exact"/>
              <w:ind w:left="113" w:right="57"/>
              <w:jc w:val="right"/>
              <w:rPr>
                <w:rFonts w:ascii="Times New Roman" w:hAnsi="Times New Roman"/>
                <w:i/>
                <w:sz w:val="16"/>
                <w:lang w:val="fr-FR"/>
              </w:rPr>
            </w:pPr>
            <w:r w:rsidRPr="00F93490">
              <w:rPr>
                <w:rFonts w:ascii="Times New Roman" w:hAnsi="Times New Roman"/>
                <w:i/>
                <w:sz w:val="16"/>
                <w:lang w:val="fr-FR"/>
              </w:rPr>
              <w:t>2008</w:t>
            </w:r>
          </w:p>
        </w:tc>
        <w:tc>
          <w:tcPr>
            <w:tcW w:w="794" w:type="dxa"/>
            <w:tcBorders>
              <w:top w:val="single" w:sz="4" w:space="0" w:color="auto"/>
              <w:bottom w:val="single" w:sz="12" w:space="0" w:color="auto"/>
            </w:tcBorders>
            <w:shd w:val="clear" w:color="auto" w:fill="auto"/>
            <w:vAlign w:val="bottom"/>
          </w:tcPr>
          <w:p w:rsidR="000B562B" w:rsidRPr="00F93490" w:rsidRDefault="000B562B" w:rsidP="002C6F62">
            <w:pPr>
              <w:pStyle w:val="Text"/>
              <w:keepNext/>
              <w:keepLines/>
              <w:spacing w:before="80" w:after="80" w:line="200" w:lineRule="exact"/>
              <w:ind w:left="113" w:right="57"/>
              <w:jc w:val="right"/>
              <w:rPr>
                <w:rFonts w:ascii="Times New Roman" w:hAnsi="Times New Roman"/>
                <w:i/>
                <w:sz w:val="16"/>
                <w:lang w:val="fr-FR"/>
              </w:rPr>
            </w:pPr>
            <w:r w:rsidRPr="00F93490">
              <w:rPr>
                <w:rFonts w:ascii="Times New Roman" w:hAnsi="Times New Roman"/>
                <w:i/>
                <w:sz w:val="16"/>
                <w:lang w:val="fr-FR"/>
              </w:rPr>
              <w:t>2009</w:t>
            </w:r>
          </w:p>
        </w:tc>
      </w:tr>
      <w:tr w:rsidR="000B562B" w:rsidRPr="00A176EA">
        <w:trPr>
          <w:cantSplit/>
          <w:trHeight w:val="240"/>
        </w:trPr>
        <w:tc>
          <w:tcPr>
            <w:tcW w:w="3119" w:type="dxa"/>
            <w:tcBorders>
              <w:top w:val="single" w:sz="12" w:space="0" w:color="auto"/>
            </w:tcBorders>
            <w:shd w:val="clear" w:color="auto" w:fill="auto"/>
          </w:tcPr>
          <w:p w:rsidR="000B562B" w:rsidRPr="00A176EA" w:rsidRDefault="004C480D" w:rsidP="0013278C">
            <w:pPr>
              <w:pStyle w:val="Text"/>
              <w:spacing w:before="40" w:after="40" w:line="220" w:lineRule="exact"/>
              <w:rPr>
                <w:rFonts w:ascii="Times New Roman" w:hAnsi="Times New Roman"/>
                <w:sz w:val="18"/>
                <w:lang w:val="fr-FR"/>
              </w:rPr>
            </w:pPr>
            <w:r w:rsidRPr="00F93490">
              <w:rPr>
                <w:rFonts w:ascii="Times New Roman" w:hAnsi="Times New Roman"/>
                <w:sz w:val="18"/>
                <w:lang w:val="fr-FR"/>
              </w:rPr>
              <w:t xml:space="preserve">Données pour </w:t>
            </w:r>
            <w:r w:rsidR="000B562B" w:rsidRPr="00F93490">
              <w:rPr>
                <w:rFonts w:ascii="Times New Roman" w:hAnsi="Times New Roman"/>
                <w:sz w:val="18"/>
                <w:lang w:val="fr-FR"/>
              </w:rPr>
              <w:t>S</w:t>
            </w:r>
            <w:r w:rsidR="0013278C" w:rsidRPr="00F93490">
              <w:rPr>
                <w:rFonts w:ascii="Times New Roman" w:hAnsi="Times New Roman"/>
                <w:sz w:val="18"/>
                <w:lang w:val="fr-FR"/>
              </w:rPr>
              <w:t>ercq</w:t>
            </w:r>
          </w:p>
        </w:tc>
        <w:tc>
          <w:tcPr>
            <w:tcW w:w="794" w:type="dxa"/>
            <w:tcBorders>
              <w:top w:val="single" w:sz="12" w:space="0" w:color="auto"/>
            </w:tcBorders>
            <w:shd w:val="clear" w:color="auto" w:fill="auto"/>
            <w:vAlign w:val="bottom"/>
          </w:tcPr>
          <w:p w:rsidR="000B562B" w:rsidRPr="00A176EA" w:rsidRDefault="000B562B" w:rsidP="002C6F62">
            <w:pPr>
              <w:pStyle w:val="Text"/>
              <w:keepNext/>
              <w:keepLines/>
              <w:spacing w:before="40" w:after="40" w:line="220" w:lineRule="exact"/>
              <w:ind w:left="113" w:right="57"/>
              <w:jc w:val="right"/>
              <w:rPr>
                <w:rFonts w:ascii="Times New Roman" w:hAnsi="Times New Roman"/>
                <w:sz w:val="18"/>
                <w:lang w:val="fr-FR"/>
              </w:rPr>
            </w:pPr>
          </w:p>
        </w:tc>
        <w:tc>
          <w:tcPr>
            <w:tcW w:w="794" w:type="dxa"/>
            <w:tcBorders>
              <w:top w:val="single" w:sz="12" w:space="0" w:color="auto"/>
            </w:tcBorders>
            <w:shd w:val="clear" w:color="auto" w:fill="auto"/>
            <w:vAlign w:val="bottom"/>
          </w:tcPr>
          <w:p w:rsidR="000B562B" w:rsidRPr="00A176EA" w:rsidRDefault="000B562B" w:rsidP="002C6F62">
            <w:pPr>
              <w:pStyle w:val="Text"/>
              <w:keepNext/>
              <w:keepLines/>
              <w:spacing w:before="40" w:after="40" w:line="220" w:lineRule="exact"/>
              <w:ind w:left="113" w:right="57"/>
              <w:jc w:val="right"/>
              <w:rPr>
                <w:rFonts w:ascii="Times New Roman" w:hAnsi="Times New Roman"/>
                <w:sz w:val="18"/>
                <w:lang w:val="fr-FR"/>
              </w:rPr>
            </w:pPr>
          </w:p>
        </w:tc>
        <w:tc>
          <w:tcPr>
            <w:tcW w:w="794" w:type="dxa"/>
            <w:tcBorders>
              <w:top w:val="single" w:sz="12" w:space="0" w:color="auto"/>
            </w:tcBorders>
            <w:shd w:val="clear" w:color="auto" w:fill="auto"/>
            <w:vAlign w:val="bottom"/>
          </w:tcPr>
          <w:p w:rsidR="000B562B" w:rsidRPr="00A176EA" w:rsidRDefault="000B562B" w:rsidP="002C6F62">
            <w:pPr>
              <w:pStyle w:val="Text"/>
              <w:keepNext/>
              <w:keepLines/>
              <w:spacing w:before="40" w:after="40" w:line="220" w:lineRule="exact"/>
              <w:ind w:left="113" w:right="57"/>
              <w:jc w:val="right"/>
              <w:rPr>
                <w:rFonts w:ascii="Times New Roman" w:hAnsi="Times New Roman"/>
                <w:sz w:val="18"/>
                <w:lang w:val="fr-FR"/>
              </w:rPr>
            </w:pPr>
          </w:p>
        </w:tc>
        <w:tc>
          <w:tcPr>
            <w:tcW w:w="794" w:type="dxa"/>
            <w:tcBorders>
              <w:top w:val="single" w:sz="12" w:space="0" w:color="auto"/>
            </w:tcBorders>
            <w:shd w:val="clear" w:color="auto" w:fill="auto"/>
            <w:vAlign w:val="bottom"/>
          </w:tcPr>
          <w:p w:rsidR="000B562B" w:rsidRPr="00A176EA" w:rsidRDefault="000B562B" w:rsidP="002C6F62">
            <w:pPr>
              <w:pStyle w:val="Text"/>
              <w:keepNext/>
              <w:keepLines/>
              <w:spacing w:before="40" w:after="40" w:line="220" w:lineRule="exact"/>
              <w:ind w:left="113" w:right="57"/>
              <w:jc w:val="right"/>
              <w:rPr>
                <w:rFonts w:ascii="Times New Roman" w:hAnsi="Times New Roman"/>
                <w:sz w:val="18"/>
                <w:lang w:val="fr-FR"/>
              </w:rPr>
            </w:pPr>
          </w:p>
        </w:tc>
        <w:tc>
          <w:tcPr>
            <w:tcW w:w="794" w:type="dxa"/>
            <w:tcBorders>
              <w:top w:val="single" w:sz="12" w:space="0" w:color="auto"/>
            </w:tcBorders>
            <w:shd w:val="clear" w:color="auto" w:fill="auto"/>
            <w:vAlign w:val="bottom"/>
          </w:tcPr>
          <w:p w:rsidR="000B562B" w:rsidRPr="00A176EA" w:rsidRDefault="000B562B" w:rsidP="002C6F62">
            <w:pPr>
              <w:pStyle w:val="Text"/>
              <w:keepNext/>
              <w:keepLines/>
              <w:spacing w:before="40" w:after="40" w:line="220" w:lineRule="exact"/>
              <w:ind w:left="113" w:right="57"/>
              <w:jc w:val="right"/>
              <w:rPr>
                <w:rFonts w:ascii="Times New Roman" w:hAnsi="Times New Roman"/>
                <w:sz w:val="18"/>
                <w:lang w:val="fr-FR"/>
              </w:rPr>
            </w:pPr>
          </w:p>
        </w:tc>
        <w:tc>
          <w:tcPr>
            <w:tcW w:w="794" w:type="dxa"/>
            <w:tcBorders>
              <w:top w:val="single" w:sz="12" w:space="0" w:color="auto"/>
            </w:tcBorders>
            <w:shd w:val="clear" w:color="auto" w:fill="auto"/>
            <w:vAlign w:val="bottom"/>
          </w:tcPr>
          <w:p w:rsidR="000B562B" w:rsidRPr="00A176EA" w:rsidRDefault="000B562B" w:rsidP="002C6F62">
            <w:pPr>
              <w:pStyle w:val="Text"/>
              <w:keepNext/>
              <w:keepLines/>
              <w:spacing w:before="40" w:after="40" w:line="220" w:lineRule="exact"/>
              <w:ind w:left="113" w:right="57"/>
              <w:jc w:val="right"/>
              <w:rPr>
                <w:rFonts w:ascii="Times New Roman" w:hAnsi="Times New Roman"/>
                <w:sz w:val="18"/>
                <w:lang w:val="fr-FR"/>
              </w:rPr>
            </w:pPr>
          </w:p>
        </w:tc>
        <w:tc>
          <w:tcPr>
            <w:tcW w:w="794" w:type="dxa"/>
            <w:tcBorders>
              <w:top w:val="single" w:sz="12" w:space="0" w:color="auto"/>
            </w:tcBorders>
            <w:shd w:val="clear" w:color="auto" w:fill="auto"/>
            <w:vAlign w:val="bottom"/>
          </w:tcPr>
          <w:p w:rsidR="000B562B" w:rsidRPr="00A176EA" w:rsidRDefault="000B562B" w:rsidP="002C6F62">
            <w:pPr>
              <w:pStyle w:val="Text"/>
              <w:keepNext/>
              <w:keepLines/>
              <w:spacing w:before="40" w:after="40" w:line="220" w:lineRule="exact"/>
              <w:ind w:left="113" w:right="57"/>
              <w:jc w:val="right"/>
              <w:rPr>
                <w:rFonts w:ascii="Times New Roman" w:hAnsi="Times New Roman"/>
                <w:sz w:val="18"/>
                <w:lang w:val="fr-FR"/>
              </w:rPr>
            </w:pPr>
          </w:p>
        </w:tc>
      </w:tr>
      <w:tr w:rsidR="000B562B" w:rsidRPr="00A176EA">
        <w:trPr>
          <w:cantSplit/>
          <w:trHeight w:val="240"/>
        </w:trPr>
        <w:tc>
          <w:tcPr>
            <w:tcW w:w="3119" w:type="dxa"/>
            <w:shd w:val="clear" w:color="auto" w:fill="auto"/>
          </w:tcPr>
          <w:p w:rsidR="000B562B" w:rsidRPr="00A176EA" w:rsidRDefault="000B562B" w:rsidP="00F93490">
            <w:pPr>
              <w:pStyle w:val="Text"/>
              <w:spacing w:before="40" w:after="40" w:line="220" w:lineRule="exact"/>
              <w:rPr>
                <w:rFonts w:ascii="Times New Roman" w:hAnsi="Times New Roman"/>
                <w:sz w:val="18"/>
                <w:lang w:val="fr-FR"/>
              </w:rPr>
            </w:pPr>
            <w:r w:rsidRPr="00A176EA">
              <w:rPr>
                <w:rFonts w:ascii="Times New Roman" w:hAnsi="Times New Roman"/>
                <w:sz w:val="18"/>
                <w:lang w:val="fr-FR"/>
              </w:rPr>
              <w:t>Person</w:t>
            </w:r>
            <w:r w:rsidR="00F93490">
              <w:rPr>
                <w:rFonts w:ascii="Times New Roman" w:hAnsi="Times New Roman"/>
                <w:sz w:val="18"/>
                <w:lang w:val="fr-FR"/>
              </w:rPr>
              <w:t>ne</w:t>
            </w:r>
            <w:r w:rsidRPr="00A176EA">
              <w:rPr>
                <w:rFonts w:ascii="Times New Roman" w:hAnsi="Times New Roman"/>
                <w:sz w:val="18"/>
                <w:lang w:val="fr-FR"/>
              </w:rPr>
              <w:t xml:space="preserve">s </w:t>
            </w:r>
            <w:r w:rsidR="00F93490">
              <w:rPr>
                <w:rFonts w:ascii="Times New Roman" w:hAnsi="Times New Roman"/>
                <w:sz w:val="18"/>
                <w:lang w:val="fr-FR"/>
              </w:rPr>
              <w:t>placées en garde à vue</w:t>
            </w:r>
            <w:r w:rsidRPr="00A176EA">
              <w:rPr>
                <w:rFonts w:ascii="Times New Roman" w:hAnsi="Times New Roman"/>
                <w:sz w:val="18"/>
                <w:lang w:val="fr-FR"/>
              </w:rPr>
              <w:t xml:space="preserve"> </w:t>
            </w:r>
          </w:p>
        </w:tc>
        <w:tc>
          <w:tcPr>
            <w:tcW w:w="794" w:type="dxa"/>
            <w:shd w:val="clear" w:color="auto" w:fill="auto"/>
            <w:vAlign w:val="bottom"/>
          </w:tcPr>
          <w:p w:rsidR="000B562B" w:rsidRPr="00A176EA" w:rsidRDefault="000B562B" w:rsidP="002C6F62">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1</w:t>
            </w:r>
          </w:p>
        </w:tc>
        <w:tc>
          <w:tcPr>
            <w:tcW w:w="794" w:type="dxa"/>
            <w:shd w:val="clear" w:color="auto" w:fill="auto"/>
            <w:vAlign w:val="bottom"/>
          </w:tcPr>
          <w:p w:rsidR="000B562B" w:rsidRPr="00A176EA" w:rsidRDefault="000B562B" w:rsidP="002C6F62">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3</w:t>
            </w:r>
          </w:p>
        </w:tc>
        <w:tc>
          <w:tcPr>
            <w:tcW w:w="794" w:type="dxa"/>
            <w:shd w:val="clear" w:color="auto" w:fill="auto"/>
            <w:vAlign w:val="bottom"/>
          </w:tcPr>
          <w:p w:rsidR="000B562B" w:rsidRPr="00A176EA" w:rsidRDefault="000B562B" w:rsidP="002C6F62">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4</w:t>
            </w:r>
          </w:p>
        </w:tc>
        <w:tc>
          <w:tcPr>
            <w:tcW w:w="794" w:type="dxa"/>
            <w:shd w:val="clear" w:color="auto" w:fill="auto"/>
            <w:vAlign w:val="bottom"/>
          </w:tcPr>
          <w:p w:rsidR="000B562B" w:rsidRPr="00A176EA" w:rsidRDefault="000B562B" w:rsidP="002C6F62">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0</w:t>
            </w:r>
          </w:p>
        </w:tc>
        <w:tc>
          <w:tcPr>
            <w:tcW w:w="794" w:type="dxa"/>
            <w:shd w:val="clear" w:color="auto" w:fill="auto"/>
            <w:vAlign w:val="bottom"/>
          </w:tcPr>
          <w:p w:rsidR="000B562B" w:rsidRPr="00A176EA" w:rsidRDefault="000B562B" w:rsidP="002C6F62">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2</w:t>
            </w:r>
          </w:p>
        </w:tc>
        <w:tc>
          <w:tcPr>
            <w:tcW w:w="794" w:type="dxa"/>
            <w:shd w:val="clear" w:color="auto" w:fill="auto"/>
            <w:vAlign w:val="bottom"/>
          </w:tcPr>
          <w:p w:rsidR="000B562B" w:rsidRPr="00A176EA" w:rsidRDefault="000B562B" w:rsidP="002C6F62">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5</w:t>
            </w:r>
          </w:p>
        </w:tc>
        <w:tc>
          <w:tcPr>
            <w:tcW w:w="794" w:type="dxa"/>
            <w:shd w:val="clear" w:color="auto" w:fill="auto"/>
            <w:vAlign w:val="bottom"/>
          </w:tcPr>
          <w:p w:rsidR="000B562B" w:rsidRPr="00A176EA" w:rsidRDefault="000B562B" w:rsidP="002C6F62">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6</w:t>
            </w:r>
          </w:p>
        </w:tc>
      </w:tr>
      <w:tr w:rsidR="000B562B" w:rsidRPr="00A176EA">
        <w:trPr>
          <w:cantSplit/>
          <w:trHeight w:val="240"/>
        </w:trPr>
        <w:tc>
          <w:tcPr>
            <w:tcW w:w="3119" w:type="dxa"/>
            <w:shd w:val="clear" w:color="auto" w:fill="auto"/>
          </w:tcPr>
          <w:p w:rsidR="000B562B" w:rsidRPr="00A176EA" w:rsidRDefault="00F93490" w:rsidP="00F93490">
            <w:pPr>
              <w:pStyle w:val="Text"/>
              <w:spacing w:before="40" w:after="40" w:line="220" w:lineRule="exact"/>
              <w:rPr>
                <w:rFonts w:ascii="Times New Roman" w:hAnsi="Times New Roman"/>
                <w:sz w:val="18"/>
                <w:lang w:val="fr-FR"/>
              </w:rPr>
            </w:pPr>
            <w:r>
              <w:rPr>
                <w:rFonts w:ascii="Times New Roman" w:hAnsi="Times New Roman"/>
                <w:sz w:val="18"/>
                <w:lang w:val="fr-FR"/>
              </w:rPr>
              <w:t>Décès de</w:t>
            </w:r>
            <w:r w:rsidR="000B562B" w:rsidRPr="00A176EA">
              <w:rPr>
                <w:rFonts w:ascii="Times New Roman" w:hAnsi="Times New Roman"/>
                <w:sz w:val="18"/>
                <w:lang w:val="fr-FR"/>
              </w:rPr>
              <w:t xml:space="preserve"> person</w:t>
            </w:r>
            <w:r>
              <w:rPr>
                <w:rFonts w:ascii="Times New Roman" w:hAnsi="Times New Roman"/>
                <w:sz w:val="18"/>
                <w:lang w:val="fr-FR"/>
              </w:rPr>
              <w:t>ne</w:t>
            </w:r>
            <w:r w:rsidR="000B562B" w:rsidRPr="00A176EA">
              <w:rPr>
                <w:rFonts w:ascii="Times New Roman" w:hAnsi="Times New Roman"/>
                <w:sz w:val="18"/>
                <w:lang w:val="fr-FR"/>
              </w:rPr>
              <w:t xml:space="preserve">s </w:t>
            </w:r>
            <w:r>
              <w:rPr>
                <w:rFonts w:ascii="Times New Roman" w:hAnsi="Times New Roman"/>
                <w:sz w:val="18"/>
                <w:lang w:val="fr-FR"/>
              </w:rPr>
              <w:t>en garde à vue</w:t>
            </w:r>
          </w:p>
        </w:tc>
        <w:tc>
          <w:tcPr>
            <w:tcW w:w="794" w:type="dxa"/>
            <w:shd w:val="clear" w:color="auto" w:fill="auto"/>
            <w:vAlign w:val="bottom"/>
          </w:tcPr>
          <w:p w:rsidR="000B562B" w:rsidRPr="00A176EA" w:rsidRDefault="000B562B" w:rsidP="002C6F62">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0</w:t>
            </w:r>
          </w:p>
        </w:tc>
        <w:tc>
          <w:tcPr>
            <w:tcW w:w="794" w:type="dxa"/>
            <w:shd w:val="clear" w:color="auto" w:fill="auto"/>
            <w:vAlign w:val="bottom"/>
          </w:tcPr>
          <w:p w:rsidR="000B562B" w:rsidRPr="00A176EA" w:rsidRDefault="000B562B" w:rsidP="002C6F62">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0</w:t>
            </w:r>
          </w:p>
        </w:tc>
        <w:tc>
          <w:tcPr>
            <w:tcW w:w="794" w:type="dxa"/>
            <w:shd w:val="clear" w:color="auto" w:fill="auto"/>
            <w:vAlign w:val="bottom"/>
          </w:tcPr>
          <w:p w:rsidR="000B562B" w:rsidRPr="00A176EA" w:rsidRDefault="000B562B" w:rsidP="002C6F62">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0</w:t>
            </w:r>
          </w:p>
        </w:tc>
        <w:tc>
          <w:tcPr>
            <w:tcW w:w="794" w:type="dxa"/>
            <w:shd w:val="clear" w:color="auto" w:fill="auto"/>
            <w:vAlign w:val="bottom"/>
          </w:tcPr>
          <w:p w:rsidR="000B562B" w:rsidRPr="00A176EA" w:rsidRDefault="000B562B" w:rsidP="002C6F62">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0</w:t>
            </w:r>
          </w:p>
        </w:tc>
        <w:tc>
          <w:tcPr>
            <w:tcW w:w="794" w:type="dxa"/>
            <w:shd w:val="clear" w:color="auto" w:fill="auto"/>
            <w:vAlign w:val="bottom"/>
          </w:tcPr>
          <w:p w:rsidR="000B562B" w:rsidRPr="00A176EA" w:rsidRDefault="000B562B" w:rsidP="002C6F62">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0</w:t>
            </w:r>
          </w:p>
        </w:tc>
        <w:tc>
          <w:tcPr>
            <w:tcW w:w="794" w:type="dxa"/>
            <w:shd w:val="clear" w:color="auto" w:fill="auto"/>
            <w:vAlign w:val="bottom"/>
          </w:tcPr>
          <w:p w:rsidR="000B562B" w:rsidRPr="00A176EA" w:rsidRDefault="000B562B" w:rsidP="002C6F62">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0</w:t>
            </w:r>
          </w:p>
        </w:tc>
        <w:tc>
          <w:tcPr>
            <w:tcW w:w="794" w:type="dxa"/>
            <w:shd w:val="clear" w:color="auto" w:fill="auto"/>
            <w:vAlign w:val="bottom"/>
          </w:tcPr>
          <w:p w:rsidR="000B562B" w:rsidRPr="00A176EA" w:rsidRDefault="000B562B" w:rsidP="002C6F62">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0</w:t>
            </w:r>
          </w:p>
        </w:tc>
      </w:tr>
      <w:tr w:rsidR="000B562B" w:rsidRPr="00A176EA">
        <w:trPr>
          <w:cantSplit/>
          <w:trHeight w:val="240"/>
        </w:trPr>
        <w:tc>
          <w:tcPr>
            <w:tcW w:w="3119" w:type="dxa"/>
            <w:tcBorders>
              <w:bottom w:val="single" w:sz="12" w:space="0" w:color="auto"/>
            </w:tcBorders>
            <w:shd w:val="clear" w:color="auto" w:fill="auto"/>
          </w:tcPr>
          <w:p w:rsidR="000B562B" w:rsidRPr="00A176EA" w:rsidRDefault="00F93490" w:rsidP="00F93490">
            <w:pPr>
              <w:pStyle w:val="Text"/>
              <w:spacing w:before="40" w:after="40" w:line="220" w:lineRule="exact"/>
              <w:rPr>
                <w:rFonts w:ascii="Times New Roman" w:hAnsi="Times New Roman"/>
                <w:sz w:val="18"/>
                <w:lang w:val="fr-FR"/>
              </w:rPr>
            </w:pPr>
            <w:r>
              <w:rPr>
                <w:rFonts w:ascii="Times New Roman" w:hAnsi="Times New Roman"/>
                <w:sz w:val="18"/>
                <w:lang w:val="fr-FR"/>
              </w:rPr>
              <w:t>Plaintes de gardés à vue et de détenus</w:t>
            </w:r>
          </w:p>
        </w:tc>
        <w:tc>
          <w:tcPr>
            <w:tcW w:w="794" w:type="dxa"/>
            <w:tcBorders>
              <w:bottom w:val="single" w:sz="12" w:space="0" w:color="auto"/>
            </w:tcBorders>
            <w:shd w:val="clear" w:color="auto" w:fill="auto"/>
            <w:vAlign w:val="bottom"/>
          </w:tcPr>
          <w:p w:rsidR="000B562B" w:rsidRPr="00A176EA" w:rsidRDefault="000B562B" w:rsidP="002C6F62">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0</w:t>
            </w:r>
          </w:p>
        </w:tc>
        <w:tc>
          <w:tcPr>
            <w:tcW w:w="794" w:type="dxa"/>
            <w:tcBorders>
              <w:bottom w:val="single" w:sz="12" w:space="0" w:color="auto"/>
            </w:tcBorders>
            <w:shd w:val="clear" w:color="auto" w:fill="auto"/>
            <w:vAlign w:val="bottom"/>
          </w:tcPr>
          <w:p w:rsidR="000B562B" w:rsidRPr="00A176EA" w:rsidRDefault="000B562B" w:rsidP="002C6F62">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0</w:t>
            </w:r>
          </w:p>
        </w:tc>
        <w:tc>
          <w:tcPr>
            <w:tcW w:w="794" w:type="dxa"/>
            <w:tcBorders>
              <w:bottom w:val="single" w:sz="12" w:space="0" w:color="auto"/>
            </w:tcBorders>
            <w:shd w:val="clear" w:color="auto" w:fill="auto"/>
            <w:vAlign w:val="bottom"/>
          </w:tcPr>
          <w:p w:rsidR="000B562B" w:rsidRPr="00A176EA" w:rsidRDefault="000B562B" w:rsidP="002C6F62">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0</w:t>
            </w:r>
          </w:p>
        </w:tc>
        <w:tc>
          <w:tcPr>
            <w:tcW w:w="794" w:type="dxa"/>
            <w:tcBorders>
              <w:bottom w:val="single" w:sz="12" w:space="0" w:color="auto"/>
            </w:tcBorders>
            <w:shd w:val="clear" w:color="auto" w:fill="auto"/>
            <w:vAlign w:val="bottom"/>
          </w:tcPr>
          <w:p w:rsidR="000B562B" w:rsidRPr="00A176EA" w:rsidRDefault="000B562B" w:rsidP="002C6F62">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0</w:t>
            </w:r>
          </w:p>
        </w:tc>
        <w:tc>
          <w:tcPr>
            <w:tcW w:w="794" w:type="dxa"/>
            <w:tcBorders>
              <w:bottom w:val="single" w:sz="12" w:space="0" w:color="auto"/>
            </w:tcBorders>
            <w:shd w:val="clear" w:color="auto" w:fill="auto"/>
            <w:vAlign w:val="bottom"/>
          </w:tcPr>
          <w:p w:rsidR="000B562B" w:rsidRPr="00A176EA" w:rsidRDefault="000B562B" w:rsidP="002C6F62">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0</w:t>
            </w:r>
          </w:p>
        </w:tc>
        <w:tc>
          <w:tcPr>
            <w:tcW w:w="794" w:type="dxa"/>
            <w:tcBorders>
              <w:bottom w:val="single" w:sz="12" w:space="0" w:color="auto"/>
            </w:tcBorders>
            <w:shd w:val="clear" w:color="auto" w:fill="auto"/>
            <w:vAlign w:val="bottom"/>
          </w:tcPr>
          <w:p w:rsidR="000B562B" w:rsidRPr="00A176EA" w:rsidRDefault="000B562B" w:rsidP="002C6F62">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1</w:t>
            </w:r>
          </w:p>
        </w:tc>
        <w:tc>
          <w:tcPr>
            <w:tcW w:w="794" w:type="dxa"/>
            <w:tcBorders>
              <w:bottom w:val="single" w:sz="12" w:space="0" w:color="auto"/>
            </w:tcBorders>
            <w:shd w:val="clear" w:color="auto" w:fill="auto"/>
            <w:vAlign w:val="bottom"/>
          </w:tcPr>
          <w:p w:rsidR="000B562B" w:rsidRPr="00A176EA" w:rsidRDefault="000B562B" w:rsidP="002C6F62">
            <w:pPr>
              <w:pStyle w:val="Text"/>
              <w:keepNext/>
              <w:keepLines/>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0</w:t>
            </w:r>
          </w:p>
        </w:tc>
      </w:tr>
    </w:tbl>
    <w:p w:rsidR="000B562B" w:rsidRPr="00A176EA" w:rsidRDefault="000B562B" w:rsidP="000B562B">
      <w:pPr>
        <w:pStyle w:val="Text"/>
        <w:spacing w:after="0"/>
        <w:rPr>
          <w:lang w:val="fr-FR"/>
        </w:rPr>
      </w:pPr>
    </w:p>
    <w:tbl>
      <w:tblPr>
        <w:tblW w:w="7370" w:type="dxa"/>
        <w:tblInd w:w="1134" w:type="dxa"/>
        <w:tblBorders>
          <w:top w:val="single" w:sz="4" w:space="0" w:color="auto"/>
          <w:bottom w:val="single" w:sz="12" w:space="0" w:color="auto"/>
          <w:insideH w:val="single" w:sz="12" w:space="0" w:color="auto"/>
          <w:insideV w:val="single" w:sz="12" w:space="0" w:color="auto"/>
        </w:tblBorders>
        <w:tblCellMar>
          <w:left w:w="0" w:type="dxa"/>
          <w:right w:w="0" w:type="dxa"/>
        </w:tblCellMar>
        <w:tblLook w:val="01E0" w:firstRow="1" w:lastRow="1" w:firstColumn="1" w:lastColumn="1" w:noHBand="0" w:noVBand="0"/>
      </w:tblPr>
      <w:tblGrid>
        <w:gridCol w:w="7370"/>
      </w:tblGrid>
      <w:tr w:rsidR="000B562B" w:rsidRPr="00A176EA">
        <w:trPr>
          <w:cantSplit/>
          <w:trHeight w:val="240"/>
          <w:tblHeader/>
        </w:trPr>
        <w:tc>
          <w:tcPr>
            <w:tcW w:w="8675" w:type="dxa"/>
            <w:shd w:val="clear" w:color="auto" w:fill="auto"/>
            <w:vAlign w:val="bottom"/>
          </w:tcPr>
          <w:p w:rsidR="000B562B" w:rsidRPr="004C480D" w:rsidRDefault="004C480D" w:rsidP="004C480D">
            <w:pPr>
              <w:pStyle w:val="Text"/>
              <w:spacing w:before="80" w:after="80" w:line="200" w:lineRule="exact"/>
              <w:rPr>
                <w:rFonts w:ascii="Times New Roman" w:hAnsi="Times New Roman"/>
                <w:sz w:val="16"/>
                <w:lang w:val="fr-FR"/>
              </w:rPr>
            </w:pPr>
            <w:r w:rsidRPr="00F93490">
              <w:rPr>
                <w:rFonts w:ascii="Times New Roman" w:hAnsi="Times New Roman"/>
                <w:sz w:val="16"/>
                <w:lang w:val="fr-FR"/>
              </w:rPr>
              <w:t xml:space="preserve">Données pour </w:t>
            </w:r>
            <w:r w:rsidR="000B562B" w:rsidRPr="00F93490">
              <w:rPr>
                <w:rFonts w:ascii="Times New Roman" w:hAnsi="Times New Roman"/>
                <w:sz w:val="16"/>
                <w:lang w:val="fr-FR"/>
              </w:rPr>
              <w:t>Alderney</w:t>
            </w:r>
          </w:p>
        </w:tc>
      </w:tr>
      <w:tr w:rsidR="000B562B" w:rsidRPr="00A176EA">
        <w:trPr>
          <w:cantSplit/>
          <w:trHeight w:val="240"/>
        </w:trPr>
        <w:tc>
          <w:tcPr>
            <w:tcW w:w="8675" w:type="dxa"/>
            <w:shd w:val="clear" w:color="auto" w:fill="auto"/>
          </w:tcPr>
          <w:p w:rsidR="000B562B" w:rsidRPr="00A176EA" w:rsidRDefault="00F93490" w:rsidP="00F93490">
            <w:pPr>
              <w:pStyle w:val="Text"/>
              <w:spacing w:before="40" w:after="40" w:line="220" w:lineRule="exact"/>
              <w:rPr>
                <w:rFonts w:ascii="Times New Roman" w:hAnsi="Times New Roman"/>
                <w:sz w:val="18"/>
                <w:lang w:val="fr-FR"/>
              </w:rPr>
            </w:pPr>
            <w:r>
              <w:rPr>
                <w:rFonts w:ascii="Times New Roman" w:hAnsi="Times New Roman"/>
                <w:sz w:val="18"/>
                <w:lang w:val="fr-FR"/>
              </w:rPr>
              <w:t xml:space="preserve">Les </w:t>
            </w:r>
            <w:r w:rsidRPr="00A176EA">
              <w:rPr>
                <w:rFonts w:ascii="Times New Roman" w:hAnsi="Times New Roman"/>
                <w:sz w:val="18"/>
                <w:lang w:val="fr-FR"/>
              </w:rPr>
              <w:t xml:space="preserve">Services </w:t>
            </w:r>
            <w:r>
              <w:rPr>
                <w:rFonts w:ascii="Times New Roman" w:hAnsi="Times New Roman"/>
                <w:sz w:val="18"/>
                <w:lang w:val="fr-FR"/>
              </w:rPr>
              <w:t>de p</w:t>
            </w:r>
            <w:r w:rsidR="000B562B" w:rsidRPr="00A176EA">
              <w:rPr>
                <w:rFonts w:ascii="Times New Roman" w:hAnsi="Times New Roman"/>
                <w:sz w:val="18"/>
                <w:lang w:val="fr-FR"/>
              </w:rPr>
              <w:t xml:space="preserve">olice </w:t>
            </w:r>
            <w:r>
              <w:rPr>
                <w:rFonts w:ascii="Times New Roman" w:hAnsi="Times New Roman"/>
                <w:sz w:val="18"/>
                <w:lang w:val="fr-FR"/>
              </w:rPr>
              <w:t>d’</w:t>
            </w:r>
            <w:r w:rsidR="000B562B" w:rsidRPr="00A176EA">
              <w:rPr>
                <w:rFonts w:ascii="Times New Roman" w:hAnsi="Times New Roman"/>
                <w:sz w:val="18"/>
                <w:lang w:val="fr-FR"/>
              </w:rPr>
              <w:t xml:space="preserve">Alderney </w:t>
            </w:r>
            <w:r>
              <w:rPr>
                <w:rFonts w:ascii="Times New Roman" w:hAnsi="Times New Roman"/>
                <w:sz w:val="18"/>
                <w:lang w:val="fr-FR"/>
              </w:rPr>
              <w:t xml:space="preserve">sont délégués aux Services de police de </w:t>
            </w:r>
            <w:r w:rsidR="000B562B" w:rsidRPr="00A176EA">
              <w:rPr>
                <w:rFonts w:ascii="Times New Roman" w:hAnsi="Times New Roman"/>
                <w:sz w:val="18"/>
                <w:lang w:val="fr-FR"/>
              </w:rPr>
              <w:t>Guern</w:t>
            </w:r>
            <w:r>
              <w:rPr>
                <w:rFonts w:ascii="Times New Roman" w:hAnsi="Times New Roman"/>
                <w:sz w:val="18"/>
                <w:lang w:val="fr-FR"/>
              </w:rPr>
              <w:t>e</w:t>
            </w:r>
            <w:r w:rsidR="000B562B" w:rsidRPr="00A176EA">
              <w:rPr>
                <w:rFonts w:ascii="Times New Roman" w:hAnsi="Times New Roman"/>
                <w:sz w:val="18"/>
                <w:lang w:val="fr-FR"/>
              </w:rPr>
              <w:t>sey.</w:t>
            </w:r>
          </w:p>
        </w:tc>
      </w:tr>
    </w:tbl>
    <w:p w:rsidR="000B562B" w:rsidRPr="00A176EA" w:rsidRDefault="000B562B" w:rsidP="008A4455">
      <w:pPr>
        <w:pStyle w:val="H23G"/>
        <w:rPr>
          <w:lang w:val="fr-FR"/>
        </w:rPr>
      </w:pPr>
      <w:r w:rsidRPr="00A176EA">
        <w:rPr>
          <w:lang w:val="fr-FR"/>
        </w:rPr>
        <w:t>Jersey</w:t>
      </w:r>
    </w:p>
    <w:p w:rsidR="000B562B" w:rsidRPr="00A176EA" w:rsidRDefault="002549A9" w:rsidP="008A4455">
      <w:pPr>
        <w:pStyle w:val="SingleTxtG"/>
        <w:rPr>
          <w:lang w:val="fr-FR"/>
        </w:rPr>
      </w:pPr>
      <w:r w:rsidRPr="00A176EA">
        <w:rPr>
          <w:lang w:val="fr-FR"/>
        </w:rPr>
        <w:t>100.</w:t>
      </w:r>
      <w:r w:rsidRPr="00A176EA">
        <w:rPr>
          <w:lang w:val="fr-FR"/>
        </w:rPr>
        <w:tab/>
      </w:r>
      <w:r w:rsidR="00E26A54">
        <w:rPr>
          <w:lang w:val="fr-FR"/>
        </w:rPr>
        <w:t>Pour la période 2002</w:t>
      </w:r>
      <w:r w:rsidR="00E26A54" w:rsidRPr="002C6F62">
        <w:rPr>
          <w:lang w:val="fr-FR"/>
        </w:rPr>
        <w:t>-2009</w:t>
      </w:r>
      <w:r w:rsidR="00E26A54">
        <w:rPr>
          <w:lang w:val="fr-FR"/>
        </w:rPr>
        <w:t>, aucun décès n’est survenu en garde à vue. Les statistiques sur les plaintes contre la police de Jersey pour la même période figurent ci-dessous</w:t>
      </w:r>
      <w:r w:rsidR="000B562B" w:rsidRPr="00A176EA">
        <w:rPr>
          <w:lang w:val="fr-FR"/>
        </w:rPr>
        <w:t>.</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2472"/>
        <w:gridCol w:w="613"/>
        <w:gridCol w:w="613"/>
        <w:gridCol w:w="612"/>
        <w:gridCol w:w="612"/>
        <w:gridCol w:w="612"/>
        <w:gridCol w:w="612"/>
        <w:gridCol w:w="612"/>
        <w:gridCol w:w="612"/>
      </w:tblGrid>
      <w:tr w:rsidR="000B562B" w:rsidRPr="00A176EA">
        <w:trPr>
          <w:cantSplit/>
          <w:trHeight w:val="240"/>
          <w:tblHeader/>
        </w:trPr>
        <w:tc>
          <w:tcPr>
            <w:tcW w:w="3175" w:type="dxa"/>
            <w:tcBorders>
              <w:top w:val="single" w:sz="4" w:space="0" w:color="auto"/>
              <w:bottom w:val="single" w:sz="12" w:space="0" w:color="auto"/>
            </w:tcBorders>
            <w:shd w:val="clear" w:color="auto" w:fill="auto"/>
            <w:vAlign w:val="bottom"/>
          </w:tcPr>
          <w:p w:rsidR="000B562B" w:rsidRPr="00A176EA" w:rsidRDefault="000B562B" w:rsidP="008A4455">
            <w:pPr>
              <w:pStyle w:val="Text"/>
              <w:spacing w:before="80" w:after="80" w:line="200" w:lineRule="exact"/>
              <w:rPr>
                <w:rFonts w:ascii="Times New Roman" w:hAnsi="Times New Roman"/>
                <w:i/>
                <w:sz w:val="16"/>
                <w:szCs w:val="22"/>
                <w:lang w:val="fr-FR"/>
              </w:rPr>
            </w:pPr>
          </w:p>
        </w:tc>
        <w:tc>
          <w:tcPr>
            <w:tcW w:w="680" w:type="dxa"/>
            <w:tcBorders>
              <w:top w:val="single" w:sz="4" w:space="0" w:color="auto"/>
              <w:bottom w:val="single" w:sz="12" w:space="0" w:color="auto"/>
            </w:tcBorders>
            <w:shd w:val="clear" w:color="auto" w:fill="auto"/>
            <w:vAlign w:val="bottom"/>
          </w:tcPr>
          <w:p w:rsidR="000B562B" w:rsidRPr="00A176EA" w:rsidRDefault="000B562B" w:rsidP="002C6F62">
            <w:pPr>
              <w:pStyle w:val="Text"/>
              <w:spacing w:before="80" w:after="80" w:line="200" w:lineRule="exact"/>
              <w:ind w:left="113" w:right="57"/>
              <w:jc w:val="right"/>
              <w:rPr>
                <w:rFonts w:ascii="Times New Roman" w:hAnsi="Times New Roman"/>
                <w:i/>
                <w:sz w:val="16"/>
                <w:szCs w:val="22"/>
                <w:lang w:val="fr-FR"/>
              </w:rPr>
            </w:pPr>
            <w:r w:rsidRPr="00A176EA">
              <w:rPr>
                <w:rFonts w:ascii="Times New Roman" w:hAnsi="Times New Roman"/>
                <w:i/>
                <w:sz w:val="16"/>
                <w:szCs w:val="22"/>
                <w:lang w:val="fr-FR"/>
              </w:rPr>
              <w:t>2002</w:t>
            </w:r>
          </w:p>
        </w:tc>
        <w:tc>
          <w:tcPr>
            <w:tcW w:w="680" w:type="dxa"/>
            <w:tcBorders>
              <w:top w:val="single" w:sz="4" w:space="0" w:color="auto"/>
              <w:bottom w:val="single" w:sz="12" w:space="0" w:color="auto"/>
            </w:tcBorders>
            <w:shd w:val="clear" w:color="auto" w:fill="auto"/>
            <w:vAlign w:val="bottom"/>
          </w:tcPr>
          <w:p w:rsidR="000B562B" w:rsidRPr="00A176EA" w:rsidRDefault="000B562B" w:rsidP="002C6F62">
            <w:pPr>
              <w:pStyle w:val="Text"/>
              <w:spacing w:before="80" w:after="80" w:line="200" w:lineRule="exact"/>
              <w:ind w:left="113" w:right="57"/>
              <w:jc w:val="right"/>
              <w:rPr>
                <w:rFonts w:ascii="Times New Roman" w:hAnsi="Times New Roman"/>
                <w:i/>
                <w:sz w:val="16"/>
                <w:szCs w:val="22"/>
                <w:lang w:val="fr-FR"/>
              </w:rPr>
            </w:pPr>
            <w:r w:rsidRPr="00A176EA">
              <w:rPr>
                <w:rFonts w:ascii="Times New Roman" w:hAnsi="Times New Roman"/>
                <w:i/>
                <w:sz w:val="16"/>
                <w:szCs w:val="22"/>
                <w:lang w:val="fr-FR"/>
              </w:rPr>
              <w:t>2003</w:t>
            </w:r>
          </w:p>
        </w:tc>
        <w:tc>
          <w:tcPr>
            <w:tcW w:w="680" w:type="dxa"/>
            <w:tcBorders>
              <w:top w:val="single" w:sz="4" w:space="0" w:color="auto"/>
              <w:bottom w:val="single" w:sz="12" w:space="0" w:color="auto"/>
            </w:tcBorders>
            <w:shd w:val="clear" w:color="auto" w:fill="auto"/>
            <w:vAlign w:val="bottom"/>
          </w:tcPr>
          <w:p w:rsidR="000B562B" w:rsidRPr="00A176EA" w:rsidRDefault="000B562B" w:rsidP="002C6F62">
            <w:pPr>
              <w:pStyle w:val="Text"/>
              <w:spacing w:before="80" w:after="80" w:line="200" w:lineRule="exact"/>
              <w:ind w:left="113" w:right="57"/>
              <w:jc w:val="right"/>
              <w:rPr>
                <w:rFonts w:ascii="Times New Roman" w:hAnsi="Times New Roman"/>
                <w:i/>
                <w:sz w:val="16"/>
                <w:szCs w:val="22"/>
                <w:lang w:val="fr-FR"/>
              </w:rPr>
            </w:pPr>
            <w:r w:rsidRPr="00A176EA">
              <w:rPr>
                <w:rFonts w:ascii="Times New Roman" w:hAnsi="Times New Roman"/>
                <w:i/>
                <w:sz w:val="16"/>
                <w:szCs w:val="22"/>
                <w:lang w:val="fr-FR"/>
              </w:rPr>
              <w:t>2004</w:t>
            </w:r>
          </w:p>
        </w:tc>
        <w:tc>
          <w:tcPr>
            <w:tcW w:w="680" w:type="dxa"/>
            <w:tcBorders>
              <w:top w:val="single" w:sz="4" w:space="0" w:color="auto"/>
              <w:bottom w:val="single" w:sz="12" w:space="0" w:color="auto"/>
            </w:tcBorders>
            <w:shd w:val="clear" w:color="auto" w:fill="auto"/>
            <w:vAlign w:val="bottom"/>
          </w:tcPr>
          <w:p w:rsidR="000B562B" w:rsidRPr="00A176EA" w:rsidRDefault="000B562B" w:rsidP="002C6F62">
            <w:pPr>
              <w:pStyle w:val="Text"/>
              <w:spacing w:before="80" w:after="80" w:line="200" w:lineRule="exact"/>
              <w:ind w:left="113" w:right="57"/>
              <w:jc w:val="right"/>
              <w:rPr>
                <w:rFonts w:ascii="Times New Roman" w:hAnsi="Times New Roman"/>
                <w:i/>
                <w:sz w:val="16"/>
                <w:szCs w:val="22"/>
                <w:lang w:val="fr-FR"/>
              </w:rPr>
            </w:pPr>
            <w:r w:rsidRPr="00A176EA">
              <w:rPr>
                <w:rFonts w:ascii="Times New Roman" w:hAnsi="Times New Roman"/>
                <w:i/>
                <w:sz w:val="16"/>
                <w:szCs w:val="22"/>
                <w:lang w:val="fr-FR"/>
              </w:rPr>
              <w:t>2005</w:t>
            </w:r>
          </w:p>
        </w:tc>
        <w:tc>
          <w:tcPr>
            <w:tcW w:w="680" w:type="dxa"/>
            <w:tcBorders>
              <w:top w:val="single" w:sz="4" w:space="0" w:color="auto"/>
              <w:bottom w:val="single" w:sz="12" w:space="0" w:color="auto"/>
            </w:tcBorders>
            <w:shd w:val="clear" w:color="auto" w:fill="auto"/>
            <w:vAlign w:val="bottom"/>
          </w:tcPr>
          <w:p w:rsidR="000B562B" w:rsidRPr="00A176EA" w:rsidRDefault="000B562B" w:rsidP="002C6F62">
            <w:pPr>
              <w:pStyle w:val="Text"/>
              <w:spacing w:before="80" w:after="80" w:line="200" w:lineRule="exact"/>
              <w:ind w:left="113" w:right="57"/>
              <w:jc w:val="right"/>
              <w:rPr>
                <w:rFonts w:ascii="Times New Roman" w:hAnsi="Times New Roman"/>
                <w:i/>
                <w:sz w:val="16"/>
                <w:szCs w:val="22"/>
                <w:lang w:val="fr-FR"/>
              </w:rPr>
            </w:pPr>
            <w:r w:rsidRPr="00A176EA">
              <w:rPr>
                <w:rFonts w:ascii="Times New Roman" w:hAnsi="Times New Roman"/>
                <w:i/>
                <w:sz w:val="16"/>
                <w:szCs w:val="22"/>
                <w:lang w:val="fr-FR"/>
              </w:rPr>
              <w:t>2006</w:t>
            </w:r>
          </w:p>
        </w:tc>
        <w:tc>
          <w:tcPr>
            <w:tcW w:w="680" w:type="dxa"/>
            <w:tcBorders>
              <w:top w:val="single" w:sz="4" w:space="0" w:color="auto"/>
              <w:bottom w:val="single" w:sz="12" w:space="0" w:color="auto"/>
            </w:tcBorders>
            <w:shd w:val="clear" w:color="auto" w:fill="auto"/>
            <w:vAlign w:val="bottom"/>
          </w:tcPr>
          <w:p w:rsidR="000B562B" w:rsidRPr="00A176EA" w:rsidRDefault="000B562B" w:rsidP="002C6F62">
            <w:pPr>
              <w:pStyle w:val="Text"/>
              <w:spacing w:before="80" w:after="80" w:line="200" w:lineRule="exact"/>
              <w:ind w:left="113" w:right="57"/>
              <w:jc w:val="right"/>
              <w:rPr>
                <w:rFonts w:ascii="Times New Roman" w:hAnsi="Times New Roman"/>
                <w:i/>
                <w:sz w:val="16"/>
                <w:szCs w:val="22"/>
                <w:lang w:val="fr-FR"/>
              </w:rPr>
            </w:pPr>
            <w:r w:rsidRPr="00A176EA">
              <w:rPr>
                <w:rFonts w:ascii="Times New Roman" w:hAnsi="Times New Roman"/>
                <w:i/>
                <w:sz w:val="16"/>
                <w:szCs w:val="22"/>
                <w:lang w:val="fr-FR"/>
              </w:rPr>
              <w:t>2007</w:t>
            </w:r>
          </w:p>
        </w:tc>
        <w:tc>
          <w:tcPr>
            <w:tcW w:w="680" w:type="dxa"/>
            <w:tcBorders>
              <w:top w:val="single" w:sz="4" w:space="0" w:color="auto"/>
              <w:bottom w:val="single" w:sz="12" w:space="0" w:color="auto"/>
            </w:tcBorders>
            <w:shd w:val="clear" w:color="auto" w:fill="auto"/>
            <w:vAlign w:val="bottom"/>
          </w:tcPr>
          <w:p w:rsidR="000B562B" w:rsidRPr="00A176EA" w:rsidRDefault="000B562B" w:rsidP="002C6F62">
            <w:pPr>
              <w:pStyle w:val="Text"/>
              <w:spacing w:before="80" w:after="80" w:line="200" w:lineRule="exact"/>
              <w:ind w:left="113" w:right="57"/>
              <w:jc w:val="right"/>
              <w:rPr>
                <w:rFonts w:ascii="Times New Roman" w:hAnsi="Times New Roman"/>
                <w:i/>
                <w:sz w:val="16"/>
                <w:szCs w:val="22"/>
                <w:lang w:val="fr-FR"/>
              </w:rPr>
            </w:pPr>
            <w:r w:rsidRPr="00A176EA">
              <w:rPr>
                <w:rFonts w:ascii="Times New Roman" w:hAnsi="Times New Roman"/>
                <w:i/>
                <w:sz w:val="16"/>
                <w:szCs w:val="22"/>
                <w:lang w:val="fr-FR"/>
              </w:rPr>
              <w:t xml:space="preserve">2008 </w:t>
            </w:r>
          </w:p>
        </w:tc>
        <w:tc>
          <w:tcPr>
            <w:tcW w:w="680" w:type="dxa"/>
            <w:tcBorders>
              <w:top w:val="single" w:sz="4" w:space="0" w:color="auto"/>
              <w:bottom w:val="single" w:sz="12" w:space="0" w:color="auto"/>
            </w:tcBorders>
            <w:shd w:val="clear" w:color="auto" w:fill="auto"/>
            <w:vAlign w:val="bottom"/>
          </w:tcPr>
          <w:p w:rsidR="000B562B" w:rsidRPr="00A176EA" w:rsidRDefault="000B562B" w:rsidP="002C6F62">
            <w:pPr>
              <w:pStyle w:val="Text"/>
              <w:spacing w:before="80" w:after="80" w:line="200" w:lineRule="exact"/>
              <w:ind w:left="113" w:right="57"/>
              <w:jc w:val="right"/>
              <w:rPr>
                <w:rFonts w:ascii="Times New Roman" w:hAnsi="Times New Roman"/>
                <w:i/>
                <w:sz w:val="16"/>
                <w:szCs w:val="22"/>
                <w:lang w:val="fr-FR"/>
              </w:rPr>
            </w:pPr>
            <w:r w:rsidRPr="00A176EA">
              <w:rPr>
                <w:rFonts w:ascii="Times New Roman" w:hAnsi="Times New Roman"/>
                <w:i/>
                <w:sz w:val="16"/>
                <w:szCs w:val="22"/>
                <w:lang w:val="fr-FR"/>
              </w:rPr>
              <w:t>2009</w:t>
            </w:r>
          </w:p>
        </w:tc>
      </w:tr>
      <w:tr w:rsidR="000B562B" w:rsidRPr="00A176EA">
        <w:trPr>
          <w:cantSplit/>
          <w:trHeight w:val="240"/>
        </w:trPr>
        <w:tc>
          <w:tcPr>
            <w:tcW w:w="3175" w:type="dxa"/>
            <w:tcBorders>
              <w:top w:val="single" w:sz="12" w:space="0" w:color="auto"/>
            </w:tcBorders>
            <w:shd w:val="clear" w:color="auto" w:fill="auto"/>
          </w:tcPr>
          <w:p w:rsidR="000B562B" w:rsidRPr="0087031A" w:rsidRDefault="007C4E24" w:rsidP="008A4455">
            <w:pPr>
              <w:pStyle w:val="Text"/>
              <w:spacing w:before="40" w:after="40" w:line="220" w:lineRule="exact"/>
              <w:rPr>
                <w:rFonts w:ascii="Times New Roman" w:hAnsi="Times New Roman"/>
                <w:sz w:val="18"/>
                <w:szCs w:val="22"/>
                <w:lang w:val="fr-FR"/>
              </w:rPr>
            </w:pPr>
            <w:r w:rsidRPr="0087031A">
              <w:rPr>
                <w:rFonts w:ascii="Times New Roman" w:hAnsi="Times New Roman"/>
                <w:sz w:val="18"/>
                <w:szCs w:val="22"/>
                <w:lang w:val="fr-FR"/>
              </w:rPr>
              <w:t>Nb</w:t>
            </w:r>
            <w:r w:rsidR="006A71C2" w:rsidRPr="0087031A">
              <w:rPr>
                <w:rFonts w:ascii="Times New Roman" w:hAnsi="Times New Roman"/>
                <w:sz w:val="18"/>
                <w:szCs w:val="22"/>
                <w:lang w:val="fr-FR"/>
              </w:rPr>
              <w:t xml:space="preserve"> de décès en garde à vue</w:t>
            </w:r>
          </w:p>
        </w:tc>
        <w:tc>
          <w:tcPr>
            <w:tcW w:w="680" w:type="dxa"/>
            <w:tcBorders>
              <w:top w:val="single" w:sz="12" w:space="0" w:color="auto"/>
            </w:tcBorders>
            <w:shd w:val="clear" w:color="auto" w:fill="auto"/>
            <w:vAlign w:val="bottom"/>
          </w:tcPr>
          <w:p w:rsidR="000B562B" w:rsidRPr="0087031A" w:rsidRDefault="000B562B" w:rsidP="002C6F62">
            <w:pPr>
              <w:pStyle w:val="Text"/>
              <w:spacing w:before="40" w:after="40" w:line="220" w:lineRule="exact"/>
              <w:ind w:left="113" w:right="57"/>
              <w:jc w:val="right"/>
              <w:rPr>
                <w:rFonts w:ascii="Times New Roman" w:hAnsi="Times New Roman"/>
                <w:sz w:val="18"/>
                <w:szCs w:val="22"/>
                <w:lang w:val="fr-FR"/>
              </w:rPr>
            </w:pPr>
            <w:r w:rsidRPr="0087031A">
              <w:rPr>
                <w:rFonts w:ascii="Times New Roman" w:hAnsi="Times New Roman"/>
                <w:sz w:val="18"/>
                <w:szCs w:val="22"/>
                <w:lang w:val="fr-FR"/>
              </w:rPr>
              <w:t>0</w:t>
            </w:r>
          </w:p>
        </w:tc>
        <w:tc>
          <w:tcPr>
            <w:tcW w:w="680" w:type="dxa"/>
            <w:tcBorders>
              <w:top w:val="single" w:sz="12" w:space="0" w:color="auto"/>
            </w:tcBorders>
            <w:shd w:val="clear" w:color="auto" w:fill="auto"/>
            <w:vAlign w:val="bottom"/>
          </w:tcPr>
          <w:p w:rsidR="000B562B" w:rsidRPr="00A176EA" w:rsidRDefault="000B562B" w:rsidP="002C6F62">
            <w:pPr>
              <w:pStyle w:val="Text"/>
              <w:spacing w:before="40" w:after="40" w:line="220" w:lineRule="exact"/>
              <w:ind w:left="113" w:right="57"/>
              <w:jc w:val="right"/>
              <w:rPr>
                <w:rFonts w:ascii="Times New Roman" w:hAnsi="Times New Roman"/>
                <w:sz w:val="18"/>
                <w:szCs w:val="22"/>
                <w:lang w:val="fr-FR"/>
              </w:rPr>
            </w:pPr>
            <w:r w:rsidRPr="00A176EA">
              <w:rPr>
                <w:rFonts w:ascii="Times New Roman" w:hAnsi="Times New Roman"/>
                <w:sz w:val="18"/>
                <w:szCs w:val="22"/>
                <w:lang w:val="fr-FR"/>
              </w:rPr>
              <w:t>0</w:t>
            </w:r>
          </w:p>
        </w:tc>
        <w:tc>
          <w:tcPr>
            <w:tcW w:w="680" w:type="dxa"/>
            <w:tcBorders>
              <w:top w:val="single" w:sz="12" w:space="0" w:color="auto"/>
            </w:tcBorders>
            <w:shd w:val="clear" w:color="auto" w:fill="auto"/>
            <w:vAlign w:val="bottom"/>
          </w:tcPr>
          <w:p w:rsidR="000B562B" w:rsidRPr="00A176EA" w:rsidRDefault="000B562B" w:rsidP="002C6F62">
            <w:pPr>
              <w:pStyle w:val="Text"/>
              <w:spacing w:before="40" w:after="40" w:line="220" w:lineRule="exact"/>
              <w:ind w:left="113" w:right="57"/>
              <w:jc w:val="right"/>
              <w:rPr>
                <w:rFonts w:ascii="Times New Roman" w:hAnsi="Times New Roman"/>
                <w:sz w:val="18"/>
                <w:szCs w:val="22"/>
                <w:lang w:val="fr-FR"/>
              </w:rPr>
            </w:pPr>
            <w:r w:rsidRPr="00A176EA">
              <w:rPr>
                <w:rFonts w:ascii="Times New Roman" w:hAnsi="Times New Roman"/>
                <w:sz w:val="18"/>
                <w:szCs w:val="22"/>
                <w:lang w:val="fr-FR"/>
              </w:rPr>
              <w:t>0</w:t>
            </w:r>
          </w:p>
        </w:tc>
        <w:tc>
          <w:tcPr>
            <w:tcW w:w="680" w:type="dxa"/>
            <w:tcBorders>
              <w:top w:val="single" w:sz="12" w:space="0" w:color="auto"/>
            </w:tcBorders>
            <w:shd w:val="clear" w:color="auto" w:fill="auto"/>
            <w:vAlign w:val="bottom"/>
          </w:tcPr>
          <w:p w:rsidR="000B562B" w:rsidRPr="00A176EA" w:rsidRDefault="000B562B" w:rsidP="002C6F62">
            <w:pPr>
              <w:pStyle w:val="Text"/>
              <w:spacing w:before="40" w:after="40" w:line="220" w:lineRule="exact"/>
              <w:ind w:left="113" w:right="57"/>
              <w:jc w:val="right"/>
              <w:rPr>
                <w:rFonts w:ascii="Times New Roman" w:hAnsi="Times New Roman"/>
                <w:sz w:val="18"/>
                <w:szCs w:val="22"/>
                <w:lang w:val="fr-FR"/>
              </w:rPr>
            </w:pPr>
            <w:r w:rsidRPr="00A176EA">
              <w:rPr>
                <w:rFonts w:ascii="Times New Roman" w:hAnsi="Times New Roman"/>
                <w:sz w:val="18"/>
                <w:szCs w:val="22"/>
                <w:lang w:val="fr-FR"/>
              </w:rPr>
              <w:t>0</w:t>
            </w:r>
          </w:p>
        </w:tc>
        <w:tc>
          <w:tcPr>
            <w:tcW w:w="680" w:type="dxa"/>
            <w:tcBorders>
              <w:top w:val="single" w:sz="12" w:space="0" w:color="auto"/>
            </w:tcBorders>
            <w:shd w:val="clear" w:color="auto" w:fill="auto"/>
            <w:vAlign w:val="bottom"/>
          </w:tcPr>
          <w:p w:rsidR="000B562B" w:rsidRPr="00A176EA" w:rsidRDefault="000B562B" w:rsidP="002C6F62">
            <w:pPr>
              <w:pStyle w:val="Text"/>
              <w:spacing w:before="40" w:after="40" w:line="220" w:lineRule="exact"/>
              <w:ind w:left="113" w:right="57"/>
              <w:jc w:val="right"/>
              <w:rPr>
                <w:rFonts w:ascii="Times New Roman" w:hAnsi="Times New Roman"/>
                <w:sz w:val="18"/>
                <w:szCs w:val="22"/>
                <w:lang w:val="fr-FR"/>
              </w:rPr>
            </w:pPr>
            <w:r w:rsidRPr="00A176EA">
              <w:rPr>
                <w:rFonts w:ascii="Times New Roman" w:hAnsi="Times New Roman"/>
                <w:sz w:val="18"/>
                <w:szCs w:val="22"/>
                <w:lang w:val="fr-FR"/>
              </w:rPr>
              <w:t>0</w:t>
            </w:r>
          </w:p>
        </w:tc>
        <w:tc>
          <w:tcPr>
            <w:tcW w:w="680" w:type="dxa"/>
            <w:tcBorders>
              <w:top w:val="single" w:sz="12" w:space="0" w:color="auto"/>
            </w:tcBorders>
            <w:shd w:val="clear" w:color="auto" w:fill="auto"/>
            <w:vAlign w:val="bottom"/>
          </w:tcPr>
          <w:p w:rsidR="000B562B" w:rsidRPr="00A176EA" w:rsidRDefault="000B562B" w:rsidP="002C6F62">
            <w:pPr>
              <w:pStyle w:val="Text"/>
              <w:spacing w:before="40" w:after="40" w:line="220" w:lineRule="exact"/>
              <w:ind w:left="113" w:right="57"/>
              <w:jc w:val="right"/>
              <w:rPr>
                <w:rFonts w:ascii="Times New Roman" w:hAnsi="Times New Roman"/>
                <w:sz w:val="18"/>
                <w:szCs w:val="22"/>
                <w:lang w:val="fr-FR"/>
              </w:rPr>
            </w:pPr>
            <w:r w:rsidRPr="00A176EA">
              <w:rPr>
                <w:rFonts w:ascii="Times New Roman" w:hAnsi="Times New Roman"/>
                <w:sz w:val="18"/>
                <w:szCs w:val="22"/>
                <w:lang w:val="fr-FR"/>
              </w:rPr>
              <w:t>0</w:t>
            </w:r>
          </w:p>
        </w:tc>
        <w:tc>
          <w:tcPr>
            <w:tcW w:w="680" w:type="dxa"/>
            <w:tcBorders>
              <w:top w:val="single" w:sz="12" w:space="0" w:color="auto"/>
            </w:tcBorders>
            <w:shd w:val="clear" w:color="auto" w:fill="auto"/>
            <w:vAlign w:val="bottom"/>
          </w:tcPr>
          <w:p w:rsidR="000B562B" w:rsidRPr="00A176EA" w:rsidRDefault="000B562B" w:rsidP="002C6F62">
            <w:pPr>
              <w:pStyle w:val="Text"/>
              <w:spacing w:before="40" w:after="40" w:line="220" w:lineRule="exact"/>
              <w:ind w:left="113" w:right="57"/>
              <w:jc w:val="right"/>
              <w:rPr>
                <w:rFonts w:ascii="Times New Roman" w:hAnsi="Times New Roman"/>
                <w:sz w:val="18"/>
                <w:szCs w:val="22"/>
                <w:lang w:val="fr-FR"/>
              </w:rPr>
            </w:pPr>
            <w:r w:rsidRPr="00A176EA">
              <w:rPr>
                <w:rFonts w:ascii="Times New Roman" w:hAnsi="Times New Roman"/>
                <w:sz w:val="18"/>
                <w:szCs w:val="22"/>
                <w:lang w:val="fr-FR"/>
              </w:rPr>
              <w:t>0</w:t>
            </w:r>
          </w:p>
        </w:tc>
        <w:tc>
          <w:tcPr>
            <w:tcW w:w="680" w:type="dxa"/>
            <w:tcBorders>
              <w:top w:val="single" w:sz="12" w:space="0" w:color="auto"/>
            </w:tcBorders>
            <w:shd w:val="clear" w:color="auto" w:fill="auto"/>
            <w:vAlign w:val="bottom"/>
          </w:tcPr>
          <w:p w:rsidR="000B562B" w:rsidRPr="00A176EA" w:rsidRDefault="000B562B" w:rsidP="002C6F62">
            <w:pPr>
              <w:pStyle w:val="Text"/>
              <w:spacing w:before="40" w:after="40" w:line="220" w:lineRule="exact"/>
              <w:ind w:left="113" w:right="57"/>
              <w:jc w:val="right"/>
              <w:rPr>
                <w:rFonts w:ascii="Times New Roman" w:hAnsi="Times New Roman"/>
                <w:sz w:val="18"/>
                <w:szCs w:val="22"/>
                <w:lang w:val="fr-FR"/>
              </w:rPr>
            </w:pPr>
            <w:r w:rsidRPr="00A176EA">
              <w:rPr>
                <w:rFonts w:ascii="Times New Roman" w:hAnsi="Times New Roman"/>
                <w:sz w:val="18"/>
                <w:szCs w:val="22"/>
                <w:lang w:val="fr-FR"/>
              </w:rPr>
              <w:t>0</w:t>
            </w:r>
          </w:p>
        </w:tc>
      </w:tr>
      <w:tr w:rsidR="000B562B" w:rsidRPr="00A176EA">
        <w:trPr>
          <w:cantSplit/>
          <w:trHeight w:val="240"/>
        </w:trPr>
        <w:tc>
          <w:tcPr>
            <w:tcW w:w="3175" w:type="dxa"/>
            <w:shd w:val="clear" w:color="auto" w:fill="auto"/>
          </w:tcPr>
          <w:p w:rsidR="000B562B" w:rsidRPr="0087031A" w:rsidRDefault="007C4E24" w:rsidP="00E90AE8">
            <w:pPr>
              <w:pStyle w:val="Text"/>
              <w:spacing w:before="40" w:after="40" w:line="220" w:lineRule="exact"/>
              <w:rPr>
                <w:rFonts w:ascii="Times New Roman" w:hAnsi="Times New Roman"/>
                <w:sz w:val="18"/>
                <w:szCs w:val="22"/>
                <w:lang w:val="fr-FR"/>
              </w:rPr>
            </w:pPr>
            <w:r w:rsidRPr="0087031A">
              <w:rPr>
                <w:rFonts w:ascii="Times New Roman" w:hAnsi="Times New Roman"/>
                <w:sz w:val="18"/>
                <w:szCs w:val="22"/>
                <w:lang w:val="fr-FR"/>
              </w:rPr>
              <w:t>Nb</w:t>
            </w:r>
            <w:r w:rsidR="00007C03" w:rsidRPr="0087031A">
              <w:rPr>
                <w:rFonts w:ascii="Times New Roman" w:hAnsi="Times New Roman"/>
                <w:sz w:val="18"/>
                <w:szCs w:val="22"/>
                <w:lang w:val="fr-FR"/>
              </w:rPr>
              <w:t xml:space="preserve"> total de plaintes contre la police</w:t>
            </w:r>
          </w:p>
        </w:tc>
        <w:tc>
          <w:tcPr>
            <w:tcW w:w="680" w:type="dxa"/>
            <w:shd w:val="clear" w:color="auto" w:fill="auto"/>
            <w:vAlign w:val="bottom"/>
          </w:tcPr>
          <w:p w:rsidR="000B562B" w:rsidRPr="0087031A" w:rsidRDefault="000B562B" w:rsidP="002C6F62">
            <w:pPr>
              <w:pStyle w:val="Text"/>
              <w:spacing w:before="40" w:after="40" w:line="220" w:lineRule="exact"/>
              <w:ind w:left="113" w:right="57"/>
              <w:jc w:val="right"/>
              <w:rPr>
                <w:rFonts w:ascii="Times New Roman" w:hAnsi="Times New Roman"/>
                <w:sz w:val="18"/>
                <w:szCs w:val="22"/>
                <w:lang w:val="fr-FR"/>
              </w:rPr>
            </w:pPr>
            <w:r w:rsidRPr="0087031A">
              <w:rPr>
                <w:rFonts w:ascii="Times New Roman" w:hAnsi="Times New Roman"/>
                <w:sz w:val="18"/>
                <w:szCs w:val="22"/>
                <w:lang w:val="fr-FR"/>
              </w:rPr>
              <w:t>34</w:t>
            </w:r>
          </w:p>
        </w:tc>
        <w:tc>
          <w:tcPr>
            <w:tcW w:w="680" w:type="dxa"/>
            <w:shd w:val="clear" w:color="auto" w:fill="auto"/>
            <w:vAlign w:val="bottom"/>
          </w:tcPr>
          <w:p w:rsidR="000B562B" w:rsidRPr="00A176EA" w:rsidRDefault="000B562B" w:rsidP="002C6F62">
            <w:pPr>
              <w:pStyle w:val="Text"/>
              <w:spacing w:before="40" w:after="40" w:line="220" w:lineRule="exact"/>
              <w:ind w:left="113" w:right="57"/>
              <w:jc w:val="right"/>
              <w:rPr>
                <w:rFonts w:ascii="Times New Roman" w:hAnsi="Times New Roman"/>
                <w:sz w:val="18"/>
                <w:szCs w:val="22"/>
                <w:lang w:val="fr-FR"/>
              </w:rPr>
            </w:pPr>
            <w:r w:rsidRPr="00A176EA">
              <w:rPr>
                <w:rFonts w:ascii="Times New Roman" w:hAnsi="Times New Roman"/>
                <w:sz w:val="18"/>
                <w:szCs w:val="22"/>
                <w:lang w:val="fr-FR"/>
              </w:rPr>
              <w:t>44</w:t>
            </w:r>
          </w:p>
        </w:tc>
        <w:tc>
          <w:tcPr>
            <w:tcW w:w="680" w:type="dxa"/>
            <w:shd w:val="clear" w:color="auto" w:fill="auto"/>
            <w:vAlign w:val="bottom"/>
          </w:tcPr>
          <w:p w:rsidR="000B562B" w:rsidRPr="00A176EA" w:rsidRDefault="000B562B" w:rsidP="002C6F62">
            <w:pPr>
              <w:pStyle w:val="Text"/>
              <w:spacing w:before="40" w:after="40" w:line="220" w:lineRule="exact"/>
              <w:ind w:left="113" w:right="57"/>
              <w:jc w:val="right"/>
              <w:rPr>
                <w:rFonts w:ascii="Times New Roman" w:hAnsi="Times New Roman"/>
                <w:sz w:val="18"/>
                <w:szCs w:val="22"/>
                <w:lang w:val="fr-FR"/>
              </w:rPr>
            </w:pPr>
            <w:r w:rsidRPr="00A176EA">
              <w:rPr>
                <w:rFonts w:ascii="Times New Roman" w:hAnsi="Times New Roman"/>
                <w:sz w:val="18"/>
                <w:szCs w:val="22"/>
                <w:lang w:val="fr-FR"/>
              </w:rPr>
              <w:t>38</w:t>
            </w:r>
          </w:p>
        </w:tc>
        <w:tc>
          <w:tcPr>
            <w:tcW w:w="680" w:type="dxa"/>
            <w:shd w:val="clear" w:color="auto" w:fill="auto"/>
            <w:vAlign w:val="bottom"/>
          </w:tcPr>
          <w:p w:rsidR="000B562B" w:rsidRPr="00A176EA" w:rsidRDefault="000B562B" w:rsidP="002C6F62">
            <w:pPr>
              <w:pStyle w:val="Text"/>
              <w:spacing w:before="40" w:after="40" w:line="220" w:lineRule="exact"/>
              <w:ind w:left="113" w:right="57"/>
              <w:jc w:val="right"/>
              <w:rPr>
                <w:rFonts w:ascii="Times New Roman" w:hAnsi="Times New Roman"/>
                <w:sz w:val="18"/>
                <w:szCs w:val="22"/>
                <w:lang w:val="fr-FR"/>
              </w:rPr>
            </w:pPr>
            <w:r w:rsidRPr="00A176EA">
              <w:rPr>
                <w:rFonts w:ascii="Times New Roman" w:hAnsi="Times New Roman"/>
                <w:sz w:val="18"/>
                <w:szCs w:val="22"/>
                <w:lang w:val="fr-FR"/>
              </w:rPr>
              <w:t>38</w:t>
            </w:r>
          </w:p>
        </w:tc>
        <w:tc>
          <w:tcPr>
            <w:tcW w:w="680" w:type="dxa"/>
            <w:shd w:val="clear" w:color="auto" w:fill="auto"/>
            <w:vAlign w:val="bottom"/>
          </w:tcPr>
          <w:p w:rsidR="000B562B" w:rsidRPr="00A176EA" w:rsidRDefault="000B562B" w:rsidP="002C6F62">
            <w:pPr>
              <w:pStyle w:val="Text"/>
              <w:spacing w:before="40" w:after="40" w:line="220" w:lineRule="exact"/>
              <w:ind w:left="113" w:right="57"/>
              <w:jc w:val="right"/>
              <w:rPr>
                <w:rFonts w:ascii="Times New Roman" w:hAnsi="Times New Roman"/>
                <w:sz w:val="18"/>
                <w:szCs w:val="22"/>
                <w:lang w:val="fr-FR"/>
              </w:rPr>
            </w:pPr>
            <w:r w:rsidRPr="00A176EA">
              <w:rPr>
                <w:rFonts w:ascii="Times New Roman" w:hAnsi="Times New Roman"/>
                <w:sz w:val="18"/>
                <w:szCs w:val="22"/>
                <w:lang w:val="fr-FR"/>
              </w:rPr>
              <w:t>35</w:t>
            </w:r>
          </w:p>
        </w:tc>
        <w:tc>
          <w:tcPr>
            <w:tcW w:w="680" w:type="dxa"/>
            <w:shd w:val="clear" w:color="auto" w:fill="auto"/>
            <w:vAlign w:val="bottom"/>
          </w:tcPr>
          <w:p w:rsidR="000B562B" w:rsidRPr="00A176EA" w:rsidRDefault="000B562B" w:rsidP="002C6F62">
            <w:pPr>
              <w:pStyle w:val="Text"/>
              <w:spacing w:before="40" w:after="40" w:line="220" w:lineRule="exact"/>
              <w:ind w:left="113" w:right="57"/>
              <w:jc w:val="right"/>
              <w:rPr>
                <w:rFonts w:ascii="Times New Roman" w:hAnsi="Times New Roman"/>
                <w:sz w:val="18"/>
                <w:szCs w:val="22"/>
                <w:lang w:val="fr-FR"/>
              </w:rPr>
            </w:pPr>
            <w:r w:rsidRPr="00A176EA">
              <w:rPr>
                <w:rFonts w:ascii="Times New Roman" w:hAnsi="Times New Roman"/>
                <w:sz w:val="18"/>
                <w:szCs w:val="22"/>
                <w:lang w:val="fr-FR"/>
              </w:rPr>
              <w:t>43</w:t>
            </w:r>
          </w:p>
        </w:tc>
        <w:tc>
          <w:tcPr>
            <w:tcW w:w="680" w:type="dxa"/>
            <w:shd w:val="clear" w:color="auto" w:fill="auto"/>
            <w:vAlign w:val="bottom"/>
          </w:tcPr>
          <w:p w:rsidR="000B562B" w:rsidRPr="00A176EA" w:rsidRDefault="000B562B" w:rsidP="002C6F62">
            <w:pPr>
              <w:pStyle w:val="Text"/>
              <w:spacing w:before="40" w:after="40" w:line="220" w:lineRule="exact"/>
              <w:ind w:left="113" w:right="57"/>
              <w:jc w:val="right"/>
              <w:rPr>
                <w:rFonts w:ascii="Times New Roman" w:hAnsi="Times New Roman"/>
                <w:sz w:val="18"/>
                <w:szCs w:val="22"/>
                <w:lang w:val="fr-FR"/>
              </w:rPr>
            </w:pPr>
            <w:r w:rsidRPr="00A176EA">
              <w:rPr>
                <w:rFonts w:ascii="Times New Roman" w:hAnsi="Times New Roman"/>
                <w:sz w:val="18"/>
                <w:szCs w:val="22"/>
                <w:lang w:val="fr-FR"/>
              </w:rPr>
              <w:t>39</w:t>
            </w:r>
          </w:p>
        </w:tc>
        <w:tc>
          <w:tcPr>
            <w:tcW w:w="680" w:type="dxa"/>
            <w:shd w:val="clear" w:color="auto" w:fill="auto"/>
            <w:vAlign w:val="bottom"/>
          </w:tcPr>
          <w:p w:rsidR="000B562B" w:rsidRPr="00A176EA" w:rsidRDefault="000B562B" w:rsidP="002C6F62">
            <w:pPr>
              <w:pStyle w:val="Text"/>
              <w:spacing w:before="40" w:after="40" w:line="220" w:lineRule="exact"/>
              <w:ind w:left="113" w:right="57"/>
              <w:jc w:val="right"/>
              <w:rPr>
                <w:rFonts w:ascii="Times New Roman" w:hAnsi="Times New Roman"/>
                <w:sz w:val="18"/>
                <w:szCs w:val="22"/>
                <w:lang w:val="fr-FR"/>
              </w:rPr>
            </w:pPr>
            <w:r w:rsidRPr="00A176EA">
              <w:rPr>
                <w:rFonts w:ascii="Times New Roman" w:hAnsi="Times New Roman"/>
                <w:sz w:val="18"/>
                <w:szCs w:val="22"/>
                <w:lang w:val="fr-FR"/>
              </w:rPr>
              <w:t>32</w:t>
            </w:r>
          </w:p>
        </w:tc>
      </w:tr>
      <w:tr w:rsidR="000B562B" w:rsidRPr="00A176EA">
        <w:trPr>
          <w:cantSplit/>
          <w:trHeight w:val="240"/>
        </w:trPr>
        <w:tc>
          <w:tcPr>
            <w:tcW w:w="3175" w:type="dxa"/>
            <w:shd w:val="clear" w:color="auto" w:fill="auto"/>
          </w:tcPr>
          <w:p w:rsidR="000B562B" w:rsidRPr="0087031A" w:rsidRDefault="007C4E24" w:rsidP="002D0358">
            <w:pPr>
              <w:pStyle w:val="Text"/>
              <w:spacing w:before="40" w:after="40" w:line="220" w:lineRule="exact"/>
              <w:rPr>
                <w:rFonts w:ascii="Times New Roman" w:hAnsi="Times New Roman"/>
                <w:sz w:val="18"/>
                <w:szCs w:val="22"/>
                <w:lang w:val="fr-FR"/>
              </w:rPr>
            </w:pPr>
            <w:r w:rsidRPr="0087031A">
              <w:rPr>
                <w:rFonts w:ascii="Times New Roman" w:hAnsi="Times New Roman"/>
                <w:sz w:val="18"/>
                <w:szCs w:val="22"/>
                <w:lang w:val="fr-FR"/>
              </w:rPr>
              <w:t>Nb</w:t>
            </w:r>
            <w:r w:rsidR="00007C03" w:rsidRPr="0087031A">
              <w:rPr>
                <w:rFonts w:ascii="Times New Roman" w:hAnsi="Times New Roman"/>
                <w:sz w:val="18"/>
                <w:szCs w:val="22"/>
                <w:lang w:val="fr-FR"/>
              </w:rPr>
              <w:t xml:space="preserve"> de plaintes </w:t>
            </w:r>
            <w:r w:rsidR="002D0358">
              <w:rPr>
                <w:rFonts w:ascii="Times New Roman" w:hAnsi="Times New Roman"/>
                <w:sz w:val="18"/>
                <w:szCs w:val="22"/>
                <w:lang w:val="fr-FR"/>
              </w:rPr>
              <w:t xml:space="preserve">supervisées par </w:t>
            </w:r>
            <w:r w:rsidR="00007C03" w:rsidRPr="0087031A">
              <w:rPr>
                <w:rFonts w:ascii="Times New Roman" w:hAnsi="Times New Roman"/>
                <w:sz w:val="18"/>
                <w:szCs w:val="22"/>
                <w:lang w:val="fr-FR"/>
              </w:rPr>
              <w:t>l’Administration chargée des plaintes contre la police</w:t>
            </w:r>
          </w:p>
        </w:tc>
        <w:tc>
          <w:tcPr>
            <w:tcW w:w="680" w:type="dxa"/>
            <w:shd w:val="clear" w:color="auto" w:fill="auto"/>
            <w:vAlign w:val="bottom"/>
          </w:tcPr>
          <w:p w:rsidR="000B562B" w:rsidRPr="0087031A" w:rsidRDefault="000B562B" w:rsidP="002C6F62">
            <w:pPr>
              <w:pStyle w:val="Text"/>
              <w:spacing w:before="40" w:after="40" w:line="220" w:lineRule="exact"/>
              <w:ind w:left="113" w:right="57"/>
              <w:jc w:val="right"/>
              <w:rPr>
                <w:rFonts w:ascii="Times New Roman" w:hAnsi="Times New Roman"/>
                <w:sz w:val="18"/>
                <w:szCs w:val="22"/>
                <w:lang w:val="fr-FR"/>
              </w:rPr>
            </w:pPr>
            <w:r w:rsidRPr="0087031A">
              <w:rPr>
                <w:rFonts w:ascii="Times New Roman" w:hAnsi="Times New Roman"/>
                <w:sz w:val="18"/>
                <w:szCs w:val="22"/>
                <w:lang w:val="fr-FR"/>
              </w:rPr>
              <w:t>20</w:t>
            </w:r>
          </w:p>
        </w:tc>
        <w:tc>
          <w:tcPr>
            <w:tcW w:w="680" w:type="dxa"/>
            <w:shd w:val="clear" w:color="auto" w:fill="auto"/>
            <w:vAlign w:val="bottom"/>
          </w:tcPr>
          <w:p w:rsidR="000B562B" w:rsidRPr="00A176EA" w:rsidRDefault="000B562B" w:rsidP="002C6F62">
            <w:pPr>
              <w:pStyle w:val="Text"/>
              <w:spacing w:before="40" w:after="40" w:line="220" w:lineRule="exact"/>
              <w:ind w:left="113" w:right="57"/>
              <w:jc w:val="right"/>
              <w:rPr>
                <w:rFonts w:ascii="Times New Roman" w:hAnsi="Times New Roman"/>
                <w:sz w:val="18"/>
                <w:szCs w:val="22"/>
                <w:lang w:val="fr-FR"/>
              </w:rPr>
            </w:pPr>
            <w:r w:rsidRPr="00A176EA">
              <w:rPr>
                <w:rFonts w:ascii="Times New Roman" w:hAnsi="Times New Roman"/>
                <w:sz w:val="18"/>
                <w:szCs w:val="22"/>
                <w:lang w:val="fr-FR"/>
              </w:rPr>
              <w:t>29</w:t>
            </w:r>
          </w:p>
        </w:tc>
        <w:tc>
          <w:tcPr>
            <w:tcW w:w="680" w:type="dxa"/>
            <w:shd w:val="clear" w:color="auto" w:fill="auto"/>
            <w:vAlign w:val="bottom"/>
          </w:tcPr>
          <w:p w:rsidR="000B562B" w:rsidRPr="00A176EA" w:rsidRDefault="000B562B" w:rsidP="002C6F62">
            <w:pPr>
              <w:pStyle w:val="Text"/>
              <w:spacing w:before="40" w:after="40" w:line="220" w:lineRule="exact"/>
              <w:ind w:left="113" w:right="57"/>
              <w:jc w:val="right"/>
              <w:rPr>
                <w:rFonts w:ascii="Times New Roman" w:hAnsi="Times New Roman"/>
                <w:sz w:val="18"/>
                <w:szCs w:val="22"/>
                <w:lang w:val="fr-FR"/>
              </w:rPr>
            </w:pPr>
            <w:r w:rsidRPr="00A176EA">
              <w:rPr>
                <w:rFonts w:ascii="Times New Roman" w:hAnsi="Times New Roman"/>
                <w:sz w:val="18"/>
                <w:szCs w:val="22"/>
                <w:lang w:val="fr-FR"/>
              </w:rPr>
              <w:t>23</w:t>
            </w:r>
          </w:p>
        </w:tc>
        <w:tc>
          <w:tcPr>
            <w:tcW w:w="680" w:type="dxa"/>
            <w:shd w:val="clear" w:color="auto" w:fill="auto"/>
            <w:vAlign w:val="bottom"/>
          </w:tcPr>
          <w:p w:rsidR="000B562B" w:rsidRPr="00A176EA" w:rsidRDefault="000B562B" w:rsidP="002C6F62">
            <w:pPr>
              <w:pStyle w:val="Text"/>
              <w:spacing w:before="40" w:after="40" w:line="220" w:lineRule="exact"/>
              <w:ind w:left="113" w:right="57"/>
              <w:jc w:val="right"/>
              <w:rPr>
                <w:rFonts w:ascii="Times New Roman" w:hAnsi="Times New Roman"/>
                <w:sz w:val="18"/>
                <w:szCs w:val="22"/>
                <w:lang w:val="fr-FR"/>
              </w:rPr>
            </w:pPr>
            <w:r w:rsidRPr="00A176EA">
              <w:rPr>
                <w:rFonts w:ascii="Times New Roman" w:hAnsi="Times New Roman"/>
                <w:sz w:val="18"/>
                <w:szCs w:val="22"/>
                <w:lang w:val="fr-FR"/>
              </w:rPr>
              <w:t>26</w:t>
            </w:r>
          </w:p>
        </w:tc>
        <w:tc>
          <w:tcPr>
            <w:tcW w:w="680" w:type="dxa"/>
            <w:shd w:val="clear" w:color="auto" w:fill="auto"/>
            <w:vAlign w:val="bottom"/>
          </w:tcPr>
          <w:p w:rsidR="000B562B" w:rsidRPr="00A176EA" w:rsidRDefault="000B562B" w:rsidP="002C6F62">
            <w:pPr>
              <w:pStyle w:val="Text"/>
              <w:spacing w:before="40" w:after="40" w:line="220" w:lineRule="exact"/>
              <w:ind w:left="113" w:right="57"/>
              <w:jc w:val="right"/>
              <w:rPr>
                <w:rFonts w:ascii="Times New Roman" w:hAnsi="Times New Roman"/>
                <w:sz w:val="18"/>
                <w:szCs w:val="22"/>
                <w:lang w:val="fr-FR"/>
              </w:rPr>
            </w:pPr>
            <w:r w:rsidRPr="00A176EA">
              <w:rPr>
                <w:rFonts w:ascii="Times New Roman" w:hAnsi="Times New Roman"/>
                <w:sz w:val="18"/>
                <w:szCs w:val="22"/>
                <w:lang w:val="fr-FR"/>
              </w:rPr>
              <w:t>29</w:t>
            </w:r>
          </w:p>
        </w:tc>
        <w:tc>
          <w:tcPr>
            <w:tcW w:w="680" w:type="dxa"/>
            <w:shd w:val="clear" w:color="auto" w:fill="auto"/>
            <w:vAlign w:val="bottom"/>
          </w:tcPr>
          <w:p w:rsidR="000B562B" w:rsidRPr="00A176EA" w:rsidRDefault="000B562B" w:rsidP="002C6F62">
            <w:pPr>
              <w:pStyle w:val="Text"/>
              <w:spacing w:before="40" w:after="40" w:line="220" w:lineRule="exact"/>
              <w:ind w:left="113" w:right="57"/>
              <w:jc w:val="right"/>
              <w:rPr>
                <w:rFonts w:ascii="Times New Roman" w:hAnsi="Times New Roman"/>
                <w:sz w:val="18"/>
                <w:szCs w:val="22"/>
                <w:lang w:val="fr-FR"/>
              </w:rPr>
            </w:pPr>
            <w:r w:rsidRPr="00A176EA">
              <w:rPr>
                <w:rFonts w:ascii="Times New Roman" w:hAnsi="Times New Roman"/>
                <w:sz w:val="18"/>
                <w:szCs w:val="22"/>
                <w:lang w:val="fr-FR"/>
              </w:rPr>
              <w:t>32</w:t>
            </w:r>
          </w:p>
        </w:tc>
        <w:tc>
          <w:tcPr>
            <w:tcW w:w="680" w:type="dxa"/>
            <w:shd w:val="clear" w:color="auto" w:fill="auto"/>
            <w:vAlign w:val="bottom"/>
          </w:tcPr>
          <w:p w:rsidR="000B562B" w:rsidRPr="00A176EA" w:rsidRDefault="000B562B" w:rsidP="002C6F62">
            <w:pPr>
              <w:pStyle w:val="Text"/>
              <w:spacing w:before="40" w:after="40" w:line="220" w:lineRule="exact"/>
              <w:ind w:left="113" w:right="57"/>
              <w:jc w:val="right"/>
              <w:rPr>
                <w:rFonts w:ascii="Times New Roman" w:hAnsi="Times New Roman"/>
                <w:sz w:val="18"/>
                <w:szCs w:val="22"/>
                <w:lang w:val="fr-FR"/>
              </w:rPr>
            </w:pPr>
            <w:r w:rsidRPr="00A176EA">
              <w:rPr>
                <w:rFonts w:ascii="Times New Roman" w:hAnsi="Times New Roman"/>
                <w:sz w:val="18"/>
                <w:szCs w:val="22"/>
                <w:lang w:val="fr-FR"/>
              </w:rPr>
              <w:t>25</w:t>
            </w:r>
          </w:p>
        </w:tc>
        <w:tc>
          <w:tcPr>
            <w:tcW w:w="680" w:type="dxa"/>
            <w:shd w:val="clear" w:color="auto" w:fill="auto"/>
            <w:vAlign w:val="bottom"/>
          </w:tcPr>
          <w:p w:rsidR="000B562B" w:rsidRPr="00A176EA" w:rsidRDefault="000B562B" w:rsidP="002C6F62">
            <w:pPr>
              <w:pStyle w:val="Text"/>
              <w:spacing w:before="40" w:after="40" w:line="220" w:lineRule="exact"/>
              <w:ind w:left="113" w:right="57"/>
              <w:jc w:val="right"/>
              <w:rPr>
                <w:rFonts w:ascii="Times New Roman" w:hAnsi="Times New Roman"/>
                <w:sz w:val="18"/>
                <w:szCs w:val="22"/>
                <w:lang w:val="fr-FR"/>
              </w:rPr>
            </w:pPr>
            <w:r w:rsidRPr="00A176EA">
              <w:rPr>
                <w:rFonts w:ascii="Times New Roman" w:hAnsi="Times New Roman"/>
                <w:sz w:val="18"/>
                <w:szCs w:val="22"/>
                <w:lang w:val="fr-FR"/>
              </w:rPr>
              <w:t>20</w:t>
            </w:r>
          </w:p>
        </w:tc>
      </w:tr>
      <w:tr w:rsidR="000B562B" w:rsidRPr="00A176EA">
        <w:trPr>
          <w:cantSplit/>
          <w:trHeight w:val="240"/>
        </w:trPr>
        <w:tc>
          <w:tcPr>
            <w:tcW w:w="3175" w:type="dxa"/>
            <w:shd w:val="clear" w:color="auto" w:fill="auto"/>
          </w:tcPr>
          <w:p w:rsidR="000B562B" w:rsidRPr="0087031A" w:rsidRDefault="007C4E24" w:rsidP="0087031A">
            <w:pPr>
              <w:pStyle w:val="Text"/>
              <w:spacing w:before="40" w:after="40" w:line="220" w:lineRule="exact"/>
              <w:rPr>
                <w:rFonts w:ascii="Times New Roman" w:hAnsi="Times New Roman"/>
                <w:sz w:val="18"/>
                <w:szCs w:val="22"/>
                <w:lang w:val="fr-FR"/>
              </w:rPr>
            </w:pPr>
            <w:r w:rsidRPr="0087031A">
              <w:rPr>
                <w:rFonts w:ascii="Times New Roman" w:hAnsi="Times New Roman"/>
                <w:sz w:val="18"/>
                <w:szCs w:val="22"/>
                <w:lang w:val="fr-FR"/>
              </w:rPr>
              <w:t xml:space="preserve">Nb de plaintes </w:t>
            </w:r>
            <w:r w:rsidR="0087031A" w:rsidRPr="0087031A">
              <w:rPr>
                <w:rFonts w:ascii="Times New Roman" w:hAnsi="Times New Roman"/>
                <w:sz w:val="18"/>
                <w:szCs w:val="22"/>
                <w:lang w:val="fr-FR"/>
              </w:rPr>
              <w:t>jugées</w:t>
            </w:r>
            <w:r w:rsidRPr="0087031A">
              <w:rPr>
                <w:rFonts w:ascii="Times New Roman" w:hAnsi="Times New Roman"/>
                <w:sz w:val="18"/>
                <w:szCs w:val="22"/>
                <w:lang w:val="fr-FR"/>
              </w:rPr>
              <w:t xml:space="preserve"> fondées</w:t>
            </w:r>
          </w:p>
        </w:tc>
        <w:tc>
          <w:tcPr>
            <w:tcW w:w="680" w:type="dxa"/>
            <w:shd w:val="clear" w:color="auto" w:fill="auto"/>
            <w:vAlign w:val="bottom"/>
          </w:tcPr>
          <w:p w:rsidR="000B562B" w:rsidRPr="0087031A" w:rsidRDefault="000B562B" w:rsidP="002C6F62">
            <w:pPr>
              <w:pStyle w:val="Text"/>
              <w:spacing w:before="40" w:after="40" w:line="220" w:lineRule="exact"/>
              <w:ind w:left="113" w:right="57"/>
              <w:jc w:val="right"/>
              <w:rPr>
                <w:rFonts w:ascii="Times New Roman" w:hAnsi="Times New Roman"/>
                <w:sz w:val="18"/>
                <w:szCs w:val="22"/>
                <w:lang w:val="fr-FR"/>
              </w:rPr>
            </w:pPr>
            <w:r w:rsidRPr="0087031A">
              <w:rPr>
                <w:rFonts w:ascii="Times New Roman" w:hAnsi="Times New Roman"/>
                <w:sz w:val="18"/>
                <w:szCs w:val="22"/>
                <w:lang w:val="fr-FR"/>
              </w:rPr>
              <w:t>0</w:t>
            </w:r>
          </w:p>
        </w:tc>
        <w:tc>
          <w:tcPr>
            <w:tcW w:w="680" w:type="dxa"/>
            <w:shd w:val="clear" w:color="auto" w:fill="auto"/>
            <w:vAlign w:val="bottom"/>
          </w:tcPr>
          <w:p w:rsidR="000B562B" w:rsidRPr="00A176EA" w:rsidRDefault="000B562B" w:rsidP="002C6F62">
            <w:pPr>
              <w:pStyle w:val="Text"/>
              <w:spacing w:before="40" w:after="40" w:line="220" w:lineRule="exact"/>
              <w:ind w:left="113" w:right="57"/>
              <w:jc w:val="right"/>
              <w:rPr>
                <w:rFonts w:ascii="Times New Roman" w:hAnsi="Times New Roman"/>
                <w:sz w:val="18"/>
                <w:szCs w:val="22"/>
                <w:lang w:val="fr-FR"/>
              </w:rPr>
            </w:pPr>
            <w:r w:rsidRPr="00A176EA">
              <w:rPr>
                <w:rFonts w:ascii="Times New Roman" w:hAnsi="Times New Roman"/>
                <w:sz w:val="18"/>
                <w:szCs w:val="22"/>
                <w:lang w:val="fr-FR"/>
              </w:rPr>
              <w:t>2</w:t>
            </w:r>
          </w:p>
        </w:tc>
        <w:tc>
          <w:tcPr>
            <w:tcW w:w="680" w:type="dxa"/>
            <w:shd w:val="clear" w:color="auto" w:fill="auto"/>
            <w:vAlign w:val="bottom"/>
          </w:tcPr>
          <w:p w:rsidR="000B562B" w:rsidRPr="00A176EA" w:rsidRDefault="000B562B" w:rsidP="002C6F62">
            <w:pPr>
              <w:pStyle w:val="Text"/>
              <w:spacing w:before="40" w:after="40" w:line="220" w:lineRule="exact"/>
              <w:ind w:left="113" w:right="57"/>
              <w:jc w:val="right"/>
              <w:rPr>
                <w:rFonts w:ascii="Times New Roman" w:hAnsi="Times New Roman"/>
                <w:sz w:val="18"/>
                <w:szCs w:val="22"/>
                <w:lang w:val="fr-FR"/>
              </w:rPr>
            </w:pPr>
            <w:r w:rsidRPr="00A176EA">
              <w:rPr>
                <w:rFonts w:ascii="Times New Roman" w:hAnsi="Times New Roman"/>
                <w:sz w:val="18"/>
                <w:szCs w:val="22"/>
                <w:lang w:val="fr-FR"/>
              </w:rPr>
              <w:t>3</w:t>
            </w:r>
          </w:p>
        </w:tc>
        <w:tc>
          <w:tcPr>
            <w:tcW w:w="680" w:type="dxa"/>
            <w:shd w:val="clear" w:color="auto" w:fill="auto"/>
            <w:vAlign w:val="bottom"/>
          </w:tcPr>
          <w:p w:rsidR="000B562B" w:rsidRPr="00A176EA" w:rsidRDefault="000B562B" w:rsidP="002C6F62">
            <w:pPr>
              <w:pStyle w:val="Text"/>
              <w:spacing w:before="40" w:after="40" w:line="220" w:lineRule="exact"/>
              <w:ind w:left="113" w:right="57"/>
              <w:jc w:val="right"/>
              <w:rPr>
                <w:rFonts w:ascii="Times New Roman" w:hAnsi="Times New Roman"/>
                <w:sz w:val="18"/>
                <w:szCs w:val="22"/>
                <w:lang w:val="fr-FR"/>
              </w:rPr>
            </w:pPr>
            <w:r w:rsidRPr="00A176EA">
              <w:rPr>
                <w:rFonts w:ascii="Times New Roman" w:hAnsi="Times New Roman"/>
                <w:sz w:val="18"/>
                <w:szCs w:val="22"/>
                <w:lang w:val="fr-FR"/>
              </w:rPr>
              <w:t>2</w:t>
            </w:r>
          </w:p>
        </w:tc>
        <w:tc>
          <w:tcPr>
            <w:tcW w:w="680" w:type="dxa"/>
            <w:shd w:val="clear" w:color="auto" w:fill="auto"/>
            <w:vAlign w:val="bottom"/>
          </w:tcPr>
          <w:p w:rsidR="000B562B" w:rsidRPr="00A176EA" w:rsidRDefault="000B562B" w:rsidP="002C6F62">
            <w:pPr>
              <w:pStyle w:val="Text"/>
              <w:spacing w:before="40" w:after="40" w:line="220" w:lineRule="exact"/>
              <w:ind w:left="113" w:right="57"/>
              <w:jc w:val="right"/>
              <w:rPr>
                <w:rFonts w:ascii="Times New Roman" w:hAnsi="Times New Roman"/>
                <w:sz w:val="18"/>
                <w:szCs w:val="22"/>
                <w:lang w:val="fr-FR"/>
              </w:rPr>
            </w:pPr>
            <w:r w:rsidRPr="00A176EA">
              <w:rPr>
                <w:rFonts w:ascii="Times New Roman" w:hAnsi="Times New Roman"/>
                <w:sz w:val="18"/>
                <w:szCs w:val="22"/>
                <w:lang w:val="fr-FR"/>
              </w:rPr>
              <w:t>1</w:t>
            </w:r>
          </w:p>
        </w:tc>
        <w:tc>
          <w:tcPr>
            <w:tcW w:w="680" w:type="dxa"/>
            <w:shd w:val="clear" w:color="auto" w:fill="auto"/>
            <w:vAlign w:val="bottom"/>
          </w:tcPr>
          <w:p w:rsidR="000B562B" w:rsidRPr="00A176EA" w:rsidRDefault="000B562B" w:rsidP="002C6F62">
            <w:pPr>
              <w:pStyle w:val="Text"/>
              <w:spacing w:before="40" w:after="40" w:line="220" w:lineRule="exact"/>
              <w:ind w:left="113" w:right="57"/>
              <w:jc w:val="right"/>
              <w:rPr>
                <w:rFonts w:ascii="Times New Roman" w:hAnsi="Times New Roman"/>
                <w:sz w:val="18"/>
                <w:szCs w:val="22"/>
                <w:lang w:val="fr-FR"/>
              </w:rPr>
            </w:pPr>
            <w:r w:rsidRPr="00A176EA">
              <w:rPr>
                <w:rFonts w:ascii="Times New Roman" w:hAnsi="Times New Roman"/>
                <w:sz w:val="18"/>
                <w:szCs w:val="22"/>
                <w:lang w:val="fr-FR"/>
              </w:rPr>
              <w:t>2</w:t>
            </w:r>
          </w:p>
        </w:tc>
        <w:tc>
          <w:tcPr>
            <w:tcW w:w="680" w:type="dxa"/>
            <w:shd w:val="clear" w:color="auto" w:fill="auto"/>
            <w:vAlign w:val="bottom"/>
          </w:tcPr>
          <w:p w:rsidR="000B562B" w:rsidRPr="00A176EA" w:rsidRDefault="000B562B" w:rsidP="002C6F62">
            <w:pPr>
              <w:pStyle w:val="Text"/>
              <w:spacing w:before="40" w:after="40" w:line="220" w:lineRule="exact"/>
              <w:ind w:left="113" w:right="57"/>
              <w:jc w:val="right"/>
              <w:rPr>
                <w:rFonts w:ascii="Times New Roman" w:hAnsi="Times New Roman"/>
                <w:sz w:val="18"/>
                <w:szCs w:val="22"/>
                <w:lang w:val="fr-FR"/>
              </w:rPr>
            </w:pPr>
            <w:r w:rsidRPr="00A176EA">
              <w:rPr>
                <w:rFonts w:ascii="Times New Roman" w:hAnsi="Times New Roman"/>
                <w:sz w:val="18"/>
                <w:szCs w:val="22"/>
                <w:lang w:val="fr-FR"/>
              </w:rPr>
              <w:t>3</w:t>
            </w:r>
          </w:p>
        </w:tc>
        <w:tc>
          <w:tcPr>
            <w:tcW w:w="680" w:type="dxa"/>
            <w:shd w:val="clear" w:color="auto" w:fill="auto"/>
            <w:vAlign w:val="bottom"/>
          </w:tcPr>
          <w:p w:rsidR="000B562B" w:rsidRPr="00A176EA" w:rsidRDefault="000B562B" w:rsidP="002C6F62">
            <w:pPr>
              <w:pStyle w:val="Text"/>
              <w:spacing w:before="40" w:after="40" w:line="220" w:lineRule="exact"/>
              <w:ind w:left="113" w:right="57"/>
              <w:jc w:val="right"/>
              <w:rPr>
                <w:rFonts w:ascii="Times New Roman" w:hAnsi="Times New Roman"/>
                <w:sz w:val="18"/>
                <w:szCs w:val="22"/>
                <w:lang w:val="fr-FR"/>
              </w:rPr>
            </w:pPr>
            <w:r w:rsidRPr="00A176EA">
              <w:rPr>
                <w:rFonts w:ascii="Times New Roman" w:hAnsi="Times New Roman"/>
                <w:sz w:val="18"/>
                <w:szCs w:val="22"/>
                <w:lang w:val="fr-FR"/>
              </w:rPr>
              <w:t>0</w:t>
            </w:r>
          </w:p>
        </w:tc>
      </w:tr>
      <w:tr w:rsidR="000B562B" w:rsidRPr="00A176EA">
        <w:trPr>
          <w:cantSplit/>
          <w:trHeight w:val="240"/>
        </w:trPr>
        <w:tc>
          <w:tcPr>
            <w:tcW w:w="3175" w:type="dxa"/>
            <w:shd w:val="clear" w:color="auto" w:fill="auto"/>
          </w:tcPr>
          <w:p w:rsidR="000B562B" w:rsidRPr="0087031A" w:rsidRDefault="007C4E24" w:rsidP="007E0909">
            <w:pPr>
              <w:pStyle w:val="Text"/>
              <w:spacing w:before="40" w:after="40" w:line="220" w:lineRule="exact"/>
              <w:rPr>
                <w:rFonts w:ascii="Times New Roman" w:hAnsi="Times New Roman"/>
                <w:sz w:val="18"/>
                <w:szCs w:val="22"/>
                <w:lang w:val="fr-FR"/>
              </w:rPr>
            </w:pPr>
            <w:r w:rsidRPr="0087031A">
              <w:rPr>
                <w:rFonts w:ascii="Times New Roman" w:hAnsi="Times New Roman"/>
                <w:sz w:val="18"/>
                <w:szCs w:val="22"/>
                <w:lang w:val="fr-FR"/>
              </w:rPr>
              <w:t>Nb de plaintes</w:t>
            </w:r>
            <w:r w:rsidR="00E90AE8" w:rsidRPr="0087031A">
              <w:rPr>
                <w:rFonts w:ascii="Times New Roman" w:hAnsi="Times New Roman"/>
                <w:sz w:val="18"/>
                <w:szCs w:val="22"/>
                <w:lang w:val="fr-FR"/>
              </w:rPr>
              <w:t xml:space="preserve"> </w:t>
            </w:r>
            <w:r w:rsidR="0087031A" w:rsidRPr="0087031A">
              <w:rPr>
                <w:rFonts w:ascii="Times New Roman" w:hAnsi="Times New Roman"/>
                <w:sz w:val="18"/>
                <w:szCs w:val="22"/>
                <w:lang w:val="fr-FR"/>
              </w:rPr>
              <w:t>jugées</w:t>
            </w:r>
            <w:r w:rsidRPr="0087031A">
              <w:rPr>
                <w:rFonts w:ascii="Times New Roman" w:hAnsi="Times New Roman"/>
                <w:sz w:val="18"/>
                <w:szCs w:val="22"/>
                <w:lang w:val="fr-FR"/>
              </w:rPr>
              <w:t xml:space="preserve"> </w:t>
            </w:r>
            <w:r w:rsidR="007E0909" w:rsidRPr="0087031A">
              <w:rPr>
                <w:rFonts w:ascii="Times New Roman" w:hAnsi="Times New Roman"/>
                <w:sz w:val="18"/>
                <w:szCs w:val="22"/>
                <w:lang w:val="fr-FR"/>
              </w:rPr>
              <w:t>non fondées</w:t>
            </w:r>
          </w:p>
        </w:tc>
        <w:tc>
          <w:tcPr>
            <w:tcW w:w="680" w:type="dxa"/>
            <w:shd w:val="clear" w:color="auto" w:fill="auto"/>
            <w:vAlign w:val="bottom"/>
          </w:tcPr>
          <w:p w:rsidR="000B562B" w:rsidRPr="0087031A" w:rsidRDefault="000B562B" w:rsidP="002C6F62">
            <w:pPr>
              <w:pStyle w:val="Text"/>
              <w:spacing w:before="40" w:after="40" w:line="220" w:lineRule="exact"/>
              <w:ind w:left="113" w:right="57"/>
              <w:jc w:val="right"/>
              <w:rPr>
                <w:rFonts w:ascii="Times New Roman" w:hAnsi="Times New Roman"/>
                <w:sz w:val="18"/>
                <w:szCs w:val="22"/>
                <w:lang w:val="fr-FR"/>
              </w:rPr>
            </w:pPr>
            <w:r w:rsidRPr="0087031A">
              <w:rPr>
                <w:rFonts w:ascii="Times New Roman" w:hAnsi="Times New Roman"/>
                <w:sz w:val="18"/>
                <w:szCs w:val="22"/>
                <w:lang w:val="fr-FR"/>
              </w:rPr>
              <w:t>4</w:t>
            </w:r>
          </w:p>
        </w:tc>
        <w:tc>
          <w:tcPr>
            <w:tcW w:w="680" w:type="dxa"/>
            <w:shd w:val="clear" w:color="auto" w:fill="auto"/>
            <w:vAlign w:val="bottom"/>
          </w:tcPr>
          <w:p w:rsidR="000B562B" w:rsidRPr="00A176EA" w:rsidRDefault="000B562B" w:rsidP="002C6F62">
            <w:pPr>
              <w:pStyle w:val="Text"/>
              <w:spacing w:before="40" w:after="40" w:line="220" w:lineRule="exact"/>
              <w:ind w:left="113" w:right="57"/>
              <w:jc w:val="right"/>
              <w:rPr>
                <w:rFonts w:ascii="Times New Roman" w:hAnsi="Times New Roman"/>
                <w:sz w:val="18"/>
                <w:szCs w:val="22"/>
                <w:lang w:val="fr-FR"/>
              </w:rPr>
            </w:pPr>
            <w:r w:rsidRPr="00A176EA">
              <w:rPr>
                <w:rFonts w:ascii="Times New Roman" w:hAnsi="Times New Roman"/>
                <w:sz w:val="18"/>
                <w:szCs w:val="22"/>
                <w:lang w:val="fr-FR"/>
              </w:rPr>
              <w:t>17</w:t>
            </w:r>
          </w:p>
        </w:tc>
        <w:tc>
          <w:tcPr>
            <w:tcW w:w="680" w:type="dxa"/>
            <w:shd w:val="clear" w:color="auto" w:fill="auto"/>
            <w:vAlign w:val="bottom"/>
          </w:tcPr>
          <w:p w:rsidR="000B562B" w:rsidRPr="00A176EA" w:rsidRDefault="000B562B" w:rsidP="002C6F62">
            <w:pPr>
              <w:pStyle w:val="Text"/>
              <w:spacing w:before="40" w:after="40" w:line="220" w:lineRule="exact"/>
              <w:ind w:left="113" w:right="57"/>
              <w:jc w:val="right"/>
              <w:rPr>
                <w:rFonts w:ascii="Times New Roman" w:hAnsi="Times New Roman"/>
                <w:sz w:val="18"/>
                <w:szCs w:val="22"/>
                <w:lang w:val="fr-FR"/>
              </w:rPr>
            </w:pPr>
            <w:r w:rsidRPr="00A176EA">
              <w:rPr>
                <w:rFonts w:ascii="Times New Roman" w:hAnsi="Times New Roman"/>
                <w:sz w:val="18"/>
                <w:szCs w:val="22"/>
                <w:lang w:val="fr-FR"/>
              </w:rPr>
              <w:t>17</w:t>
            </w:r>
          </w:p>
        </w:tc>
        <w:tc>
          <w:tcPr>
            <w:tcW w:w="680" w:type="dxa"/>
            <w:shd w:val="clear" w:color="auto" w:fill="auto"/>
            <w:vAlign w:val="bottom"/>
          </w:tcPr>
          <w:p w:rsidR="000B562B" w:rsidRPr="00A176EA" w:rsidRDefault="000B562B" w:rsidP="002C6F62">
            <w:pPr>
              <w:pStyle w:val="Text"/>
              <w:spacing w:before="40" w:after="40" w:line="220" w:lineRule="exact"/>
              <w:ind w:left="113" w:right="57"/>
              <w:jc w:val="right"/>
              <w:rPr>
                <w:rFonts w:ascii="Times New Roman" w:hAnsi="Times New Roman"/>
                <w:sz w:val="18"/>
                <w:szCs w:val="22"/>
                <w:lang w:val="fr-FR"/>
              </w:rPr>
            </w:pPr>
            <w:r w:rsidRPr="00A176EA">
              <w:rPr>
                <w:rFonts w:ascii="Times New Roman" w:hAnsi="Times New Roman"/>
                <w:sz w:val="18"/>
                <w:szCs w:val="22"/>
                <w:lang w:val="fr-FR"/>
              </w:rPr>
              <w:t>6</w:t>
            </w:r>
          </w:p>
        </w:tc>
        <w:tc>
          <w:tcPr>
            <w:tcW w:w="680" w:type="dxa"/>
            <w:shd w:val="clear" w:color="auto" w:fill="auto"/>
            <w:vAlign w:val="bottom"/>
          </w:tcPr>
          <w:p w:rsidR="000B562B" w:rsidRPr="00A176EA" w:rsidRDefault="000B562B" w:rsidP="002C6F62">
            <w:pPr>
              <w:pStyle w:val="Text"/>
              <w:spacing w:before="40" w:after="40" w:line="220" w:lineRule="exact"/>
              <w:ind w:left="113" w:right="57"/>
              <w:jc w:val="right"/>
              <w:rPr>
                <w:rFonts w:ascii="Times New Roman" w:hAnsi="Times New Roman"/>
                <w:sz w:val="18"/>
                <w:szCs w:val="22"/>
                <w:lang w:val="fr-FR"/>
              </w:rPr>
            </w:pPr>
            <w:r w:rsidRPr="00A176EA">
              <w:rPr>
                <w:rFonts w:ascii="Times New Roman" w:hAnsi="Times New Roman"/>
                <w:sz w:val="18"/>
                <w:szCs w:val="22"/>
                <w:lang w:val="fr-FR"/>
              </w:rPr>
              <w:t>6</w:t>
            </w:r>
          </w:p>
        </w:tc>
        <w:tc>
          <w:tcPr>
            <w:tcW w:w="680" w:type="dxa"/>
            <w:shd w:val="clear" w:color="auto" w:fill="auto"/>
            <w:vAlign w:val="bottom"/>
          </w:tcPr>
          <w:p w:rsidR="000B562B" w:rsidRPr="00A176EA" w:rsidRDefault="000B562B" w:rsidP="002C6F62">
            <w:pPr>
              <w:pStyle w:val="Text"/>
              <w:spacing w:before="40" w:after="40" w:line="220" w:lineRule="exact"/>
              <w:ind w:left="113" w:right="57"/>
              <w:jc w:val="right"/>
              <w:rPr>
                <w:rFonts w:ascii="Times New Roman" w:hAnsi="Times New Roman"/>
                <w:sz w:val="18"/>
                <w:szCs w:val="22"/>
                <w:lang w:val="fr-FR"/>
              </w:rPr>
            </w:pPr>
            <w:r w:rsidRPr="00A176EA">
              <w:rPr>
                <w:rFonts w:ascii="Times New Roman" w:hAnsi="Times New Roman"/>
                <w:sz w:val="18"/>
                <w:szCs w:val="22"/>
                <w:lang w:val="fr-FR"/>
              </w:rPr>
              <w:t>9</w:t>
            </w:r>
          </w:p>
        </w:tc>
        <w:tc>
          <w:tcPr>
            <w:tcW w:w="680" w:type="dxa"/>
            <w:shd w:val="clear" w:color="auto" w:fill="auto"/>
            <w:vAlign w:val="bottom"/>
          </w:tcPr>
          <w:p w:rsidR="000B562B" w:rsidRPr="00A176EA" w:rsidRDefault="000B562B" w:rsidP="002C6F62">
            <w:pPr>
              <w:pStyle w:val="Text"/>
              <w:spacing w:before="40" w:after="40" w:line="220" w:lineRule="exact"/>
              <w:ind w:left="113" w:right="57"/>
              <w:jc w:val="right"/>
              <w:rPr>
                <w:rFonts w:ascii="Times New Roman" w:hAnsi="Times New Roman"/>
                <w:sz w:val="18"/>
                <w:szCs w:val="22"/>
                <w:lang w:val="fr-FR"/>
              </w:rPr>
            </w:pPr>
            <w:r w:rsidRPr="00A176EA">
              <w:rPr>
                <w:rFonts w:ascii="Times New Roman" w:hAnsi="Times New Roman"/>
                <w:sz w:val="18"/>
                <w:szCs w:val="22"/>
                <w:lang w:val="fr-FR"/>
              </w:rPr>
              <w:t>12</w:t>
            </w:r>
          </w:p>
        </w:tc>
        <w:tc>
          <w:tcPr>
            <w:tcW w:w="680" w:type="dxa"/>
            <w:shd w:val="clear" w:color="auto" w:fill="auto"/>
            <w:vAlign w:val="bottom"/>
          </w:tcPr>
          <w:p w:rsidR="000B562B" w:rsidRPr="00A176EA" w:rsidRDefault="000B562B" w:rsidP="002C6F62">
            <w:pPr>
              <w:pStyle w:val="Text"/>
              <w:spacing w:before="40" w:after="40" w:line="220" w:lineRule="exact"/>
              <w:ind w:left="113" w:right="57"/>
              <w:jc w:val="right"/>
              <w:rPr>
                <w:rFonts w:ascii="Times New Roman" w:hAnsi="Times New Roman"/>
                <w:sz w:val="18"/>
                <w:szCs w:val="22"/>
                <w:lang w:val="fr-FR"/>
              </w:rPr>
            </w:pPr>
            <w:r w:rsidRPr="00A176EA">
              <w:rPr>
                <w:rFonts w:ascii="Times New Roman" w:hAnsi="Times New Roman"/>
                <w:sz w:val="18"/>
                <w:szCs w:val="22"/>
                <w:lang w:val="fr-FR"/>
              </w:rPr>
              <w:t>3</w:t>
            </w:r>
          </w:p>
        </w:tc>
      </w:tr>
      <w:tr w:rsidR="000B562B" w:rsidRPr="00A176EA">
        <w:trPr>
          <w:cantSplit/>
          <w:trHeight w:val="240"/>
        </w:trPr>
        <w:tc>
          <w:tcPr>
            <w:tcW w:w="3175" w:type="dxa"/>
            <w:shd w:val="clear" w:color="auto" w:fill="auto"/>
          </w:tcPr>
          <w:p w:rsidR="000B562B" w:rsidRPr="0087031A" w:rsidRDefault="007C4E24" w:rsidP="007E0909">
            <w:pPr>
              <w:pStyle w:val="Text"/>
              <w:spacing w:before="40" w:after="40" w:line="220" w:lineRule="exact"/>
              <w:rPr>
                <w:rFonts w:ascii="Times New Roman" w:hAnsi="Times New Roman"/>
                <w:sz w:val="18"/>
                <w:szCs w:val="22"/>
                <w:lang w:val="fr-FR"/>
              </w:rPr>
            </w:pPr>
            <w:r w:rsidRPr="0087031A">
              <w:rPr>
                <w:rFonts w:ascii="Times New Roman" w:hAnsi="Times New Roman"/>
                <w:sz w:val="18"/>
                <w:szCs w:val="22"/>
                <w:lang w:val="fr-FR"/>
              </w:rPr>
              <w:t xml:space="preserve">Nb de plaintes </w:t>
            </w:r>
            <w:r w:rsidR="007E0909" w:rsidRPr="0087031A">
              <w:rPr>
                <w:rFonts w:ascii="Times New Roman" w:hAnsi="Times New Roman"/>
                <w:sz w:val="18"/>
                <w:szCs w:val="22"/>
                <w:lang w:val="fr-FR"/>
              </w:rPr>
              <w:t>retirées</w:t>
            </w:r>
          </w:p>
        </w:tc>
        <w:tc>
          <w:tcPr>
            <w:tcW w:w="680" w:type="dxa"/>
            <w:shd w:val="clear" w:color="auto" w:fill="auto"/>
            <w:vAlign w:val="bottom"/>
          </w:tcPr>
          <w:p w:rsidR="000B562B" w:rsidRPr="0087031A" w:rsidRDefault="000B562B" w:rsidP="002C6F62">
            <w:pPr>
              <w:pStyle w:val="Text"/>
              <w:spacing w:before="40" w:after="40" w:line="220" w:lineRule="exact"/>
              <w:ind w:left="113" w:right="57"/>
              <w:jc w:val="right"/>
              <w:rPr>
                <w:rFonts w:ascii="Times New Roman" w:hAnsi="Times New Roman"/>
                <w:sz w:val="18"/>
                <w:szCs w:val="22"/>
                <w:lang w:val="fr-FR"/>
              </w:rPr>
            </w:pPr>
            <w:r w:rsidRPr="0087031A">
              <w:rPr>
                <w:rFonts w:ascii="Times New Roman" w:hAnsi="Times New Roman"/>
                <w:sz w:val="18"/>
                <w:szCs w:val="22"/>
                <w:lang w:val="fr-FR"/>
              </w:rPr>
              <w:t>11</w:t>
            </w:r>
          </w:p>
        </w:tc>
        <w:tc>
          <w:tcPr>
            <w:tcW w:w="680" w:type="dxa"/>
            <w:shd w:val="clear" w:color="auto" w:fill="auto"/>
            <w:vAlign w:val="bottom"/>
          </w:tcPr>
          <w:p w:rsidR="000B562B" w:rsidRPr="00A176EA" w:rsidRDefault="000B562B" w:rsidP="002C6F62">
            <w:pPr>
              <w:pStyle w:val="Text"/>
              <w:spacing w:before="40" w:after="40" w:line="220" w:lineRule="exact"/>
              <w:ind w:left="113" w:right="57"/>
              <w:jc w:val="right"/>
              <w:rPr>
                <w:rFonts w:ascii="Times New Roman" w:hAnsi="Times New Roman"/>
                <w:sz w:val="18"/>
                <w:szCs w:val="22"/>
                <w:lang w:val="fr-FR"/>
              </w:rPr>
            </w:pPr>
            <w:r w:rsidRPr="00A176EA">
              <w:rPr>
                <w:rFonts w:ascii="Times New Roman" w:hAnsi="Times New Roman"/>
                <w:sz w:val="18"/>
                <w:szCs w:val="22"/>
                <w:lang w:val="fr-FR"/>
              </w:rPr>
              <w:t>4</w:t>
            </w:r>
          </w:p>
        </w:tc>
        <w:tc>
          <w:tcPr>
            <w:tcW w:w="680" w:type="dxa"/>
            <w:shd w:val="clear" w:color="auto" w:fill="auto"/>
            <w:vAlign w:val="bottom"/>
          </w:tcPr>
          <w:p w:rsidR="000B562B" w:rsidRPr="00A176EA" w:rsidRDefault="000B562B" w:rsidP="002C6F62">
            <w:pPr>
              <w:pStyle w:val="Text"/>
              <w:spacing w:before="40" w:after="40" w:line="220" w:lineRule="exact"/>
              <w:ind w:left="113" w:right="57"/>
              <w:jc w:val="right"/>
              <w:rPr>
                <w:rFonts w:ascii="Times New Roman" w:hAnsi="Times New Roman"/>
                <w:sz w:val="18"/>
                <w:szCs w:val="22"/>
                <w:lang w:val="fr-FR"/>
              </w:rPr>
            </w:pPr>
            <w:r w:rsidRPr="00A176EA">
              <w:rPr>
                <w:rFonts w:ascii="Times New Roman" w:hAnsi="Times New Roman"/>
                <w:sz w:val="18"/>
                <w:szCs w:val="22"/>
                <w:lang w:val="fr-FR"/>
              </w:rPr>
              <w:t>11</w:t>
            </w:r>
          </w:p>
        </w:tc>
        <w:tc>
          <w:tcPr>
            <w:tcW w:w="680" w:type="dxa"/>
            <w:shd w:val="clear" w:color="auto" w:fill="auto"/>
            <w:vAlign w:val="bottom"/>
          </w:tcPr>
          <w:p w:rsidR="000B562B" w:rsidRPr="00A176EA" w:rsidRDefault="000B562B" w:rsidP="002C6F62">
            <w:pPr>
              <w:pStyle w:val="Text"/>
              <w:spacing w:before="40" w:after="40" w:line="220" w:lineRule="exact"/>
              <w:ind w:left="113" w:right="57"/>
              <w:jc w:val="right"/>
              <w:rPr>
                <w:rFonts w:ascii="Times New Roman" w:hAnsi="Times New Roman"/>
                <w:sz w:val="18"/>
                <w:szCs w:val="22"/>
                <w:lang w:val="fr-FR"/>
              </w:rPr>
            </w:pPr>
            <w:r w:rsidRPr="00A176EA">
              <w:rPr>
                <w:rFonts w:ascii="Times New Roman" w:hAnsi="Times New Roman"/>
                <w:sz w:val="18"/>
                <w:szCs w:val="22"/>
                <w:lang w:val="fr-FR"/>
              </w:rPr>
              <w:t>15</w:t>
            </w:r>
          </w:p>
        </w:tc>
        <w:tc>
          <w:tcPr>
            <w:tcW w:w="680" w:type="dxa"/>
            <w:shd w:val="clear" w:color="auto" w:fill="auto"/>
            <w:vAlign w:val="bottom"/>
          </w:tcPr>
          <w:p w:rsidR="000B562B" w:rsidRPr="00A176EA" w:rsidRDefault="000B562B" w:rsidP="002C6F62">
            <w:pPr>
              <w:pStyle w:val="Text"/>
              <w:spacing w:before="40" w:after="40" w:line="220" w:lineRule="exact"/>
              <w:ind w:left="113" w:right="57"/>
              <w:jc w:val="right"/>
              <w:rPr>
                <w:rFonts w:ascii="Times New Roman" w:hAnsi="Times New Roman"/>
                <w:sz w:val="18"/>
                <w:szCs w:val="22"/>
                <w:lang w:val="fr-FR"/>
              </w:rPr>
            </w:pPr>
            <w:r w:rsidRPr="00A176EA">
              <w:rPr>
                <w:rFonts w:ascii="Times New Roman" w:hAnsi="Times New Roman"/>
                <w:sz w:val="18"/>
                <w:szCs w:val="22"/>
                <w:lang w:val="fr-FR"/>
              </w:rPr>
              <w:t>11</w:t>
            </w:r>
          </w:p>
        </w:tc>
        <w:tc>
          <w:tcPr>
            <w:tcW w:w="680" w:type="dxa"/>
            <w:shd w:val="clear" w:color="auto" w:fill="auto"/>
            <w:vAlign w:val="bottom"/>
          </w:tcPr>
          <w:p w:rsidR="000B562B" w:rsidRPr="00A176EA" w:rsidRDefault="000B562B" w:rsidP="002C6F62">
            <w:pPr>
              <w:pStyle w:val="Text"/>
              <w:spacing w:before="40" w:after="40" w:line="220" w:lineRule="exact"/>
              <w:ind w:left="113" w:right="57"/>
              <w:jc w:val="right"/>
              <w:rPr>
                <w:rFonts w:ascii="Times New Roman" w:hAnsi="Times New Roman"/>
                <w:sz w:val="18"/>
                <w:szCs w:val="22"/>
                <w:lang w:val="fr-FR"/>
              </w:rPr>
            </w:pPr>
            <w:r w:rsidRPr="00A176EA">
              <w:rPr>
                <w:rFonts w:ascii="Times New Roman" w:hAnsi="Times New Roman"/>
                <w:sz w:val="18"/>
                <w:szCs w:val="22"/>
                <w:lang w:val="fr-FR"/>
              </w:rPr>
              <w:t>10</w:t>
            </w:r>
          </w:p>
        </w:tc>
        <w:tc>
          <w:tcPr>
            <w:tcW w:w="680" w:type="dxa"/>
            <w:shd w:val="clear" w:color="auto" w:fill="auto"/>
            <w:vAlign w:val="bottom"/>
          </w:tcPr>
          <w:p w:rsidR="000B562B" w:rsidRPr="00A176EA" w:rsidRDefault="000B562B" w:rsidP="002C6F62">
            <w:pPr>
              <w:pStyle w:val="Text"/>
              <w:spacing w:before="40" w:after="40" w:line="220" w:lineRule="exact"/>
              <w:ind w:left="113" w:right="57"/>
              <w:jc w:val="right"/>
              <w:rPr>
                <w:rFonts w:ascii="Times New Roman" w:hAnsi="Times New Roman"/>
                <w:sz w:val="18"/>
                <w:szCs w:val="22"/>
                <w:lang w:val="fr-FR"/>
              </w:rPr>
            </w:pPr>
            <w:r w:rsidRPr="00A176EA">
              <w:rPr>
                <w:rFonts w:ascii="Times New Roman" w:hAnsi="Times New Roman"/>
                <w:sz w:val="18"/>
                <w:szCs w:val="22"/>
                <w:lang w:val="fr-FR"/>
              </w:rPr>
              <w:t>8</w:t>
            </w:r>
          </w:p>
        </w:tc>
        <w:tc>
          <w:tcPr>
            <w:tcW w:w="680" w:type="dxa"/>
            <w:shd w:val="clear" w:color="auto" w:fill="auto"/>
            <w:vAlign w:val="bottom"/>
          </w:tcPr>
          <w:p w:rsidR="000B562B" w:rsidRPr="00A176EA" w:rsidRDefault="000B562B" w:rsidP="002C6F62">
            <w:pPr>
              <w:pStyle w:val="Text"/>
              <w:spacing w:before="40" w:after="40" w:line="220" w:lineRule="exact"/>
              <w:ind w:left="113" w:right="57"/>
              <w:jc w:val="right"/>
              <w:rPr>
                <w:rFonts w:ascii="Times New Roman" w:hAnsi="Times New Roman"/>
                <w:sz w:val="18"/>
                <w:szCs w:val="22"/>
                <w:lang w:val="fr-FR"/>
              </w:rPr>
            </w:pPr>
            <w:r w:rsidRPr="00A176EA">
              <w:rPr>
                <w:rFonts w:ascii="Times New Roman" w:hAnsi="Times New Roman"/>
                <w:sz w:val="18"/>
                <w:szCs w:val="22"/>
                <w:lang w:val="fr-FR"/>
              </w:rPr>
              <w:t>5</w:t>
            </w:r>
          </w:p>
        </w:tc>
      </w:tr>
      <w:tr w:rsidR="000B562B" w:rsidRPr="00A176EA">
        <w:trPr>
          <w:cantSplit/>
          <w:trHeight w:val="240"/>
        </w:trPr>
        <w:tc>
          <w:tcPr>
            <w:tcW w:w="3175" w:type="dxa"/>
            <w:shd w:val="clear" w:color="auto" w:fill="auto"/>
          </w:tcPr>
          <w:p w:rsidR="000B562B" w:rsidRPr="0087031A" w:rsidRDefault="007C4E24" w:rsidP="007E0909">
            <w:pPr>
              <w:pStyle w:val="Text"/>
              <w:spacing w:before="40" w:after="40" w:line="220" w:lineRule="exact"/>
              <w:rPr>
                <w:rFonts w:ascii="Times New Roman" w:hAnsi="Times New Roman"/>
                <w:sz w:val="18"/>
                <w:szCs w:val="22"/>
                <w:lang w:val="fr-FR"/>
              </w:rPr>
            </w:pPr>
            <w:r w:rsidRPr="0087031A">
              <w:rPr>
                <w:rFonts w:ascii="Times New Roman" w:hAnsi="Times New Roman"/>
                <w:sz w:val="18"/>
                <w:szCs w:val="22"/>
                <w:lang w:val="fr-FR"/>
              </w:rPr>
              <w:t xml:space="preserve">Nb de plaintes </w:t>
            </w:r>
            <w:r w:rsidR="007E0909" w:rsidRPr="0087031A">
              <w:rPr>
                <w:rFonts w:ascii="Times New Roman" w:hAnsi="Times New Roman"/>
                <w:sz w:val="18"/>
                <w:szCs w:val="22"/>
                <w:lang w:val="fr-FR"/>
              </w:rPr>
              <w:t>déclarées impossibles à vérifier</w:t>
            </w:r>
          </w:p>
        </w:tc>
        <w:tc>
          <w:tcPr>
            <w:tcW w:w="680" w:type="dxa"/>
            <w:shd w:val="clear" w:color="auto" w:fill="auto"/>
            <w:vAlign w:val="bottom"/>
          </w:tcPr>
          <w:p w:rsidR="000B562B" w:rsidRPr="0087031A" w:rsidRDefault="000B562B" w:rsidP="002C6F62">
            <w:pPr>
              <w:pStyle w:val="Text"/>
              <w:spacing w:before="40" w:after="40" w:line="220" w:lineRule="exact"/>
              <w:ind w:left="113" w:right="57"/>
              <w:jc w:val="right"/>
              <w:rPr>
                <w:rFonts w:ascii="Times New Roman" w:hAnsi="Times New Roman"/>
                <w:sz w:val="18"/>
                <w:szCs w:val="22"/>
                <w:lang w:val="fr-FR"/>
              </w:rPr>
            </w:pPr>
            <w:r w:rsidRPr="0087031A">
              <w:rPr>
                <w:rFonts w:ascii="Times New Roman" w:hAnsi="Times New Roman"/>
                <w:sz w:val="18"/>
                <w:szCs w:val="22"/>
                <w:lang w:val="fr-FR"/>
              </w:rPr>
              <w:t>2</w:t>
            </w:r>
          </w:p>
        </w:tc>
        <w:tc>
          <w:tcPr>
            <w:tcW w:w="680" w:type="dxa"/>
            <w:shd w:val="clear" w:color="auto" w:fill="auto"/>
            <w:vAlign w:val="bottom"/>
          </w:tcPr>
          <w:p w:rsidR="000B562B" w:rsidRPr="00A176EA" w:rsidRDefault="000B562B" w:rsidP="002C6F62">
            <w:pPr>
              <w:pStyle w:val="Text"/>
              <w:spacing w:before="40" w:after="40" w:line="220" w:lineRule="exact"/>
              <w:ind w:left="113" w:right="57"/>
              <w:jc w:val="right"/>
              <w:rPr>
                <w:rFonts w:ascii="Times New Roman" w:hAnsi="Times New Roman"/>
                <w:sz w:val="18"/>
                <w:szCs w:val="22"/>
                <w:lang w:val="fr-FR"/>
              </w:rPr>
            </w:pPr>
            <w:r w:rsidRPr="00A176EA">
              <w:rPr>
                <w:rFonts w:ascii="Times New Roman" w:hAnsi="Times New Roman"/>
                <w:sz w:val="18"/>
                <w:szCs w:val="22"/>
                <w:lang w:val="fr-FR"/>
              </w:rPr>
              <w:t>5</w:t>
            </w:r>
          </w:p>
        </w:tc>
        <w:tc>
          <w:tcPr>
            <w:tcW w:w="680" w:type="dxa"/>
            <w:shd w:val="clear" w:color="auto" w:fill="auto"/>
            <w:vAlign w:val="bottom"/>
          </w:tcPr>
          <w:p w:rsidR="000B562B" w:rsidRPr="00A176EA" w:rsidRDefault="000B562B" w:rsidP="002C6F62">
            <w:pPr>
              <w:pStyle w:val="Text"/>
              <w:spacing w:before="40" w:after="40" w:line="220" w:lineRule="exact"/>
              <w:ind w:left="113" w:right="57"/>
              <w:jc w:val="right"/>
              <w:rPr>
                <w:rFonts w:ascii="Times New Roman" w:hAnsi="Times New Roman"/>
                <w:sz w:val="18"/>
                <w:szCs w:val="22"/>
                <w:lang w:val="fr-FR"/>
              </w:rPr>
            </w:pPr>
            <w:r w:rsidRPr="00A176EA">
              <w:rPr>
                <w:rFonts w:ascii="Times New Roman" w:hAnsi="Times New Roman"/>
                <w:sz w:val="18"/>
                <w:szCs w:val="22"/>
                <w:lang w:val="fr-FR"/>
              </w:rPr>
              <w:t>3</w:t>
            </w:r>
          </w:p>
        </w:tc>
        <w:tc>
          <w:tcPr>
            <w:tcW w:w="680" w:type="dxa"/>
            <w:shd w:val="clear" w:color="auto" w:fill="auto"/>
            <w:vAlign w:val="bottom"/>
          </w:tcPr>
          <w:p w:rsidR="000B562B" w:rsidRPr="00A176EA" w:rsidRDefault="000B562B" w:rsidP="002C6F62">
            <w:pPr>
              <w:pStyle w:val="Text"/>
              <w:spacing w:before="40" w:after="40" w:line="220" w:lineRule="exact"/>
              <w:ind w:left="113" w:right="57"/>
              <w:jc w:val="right"/>
              <w:rPr>
                <w:rFonts w:ascii="Times New Roman" w:hAnsi="Times New Roman"/>
                <w:sz w:val="18"/>
                <w:szCs w:val="22"/>
                <w:lang w:val="fr-FR"/>
              </w:rPr>
            </w:pPr>
            <w:r w:rsidRPr="00A176EA">
              <w:rPr>
                <w:rFonts w:ascii="Times New Roman" w:hAnsi="Times New Roman"/>
                <w:sz w:val="18"/>
                <w:szCs w:val="22"/>
                <w:lang w:val="fr-FR"/>
              </w:rPr>
              <w:t>3</w:t>
            </w:r>
          </w:p>
        </w:tc>
        <w:tc>
          <w:tcPr>
            <w:tcW w:w="680" w:type="dxa"/>
            <w:shd w:val="clear" w:color="auto" w:fill="auto"/>
            <w:vAlign w:val="bottom"/>
          </w:tcPr>
          <w:p w:rsidR="000B562B" w:rsidRPr="00A176EA" w:rsidRDefault="000B562B" w:rsidP="002C6F62">
            <w:pPr>
              <w:pStyle w:val="Text"/>
              <w:spacing w:before="40" w:after="40" w:line="220" w:lineRule="exact"/>
              <w:ind w:left="113" w:right="57"/>
              <w:jc w:val="right"/>
              <w:rPr>
                <w:rFonts w:ascii="Times New Roman" w:hAnsi="Times New Roman"/>
                <w:sz w:val="18"/>
                <w:szCs w:val="22"/>
                <w:lang w:val="fr-FR"/>
              </w:rPr>
            </w:pPr>
            <w:r w:rsidRPr="00A176EA">
              <w:rPr>
                <w:rFonts w:ascii="Times New Roman" w:hAnsi="Times New Roman"/>
                <w:sz w:val="18"/>
                <w:szCs w:val="22"/>
                <w:lang w:val="fr-FR"/>
              </w:rPr>
              <w:t>8</w:t>
            </w:r>
          </w:p>
        </w:tc>
        <w:tc>
          <w:tcPr>
            <w:tcW w:w="680" w:type="dxa"/>
            <w:shd w:val="clear" w:color="auto" w:fill="auto"/>
            <w:vAlign w:val="bottom"/>
          </w:tcPr>
          <w:p w:rsidR="000B562B" w:rsidRPr="00A176EA" w:rsidRDefault="000B562B" w:rsidP="002C6F62">
            <w:pPr>
              <w:pStyle w:val="Text"/>
              <w:spacing w:before="40" w:after="40" w:line="220" w:lineRule="exact"/>
              <w:ind w:left="113" w:right="57"/>
              <w:jc w:val="right"/>
              <w:rPr>
                <w:rFonts w:ascii="Times New Roman" w:hAnsi="Times New Roman"/>
                <w:sz w:val="18"/>
                <w:szCs w:val="22"/>
                <w:lang w:val="fr-FR"/>
              </w:rPr>
            </w:pPr>
            <w:r w:rsidRPr="00A176EA">
              <w:rPr>
                <w:rFonts w:ascii="Times New Roman" w:hAnsi="Times New Roman"/>
                <w:sz w:val="18"/>
                <w:szCs w:val="22"/>
                <w:lang w:val="fr-FR"/>
              </w:rPr>
              <w:t>3</w:t>
            </w:r>
          </w:p>
        </w:tc>
        <w:tc>
          <w:tcPr>
            <w:tcW w:w="680" w:type="dxa"/>
            <w:shd w:val="clear" w:color="auto" w:fill="auto"/>
            <w:vAlign w:val="bottom"/>
          </w:tcPr>
          <w:p w:rsidR="000B562B" w:rsidRPr="00A176EA" w:rsidRDefault="000B562B" w:rsidP="002C6F62">
            <w:pPr>
              <w:pStyle w:val="Text"/>
              <w:spacing w:before="40" w:after="40" w:line="220" w:lineRule="exact"/>
              <w:ind w:left="113" w:right="57"/>
              <w:jc w:val="right"/>
              <w:rPr>
                <w:rFonts w:ascii="Times New Roman" w:hAnsi="Times New Roman"/>
                <w:sz w:val="18"/>
                <w:szCs w:val="22"/>
                <w:lang w:val="fr-FR"/>
              </w:rPr>
            </w:pPr>
            <w:r w:rsidRPr="00A176EA">
              <w:rPr>
                <w:rFonts w:ascii="Times New Roman" w:hAnsi="Times New Roman"/>
                <w:sz w:val="18"/>
                <w:szCs w:val="22"/>
                <w:lang w:val="fr-FR"/>
              </w:rPr>
              <w:t>1</w:t>
            </w:r>
          </w:p>
        </w:tc>
        <w:tc>
          <w:tcPr>
            <w:tcW w:w="680" w:type="dxa"/>
            <w:shd w:val="clear" w:color="auto" w:fill="auto"/>
            <w:vAlign w:val="bottom"/>
          </w:tcPr>
          <w:p w:rsidR="000B562B" w:rsidRPr="00A176EA" w:rsidRDefault="000B562B" w:rsidP="002C6F62">
            <w:pPr>
              <w:pStyle w:val="Text"/>
              <w:spacing w:before="40" w:after="40" w:line="220" w:lineRule="exact"/>
              <w:ind w:left="113" w:right="57"/>
              <w:jc w:val="right"/>
              <w:rPr>
                <w:rFonts w:ascii="Times New Roman" w:hAnsi="Times New Roman"/>
                <w:sz w:val="18"/>
                <w:szCs w:val="22"/>
                <w:lang w:val="fr-FR"/>
              </w:rPr>
            </w:pPr>
            <w:r w:rsidRPr="00A176EA">
              <w:rPr>
                <w:rFonts w:ascii="Times New Roman" w:hAnsi="Times New Roman"/>
                <w:sz w:val="18"/>
                <w:szCs w:val="22"/>
                <w:lang w:val="fr-FR"/>
              </w:rPr>
              <w:t>2</w:t>
            </w:r>
          </w:p>
        </w:tc>
      </w:tr>
      <w:tr w:rsidR="000B562B" w:rsidRPr="00A176EA">
        <w:trPr>
          <w:cantSplit/>
          <w:trHeight w:val="240"/>
        </w:trPr>
        <w:tc>
          <w:tcPr>
            <w:tcW w:w="3175" w:type="dxa"/>
            <w:shd w:val="clear" w:color="auto" w:fill="auto"/>
          </w:tcPr>
          <w:p w:rsidR="000B562B" w:rsidRPr="0087031A" w:rsidRDefault="007C4E24" w:rsidP="007E0909">
            <w:pPr>
              <w:pStyle w:val="Text"/>
              <w:spacing w:before="40" w:after="40" w:line="220" w:lineRule="exact"/>
              <w:rPr>
                <w:rFonts w:ascii="Times New Roman" w:hAnsi="Times New Roman"/>
                <w:sz w:val="18"/>
                <w:szCs w:val="22"/>
                <w:lang w:val="fr-FR"/>
              </w:rPr>
            </w:pPr>
            <w:r w:rsidRPr="0087031A">
              <w:rPr>
                <w:rFonts w:ascii="Times New Roman" w:hAnsi="Times New Roman"/>
                <w:sz w:val="18"/>
                <w:szCs w:val="22"/>
                <w:lang w:val="fr-FR"/>
              </w:rPr>
              <w:t xml:space="preserve">Nb de plaintes </w:t>
            </w:r>
            <w:r w:rsidR="0087031A" w:rsidRPr="0087031A">
              <w:rPr>
                <w:rFonts w:ascii="Times New Roman" w:hAnsi="Times New Roman"/>
                <w:sz w:val="18"/>
                <w:szCs w:val="22"/>
                <w:lang w:val="fr-FR"/>
              </w:rPr>
              <w:t>jugées</w:t>
            </w:r>
            <w:r w:rsidR="007E0909" w:rsidRPr="0087031A">
              <w:rPr>
                <w:rFonts w:ascii="Times New Roman" w:hAnsi="Times New Roman"/>
                <w:sz w:val="18"/>
                <w:szCs w:val="22"/>
                <w:lang w:val="fr-FR"/>
              </w:rPr>
              <w:t xml:space="preserve"> abusives</w:t>
            </w:r>
          </w:p>
        </w:tc>
        <w:tc>
          <w:tcPr>
            <w:tcW w:w="680" w:type="dxa"/>
            <w:shd w:val="clear" w:color="auto" w:fill="auto"/>
            <w:vAlign w:val="bottom"/>
          </w:tcPr>
          <w:p w:rsidR="000B562B" w:rsidRPr="0087031A" w:rsidRDefault="000B562B" w:rsidP="002C6F62">
            <w:pPr>
              <w:pStyle w:val="Text"/>
              <w:spacing w:before="40" w:after="40" w:line="220" w:lineRule="exact"/>
              <w:ind w:left="113" w:right="57"/>
              <w:jc w:val="right"/>
              <w:rPr>
                <w:rFonts w:ascii="Times New Roman" w:hAnsi="Times New Roman"/>
                <w:sz w:val="18"/>
                <w:szCs w:val="22"/>
                <w:lang w:val="fr-FR"/>
              </w:rPr>
            </w:pPr>
            <w:r w:rsidRPr="0087031A">
              <w:rPr>
                <w:rFonts w:ascii="Times New Roman" w:hAnsi="Times New Roman"/>
                <w:sz w:val="18"/>
                <w:szCs w:val="22"/>
                <w:lang w:val="fr-FR"/>
              </w:rPr>
              <w:t>2</w:t>
            </w:r>
          </w:p>
        </w:tc>
        <w:tc>
          <w:tcPr>
            <w:tcW w:w="680" w:type="dxa"/>
            <w:shd w:val="clear" w:color="auto" w:fill="auto"/>
            <w:vAlign w:val="bottom"/>
          </w:tcPr>
          <w:p w:rsidR="000B562B" w:rsidRPr="00A176EA" w:rsidRDefault="000B562B" w:rsidP="002C6F62">
            <w:pPr>
              <w:pStyle w:val="Text"/>
              <w:spacing w:before="40" w:after="40" w:line="220" w:lineRule="exact"/>
              <w:ind w:left="113" w:right="57"/>
              <w:jc w:val="right"/>
              <w:rPr>
                <w:rFonts w:ascii="Times New Roman" w:hAnsi="Times New Roman"/>
                <w:sz w:val="18"/>
                <w:szCs w:val="22"/>
                <w:lang w:val="fr-FR"/>
              </w:rPr>
            </w:pPr>
            <w:r w:rsidRPr="00A176EA">
              <w:rPr>
                <w:rFonts w:ascii="Times New Roman" w:hAnsi="Times New Roman"/>
                <w:sz w:val="18"/>
                <w:szCs w:val="22"/>
                <w:lang w:val="fr-FR"/>
              </w:rPr>
              <w:t>2</w:t>
            </w:r>
          </w:p>
        </w:tc>
        <w:tc>
          <w:tcPr>
            <w:tcW w:w="680" w:type="dxa"/>
            <w:shd w:val="clear" w:color="auto" w:fill="auto"/>
            <w:vAlign w:val="bottom"/>
          </w:tcPr>
          <w:p w:rsidR="000B562B" w:rsidRPr="00A176EA" w:rsidRDefault="000B562B" w:rsidP="002C6F62">
            <w:pPr>
              <w:pStyle w:val="Text"/>
              <w:spacing w:before="40" w:after="40" w:line="220" w:lineRule="exact"/>
              <w:ind w:left="113" w:right="57"/>
              <w:jc w:val="right"/>
              <w:rPr>
                <w:rFonts w:ascii="Times New Roman" w:hAnsi="Times New Roman"/>
                <w:sz w:val="18"/>
                <w:szCs w:val="22"/>
                <w:lang w:val="fr-FR"/>
              </w:rPr>
            </w:pPr>
            <w:r w:rsidRPr="00A176EA">
              <w:rPr>
                <w:rFonts w:ascii="Times New Roman" w:hAnsi="Times New Roman"/>
                <w:sz w:val="18"/>
                <w:szCs w:val="22"/>
                <w:lang w:val="fr-FR"/>
              </w:rPr>
              <w:t>1</w:t>
            </w:r>
          </w:p>
        </w:tc>
        <w:tc>
          <w:tcPr>
            <w:tcW w:w="680" w:type="dxa"/>
            <w:shd w:val="clear" w:color="auto" w:fill="auto"/>
            <w:vAlign w:val="bottom"/>
          </w:tcPr>
          <w:p w:rsidR="000B562B" w:rsidRPr="00A176EA" w:rsidRDefault="000B562B" w:rsidP="002C6F62">
            <w:pPr>
              <w:pStyle w:val="Text"/>
              <w:spacing w:before="40" w:after="40" w:line="220" w:lineRule="exact"/>
              <w:ind w:left="113" w:right="57"/>
              <w:jc w:val="right"/>
              <w:rPr>
                <w:rFonts w:ascii="Times New Roman" w:hAnsi="Times New Roman"/>
                <w:sz w:val="18"/>
                <w:szCs w:val="22"/>
                <w:lang w:val="fr-FR"/>
              </w:rPr>
            </w:pPr>
            <w:r w:rsidRPr="00A176EA">
              <w:rPr>
                <w:rFonts w:ascii="Times New Roman" w:hAnsi="Times New Roman"/>
                <w:sz w:val="18"/>
                <w:szCs w:val="22"/>
                <w:lang w:val="fr-FR"/>
              </w:rPr>
              <w:t>2</w:t>
            </w:r>
          </w:p>
        </w:tc>
        <w:tc>
          <w:tcPr>
            <w:tcW w:w="680" w:type="dxa"/>
            <w:shd w:val="clear" w:color="auto" w:fill="auto"/>
            <w:vAlign w:val="bottom"/>
          </w:tcPr>
          <w:p w:rsidR="000B562B" w:rsidRPr="00A176EA" w:rsidRDefault="000B562B" w:rsidP="002C6F62">
            <w:pPr>
              <w:pStyle w:val="Text"/>
              <w:spacing w:before="40" w:after="40" w:line="220" w:lineRule="exact"/>
              <w:ind w:left="113" w:right="57"/>
              <w:jc w:val="right"/>
              <w:rPr>
                <w:rFonts w:ascii="Times New Roman" w:hAnsi="Times New Roman"/>
                <w:sz w:val="18"/>
                <w:szCs w:val="22"/>
                <w:lang w:val="fr-FR"/>
              </w:rPr>
            </w:pPr>
            <w:r w:rsidRPr="00A176EA">
              <w:rPr>
                <w:rFonts w:ascii="Times New Roman" w:hAnsi="Times New Roman"/>
                <w:sz w:val="18"/>
                <w:szCs w:val="22"/>
                <w:lang w:val="fr-FR"/>
              </w:rPr>
              <w:t>1</w:t>
            </w:r>
          </w:p>
        </w:tc>
        <w:tc>
          <w:tcPr>
            <w:tcW w:w="680" w:type="dxa"/>
            <w:shd w:val="clear" w:color="auto" w:fill="auto"/>
            <w:vAlign w:val="bottom"/>
          </w:tcPr>
          <w:p w:rsidR="000B562B" w:rsidRPr="00A176EA" w:rsidRDefault="000B562B" w:rsidP="002C6F62">
            <w:pPr>
              <w:pStyle w:val="Text"/>
              <w:spacing w:before="40" w:after="40" w:line="220" w:lineRule="exact"/>
              <w:ind w:left="113" w:right="57"/>
              <w:jc w:val="right"/>
              <w:rPr>
                <w:rFonts w:ascii="Times New Roman" w:hAnsi="Times New Roman"/>
                <w:sz w:val="18"/>
                <w:szCs w:val="22"/>
                <w:lang w:val="fr-FR"/>
              </w:rPr>
            </w:pPr>
            <w:r w:rsidRPr="00A176EA">
              <w:rPr>
                <w:rFonts w:ascii="Times New Roman" w:hAnsi="Times New Roman"/>
                <w:sz w:val="18"/>
                <w:szCs w:val="22"/>
                <w:lang w:val="fr-FR"/>
              </w:rPr>
              <w:t>3</w:t>
            </w:r>
          </w:p>
        </w:tc>
        <w:tc>
          <w:tcPr>
            <w:tcW w:w="680" w:type="dxa"/>
            <w:shd w:val="clear" w:color="auto" w:fill="auto"/>
            <w:vAlign w:val="bottom"/>
          </w:tcPr>
          <w:p w:rsidR="000B562B" w:rsidRPr="00A176EA" w:rsidRDefault="000B562B" w:rsidP="002C6F62">
            <w:pPr>
              <w:pStyle w:val="Text"/>
              <w:spacing w:before="40" w:after="40" w:line="220" w:lineRule="exact"/>
              <w:ind w:left="113" w:right="57"/>
              <w:jc w:val="right"/>
              <w:rPr>
                <w:rFonts w:ascii="Times New Roman" w:hAnsi="Times New Roman"/>
                <w:sz w:val="18"/>
                <w:szCs w:val="22"/>
                <w:lang w:val="fr-FR"/>
              </w:rPr>
            </w:pPr>
            <w:r w:rsidRPr="00A176EA">
              <w:rPr>
                <w:rFonts w:ascii="Times New Roman" w:hAnsi="Times New Roman"/>
                <w:sz w:val="18"/>
                <w:szCs w:val="22"/>
                <w:lang w:val="fr-FR"/>
              </w:rPr>
              <w:t>1</w:t>
            </w:r>
          </w:p>
        </w:tc>
        <w:tc>
          <w:tcPr>
            <w:tcW w:w="680" w:type="dxa"/>
            <w:shd w:val="clear" w:color="auto" w:fill="auto"/>
            <w:vAlign w:val="bottom"/>
          </w:tcPr>
          <w:p w:rsidR="000B562B" w:rsidRPr="00A176EA" w:rsidRDefault="000B562B" w:rsidP="002C6F62">
            <w:pPr>
              <w:pStyle w:val="Text"/>
              <w:spacing w:before="40" w:after="40" w:line="220" w:lineRule="exact"/>
              <w:ind w:left="113" w:right="57"/>
              <w:jc w:val="right"/>
              <w:rPr>
                <w:rFonts w:ascii="Times New Roman" w:hAnsi="Times New Roman"/>
                <w:sz w:val="18"/>
                <w:szCs w:val="22"/>
                <w:lang w:val="fr-FR"/>
              </w:rPr>
            </w:pPr>
            <w:r w:rsidRPr="00A176EA">
              <w:rPr>
                <w:rFonts w:ascii="Times New Roman" w:hAnsi="Times New Roman"/>
                <w:sz w:val="18"/>
                <w:szCs w:val="22"/>
                <w:lang w:val="fr-FR"/>
              </w:rPr>
              <w:t>0</w:t>
            </w:r>
          </w:p>
        </w:tc>
      </w:tr>
      <w:tr w:rsidR="000B562B" w:rsidRPr="00A176EA">
        <w:trPr>
          <w:cantSplit/>
          <w:trHeight w:val="240"/>
        </w:trPr>
        <w:tc>
          <w:tcPr>
            <w:tcW w:w="3175" w:type="dxa"/>
            <w:shd w:val="clear" w:color="auto" w:fill="auto"/>
          </w:tcPr>
          <w:p w:rsidR="000B562B" w:rsidRPr="0087031A" w:rsidRDefault="007C4E24" w:rsidP="007E0909">
            <w:pPr>
              <w:pStyle w:val="Text"/>
              <w:spacing w:before="40" w:after="40" w:line="220" w:lineRule="exact"/>
              <w:rPr>
                <w:rFonts w:ascii="Times New Roman" w:hAnsi="Times New Roman"/>
                <w:sz w:val="18"/>
                <w:szCs w:val="22"/>
                <w:lang w:val="fr-FR"/>
              </w:rPr>
            </w:pPr>
            <w:r w:rsidRPr="0087031A">
              <w:rPr>
                <w:rFonts w:ascii="Times New Roman" w:hAnsi="Times New Roman"/>
                <w:sz w:val="18"/>
                <w:szCs w:val="22"/>
                <w:lang w:val="fr-FR"/>
              </w:rPr>
              <w:t xml:space="preserve">Nb de plaintes </w:t>
            </w:r>
            <w:r w:rsidR="007E0909" w:rsidRPr="0087031A">
              <w:rPr>
                <w:rFonts w:ascii="Times New Roman" w:hAnsi="Times New Roman"/>
                <w:sz w:val="18"/>
                <w:szCs w:val="22"/>
                <w:lang w:val="fr-FR"/>
              </w:rPr>
              <w:t>en cours d’enquête</w:t>
            </w:r>
          </w:p>
        </w:tc>
        <w:tc>
          <w:tcPr>
            <w:tcW w:w="680" w:type="dxa"/>
            <w:shd w:val="clear" w:color="auto" w:fill="auto"/>
            <w:vAlign w:val="bottom"/>
          </w:tcPr>
          <w:p w:rsidR="000B562B" w:rsidRPr="0087031A" w:rsidRDefault="000B562B" w:rsidP="002C6F62">
            <w:pPr>
              <w:pStyle w:val="Text"/>
              <w:spacing w:before="40" w:after="40" w:line="220" w:lineRule="exact"/>
              <w:ind w:left="113" w:right="57"/>
              <w:jc w:val="right"/>
              <w:rPr>
                <w:rFonts w:ascii="Times New Roman" w:hAnsi="Times New Roman"/>
                <w:sz w:val="18"/>
                <w:szCs w:val="22"/>
                <w:lang w:val="fr-FR"/>
              </w:rPr>
            </w:pPr>
            <w:r w:rsidRPr="0087031A">
              <w:rPr>
                <w:rFonts w:ascii="Times New Roman" w:hAnsi="Times New Roman"/>
                <w:sz w:val="18"/>
                <w:szCs w:val="22"/>
                <w:lang w:val="fr-FR"/>
              </w:rPr>
              <w:t>0</w:t>
            </w:r>
          </w:p>
        </w:tc>
        <w:tc>
          <w:tcPr>
            <w:tcW w:w="680" w:type="dxa"/>
            <w:shd w:val="clear" w:color="auto" w:fill="auto"/>
            <w:vAlign w:val="bottom"/>
          </w:tcPr>
          <w:p w:rsidR="000B562B" w:rsidRPr="00A176EA" w:rsidRDefault="000B562B" w:rsidP="002C6F62">
            <w:pPr>
              <w:pStyle w:val="Text"/>
              <w:spacing w:before="40" w:after="40" w:line="220" w:lineRule="exact"/>
              <w:ind w:left="113" w:right="57"/>
              <w:jc w:val="right"/>
              <w:rPr>
                <w:rFonts w:ascii="Times New Roman" w:hAnsi="Times New Roman"/>
                <w:sz w:val="18"/>
                <w:szCs w:val="22"/>
                <w:lang w:val="fr-FR"/>
              </w:rPr>
            </w:pPr>
            <w:r w:rsidRPr="00A176EA">
              <w:rPr>
                <w:rFonts w:ascii="Times New Roman" w:hAnsi="Times New Roman"/>
                <w:sz w:val="18"/>
                <w:szCs w:val="22"/>
                <w:lang w:val="fr-FR"/>
              </w:rPr>
              <w:t>0</w:t>
            </w:r>
          </w:p>
        </w:tc>
        <w:tc>
          <w:tcPr>
            <w:tcW w:w="680" w:type="dxa"/>
            <w:shd w:val="clear" w:color="auto" w:fill="auto"/>
            <w:vAlign w:val="bottom"/>
          </w:tcPr>
          <w:p w:rsidR="000B562B" w:rsidRPr="00A176EA" w:rsidRDefault="000B562B" w:rsidP="002C6F62">
            <w:pPr>
              <w:pStyle w:val="Text"/>
              <w:spacing w:before="40" w:after="40" w:line="220" w:lineRule="exact"/>
              <w:ind w:left="113" w:right="57"/>
              <w:jc w:val="right"/>
              <w:rPr>
                <w:rFonts w:ascii="Times New Roman" w:hAnsi="Times New Roman"/>
                <w:sz w:val="18"/>
                <w:szCs w:val="22"/>
                <w:lang w:val="fr-FR"/>
              </w:rPr>
            </w:pPr>
            <w:r w:rsidRPr="00A176EA">
              <w:rPr>
                <w:rFonts w:ascii="Times New Roman" w:hAnsi="Times New Roman"/>
                <w:sz w:val="18"/>
                <w:szCs w:val="22"/>
                <w:lang w:val="fr-FR"/>
              </w:rPr>
              <w:t>0</w:t>
            </w:r>
          </w:p>
        </w:tc>
        <w:tc>
          <w:tcPr>
            <w:tcW w:w="680" w:type="dxa"/>
            <w:shd w:val="clear" w:color="auto" w:fill="auto"/>
            <w:vAlign w:val="bottom"/>
          </w:tcPr>
          <w:p w:rsidR="000B562B" w:rsidRPr="00A176EA" w:rsidRDefault="000B562B" w:rsidP="002C6F62">
            <w:pPr>
              <w:pStyle w:val="Text"/>
              <w:spacing w:before="40" w:after="40" w:line="220" w:lineRule="exact"/>
              <w:ind w:left="113" w:right="57"/>
              <w:jc w:val="right"/>
              <w:rPr>
                <w:rFonts w:ascii="Times New Roman" w:hAnsi="Times New Roman"/>
                <w:sz w:val="18"/>
                <w:szCs w:val="22"/>
                <w:lang w:val="fr-FR"/>
              </w:rPr>
            </w:pPr>
            <w:r w:rsidRPr="00A176EA">
              <w:rPr>
                <w:rFonts w:ascii="Times New Roman" w:hAnsi="Times New Roman"/>
                <w:sz w:val="18"/>
                <w:szCs w:val="22"/>
                <w:lang w:val="fr-FR"/>
              </w:rPr>
              <w:t>0</w:t>
            </w:r>
          </w:p>
        </w:tc>
        <w:tc>
          <w:tcPr>
            <w:tcW w:w="680" w:type="dxa"/>
            <w:shd w:val="clear" w:color="auto" w:fill="auto"/>
            <w:vAlign w:val="bottom"/>
          </w:tcPr>
          <w:p w:rsidR="000B562B" w:rsidRPr="00A176EA" w:rsidRDefault="000B562B" w:rsidP="002C6F62">
            <w:pPr>
              <w:pStyle w:val="Text"/>
              <w:spacing w:before="40" w:after="40" w:line="220" w:lineRule="exact"/>
              <w:ind w:left="113" w:right="57"/>
              <w:jc w:val="right"/>
              <w:rPr>
                <w:rFonts w:ascii="Times New Roman" w:hAnsi="Times New Roman"/>
                <w:sz w:val="18"/>
                <w:szCs w:val="22"/>
                <w:lang w:val="fr-FR"/>
              </w:rPr>
            </w:pPr>
            <w:r w:rsidRPr="00A176EA">
              <w:rPr>
                <w:rFonts w:ascii="Times New Roman" w:hAnsi="Times New Roman"/>
                <w:sz w:val="18"/>
                <w:szCs w:val="22"/>
                <w:lang w:val="fr-FR"/>
              </w:rPr>
              <w:t>0</w:t>
            </w:r>
          </w:p>
        </w:tc>
        <w:tc>
          <w:tcPr>
            <w:tcW w:w="680" w:type="dxa"/>
            <w:shd w:val="clear" w:color="auto" w:fill="auto"/>
            <w:vAlign w:val="bottom"/>
          </w:tcPr>
          <w:p w:rsidR="000B562B" w:rsidRPr="00A176EA" w:rsidRDefault="000B562B" w:rsidP="002C6F62">
            <w:pPr>
              <w:pStyle w:val="Text"/>
              <w:spacing w:before="40" w:after="40" w:line="220" w:lineRule="exact"/>
              <w:ind w:left="113" w:right="57"/>
              <w:jc w:val="right"/>
              <w:rPr>
                <w:rFonts w:ascii="Times New Roman" w:hAnsi="Times New Roman"/>
                <w:sz w:val="18"/>
                <w:szCs w:val="22"/>
                <w:lang w:val="fr-FR"/>
              </w:rPr>
            </w:pPr>
            <w:r w:rsidRPr="00A176EA">
              <w:rPr>
                <w:rFonts w:ascii="Times New Roman" w:hAnsi="Times New Roman"/>
                <w:sz w:val="18"/>
                <w:szCs w:val="22"/>
                <w:lang w:val="fr-FR"/>
              </w:rPr>
              <w:t>4</w:t>
            </w:r>
          </w:p>
        </w:tc>
        <w:tc>
          <w:tcPr>
            <w:tcW w:w="680" w:type="dxa"/>
            <w:shd w:val="clear" w:color="auto" w:fill="auto"/>
            <w:vAlign w:val="bottom"/>
          </w:tcPr>
          <w:p w:rsidR="000B562B" w:rsidRPr="00A176EA" w:rsidRDefault="000B562B" w:rsidP="002C6F62">
            <w:pPr>
              <w:pStyle w:val="Text"/>
              <w:spacing w:before="40" w:after="40" w:line="220" w:lineRule="exact"/>
              <w:ind w:left="113" w:right="57"/>
              <w:jc w:val="right"/>
              <w:rPr>
                <w:rFonts w:ascii="Times New Roman" w:hAnsi="Times New Roman"/>
                <w:sz w:val="18"/>
                <w:szCs w:val="22"/>
                <w:lang w:val="fr-FR"/>
              </w:rPr>
            </w:pPr>
            <w:r w:rsidRPr="00A176EA">
              <w:rPr>
                <w:rFonts w:ascii="Times New Roman" w:hAnsi="Times New Roman"/>
                <w:sz w:val="18"/>
                <w:szCs w:val="22"/>
                <w:lang w:val="fr-FR"/>
              </w:rPr>
              <w:t>0</w:t>
            </w:r>
          </w:p>
        </w:tc>
        <w:tc>
          <w:tcPr>
            <w:tcW w:w="680" w:type="dxa"/>
            <w:shd w:val="clear" w:color="auto" w:fill="auto"/>
            <w:vAlign w:val="bottom"/>
          </w:tcPr>
          <w:p w:rsidR="000B562B" w:rsidRPr="00A176EA" w:rsidRDefault="000B562B" w:rsidP="002C6F62">
            <w:pPr>
              <w:pStyle w:val="Text"/>
              <w:spacing w:before="40" w:after="40" w:line="220" w:lineRule="exact"/>
              <w:ind w:left="113" w:right="57"/>
              <w:jc w:val="right"/>
              <w:rPr>
                <w:rFonts w:ascii="Times New Roman" w:hAnsi="Times New Roman"/>
                <w:sz w:val="18"/>
                <w:szCs w:val="22"/>
                <w:lang w:val="fr-FR"/>
              </w:rPr>
            </w:pPr>
            <w:r w:rsidRPr="00A176EA">
              <w:rPr>
                <w:rFonts w:ascii="Times New Roman" w:hAnsi="Times New Roman"/>
                <w:sz w:val="18"/>
                <w:szCs w:val="22"/>
                <w:lang w:val="fr-FR"/>
              </w:rPr>
              <w:t>8</w:t>
            </w:r>
          </w:p>
        </w:tc>
      </w:tr>
      <w:tr w:rsidR="000B562B" w:rsidRPr="00A176EA">
        <w:trPr>
          <w:cantSplit/>
          <w:trHeight w:val="240"/>
        </w:trPr>
        <w:tc>
          <w:tcPr>
            <w:tcW w:w="3175" w:type="dxa"/>
            <w:tcBorders>
              <w:bottom w:val="single" w:sz="12" w:space="0" w:color="auto"/>
            </w:tcBorders>
            <w:shd w:val="clear" w:color="auto" w:fill="auto"/>
          </w:tcPr>
          <w:p w:rsidR="000B562B" w:rsidRPr="0087031A" w:rsidRDefault="007C4E24" w:rsidP="007E0909">
            <w:pPr>
              <w:pStyle w:val="Text"/>
              <w:spacing w:before="40" w:after="40" w:line="220" w:lineRule="exact"/>
              <w:rPr>
                <w:rFonts w:ascii="Times New Roman" w:hAnsi="Times New Roman"/>
                <w:sz w:val="18"/>
                <w:szCs w:val="22"/>
                <w:lang w:val="fr-FR"/>
              </w:rPr>
            </w:pPr>
            <w:r w:rsidRPr="0087031A">
              <w:rPr>
                <w:rFonts w:ascii="Times New Roman" w:hAnsi="Times New Roman"/>
                <w:sz w:val="18"/>
                <w:szCs w:val="22"/>
                <w:lang w:val="fr-FR"/>
              </w:rPr>
              <w:t xml:space="preserve">Nb de plaintes </w:t>
            </w:r>
            <w:r w:rsidR="007E0909" w:rsidRPr="0087031A">
              <w:rPr>
                <w:rFonts w:ascii="Times New Roman" w:hAnsi="Times New Roman"/>
                <w:sz w:val="18"/>
                <w:szCs w:val="22"/>
                <w:lang w:val="fr-FR"/>
              </w:rPr>
              <w:t>réglées à l’amiable</w:t>
            </w:r>
          </w:p>
        </w:tc>
        <w:tc>
          <w:tcPr>
            <w:tcW w:w="680" w:type="dxa"/>
            <w:tcBorders>
              <w:bottom w:val="single" w:sz="12" w:space="0" w:color="auto"/>
            </w:tcBorders>
            <w:shd w:val="clear" w:color="auto" w:fill="auto"/>
            <w:vAlign w:val="bottom"/>
          </w:tcPr>
          <w:p w:rsidR="000B562B" w:rsidRPr="0087031A" w:rsidRDefault="000B562B" w:rsidP="002C6F62">
            <w:pPr>
              <w:pStyle w:val="Text"/>
              <w:spacing w:before="40" w:after="40" w:line="220" w:lineRule="exact"/>
              <w:ind w:left="113" w:right="57"/>
              <w:jc w:val="right"/>
              <w:rPr>
                <w:rFonts w:ascii="Times New Roman" w:hAnsi="Times New Roman"/>
                <w:sz w:val="18"/>
                <w:szCs w:val="22"/>
                <w:lang w:val="fr-FR"/>
              </w:rPr>
            </w:pPr>
            <w:r w:rsidRPr="0087031A">
              <w:rPr>
                <w:rFonts w:ascii="Times New Roman" w:hAnsi="Times New Roman"/>
                <w:sz w:val="18"/>
                <w:szCs w:val="22"/>
                <w:lang w:val="fr-FR"/>
              </w:rPr>
              <w:t>15</w:t>
            </w:r>
          </w:p>
        </w:tc>
        <w:tc>
          <w:tcPr>
            <w:tcW w:w="680" w:type="dxa"/>
            <w:tcBorders>
              <w:bottom w:val="single" w:sz="12" w:space="0" w:color="auto"/>
            </w:tcBorders>
            <w:shd w:val="clear" w:color="auto" w:fill="auto"/>
            <w:vAlign w:val="bottom"/>
          </w:tcPr>
          <w:p w:rsidR="000B562B" w:rsidRPr="00A176EA" w:rsidRDefault="000B562B" w:rsidP="002C6F62">
            <w:pPr>
              <w:pStyle w:val="Text"/>
              <w:spacing w:before="40" w:after="40" w:line="220" w:lineRule="exact"/>
              <w:ind w:left="113" w:right="57"/>
              <w:jc w:val="right"/>
              <w:rPr>
                <w:rFonts w:ascii="Times New Roman" w:hAnsi="Times New Roman"/>
                <w:sz w:val="18"/>
                <w:szCs w:val="22"/>
                <w:lang w:val="fr-FR"/>
              </w:rPr>
            </w:pPr>
            <w:r w:rsidRPr="00A176EA">
              <w:rPr>
                <w:rFonts w:ascii="Times New Roman" w:hAnsi="Times New Roman"/>
                <w:sz w:val="18"/>
                <w:szCs w:val="22"/>
                <w:lang w:val="fr-FR"/>
              </w:rPr>
              <w:t>14</w:t>
            </w:r>
          </w:p>
        </w:tc>
        <w:tc>
          <w:tcPr>
            <w:tcW w:w="680" w:type="dxa"/>
            <w:tcBorders>
              <w:bottom w:val="single" w:sz="12" w:space="0" w:color="auto"/>
            </w:tcBorders>
            <w:shd w:val="clear" w:color="auto" w:fill="auto"/>
            <w:vAlign w:val="bottom"/>
          </w:tcPr>
          <w:p w:rsidR="000B562B" w:rsidRPr="00A176EA" w:rsidRDefault="000B562B" w:rsidP="002C6F62">
            <w:pPr>
              <w:pStyle w:val="Text"/>
              <w:spacing w:before="40" w:after="40" w:line="220" w:lineRule="exact"/>
              <w:ind w:left="113" w:right="57"/>
              <w:jc w:val="right"/>
              <w:rPr>
                <w:rFonts w:ascii="Times New Roman" w:hAnsi="Times New Roman"/>
                <w:sz w:val="18"/>
                <w:szCs w:val="22"/>
                <w:lang w:val="fr-FR"/>
              </w:rPr>
            </w:pPr>
            <w:r w:rsidRPr="00A176EA">
              <w:rPr>
                <w:rFonts w:ascii="Times New Roman" w:hAnsi="Times New Roman"/>
                <w:sz w:val="18"/>
                <w:szCs w:val="22"/>
                <w:lang w:val="fr-FR"/>
              </w:rPr>
              <w:t>3</w:t>
            </w:r>
          </w:p>
        </w:tc>
        <w:tc>
          <w:tcPr>
            <w:tcW w:w="680" w:type="dxa"/>
            <w:tcBorders>
              <w:bottom w:val="single" w:sz="12" w:space="0" w:color="auto"/>
            </w:tcBorders>
            <w:shd w:val="clear" w:color="auto" w:fill="auto"/>
            <w:vAlign w:val="bottom"/>
          </w:tcPr>
          <w:p w:rsidR="000B562B" w:rsidRPr="00A176EA" w:rsidRDefault="000B562B" w:rsidP="002C6F62">
            <w:pPr>
              <w:pStyle w:val="Text"/>
              <w:spacing w:before="40" w:after="40" w:line="220" w:lineRule="exact"/>
              <w:ind w:left="113" w:right="57"/>
              <w:jc w:val="right"/>
              <w:rPr>
                <w:rFonts w:ascii="Times New Roman" w:hAnsi="Times New Roman"/>
                <w:sz w:val="18"/>
                <w:szCs w:val="22"/>
                <w:lang w:val="fr-FR"/>
              </w:rPr>
            </w:pPr>
            <w:r w:rsidRPr="00A176EA">
              <w:rPr>
                <w:rFonts w:ascii="Times New Roman" w:hAnsi="Times New Roman"/>
                <w:sz w:val="18"/>
                <w:szCs w:val="22"/>
                <w:lang w:val="fr-FR"/>
              </w:rPr>
              <w:t>10</w:t>
            </w:r>
          </w:p>
        </w:tc>
        <w:tc>
          <w:tcPr>
            <w:tcW w:w="680" w:type="dxa"/>
            <w:tcBorders>
              <w:bottom w:val="single" w:sz="12" w:space="0" w:color="auto"/>
            </w:tcBorders>
            <w:shd w:val="clear" w:color="auto" w:fill="auto"/>
            <w:vAlign w:val="bottom"/>
          </w:tcPr>
          <w:p w:rsidR="000B562B" w:rsidRPr="00A176EA" w:rsidRDefault="000B562B" w:rsidP="002C6F62">
            <w:pPr>
              <w:pStyle w:val="Text"/>
              <w:spacing w:before="40" w:after="40" w:line="220" w:lineRule="exact"/>
              <w:ind w:left="113" w:right="57"/>
              <w:jc w:val="right"/>
              <w:rPr>
                <w:rFonts w:ascii="Times New Roman" w:hAnsi="Times New Roman"/>
                <w:sz w:val="18"/>
                <w:szCs w:val="22"/>
                <w:lang w:val="fr-FR"/>
              </w:rPr>
            </w:pPr>
            <w:r w:rsidRPr="00A176EA">
              <w:rPr>
                <w:rFonts w:ascii="Times New Roman" w:hAnsi="Times New Roman"/>
                <w:sz w:val="18"/>
                <w:szCs w:val="22"/>
                <w:lang w:val="fr-FR"/>
              </w:rPr>
              <w:t>8</w:t>
            </w:r>
          </w:p>
        </w:tc>
        <w:tc>
          <w:tcPr>
            <w:tcW w:w="680" w:type="dxa"/>
            <w:tcBorders>
              <w:bottom w:val="single" w:sz="12" w:space="0" w:color="auto"/>
            </w:tcBorders>
            <w:shd w:val="clear" w:color="auto" w:fill="auto"/>
            <w:vAlign w:val="bottom"/>
          </w:tcPr>
          <w:p w:rsidR="000B562B" w:rsidRPr="00A176EA" w:rsidRDefault="000B562B" w:rsidP="002C6F62">
            <w:pPr>
              <w:pStyle w:val="Text"/>
              <w:spacing w:before="40" w:after="40" w:line="220" w:lineRule="exact"/>
              <w:ind w:left="113" w:right="57"/>
              <w:jc w:val="right"/>
              <w:rPr>
                <w:rFonts w:ascii="Times New Roman" w:hAnsi="Times New Roman"/>
                <w:sz w:val="18"/>
                <w:szCs w:val="22"/>
                <w:lang w:val="fr-FR"/>
              </w:rPr>
            </w:pPr>
            <w:r w:rsidRPr="00A176EA">
              <w:rPr>
                <w:rFonts w:ascii="Times New Roman" w:hAnsi="Times New Roman"/>
                <w:sz w:val="18"/>
                <w:szCs w:val="22"/>
                <w:lang w:val="fr-FR"/>
              </w:rPr>
              <w:t>12</w:t>
            </w:r>
          </w:p>
        </w:tc>
        <w:tc>
          <w:tcPr>
            <w:tcW w:w="680" w:type="dxa"/>
            <w:tcBorders>
              <w:bottom w:val="single" w:sz="12" w:space="0" w:color="auto"/>
            </w:tcBorders>
            <w:shd w:val="clear" w:color="auto" w:fill="auto"/>
            <w:vAlign w:val="bottom"/>
          </w:tcPr>
          <w:p w:rsidR="000B562B" w:rsidRPr="00A176EA" w:rsidRDefault="000B562B" w:rsidP="002C6F62">
            <w:pPr>
              <w:pStyle w:val="Text"/>
              <w:spacing w:before="40" w:after="40" w:line="220" w:lineRule="exact"/>
              <w:ind w:left="113" w:right="57"/>
              <w:jc w:val="right"/>
              <w:rPr>
                <w:rFonts w:ascii="Times New Roman" w:hAnsi="Times New Roman"/>
                <w:sz w:val="18"/>
                <w:szCs w:val="22"/>
                <w:lang w:val="fr-FR"/>
              </w:rPr>
            </w:pPr>
            <w:r w:rsidRPr="00A176EA">
              <w:rPr>
                <w:rFonts w:ascii="Times New Roman" w:hAnsi="Times New Roman"/>
                <w:sz w:val="18"/>
                <w:szCs w:val="22"/>
                <w:lang w:val="fr-FR"/>
              </w:rPr>
              <w:t>14</w:t>
            </w:r>
          </w:p>
        </w:tc>
        <w:tc>
          <w:tcPr>
            <w:tcW w:w="680" w:type="dxa"/>
            <w:tcBorders>
              <w:bottom w:val="single" w:sz="12" w:space="0" w:color="auto"/>
            </w:tcBorders>
            <w:shd w:val="clear" w:color="auto" w:fill="auto"/>
            <w:vAlign w:val="bottom"/>
          </w:tcPr>
          <w:p w:rsidR="000B562B" w:rsidRPr="00A176EA" w:rsidRDefault="000B562B" w:rsidP="002C6F62">
            <w:pPr>
              <w:pStyle w:val="Text"/>
              <w:spacing w:before="40" w:after="40" w:line="220" w:lineRule="exact"/>
              <w:ind w:left="113" w:right="57"/>
              <w:jc w:val="right"/>
              <w:rPr>
                <w:rFonts w:ascii="Times New Roman" w:hAnsi="Times New Roman"/>
                <w:sz w:val="18"/>
                <w:szCs w:val="22"/>
                <w:lang w:val="fr-FR"/>
              </w:rPr>
            </w:pPr>
            <w:r w:rsidRPr="00A176EA">
              <w:rPr>
                <w:rFonts w:ascii="Times New Roman" w:hAnsi="Times New Roman"/>
                <w:sz w:val="18"/>
                <w:szCs w:val="22"/>
                <w:lang w:val="fr-FR"/>
              </w:rPr>
              <w:t>12</w:t>
            </w:r>
          </w:p>
        </w:tc>
      </w:tr>
    </w:tbl>
    <w:p w:rsidR="000B562B" w:rsidRPr="00A176EA" w:rsidRDefault="002549A9" w:rsidP="00820ECF">
      <w:pPr>
        <w:pStyle w:val="SingleTxtG"/>
        <w:spacing w:before="120"/>
        <w:rPr>
          <w:lang w:val="fr-FR"/>
        </w:rPr>
      </w:pPr>
      <w:r w:rsidRPr="00A176EA">
        <w:rPr>
          <w:lang w:val="fr-FR"/>
        </w:rPr>
        <w:t>101.</w:t>
      </w:r>
      <w:r w:rsidRPr="00A176EA">
        <w:rPr>
          <w:lang w:val="fr-FR"/>
        </w:rPr>
        <w:tab/>
      </w:r>
      <w:r w:rsidR="00BF42ED" w:rsidRPr="0087031A">
        <w:rPr>
          <w:lang w:val="fr-FR"/>
        </w:rPr>
        <w:t>L’</w:t>
      </w:r>
      <w:r w:rsidR="008E4932" w:rsidRPr="0087031A">
        <w:rPr>
          <w:lang w:val="fr-FR"/>
        </w:rPr>
        <w:t>Administration pénitentiaire</w:t>
      </w:r>
      <w:r w:rsidR="000B562B" w:rsidRPr="0087031A">
        <w:rPr>
          <w:lang w:val="fr-FR"/>
        </w:rPr>
        <w:t xml:space="preserve"> </w:t>
      </w:r>
      <w:r w:rsidR="00BF42ED" w:rsidRPr="0087031A">
        <w:rPr>
          <w:lang w:val="fr-FR"/>
        </w:rPr>
        <w:t xml:space="preserve">de Jersey </w:t>
      </w:r>
      <w:r w:rsidR="00E90AE8" w:rsidRPr="0087031A">
        <w:rPr>
          <w:lang w:val="fr-FR"/>
        </w:rPr>
        <w:t xml:space="preserve">a enregistré deux décès en détention, l’un en 2006 et l’autre en </w:t>
      </w:r>
      <w:r w:rsidR="000B562B" w:rsidRPr="0087031A">
        <w:rPr>
          <w:lang w:val="fr-FR"/>
        </w:rPr>
        <w:t xml:space="preserve">2007. </w:t>
      </w:r>
      <w:r w:rsidR="00BF42ED" w:rsidRPr="0087031A">
        <w:rPr>
          <w:lang w:val="fr-FR"/>
        </w:rPr>
        <w:t>L</w:t>
      </w:r>
      <w:r w:rsidR="000B562B" w:rsidRPr="0087031A">
        <w:rPr>
          <w:lang w:val="fr-FR"/>
        </w:rPr>
        <w:t xml:space="preserve">e </w:t>
      </w:r>
      <w:r w:rsidR="00BF42ED" w:rsidRPr="0087031A">
        <w:rPr>
          <w:snapToGrid w:val="0"/>
          <w:lang w:val="fr-FR"/>
        </w:rPr>
        <w:t xml:space="preserve">Médiateur </w:t>
      </w:r>
      <w:r w:rsidR="00BF42ED" w:rsidRPr="0087031A">
        <w:rPr>
          <w:lang w:val="fr-FR"/>
        </w:rPr>
        <w:t xml:space="preserve">des établissements pénitentiaires et de la probation pour l’Angleterre et le </w:t>
      </w:r>
      <w:r w:rsidR="00E90AE8" w:rsidRPr="0087031A">
        <w:rPr>
          <w:lang w:val="fr-FR"/>
        </w:rPr>
        <w:t>p</w:t>
      </w:r>
      <w:r w:rsidR="005601A1" w:rsidRPr="0087031A">
        <w:rPr>
          <w:lang w:val="fr-FR"/>
        </w:rPr>
        <w:t>ays de Galles</w:t>
      </w:r>
      <w:r w:rsidR="000B562B" w:rsidRPr="0087031A">
        <w:rPr>
          <w:lang w:val="fr-FR"/>
        </w:rPr>
        <w:t xml:space="preserve"> </w:t>
      </w:r>
      <w:r w:rsidR="00E90AE8" w:rsidRPr="0087031A">
        <w:rPr>
          <w:lang w:val="fr-FR"/>
        </w:rPr>
        <w:t>(qui, légalement, n’a ni rôle ni pouvoirs à Guernesey) a été invité à enquêter sur les circonstances de ces deux décès</w:t>
      </w:r>
      <w:r w:rsidR="000B562B" w:rsidRPr="0087031A">
        <w:rPr>
          <w:lang w:val="fr-FR"/>
        </w:rPr>
        <w:t>.</w:t>
      </w:r>
      <w:r w:rsidR="0087031A">
        <w:rPr>
          <w:lang w:val="fr-FR"/>
        </w:rPr>
        <w:t xml:space="preserve"> Dans l’un des cas, il a conclu que le décès n’était ni prévisible ni évitable. Dans le second cas, il </w:t>
      </w:r>
      <w:r w:rsidR="000B562B" w:rsidRPr="00A176EA">
        <w:rPr>
          <w:lang w:val="fr-FR"/>
        </w:rPr>
        <w:t xml:space="preserve"> </w:t>
      </w:r>
      <w:r w:rsidR="0087031A">
        <w:rPr>
          <w:lang w:val="fr-FR"/>
        </w:rPr>
        <w:t>n’en a pas imputé la responsabilité à l’Administration pénitentiaire mais il a formulé une série de recommandations concernant des mesures de prévention du suicide. Par suite, une politique révisée de prévention du suicide a été mise en place</w:t>
      </w:r>
      <w:r w:rsidR="000B562B" w:rsidRPr="00A176EA">
        <w:rPr>
          <w:lang w:val="fr-FR"/>
        </w:rPr>
        <w:t>.</w:t>
      </w:r>
    </w:p>
    <w:p w:rsidR="000B562B" w:rsidRPr="00A176EA" w:rsidRDefault="002549A9" w:rsidP="008A4455">
      <w:pPr>
        <w:pStyle w:val="SingleTxtG"/>
        <w:rPr>
          <w:lang w:val="fr-FR"/>
        </w:rPr>
      </w:pPr>
      <w:r w:rsidRPr="00A176EA">
        <w:rPr>
          <w:lang w:val="fr-FR"/>
        </w:rPr>
        <w:t>102.</w:t>
      </w:r>
      <w:r w:rsidRPr="00A176EA">
        <w:rPr>
          <w:lang w:val="fr-FR"/>
        </w:rPr>
        <w:tab/>
      </w:r>
      <w:r w:rsidR="0087031A">
        <w:rPr>
          <w:lang w:val="fr-FR"/>
        </w:rPr>
        <w:t xml:space="preserve">Il n’y a pas eu de décès de personnes </w:t>
      </w:r>
      <w:r w:rsidR="002D0358">
        <w:rPr>
          <w:lang w:val="fr-FR"/>
        </w:rPr>
        <w:t>retenues</w:t>
      </w:r>
      <w:r w:rsidR="0087031A">
        <w:rPr>
          <w:lang w:val="fr-FR"/>
        </w:rPr>
        <w:t xml:space="preserve"> par le </w:t>
      </w:r>
      <w:r w:rsidR="0087031A" w:rsidRPr="0087031A">
        <w:rPr>
          <w:lang w:val="fr-FR"/>
        </w:rPr>
        <w:t>Service des douanes et de l’immigration de Jersey</w:t>
      </w:r>
      <w:r w:rsidR="000B562B" w:rsidRPr="00A176EA">
        <w:rPr>
          <w:lang w:val="fr-FR"/>
        </w:rPr>
        <w:t>.</w:t>
      </w:r>
    </w:p>
    <w:p w:rsidR="000B562B" w:rsidRPr="00A176EA" w:rsidRDefault="002549A9" w:rsidP="008A4455">
      <w:pPr>
        <w:pStyle w:val="SingleTxtG"/>
        <w:rPr>
          <w:lang w:val="fr-FR"/>
        </w:rPr>
      </w:pPr>
      <w:r w:rsidRPr="00A176EA">
        <w:rPr>
          <w:lang w:val="fr-FR"/>
        </w:rPr>
        <w:t>103.</w:t>
      </w:r>
      <w:r w:rsidRPr="00A176EA">
        <w:rPr>
          <w:lang w:val="fr-FR"/>
        </w:rPr>
        <w:tab/>
      </w:r>
      <w:r w:rsidR="0087031A">
        <w:rPr>
          <w:lang w:val="fr-FR"/>
        </w:rPr>
        <w:t xml:space="preserve">L’Administration pénitentiaire a introduit une nouvelle Procédure de traitement des plaintes des détenus en 2008. Les détenus peuvent accéder à tout moment au </w:t>
      </w:r>
      <w:r w:rsidR="00D91987">
        <w:rPr>
          <w:lang w:val="fr-FR"/>
        </w:rPr>
        <w:t xml:space="preserve">Comité d’inspection et sont informés des moyens possibles pour </w:t>
      </w:r>
      <w:r w:rsidR="005A0480">
        <w:rPr>
          <w:lang w:val="fr-FR"/>
        </w:rPr>
        <w:t>déposer une plainte</w:t>
      </w:r>
      <w:r w:rsidR="00D91987">
        <w:rPr>
          <w:lang w:val="fr-FR"/>
        </w:rPr>
        <w:t xml:space="preserve"> en interne ou </w:t>
      </w:r>
      <w:r w:rsidR="005A0480">
        <w:rPr>
          <w:lang w:val="fr-FR"/>
        </w:rPr>
        <w:t>auprès</w:t>
      </w:r>
      <w:r w:rsidR="00D91987">
        <w:rPr>
          <w:lang w:val="fr-FR"/>
        </w:rPr>
        <w:t xml:space="preserve"> de sources externes, dont le Ministre de l’intérieur, la police </w:t>
      </w:r>
      <w:r w:rsidR="005A0480">
        <w:rPr>
          <w:lang w:val="fr-FR"/>
        </w:rPr>
        <w:t>ou leur représentant légal</w:t>
      </w:r>
      <w:r w:rsidR="000B562B" w:rsidRPr="00A176EA">
        <w:rPr>
          <w:lang w:val="fr-FR"/>
        </w:rPr>
        <w:t>.</w:t>
      </w:r>
    </w:p>
    <w:p w:rsidR="0068022E" w:rsidRPr="0068022E" w:rsidRDefault="002549A9" w:rsidP="008A4455">
      <w:pPr>
        <w:pStyle w:val="SingleTxtG"/>
        <w:rPr>
          <w:lang w:val="fr-FR"/>
        </w:rPr>
      </w:pPr>
      <w:r w:rsidRPr="00A176EA">
        <w:rPr>
          <w:lang w:val="fr-FR"/>
        </w:rPr>
        <w:t>104.</w:t>
      </w:r>
      <w:r w:rsidRPr="00A176EA">
        <w:rPr>
          <w:lang w:val="fr-FR"/>
        </w:rPr>
        <w:tab/>
      </w:r>
      <w:r w:rsidR="0087031A" w:rsidRPr="0068022E">
        <w:rPr>
          <w:lang w:val="fr-FR"/>
        </w:rPr>
        <w:t>La loi de 1999 sur la p</w:t>
      </w:r>
      <w:r w:rsidR="000B562B" w:rsidRPr="0068022E">
        <w:rPr>
          <w:lang w:val="fr-FR"/>
        </w:rPr>
        <w:t>olice (</w:t>
      </w:r>
      <w:r w:rsidR="0087031A" w:rsidRPr="0068022E">
        <w:rPr>
          <w:lang w:val="fr-FR"/>
        </w:rPr>
        <w:t>Plaintes et</w:t>
      </w:r>
      <w:r w:rsidR="000B562B" w:rsidRPr="0068022E">
        <w:rPr>
          <w:lang w:val="fr-FR"/>
        </w:rPr>
        <w:t xml:space="preserve"> </w:t>
      </w:r>
      <w:r w:rsidR="0087031A" w:rsidRPr="0068022E">
        <w:rPr>
          <w:lang w:val="fr-FR"/>
        </w:rPr>
        <w:t>d</w:t>
      </w:r>
      <w:r w:rsidR="000B562B" w:rsidRPr="0068022E">
        <w:rPr>
          <w:lang w:val="fr-FR"/>
        </w:rPr>
        <w:t xml:space="preserve">iscipline) (Jersey) </w:t>
      </w:r>
      <w:r w:rsidR="0068022E" w:rsidRPr="0068022E">
        <w:rPr>
          <w:lang w:val="fr-FR"/>
        </w:rPr>
        <w:t>s’applique également à la Police honoraire et toute plainte reçue par le Connétable à l’encontre de ses agents est enregistrée puis fait l’objet d’une enquête conforme à la loi. L’Administration chargée des plaintes contre la police de Jersey supervise les enquêtes.</w:t>
      </w:r>
    </w:p>
    <w:p w:rsidR="000B562B" w:rsidRPr="0068022E" w:rsidRDefault="007115EF" w:rsidP="00A95361">
      <w:pPr>
        <w:pStyle w:val="H23G"/>
        <w:rPr>
          <w:lang w:val="fr-FR"/>
        </w:rPr>
      </w:pPr>
      <w:r w:rsidRPr="0068022E">
        <w:rPr>
          <w:lang w:val="fr-FR"/>
        </w:rPr>
        <w:t>Î</w:t>
      </w:r>
      <w:r w:rsidR="000B562B" w:rsidRPr="0068022E">
        <w:rPr>
          <w:lang w:val="fr-FR"/>
        </w:rPr>
        <w:t xml:space="preserve">le </w:t>
      </w:r>
      <w:r w:rsidRPr="0068022E">
        <w:rPr>
          <w:lang w:val="fr-FR"/>
        </w:rPr>
        <w:t>de</w:t>
      </w:r>
      <w:r w:rsidR="000B562B" w:rsidRPr="0068022E">
        <w:rPr>
          <w:lang w:val="fr-FR"/>
        </w:rPr>
        <w:t xml:space="preserve"> Man</w:t>
      </w:r>
    </w:p>
    <w:p w:rsidR="000B562B" w:rsidRPr="00A176EA" w:rsidRDefault="002549A9" w:rsidP="00CF5D13">
      <w:pPr>
        <w:pStyle w:val="SingleTxtG"/>
        <w:spacing w:after="240"/>
        <w:rPr>
          <w:lang w:val="fr-FR"/>
        </w:rPr>
      </w:pPr>
      <w:r w:rsidRPr="0068022E">
        <w:rPr>
          <w:lang w:val="fr-FR"/>
        </w:rPr>
        <w:t>105.</w:t>
      </w:r>
      <w:r w:rsidRPr="0068022E">
        <w:rPr>
          <w:lang w:val="fr-FR"/>
        </w:rPr>
        <w:tab/>
      </w:r>
      <w:r w:rsidR="00B5224F">
        <w:rPr>
          <w:lang w:val="fr-FR"/>
        </w:rPr>
        <w:t xml:space="preserve">Le détail des plaintes contre la police depuis le quatrième rapport périodique et </w:t>
      </w:r>
      <w:r w:rsidR="00EC3B9A">
        <w:rPr>
          <w:lang w:val="fr-FR"/>
        </w:rPr>
        <w:t xml:space="preserve">l’état de leur traitement au 31 mars 2010 figurent dans le tableau ci-après. Il est important de noter </w:t>
      </w:r>
      <w:r w:rsidR="00A526F7">
        <w:rPr>
          <w:lang w:val="fr-FR"/>
        </w:rPr>
        <w:t xml:space="preserve">qu’une même plainte peut aboutir à plusieurs </w:t>
      </w:r>
      <w:r w:rsidR="00953837">
        <w:rPr>
          <w:lang w:val="fr-FR"/>
        </w:rPr>
        <w:t>conclusions</w:t>
      </w:r>
      <w:r w:rsidR="00FC2B97">
        <w:rPr>
          <w:lang w:val="fr-FR"/>
        </w:rPr>
        <w:t>:</w:t>
      </w:r>
      <w:r w:rsidR="00A526F7">
        <w:rPr>
          <w:lang w:val="fr-FR"/>
        </w:rPr>
        <w:t xml:space="preserve"> par exemple, à la condamnation d’un fonctionnaire pour manquement au devoir mais également pour abus de pouvoir d</w:t>
      </w:r>
      <w:r w:rsidR="00657DA1">
        <w:rPr>
          <w:lang w:val="fr-FR"/>
        </w:rPr>
        <w:t>ans l</w:t>
      </w:r>
      <w:r w:rsidR="00A526F7">
        <w:rPr>
          <w:lang w:val="fr-FR"/>
        </w:rPr>
        <w:t>es mêmes circonstances</w:t>
      </w:r>
      <w:r w:rsidR="000B562B" w:rsidRPr="00A176EA">
        <w:rPr>
          <w:lang w:val="fr-FR"/>
        </w:rPr>
        <w:t>.</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2436"/>
        <w:gridCol w:w="986"/>
        <w:gridCol w:w="987"/>
        <w:gridCol w:w="987"/>
        <w:gridCol w:w="987"/>
        <w:gridCol w:w="987"/>
      </w:tblGrid>
      <w:tr w:rsidR="000B562B" w:rsidRPr="00A176EA" w:rsidTr="00F7531B">
        <w:trPr>
          <w:trHeight w:val="240"/>
          <w:tblHeader/>
        </w:trPr>
        <w:tc>
          <w:tcPr>
            <w:tcW w:w="2552" w:type="dxa"/>
            <w:tcBorders>
              <w:top w:val="single" w:sz="4" w:space="0" w:color="auto"/>
              <w:bottom w:val="single" w:sz="12" w:space="0" w:color="auto"/>
            </w:tcBorders>
            <w:shd w:val="clear" w:color="auto" w:fill="auto"/>
            <w:vAlign w:val="bottom"/>
          </w:tcPr>
          <w:p w:rsidR="000B562B" w:rsidRPr="00A176EA" w:rsidRDefault="000B562B" w:rsidP="00A95361">
            <w:pPr>
              <w:pStyle w:val="Text"/>
              <w:spacing w:before="80" w:after="80" w:line="200" w:lineRule="exact"/>
              <w:rPr>
                <w:rFonts w:ascii="Times New Roman" w:hAnsi="Times New Roman"/>
                <w:i/>
                <w:sz w:val="16"/>
                <w:lang w:val="fr-FR"/>
              </w:rPr>
            </w:pPr>
          </w:p>
        </w:tc>
        <w:tc>
          <w:tcPr>
            <w:tcW w:w="1021" w:type="dxa"/>
            <w:tcBorders>
              <w:top w:val="single" w:sz="4" w:space="0" w:color="auto"/>
              <w:bottom w:val="single" w:sz="12" w:space="0" w:color="auto"/>
            </w:tcBorders>
            <w:shd w:val="clear" w:color="auto" w:fill="auto"/>
            <w:vAlign w:val="bottom"/>
          </w:tcPr>
          <w:p w:rsidR="000B562B" w:rsidRPr="00A176EA" w:rsidRDefault="000B562B" w:rsidP="00F7531B">
            <w:pPr>
              <w:pStyle w:val="Text"/>
              <w:spacing w:before="80" w:after="80" w:line="200" w:lineRule="exact"/>
              <w:ind w:left="113" w:right="57"/>
              <w:jc w:val="right"/>
              <w:rPr>
                <w:rFonts w:ascii="Times New Roman" w:hAnsi="Times New Roman"/>
                <w:i/>
                <w:sz w:val="16"/>
                <w:lang w:val="fr-FR"/>
              </w:rPr>
            </w:pPr>
            <w:r w:rsidRPr="00A176EA">
              <w:rPr>
                <w:rFonts w:ascii="Times New Roman" w:hAnsi="Times New Roman"/>
                <w:i/>
                <w:sz w:val="16"/>
                <w:lang w:val="fr-FR"/>
              </w:rPr>
              <w:t>2005</w:t>
            </w:r>
            <w:r w:rsidR="00C73411">
              <w:rPr>
                <w:rFonts w:ascii="Times New Roman" w:hAnsi="Times New Roman"/>
                <w:i/>
                <w:sz w:val="16"/>
                <w:lang w:val="fr-FR"/>
              </w:rPr>
              <w:t>-20</w:t>
            </w:r>
            <w:r w:rsidRPr="00A176EA">
              <w:rPr>
                <w:rFonts w:ascii="Times New Roman" w:hAnsi="Times New Roman"/>
                <w:i/>
                <w:sz w:val="16"/>
                <w:lang w:val="fr-FR"/>
              </w:rPr>
              <w:t>06</w:t>
            </w:r>
          </w:p>
        </w:tc>
        <w:tc>
          <w:tcPr>
            <w:tcW w:w="1021" w:type="dxa"/>
            <w:tcBorders>
              <w:top w:val="single" w:sz="4" w:space="0" w:color="auto"/>
              <w:bottom w:val="single" w:sz="12" w:space="0" w:color="auto"/>
            </w:tcBorders>
            <w:shd w:val="clear" w:color="auto" w:fill="auto"/>
            <w:vAlign w:val="bottom"/>
          </w:tcPr>
          <w:p w:rsidR="000B562B" w:rsidRPr="00A176EA" w:rsidRDefault="000B562B" w:rsidP="00F7531B">
            <w:pPr>
              <w:pStyle w:val="Text"/>
              <w:spacing w:before="80" w:after="80" w:line="200" w:lineRule="exact"/>
              <w:ind w:left="113" w:right="57"/>
              <w:jc w:val="right"/>
              <w:rPr>
                <w:rFonts w:ascii="Times New Roman" w:hAnsi="Times New Roman"/>
                <w:i/>
                <w:sz w:val="16"/>
                <w:lang w:val="fr-FR"/>
              </w:rPr>
            </w:pPr>
            <w:r w:rsidRPr="00A176EA">
              <w:rPr>
                <w:rFonts w:ascii="Times New Roman" w:hAnsi="Times New Roman"/>
                <w:i/>
                <w:sz w:val="16"/>
                <w:lang w:val="fr-FR"/>
              </w:rPr>
              <w:t>2006</w:t>
            </w:r>
            <w:r w:rsidR="00C73411">
              <w:rPr>
                <w:rFonts w:ascii="Times New Roman" w:hAnsi="Times New Roman"/>
                <w:i/>
                <w:sz w:val="16"/>
                <w:lang w:val="fr-FR"/>
              </w:rPr>
              <w:t>-20</w:t>
            </w:r>
            <w:r w:rsidRPr="00A176EA">
              <w:rPr>
                <w:rFonts w:ascii="Times New Roman" w:hAnsi="Times New Roman"/>
                <w:i/>
                <w:sz w:val="16"/>
                <w:lang w:val="fr-FR"/>
              </w:rPr>
              <w:t>07</w:t>
            </w:r>
          </w:p>
        </w:tc>
        <w:tc>
          <w:tcPr>
            <w:tcW w:w="1021" w:type="dxa"/>
            <w:tcBorders>
              <w:top w:val="single" w:sz="4" w:space="0" w:color="auto"/>
              <w:bottom w:val="single" w:sz="12" w:space="0" w:color="auto"/>
            </w:tcBorders>
            <w:shd w:val="clear" w:color="auto" w:fill="auto"/>
            <w:vAlign w:val="bottom"/>
          </w:tcPr>
          <w:p w:rsidR="000B562B" w:rsidRPr="00A176EA" w:rsidRDefault="000B562B" w:rsidP="00F7531B">
            <w:pPr>
              <w:pStyle w:val="Text"/>
              <w:spacing w:before="80" w:after="80" w:line="200" w:lineRule="exact"/>
              <w:ind w:left="113" w:right="57"/>
              <w:jc w:val="right"/>
              <w:rPr>
                <w:rFonts w:ascii="Times New Roman" w:hAnsi="Times New Roman"/>
                <w:i/>
                <w:sz w:val="16"/>
                <w:lang w:val="fr-FR"/>
              </w:rPr>
            </w:pPr>
            <w:r w:rsidRPr="00A176EA">
              <w:rPr>
                <w:rFonts w:ascii="Times New Roman" w:hAnsi="Times New Roman"/>
                <w:i/>
                <w:sz w:val="16"/>
                <w:lang w:val="fr-FR"/>
              </w:rPr>
              <w:t>2007</w:t>
            </w:r>
            <w:r w:rsidR="00C73411">
              <w:rPr>
                <w:rFonts w:ascii="Times New Roman" w:hAnsi="Times New Roman"/>
                <w:i/>
                <w:sz w:val="16"/>
                <w:lang w:val="fr-FR"/>
              </w:rPr>
              <w:t>-20</w:t>
            </w:r>
            <w:r w:rsidRPr="00A176EA">
              <w:rPr>
                <w:rFonts w:ascii="Times New Roman" w:hAnsi="Times New Roman"/>
                <w:i/>
                <w:sz w:val="16"/>
                <w:lang w:val="fr-FR"/>
              </w:rPr>
              <w:t>08</w:t>
            </w:r>
          </w:p>
        </w:tc>
        <w:tc>
          <w:tcPr>
            <w:tcW w:w="1021" w:type="dxa"/>
            <w:tcBorders>
              <w:top w:val="single" w:sz="4" w:space="0" w:color="auto"/>
              <w:bottom w:val="single" w:sz="12" w:space="0" w:color="auto"/>
            </w:tcBorders>
            <w:shd w:val="clear" w:color="auto" w:fill="auto"/>
            <w:vAlign w:val="bottom"/>
          </w:tcPr>
          <w:p w:rsidR="000B562B" w:rsidRPr="00A176EA" w:rsidRDefault="000B562B" w:rsidP="00F7531B">
            <w:pPr>
              <w:pStyle w:val="Text"/>
              <w:spacing w:before="80" w:after="80" w:line="200" w:lineRule="exact"/>
              <w:ind w:left="113" w:right="57"/>
              <w:jc w:val="right"/>
              <w:rPr>
                <w:rFonts w:ascii="Times New Roman" w:hAnsi="Times New Roman"/>
                <w:i/>
                <w:sz w:val="16"/>
                <w:lang w:val="fr-FR"/>
              </w:rPr>
            </w:pPr>
            <w:r w:rsidRPr="00A176EA">
              <w:rPr>
                <w:rFonts w:ascii="Times New Roman" w:hAnsi="Times New Roman"/>
                <w:i/>
                <w:sz w:val="16"/>
                <w:lang w:val="fr-FR"/>
              </w:rPr>
              <w:t>2008</w:t>
            </w:r>
            <w:r w:rsidR="00C73411">
              <w:rPr>
                <w:rFonts w:ascii="Times New Roman" w:hAnsi="Times New Roman"/>
                <w:i/>
                <w:sz w:val="16"/>
                <w:lang w:val="fr-FR"/>
              </w:rPr>
              <w:t>-20</w:t>
            </w:r>
            <w:r w:rsidRPr="00A176EA">
              <w:rPr>
                <w:rFonts w:ascii="Times New Roman" w:hAnsi="Times New Roman"/>
                <w:i/>
                <w:sz w:val="16"/>
                <w:lang w:val="fr-FR"/>
              </w:rPr>
              <w:t>09</w:t>
            </w:r>
          </w:p>
        </w:tc>
        <w:tc>
          <w:tcPr>
            <w:tcW w:w="1021" w:type="dxa"/>
            <w:tcBorders>
              <w:top w:val="single" w:sz="4" w:space="0" w:color="auto"/>
              <w:bottom w:val="single" w:sz="12" w:space="0" w:color="auto"/>
            </w:tcBorders>
            <w:shd w:val="clear" w:color="auto" w:fill="auto"/>
            <w:vAlign w:val="bottom"/>
          </w:tcPr>
          <w:p w:rsidR="000B562B" w:rsidRPr="00A176EA" w:rsidRDefault="000B562B" w:rsidP="00F7531B">
            <w:pPr>
              <w:pStyle w:val="Text"/>
              <w:spacing w:before="80" w:after="80" w:line="200" w:lineRule="exact"/>
              <w:ind w:left="113" w:right="57"/>
              <w:jc w:val="right"/>
              <w:rPr>
                <w:rFonts w:ascii="Times New Roman" w:hAnsi="Times New Roman"/>
                <w:i/>
                <w:sz w:val="16"/>
                <w:lang w:val="fr-FR"/>
              </w:rPr>
            </w:pPr>
            <w:r w:rsidRPr="00A176EA">
              <w:rPr>
                <w:rFonts w:ascii="Times New Roman" w:hAnsi="Times New Roman"/>
                <w:i/>
                <w:sz w:val="16"/>
                <w:lang w:val="fr-FR"/>
              </w:rPr>
              <w:t>2009</w:t>
            </w:r>
            <w:r w:rsidR="00C73411">
              <w:rPr>
                <w:rFonts w:ascii="Times New Roman" w:hAnsi="Times New Roman"/>
                <w:i/>
                <w:sz w:val="16"/>
                <w:lang w:val="fr-FR"/>
              </w:rPr>
              <w:t>-20</w:t>
            </w:r>
            <w:r w:rsidRPr="00A176EA">
              <w:rPr>
                <w:rFonts w:ascii="Times New Roman" w:hAnsi="Times New Roman"/>
                <w:i/>
                <w:sz w:val="16"/>
                <w:lang w:val="fr-FR"/>
              </w:rPr>
              <w:t>10</w:t>
            </w:r>
          </w:p>
        </w:tc>
      </w:tr>
      <w:tr w:rsidR="000B562B" w:rsidRPr="00A176EA" w:rsidTr="00F7531B">
        <w:trPr>
          <w:trHeight w:val="240"/>
        </w:trPr>
        <w:tc>
          <w:tcPr>
            <w:tcW w:w="2552" w:type="dxa"/>
            <w:tcBorders>
              <w:top w:val="single" w:sz="12" w:space="0" w:color="auto"/>
            </w:tcBorders>
            <w:shd w:val="clear" w:color="auto" w:fill="auto"/>
          </w:tcPr>
          <w:p w:rsidR="000B562B" w:rsidRPr="00A526F7" w:rsidRDefault="00F176C5" w:rsidP="00A95361">
            <w:pPr>
              <w:pStyle w:val="Text"/>
              <w:spacing w:before="40" w:after="40" w:line="220" w:lineRule="exact"/>
              <w:rPr>
                <w:rFonts w:ascii="Times New Roman" w:hAnsi="Times New Roman"/>
                <w:sz w:val="18"/>
                <w:lang w:val="fr-FR"/>
              </w:rPr>
            </w:pPr>
            <w:r w:rsidRPr="00A526F7">
              <w:rPr>
                <w:rFonts w:ascii="Times New Roman" w:hAnsi="Times New Roman"/>
                <w:sz w:val="18"/>
                <w:lang w:val="fr-FR"/>
              </w:rPr>
              <w:t>Plaintes formelles</w:t>
            </w:r>
          </w:p>
        </w:tc>
        <w:tc>
          <w:tcPr>
            <w:tcW w:w="1021" w:type="dxa"/>
            <w:tcBorders>
              <w:top w:val="single" w:sz="12" w:space="0" w:color="auto"/>
            </w:tcBorders>
            <w:shd w:val="clear" w:color="auto" w:fill="auto"/>
            <w:vAlign w:val="bottom"/>
          </w:tcPr>
          <w:p w:rsidR="000B562B" w:rsidRPr="00A176EA" w:rsidRDefault="000B562B" w:rsidP="00F7531B">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18</w:t>
            </w:r>
          </w:p>
        </w:tc>
        <w:tc>
          <w:tcPr>
            <w:tcW w:w="1021" w:type="dxa"/>
            <w:tcBorders>
              <w:top w:val="single" w:sz="12" w:space="0" w:color="auto"/>
            </w:tcBorders>
            <w:shd w:val="clear" w:color="auto" w:fill="auto"/>
            <w:vAlign w:val="bottom"/>
          </w:tcPr>
          <w:p w:rsidR="000B562B" w:rsidRPr="00A176EA" w:rsidRDefault="000B562B" w:rsidP="00F7531B">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21</w:t>
            </w:r>
          </w:p>
        </w:tc>
        <w:tc>
          <w:tcPr>
            <w:tcW w:w="1021" w:type="dxa"/>
            <w:tcBorders>
              <w:top w:val="single" w:sz="12" w:space="0" w:color="auto"/>
            </w:tcBorders>
            <w:shd w:val="clear" w:color="auto" w:fill="auto"/>
            <w:vAlign w:val="bottom"/>
          </w:tcPr>
          <w:p w:rsidR="000B562B" w:rsidRPr="00A176EA" w:rsidRDefault="000B562B" w:rsidP="00F7531B">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28</w:t>
            </w:r>
          </w:p>
        </w:tc>
        <w:tc>
          <w:tcPr>
            <w:tcW w:w="1021" w:type="dxa"/>
            <w:tcBorders>
              <w:top w:val="single" w:sz="12" w:space="0" w:color="auto"/>
            </w:tcBorders>
            <w:shd w:val="clear" w:color="auto" w:fill="auto"/>
            <w:vAlign w:val="bottom"/>
          </w:tcPr>
          <w:p w:rsidR="000B562B" w:rsidRPr="00A176EA" w:rsidRDefault="000B562B" w:rsidP="00F7531B">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23</w:t>
            </w:r>
          </w:p>
        </w:tc>
        <w:tc>
          <w:tcPr>
            <w:tcW w:w="1021" w:type="dxa"/>
            <w:tcBorders>
              <w:top w:val="single" w:sz="12" w:space="0" w:color="auto"/>
            </w:tcBorders>
            <w:shd w:val="clear" w:color="auto" w:fill="auto"/>
            <w:vAlign w:val="bottom"/>
          </w:tcPr>
          <w:p w:rsidR="000B562B" w:rsidRPr="00A176EA" w:rsidRDefault="000B562B" w:rsidP="00F7531B">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20</w:t>
            </w:r>
          </w:p>
        </w:tc>
      </w:tr>
      <w:tr w:rsidR="000B562B" w:rsidRPr="00A176EA" w:rsidTr="00F7531B">
        <w:trPr>
          <w:trHeight w:val="240"/>
        </w:trPr>
        <w:tc>
          <w:tcPr>
            <w:tcW w:w="2552" w:type="dxa"/>
            <w:shd w:val="clear" w:color="auto" w:fill="auto"/>
          </w:tcPr>
          <w:p w:rsidR="000B562B" w:rsidRPr="00A526F7" w:rsidRDefault="00F176C5" w:rsidP="00A95361">
            <w:pPr>
              <w:pStyle w:val="Text"/>
              <w:spacing w:before="40" w:after="40" w:line="220" w:lineRule="exact"/>
              <w:rPr>
                <w:rFonts w:ascii="Times New Roman" w:hAnsi="Times New Roman"/>
                <w:sz w:val="18"/>
                <w:lang w:val="fr-FR"/>
              </w:rPr>
            </w:pPr>
            <w:r w:rsidRPr="00A526F7">
              <w:rPr>
                <w:rFonts w:ascii="Times New Roman" w:hAnsi="Times New Roman"/>
                <w:sz w:val="18"/>
                <w:lang w:val="fr-FR"/>
              </w:rPr>
              <w:t>Plaintes informelles</w:t>
            </w:r>
          </w:p>
        </w:tc>
        <w:tc>
          <w:tcPr>
            <w:tcW w:w="1021" w:type="dxa"/>
            <w:shd w:val="clear" w:color="auto" w:fill="auto"/>
            <w:vAlign w:val="bottom"/>
          </w:tcPr>
          <w:p w:rsidR="000B562B" w:rsidRPr="00A176EA" w:rsidRDefault="000B562B" w:rsidP="00F7531B">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2</w:t>
            </w:r>
          </w:p>
        </w:tc>
        <w:tc>
          <w:tcPr>
            <w:tcW w:w="1021" w:type="dxa"/>
            <w:shd w:val="clear" w:color="auto" w:fill="auto"/>
            <w:vAlign w:val="bottom"/>
          </w:tcPr>
          <w:p w:rsidR="000B562B" w:rsidRPr="00A176EA" w:rsidRDefault="000B562B" w:rsidP="00F7531B">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1</w:t>
            </w:r>
          </w:p>
        </w:tc>
        <w:tc>
          <w:tcPr>
            <w:tcW w:w="1021" w:type="dxa"/>
            <w:shd w:val="clear" w:color="auto" w:fill="auto"/>
            <w:vAlign w:val="bottom"/>
          </w:tcPr>
          <w:p w:rsidR="000B562B" w:rsidRPr="00A176EA" w:rsidRDefault="000B562B" w:rsidP="00F7531B">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0</w:t>
            </w:r>
          </w:p>
        </w:tc>
        <w:tc>
          <w:tcPr>
            <w:tcW w:w="1021" w:type="dxa"/>
            <w:shd w:val="clear" w:color="auto" w:fill="auto"/>
            <w:vAlign w:val="bottom"/>
          </w:tcPr>
          <w:p w:rsidR="000B562B" w:rsidRPr="00A176EA" w:rsidRDefault="000B562B" w:rsidP="00F7531B">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0</w:t>
            </w:r>
          </w:p>
        </w:tc>
        <w:tc>
          <w:tcPr>
            <w:tcW w:w="1021" w:type="dxa"/>
            <w:shd w:val="clear" w:color="auto" w:fill="auto"/>
            <w:vAlign w:val="bottom"/>
          </w:tcPr>
          <w:p w:rsidR="000B562B" w:rsidRPr="00A176EA" w:rsidRDefault="000B562B" w:rsidP="00F7531B">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0</w:t>
            </w:r>
          </w:p>
        </w:tc>
      </w:tr>
      <w:tr w:rsidR="000B562B" w:rsidRPr="00A176EA" w:rsidTr="00F7531B">
        <w:trPr>
          <w:trHeight w:val="240"/>
        </w:trPr>
        <w:tc>
          <w:tcPr>
            <w:tcW w:w="2552" w:type="dxa"/>
            <w:shd w:val="clear" w:color="auto" w:fill="auto"/>
          </w:tcPr>
          <w:p w:rsidR="000B562B" w:rsidRPr="00A526F7" w:rsidRDefault="000B562B" w:rsidP="00A95361">
            <w:pPr>
              <w:pStyle w:val="Text"/>
              <w:spacing w:before="40" w:after="40" w:line="220" w:lineRule="exact"/>
              <w:rPr>
                <w:rFonts w:ascii="Times New Roman" w:hAnsi="Times New Roman"/>
                <w:sz w:val="18"/>
                <w:lang w:val="fr-FR"/>
              </w:rPr>
            </w:pPr>
            <w:r w:rsidRPr="00A526F7">
              <w:rPr>
                <w:rFonts w:ascii="Times New Roman" w:hAnsi="Times New Roman"/>
                <w:sz w:val="18"/>
                <w:lang w:val="fr-FR"/>
              </w:rPr>
              <w:t>Total</w:t>
            </w:r>
          </w:p>
        </w:tc>
        <w:tc>
          <w:tcPr>
            <w:tcW w:w="1021" w:type="dxa"/>
            <w:shd w:val="clear" w:color="auto" w:fill="auto"/>
            <w:vAlign w:val="bottom"/>
          </w:tcPr>
          <w:p w:rsidR="000B562B" w:rsidRPr="00A176EA" w:rsidRDefault="000B562B" w:rsidP="00F7531B">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20</w:t>
            </w:r>
          </w:p>
        </w:tc>
        <w:tc>
          <w:tcPr>
            <w:tcW w:w="1021" w:type="dxa"/>
            <w:shd w:val="clear" w:color="auto" w:fill="auto"/>
            <w:vAlign w:val="bottom"/>
          </w:tcPr>
          <w:p w:rsidR="000B562B" w:rsidRPr="00A176EA" w:rsidRDefault="000B562B" w:rsidP="00F7531B">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22</w:t>
            </w:r>
          </w:p>
        </w:tc>
        <w:tc>
          <w:tcPr>
            <w:tcW w:w="1021" w:type="dxa"/>
            <w:shd w:val="clear" w:color="auto" w:fill="auto"/>
            <w:vAlign w:val="bottom"/>
          </w:tcPr>
          <w:p w:rsidR="000B562B" w:rsidRPr="00A176EA" w:rsidRDefault="000B562B" w:rsidP="00F7531B">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28</w:t>
            </w:r>
          </w:p>
        </w:tc>
        <w:tc>
          <w:tcPr>
            <w:tcW w:w="1021" w:type="dxa"/>
            <w:shd w:val="clear" w:color="auto" w:fill="auto"/>
            <w:vAlign w:val="bottom"/>
          </w:tcPr>
          <w:p w:rsidR="000B562B" w:rsidRPr="00A176EA" w:rsidRDefault="000B562B" w:rsidP="00F7531B">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23</w:t>
            </w:r>
          </w:p>
        </w:tc>
        <w:tc>
          <w:tcPr>
            <w:tcW w:w="1021" w:type="dxa"/>
            <w:shd w:val="clear" w:color="auto" w:fill="auto"/>
            <w:vAlign w:val="bottom"/>
          </w:tcPr>
          <w:p w:rsidR="000B562B" w:rsidRPr="00A176EA" w:rsidRDefault="000B562B" w:rsidP="00F7531B">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20</w:t>
            </w:r>
          </w:p>
        </w:tc>
      </w:tr>
      <w:tr w:rsidR="000B562B" w:rsidRPr="00A176EA" w:rsidTr="00F7531B">
        <w:trPr>
          <w:trHeight w:val="240"/>
        </w:trPr>
        <w:tc>
          <w:tcPr>
            <w:tcW w:w="2552" w:type="dxa"/>
            <w:shd w:val="clear" w:color="auto" w:fill="auto"/>
          </w:tcPr>
          <w:p w:rsidR="000B562B" w:rsidRPr="00A526F7" w:rsidRDefault="00BF6F86" w:rsidP="00BF6F86">
            <w:pPr>
              <w:pStyle w:val="Text"/>
              <w:spacing w:before="40" w:after="40" w:line="220" w:lineRule="exact"/>
              <w:rPr>
                <w:rFonts w:ascii="Times New Roman" w:hAnsi="Times New Roman"/>
                <w:sz w:val="18"/>
                <w:lang w:val="fr-FR"/>
              </w:rPr>
            </w:pPr>
            <w:r w:rsidRPr="00A526F7">
              <w:rPr>
                <w:rFonts w:ascii="Times New Roman" w:hAnsi="Times New Roman"/>
                <w:sz w:val="18"/>
                <w:lang w:val="fr-FR"/>
              </w:rPr>
              <w:t>Déclarées recevables</w:t>
            </w:r>
          </w:p>
        </w:tc>
        <w:tc>
          <w:tcPr>
            <w:tcW w:w="1021" w:type="dxa"/>
            <w:shd w:val="clear" w:color="auto" w:fill="auto"/>
            <w:vAlign w:val="bottom"/>
          </w:tcPr>
          <w:p w:rsidR="000B562B" w:rsidRPr="00A176EA" w:rsidRDefault="000B562B" w:rsidP="00F7531B">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5</w:t>
            </w:r>
          </w:p>
        </w:tc>
        <w:tc>
          <w:tcPr>
            <w:tcW w:w="1021" w:type="dxa"/>
            <w:shd w:val="clear" w:color="auto" w:fill="auto"/>
            <w:vAlign w:val="bottom"/>
          </w:tcPr>
          <w:p w:rsidR="000B562B" w:rsidRPr="00A176EA" w:rsidRDefault="000B562B" w:rsidP="00F7531B">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4</w:t>
            </w:r>
          </w:p>
        </w:tc>
        <w:tc>
          <w:tcPr>
            <w:tcW w:w="1021" w:type="dxa"/>
            <w:shd w:val="clear" w:color="auto" w:fill="auto"/>
            <w:vAlign w:val="bottom"/>
          </w:tcPr>
          <w:p w:rsidR="000B562B" w:rsidRPr="00A176EA" w:rsidRDefault="000B562B" w:rsidP="00F7531B">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5</w:t>
            </w:r>
          </w:p>
        </w:tc>
        <w:tc>
          <w:tcPr>
            <w:tcW w:w="1021" w:type="dxa"/>
            <w:shd w:val="clear" w:color="auto" w:fill="auto"/>
            <w:vAlign w:val="bottom"/>
          </w:tcPr>
          <w:p w:rsidR="000B562B" w:rsidRPr="00A176EA" w:rsidRDefault="000B562B" w:rsidP="00F7531B">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4</w:t>
            </w:r>
          </w:p>
        </w:tc>
        <w:tc>
          <w:tcPr>
            <w:tcW w:w="1021" w:type="dxa"/>
            <w:shd w:val="clear" w:color="auto" w:fill="auto"/>
            <w:vAlign w:val="bottom"/>
          </w:tcPr>
          <w:p w:rsidR="000B562B" w:rsidRPr="00A176EA" w:rsidRDefault="000B562B" w:rsidP="00F7531B">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6</w:t>
            </w:r>
          </w:p>
        </w:tc>
      </w:tr>
      <w:tr w:rsidR="000B562B" w:rsidRPr="00A176EA" w:rsidTr="00F7531B">
        <w:trPr>
          <w:trHeight w:val="240"/>
        </w:trPr>
        <w:tc>
          <w:tcPr>
            <w:tcW w:w="2552" w:type="dxa"/>
            <w:shd w:val="clear" w:color="auto" w:fill="auto"/>
          </w:tcPr>
          <w:p w:rsidR="000B562B" w:rsidRPr="00A526F7" w:rsidRDefault="00BF6F86" w:rsidP="00BF6F86">
            <w:pPr>
              <w:pStyle w:val="Text"/>
              <w:spacing w:before="40" w:after="40" w:line="220" w:lineRule="exact"/>
              <w:rPr>
                <w:rFonts w:ascii="Times New Roman" w:hAnsi="Times New Roman"/>
                <w:sz w:val="18"/>
                <w:lang w:val="fr-FR"/>
              </w:rPr>
            </w:pPr>
            <w:r w:rsidRPr="00A526F7">
              <w:rPr>
                <w:rFonts w:ascii="Times New Roman" w:hAnsi="Times New Roman"/>
                <w:sz w:val="18"/>
                <w:lang w:val="fr-FR"/>
              </w:rPr>
              <w:t>Déclarées non recevables</w:t>
            </w:r>
          </w:p>
        </w:tc>
        <w:tc>
          <w:tcPr>
            <w:tcW w:w="1021" w:type="dxa"/>
            <w:shd w:val="clear" w:color="auto" w:fill="auto"/>
            <w:vAlign w:val="bottom"/>
          </w:tcPr>
          <w:p w:rsidR="000B562B" w:rsidRPr="00A176EA" w:rsidRDefault="000B562B" w:rsidP="00F7531B">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7</w:t>
            </w:r>
          </w:p>
        </w:tc>
        <w:tc>
          <w:tcPr>
            <w:tcW w:w="1021" w:type="dxa"/>
            <w:shd w:val="clear" w:color="auto" w:fill="auto"/>
            <w:vAlign w:val="bottom"/>
          </w:tcPr>
          <w:p w:rsidR="000B562B" w:rsidRPr="00A176EA" w:rsidRDefault="000B562B" w:rsidP="00F7531B">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11</w:t>
            </w:r>
          </w:p>
        </w:tc>
        <w:tc>
          <w:tcPr>
            <w:tcW w:w="1021" w:type="dxa"/>
            <w:shd w:val="clear" w:color="auto" w:fill="auto"/>
            <w:vAlign w:val="bottom"/>
          </w:tcPr>
          <w:p w:rsidR="000B562B" w:rsidRPr="00A176EA" w:rsidRDefault="000B562B" w:rsidP="00F7531B">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13</w:t>
            </w:r>
          </w:p>
        </w:tc>
        <w:tc>
          <w:tcPr>
            <w:tcW w:w="1021" w:type="dxa"/>
            <w:shd w:val="clear" w:color="auto" w:fill="auto"/>
            <w:vAlign w:val="bottom"/>
          </w:tcPr>
          <w:p w:rsidR="000B562B" w:rsidRPr="00A176EA" w:rsidRDefault="000B562B" w:rsidP="00F7531B">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9</w:t>
            </w:r>
          </w:p>
        </w:tc>
        <w:tc>
          <w:tcPr>
            <w:tcW w:w="1021" w:type="dxa"/>
            <w:shd w:val="clear" w:color="auto" w:fill="auto"/>
            <w:vAlign w:val="bottom"/>
          </w:tcPr>
          <w:p w:rsidR="000B562B" w:rsidRPr="00A176EA" w:rsidRDefault="000B562B" w:rsidP="00F7531B">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1</w:t>
            </w:r>
          </w:p>
        </w:tc>
      </w:tr>
      <w:tr w:rsidR="000B562B" w:rsidRPr="00A176EA" w:rsidTr="00F7531B">
        <w:trPr>
          <w:trHeight w:val="240"/>
        </w:trPr>
        <w:tc>
          <w:tcPr>
            <w:tcW w:w="2552" w:type="dxa"/>
            <w:shd w:val="clear" w:color="auto" w:fill="auto"/>
          </w:tcPr>
          <w:p w:rsidR="000B562B" w:rsidRPr="00A526F7" w:rsidRDefault="00BF6F86" w:rsidP="00953837">
            <w:pPr>
              <w:pStyle w:val="Text"/>
              <w:spacing w:before="40" w:after="40" w:line="220" w:lineRule="exact"/>
              <w:rPr>
                <w:rFonts w:ascii="Times New Roman" w:hAnsi="Times New Roman"/>
                <w:sz w:val="18"/>
                <w:lang w:val="fr-FR"/>
              </w:rPr>
            </w:pPr>
            <w:r w:rsidRPr="00A526F7">
              <w:rPr>
                <w:rFonts w:ascii="Times New Roman" w:hAnsi="Times New Roman"/>
                <w:sz w:val="18"/>
                <w:lang w:val="fr-FR"/>
              </w:rPr>
              <w:t>R</w:t>
            </w:r>
            <w:r w:rsidR="00953837">
              <w:rPr>
                <w:rFonts w:ascii="Times New Roman" w:hAnsi="Times New Roman"/>
                <w:sz w:val="18"/>
                <w:lang w:val="fr-FR"/>
              </w:rPr>
              <w:t>é</w:t>
            </w:r>
            <w:r w:rsidRPr="00A526F7">
              <w:rPr>
                <w:rFonts w:ascii="Times New Roman" w:hAnsi="Times New Roman"/>
                <w:sz w:val="18"/>
                <w:lang w:val="fr-FR"/>
              </w:rPr>
              <w:t>gl</w:t>
            </w:r>
            <w:r w:rsidR="00953837">
              <w:rPr>
                <w:rFonts w:ascii="Times New Roman" w:hAnsi="Times New Roman"/>
                <w:sz w:val="18"/>
                <w:lang w:val="fr-FR"/>
              </w:rPr>
              <w:t>ées</w:t>
            </w:r>
            <w:r w:rsidRPr="00A526F7">
              <w:rPr>
                <w:rFonts w:ascii="Times New Roman" w:hAnsi="Times New Roman"/>
                <w:sz w:val="18"/>
                <w:lang w:val="fr-FR"/>
              </w:rPr>
              <w:t xml:space="preserve"> à l’amiable</w:t>
            </w:r>
          </w:p>
        </w:tc>
        <w:tc>
          <w:tcPr>
            <w:tcW w:w="1021" w:type="dxa"/>
            <w:shd w:val="clear" w:color="auto" w:fill="auto"/>
            <w:vAlign w:val="bottom"/>
          </w:tcPr>
          <w:p w:rsidR="000B562B" w:rsidRPr="00A176EA" w:rsidRDefault="000B562B" w:rsidP="00F7531B">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3</w:t>
            </w:r>
          </w:p>
        </w:tc>
        <w:tc>
          <w:tcPr>
            <w:tcW w:w="1021" w:type="dxa"/>
            <w:shd w:val="clear" w:color="auto" w:fill="auto"/>
            <w:vAlign w:val="bottom"/>
          </w:tcPr>
          <w:p w:rsidR="000B562B" w:rsidRPr="00A176EA" w:rsidRDefault="000B562B" w:rsidP="00F7531B">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1</w:t>
            </w:r>
          </w:p>
        </w:tc>
        <w:tc>
          <w:tcPr>
            <w:tcW w:w="1021" w:type="dxa"/>
            <w:shd w:val="clear" w:color="auto" w:fill="auto"/>
            <w:vAlign w:val="bottom"/>
          </w:tcPr>
          <w:p w:rsidR="000B562B" w:rsidRPr="00A176EA" w:rsidRDefault="000B562B" w:rsidP="00F7531B">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8</w:t>
            </w:r>
          </w:p>
        </w:tc>
        <w:tc>
          <w:tcPr>
            <w:tcW w:w="1021" w:type="dxa"/>
            <w:shd w:val="clear" w:color="auto" w:fill="auto"/>
            <w:vAlign w:val="bottom"/>
          </w:tcPr>
          <w:p w:rsidR="000B562B" w:rsidRPr="00A176EA" w:rsidRDefault="000B562B" w:rsidP="00F7531B">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5</w:t>
            </w:r>
          </w:p>
        </w:tc>
        <w:tc>
          <w:tcPr>
            <w:tcW w:w="1021" w:type="dxa"/>
            <w:shd w:val="clear" w:color="auto" w:fill="auto"/>
            <w:vAlign w:val="bottom"/>
          </w:tcPr>
          <w:p w:rsidR="000B562B" w:rsidRPr="00A176EA" w:rsidRDefault="000B562B" w:rsidP="00F7531B">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1</w:t>
            </w:r>
          </w:p>
        </w:tc>
      </w:tr>
      <w:tr w:rsidR="000B562B" w:rsidRPr="00A176EA" w:rsidTr="00F7531B">
        <w:trPr>
          <w:trHeight w:val="240"/>
        </w:trPr>
        <w:tc>
          <w:tcPr>
            <w:tcW w:w="2552" w:type="dxa"/>
            <w:shd w:val="clear" w:color="auto" w:fill="auto"/>
          </w:tcPr>
          <w:p w:rsidR="000B562B" w:rsidRPr="00A526F7" w:rsidRDefault="00BF6F86" w:rsidP="00A95361">
            <w:pPr>
              <w:pStyle w:val="Text"/>
              <w:spacing w:before="40" w:after="40" w:line="220" w:lineRule="exact"/>
              <w:rPr>
                <w:rFonts w:ascii="Times New Roman" w:hAnsi="Times New Roman"/>
                <w:sz w:val="18"/>
                <w:lang w:val="fr-FR"/>
              </w:rPr>
            </w:pPr>
            <w:r w:rsidRPr="00A526F7">
              <w:rPr>
                <w:rFonts w:ascii="Times New Roman" w:hAnsi="Times New Roman"/>
                <w:sz w:val="18"/>
                <w:lang w:val="fr-FR"/>
              </w:rPr>
              <w:t>Retirées</w:t>
            </w:r>
          </w:p>
        </w:tc>
        <w:tc>
          <w:tcPr>
            <w:tcW w:w="1021" w:type="dxa"/>
            <w:shd w:val="clear" w:color="auto" w:fill="auto"/>
            <w:vAlign w:val="bottom"/>
          </w:tcPr>
          <w:p w:rsidR="000B562B" w:rsidRPr="00A176EA" w:rsidRDefault="000B562B" w:rsidP="00F7531B">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5</w:t>
            </w:r>
          </w:p>
        </w:tc>
        <w:tc>
          <w:tcPr>
            <w:tcW w:w="1021" w:type="dxa"/>
            <w:shd w:val="clear" w:color="auto" w:fill="auto"/>
            <w:vAlign w:val="bottom"/>
          </w:tcPr>
          <w:p w:rsidR="000B562B" w:rsidRPr="00A176EA" w:rsidRDefault="000B562B" w:rsidP="00F7531B">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5</w:t>
            </w:r>
          </w:p>
        </w:tc>
        <w:tc>
          <w:tcPr>
            <w:tcW w:w="1021" w:type="dxa"/>
            <w:shd w:val="clear" w:color="auto" w:fill="auto"/>
            <w:vAlign w:val="bottom"/>
          </w:tcPr>
          <w:p w:rsidR="000B562B" w:rsidRPr="00A176EA" w:rsidRDefault="000B562B" w:rsidP="00F7531B">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5</w:t>
            </w:r>
          </w:p>
        </w:tc>
        <w:tc>
          <w:tcPr>
            <w:tcW w:w="1021" w:type="dxa"/>
            <w:shd w:val="clear" w:color="auto" w:fill="auto"/>
            <w:vAlign w:val="bottom"/>
          </w:tcPr>
          <w:p w:rsidR="000B562B" w:rsidRPr="00A176EA" w:rsidRDefault="000B562B" w:rsidP="00F7531B">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3</w:t>
            </w:r>
          </w:p>
        </w:tc>
        <w:tc>
          <w:tcPr>
            <w:tcW w:w="1021" w:type="dxa"/>
            <w:shd w:val="clear" w:color="auto" w:fill="auto"/>
            <w:vAlign w:val="bottom"/>
          </w:tcPr>
          <w:p w:rsidR="000B562B" w:rsidRPr="00A176EA" w:rsidRDefault="000B562B" w:rsidP="00F7531B">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1</w:t>
            </w:r>
          </w:p>
        </w:tc>
      </w:tr>
      <w:tr w:rsidR="000B562B" w:rsidRPr="00A176EA" w:rsidTr="00F7531B">
        <w:trPr>
          <w:trHeight w:val="240"/>
        </w:trPr>
        <w:tc>
          <w:tcPr>
            <w:tcW w:w="2552" w:type="dxa"/>
            <w:shd w:val="clear" w:color="auto" w:fill="auto"/>
          </w:tcPr>
          <w:p w:rsidR="000B562B" w:rsidRPr="00A526F7" w:rsidRDefault="00BF6F86" w:rsidP="00A95361">
            <w:pPr>
              <w:pStyle w:val="Text"/>
              <w:spacing w:before="40" w:after="40" w:line="220" w:lineRule="exact"/>
              <w:rPr>
                <w:rFonts w:ascii="Times New Roman" w:hAnsi="Times New Roman"/>
                <w:sz w:val="18"/>
                <w:lang w:val="fr-FR"/>
              </w:rPr>
            </w:pPr>
            <w:r w:rsidRPr="00A526F7">
              <w:rPr>
                <w:rFonts w:ascii="Times New Roman" w:hAnsi="Times New Roman"/>
                <w:sz w:val="18"/>
                <w:lang w:val="fr-FR"/>
              </w:rPr>
              <w:t>Rejetées</w:t>
            </w:r>
          </w:p>
        </w:tc>
        <w:tc>
          <w:tcPr>
            <w:tcW w:w="1021" w:type="dxa"/>
            <w:shd w:val="clear" w:color="auto" w:fill="auto"/>
            <w:vAlign w:val="bottom"/>
          </w:tcPr>
          <w:p w:rsidR="000B562B" w:rsidRPr="00A176EA" w:rsidRDefault="000B562B" w:rsidP="00F7531B">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1</w:t>
            </w:r>
          </w:p>
        </w:tc>
        <w:tc>
          <w:tcPr>
            <w:tcW w:w="1021" w:type="dxa"/>
            <w:shd w:val="clear" w:color="auto" w:fill="auto"/>
            <w:vAlign w:val="bottom"/>
          </w:tcPr>
          <w:p w:rsidR="000B562B" w:rsidRPr="00A176EA" w:rsidRDefault="000B562B" w:rsidP="00F7531B">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2</w:t>
            </w:r>
          </w:p>
        </w:tc>
        <w:tc>
          <w:tcPr>
            <w:tcW w:w="1021" w:type="dxa"/>
            <w:shd w:val="clear" w:color="auto" w:fill="auto"/>
            <w:vAlign w:val="bottom"/>
          </w:tcPr>
          <w:p w:rsidR="000B562B" w:rsidRPr="00A176EA" w:rsidRDefault="000B562B" w:rsidP="00F7531B">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3</w:t>
            </w:r>
          </w:p>
        </w:tc>
        <w:tc>
          <w:tcPr>
            <w:tcW w:w="1021" w:type="dxa"/>
            <w:shd w:val="clear" w:color="auto" w:fill="auto"/>
            <w:vAlign w:val="bottom"/>
          </w:tcPr>
          <w:p w:rsidR="000B562B" w:rsidRPr="00A176EA" w:rsidRDefault="000B562B" w:rsidP="00F7531B">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1</w:t>
            </w:r>
          </w:p>
        </w:tc>
        <w:tc>
          <w:tcPr>
            <w:tcW w:w="1021" w:type="dxa"/>
            <w:shd w:val="clear" w:color="auto" w:fill="auto"/>
            <w:vAlign w:val="bottom"/>
          </w:tcPr>
          <w:p w:rsidR="000B562B" w:rsidRPr="00A176EA" w:rsidRDefault="000B562B" w:rsidP="00F7531B">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2</w:t>
            </w:r>
          </w:p>
        </w:tc>
      </w:tr>
      <w:tr w:rsidR="000B562B" w:rsidRPr="00A176EA" w:rsidTr="00F7531B">
        <w:trPr>
          <w:trHeight w:val="240"/>
        </w:trPr>
        <w:tc>
          <w:tcPr>
            <w:tcW w:w="2552" w:type="dxa"/>
            <w:shd w:val="clear" w:color="auto" w:fill="auto"/>
          </w:tcPr>
          <w:p w:rsidR="000B562B" w:rsidRPr="00A526F7" w:rsidRDefault="00BF6F86" w:rsidP="00A526F7">
            <w:pPr>
              <w:pStyle w:val="Text"/>
              <w:spacing w:before="40" w:after="40" w:line="220" w:lineRule="exact"/>
              <w:rPr>
                <w:rFonts w:ascii="Times New Roman" w:hAnsi="Times New Roman"/>
                <w:sz w:val="18"/>
                <w:lang w:val="fr-FR"/>
              </w:rPr>
            </w:pPr>
            <w:r w:rsidRPr="00A526F7">
              <w:rPr>
                <w:rFonts w:ascii="Times New Roman" w:hAnsi="Times New Roman"/>
                <w:sz w:val="18"/>
                <w:lang w:val="fr-FR"/>
              </w:rPr>
              <w:t>Auprès du</w:t>
            </w:r>
            <w:r w:rsidR="000B562B" w:rsidRPr="00A526F7">
              <w:rPr>
                <w:rFonts w:ascii="Times New Roman" w:hAnsi="Times New Roman"/>
                <w:sz w:val="18"/>
                <w:lang w:val="fr-FR"/>
              </w:rPr>
              <w:t xml:space="preserve"> </w:t>
            </w:r>
            <w:r w:rsidR="00A526F7" w:rsidRPr="00A526F7">
              <w:rPr>
                <w:rFonts w:ascii="Times New Roman" w:hAnsi="Times New Roman"/>
                <w:sz w:val="18"/>
                <w:lang w:val="fr-FR"/>
              </w:rPr>
              <w:t>Commissaire aux plaintes contre la police</w:t>
            </w:r>
          </w:p>
        </w:tc>
        <w:tc>
          <w:tcPr>
            <w:tcW w:w="1021" w:type="dxa"/>
            <w:shd w:val="clear" w:color="auto" w:fill="auto"/>
            <w:vAlign w:val="bottom"/>
          </w:tcPr>
          <w:p w:rsidR="000B562B" w:rsidRPr="00A176EA" w:rsidRDefault="000B562B" w:rsidP="00F7531B">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0</w:t>
            </w:r>
          </w:p>
        </w:tc>
        <w:tc>
          <w:tcPr>
            <w:tcW w:w="1021" w:type="dxa"/>
            <w:shd w:val="clear" w:color="auto" w:fill="auto"/>
            <w:vAlign w:val="bottom"/>
          </w:tcPr>
          <w:p w:rsidR="000B562B" w:rsidRPr="00A176EA" w:rsidRDefault="000B562B" w:rsidP="00F7531B">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0</w:t>
            </w:r>
          </w:p>
        </w:tc>
        <w:tc>
          <w:tcPr>
            <w:tcW w:w="1021" w:type="dxa"/>
            <w:shd w:val="clear" w:color="auto" w:fill="auto"/>
            <w:vAlign w:val="bottom"/>
          </w:tcPr>
          <w:p w:rsidR="000B562B" w:rsidRPr="00A176EA" w:rsidRDefault="000B562B" w:rsidP="00F7531B">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0</w:t>
            </w:r>
          </w:p>
        </w:tc>
        <w:tc>
          <w:tcPr>
            <w:tcW w:w="1021" w:type="dxa"/>
            <w:shd w:val="clear" w:color="auto" w:fill="auto"/>
            <w:vAlign w:val="bottom"/>
          </w:tcPr>
          <w:p w:rsidR="000B562B" w:rsidRPr="00A176EA" w:rsidRDefault="000B562B" w:rsidP="00F7531B">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0</w:t>
            </w:r>
          </w:p>
        </w:tc>
        <w:tc>
          <w:tcPr>
            <w:tcW w:w="1021" w:type="dxa"/>
            <w:shd w:val="clear" w:color="auto" w:fill="auto"/>
            <w:vAlign w:val="bottom"/>
          </w:tcPr>
          <w:p w:rsidR="000B562B" w:rsidRPr="00A176EA" w:rsidRDefault="000B562B" w:rsidP="00F7531B">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0</w:t>
            </w:r>
          </w:p>
        </w:tc>
      </w:tr>
      <w:tr w:rsidR="000B562B" w:rsidRPr="00A176EA" w:rsidTr="00F7531B">
        <w:trPr>
          <w:trHeight w:val="240"/>
        </w:trPr>
        <w:tc>
          <w:tcPr>
            <w:tcW w:w="2552" w:type="dxa"/>
            <w:shd w:val="clear" w:color="auto" w:fill="auto"/>
          </w:tcPr>
          <w:p w:rsidR="000B562B" w:rsidRPr="00A526F7" w:rsidRDefault="0087031A" w:rsidP="0087031A">
            <w:pPr>
              <w:pStyle w:val="Text"/>
              <w:spacing w:before="40" w:after="40" w:line="220" w:lineRule="exact"/>
              <w:rPr>
                <w:rFonts w:ascii="Times New Roman" w:hAnsi="Times New Roman"/>
                <w:sz w:val="18"/>
                <w:lang w:val="fr-FR"/>
              </w:rPr>
            </w:pPr>
            <w:r w:rsidRPr="00A526F7">
              <w:rPr>
                <w:rFonts w:ascii="Times New Roman" w:hAnsi="Times New Roman"/>
                <w:sz w:val="18"/>
                <w:lang w:val="fr-FR"/>
              </w:rPr>
              <w:t>Classées sans suite</w:t>
            </w:r>
          </w:p>
        </w:tc>
        <w:tc>
          <w:tcPr>
            <w:tcW w:w="1021" w:type="dxa"/>
            <w:shd w:val="clear" w:color="auto" w:fill="auto"/>
            <w:vAlign w:val="bottom"/>
          </w:tcPr>
          <w:p w:rsidR="000B562B" w:rsidRPr="00A176EA" w:rsidRDefault="000B562B" w:rsidP="00F7531B">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1</w:t>
            </w:r>
          </w:p>
        </w:tc>
        <w:tc>
          <w:tcPr>
            <w:tcW w:w="1021" w:type="dxa"/>
            <w:shd w:val="clear" w:color="auto" w:fill="auto"/>
            <w:vAlign w:val="bottom"/>
          </w:tcPr>
          <w:p w:rsidR="000B562B" w:rsidRPr="00A176EA" w:rsidRDefault="000B562B" w:rsidP="00F7531B">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0</w:t>
            </w:r>
          </w:p>
        </w:tc>
        <w:tc>
          <w:tcPr>
            <w:tcW w:w="1021" w:type="dxa"/>
            <w:shd w:val="clear" w:color="auto" w:fill="auto"/>
            <w:vAlign w:val="bottom"/>
          </w:tcPr>
          <w:p w:rsidR="000B562B" w:rsidRPr="00A176EA" w:rsidRDefault="000B562B" w:rsidP="00F7531B">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0</w:t>
            </w:r>
          </w:p>
        </w:tc>
        <w:tc>
          <w:tcPr>
            <w:tcW w:w="1021" w:type="dxa"/>
            <w:shd w:val="clear" w:color="auto" w:fill="auto"/>
            <w:vAlign w:val="bottom"/>
          </w:tcPr>
          <w:p w:rsidR="000B562B" w:rsidRPr="00A176EA" w:rsidRDefault="000B562B" w:rsidP="00F7531B">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0</w:t>
            </w:r>
          </w:p>
        </w:tc>
        <w:tc>
          <w:tcPr>
            <w:tcW w:w="1021" w:type="dxa"/>
            <w:shd w:val="clear" w:color="auto" w:fill="auto"/>
            <w:vAlign w:val="bottom"/>
          </w:tcPr>
          <w:p w:rsidR="000B562B" w:rsidRPr="00A176EA" w:rsidRDefault="000B562B" w:rsidP="00F7531B">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0</w:t>
            </w:r>
          </w:p>
        </w:tc>
      </w:tr>
      <w:tr w:rsidR="000B562B" w:rsidRPr="00A176EA" w:rsidTr="00CF5D13">
        <w:trPr>
          <w:trHeight w:val="240"/>
        </w:trPr>
        <w:tc>
          <w:tcPr>
            <w:tcW w:w="2552" w:type="dxa"/>
            <w:tcBorders>
              <w:bottom w:val="single" w:sz="4" w:space="0" w:color="auto"/>
            </w:tcBorders>
            <w:shd w:val="clear" w:color="auto" w:fill="auto"/>
          </w:tcPr>
          <w:p w:rsidR="000B562B" w:rsidRPr="00A526F7" w:rsidRDefault="00C73411" w:rsidP="00A95361">
            <w:pPr>
              <w:pStyle w:val="Text"/>
              <w:spacing w:before="40" w:after="40" w:line="220" w:lineRule="exact"/>
              <w:rPr>
                <w:rFonts w:ascii="Times New Roman" w:hAnsi="Times New Roman"/>
                <w:sz w:val="18"/>
                <w:lang w:val="fr-FR"/>
              </w:rPr>
            </w:pPr>
            <w:r w:rsidRPr="00A526F7">
              <w:rPr>
                <w:rFonts w:ascii="Times New Roman" w:hAnsi="Times New Roman"/>
                <w:sz w:val="18"/>
                <w:lang w:val="fr-FR"/>
              </w:rPr>
              <w:t>En cours</w:t>
            </w:r>
            <w:r w:rsidR="00A526F7" w:rsidRPr="00A526F7">
              <w:rPr>
                <w:rFonts w:ascii="Times New Roman" w:hAnsi="Times New Roman"/>
                <w:sz w:val="18"/>
                <w:lang w:val="fr-FR"/>
              </w:rPr>
              <w:t xml:space="preserve"> d’enquête</w:t>
            </w:r>
          </w:p>
        </w:tc>
        <w:tc>
          <w:tcPr>
            <w:tcW w:w="1021" w:type="dxa"/>
            <w:tcBorders>
              <w:bottom w:val="single" w:sz="4" w:space="0" w:color="auto"/>
            </w:tcBorders>
            <w:shd w:val="clear" w:color="auto" w:fill="auto"/>
            <w:vAlign w:val="bottom"/>
          </w:tcPr>
          <w:p w:rsidR="000B562B" w:rsidRPr="00A176EA" w:rsidRDefault="000B562B" w:rsidP="00F7531B">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0</w:t>
            </w:r>
          </w:p>
        </w:tc>
        <w:tc>
          <w:tcPr>
            <w:tcW w:w="1021" w:type="dxa"/>
            <w:tcBorders>
              <w:bottom w:val="single" w:sz="4" w:space="0" w:color="auto"/>
            </w:tcBorders>
            <w:shd w:val="clear" w:color="auto" w:fill="auto"/>
            <w:vAlign w:val="bottom"/>
          </w:tcPr>
          <w:p w:rsidR="000B562B" w:rsidRPr="00A176EA" w:rsidRDefault="000B562B" w:rsidP="00F7531B">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0</w:t>
            </w:r>
          </w:p>
        </w:tc>
        <w:tc>
          <w:tcPr>
            <w:tcW w:w="1021" w:type="dxa"/>
            <w:tcBorders>
              <w:bottom w:val="single" w:sz="4" w:space="0" w:color="auto"/>
            </w:tcBorders>
            <w:shd w:val="clear" w:color="auto" w:fill="auto"/>
            <w:vAlign w:val="bottom"/>
          </w:tcPr>
          <w:p w:rsidR="000B562B" w:rsidRPr="00A176EA" w:rsidRDefault="000B562B" w:rsidP="00F7531B">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0</w:t>
            </w:r>
          </w:p>
        </w:tc>
        <w:tc>
          <w:tcPr>
            <w:tcW w:w="1021" w:type="dxa"/>
            <w:tcBorders>
              <w:bottom w:val="single" w:sz="4" w:space="0" w:color="auto"/>
            </w:tcBorders>
            <w:shd w:val="clear" w:color="auto" w:fill="auto"/>
            <w:vAlign w:val="bottom"/>
          </w:tcPr>
          <w:p w:rsidR="000B562B" w:rsidRPr="00A176EA" w:rsidRDefault="000B562B" w:rsidP="00F7531B">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1</w:t>
            </w:r>
          </w:p>
        </w:tc>
        <w:tc>
          <w:tcPr>
            <w:tcW w:w="1021" w:type="dxa"/>
            <w:tcBorders>
              <w:bottom w:val="single" w:sz="4" w:space="0" w:color="auto"/>
            </w:tcBorders>
            <w:shd w:val="clear" w:color="auto" w:fill="auto"/>
            <w:vAlign w:val="bottom"/>
          </w:tcPr>
          <w:p w:rsidR="000B562B" w:rsidRPr="00A176EA" w:rsidRDefault="000B562B" w:rsidP="00F7531B">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9</w:t>
            </w:r>
          </w:p>
        </w:tc>
      </w:tr>
      <w:tr w:rsidR="000B562B" w:rsidRPr="00CF5D13" w:rsidTr="00CF5D13">
        <w:trPr>
          <w:trHeight w:val="240"/>
        </w:trPr>
        <w:tc>
          <w:tcPr>
            <w:tcW w:w="2552" w:type="dxa"/>
            <w:tcBorders>
              <w:top w:val="single" w:sz="4" w:space="0" w:color="auto"/>
              <w:bottom w:val="single" w:sz="12" w:space="0" w:color="auto"/>
            </w:tcBorders>
            <w:shd w:val="clear" w:color="auto" w:fill="auto"/>
          </w:tcPr>
          <w:p w:rsidR="000B562B" w:rsidRPr="00CF5D13" w:rsidRDefault="000B562B" w:rsidP="00CF5D13">
            <w:pPr>
              <w:pStyle w:val="Text"/>
              <w:spacing w:before="80" w:after="80" w:line="220" w:lineRule="exact"/>
              <w:ind w:left="283"/>
              <w:rPr>
                <w:rFonts w:ascii="Times New Roman" w:hAnsi="Times New Roman"/>
                <w:b/>
                <w:bCs/>
                <w:sz w:val="18"/>
                <w:lang w:val="fr-FR"/>
              </w:rPr>
            </w:pPr>
            <w:r w:rsidRPr="00CF5D13">
              <w:rPr>
                <w:rFonts w:ascii="Times New Roman" w:hAnsi="Times New Roman"/>
                <w:b/>
                <w:bCs/>
                <w:sz w:val="18"/>
                <w:lang w:val="fr-FR"/>
              </w:rPr>
              <w:t>Total</w:t>
            </w:r>
          </w:p>
        </w:tc>
        <w:tc>
          <w:tcPr>
            <w:tcW w:w="1021" w:type="dxa"/>
            <w:tcBorders>
              <w:top w:val="single" w:sz="4" w:space="0" w:color="auto"/>
              <w:bottom w:val="single" w:sz="12" w:space="0" w:color="auto"/>
            </w:tcBorders>
            <w:shd w:val="clear" w:color="auto" w:fill="auto"/>
            <w:vAlign w:val="bottom"/>
          </w:tcPr>
          <w:p w:rsidR="000B562B" w:rsidRPr="00CF5D13" w:rsidRDefault="000B562B" w:rsidP="00DA72B2">
            <w:pPr>
              <w:pStyle w:val="Text"/>
              <w:spacing w:before="80" w:after="80" w:line="220" w:lineRule="exact"/>
              <w:ind w:left="113" w:right="57"/>
              <w:jc w:val="right"/>
              <w:rPr>
                <w:rFonts w:ascii="Times New Roman" w:hAnsi="Times New Roman"/>
                <w:b/>
                <w:bCs/>
                <w:sz w:val="18"/>
                <w:lang w:val="fr-FR"/>
              </w:rPr>
            </w:pPr>
            <w:r w:rsidRPr="00CF5D13">
              <w:rPr>
                <w:rFonts w:ascii="Times New Roman" w:hAnsi="Times New Roman"/>
                <w:b/>
                <w:bCs/>
                <w:sz w:val="18"/>
                <w:lang w:val="fr-FR"/>
              </w:rPr>
              <w:t>22</w:t>
            </w:r>
          </w:p>
        </w:tc>
        <w:tc>
          <w:tcPr>
            <w:tcW w:w="1021" w:type="dxa"/>
            <w:tcBorders>
              <w:top w:val="single" w:sz="4" w:space="0" w:color="auto"/>
              <w:bottom w:val="single" w:sz="12" w:space="0" w:color="auto"/>
            </w:tcBorders>
            <w:shd w:val="clear" w:color="auto" w:fill="auto"/>
            <w:vAlign w:val="bottom"/>
          </w:tcPr>
          <w:p w:rsidR="000B562B" w:rsidRPr="00CF5D13" w:rsidRDefault="000B562B" w:rsidP="00DA72B2">
            <w:pPr>
              <w:pStyle w:val="Text"/>
              <w:spacing w:before="80" w:after="80" w:line="220" w:lineRule="exact"/>
              <w:ind w:left="113" w:right="57"/>
              <w:jc w:val="right"/>
              <w:rPr>
                <w:rFonts w:ascii="Times New Roman" w:hAnsi="Times New Roman"/>
                <w:b/>
                <w:bCs/>
                <w:sz w:val="18"/>
                <w:lang w:val="fr-FR"/>
              </w:rPr>
            </w:pPr>
            <w:r w:rsidRPr="00CF5D13">
              <w:rPr>
                <w:rFonts w:ascii="Times New Roman" w:hAnsi="Times New Roman"/>
                <w:b/>
                <w:bCs/>
                <w:sz w:val="18"/>
                <w:lang w:val="fr-FR"/>
              </w:rPr>
              <w:t>23</w:t>
            </w:r>
          </w:p>
        </w:tc>
        <w:tc>
          <w:tcPr>
            <w:tcW w:w="1021" w:type="dxa"/>
            <w:tcBorders>
              <w:top w:val="single" w:sz="4" w:space="0" w:color="auto"/>
              <w:bottom w:val="single" w:sz="12" w:space="0" w:color="auto"/>
            </w:tcBorders>
            <w:shd w:val="clear" w:color="auto" w:fill="auto"/>
            <w:vAlign w:val="bottom"/>
          </w:tcPr>
          <w:p w:rsidR="000B562B" w:rsidRPr="00CF5D13" w:rsidRDefault="000B562B" w:rsidP="00DA72B2">
            <w:pPr>
              <w:pStyle w:val="Text"/>
              <w:spacing w:before="80" w:after="80" w:line="220" w:lineRule="exact"/>
              <w:ind w:left="113" w:right="57"/>
              <w:jc w:val="right"/>
              <w:rPr>
                <w:rFonts w:ascii="Times New Roman" w:hAnsi="Times New Roman"/>
                <w:b/>
                <w:bCs/>
                <w:sz w:val="18"/>
                <w:lang w:val="fr-FR"/>
              </w:rPr>
            </w:pPr>
            <w:r w:rsidRPr="00CF5D13">
              <w:rPr>
                <w:rFonts w:ascii="Times New Roman" w:hAnsi="Times New Roman"/>
                <w:b/>
                <w:bCs/>
                <w:sz w:val="18"/>
                <w:lang w:val="fr-FR"/>
              </w:rPr>
              <w:t>34</w:t>
            </w:r>
          </w:p>
        </w:tc>
        <w:tc>
          <w:tcPr>
            <w:tcW w:w="1021" w:type="dxa"/>
            <w:tcBorders>
              <w:top w:val="single" w:sz="4" w:space="0" w:color="auto"/>
              <w:bottom w:val="single" w:sz="12" w:space="0" w:color="auto"/>
            </w:tcBorders>
            <w:shd w:val="clear" w:color="auto" w:fill="auto"/>
            <w:vAlign w:val="bottom"/>
          </w:tcPr>
          <w:p w:rsidR="000B562B" w:rsidRPr="00CF5D13" w:rsidRDefault="000B562B" w:rsidP="00DA72B2">
            <w:pPr>
              <w:pStyle w:val="Text"/>
              <w:spacing w:before="80" w:after="80" w:line="220" w:lineRule="exact"/>
              <w:ind w:left="113" w:right="57"/>
              <w:jc w:val="right"/>
              <w:rPr>
                <w:rFonts w:ascii="Times New Roman" w:hAnsi="Times New Roman"/>
                <w:b/>
                <w:bCs/>
                <w:sz w:val="18"/>
                <w:lang w:val="fr-FR"/>
              </w:rPr>
            </w:pPr>
            <w:r w:rsidRPr="00CF5D13">
              <w:rPr>
                <w:rFonts w:ascii="Times New Roman" w:hAnsi="Times New Roman"/>
                <w:b/>
                <w:bCs/>
                <w:sz w:val="18"/>
                <w:lang w:val="fr-FR"/>
              </w:rPr>
              <w:t>23</w:t>
            </w:r>
          </w:p>
        </w:tc>
        <w:tc>
          <w:tcPr>
            <w:tcW w:w="1021" w:type="dxa"/>
            <w:tcBorders>
              <w:top w:val="single" w:sz="4" w:space="0" w:color="auto"/>
              <w:bottom w:val="single" w:sz="12" w:space="0" w:color="auto"/>
            </w:tcBorders>
            <w:shd w:val="clear" w:color="auto" w:fill="auto"/>
            <w:vAlign w:val="bottom"/>
          </w:tcPr>
          <w:p w:rsidR="000B562B" w:rsidRPr="00CF5D13" w:rsidRDefault="000B562B" w:rsidP="00DA72B2">
            <w:pPr>
              <w:pStyle w:val="Text"/>
              <w:spacing w:before="80" w:after="80" w:line="220" w:lineRule="exact"/>
              <w:ind w:left="113" w:right="57"/>
              <w:jc w:val="right"/>
              <w:rPr>
                <w:rFonts w:ascii="Times New Roman" w:hAnsi="Times New Roman"/>
                <w:b/>
                <w:bCs/>
                <w:sz w:val="18"/>
                <w:lang w:val="fr-FR"/>
              </w:rPr>
            </w:pPr>
            <w:r w:rsidRPr="00CF5D13">
              <w:rPr>
                <w:rFonts w:ascii="Times New Roman" w:hAnsi="Times New Roman"/>
                <w:b/>
                <w:bCs/>
                <w:sz w:val="18"/>
                <w:lang w:val="fr-FR"/>
              </w:rPr>
              <w:t>20</w:t>
            </w:r>
          </w:p>
        </w:tc>
      </w:tr>
    </w:tbl>
    <w:p w:rsidR="000B562B" w:rsidRPr="00A176EA" w:rsidRDefault="002549A9" w:rsidP="00CF5D13">
      <w:pPr>
        <w:pStyle w:val="SingleTxtG"/>
        <w:spacing w:before="240"/>
        <w:rPr>
          <w:lang w:val="fr-FR"/>
        </w:rPr>
      </w:pPr>
      <w:r w:rsidRPr="00A176EA">
        <w:rPr>
          <w:lang w:val="fr-FR"/>
        </w:rPr>
        <w:t>106.</w:t>
      </w:r>
      <w:r w:rsidRPr="00A176EA">
        <w:rPr>
          <w:lang w:val="fr-FR"/>
        </w:rPr>
        <w:tab/>
      </w:r>
      <w:r w:rsidR="00A526F7">
        <w:rPr>
          <w:lang w:val="fr-FR"/>
        </w:rPr>
        <w:t xml:space="preserve">Le quatrième rapport périodique faisait état d’une plainte contre un fonctionnaire </w:t>
      </w:r>
      <w:r w:rsidR="005B518B">
        <w:rPr>
          <w:lang w:val="fr-FR"/>
        </w:rPr>
        <w:t>pénitentiaire</w:t>
      </w:r>
      <w:r w:rsidR="00A526F7">
        <w:rPr>
          <w:lang w:val="fr-FR"/>
        </w:rPr>
        <w:t>. Cette plainte a fait l’objet d’une enquête de police puis a été transmise au tribunal</w:t>
      </w:r>
      <w:r w:rsidR="005B518B">
        <w:rPr>
          <w:lang w:val="fr-FR"/>
        </w:rPr>
        <w:t>, mais elle n’a pas donné lieu à des poursuites. Ce fonctionnaire a fait l’objet d’une procédure disciplinaire interne</w:t>
      </w:r>
      <w:r w:rsidR="000B562B" w:rsidRPr="00A176EA">
        <w:rPr>
          <w:lang w:val="fr-FR"/>
        </w:rPr>
        <w:t>.</w:t>
      </w:r>
    </w:p>
    <w:p w:rsidR="000B562B" w:rsidRPr="005B518B" w:rsidRDefault="007B1C4A" w:rsidP="001C135E">
      <w:pPr>
        <w:pStyle w:val="H1G"/>
      </w:pPr>
      <w:bookmarkStart w:id="91" w:name="_Toc299724782"/>
      <w:r>
        <w:tab/>
      </w:r>
      <w:r>
        <w:tab/>
      </w:r>
      <w:r w:rsidR="000B562B" w:rsidRPr="005B518B">
        <w:t>Article 14</w:t>
      </w:r>
      <w:bookmarkEnd w:id="91"/>
    </w:p>
    <w:p w:rsidR="000B562B" w:rsidRPr="00A176EA" w:rsidRDefault="000B562B" w:rsidP="00A95361">
      <w:pPr>
        <w:pStyle w:val="H23G"/>
        <w:rPr>
          <w:lang w:val="fr-FR"/>
        </w:rPr>
      </w:pPr>
      <w:r w:rsidRPr="005B518B">
        <w:rPr>
          <w:lang w:val="fr-FR"/>
        </w:rPr>
        <w:t>Guern</w:t>
      </w:r>
      <w:r w:rsidR="007473FB" w:rsidRPr="005B518B">
        <w:rPr>
          <w:lang w:val="fr-FR"/>
        </w:rPr>
        <w:t>e</w:t>
      </w:r>
      <w:r w:rsidRPr="005B518B">
        <w:rPr>
          <w:lang w:val="fr-FR"/>
        </w:rPr>
        <w:t>sey</w:t>
      </w:r>
    </w:p>
    <w:p w:rsidR="000B562B" w:rsidRPr="00A176EA" w:rsidRDefault="002549A9" w:rsidP="00A95361">
      <w:pPr>
        <w:pStyle w:val="SingleTxtG"/>
        <w:rPr>
          <w:lang w:val="fr-FR"/>
        </w:rPr>
      </w:pPr>
      <w:r w:rsidRPr="00A176EA">
        <w:rPr>
          <w:lang w:val="fr-FR"/>
        </w:rPr>
        <w:t>107.</w:t>
      </w:r>
      <w:r w:rsidRPr="00A176EA">
        <w:rPr>
          <w:lang w:val="fr-FR"/>
        </w:rPr>
        <w:tab/>
      </w:r>
      <w:r w:rsidR="00B86C8A">
        <w:rPr>
          <w:lang w:val="fr-FR"/>
        </w:rPr>
        <w:t xml:space="preserve">En sus d’une action civile en dommages et intérêts, depuis l’entrée en vigueur de la loi de 2000 sur les droits de l’homme (Bailliage de Guernesey), une personne (ou ses ayants droit en cas de décès) qui a subi des </w:t>
      </w:r>
      <w:r w:rsidR="000B75E4">
        <w:rPr>
          <w:lang w:val="fr-FR"/>
        </w:rPr>
        <w:t xml:space="preserve">actes de </w:t>
      </w:r>
      <w:r w:rsidR="00B86C8A">
        <w:rPr>
          <w:lang w:val="fr-FR"/>
        </w:rPr>
        <w:t xml:space="preserve">torture de la part d’une autorité publique </w:t>
      </w:r>
      <w:r w:rsidR="00814C8A">
        <w:rPr>
          <w:lang w:val="fr-FR"/>
        </w:rPr>
        <w:t>peut demander réparation en vertu de l’article 8 de ladite loi, ce qui peut inclure</w:t>
      </w:r>
      <w:r w:rsidR="00814C8A" w:rsidRPr="00814C8A">
        <w:rPr>
          <w:lang w:val="fr-FR"/>
        </w:rPr>
        <w:t xml:space="preserve"> </w:t>
      </w:r>
      <w:r w:rsidR="00814C8A">
        <w:rPr>
          <w:lang w:val="fr-FR"/>
        </w:rPr>
        <w:t xml:space="preserve">une indemnisation, le cas échéant. Les États de Guernesey ont approuvé l’élaboration d’une loi qui introduira un système d’indemnisation des victimes d’actes criminels. </w:t>
      </w:r>
      <w:r w:rsidR="00657DA1">
        <w:rPr>
          <w:lang w:val="fr-FR"/>
        </w:rPr>
        <w:t xml:space="preserve">Ce texte doit encore être finalisé et sera déposé aux </w:t>
      </w:r>
      <w:r w:rsidR="00657DA1" w:rsidRPr="00657DA1">
        <w:rPr>
          <w:lang w:val="fr-FR"/>
        </w:rPr>
        <w:t>États de Guernesey</w:t>
      </w:r>
      <w:r w:rsidR="00657DA1">
        <w:rPr>
          <w:lang w:val="fr-FR"/>
        </w:rPr>
        <w:t xml:space="preserve"> avant d’être soumis à la sanction royale</w:t>
      </w:r>
      <w:r w:rsidR="000B562B" w:rsidRPr="00A176EA">
        <w:rPr>
          <w:lang w:val="fr-FR"/>
        </w:rPr>
        <w:t>.</w:t>
      </w:r>
    </w:p>
    <w:p w:rsidR="000B562B" w:rsidRPr="00657DA1" w:rsidRDefault="000B562B" w:rsidP="00A95361">
      <w:pPr>
        <w:pStyle w:val="H23G"/>
        <w:rPr>
          <w:lang w:val="fr-FR"/>
        </w:rPr>
      </w:pPr>
      <w:r w:rsidRPr="00657DA1">
        <w:rPr>
          <w:lang w:val="fr-FR"/>
        </w:rPr>
        <w:t>Jersey</w:t>
      </w:r>
    </w:p>
    <w:p w:rsidR="000B562B" w:rsidRPr="00657DA1" w:rsidRDefault="002549A9" w:rsidP="00A95361">
      <w:pPr>
        <w:pStyle w:val="SingleTxtG"/>
        <w:rPr>
          <w:lang w:val="fr-FR"/>
        </w:rPr>
      </w:pPr>
      <w:r w:rsidRPr="00657DA1">
        <w:rPr>
          <w:lang w:val="fr-FR"/>
        </w:rPr>
        <w:t>108.</w:t>
      </w:r>
      <w:r w:rsidRPr="00657DA1">
        <w:rPr>
          <w:lang w:val="fr-FR"/>
        </w:rPr>
        <w:tab/>
      </w:r>
      <w:r w:rsidR="00657DA1" w:rsidRPr="00657DA1">
        <w:rPr>
          <w:lang w:val="fr-FR"/>
        </w:rPr>
        <w:t>Aucun changement n’est intervenu depuis le rapport précédent</w:t>
      </w:r>
      <w:r w:rsidR="000B562B" w:rsidRPr="00657DA1">
        <w:rPr>
          <w:lang w:val="fr-FR"/>
        </w:rPr>
        <w:t>.</w:t>
      </w:r>
    </w:p>
    <w:p w:rsidR="000B562B" w:rsidRPr="00A176EA" w:rsidRDefault="008063D7" w:rsidP="00A95361">
      <w:pPr>
        <w:pStyle w:val="H23G"/>
        <w:rPr>
          <w:lang w:val="fr-FR"/>
        </w:rPr>
      </w:pPr>
      <w:r w:rsidRPr="00657DA1">
        <w:rPr>
          <w:lang w:val="fr-FR"/>
        </w:rPr>
        <w:t>Î</w:t>
      </w:r>
      <w:r w:rsidR="000B562B" w:rsidRPr="00657DA1">
        <w:rPr>
          <w:lang w:val="fr-FR"/>
        </w:rPr>
        <w:t xml:space="preserve">le </w:t>
      </w:r>
      <w:r w:rsidRPr="00657DA1">
        <w:rPr>
          <w:lang w:val="fr-FR"/>
        </w:rPr>
        <w:t>de</w:t>
      </w:r>
      <w:r w:rsidR="000B562B" w:rsidRPr="00657DA1">
        <w:rPr>
          <w:lang w:val="fr-FR"/>
        </w:rPr>
        <w:t xml:space="preserve"> Man</w:t>
      </w:r>
    </w:p>
    <w:p w:rsidR="000B562B" w:rsidRPr="00A176EA" w:rsidRDefault="002549A9" w:rsidP="00A95361">
      <w:pPr>
        <w:pStyle w:val="SingleTxtG"/>
        <w:rPr>
          <w:lang w:val="fr-FR"/>
        </w:rPr>
      </w:pPr>
      <w:r w:rsidRPr="00A176EA">
        <w:rPr>
          <w:lang w:val="fr-FR"/>
        </w:rPr>
        <w:t>109.</w:t>
      </w:r>
      <w:r w:rsidRPr="00A176EA">
        <w:rPr>
          <w:lang w:val="fr-FR"/>
        </w:rPr>
        <w:tab/>
      </w:r>
      <w:r w:rsidR="00657DA1">
        <w:rPr>
          <w:lang w:val="fr-FR"/>
        </w:rPr>
        <w:t xml:space="preserve">D’une façon générale, la situation n’a pas changé depuis le rapport précédent. Toutefois, depuis que la loi de 2001 sur les droits de l’homme est pleinement entrée en vigueur, le tribunal peut accorder </w:t>
      </w:r>
      <w:r w:rsidR="00090C35">
        <w:rPr>
          <w:lang w:val="fr-FR"/>
        </w:rPr>
        <w:t>toute réparation ou tout dédommagement, ou rendre toute ordonnance</w:t>
      </w:r>
      <w:r w:rsidR="00FE4AE2">
        <w:rPr>
          <w:lang w:val="fr-FR"/>
        </w:rPr>
        <w:t xml:space="preserve"> de son ressort</w:t>
      </w:r>
      <w:r w:rsidR="00090C35">
        <w:rPr>
          <w:lang w:val="fr-FR"/>
        </w:rPr>
        <w:t xml:space="preserve"> qu’il jugera justes et appropriés s’il s’avère qu’un organisme public a violé </w:t>
      </w:r>
      <w:r w:rsidR="006D07AA">
        <w:rPr>
          <w:lang w:val="fr-FR"/>
        </w:rPr>
        <w:t>les</w:t>
      </w:r>
      <w:r w:rsidR="00090C35">
        <w:rPr>
          <w:lang w:val="fr-FR"/>
        </w:rPr>
        <w:t xml:space="preserve"> droits de cette personne consacrés </w:t>
      </w:r>
      <w:r w:rsidR="009F1CC5">
        <w:rPr>
          <w:lang w:val="fr-FR"/>
        </w:rPr>
        <w:t>par</w:t>
      </w:r>
      <w:r w:rsidR="00090C35">
        <w:rPr>
          <w:lang w:val="fr-FR"/>
        </w:rPr>
        <w:t xml:space="preserve"> la Convention européenne, dont celui de ne pas être soumis à la </w:t>
      </w:r>
      <w:r w:rsidR="000B562B" w:rsidRPr="00A176EA">
        <w:rPr>
          <w:lang w:val="fr-FR"/>
        </w:rPr>
        <w:t>torture.</w:t>
      </w:r>
    </w:p>
    <w:p w:rsidR="000B562B" w:rsidRPr="00090C35" w:rsidRDefault="007B1C4A" w:rsidP="001C135E">
      <w:pPr>
        <w:pStyle w:val="H1G"/>
      </w:pPr>
      <w:bookmarkStart w:id="92" w:name="_Toc299724783"/>
      <w:r>
        <w:tab/>
      </w:r>
      <w:r>
        <w:tab/>
      </w:r>
      <w:r w:rsidR="000B562B" w:rsidRPr="00090C35">
        <w:t>Article 15</w:t>
      </w:r>
      <w:bookmarkEnd w:id="92"/>
    </w:p>
    <w:p w:rsidR="000B562B" w:rsidRPr="00A176EA" w:rsidRDefault="000B562B" w:rsidP="00A95361">
      <w:pPr>
        <w:pStyle w:val="H23G"/>
        <w:rPr>
          <w:lang w:val="fr-FR"/>
        </w:rPr>
      </w:pPr>
      <w:r w:rsidRPr="00090C35">
        <w:rPr>
          <w:lang w:val="fr-FR"/>
        </w:rPr>
        <w:t>Guern</w:t>
      </w:r>
      <w:r w:rsidR="008063D7" w:rsidRPr="00090C35">
        <w:rPr>
          <w:lang w:val="fr-FR"/>
        </w:rPr>
        <w:t>e</w:t>
      </w:r>
      <w:r w:rsidRPr="00090C35">
        <w:rPr>
          <w:lang w:val="fr-FR"/>
        </w:rPr>
        <w:t>sey</w:t>
      </w:r>
    </w:p>
    <w:p w:rsidR="000B562B" w:rsidRPr="00A176EA" w:rsidRDefault="002549A9" w:rsidP="00A95361">
      <w:pPr>
        <w:pStyle w:val="SingleTxtG"/>
        <w:rPr>
          <w:lang w:val="fr-FR"/>
        </w:rPr>
      </w:pPr>
      <w:r w:rsidRPr="00A176EA">
        <w:rPr>
          <w:lang w:val="fr-FR"/>
        </w:rPr>
        <w:t>110.</w:t>
      </w:r>
      <w:r w:rsidRPr="00A176EA">
        <w:rPr>
          <w:lang w:val="fr-FR"/>
        </w:rPr>
        <w:tab/>
      </w:r>
      <w:r w:rsidR="00624E4F">
        <w:rPr>
          <w:lang w:val="fr-FR"/>
        </w:rPr>
        <w:t xml:space="preserve">Les Règles relatives à l’instruction mentionnées dans le </w:t>
      </w:r>
      <w:r w:rsidR="00F630DA">
        <w:rPr>
          <w:lang w:val="fr-FR"/>
        </w:rPr>
        <w:t xml:space="preserve">précédent </w:t>
      </w:r>
      <w:r w:rsidR="00624E4F">
        <w:rPr>
          <w:lang w:val="fr-FR"/>
        </w:rPr>
        <w:t xml:space="preserve">rapport périodique ont été remplacées par la loi de 2003 sur les pouvoirs de la police et les preuves pénales (Bailliage de Guernesey). </w:t>
      </w:r>
      <w:r w:rsidR="000B75E4">
        <w:rPr>
          <w:lang w:val="fr-FR"/>
        </w:rPr>
        <w:t>Inspirée de</w:t>
      </w:r>
      <w:r w:rsidR="00F630DA">
        <w:rPr>
          <w:lang w:val="fr-FR"/>
        </w:rPr>
        <w:t xml:space="preserve"> la loi britannique sur la police et les preuves pénales, son article 76 </w:t>
      </w:r>
      <w:r w:rsidR="000B75E4">
        <w:rPr>
          <w:lang w:val="fr-FR"/>
        </w:rPr>
        <w:t xml:space="preserve">a trait aux </w:t>
      </w:r>
      <w:r w:rsidR="00F630DA">
        <w:rPr>
          <w:lang w:val="fr-FR"/>
        </w:rPr>
        <w:t xml:space="preserve">aveux et </w:t>
      </w:r>
      <w:r w:rsidR="0011429C">
        <w:rPr>
          <w:lang w:val="fr-FR"/>
        </w:rPr>
        <w:t>son</w:t>
      </w:r>
      <w:r w:rsidR="00F630DA">
        <w:rPr>
          <w:lang w:val="fr-FR"/>
        </w:rPr>
        <w:t xml:space="preserve"> article 78 </w:t>
      </w:r>
      <w:r w:rsidR="000B75E4">
        <w:rPr>
          <w:lang w:val="fr-FR"/>
        </w:rPr>
        <w:t>à</w:t>
      </w:r>
      <w:r w:rsidR="0011429C">
        <w:rPr>
          <w:lang w:val="fr-FR"/>
        </w:rPr>
        <w:t xml:space="preserve"> l’irrecevabilité des preuves iniques</w:t>
      </w:r>
      <w:r w:rsidR="000B562B" w:rsidRPr="00A176EA">
        <w:rPr>
          <w:lang w:val="fr-FR"/>
        </w:rPr>
        <w:t>.</w:t>
      </w:r>
    </w:p>
    <w:p w:rsidR="000B562B" w:rsidRPr="00A176EA" w:rsidRDefault="002549A9" w:rsidP="00A95361">
      <w:pPr>
        <w:pStyle w:val="SingleTxtG"/>
        <w:rPr>
          <w:lang w:val="fr-FR"/>
        </w:rPr>
      </w:pPr>
      <w:r w:rsidRPr="00A176EA">
        <w:rPr>
          <w:lang w:val="fr-FR"/>
        </w:rPr>
        <w:t>111.</w:t>
      </w:r>
      <w:r w:rsidRPr="00A176EA">
        <w:rPr>
          <w:lang w:val="fr-FR"/>
        </w:rPr>
        <w:tab/>
      </w:r>
      <w:r w:rsidR="0011429C">
        <w:rPr>
          <w:lang w:val="fr-FR"/>
        </w:rPr>
        <w:t xml:space="preserve">L’article 76 dispose que </w:t>
      </w:r>
      <w:r w:rsidR="003868F8">
        <w:rPr>
          <w:lang w:val="fr-FR"/>
        </w:rPr>
        <w:t>lorsque</w:t>
      </w:r>
      <w:r w:rsidR="0011429C">
        <w:rPr>
          <w:lang w:val="fr-FR"/>
        </w:rPr>
        <w:t xml:space="preserve"> le ministère public </w:t>
      </w:r>
      <w:r w:rsidR="00EA5FEF">
        <w:rPr>
          <w:lang w:val="fr-FR"/>
        </w:rPr>
        <w:t>entend</w:t>
      </w:r>
      <w:r w:rsidR="003868F8">
        <w:rPr>
          <w:lang w:val="fr-FR"/>
        </w:rPr>
        <w:t xml:space="preserve"> </w:t>
      </w:r>
      <w:r w:rsidR="0011429C">
        <w:rPr>
          <w:lang w:val="fr-FR"/>
        </w:rPr>
        <w:t xml:space="preserve">utiliser </w:t>
      </w:r>
      <w:r w:rsidR="003868F8">
        <w:rPr>
          <w:lang w:val="fr-FR"/>
        </w:rPr>
        <w:t xml:space="preserve">les aveux de l’accusé </w:t>
      </w:r>
      <w:r w:rsidR="0011429C">
        <w:rPr>
          <w:lang w:val="fr-FR"/>
        </w:rPr>
        <w:t xml:space="preserve">comme </w:t>
      </w:r>
      <w:r w:rsidR="003868F8">
        <w:rPr>
          <w:lang w:val="fr-FR"/>
        </w:rPr>
        <w:t xml:space="preserve">élément </w:t>
      </w:r>
      <w:r w:rsidR="0011429C">
        <w:rPr>
          <w:lang w:val="fr-FR"/>
        </w:rPr>
        <w:t xml:space="preserve">preuve </w:t>
      </w:r>
      <w:r w:rsidR="003868F8">
        <w:rPr>
          <w:lang w:val="fr-FR"/>
        </w:rPr>
        <w:t xml:space="preserve">et qu’il est invoqué devant le tribunal que ces aveux ont été ou peuvent avoir été obtenus </w:t>
      </w:r>
      <w:r w:rsidR="00E50B21">
        <w:rPr>
          <w:lang w:val="fr-FR"/>
        </w:rPr>
        <w:t>en exerçant une</w:t>
      </w:r>
      <w:r w:rsidR="003868F8">
        <w:rPr>
          <w:lang w:val="fr-FR"/>
        </w:rPr>
        <w:t xml:space="preserve"> contrainte </w:t>
      </w:r>
      <w:r w:rsidR="00E50B21">
        <w:rPr>
          <w:lang w:val="fr-FR"/>
        </w:rPr>
        <w:t>sur</w:t>
      </w:r>
      <w:r w:rsidR="003868F8">
        <w:rPr>
          <w:lang w:val="fr-FR"/>
        </w:rPr>
        <w:t xml:space="preserve"> la personne qui les a faits, cet élément de preuve doit être écarté </w:t>
      </w:r>
      <w:r w:rsidR="00E50B21">
        <w:rPr>
          <w:lang w:val="fr-FR"/>
        </w:rPr>
        <w:t>sauf si le ministère public établit au-delà de tout doute raisonnable qu’il</w:t>
      </w:r>
      <w:r w:rsidR="00BF6917">
        <w:rPr>
          <w:lang w:val="fr-FR"/>
        </w:rPr>
        <w:t>s</w:t>
      </w:r>
      <w:r w:rsidR="00E50B21">
        <w:rPr>
          <w:lang w:val="fr-FR"/>
        </w:rPr>
        <w:t xml:space="preserve"> n’</w:t>
      </w:r>
      <w:r w:rsidR="00BF6917">
        <w:rPr>
          <w:lang w:val="fr-FR"/>
        </w:rPr>
        <w:t>ont</w:t>
      </w:r>
      <w:r w:rsidR="00E50B21">
        <w:rPr>
          <w:lang w:val="fr-FR"/>
        </w:rPr>
        <w:t xml:space="preserve"> pas été obtenu</w:t>
      </w:r>
      <w:r w:rsidR="00BF6917">
        <w:rPr>
          <w:lang w:val="fr-FR"/>
        </w:rPr>
        <w:t>s</w:t>
      </w:r>
      <w:r w:rsidR="00E50B21">
        <w:rPr>
          <w:lang w:val="fr-FR"/>
        </w:rPr>
        <w:t xml:space="preserve"> par ce moyen. Le même article précise que la </w:t>
      </w:r>
      <w:r w:rsidR="00CD0110">
        <w:rPr>
          <w:lang w:val="fr-FR"/>
        </w:rPr>
        <w:t>«</w:t>
      </w:r>
      <w:r w:rsidR="00E50B21">
        <w:rPr>
          <w:lang w:val="fr-FR"/>
        </w:rPr>
        <w:t>contrainte</w:t>
      </w:r>
      <w:r w:rsidR="00CD0110">
        <w:rPr>
          <w:lang w:val="fr-FR"/>
        </w:rPr>
        <w:t>»</w:t>
      </w:r>
      <w:r w:rsidR="00E50B21">
        <w:rPr>
          <w:lang w:val="fr-FR"/>
        </w:rPr>
        <w:t xml:space="preserve"> inclut la torture, les traitements inhumains et dégradants, et la menace de violence (qu’il s’agisse ou non d’actes de torture</w:t>
      </w:r>
      <w:r w:rsidR="000B562B" w:rsidRPr="00A176EA">
        <w:rPr>
          <w:lang w:val="fr-FR"/>
        </w:rPr>
        <w:t>).</w:t>
      </w:r>
    </w:p>
    <w:p w:rsidR="003868F8" w:rsidRDefault="002549A9" w:rsidP="00CB2353">
      <w:pPr>
        <w:pStyle w:val="SingleTxtG"/>
        <w:rPr>
          <w:lang w:val="fr-FR"/>
        </w:rPr>
      </w:pPr>
      <w:r w:rsidRPr="00A176EA">
        <w:rPr>
          <w:lang w:val="fr-FR"/>
        </w:rPr>
        <w:t>112.</w:t>
      </w:r>
      <w:r w:rsidRPr="00A176EA">
        <w:rPr>
          <w:lang w:val="fr-FR"/>
        </w:rPr>
        <w:tab/>
      </w:r>
      <w:r w:rsidR="00E50B21">
        <w:rPr>
          <w:lang w:val="fr-FR"/>
        </w:rPr>
        <w:t>Aux termes de l’article</w:t>
      </w:r>
      <w:r w:rsidR="000B562B" w:rsidRPr="00A176EA">
        <w:rPr>
          <w:lang w:val="fr-FR"/>
        </w:rPr>
        <w:t xml:space="preserve"> 78</w:t>
      </w:r>
      <w:r w:rsidR="00E50B21">
        <w:rPr>
          <w:lang w:val="fr-FR"/>
        </w:rPr>
        <w:t>,</w:t>
      </w:r>
      <w:r w:rsidR="000B562B" w:rsidRPr="00A176EA">
        <w:rPr>
          <w:lang w:val="fr-FR"/>
        </w:rPr>
        <w:t xml:space="preserve"> </w:t>
      </w:r>
      <w:r w:rsidR="00E50B21">
        <w:rPr>
          <w:lang w:val="fr-FR"/>
        </w:rPr>
        <w:t xml:space="preserve">le tribunal est habilité à écarter des aveux sur lesquels s’appuie le ministère public s’il lui apparaît que, compte tenu de toutes les circonstances, dont celles dans </w:t>
      </w:r>
      <w:r w:rsidR="006D07AA">
        <w:rPr>
          <w:lang w:val="fr-FR"/>
        </w:rPr>
        <w:t>lesquelles</w:t>
      </w:r>
      <w:r w:rsidR="00E50B21">
        <w:rPr>
          <w:lang w:val="fr-FR"/>
        </w:rPr>
        <w:t xml:space="preserve"> l’élément de preuve a été obtenu, </w:t>
      </w:r>
      <w:r w:rsidR="00CB2353" w:rsidRPr="00CB2353">
        <w:rPr>
          <w:lang w:val="fr-FR"/>
        </w:rPr>
        <w:t>les déclarer recevables en tant que preuve aurait pour effet de rendre la procédure inéquitable</w:t>
      </w:r>
      <w:r w:rsidR="000B562B" w:rsidRPr="00A176EA">
        <w:rPr>
          <w:lang w:val="fr-FR"/>
        </w:rPr>
        <w:t>.</w:t>
      </w:r>
    </w:p>
    <w:p w:rsidR="000B562B" w:rsidRPr="00A176EA" w:rsidRDefault="000B562B" w:rsidP="00A95361">
      <w:pPr>
        <w:pStyle w:val="H23G"/>
        <w:rPr>
          <w:lang w:val="fr-FR"/>
        </w:rPr>
      </w:pPr>
      <w:r w:rsidRPr="00171E33">
        <w:rPr>
          <w:lang w:val="fr-FR"/>
        </w:rPr>
        <w:t>Jersey</w:t>
      </w:r>
    </w:p>
    <w:p w:rsidR="000B562B" w:rsidRPr="00A176EA" w:rsidRDefault="002549A9" w:rsidP="00A95361">
      <w:pPr>
        <w:pStyle w:val="SingleTxtG"/>
        <w:rPr>
          <w:lang w:val="fr-FR"/>
        </w:rPr>
      </w:pPr>
      <w:r w:rsidRPr="00A176EA">
        <w:rPr>
          <w:lang w:val="fr-FR"/>
        </w:rPr>
        <w:t>113.</w:t>
      </w:r>
      <w:r w:rsidRPr="00A176EA">
        <w:rPr>
          <w:lang w:val="fr-FR"/>
        </w:rPr>
        <w:tab/>
      </w:r>
      <w:r w:rsidR="00186A02">
        <w:rPr>
          <w:lang w:val="fr-FR"/>
        </w:rPr>
        <w:t>La p</w:t>
      </w:r>
      <w:r w:rsidR="000B562B" w:rsidRPr="00A176EA">
        <w:rPr>
          <w:lang w:val="fr-FR"/>
        </w:rPr>
        <w:t>art</w:t>
      </w:r>
      <w:r w:rsidR="00186A02">
        <w:rPr>
          <w:lang w:val="fr-FR"/>
        </w:rPr>
        <w:t>ie</w:t>
      </w:r>
      <w:r w:rsidR="000B562B" w:rsidRPr="00A176EA">
        <w:rPr>
          <w:lang w:val="fr-FR"/>
        </w:rPr>
        <w:t xml:space="preserve"> 9 </w:t>
      </w:r>
      <w:r w:rsidR="00186A02">
        <w:rPr>
          <w:lang w:val="fr-FR"/>
        </w:rPr>
        <w:t>de la loi sur les procédures policières et les preuves pénales</w:t>
      </w:r>
      <w:r w:rsidR="000B562B" w:rsidRPr="00A176EA">
        <w:rPr>
          <w:lang w:val="fr-FR"/>
        </w:rPr>
        <w:t xml:space="preserve">, </w:t>
      </w:r>
      <w:r w:rsidR="00186A02">
        <w:rPr>
          <w:lang w:val="fr-FR"/>
        </w:rPr>
        <w:t>qui porte sur les preuves dans les procédures pénales, est entrée en vigueur le 18 mars</w:t>
      </w:r>
      <w:r w:rsidR="000B562B" w:rsidRPr="00A176EA">
        <w:rPr>
          <w:lang w:val="fr-FR"/>
        </w:rPr>
        <w:t xml:space="preserve"> 2003.</w:t>
      </w:r>
    </w:p>
    <w:p w:rsidR="000B562B" w:rsidRPr="00A176EA" w:rsidRDefault="002549A9" w:rsidP="00186A02">
      <w:pPr>
        <w:pStyle w:val="SingleTxtG"/>
        <w:rPr>
          <w:lang w:val="fr-FR"/>
        </w:rPr>
      </w:pPr>
      <w:r w:rsidRPr="00A176EA">
        <w:rPr>
          <w:lang w:val="fr-FR"/>
        </w:rPr>
        <w:t>114.</w:t>
      </w:r>
      <w:r w:rsidRPr="00A176EA">
        <w:rPr>
          <w:lang w:val="fr-FR"/>
        </w:rPr>
        <w:tab/>
      </w:r>
      <w:r w:rsidR="00186A02">
        <w:rPr>
          <w:lang w:val="fr-FR"/>
        </w:rPr>
        <w:t>Si, dans une procédure où le ministère public entend utiliser les aveux de l’accusé comme élément de preuve, il est invoqué devant le tribunal que ces aveux ont été ou peuvent avoir été obtenus</w:t>
      </w:r>
      <w:r w:rsidR="00FC2B97">
        <w:rPr>
          <w:lang w:val="fr-FR"/>
        </w:rPr>
        <w:t>:</w:t>
      </w:r>
      <w:r w:rsidR="008E451C" w:rsidRPr="008E451C">
        <w:rPr>
          <w:lang w:val="fr-FR"/>
        </w:rPr>
        <w:t xml:space="preserve"> </w:t>
      </w:r>
    </w:p>
    <w:p w:rsidR="000B562B" w:rsidRPr="00A176EA" w:rsidRDefault="000B562B" w:rsidP="00A95361">
      <w:pPr>
        <w:pStyle w:val="SingleTxtG"/>
        <w:ind w:firstLine="567"/>
        <w:rPr>
          <w:lang w:val="fr-FR"/>
        </w:rPr>
      </w:pPr>
      <w:r w:rsidRPr="00A176EA">
        <w:rPr>
          <w:lang w:val="fr-FR"/>
        </w:rPr>
        <w:t>a)</w:t>
      </w:r>
      <w:r w:rsidRPr="00A176EA">
        <w:rPr>
          <w:lang w:val="fr-FR"/>
        </w:rPr>
        <w:tab/>
      </w:r>
      <w:r w:rsidR="00186A02">
        <w:rPr>
          <w:lang w:val="fr-FR"/>
        </w:rPr>
        <w:t>en exerçant une contrainte sur la personne qui les a faits</w:t>
      </w:r>
      <w:r w:rsidR="00FC2B97">
        <w:rPr>
          <w:lang w:val="fr-FR"/>
        </w:rPr>
        <w:t>;</w:t>
      </w:r>
      <w:r w:rsidR="00186A02">
        <w:rPr>
          <w:lang w:val="fr-FR"/>
        </w:rPr>
        <w:t xml:space="preserve"> ou</w:t>
      </w:r>
    </w:p>
    <w:p w:rsidR="000B562B" w:rsidRPr="00A176EA" w:rsidRDefault="000B562B" w:rsidP="00171E33">
      <w:pPr>
        <w:pStyle w:val="SingleTxtG"/>
        <w:ind w:firstLine="567"/>
        <w:rPr>
          <w:lang w:val="fr-FR"/>
        </w:rPr>
      </w:pPr>
      <w:r w:rsidRPr="00A176EA">
        <w:rPr>
          <w:lang w:val="fr-FR"/>
        </w:rPr>
        <w:t>b)</w:t>
      </w:r>
      <w:r w:rsidRPr="00A176EA">
        <w:rPr>
          <w:lang w:val="fr-FR"/>
        </w:rPr>
        <w:tab/>
      </w:r>
      <w:r w:rsidR="00EA5FEF">
        <w:rPr>
          <w:lang w:val="fr-FR"/>
        </w:rPr>
        <w:t xml:space="preserve">suite à des paroles ou des actes susceptibles, dans les circonstances </w:t>
      </w:r>
      <w:r w:rsidR="008E451C">
        <w:rPr>
          <w:lang w:val="fr-FR"/>
        </w:rPr>
        <w:t>prévalant alors</w:t>
      </w:r>
      <w:r w:rsidR="00EA5FEF">
        <w:rPr>
          <w:lang w:val="fr-FR"/>
        </w:rPr>
        <w:t>, d’entacher la fiabilité des aveux de l’accusé, le tribunal ne saurait retenir ces aveux comme élément de preuve contre l’accusé si le ministère public n’a pas établi au-delà de tout doute raisonnable que, même s’ils correspondent à la vérité, ils n’ont pas été obtenus</w:t>
      </w:r>
      <w:r w:rsidR="00171E33">
        <w:rPr>
          <w:lang w:val="fr-FR"/>
        </w:rPr>
        <w:t xml:space="preserve"> par ces moyens </w:t>
      </w:r>
      <w:r w:rsidR="00250A6E">
        <w:rPr>
          <w:lang w:val="fr-FR"/>
        </w:rPr>
        <w:t>(par.</w:t>
      </w:r>
      <w:r w:rsidR="00AE2E20">
        <w:rPr>
          <w:lang w:val="fr-FR"/>
        </w:rPr>
        <w:t xml:space="preserve"> 2 de l’</w:t>
      </w:r>
      <w:r w:rsidR="00171E33">
        <w:rPr>
          <w:lang w:val="fr-FR"/>
        </w:rPr>
        <w:t>a</w:t>
      </w:r>
      <w:r w:rsidRPr="00A176EA">
        <w:rPr>
          <w:lang w:val="fr-FR"/>
        </w:rPr>
        <w:t>rticle 74</w:t>
      </w:r>
      <w:r w:rsidR="00171E33">
        <w:rPr>
          <w:lang w:val="fr-FR"/>
        </w:rPr>
        <w:t xml:space="preserve"> de la loi sur les procédures policières et les preuves pénales</w:t>
      </w:r>
      <w:r w:rsidRPr="00A176EA">
        <w:rPr>
          <w:lang w:val="fr-FR"/>
        </w:rPr>
        <w:t>).</w:t>
      </w:r>
    </w:p>
    <w:p w:rsidR="000B562B" w:rsidRPr="00A176EA" w:rsidRDefault="002549A9" w:rsidP="00171E33">
      <w:pPr>
        <w:pStyle w:val="SingleTxtG"/>
        <w:rPr>
          <w:lang w:val="fr-FR"/>
        </w:rPr>
      </w:pPr>
      <w:r w:rsidRPr="00A176EA">
        <w:rPr>
          <w:lang w:val="fr-FR"/>
        </w:rPr>
        <w:t>115.</w:t>
      </w:r>
      <w:r w:rsidRPr="00A176EA">
        <w:rPr>
          <w:lang w:val="fr-FR"/>
        </w:rPr>
        <w:tab/>
      </w:r>
      <w:r w:rsidR="00171E33">
        <w:rPr>
          <w:lang w:val="fr-FR"/>
        </w:rPr>
        <w:t>L</w:t>
      </w:r>
      <w:r w:rsidR="00AE2E20">
        <w:rPr>
          <w:lang w:val="fr-FR"/>
        </w:rPr>
        <w:t>e paragraphe 8 de l</w:t>
      </w:r>
      <w:r w:rsidR="00171E33">
        <w:rPr>
          <w:lang w:val="fr-FR"/>
        </w:rPr>
        <w:t xml:space="preserve">’article 74 précise que la </w:t>
      </w:r>
      <w:r w:rsidR="00CD0110">
        <w:rPr>
          <w:lang w:val="fr-FR"/>
        </w:rPr>
        <w:t>«</w:t>
      </w:r>
      <w:r w:rsidR="00171E33">
        <w:rPr>
          <w:lang w:val="fr-FR"/>
        </w:rPr>
        <w:t>contrainte</w:t>
      </w:r>
      <w:r w:rsidR="00CD0110">
        <w:rPr>
          <w:lang w:val="fr-FR"/>
        </w:rPr>
        <w:t>»</w:t>
      </w:r>
      <w:r w:rsidR="00171E33">
        <w:rPr>
          <w:lang w:val="fr-FR"/>
        </w:rPr>
        <w:t xml:space="preserve"> inclut la torture, les traitements inhumains et dégradants, et la menace de violence, qu’il s’agisse ou non d’actes de torture</w:t>
      </w:r>
      <w:r w:rsidR="000B562B" w:rsidRPr="00A176EA">
        <w:rPr>
          <w:lang w:val="fr-FR"/>
        </w:rPr>
        <w:t>.</w:t>
      </w:r>
    </w:p>
    <w:p w:rsidR="000B562B" w:rsidRPr="00A176EA" w:rsidRDefault="002549A9" w:rsidP="00171E33">
      <w:pPr>
        <w:pStyle w:val="SingleTxtG"/>
        <w:rPr>
          <w:lang w:val="fr-FR"/>
        </w:rPr>
      </w:pPr>
      <w:r w:rsidRPr="00A176EA">
        <w:rPr>
          <w:lang w:val="fr-FR"/>
        </w:rPr>
        <w:t>116.</w:t>
      </w:r>
      <w:r w:rsidRPr="00A176EA">
        <w:rPr>
          <w:lang w:val="fr-FR"/>
        </w:rPr>
        <w:tab/>
      </w:r>
      <w:r w:rsidR="00171E33">
        <w:rPr>
          <w:lang w:val="fr-FR"/>
        </w:rPr>
        <w:t xml:space="preserve">En outre, aux termes </w:t>
      </w:r>
      <w:r w:rsidR="00AE2E20">
        <w:rPr>
          <w:lang w:val="fr-FR"/>
        </w:rPr>
        <w:t xml:space="preserve">du paragraphe 1 </w:t>
      </w:r>
      <w:r w:rsidR="00171E33">
        <w:rPr>
          <w:lang w:val="fr-FR"/>
        </w:rPr>
        <w:t xml:space="preserve">de l’article 76 de la loi sur les procédures policières et les preuves pénales, le tribunal est habilité à écarter des aveux sur lesquels s’appuie le ministère public s’il lui apparaît que, compte tenu de toutes les circonstances, dont celles dans </w:t>
      </w:r>
      <w:r w:rsidR="006D07AA">
        <w:rPr>
          <w:lang w:val="fr-FR"/>
        </w:rPr>
        <w:t>lesquelles</w:t>
      </w:r>
      <w:r w:rsidR="00171E33">
        <w:rPr>
          <w:lang w:val="fr-FR"/>
        </w:rPr>
        <w:t xml:space="preserve"> l’élément de preuve a été obtenu, </w:t>
      </w:r>
      <w:r w:rsidR="00171E33" w:rsidRPr="00CB2353">
        <w:rPr>
          <w:lang w:val="fr-FR"/>
        </w:rPr>
        <w:t>les déclarer recevables en tant que preuve aurait pour effet de rendre la procédure inéquitable</w:t>
      </w:r>
      <w:r w:rsidR="000B562B" w:rsidRPr="00A176EA">
        <w:rPr>
          <w:lang w:val="fr-FR"/>
        </w:rPr>
        <w:t>.</w:t>
      </w:r>
    </w:p>
    <w:p w:rsidR="000B562B" w:rsidRPr="00171E33" w:rsidRDefault="00EF4795" w:rsidP="00A95361">
      <w:pPr>
        <w:pStyle w:val="H23G"/>
        <w:rPr>
          <w:lang w:val="fr-FR"/>
        </w:rPr>
      </w:pPr>
      <w:r w:rsidRPr="00171E33">
        <w:rPr>
          <w:lang w:val="fr-FR"/>
        </w:rPr>
        <w:t>Île de</w:t>
      </w:r>
      <w:r w:rsidR="000B562B" w:rsidRPr="00171E33">
        <w:rPr>
          <w:lang w:val="fr-FR"/>
        </w:rPr>
        <w:t xml:space="preserve"> Man</w:t>
      </w:r>
    </w:p>
    <w:p w:rsidR="000B562B" w:rsidRPr="00171E33" w:rsidRDefault="002549A9" w:rsidP="00A95361">
      <w:pPr>
        <w:pStyle w:val="SingleTxtG"/>
        <w:rPr>
          <w:lang w:val="fr-FR"/>
        </w:rPr>
      </w:pPr>
      <w:r w:rsidRPr="00171E33">
        <w:rPr>
          <w:lang w:val="fr-FR"/>
        </w:rPr>
        <w:t>117.</w:t>
      </w:r>
      <w:r w:rsidRPr="00171E33">
        <w:rPr>
          <w:lang w:val="fr-FR"/>
        </w:rPr>
        <w:tab/>
      </w:r>
      <w:r w:rsidR="00EF4795" w:rsidRPr="00171E33">
        <w:rPr>
          <w:lang w:val="fr-FR"/>
        </w:rPr>
        <w:t>La situation n’a pas changé depuis le rapport</w:t>
      </w:r>
      <w:r w:rsidR="00171E33" w:rsidRPr="00171E33">
        <w:rPr>
          <w:lang w:val="fr-FR"/>
        </w:rPr>
        <w:t xml:space="preserve"> </w:t>
      </w:r>
      <w:r w:rsidR="00171E33">
        <w:rPr>
          <w:lang w:val="fr-FR"/>
        </w:rPr>
        <w:t>précédent</w:t>
      </w:r>
      <w:r w:rsidR="000B562B" w:rsidRPr="00171E33">
        <w:rPr>
          <w:lang w:val="fr-FR"/>
        </w:rPr>
        <w:t>.</w:t>
      </w:r>
    </w:p>
    <w:p w:rsidR="000B562B" w:rsidRPr="00171E33" w:rsidRDefault="007B1C4A" w:rsidP="001C135E">
      <w:pPr>
        <w:pStyle w:val="H1G"/>
      </w:pPr>
      <w:bookmarkStart w:id="93" w:name="_Toc299724784"/>
      <w:r>
        <w:tab/>
      </w:r>
      <w:r>
        <w:tab/>
      </w:r>
      <w:r w:rsidR="000B562B" w:rsidRPr="00171E33">
        <w:t>Article 16</w:t>
      </w:r>
      <w:bookmarkEnd w:id="93"/>
    </w:p>
    <w:p w:rsidR="000B562B" w:rsidRPr="00A176EA" w:rsidRDefault="000B562B" w:rsidP="00A95361">
      <w:pPr>
        <w:pStyle w:val="H23G"/>
        <w:rPr>
          <w:lang w:val="fr-FR"/>
        </w:rPr>
      </w:pPr>
      <w:r w:rsidRPr="00171E33">
        <w:rPr>
          <w:lang w:val="fr-FR"/>
        </w:rPr>
        <w:t>Guern</w:t>
      </w:r>
      <w:r w:rsidR="002232D2" w:rsidRPr="00171E33">
        <w:rPr>
          <w:lang w:val="fr-FR"/>
        </w:rPr>
        <w:t>e</w:t>
      </w:r>
      <w:r w:rsidRPr="00171E33">
        <w:rPr>
          <w:lang w:val="fr-FR"/>
        </w:rPr>
        <w:t>sey</w:t>
      </w:r>
    </w:p>
    <w:p w:rsidR="000B562B" w:rsidRPr="00A176EA" w:rsidRDefault="002549A9" w:rsidP="00A95361">
      <w:pPr>
        <w:pStyle w:val="SingleTxtG"/>
        <w:rPr>
          <w:lang w:val="fr-FR"/>
        </w:rPr>
      </w:pPr>
      <w:r w:rsidRPr="00A176EA">
        <w:rPr>
          <w:lang w:val="fr-FR"/>
        </w:rPr>
        <w:t>118.</w:t>
      </w:r>
      <w:r w:rsidRPr="00A176EA">
        <w:rPr>
          <w:lang w:val="fr-FR"/>
        </w:rPr>
        <w:tab/>
      </w:r>
      <w:r w:rsidR="00171E33">
        <w:rPr>
          <w:lang w:val="fr-FR"/>
        </w:rPr>
        <w:t xml:space="preserve">Depuis le rapport périodique précédent, la loi de 2006 sur la justice pénale (Dispositions diverses) (Bailliage de Guernesey) a abrogé la loi de 1957 sur les châtiments corporels (Guernesey). Par ailleurs, l’interdiction des </w:t>
      </w:r>
      <w:r w:rsidR="00171E33" w:rsidRPr="00171E33">
        <w:rPr>
          <w:lang w:val="fr-FR"/>
        </w:rPr>
        <w:t>peines ou traitements inhumains ou dégradants</w:t>
      </w:r>
      <w:r w:rsidR="00171E33">
        <w:rPr>
          <w:lang w:val="fr-FR"/>
        </w:rPr>
        <w:t xml:space="preserve"> énoncée dans la Convention européenne des droits de l’homme a été intégrée dans le droit interne</w:t>
      </w:r>
      <w:r w:rsidR="000B562B" w:rsidRPr="00A176EA">
        <w:rPr>
          <w:lang w:val="fr-FR"/>
        </w:rPr>
        <w:t>.</w:t>
      </w:r>
    </w:p>
    <w:p w:rsidR="000B562B" w:rsidRPr="00A176EA" w:rsidRDefault="000B562B" w:rsidP="00A95361">
      <w:pPr>
        <w:pStyle w:val="H23G"/>
        <w:rPr>
          <w:lang w:val="fr-FR"/>
        </w:rPr>
      </w:pPr>
      <w:r w:rsidRPr="00171E33">
        <w:rPr>
          <w:lang w:val="fr-FR"/>
        </w:rPr>
        <w:t>Jersey</w:t>
      </w:r>
    </w:p>
    <w:p w:rsidR="000B562B" w:rsidRPr="00A176EA" w:rsidRDefault="002549A9" w:rsidP="00A95361">
      <w:pPr>
        <w:pStyle w:val="SingleTxtG"/>
        <w:rPr>
          <w:b/>
          <w:lang w:val="fr-FR"/>
        </w:rPr>
      </w:pPr>
      <w:r w:rsidRPr="00A176EA">
        <w:rPr>
          <w:lang w:val="fr-FR"/>
        </w:rPr>
        <w:t>119.</w:t>
      </w:r>
      <w:r w:rsidRPr="00A176EA">
        <w:rPr>
          <w:b/>
          <w:lang w:val="fr-FR"/>
        </w:rPr>
        <w:tab/>
      </w:r>
      <w:r w:rsidR="00171E33">
        <w:rPr>
          <w:lang w:val="fr-FR"/>
        </w:rPr>
        <w:t>Aucun changement n’est intervenu depuis le rapport précédent</w:t>
      </w:r>
      <w:r w:rsidR="000B562B" w:rsidRPr="00A176EA">
        <w:rPr>
          <w:lang w:val="fr-FR"/>
        </w:rPr>
        <w:t>.</w:t>
      </w:r>
    </w:p>
    <w:p w:rsidR="000B562B" w:rsidRPr="00A176EA" w:rsidRDefault="007473FB" w:rsidP="00F653EC">
      <w:pPr>
        <w:pStyle w:val="H23G"/>
        <w:rPr>
          <w:lang w:val="fr-FR"/>
        </w:rPr>
      </w:pPr>
      <w:r w:rsidRPr="00171E33">
        <w:rPr>
          <w:lang w:val="fr-FR"/>
        </w:rPr>
        <w:t>Île de</w:t>
      </w:r>
      <w:r w:rsidR="000B562B" w:rsidRPr="00171E33">
        <w:rPr>
          <w:lang w:val="fr-FR"/>
        </w:rPr>
        <w:t xml:space="preserve"> Man</w:t>
      </w:r>
    </w:p>
    <w:p w:rsidR="000B562B" w:rsidRPr="00A176EA" w:rsidRDefault="002549A9" w:rsidP="00F653EC">
      <w:pPr>
        <w:pStyle w:val="SingleTxtG"/>
        <w:rPr>
          <w:lang w:val="fr-FR"/>
        </w:rPr>
      </w:pPr>
      <w:r w:rsidRPr="00A176EA">
        <w:rPr>
          <w:lang w:val="fr-FR"/>
        </w:rPr>
        <w:t>120.</w:t>
      </w:r>
      <w:r w:rsidRPr="00A176EA">
        <w:rPr>
          <w:lang w:val="fr-FR"/>
        </w:rPr>
        <w:tab/>
      </w:r>
      <w:r w:rsidR="00FF6F32">
        <w:rPr>
          <w:lang w:val="fr-FR"/>
        </w:rPr>
        <w:t>L</w:t>
      </w:r>
      <w:r w:rsidR="00AE2E20">
        <w:rPr>
          <w:lang w:val="fr-FR"/>
        </w:rPr>
        <w:t>e paragraphe b de l</w:t>
      </w:r>
      <w:r w:rsidR="00FF6F32">
        <w:rPr>
          <w:lang w:val="fr-FR"/>
        </w:rPr>
        <w:t>’article 10 de la loi de 2001 sur l’éducation, entrée en vigueur le 1</w:t>
      </w:r>
      <w:r w:rsidR="00FF6F32" w:rsidRPr="00FF6F32">
        <w:rPr>
          <w:vertAlign w:val="superscript"/>
          <w:lang w:val="fr-FR"/>
        </w:rPr>
        <w:t>er</w:t>
      </w:r>
      <w:r w:rsidR="00FF6F32">
        <w:rPr>
          <w:lang w:val="fr-FR"/>
        </w:rPr>
        <w:t xml:space="preserve"> septembre 2004, interdit les châtiments corporels dans les écoles subventionnées et les écoles publiques relevant du Ministère de l’éducation et de l’enfance de l’île. </w:t>
      </w:r>
      <w:r w:rsidR="00804D3C">
        <w:rPr>
          <w:lang w:val="fr-FR"/>
        </w:rPr>
        <w:t>Toutefois, cette interdiction ne s’applique pas aux écoles privées. Bien que, par principe, les châtiments corporels ne soient pas appliqués dans les écoles privées de l’île, la loi de 2009 sur l’éducation (Dispositions diverses), entrée en vigueur le 1</w:t>
      </w:r>
      <w:r w:rsidR="00804D3C" w:rsidRPr="00804D3C">
        <w:rPr>
          <w:vertAlign w:val="superscript"/>
          <w:lang w:val="fr-FR"/>
        </w:rPr>
        <w:t>er</w:t>
      </w:r>
      <w:r w:rsidR="00804D3C">
        <w:rPr>
          <w:lang w:val="fr-FR"/>
        </w:rPr>
        <w:t xml:space="preserve"> septembre 2009, interdit le recours aux châtiments corporels à l’encontre des mineurs de toutes les écoles et autres lieux d’éducation</w:t>
      </w:r>
      <w:r w:rsidR="000B562B" w:rsidRPr="00A176EA">
        <w:rPr>
          <w:lang w:val="fr-FR"/>
        </w:rPr>
        <w:t>.</w:t>
      </w:r>
    </w:p>
    <w:p w:rsidR="000B562B" w:rsidRPr="00A176EA" w:rsidRDefault="002549A9" w:rsidP="005F0169">
      <w:pPr>
        <w:pStyle w:val="SingleTxtG"/>
        <w:rPr>
          <w:lang w:val="fr-FR"/>
        </w:rPr>
      </w:pPr>
      <w:r w:rsidRPr="00A176EA">
        <w:rPr>
          <w:lang w:val="fr-FR"/>
        </w:rPr>
        <w:t>121.</w:t>
      </w:r>
      <w:r w:rsidRPr="00A176EA">
        <w:rPr>
          <w:lang w:val="fr-FR"/>
        </w:rPr>
        <w:tab/>
      </w:r>
      <w:r w:rsidR="005F0169">
        <w:rPr>
          <w:lang w:val="fr-FR"/>
        </w:rPr>
        <w:t>Le quatrième rapport périodique faisait mention de la formation dispensée aux travailleurs sociaux, aux visiteurs de santé, aux fonctionnaires de police, aux enseignants et à divers professionnels de santé pour repérer les cas de maltraitance d’enfant, ainsi que des mesures concrètes à prendre pour protéger l’enfant dans une telle situation. Cette formation est en cours d’évaluation</w:t>
      </w:r>
      <w:r w:rsidR="000B562B" w:rsidRPr="00A176EA">
        <w:rPr>
          <w:lang w:val="fr-FR"/>
        </w:rPr>
        <w:t>.</w:t>
      </w:r>
    </w:p>
    <w:p w:rsidR="007B1C4A" w:rsidRDefault="002549A9" w:rsidP="00F653EC">
      <w:pPr>
        <w:pStyle w:val="SingleTxtG"/>
        <w:rPr>
          <w:lang w:val="fr-FR"/>
        </w:rPr>
      </w:pPr>
      <w:r w:rsidRPr="00A176EA">
        <w:rPr>
          <w:lang w:val="fr-FR"/>
        </w:rPr>
        <w:t>122.</w:t>
      </w:r>
      <w:r w:rsidRPr="00A176EA">
        <w:rPr>
          <w:lang w:val="fr-FR"/>
        </w:rPr>
        <w:tab/>
      </w:r>
      <w:r w:rsidR="0082241B">
        <w:rPr>
          <w:lang w:val="fr-FR"/>
        </w:rPr>
        <w:t>L’île dispose d’un certain nombre d’établissements d’accueil pour les enfants et les jeunes, du foyer traditionnel de six lits aux structures plus petites de deux ou trois lits</w:t>
      </w:r>
      <w:r w:rsidR="006E7C5C">
        <w:rPr>
          <w:lang w:val="fr-FR"/>
        </w:rPr>
        <w:t xml:space="preserve">, </w:t>
      </w:r>
      <w:r w:rsidR="007D7F18">
        <w:rPr>
          <w:lang w:val="fr-FR"/>
        </w:rPr>
        <w:t xml:space="preserve">à vocation spécialisée. L’évaluation des besoins de l’enfant conditionne le choix du mode de </w:t>
      </w:r>
      <w:r w:rsidR="0082241B">
        <w:rPr>
          <w:lang w:val="fr-FR"/>
        </w:rPr>
        <w:t xml:space="preserve"> </w:t>
      </w:r>
      <w:r w:rsidR="000B562B" w:rsidRPr="00A176EA">
        <w:rPr>
          <w:lang w:val="fr-FR"/>
        </w:rPr>
        <w:t>placement.</w:t>
      </w:r>
    </w:p>
    <w:p w:rsidR="008D1EC1" w:rsidRPr="00A176EA" w:rsidRDefault="007B1C4A" w:rsidP="008D38C0">
      <w:pPr>
        <w:pStyle w:val="HChG"/>
      </w:pPr>
      <w:r>
        <w:br w:type="page"/>
      </w:r>
      <w:bookmarkStart w:id="94" w:name="_Toc299724785"/>
      <w:r w:rsidR="008D38C0">
        <w:tab/>
      </w:r>
      <w:r w:rsidR="008D1EC1" w:rsidRPr="00A176EA">
        <w:t>Annex</w:t>
      </w:r>
      <w:r w:rsidR="007473FB">
        <w:t>e</w:t>
      </w:r>
      <w:r w:rsidR="008D1EC1" w:rsidRPr="00A176EA">
        <w:t xml:space="preserve"> II</w:t>
      </w:r>
    </w:p>
    <w:p w:rsidR="000B562B" w:rsidRPr="00A176EA" w:rsidRDefault="008D1EC1" w:rsidP="00FC2B97">
      <w:pPr>
        <w:pStyle w:val="HChG"/>
      </w:pPr>
      <w:r w:rsidRPr="00A176EA">
        <w:tab/>
      </w:r>
      <w:r w:rsidRPr="00A176EA">
        <w:tab/>
      </w:r>
      <w:bookmarkEnd w:id="94"/>
      <w:r w:rsidR="00561EF6">
        <w:t>Territoires d’outre-mer du Royaume-Uni</w:t>
      </w:r>
    </w:p>
    <w:p w:rsidR="000B562B" w:rsidRPr="00A176EA" w:rsidRDefault="00FF1BCD" w:rsidP="00F653EC">
      <w:pPr>
        <w:pStyle w:val="SingleTxtG"/>
        <w:rPr>
          <w:lang w:val="fr-FR"/>
        </w:rPr>
      </w:pPr>
      <w:r w:rsidRPr="00A176EA">
        <w:rPr>
          <w:lang w:val="fr-FR"/>
        </w:rPr>
        <w:t>1</w:t>
      </w:r>
      <w:r w:rsidR="002549A9" w:rsidRPr="00A176EA">
        <w:rPr>
          <w:lang w:val="fr-FR"/>
        </w:rPr>
        <w:t>.</w:t>
      </w:r>
      <w:r w:rsidR="002549A9" w:rsidRPr="00A176EA">
        <w:rPr>
          <w:lang w:val="fr-FR"/>
        </w:rPr>
        <w:tab/>
      </w:r>
      <w:r w:rsidR="00561EF6">
        <w:rPr>
          <w:lang w:val="fr-FR"/>
        </w:rPr>
        <w:t>Cette annexe constitue le cinquième rapport périodique du Royaume-Uni concernant ses territoires d’outre-mer</w:t>
      </w:r>
      <w:r w:rsidR="00736A5C">
        <w:rPr>
          <w:lang w:val="fr-FR"/>
        </w:rPr>
        <w:t>,</w:t>
      </w:r>
      <w:r w:rsidR="00561EF6">
        <w:rPr>
          <w:lang w:val="fr-FR"/>
        </w:rPr>
        <w:t xml:space="preserve"> en application de l’article 19 de la Convention des Nations Unies </w:t>
      </w:r>
      <w:r w:rsidR="00561EF6" w:rsidRPr="00561EF6">
        <w:rPr>
          <w:lang w:val="fr-FR"/>
        </w:rPr>
        <w:t>contre la torture et autres peines ou traitements cruels, inhumains ou dégradants</w:t>
      </w:r>
      <w:r w:rsidR="000B562B" w:rsidRPr="00A176EA">
        <w:rPr>
          <w:lang w:val="fr-FR"/>
        </w:rPr>
        <w:t>.</w:t>
      </w:r>
    </w:p>
    <w:p w:rsidR="000B562B" w:rsidRPr="00A176EA" w:rsidRDefault="0069365E" w:rsidP="008D38C0">
      <w:pPr>
        <w:pStyle w:val="H1G"/>
      </w:pPr>
      <w:bookmarkStart w:id="95" w:name="_Toc299724786"/>
      <w:r w:rsidRPr="00A176EA">
        <w:tab/>
      </w:r>
      <w:r w:rsidRPr="00A176EA">
        <w:tab/>
      </w:r>
      <w:r w:rsidR="00517173" w:rsidRPr="00A176EA">
        <w:t>A.</w:t>
      </w:r>
      <w:r w:rsidR="00517173" w:rsidRPr="00A176EA">
        <w:tab/>
      </w:r>
      <w:r w:rsidR="00F653EC" w:rsidRPr="00A176EA">
        <w:t>A</w:t>
      </w:r>
      <w:bookmarkEnd w:id="95"/>
      <w:r w:rsidR="00F653EC" w:rsidRPr="00A176EA">
        <w:t>nguilla</w:t>
      </w:r>
    </w:p>
    <w:p w:rsidR="000B562B" w:rsidRPr="00A176EA" w:rsidRDefault="00FF1BCD" w:rsidP="00F653EC">
      <w:pPr>
        <w:pStyle w:val="SingleTxtG"/>
        <w:rPr>
          <w:lang w:val="fr-FR"/>
        </w:rPr>
      </w:pPr>
      <w:r w:rsidRPr="00A176EA">
        <w:rPr>
          <w:lang w:val="fr-FR"/>
        </w:rPr>
        <w:t>2</w:t>
      </w:r>
      <w:r w:rsidR="002549A9" w:rsidRPr="00A176EA">
        <w:rPr>
          <w:lang w:val="fr-FR"/>
        </w:rPr>
        <w:t>.</w:t>
      </w:r>
      <w:r w:rsidR="002549A9" w:rsidRPr="00A176EA">
        <w:rPr>
          <w:lang w:val="fr-FR"/>
        </w:rPr>
        <w:tab/>
      </w:r>
      <w:r w:rsidR="00832ACF">
        <w:rPr>
          <w:lang w:val="fr-FR"/>
        </w:rPr>
        <w:t xml:space="preserve">Pour l’essentiel, la situation au regard de l’application de la Convention à Anguilla reste celle décrite dans le quatrième rapport. Le Gouvernement d’Anguilla continue d’être attentif aux dispositions de la Convention, </w:t>
      </w:r>
      <w:r w:rsidR="00736A5C">
        <w:rPr>
          <w:lang w:val="fr-FR"/>
        </w:rPr>
        <w:t>qui sont étayées par des dispositions équivalentes dans la Constitution d’Anguilla. L’article 6 de la Constitution de 1982 énonce que nul ne peut être soumis à la torture ni à des peines ou autres traitements inhumains ou dégradants. Il convient toutefois de signaler deux points particuliers</w:t>
      </w:r>
      <w:r w:rsidR="000B562B" w:rsidRPr="00A176EA">
        <w:rPr>
          <w:lang w:val="fr-FR"/>
        </w:rPr>
        <w:t>.</w:t>
      </w:r>
    </w:p>
    <w:p w:rsidR="000B562B" w:rsidRPr="00A176EA" w:rsidRDefault="00FF1BCD" w:rsidP="00F653EC">
      <w:pPr>
        <w:pStyle w:val="SingleTxtG"/>
        <w:rPr>
          <w:lang w:val="fr-FR"/>
        </w:rPr>
      </w:pPr>
      <w:r w:rsidRPr="00A176EA">
        <w:rPr>
          <w:lang w:val="fr-FR"/>
        </w:rPr>
        <w:t>3</w:t>
      </w:r>
      <w:r w:rsidR="002549A9" w:rsidRPr="00A176EA">
        <w:rPr>
          <w:lang w:val="fr-FR"/>
        </w:rPr>
        <w:t>.</w:t>
      </w:r>
      <w:r w:rsidR="002549A9" w:rsidRPr="00A176EA">
        <w:rPr>
          <w:lang w:val="fr-FR"/>
        </w:rPr>
        <w:tab/>
      </w:r>
      <w:r w:rsidR="00A836C4">
        <w:rPr>
          <w:lang w:val="fr-FR"/>
        </w:rPr>
        <w:t>Tout d’abord, le Comité se souviendra qu’il était fait état dans l</w:t>
      </w:r>
      <w:r w:rsidR="00250A6E">
        <w:rPr>
          <w:lang w:val="fr-FR"/>
        </w:rPr>
        <w:t>e troisième rapport (par.</w:t>
      </w:r>
      <w:r w:rsidR="00A836C4">
        <w:rPr>
          <w:lang w:val="fr-FR"/>
        </w:rPr>
        <w:t xml:space="preserve"> 170 et 171 du document CAT/C/44/Add.1) d’un projet de loi sur la santé mentale qui, à l’époque, était en cours d’examen par le Parlement d’Anguilla. </w:t>
      </w:r>
      <w:r w:rsidR="00B60A5E">
        <w:rPr>
          <w:lang w:val="fr-FR"/>
        </w:rPr>
        <w:t>Ce projet de loi, une fois adopté, devait renforcer la protection des</w:t>
      </w:r>
      <w:r w:rsidR="008D077B">
        <w:rPr>
          <w:lang w:val="fr-FR"/>
        </w:rPr>
        <w:t xml:space="preserve"> patients atteints de troubles mentaux. Mais il a suscité des critiques, certains lui reprochant de ne pas apporter, pour un certain nombre de problèmes de santé mentale, des solutions adaptées </w:t>
      </w:r>
      <w:r w:rsidR="009F1CC5">
        <w:rPr>
          <w:lang w:val="fr-FR"/>
        </w:rPr>
        <w:t>au monde</w:t>
      </w:r>
      <w:r w:rsidR="008D077B">
        <w:rPr>
          <w:lang w:val="fr-FR"/>
        </w:rPr>
        <w:t xml:space="preserve"> moderne. Il a donc été retiré et la rédaction d’un nouveau projet de loi a été demandée. Adopté le 15 décembre 2006, le nouveau texte portait création d’un </w:t>
      </w:r>
      <w:r w:rsidR="00650F6C">
        <w:rPr>
          <w:lang w:val="fr-FR"/>
        </w:rPr>
        <w:t>Comité d’examen de la santé mentale, qui se compose d’un président, d’un vice-président, d’un médecin, d’un travailleur social et de deux citoyens ordinaires. L’une des fonctions du Comité est d’examiner les requêtes déposées en vertu des articles 25 (</w:t>
      </w:r>
      <w:r w:rsidR="00AE2E20">
        <w:rPr>
          <w:lang w:val="fr-FR"/>
        </w:rPr>
        <w:t>C</w:t>
      </w:r>
      <w:r w:rsidR="00650F6C">
        <w:rPr>
          <w:lang w:val="fr-FR"/>
        </w:rPr>
        <w:t>ompétence pour prendre les décisions thérapeutiques), 27 (</w:t>
      </w:r>
      <w:r w:rsidR="00AE2E20">
        <w:rPr>
          <w:lang w:val="fr-FR"/>
        </w:rPr>
        <w:t>C</w:t>
      </w:r>
      <w:r w:rsidR="00650F6C">
        <w:rPr>
          <w:lang w:val="fr-FR"/>
        </w:rPr>
        <w:t>ontestation du traitement), 36 (</w:t>
      </w:r>
      <w:r w:rsidR="00AE2E20">
        <w:rPr>
          <w:lang w:val="fr-FR"/>
        </w:rPr>
        <w:t>D</w:t>
      </w:r>
      <w:r w:rsidR="007C0ADB">
        <w:rPr>
          <w:lang w:val="fr-FR"/>
        </w:rPr>
        <w:t>emande d’audience concernant les certificats) et 37 (</w:t>
      </w:r>
      <w:r w:rsidR="00AE2E20">
        <w:rPr>
          <w:lang w:val="fr-FR"/>
        </w:rPr>
        <w:t>E</w:t>
      </w:r>
      <w:r w:rsidR="007C0ADB">
        <w:rPr>
          <w:lang w:val="fr-FR"/>
        </w:rPr>
        <w:t xml:space="preserve">xamen des certificats au bout de six mois). Notons par ailleurs que les personnes atteintes de troubles mentaux </w:t>
      </w:r>
      <w:r w:rsidR="00D20F9A">
        <w:rPr>
          <w:lang w:val="fr-FR"/>
        </w:rPr>
        <w:t xml:space="preserve">sont toujours hébergées à la prison de Sa Majesté. Des plans ont été établis pour construire une nouvelle prison dotée d’installations séparées pour ces </w:t>
      </w:r>
      <w:r w:rsidR="000B562B" w:rsidRPr="00A176EA">
        <w:rPr>
          <w:lang w:val="fr-FR"/>
        </w:rPr>
        <w:t>patients.</w:t>
      </w:r>
    </w:p>
    <w:p w:rsidR="000B562B" w:rsidRPr="00A176EA" w:rsidRDefault="00FF1BCD" w:rsidP="00F653EC">
      <w:pPr>
        <w:pStyle w:val="SingleTxtG"/>
        <w:rPr>
          <w:lang w:val="fr-FR"/>
        </w:rPr>
      </w:pPr>
      <w:r w:rsidRPr="00A176EA">
        <w:rPr>
          <w:lang w:val="fr-FR"/>
        </w:rPr>
        <w:t>4</w:t>
      </w:r>
      <w:r w:rsidR="002549A9" w:rsidRPr="00A176EA">
        <w:rPr>
          <w:lang w:val="fr-FR"/>
        </w:rPr>
        <w:t>.</w:t>
      </w:r>
      <w:r w:rsidR="002549A9" w:rsidRPr="00A176EA">
        <w:rPr>
          <w:lang w:val="fr-FR"/>
        </w:rPr>
        <w:tab/>
      </w:r>
      <w:r w:rsidR="00D20F9A">
        <w:rPr>
          <w:lang w:val="fr-FR"/>
        </w:rPr>
        <w:t xml:space="preserve">En second lieu, le règlement pénitentiaire modifié (Règlement pénitentiaire de 1996), qui a introduit un nouveau Code de discipline des fonctionnaires pénitentiaires, stipule qu’un agent pénitentiaire commet un manquement à la discipline s’il profère des obscénités, des insultes ou des paroles blessantes ou agit délibérément de façon provocante à l’égard d’un détenu ou, lorsque le recours à la force est nécessaire, s’il l’utilise indûment. De plus, un certain nombre de nouveaux services ont été introduits dans la prison, dont </w:t>
      </w:r>
      <w:r w:rsidR="00FE6520">
        <w:rPr>
          <w:lang w:val="fr-FR"/>
        </w:rPr>
        <w:t>un Coordinateur de la réadaptation, un Conseiller, un Aumônier et un Tuteur, ce dernier étant chargé de coordonner les activités éducatives</w:t>
      </w:r>
      <w:r w:rsidR="000B562B" w:rsidRPr="00A176EA">
        <w:rPr>
          <w:lang w:val="fr-FR"/>
        </w:rPr>
        <w:t>.</w:t>
      </w:r>
    </w:p>
    <w:p w:rsidR="000B562B" w:rsidRPr="00A176EA" w:rsidRDefault="00FE6520" w:rsidP="001C6B9D">
      <w:pPr>
        <w:pStyle w:val="SingleTxtG"/>
        <w:spacing w:after="240"/>
        <w:rPr>
          <w:lang w:val="fr-FR"/>
        </w:rPr>
      </w:pPr>
      <w:r>
        <w:rPr>
          <w:lang w:val="fr-FR"/>
        </w:rPr>
        <w:t>Le tableau ci-dessous fournit quelques données de base sur la population carcérale</w:t>
      </w:r>
      <w:r w:rsidR="000B562B" w:rsidRPr="00A176EA">
        <w:rPr>
          <w:lang w:val="fr-FR"/>
        </w:rPr>
        <w:t>.</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880"/>
        <w:gridCol w:w="3490"/>
      </w:tblGrid>
      <w:tr w:rsidR="000B562B" w:rsidRPr="00A176EA" w:rsidTr="00995644">
        <w:tblPrEx>
          <w:tblCellMar>
            <w:top w:w="0" w:type="dxa"/>
            <w:bottom w:w="0" w:type="dxa"/>
          </w:tblCellMar>
        </w:tblPrEx>
        <w:trPr>
          <w:cantSplit/>
          <w:trHeight w:val="240"/>
          <w:tblHeader/>
        </w:trPr>
        <w:tc>
          <w:tcPr>
            <w:tcW w:w="3880" w:type="dxa"/>
            <w:tcBorders>
              <w:top w:val="single" w:sz="4" w:space="0" w:color="auto"/>
              <w:bottom w:val="single" w:sz="12" w:space="0" w:color="auto"/>
            </w:tcBorders>
            <w:shd w:val="clear" w:color="auto" w:fill="auto"/>
            <w:vAlign w:val="bottom"/>
          </w:tcPr>
          <w:p w:rsidR="000B562B" w:rsidRPr="00A176EA" w:rsidRDefault="000B562B" w:rsidP="00FE6520">
            <w:pPr>
              <w:pStyle w:val="Text"/>
              <w:spacing w:before="80" w:after="80" w:line="200" w:lineRule="exact"/>
              <w:rPr>
                <w:rFonts w:ascii="Times New Roman" w:hAnsi="Times New Roman"/>
                <w:i/>
                <w:sz w:val="16"/>
                <w:lang w:val="fr-FR"/>
              </w:rPr>
            </w:pPr>
            <w:r w:rsidRPr="00A176EA">
              <w:rPr>
                <w:rFonts w:ascii="Times New Roman" w:hAnsi="Times New Roman"/>
                <w:i/>
                <w:sz w:val="16"/>
                <w:lang w:val="fr-FR"/>
              </w:rPr>
              <w:t>Capacit</w:t>
            </w:r>
            <w:r w:rsidR="00FE6520">
              <w:rPr>
                <w:rFonts w:ascii="Times New Roman" w:hAnsi="Times New Roman"/>
                <w:i/>
                <w:sz w:val="16"/>
                <w:lang w:val="fr-FR"/>
              </w:rPr>
              <w:t>é</w:t>
            </w:r>
            <w:r w:rsidRPr="00A176EA">
              <w:rPr>
                <w:rFonts w:ascii="Times New Roman" w:hAnsi="Times New Roman"/>
                <w:i/>
                <w:sz w:val="16"/>
                <w:lang w:val="fr-FR"/>
              </w:rPr>
              <w:t xml:space="preserve"> </w:t>
            </w:r>
            <w:r w:rsidR="00FE6520">
              <w:rPr>
                <w:rFonts w:ascii="Times New Roman" w:hAnsi="Times New Roman"/>
                <w:i/>
                <w:sz w:val="16"/>
                <w:lang w:val="fr-FR"/>
              </w:rPr>
              <w:t xml:space="preserve">de la </w:t>
            </w:r>
            <w:r w:rsidR="00FE6520" w:rsidRPr="00A176EA">
              <w:rPr>
                <w:rFonts w:ascii="Times New Roman" w:hAnsi="Times New Roman"/>
                <w:i/>
                <w:sz w:val="16"/>
                <w:lang w:val="fr-FR"/>
              </w:rPr>
              <w:t xml:space="preserve">prison </w:t>
            </w:r>
            <w:r w:rsidR="00FE6520">
              <w:rPr>
                <w:rFonts w:ascii="Times New Roman" w:hAnsi="Times New Roman"/>
                <w:i/>
                <w:sz w:val="16"/>
                <w:lang w:val="fr-FR"/>
              </w:rPr>
              <w:t>de Sa Majesté</w:t>
            </w:r>
            <w:r w:rsidRPr="00A176EA">
              <w:rPr>
                <w:rFonts w:ascii="Times New Roman" w:hAnsi="Times New Roman"/>
                <w:i/>
                <w:sz w:val="16"/>
                <w:lang w:val="fr-FR"/>
              </w:rPr>
              <w:t xml:space="preserve"> </w:t>
            </w:r>
          </w:p>
        </w:tc>
        <w:tc>
          <w:tcPr>
            <w:tcW w:w="3490" w:type="dxa"/>
            <w:tcBorders>
              <w:top w:val="single" w:sz="4" w:space="0" w:color="auto"/>
              <w:bottom w:val="single" w:sz="12" w:space="0" w:color="auto"/>
            </w:tcBorders>
            <w:shd w:val="clear" w:color="auto" w:fill="auto"/>
            <w:vAlign w:val="bottom"/>
          </w:tcPr>
          <w:p w:rsidR="000B562B" w:rsidRPr="00A176EA" w:rsidRDefault="000B562B" w:rsidP="001C6B9D">
            <w:pPr>
              <w:pStyle w:val="Text"/>
              <w:spacing w:before="80" w:after="80" w:line="200" w:lineRule="exact"/>
              <w:ind w:left="113" w:right="57"/>
              <w:jc w:val="right"/>
              <w:rPr>
                <w:rFonts w:ascii="Times New Roman" w:hAnsi="Times New Roman"/>
                <w:i/>
                <w:sz w:val="16"/>
                <w:lang w:val="fr-FR"/>
              </w:rPr>
            </w:pPr>
            <w:r w:rsidRPr="00A176EA">
              <w:rPr>
                <w:rFonts w:ascii="Times New Roman" w:hAnsi="Times New Roman"/>
                <w:i/>
                <w:sz w:val="16"/>
                <w:lang w:val="fr-FR"/>
              </w:rPr>
              <w:t xml:space="preserve">36 </w:t>
            </w:r>
            <w:r w:rsidR="00FE6520">
              <w:rPr>
                <w:rFonts w:ascii="Times New Roman" w:hAnsi="Times New Roman"/>
                <w:i/>
                <w:sz w:val="16"/>
                <w:lang w:val="fr-FR"/>
              </w:rPr>
              <w:t>détenus</w:t>
            </w:r>
          </w:p>
        </w:tc>
      </w:tr>
      <w:tr w:rsidR="000B562B" w:rsidRPr="00A176EA" w:rsidTr="00995644">
        <w:tblPrEx>
          <w:tblCellMar>
            <w:top w:w="0" w:type="dxa"/>
            <w:bottom w:w="0" w:type="dxa"/>
          </w:tblCellMar>
        </w:tblPrEx>
        <w:trPr>
          <w:cantSplit/>
          <w:trHeight w:val="240"/>
        </w:trPr>
        <w:tc>
          <w:tcPr>
            <w:tcW w:w="3880" w:type="dxa"/>
            <w:tcBorders>
              <w:top w:val="single" w:sz="12" w:space="0" w:color="auto"/>
            </w:tcBorders>
            <w:shd w:val="clear" w:color="auto" w:fill="auto"/>
          </w:tcPr>
          <w:p w:rsidR="000B562B" w:rsidRPr="00A176EA" w:rsidRDefault="00FE6520" w:rsidP="00FE6520">
            <w:pPr>
              <w:pStyle w:val="Text"/>
              <w:spacing w:before="40" w:after="40" w:line="220" w:lineRule="exact"/>
              <w:rPr>
                <w:rFonts w:ascii="Times New Roman" w:hAnsi="Times New Roman"/>
                <w:sz w:val="18"/>
                <w:lang w:val="fr-FR"/>
              </w:rPr>
            </w:pPr>
            <w:r w:rsidRPr="00A176EA">
              <w:rPr>
                <w:rFonts w:ascii="Times New Roman" w:hAnsi="Times New Roman"/>
                <w:sz w:val="18"/>
                <w:lang w:val="fr-FR"/>
              </w:rPr>
              <w:t>Population</w:t>
            </w:r>
            <w:r>
              <w:rPr>
                <w:rFonts w:ascii="Times New Roman" w:hAnsi="Times New Roman"/>
                <w:sz w:val="18"/>
                <w:lang w:val="fr-FR"/>
              </w:rPr>
              <w:t xml:space="preserve"> actuelle</w:t>
            </w:r>
            <w:r w:rsidR="000B562B" w:rsidRPr="00A176EA">
              <w:rPr>
                <w:rFonts w:ascii="Times New Roman" w:hAnsi="Times New Roman"/>
                <w:sz w:val="18"/>
                <w:lang w:val="fr-FR"/>
              </w:rPr>
              <w:t xml:space="preserve"> </w:t>
            </w:r>
          </w:p>
        </w:tc>
        <w:tc>
          <w:tcPr>
            <w:tcW w:w="3490" w:type="dxa"/>
            <w:tcBorders>
              <w:top w:val="single" w:sz="12" w:space="0" w:color="auto"/>
            </w:tcBorders>
            <w:shd w:val="clear" w:color="auto" w:fill="auto"/>
            <w:vAlign w:val="bottom"/>
          </w:tcPr>
          <w:p w:rsidR="000B562B" w:rsidRPr="00A176EA" w:rsidRDefault="000B562B" w:rsidP="001C6B9D">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50</w:t>
            </w:r>
          </w:p>
        </w:tc>
      </w:tr>
      <w:tr w:rsidR="000B562B" w:rsidRPr="00A176EA" w:rsidTr="00995644">
        <w:tblPrEx>
          <w:tblCellMar>
            <w:top w:w="0" w:type="dxa"/>
            <w:bottom w:w="0" w:type="dxa"/>
          </w:tblCellMar>
        </w:tblPrEx>
        <w:trPr>
          <w:cantSplit/>
          <w:trHeight w:val="240"/>
        </w:trPr>
        <w:tc>
          <w:tcPr>
            <w:tcW w:w="3880" w:type="dxa"/>
            <w:shd w:val="clear" w:color="auto" w:fill="auto"/>
          </w:tcPr>
          <w:p w:rsidR="000B562B" w:rsidRPr="00A176EA" w:rsidRDefault="005C54E4" w:rsidP="005C54E4">
            <w:pPr>
              <w:pStyle w:val="Text"/>
              <w:spacing w:before="40" w:after="40" w:line="220" w:lineRule="exact"/>
              <w:rPr>
                <w:rFonts w:ascii="Times New Roman" w:hAnsi="Times New Roman"/>
                <w:sz w:val="18"/>
                <w:lang w:val="fr-FR"/>
              </w:rPr>
            </w:pPr>
            <w:r>
              <w:rPr>
                <w:rFonts w:ascii="Times New Roman" w:hAnsi="Times New Roman"/>
                <w:sz w:val="18"/>
                <w:lang w:val="fr-FR"/>
              </w:rPr>
              <w:t>Prévision de ratio détenus/surveillants par équipe</w:t>
            </w:r>
          </w:p>
        </w:tc>
        <w:tc>
          <w:tcPr>
            <w:tcW w:w="3490" w:type="dxa"/>
            <w:shd w:val="clear" w:color="auto" w:fill="auto"/>
            <w:vAlign w:val="bottom"/>
          </w:tcPr>
          <w:p w:rsidR="000B562B" w:rsidRPr="00A176EA" w:rsidRDefault="000B562B" w:rsidP="001C6B9D">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8:1</w:t>
            </w:r>
          </w:p>
        </w:tc>
      </w:tr>
      <w:tr w:rsidR="000B562B" w:rsidRPr="00A176EA" w:rsidTr="00995644">
        <w:tblPrEx>
          <w:tblCellMar>
            <w:top w:w="0" w:type="dxa"/>
            <w:bottom w:w="0" w:type="dxa"/>
          </w:tblCellMar>
        </w:tblPrEx>
        <w:trPr>
          <w:cantSplit/>
          <w:trHeight w:val="240"/>
        </w:trPr>
        <w:tc>
          <w:tcPr>
            <w:tcW w:w="3880" w:type="dxa"/>
            <w:tcBorders>
              <w:bottom w:val="single" w:sz="12" w:space="0" w:color="auto"/>
            </w:tcBorders>
            <w:shd w:val="clear" w:color="auto" w:fill="auto"/>
          </w:tcPr>
          <w:p w:rsidR="000B562B" w:rsidRPr="00A176EA" w:rsidRDefault="005C54E4" w:rsidP="00F653EC">
            <w:pPr>
              <w:pStyle w:val="Text"/>
              <w:spacing w:before="40" w:after="40" w:line="220" w:lineRule="exact"/>
              <w:rPr>
                <w:rFonts w:ascii="Times New Roman" w:hAnsi="Times New Roman"/>
                <w:sz w:val="18"/>
                <w:lang w:val="fr-FR"/>
              </w:rPr>
            </w:pPr>
            <w:r>
              <w:rPr>
                <w:rFonts w:ascii="Times New Roman" w:hAnsi="Times New Roman"/>
                <w:sz w:val="18"/>
                <w:lang w:val="fr-FR"/>
              </w:rPr>
              <w:t>Ratio actuel</w:t>
            </w:r>
          </w:p>
        </w:tc>
        <w:tc>
          <w:tcPr>
            <w:tcW w:w="3490" w:type="dxa"/>
            <w:tcBorders>
              <w:bottom w:val="single" w:sz="12" w:space="0" w:color="auto"/>
            </w:tcBorders>
            <w:shd w:val="clear" w:color="auto" w:fill="auto"/>
            <w:vAlign w:val="bottom"/>
          </w:tcPr>
          <w:p w:rsidR="000B562B" w:rsidRPr="00A176EA" w:rsidRDefault="000B562B" w:rsidP="001C6B9D">
            <w:pPr>
              <w:pStyle w:val="Text"/>
              <w:spacing w:before="40" w:after="40" w:line="220" w:lineRule="exact"/>
              <w:ind w:left="113" w:right="57"/>
              <w:jc w:val="right"/>
              <w:rPr>
                <w:rFonts w:ascii="Times New Roman" w:hAnsi="Times New Roman"/>
                <w:sz w:val="18"/>
                <w:lang w:val="fr-FR"/>
              </w:rPr>
            </w:pPr>
            <w:r w:rsidRPr="00A176EA">
              <w:rPr>
                <w:rFonts w:ascii="Times New Roman" w:hAnsi="Times New Roman"/>
                <w:sz w:val="18"/>
                <w:lang w:val="fr-FR"/>
              </w:rPr>
              <w:t>10:1</w:t>
            </w:r>
          </w:p>
        </w:tc>
      </w:tr>
    </w:tbl>
    <w:p w:rsidR="000B562B" w:rsidRPr="00A176EA" w:rsidRDefault="00B669D1" w:rsidP="001C6B9D">
      <w:pPr>
        <w:pStyle w:val="H1G"/>
      </w:pPr>
      <w:bookmarkStart w:id="96" w:name="_Toc299724787"/>
      <w:r w:rsidRPr="00A176EA">
        <w:tab/>
      </w:r>
      <w:r w:rsidR="0069365E" w:rsidRPr="00A176EA">
        <w:tab/>
      </w:r>
      <w:r w:rsidR="00517173" w:rsidRPr="00A176EA">
        <w:t>B.</w:t>
      </w:r>
      <w:r w:rsidRPr="00A176EA">
        <w:tab/>
      </w:r>
      <w:r w:rsidR="000B562B" w:rsidRPr="00A176EA">
        <w:t>B</w:t>
      </w:r>
      <w:r w:rsidRPr="00A176EA">
        <w:t>ermud</w:t>
      </w:r>
      <w:bookmarkEnd w:id="96"/>
      <w:r w:rsidR="003229F0">
        <w:t>es</w:t>
      </w:r>
    </w:p>
    <w:p w:rsidR="000B562B" w:rsidRPr="00A176EA" w:rsidRDefault="00FF1BCD" w:rsidP="003229F0">
      <w:pPr>
        <w:pStyle w:val="SingleTxtG"/>
        <w:rPr>
          <w:lang w:val="fr-FR"/>
        </w:rPr>
      </w:pPr>
      <w:r w:rsidRPr="00A176EA">
        <w:rPr>
          <w:lang w:val="fr-FR"/>
        </w:rPr>
        <w:t>5</w:t>
      </w:r>
      <w:r w:rsidR="002549A9" w:rsidRPr="00A176EA">
        <w:rPr>
          <w:lang w:val="fr-FR"/>
        </w:rPr>
        <w:t>.</w:t>
      </w:r>
      <w:r w:rsidR="002549A9" w:rsidRPr="00A176EA">
        <w:rPr>
          <w:lang w:val="fr-FR"/>
        </w:rPr>
        <w:tab/>
      </w:r>
      <w:r w:rsidR="003229F0">
        <w:rPr>
          <w:lang w:val="fr-FR"/>
        </w:rPr>
        <w:t>L</w:t>
      </w:r>
      <w:r w:rsidR="003229F0" w:rsidRPr="003229F0">
        <w:rPr>
          <w:lang w:val="fr-FR"/>
        </w:rPr>
        <w:t xml:space="preserve">a situation au regard de l’application de la Convention </w:t>
      </w:r>
      <w:r w:rsidR="003229F0">
        <w:rPr>
          <w:lang w:val="fr-FR"/>
        </w:rPr>
        <w:t>aux Bermudes demeure p</w:t>
      </w:r>
      <w:r w:rsidR="003229F0" w:rsidRPr="003229F0">
        <w:rPr>
          <w:lang w:val="fr-FR"/>
        </w:rPr>
        <w:t xml:space="preserve">our l’essentiel celle décrite dans le rapport </w:t>
      </w:r>
      <w:r w:rsidR="003229F0">
        <w:rPr>
          <w:lang w:val="fr-FR"/>
        </w:rPr>
        <w:t>précédent</w:t>
      </w:r>
      <w:r w:rsidR="003229F0" w:rsidRPr="003229F0">
        <w:rPr>
          <w:lang w:val="fr-FR"/>
        </w:rPr>
        <w:t>.</w:t>
      </w:r>
      <w:r w:rsidR="003229F0">
        <w:rPr>
          <w:lang w:val="fr-FR"/>
        </w:rPr>
        <w:t xml:space="preserve"> Toutefois, l’attention du Comité est appelée sur les faits nouveaux intervenus au cours de la période considérée</w:t>
      </w:r>
      <w:r w:rsidR="000B562B" w:rsidRPr="00A176EA">
        <w:rPr>
          <w:lang w:val="fr-FR"/>
        </w:rPr>
        <w:t>.</w:t>
      </w:r>
    </w:p>
    <w:p w:rsidR="000B562B" w:rsidRPr="00A176EA" w:rsidRDefault="009B6B0D" w:rsidP="001C135E">
      <w:pPr>
        <w:pStyle w:val="H1G"/>
      </w:pPr>
      <w:r>
        <w:tab/>
      </w:r>
      <w:r>
        <w:tab/>
      </w:r>
      <w:r w:rsidR="000B562B" w:rsidRPr="00A176EA">
        <w:t>Article 2</w:t>
      </w:r>
    </w:p>
    <w:p w:rsidR="000B562B" w:rsidRPr="00A176EA" w:rsidRDefault="008F780E" w:rsidP="00B669D1">
      <w:pPr>
        <w:pStyle w:val="SingleTxtG"/>
        <w:rPr>
          <w:lang w:val="fr-FR"/>
        </w:rPr>
      </w:pPr>
      <w:r w:rsidRPr="00A176EA">
        <w:rPr>
          <w:lang w:val="fr-FR"/>
        </w:rPr>
        <w:t>6</w:t>
      </w:r>
      <w:r w:rsidR="002549A9" w:rsidRPr="00A176EA">
        <w:rPr>
          <w:lang w:val="fr-FR"/>
        </w:rPr>
        <w:t>.</w:t>
      </w:r>
      <w:r w:rsidR="002549A9" w:rsidRPr="00A176EA">
        <w:rPr>
          <w:lang w:val="fr-FR"/>
        </w:rPr>
        <w:tab/>
      </w:r>
      <w:r w:rsidR="00D61470">
        <w:rPr>
          <w:lang w:val="fr-FR"/>
        </w:rPr>
        <w:t xml:space="preserve">La loi de 2006 sur la police et les preuves pénales, entrée en vigueur en septembre 2008 aux Bermudes, est mise en œuvre progressivement. Le </w:t>
      </w:r>
      <w:r w:rsidR="00CD0110">
        <w:rPr>
          <w:lang w:val="fr-FR"/>
        </w:rPr>
        <w:t>«</w:t>
      </w:r>
      <w:r w:rsidR="00EE3B3E">
        <w:rPr>
          <w:lang w:val="fr-FR"/>
        </w:rPr>
        <w:t>droit de faire prévenir quelqu’un après une arrestation</w:t>
      </w:r>
      <w:r w:rsidR="00CD0110">
        <w:rPr>
          <w:lang w:val="fr-FR"/>
        </w:rPr>
        <w:t>»</w:t>
      </w:r>
      <w:r w:rsidR="00EE3B3E">
        <w:rPr>
          <w:lang w:val="fr-FR"/>
        </w:rPr>
        <w:t xml:space="preserve"> </w:t>
      </w:r>
      <w:r w:rsidR="005231E8">
        <w:rPr>
          <w:lang w:val="fr-FR"/>
        </w:rPr>
        <w:t>consacré</w:t>
      </w:r>
      <w:r w:rsidR="00EE3B3E">
        <w:rPr>
          <w:lang w:val="fr-FR"/>
        </w:rPr>
        <w:t xml:space="preserve"> </w:t>
      </w:r>
      <w:r w:rsidR="005231E8">
        <w:rPr>
          <w:lang w:val="fr-FR"/>
        </w:rPr>
        <w:t>par</w:t>
      </w:r>
      <w:r w:rsidR="00EE3B3E">
        <w:rPr>
          <w:lang w:val="fr-FR"/>
        </w:rPr>
        <w:t xml:space="preserve"> s</w:t>
      </w:r>
      <w:r w:rsidR="005231E8">
        <w:rPr>
          <w:lang w:val="fr-FR"/>
        </w:rPr>
        <w:t xml:space="preserve">on article 60 est un mécanisme constructif conforme à l’article 2 de la Convention. </w:t>
      </w:r>
      <w:r w:rsidR="00017843">
        <w:rPr>
          <w:lang w:val="fr-FR"/>
        </w:rPr>
        <w:t>En ayant le droit de faire prévenir un ami ou un parent de son placement en détention, le détenu s’assure la meilleure chance possible qu’il soit veillé à son bien-être et qu’une enquête soit déclenchée si ce n’est pas le cas</w:t>
      </w:r>
      <w:r w:rsidR="000B562B" w:rsidRPr="00A176EA">
        <w:rPr>
          <w:lang w:val="fr-FR"/>
        </w:rPr>
        <w:t>.</w:t>
      </w:r>
    </w:p>
    <w:p w:rsidR="000B562B" w:rsidRPr="00A176EA" w:rsidRDefault="00017843" w:rsidP="00B669D1">
      <w:pPr>
        <w:pStyle w:val="H23G"/>
        <w:rPr>
          <w:lang w:val="fr-FR"/>
        </w:rPr>
      </w:pPr>
      <w:r>
        <w:rPr>
          <w:lang w:val="fr-FR"/>
        </w:rPr>
        <w:t xml:space="preserve">Article </w:t>
      </w:r>
      <w:r w:rsidR="000B562B" w:rsidRPr="00A176EA">
        <w:rPr>
          <w:lang w:val="fr-FR"/>
        </w:rPr>
        <w:t>60</w:t>
      </w:r>
    </w:p>
    <w:p w:rsidR="000B562B" w:rsidRPr="00A176EA" w:rsidRDefault="000B562B" w:rsidP="00A940E1">
      <w:pPr>
        <w:pStyle w:val="SingleTxtG"/>
        <w:ind w:firstLine="567"/>
        <w:rPr>
          <w:lang w:val="fr-FR"/>
        </w:rPr>
      </w:pPr>
      <w:r w:rsidRPr="00A176EA">
        <w:rPr>
          <w:lang w:val="fr-FR"/>
        </w:rPr>
        <w:t>1)</w:t>
      </w:r>
      <w:r w:rsidRPr="00A176EA">
        <w:rPr>
          <w:lang w:val="fr-FR"/>
        </w:rPr>
        <w:tab/>
      </w:r>
      <w:r w:rsidR="007E26C3">
        <w:rPr>
          <w:lang w:val="fr-FR"/>
        </w:rPr>
        <w:t>Toute</w:t>
      </w:r>
      <w:r w:rsidR="00017843">
        <w:rPr>
          <w:lang w:val="fr-FR"/>
        </w:rPr>
        <w:t xml:space="preserve"> personne arrêtée et placée en garde à vue dans un poste de police ou tout autre lieu de détention </w:t>
      </w:r>
      <w:r w:rsidR="007E26C3">
        <w:rPr>
          <w:lang w:val="fr-FR"/>
        </w:rPr>
        <w:t xml:space="preserve">a le droit, si elle le demande, de faire prévenir </w:t>
      </w:r>
      <w:r w:rsidR="00A940E1">
        <w:rPr>
          <w:lang w:val="fr-FR"/>
        </w:rPr>
        <w:t xml:space="preserve">de son arrestation et de son lieu de détention </w:t>
      </w:r>
      <w:r w:rsidR="007E26C3">
        <w:rPr>
          <w:lang w:val="fr-FR"/>
        </w:rPr>
        <w:t xml:space="preserve">un ami, un proche, une connaissance ou </w:t>
      </w:r>
      <w:r w:rsidR="00A940E1">
        <w:rPr>
          <w:lang w:val="fr-FR"/>
        </w:rPr>
        <w:t>tout tiers</w:t>
      </w:r>
      <w:r w:rsidR="007E26C3">
        <w:rPr>
          <w:lang w:val="fr-FR"/>
        </w:rPr>
        <w:t xml:space="preserve"> préoccupé par son bien-être, </w:t>
      </w:r>
      <w:r w:rsidR="00A940E1">
        <w:rPr>
          <w:lang w:val="fr-FR"/>
        </w:rPr>
        <w:t>dès que</w:t>
      </w:r>
      <w:r w:rsidR="007E26C3">
        <w:rPr>
          <w:lang w:val="fr-FR"/>
        </w:rPr>
        <w:t xml:space="preserve"> possible, </w:t>
      </w:r>
      <w:r w:rsidR="00A940E1">
        <w:rPr>
          <w:lang w:val="fr-FR"/>
        </w:rPr>
        <w:t>l’exercice de ce droit pouvant être différé dans les cas prévus par le présent article</w:t>
      </w:r>
      <w:r w:rsidRPr="00A176EA">
        <w:rPr>
          <w:lang w:val="fr-FR"/>
        </w:rPr>
        <w:t>.</w:t>
      </w:r>
    </w:p>
    <w:p w:rsidR="000B562B" w:rsidRPr="00A176EA" w:rsidRDefault="000B562B" w:rsidP="00B669D1">
      <w:pPr>
        <w:pStyle w:val="SingleTxtG"/>
        <w:ind w:firstLine="567"/>
        <w:rPr>
          <w:lang w:val="fr-FR"/>
        </w:rPr>
      </w:pPr>
      <w:r w:rsidRPr="00A176EA">
        <w:rPr>
          <w:lang w:val="fr-FR"/>
        </w:rPr>
        <w:t>2)</w:t>
      </w:r>
      <w:r w:rsidRPr="00A176EA">
        <w:rPr>
          <w:lang w:val="fr-FR"/>
        </w:rPr>
        <w:tab/>
      </w:r>
      <w:r w:rsidR="00802626">
        <w:rPr>
          <w:lang w:val="fr-FR"/>
        </w:rPr>
        <w:t>Un tel report est autorisé</w:t>
      </w:r>
      <w:r w:rsidR="00FC2B97">
        <w:rPr>
          <w:lang w:val="fr-FR"/>
        </w:rPr>
        <w:t>:</w:t>
      </w:r>
    </w:p>
    <w:p w:rsidR="000B562B" w:rsidRPr="00A176EA" w:rsidRDefault="000B562B" w:rsidP="00B669D1">
      <w:pPr>
        <w:pStyle w:val="SingleTxtG"/>
        <w:ind w:left="1701" w:firstLine="567"/>
        <w:rPr>
          <w:lang w:val="fr-FR"/>
        </w:rPr>
      </w:pPr>
      <w:r w:rsidRPr="00A176EA">
        <w:rPr>
          <w:lang w:val="fr-FR"/>
        </w:rPr>
        <w:t>a)</w:t>
      </w:r>
      <w:r w:rsidRPr="00A176EA">
        <w:rPr>
          <w:lang w:val="fr-FR"/>
        </w:rPr>
        <w:tab/>
      </w:r>
      <w:r w:rsidR="0042012A">
        <w:rPr>
          <w:lang w:val="fr-FR"/>
        </w:rPr>
        <w:t>si</w:t>
      </w:r>
      <w:r w:rsidR="00802626">
        <w:rPr>
          <w:lang w:val="fr-FR"/>
        </w:rPr>
        <w:t xml:space="preserve"> la personne a été placée en détention </w:t>
      </w:r>
      <w:r w:rsidR="0042012A">
        <w:rPr>
          <w:lang w:val="fr-FR"/>
        </w:rPr>
        <w:t>pour une infraction grave justifiant l’arrestation sans mandat</w:t>
      </w:r>
      <w:r w:rsidR="00FC2B97">
        <w:rPr>
          <w:lang w:val="fr-FR"/>
        </w:rPr>
        <w:t>;</w:t>
      </w:r>
      <w:r w:rsidR="0042012A">
        <w:rPr>
          <w:lang w:val="fr-FR"/>
        </w:rPr>
        <w:t xml:space="preserve"> et</w:t>
      </w:r>
    </w:p>
    <w:p w:rsidR="000B562B" w:rsidRPr="00A176EA" w:rsidRDefault="000B562B" w:rsidP="00B669D1">
      <w:pPr>
        <w:pStyle w:val="SingleTxtG"/>
        <w:ind w:left="1701" w:firstLine="567"/>
        <w:rPr>
          <w:lang w:val="fr-FR"/>
        </w:rPr>
      </w:pPr>
      <w:r w:rsidRPr="00A176EA">
        <w:rPr>
          <w:lang w:val="fr-FR"/>
        </w:rPr>
        <w:t>b)</w:t>
      </w:r>
      <w:r w:rsidRPr="00A176EA">
        <w:rPr>
          <w:lang w:val="fr-FR"/>
        </w:rPr>
        <w:tab/>
      </w:r>
      <w:r w:rsidR="0042012A">
        <w:rPr>
          <w:lang w:val="fr-FR"/>
        </w:rPr>
        <w:t xml:space="preserve">si un </w:t>
      </w:r>
      <w:r w:rsidR="000D23CB">
        <w:rPr>
          <w:lang w:val="fr-FR"/>
        </w:rPr>
        <w:t>officier</w:t>
      </w:r>
      <w:r w:rsidR="0042012A">
        <w:rPr>
          <w:lang w:val="fr-FR"/>
        </w:rPr>
        <w:t xml:space="preserve"> de police ayant au moins le grade d’inspecteur l’autorise</w:t>
      </w:r>
      <w:r w:rsidRPr="00A176EA">
        <w:rPr>
          <w:lang w:val="fr-FR"/>
        </w:rPr>
        <w:t>.</w:t>
      </w:r>
    </w:p>
    <w:p w:rsidR="000B562B" w:rsidRPr="00A176EA" w:rsidRDefault="000B562B" w:rsidP="006D30B4">
      <w:pPr>
        <w:pStyle w:val="SingleTxtG"/>
        <w:ind w:left="1701"/>
        <w:rPr>
          <w:lang w:val="fr-FR"/>
        </w:rPr>
      </w:pPr>
      <w:r w:rsidRPr="00A176EA">
        <w:rPr>
          <w:lang w:val="fr-FR"/>
        </w:rPr>
        <w:t>3)</w:t>
      </w:r>
      <w:r w:rsidRPr="00A176EA">
        <w:rPr>
          <w:lang w:val="fr-FR"/>
        </w:rPr>
        <w:tab/>
      </w:r>
      <w:r w:rsidR="006D30B4">
        <w:rPr>
          <w:lang w:val="fr-FR"/>
        </w:rPr>
        <w:t>Dans tous les cas, la personne en garde à vue sera autorisée à exe</w:t>
      </w:r>
      <w:r w:rsidR="007B30DB">
        <w:rPr>
          <w:lang w:val="fr-FR"/>
        </w:rPr>
        <w:t xml:space="preserve">rcer le droit prévu à l’alinéa </w:t>
      </w:r>
      <w:r w:rsidR="006D30B4">
        <w:rPr>
          <w:lang w:val="fr-FR"/>
        </w:rPr>
        <w:t xml:space="preserve">1 au plus tard 36 heures après son arrestation, ainsi qu’il est défini </w:t>
      </w:r>
      <w:r w:rsidR="00AE2E20">
        <w:rPr>
          <w:lang w:val="fr-FR"/>
        </w:rPr>
        <w:t>au paragraphe 2 de</w:t>
      </w:r>
      <w:r w:rsidR="006D30B4">
        <w:rPr>
          <w:lang w:val="fr-FR"/>
        </w:rPr>
        <w:t xml:space="preserve"> l’article </w:t>
      </w:r>
      <w:r w:rsidRPr="00A176EA">
        <w:rPr>
          <w:lang w:val="fr-FR"/>
        </w:rPr>
        <w:t>44.</w:t>
      </w:r>
    </w:p>
    <w:p w:rsidR="000B562B" w:rsidRPr="00A176EA" w:rsidRDefault="000B562B" w:rsidP="006D30B4">
      <w:pPr>
        <w:pStyle w:val="SingleTxtG"/>
        <w:ind w:firstLine="567"/>
        <w:rPr>
          <w:lang w:val="fr-FR"/>
        </w:rPr>
      </w:pPr>
      <w:r w:rsidRPr="00A176EA">
        <w:rPr>
          <w:lang w:val="fr-FR"/>
        </w:rPr>
        <w:t>4)</w:t>
      </w:r>
      <w:r w:rsidRPr="00A176EA">
        <w:rPr>
          <w:lang w:val="fr-FR"/>
        </w:rPr>
        <w:tab/>
      </w:r>
      <w:r w:rsidR="006D30B4">
        <w:rPr>
          <w:lang w:val="fr-FR"/>
        </w:rPr>
        <w:t xml:space="preserve">Un </w:t>
      </w:r>
      <w:r w:rsidR="00BF6815">
        <w:rPr>
          <w:lang w:val="fr-FR"/>
        </w:rPr>
        <w:t>officier</w:t>
      </w:r>
      <w:r w:rsidR="006D30B4">
        <w:rPr>
          <w:lang w:val="fr-FR"/>
        </w:rPr>
        <w:t xml:space="preserve"> de police peut délivrer oralement ou par écrit l</w:t>
      </w:r>
      <w:r w:rsidR="007B30DB">
        <w:rPr>
          <w:lang w:val="fr-FR"/>
        </w:rPr>
        <w:t xml:space="preserve">’autorisation visée à l’alinéa </w:t>
      </w:r>
      <w:r w:rsidR="006D30B4">
        <w:rPr>
          <w:lang w:val="fr-FR"/>
        </w:rPr>
        <w:t>2 mais, s’il le fait oralement, il doit la confirmer par écrit dès que possible</w:t>
      </w:r>
      <w:r w:rsidRPr="00A176EA">
        <w:rPr>
          <w:lang w:val="fr-FR"/>
        </w:rPr>
        <w:t>.</w:t>
      </w:r>
    </w:p>
    <w:p w:rsidR="000B562B" w:rsidRDefault="000B562B" w:rsidP="00B669D1">
      <w:pPr>
        <w:pStyle w:val="SingleTxtG"/>
        <w:ind w:firstLine="567"/>
        <w:rPr>
          <w:lang w:val="fr-FR"/>
        </w:rPr>
      </w:pPr>
      <w:r w:rsidRPr="00A176EA">
        <w:rPr>
          <w:lang w:val="fr-FR"/>
        </w:rPr>
        <w:t>5)</w:t>
      </w:r>
      <w:r w:rsidRPr="00A176EA">
        <w:rPr>
          <w:lang w:val="fr-FR"/>
        </w:rPr>
        <w:tab/>
        <w:t>S</w:t>
      </w:r>
      <w:r w:rsidR="006D30B4">
        <w:rPr>
          <w:lang w:val="fr-FR"/>
        </w:rPr>
        <w:t xml:space="preserve">ous réserve de l’alinéa 6, un </w:t>
      </w:r>
      <w:r w:rsidR="00BF6815">
        <w:rPr>
          <w:lang w:val="fr-FR"/>
        </w:rPr>
        <w:t>officier</w:t>
      </w:r>
      <w:r w:rsidR="006D30B4">
        <w:rPr>
          <w:lang w:val="fr-FR"/>
        </w:rPr>
        <w:t xml:space="preserve"> de police ne peut autoriser un tel report que </w:t>
      </w:r>
      <w:r w:rsidR="000D23CB">
        <w:rPr>
          <w:lang w:val="fr-FR"/>
        </w:rPr>
        <w:t>s’il a des motifs raisonnables de croire que prévenir un tiers de l’arrestation du gardé à vue risque de</w:t>
      </w:r>
      <w:r w:rsidR="00FC2B97">
        <w:rPr>
          <w:lang w:val="fr-FR"/>
        </w:rPr>
        <w:t>:</w:t>
      </w:r>
    </w:p>
    <w:p w:rsidR="000B562B" w:rsidRPr="00A176EA" w:rsidRDefault="000B562B" w:rsidP="00B669D1">
      <w:pPr>
        <w:pStyle w:val="SingleTxtG"/>
        <w:ind w:left="1701" w:firstLine="567"/>
        <w:rPr>
          <w:lang w:val="fr-FR"/>
        </w:rPr>
      </w:pPr>
      <w:r w:rsidRPr="00A176EA">
        <w:rPr>
          <w:lang w:val="fr-FR"/>
        </w:rPr>
        <w:t>a)</w:t>
      </w:r>
      <w:r w:rsidRPr="00A176EA">
        <w:rPr>
          <w:lang w:val="fr-FR"/>
        </w:rPr>
        <w:tab/>
      </w:r>
      <w:r w:rsidR="000D23CB">
        <w:rPr>
          <w:lang w:val="fr-FR"/>
        </w:rPr>
        <w:t>Permettre l’élimination ou l’altération d’éléments de preuve</w:t>
      </w:r>
      <w:r w:rsidR="000D23CB" w:rsidRPr="00A176EA">
        <w:rPr>
          <w:lang w:val="fr-FR"/>
        </w:rPr>
        <w:t xml:space="preserve"> </w:t>
      </w:r>
      <w:r w:rsidR="000D23CB">
        <w:rPr>
          <w:lang w:val="fr-FR"/>
        </w:rPr>
        <w:t>en cas d’infraction grave justifiant l’arrestation sans ma</w:t>
      </w:r>
      <w:r w:rsidR="00017BA3">
        <w:rPr>
          <w:lang w:val="fr-FR"/>
        </w:rPr>
        <w:t>n</w:t>
      </w:r>
      <w:r w:rsidR="000D23CB">
        <w:rPr>
          <w:lang w:val="fr-FR"/>
        </w:rPr>
        <w:t>dat ou provoquer une atteinte, éventuellement physique, aux personnes</w:t>
      </w:r>
      <w:r w:rsidR="00FC2B97">
        <w:rPr>
          <w:lang w:val="fr-FR"/>
        </w:rPr>
        <w:t>;</w:t>
      </w:r>
      <w:r w:rsidR="00CA59EF">
        <w:rPr>
          <w:lang w:val="fr-FR"/>
        </w:rPr>
        <w:t xml:space="preserve"> ou</w:t>
      </w:r>
      <w:r w:rsidR="00CA59EF" w:rsidRPr="00CA59EF">
        <w:rPr>
          <w:lang w:val="fr-FR"/>
        </w:rPr>
        <w:t xml:space="preserve"> </w:t>
      </w:r>
    </w:p>
    <w:p w:rsidR="000B562B" w:rsidRPr="00A176EA" w:rsidRDefault="000B562B" w:rsidP="00B669D1">
      <w:pPr>
        <w:pStyle w:val="SingleTxtG"/>
        <w:ind w:left="1701" w:firstLine="567"/>
        <w:rPr>
          <w:lang w:val="fr-FR"/>
        </w:rPr>
      </w:pPr>
      <w:r w:rsidRPr="00A176EA">
        <w:rPr>
          <w:lang w:val="fr-FR"/>
        </w:rPr>
        <w:t>b)</w:t>
      </w:r>
      <w:r w:rsidRPr="00A176EA">
        <w:rPr>
          <w:lang w:val="fr-FR"/>
        </w:rPr>
        <w:tab/>
      </w:r>
      <w:r w:rsidR="00CA59EF" w:rsidRPr="00A176EA">
        <w:rPr>
          <w:lang w:val="fr-FR"/>
        </w:rPr>
        <w:t>Alert</w:t>
      </w:r>
      <w:r w:rsidR="00CA59EF">
        <w:rPr>
          <w:lang w:val="fr-FR"/>
        </w:rPr>
        <w:t>er</w:t>
      </w:r>
      <w:r w:rsidR="00CA59EF" w:rsidRPr="00A176EA">
        <w:rPr>
          <w:lang w:val="fr-FR"/>
        </w:rPr>
        <w:t xml:space="preserve"> </w:t>
      </w:r>
      <w:r w:rsidR="00CA59EF">
        <w:rPr>
          <w:lang w:val="fr-FR"/>
        </w:rPr>
        <w:t>des personnes soupçonnées d’avoir commis une telle infraction, mais qui n’ont pas encore été arrêtées</w:t>
      </w:r>
      <w:r w:rsidR="00FC2B97">
        <w:rPr>
          <w:lang w:val="fr-FR"/>
        </w:rPr>
        <w:t>;</w:t>
      </w:r>
      <w:r w:rsidRPr="00A176EA">
        <w:rPr>
          <w:lang w:val="fr-FR"/>
        </w:rPr>
        <w:t xml:space="preserve"> o</w:t>
      </w:r>
      <w:r w:rsidR="00CA59EF">
        <w:rPr>
          <w:lang w:val="fr-FR"/>
        </w:rPr>
        <w:t>u</w:t>
      </w:r>
    </w:p>
    <w:p w:rsidR="000B562B" w:rsidRPr="00A176EA" w:rsidRDefault="000B562B" w:rsidP="00B669D1">
      <w:pPr>
        <w:pStyle w:val="SingleTxtG"/>
        <w:ind w:left="1701" w:firstLine="567"/>
        <w:rPr>
          <w:lang w:val="fr-FR"/>
        </w:rPr>
      </w:pPr>
      <w:r w:rsidRPr="00A176EA">
        <w:rPr>
          <w:lang w:val="fr-FR"/>
        </w:rPr>
        <w:t>c)</w:t>
      </w:r>
      <w:r w:rsidRPr="00A176EA">
        <w:rPr>
          <w:lang w:val="fr-FR"/>
        </w:rPr>
        <w:tab/>
      </w:r>
      <w:r w:rsidR="00CA59EF">
        <w:rPr>
          <w:lang w:val="fr-FR"/>
        </w:rPr>
        <w:t>Empêcher la confiscation</w:t>
      </w:r>
      <w:r w:rsidR="00CA59EF" w:rsidRPr="00A176EA">
        <w:rPr>
          <w:lang w:val="fr-FR"/>
        </w:rPr>
        <w:t xml:space="preserve"> </w:t>
      </w:r>
      <w:r w:rsidR="00CA59EF">
        <w:rPr>
          <w:lang w:val="fr-FR"/>
        </w:rPr>
        <w:t>de biens</w:t>
      </w:r>
      <w:r w:rsidRPr="00A176EA">
        <w:rPr>
          <w:lang w:val="fr-FR"/>
        </w:rPr>
        <w:t xml:space="preserve"> </w:t>
      </w:r>
      <w:r w:rsidR="00CA59EF">
        <w:rPr>
          <w:lang w:val="fr-FR"/>
        </w:rPr>
        <w:t>obtenus grâce une telle infraction</w:t>
      </w:r>
      <w:r w:rsidRPr="00A176EA">
        <w:rPr>
          <w:lang w:val="fr-FR"/>
        </w:rPr>
        <w:t>.</w:t>
      </w:r>
    </w:p>
    <w:p w:rsidR="000B562B" w:rsidRPr="00A176EA" w:rsidRDefault="000B562B" w:rsidP="00B669D1">
      <w:pPr>
        <w:pStyle w:val="SingleTxtG"/>
        <w:ind w:firstLine="567"/>
        <w:rPr>
          <w:lang w:val="fr-FR"/>
        </w:rPr>
      </w:pPr>
      <w:r w:rsidRPr="00A176EA">
        <w:rPr>
          <w:lang w:val="fr-FR"/>
        </w:rPr>
        <w:t>6)</w:t>
      </w:r>
      <w:r w:rsidRPr="00A176EA">
        <w:rPr>
          <w:lang w:val="fr-FR"/>
        </w:rPr>
        <w:tab/>
      </w:r>
      <w:r w:rsidR="00CA59EF">
        <w:rPr>
          <w:lang w:val="fr-FR"/>
        </w:rPr>
        <w:t xml:space="preserve">Un </w:t>
      </w:r>
      <w:r w:rsidR="00BF6815">
        <w:rPr>
          <w:lang w:val="fr-FR"/>
        </w:rPr>
        <w:t>officier de police</w:t>
      </w:r>
      <w:r w:rsidR="00CA59EF">
        <w:rPr>
          <w:lang w:val="fr-FR"/>
        </w:rPr>
        <w:t xml:space="preserve"> peut également autoriser un report s’il a des motifs raisonnables de croire que</w:t>
      </w:r>
      <w:r w:rsidR="00FC2B97">
        <w:rPr>
          <w:lang w:val="fr-FR"/>
        </w:rPr>
        <w:t>:</w:t>
      </w:r>
    </w:p>
    <w:p w:rsidR="000B562B" w:rsidRPr="00A176EA" w:rsidRDefault="000B562B" w:rsidP="00B669D1">
      <w:pPr>
        <w:pStyle w:val="SingleTxtG"/>
        <w:ind w:left="1701" w:firstLine="567"/>
        <w:rPr>
          <w:lang w:val="fr-FR"/>
        </w:rPr>
      </w:pPr>
      <w:r w:rsidRPr="00A176EA">
        <w:rPr>
          <w:lang w:val="fr-FR"/>
        </w:rPr>
        <w:t>a)</w:t>
      </w:r>
      <w:r w:rsidRPr="00A176EA">
        <w:rPr>
          <w:lang w:val="fr-FR"/>
        </w:rPr>
        <w:tab/>
      </w:r>
      <w:r w:rsidR="00017BA3">
        <w:rPr>
          <w:lang w:val="fr-FR"/>
        </w:rPr>
        <w:t>la personne placée en garde à vue pour une infraction grave justifiant l’arrestation sans mandat a retiré des avantages économiques de son acte criminel</w:t>
      </w:r>
      <w:r w:rsidR="00FC2B97">
        <w:rPr>
          <w:lang w:val="fr-FR"/>
        </w:rPr>
        <w:t>;</w:t>
      </w:r>
      <w:r w:rsidRPr="00A176EA">
        <w:rPr>
          <w:lang w:val="fr-FR"/>
        </w:rPr>
        <w:t xml:space="preserve"> </w:t>
      </w:r>
      <w:r w:rsidR="00017BA3">
        <w:rPr>
          <w:lang w:val="fr-FR"/>
        </w:rPr>
        <w:t>et</w:t>
      </w:r>
    </w:p>
    <w:p w:rsidR="000B562B" w:rsidRPr="00A176EA" w:rsidRDefault="000B562B" w:rsidP="00B669D1">
      <w:pPr>
        <w:pStyle w:val="SingleTxtG"/>
        <w:ind w:left="1701" w:firstLine="567"/>
        <w:rPr>
          <w:lang w:val="fr-FR"/>
        </w:rPr>
      </w:pPr>
      <w:r w:rsidRPr="00A176EA">
        <w:rPr>
          <w:lang w:val="fr-FR"/>
        </w:rPr>
        <w:t>b)</w:t>
      </w:r>
      <w:r w:rsidRPr="00A176EA">
        <w:rPr>
          <w:lang w:val="fr-FR"/>
        </w:rPr>
        <w:tab/>
      </w:r>
      <w:r w:rsidR="00227315">
        <w:rPr>
          <w:lang w:val="fr-FR"/>
        </w:rPr>
        <w:t xml:space="preserve">la </w:t>
      </w:r>
      <w:r w:rsidR="00E84686">
        <w:rPr>
          <w:lang w:val="fr-FR"/>
        </w:rPr>
        <w:t>récupération des biens issus de tels avantages économiques serait empêchée si l’on prévenait la personne désignée de l’arrestation du gardé à vue</w:t>
      </w:r>
      <w:r w:rsidRPr="00A176EA">
        <w:rPr>
          <w:lang w:val="fr-FR"/>
        </w:rPr>
        <w:t>.</w:t>
      </w:r>
    </w:p>
    <w:p w:rsidR="000B562B" w:rsidRPr="00A176EA" w:rsidRDefault="000B562B" w:rsidP="00B669D1">
      <w:pPr>
        <w:pStyle w:val="SingleTxtG"/>
        <w:ind w:firstLine="567"/>
        <w:rPr>
          <w:lang w:val="fr-FR"/>
        </w:rPr>
      </w:pPr>
      <w:r w:rsidRPr="00A176EA">
        <w:rPr>
          <w:lang w:val="fr-FR"/>
        </w:rPr>
        <w:t>7)</w:t>
      </w:r>
      <w:r w:rsidRPr="00A176EA">
        <w:rPr>
          <w:lang w:val="fr-FR"/>
        </w:rPr>
        <w:tab/>
      </w:r>
      <w:r w:rsidR="00632105">
        <w:rPr>
          <w:lang w:val="fr-FR"/>
        </w:rPr>
        <w:t xml:space="preserve">Aux fins de l’alinéa 6, il sera déterminé conformément à la partie 2 de la loi de 1997 sur les produits du crime si </w:t>
      </w:r>
      <w:r w:rsidR="00F50E6D">
        <w:rPr>
          <w:lang w:val="fr-FR"/>
        </w:rPr>
        <w:t>la</w:t>
      </w:r>
      <w:r w:rsidR="00632105">
        <w:rPr>
          <w:lang w:val="fr-FR"/>
        </w:rPr>
        <w:t xml:space="preserve"> personne a retiré des avantages économiques de son acte crimine</w:t>
      </w:r>
      <w:r w:rsidR="00F50E6D">
        <w:rPr>
          <w:lang w:val="fr-FR"/>
        </w:rPr>
        <w:t>l.</w:t>
      </w:r>
    </w:p>
    <w:p w:rsidR="000B562B" w:rsidRPr="00A176EA" w:rsidRDefault="000B562B" w:rsidP="00B669D1">
      <w:pPr>
        <w:pStyle w:val="SingleTxtG"/>
        <w:ind w:firstLine="567"/>
        <w:rPr>
          <w:lang w:val="fr-FR"/>
        </w:rPr>
      </w:pPr>
      <w:r w:rsidRPr="00A176EA">
        <w:rPr>
          <w:lang w:val="fr-FR"/>
        </w:rPr>
        <w:t>8)</w:t>
      </w:r>
      <w:r w:rsidRPr="00A176EA">
        <w:rPr>
          <w:lang w:val="fr-FR"/>
        </w:rPr>
        <w:tab/>
      </w:r>
      <w:r w:rsidR="00F50E6D">
        <w:rPr>
          <w:lang w:val="fr-FR"/>
        </w:rPr>
        <w:t>Si le report est autorisé</w:t>
      </w:r>
      <w:r w:rsidR="00FC2B97">
        <w:rPr>
          <w:lang w:val="fr-FR"/>
        </w:rPr>
        <w:t>:</w:t>
      </w:r>
    </w:p>
    <w:p w:rsidR="000B562B" w:rsidRPr="00A176EA" w:rsidRDefault="000B562B" w:rsidP="00B669D1">
      <w:pPr>
        <w:pStyle w:val="SingleTxtG"/>
        <w:ind w:left="1701" w:firstLine="567"/>
        <w:rPr>
          <w:lang w:val="fr-FR"/>
        </w:rPr>
      </w:pPr>
      <w:r w:rsidRPr="00A176EA">
        <w:rPr>
          <w:lang w:val="fr-FR"/>
        </w:rPr>
        <w:t>a)</w:t>
      </w:r>
      <w:r w:rsidRPr="00A176EA">
        <w:rPr>
          <w:lang w:val="fr-FR"/>
        </w:rPr>
        <w:tab/>
      </w:r>
      <w:r w:rsidR="00F50E6D">
        <w:rPr>
          <w:lang w:val="fr-FR"/>
        </w:rPr>
        <w:t>le gardé à vue sera informé du motif</w:t>
      </w:r>
      <w:r w:rsidR="00FC2B97">
        <w:rPr>
          <w:lang w:val="fr-FR"/>
        </w:rPr>
        <w:t>;</w:t>
      </w:r>
      <w:r w:rsidR="00F50E6D">
        <w:rPr>
          <w:lang w:val="fr-FR"/>
        </w:rPr>
        <w:t xml:space="preserve"> et</w:t>
      </w:r>
    </w:p>
    <w:p w:rsidR="000B562B" w:rsidRPr="00A176EA" w:rsidRDefault="000B562B" w:rsidP="00B669D1">
      <w:pPr>
        <w:pStyle w:val="SingleTxtG"/>
        <w:ind w:left="1701" w:firstLine="567"/>
        <w:rPr>
          <w:lang w:val="fr-FR"/>
        </w:rPr>
      </w:pPr>
      <w:r w:rsidRPr="00A176EA">
        <w:rPr>
          <w:lang w:val="fr-FR"/>
        </w:rPr>
        <w:t>b)</w:t>
      </w:r>
      <w:r w:rsidRPr="00A176EA">
        <w:rPr>
          <w:lang w:val="fr-FR"/>
        </w:rPr>
        <w:tab/>
      </w:r>
      <w:r w:rsidR="00F50E6D">
        <w:rPr>
          <w:lang w:val="fr-FR"/>
        </w:rPr>
        <w:t>le motif sera inscrit dans son dossier de garde à vue</w:t>
      </w:r>
      <w:r w:rsidRPr="00A176EA">
        <w:rPr>
          <w:lang w:val="fr-FR"/>
        </w:rPr>
        <w:t>.</w:t>
      </w:r>
    </w:p>
    <w:p w:rsidR="000B562B" w:rsidRPr="00A176EA" w:rsidRDefault="00CC7A04" w:rsidP="00DD1188">
      <w:pPr>
        <w:pStyle w:val="SingleTxtG"/>
        <w:ind w:firstLine="567"/>
        <w:rPr>
          <w:lang w:val="fr-FR"/>
        </w:rPr>
      </w:pPr>
      <w:r w:rsidRPr="00A176EA">
        <w:rPr>
          <w:lang w:val="fr-FR"/>
        </w:rPr>
        <w:t>9)</w:t>
      </w:r>
      <w:r w:rsidRPr="00A176EA">
        <w:rPr>
          <w:lang w:val="fr-FR"/>
        </w:rPr>
        <w:tab/>
      </w:r>
      <w:r w:rsidR="00BF6815">
        <w:rPr>
          <w:lang w:val="fr-FR"/>
        </w:rPr>
        <w:t>L</w:t>
      </w:r>
      <w:r w:rsidR="00F50E6D">
        <w:rPr>
          <w:lang w:val="fr-FR"/>
        </w:rPr>
        <w:t xml:space="preserve">es obligations </w:t>
      </w:r>
      <w:r w:rsidR="00461AF6">
        <w:rPr>
          <w:lang w:val="fr-FR"/>
        </w:rPr>
        <w:t>visées à</w:t>
      </w:r>
      <w:r w:rsidR="00F50E6D">
        <w:rPr>
          <w:lang w:val="fr-FR"/>
        </w:rPr>
        <w:t xml:space="preserve"> l’alinéa 8 seront exécutées dès que possible</w:t>
      </w:r>
      <w:r w:rsidR="000B562B" w:rsidRPr="00A176EA">
        <w:rPr>
          <w:lang w:val="fr-FR"/>
        </w:rPr>
        <w:t>.</w:t>
      </w:r>
    </w:p>
    <w:p w:rsidR="000B562B" w:rsidRPr="00A176EA" w:rsidRDefault="000B562B" w:rsidP="00B669D1">
      <w:pPr>
        <w:pStyle w:val="SingleTxtG"/>
        <w:ind w:firstLine="567"/>
        <w:rPr>
          <w:lang w:val="fr-FR"/>
        </w:rPr>
      </w:pPr>
      <w:r w:rsidRPr="00A176EA">
        <w:rPr>
          <w:lang w:val="fr-FR"/>
        </w:rPr>
        <w:t>10)</w:t>
      </w:r>
      <w:r w:rsidRPr="00A176EA">
        <w:rPr>
          <w:lang w:val="fr-FR"/>
        </w:rPr>
        <w:tab/>
      </w:r>
      <w:r w:rsidR="00461AF6">
        <w:rPr>
          <w:lang w:val="fr-FR"/>
        </w:rPr>
        <w:t>Les droits conférés par cet article à une personne placée en garde à vue dans un poste de police ou dans tout autre lieu de</w:t>
      </w:r>
      <w:r w:rsidR="00461AF6" w:rsidRPr="00461AF6">
        <w:rPr>
          <w:lang w:val="fr-FR"/>
        </w:rPr>
        <w:t xml:space="preserve"> </w:t>
      </w:r>
      <w:r w:rsidR="00461AF6">
        <w:rPr>
          <w:lang w:val="fr-FR"/>
        </w:rPr>
        <w:t xml:space="preserve">détention </w:t>
      </w:r>
      <w:r w:rsidR="00EB5873">
        <w:rPr>
          <w:lang w:val="fr-FR"/>
        </w:rPr>
        <w:t>s’exercent également lorsque la personne est transférée d’un lieu à un autre. Le présent article s’applique à chaque transfert dans les mêmes conditions que lors de l’interpellation</w:t>
      </w:r>
      <w:r w:rsidRPr="00A176EA">
        <w:rPr>
          <w:lang w:val="fr-FR"/>
        </w:rPr>
        <w:t>.</w:t>
      </w:r>
    </w:p>
    <w:p w:rsidR="000B562B" w:rsidRPr="00A176EA" w:rsidRDefault="000B562B" w:rsidP="00B669D1">
      <w:pPr>
        <w:pStyle w:val="SingleTxtG"/>
        <w:ind w:firstLine="567"/>
        <w:rPr>
          <w:lang w:val="fr-FR"/>
        </w:rPr>
      </w:pPr>
      <w:r w:rsidRPr="00A176EA">
        <w:rPr>
          <w:lang w:val="fr-FR"/>
        </w:rPr>
        <w:t>11)</w:t>
      </w:r>
      <w:r w:rsidRPr="00A176EA">
        <w:rPr>
          <w:lang w:val="fr-FR"/>
        </w:rPr>
        <w:tab/>
      </w:r>
      <w:r w:rsidR="00EB5873">
        <w:rPr>
          <w:lang w:val="fr-FR"/>
        </w:rPr>
        <w:t>L’exerci</w:t>
      </w:r>
      <w:r w:rsidR="0031618A">
        <w:rPr>
          <w:lang w:val="fr-FR"/>
        </w:rPr>
        <w:t>c</w:t>
      </w:r>
      <w:r w:rsidR="00EB5873">
        <w:rPr>
          <w:lang w:val="fr-FR"/>
        </w:rPr>
        <w:t xml:space="preserve">e du droit visé à l’alinéa 1 ne peut plus être différé dès lors que le motif autorisant son report </w:t>
      </w:r>
      <w:r w:rsidR="0031618A">
        <w:rPr>
          <w:lang w:val="fr-FR"/>
        </w:rPr>
        <w:t>cesse d’exister</w:t>
      </w:r>
      <w:r w:rsidRPr="00A176EA">
        <w:rPr>
          <w:lang w:val="fr-FR"/>
        </w:rPr>
        <w:t>.</w:t>
      </w:r>
    </w:p>
    <w:p w:rsidR="000B562B" w:rsidRPr="0031618A" w:rsidRDefault="009B6B0D" w:rsidP="001C135E">
      <w:pPr>
        <w:pStyle w:val="H1G"/>
      </w:pPr>
      <w:r>
        <w:tab/>
      </w:r>
      <w:r>
        <w:tab/>
      </w:r>
      <w:r w:rsidR="000B562B" w:rsidRPr="0031618A">
        <w:t>Article 13</w:t>
      </w:r>
    </w:p>
    <w:p w:rsidR="000B562B" w:rsidRPr="0031618A" w:rsidRDefault="008F1880" w:rsidP="00B669D1">
      <w:pPr>
        <w:pStyle w:val="H23G"/>
        <w:rPr>
          <w:lang w:val="fr-FR"/>
        </w:rPr>
      </w:pPr>
      <w:r w:rsidRPr="0031618A">
        <w:rPr>
          <w:lang w:val="fr-FR"/>
        </w:rPr>
        <w:t>Loi de 2004 sur le Médiateur</w:t>
      </w:r>
    </w:p>
    <w:p w:rsidR="000B562B" w:rsidRPr="0031618A" w:rsidRDefault="008F780E" w:rsidP="00B669D1">
      <w:pPr>
        <w:pStyle w:val="SingleTxtG"/>
        <w:rPr>
          <w:lang w:val="fr-FR"/>
        </w:rPr>
      </w:pPr>
      <w:r w:rsidRPr="0031618A">
        <w:rPr>
          <w:lang w:val="fr-FR"/>
        </w:rPr>
        <w:t>7</w:t>
      </w:r>
      <w:r w:rsidR="002549A9" w:rsidRPr="0031618A">
        <w:rPr>
          <w:lang w:val="fr-FR"/>
        </w:rPr>
        <w:t>.</w:t>
      </w:r>
      <w:r w:rsidR="002549A9" w:rsidRPr="0031618A">
        <w:rPr>
          <w:lang w:val="fr-FR"/>
        </w:rPr>
        <w:tab/>
      </w:r>
      <w:r w:rsidR="00461AF6" w:rsidRPr="0031618A">
        <w:rPr>
          <w:lang w:val="fr-FR"/>
        </w:rPr>
        <w:t xml:space="preserve">Le Médiateur prévu par la </w:t>
      </w:r>
      <w:r w:rsidR="000B562B" w:rsidRPr="0031618A">
        <w:rPr>
          <w:lang w:val="fr-FR"/>
        </w:rPr>
        <w:t>Constitution (</w:t>
      </w:r>
      <w:r w:rsidR="00461AF6" w:rsidRPr="0031618A">
        <w:rPr>
          <w:lang w:val="fr-FR"/>
        </w:rPr>
        <w:t>articles</w:t>
      </w:r>
      <w:r w:rsidR="000B562B" w:rsidRPr="0031618A">
        <w:rPr>
          <w:lang w:val="fr-FR"/>
        </w:rPr>
        <w:t xml:space="preserve"> 93A </w:t>
      </w:r>
      <w:r w:rsidR="00461AF6" w:rsidRPr="0031618A">
        <w:rPr>
          <w:lang w:val="fr-FR"/>
        </w:rPr>
        <w:t>et</w:t>
      </w:r>
      <w:r w:rsidR="000B562B" w:rsidRPr="0031618A">
        <w:rPr>
          <w:lang w:val="fr-FR"/>
        </w:rPr>
        <w:t xml:space="preserve"> 93B) </w:t>
      </w:r>
      <w:r w:rsidR="00461AF6" w:rsidRPr="0031618A">
        <w:rPr>
          <w:lang w:val="fr-FR"/>
        </w:rPr>
        <w:t>et d’autres textes législatifs est un mécanisme systémique propre à donner effet à l’article 13 de la Convention,</w:t>
      </w:r>
      <w:r w:rsidR="00461AF6">
        <w:rPr>
          <w:lang w:val="fr-FR"/>
        </w:rPr>
        <w:t xml:space="preserve"> </w:t>
      </w:r>
      <w:r w:rsidR="00461AF6" w:rsidRPr="0031618A">
        <w:rPr>
          <w:lang w:val="fr-FR"/>
        </w:rPr>
        <w:t>comme l’illustre</w:t>
      </w:r>
      <w:r w:rsidR="00461AF6">
        <w:rPr>
          <w:lang w:val="fr-FR"/>
        </w:rPr>
        <w:t xml:space="preserve"> </w:t>
      </w:r>
      <w:r w:rsidR="00461AF6" w:rsidRPr="0031618A">
        <w:rPr>
          <w:lang w:val="fr-FR"/>
        </w:rPr>
        <w:t>l’article 7 de la loi de 2004</w:t>
      </w:r>
      <w:r w:rsidR="00FC2B97">
        <w:rPr>
          <w:lang w:val="fr-FR"/>
        </w:rPr>
        <w:t>:</w:t>
      </w:r>
    </w:p>
    <w:p w:rsidR="000B562B" w:rsidRPr="00A176EA" w:rsidRDefault="008F1880" w:rsidP="00B669D1">
      <w:pPr>
        <w:pStyle w:val="H23G"/>
        <w:rPr>
          <w:lang w:val="fr-FR"/>
        </w:rPr>
      </w:pPr>
      <w:r w:rsidRPr="0031618A">
        <w:rPr>
          <w:lang w:val="fr-FR"/>
        </w:rPr>
        <w:t xml:space="preserve">Article </w:t>
      </w:r>
      <w:r w:rsidR="000B562B" w:rsidRPr="0031618A">
        <w:rPr>
          <w:lang w:val="fr-FR"/>
        </w:rPr>
        <w:t>7</w:t>
      </w:r>
    </w:p>
    <w:p w:rsidR="000B562B" w:rsidRPr="00A176EA" w:rsidRDefault="000B562B" w:rsidP="00C535E3">
      <w:pPr>
        <w:pStyle w:val="SingleTxtG"/>
        <w:ind w:firstLine="567"/>
        <w:rPr>
          <w:lang w:val="fr-FR"/>
        </w:rPr>
      </w:pPr>
      <w:r w:rsidRPr="00A176EA">
        <w:rPr>
          <w:lang w:val="fr-FR"/>
        </w:rPr>
        <w:t>3)</w:t>
      </w:r>
      <w:r w:rsidRPr="00A176EA">
        <w:rPr>
          <w:lang w:val="fr-FR"/>
        </w:rPr>
        <w:tab/>
      </w:r>
      <w:r w:rsidR="0031618A">
        <w:rPr>
          <w:lang w:val="fr-FR"/>
        </w:rPr>
        <w:t xml:space="preserve">Lorsqu’une personne </w:t>
      </w:r>
      <w:r w:rsidR="00C535E3">
        <w:rPr>
          <w:lang w:val="fr-FR"/>
        </w:rPr>
        <w:t xml:space="preserve">placée en garde à vue ou </w:t>
      </w:r>
      <w:r w:rsidR="0056211B">
        <w:rPr>
          <w:lang w:val="fr-FR"/>
        </w:rPr>
        <w:t>intern</w:t>
      </w:r>
      <w:r w:rsidR="00C535E3">
        <w:rPr>
          <w:lang w:val="fr-FR"/>
        </w:rPr>
        <w:t xml:space="preserve">ée dans tout autre lieu informe le responsable ou toute autre personne exerçant des fonctions dans le lieu de détention ou </w:t>
      </w:r>
      <w:r w:rsidR="0056211B">
        <w:rPr>
          <w:lang w:val="fr-FR"/>
        </w:rPr>
        <w:t>d’internement</w:t>
      </w:r>
      <w:r w:rsidR="00C535E3">
        <w:rPr>
          <w:lang w:val="fr-FR"/>
        </w:rPr>
        <w:t xml:space="preserve"> qu’elle souhaite déposer une plainte auprès du Médiateur, la personne </w:t>
      </w:r>
      <w:r w:rsidR="0056211B">
        <w:rPr>
          <w:lang w:val="fr-FR"/>
        </w:rPr>
        <w:t xml:space="preserve">ainsi </w:t>
      </w:r>
      <w:r w:rsidR="00C535E3">
        <w:rPr>
          <w:lang w:val="fr-FR"/>
        </w:rPr>
        <w:t>informée doit</w:t>
      </w:r>
      <w:r w:rsidR="00FC2B97">
        <w:rPr>
          <w:lang w:val="fr-FR"/>
        </w:rPr>
        <w:t>:</w:t>
      </w:r>
    </w:p>
    <w:p w:rsidR="000B562B" w:rsidRPr="00A176EA" w:rsidRDefault="000B562B" w:rsidP="00C535E3">
      <w:pPr>
        <w:pStyle w:val="SingleTxtG"/>
        <w:ind w:left="1701" w:firstLine="567"/>
        <w:rPr>
          <w:lang w:val="fr-FR"/>
        </w:rPr>
      </w:pPr>
      <w:r w:rsidRPr="00A176EA">
        <w:rPr>
          <w:lang w:val="fr-FR"/>
        </w:rPr>
        <w:t>a)</w:t>
      </w:r>
      <w:r w:rsidRPr="00A176EA">
        <w:rPr>
          <w:lang w:val="fr-FR"/>
        </w:rPr>
        <w:tab/>
      </w:r>
      <w:r w:rsidR="00C535E3">
        <w:rPr>
          <w:lang w:val="fr-FR"/>
        </w:rPr>
        <w:t>prendre toutes les mesures nécessaires pour facili</w:t>
      </w:r>
      <w:r w:rsidR="0056211B">
        <w:rPr>
          <w:lang w:val="fr-FR"/>
        </w:rPr>
        <w:t>t</w:t>
      </w:r>
      <w:r w:rsidR="00C535E3">
        <w:rPr>
          <w:lang w:val="fr-FR"/>
        </w:rPr>
        <w:t>er le dépôt de la plainte, dont fournir une enveloppe non cachetée</w:t>
      </w:r>
      <w:r w:rsidR="00FC2B97">
        <w:rPr>
          <w:lang w:val="fr-FR"/>
        </w:rPr>
        <w:t>;</w:t>
      </w:r>
      <w:r w:rsidR="00C535E3">
        <w:rPr>
          <w:lang w:val="fr-FR"/>
        </w:rPr>
        <w:t xml:space="preserve"> et</w:t>
      </w:r>
    </w:p>
    <w:p w:rsidR="000B562B" w:rsidRPr="00A176EA" w:rsidRDefault="000B562B" w:rsidP="00B669D1">
      <w:pPr>
        <w:pStyle w:val="SingleTxtG"/>
        <w:ind w:left="1701" w:firstLine="567"/>
        <w:rPr>
          <w:lang w:val="fr-FR"/>
        </w:rPr>
      </w:pPr>
      <w:r w:rsidRPr="00A176EA">
        <w:rPr>
          <w:lang w:val="fr-FR"/>
        </w:rPr>
        <w:t>b)</w:t>
      </w:r>
      <w:r w:rsidRPr="00A176EA">
        <w:rPr>
          <w:lang w:val="fr-FR"/>
        </w:rPr>
        <w:tab/>
      </w:r>
      <w:r w:rsidR="00C535E3">
        <w:rPr>
          <w:lang w:val="fr-FR"/>
        </w:rPr>
        <w:t>sans délai</w:t>
      </w:r>
      <w:r w:rsidRPr="00A176EA">
        <w:rPr>
          <w:lang w:val="fr-FR"/>
        </w:rPr>
        <w:t xml:space="preserve">, </w:t>
      </w:r>
      <w:r w:rsidR="00C535E3">
        <w:rPr>
          <w:lang w:val="fr-FR"/>
        </w:rPr>
        <w:t>envoyer l’enveloppe cachetée au Médiateur</w:t>
      </w:r>
      <w:r w:rsidRPr="00A176EA">
        <w:rPr>
          <w:lang w:val="fr-FR"/>
        </w:rPr>
        <w:t>.</w:t>
      </w:r>
    </w:p>
    <w:p w:rsidR="000B562B" w:rsidRPr="00A176EA" w:rsidRDefault="000B562B" w:rsidP="0056211B">
      <w:pPr>
        <w:pStyle w:val="SingleTxtG"/>
        <w:ind w:firstLine="567"/>
        <w:rPr>
          <w:lang w:val="fr-FR"/>
        </w:rPr>
      </w:pPr>
      <w:r w:rsidRPr="00A176EA">
        <w:rPr>
          <w:lang w:val="fr-FR"/>
        </w:rPr>
        <w:t>4)</w:t>
      </w:r>
      <w:r w:rsidRPr="00A176EA">
        <w:rPr>
          <w:lang w:val="fr-FR"/>
        </w:rPr>
        <w:tab/>
      </w:r>
      <w:r w:rsidR="0056211B">
        <w:rPr>
          <w:lang w:val="fr-FR"/>
        </w:rPr>
        <w:t>Le Médiateur enverra une communication, dans une enveloppe cachetée, à la personne gardée à vue ou internée visée à l’alinéa 3</w:t>
      </w:r>
      <w:r w:rsidRPr="00A176EA">
        <w:rPr>
          <w:lang w:val="fr-FR"/>
        </w:rPr>
        <w:t>.</w:t>
      </w:r>
    </w:p>
    <w:p w:rsidR="000B562B" w:rsidRPr="00A176EA" w:rsidRDefault="000B562B" w:rsidP="00B669D1">
      <w:pPr>
        <w:pStyle w:val="SingleTxtG"/>
        <w:ind w:firstLine="567"/>
        <w:rPr>
          <w:lang w:val="fr-FR"/>
        </w:rPr>
      </w:pPr>
      <w:r w:rsidRPr="00A176EA">
        <w:rPr>
          <w:lang w:val="fr-FR"/>
        </w:rPr>
        <w:t>5)</w:t>
      </w:r>
      <w:r w:rsidRPr="00A176EA">
        <w:rPr>
          <w:lang w:val="fr-FR"/>
        </w:rPr>
        <w:tab/>
      </w:r>
      <w:r w:rsidR="00F41DFA">
        <w:rPr>
          <w:lang w:val="fr-FR"/>
        </w:rPr>
        <w:t>Le Médiateur écrira au plaignant pour accuser réception de sa plainte</w:t>
      </w:r>
      <w:r w:rsidRPr="00A176EA">
        <w:rPr>
          <w:lang w:val="fr-FR"/>
        </w:rPr>
        <w:t>.</w:t>
      </w:r>
    </w:p>
    <w:p w:rsidR="000B562B" w:rsidRPr="00A176EA" w:rsidRDefault="009B6B0D" w:rsidP="001C135E">
      <w:pPr>
        <w:pStyle w:val="H1G"/>
      </w:pPr>
      <w:r>
        <w:tab/>
      </w:r>
      <w:r>
        <w:tab/>
      </w:r>
      <w:r w:rsidR="000B562B" w:rsidRPr="00F41DFA">
        <w:t>Article 15</w:t>
      </w:r>
    </w:p>
    <w:p w:rsidR="000B562B" w:rsidRPr="00A176EA" w:rsidRDefault="008F780E" w:rsidP="00F41DFA">
      <w:pPr>
        <w:pStyle w:val="SingleTxtG"/>
        <w:rPr>
          <w:lang w:val="fr-FR"/>
        </w:rPr>
      </w:pPr>
      <w:r w:rsidRPr="00A176EA">
        <w:rPr>
          <w:lang w:val="fr-FR"/>
        </w:rPr>
        <w:t>8</w:t>
      </w:r>
      <w:r w:rsidR="002549A9" w:rsidRPr="00A176EA">
        <w:rPr>
          <w:lang w:val="fr-FR"/>
        </w:rPr>
        <w:t>.</w:t>
      </w:r>
      <w:r w:rsidR="002549A9" w:rsidRPr="00A176EA">
        <w:rPr>
          <w:lang w:val="fr-FR"/>
        </w:rPr>
        <w:tab/>
      </w:r>
      <w:r w:rsidR="00AC613E">
        <w:rPr>
          <w:lang w:val="fr-FR"/>
        </w:rPr>
        <w:t xml:space="preserve">Les dispositions de la loi </w:t>
      </w:r>
      <w:r w:rsidR="00AC613E" w:rsidRPr="006B520E">
        <w:rPr>
          <w:lang w:val="fr-FR"/>
        </w:rPr>
        <w:t xml:space="preserve">sur la police et les preuves </w:t>
      </w:r>
      <w:r w:rsidR="00AC613E">
        <w:rPr>
          <w:lang w:val="fr-FR"/>
        </w:rPr>
        <w:t>pénales ayant trait à l’irrecevabilité des aveux obtenus en violation de l’article 90 de ladite loi constituent un</w:t>
      </w:r>
      <w:r w:rsidR="00F41DFA">
        <w:rPr>
          <w:lang w:val="fr-FR"/>
        </w:rPr>
        <w:t xml:space="preserve"> autre mécanisme constructif conforme aux objectifs de l’article 15 de la Convention</w:t>
      </w:r>
      <w:r w:rsidR="00FC2B97">
        <w:rPr>
          <w:lang w:val="fr-FR"/>
        </w:rPr>
        <w:t>:</w:t>
      </w:r>
    </w:p>
    <w:p w:rsidR="000B562B" w:rsidRPr="00A176EA" w:rsidRDefault="00857BEF" w:rsidP="00B669D1">
      <w:pPr>
        <w:pStyle w:val="H23G"/>
        <w:rPr>
          <w:lang w:val="fr-FR"/>
        </w:rPr>
      </w:pPr>
      <w:r w:rsidRPr="0098045D">
        <w:rPr>
          <w:lang w:val="fr-FR"/>
        </w:rPr>
        <w:t xml:space="preserve">Article </w:t>
      </w:r>
      <w:r w:rsidR="000B562B" w:rsidRPr="0098045D">
        <w:rPr>
          <w:lang w:val="fr-FR"/>
        </w:rPr>
        <w:t>90</w:t>
      </w:r>
    </w:p>
    <w:p w:rsidR="000B562B" w:rsidRPr="00A176EA" w:rsidRDefault="000B562B" w:rsidP="00B669D1">
      <w:pPr>
        <w:pStyle w:val="SingleTxtG"/>
        <w:ind w:firstLine="567"/>
        <w:rPr>
          <w:lang w:val="fr-FR"/>
        </w:rPr>
      </w:pPr>
      <w:r w:rsidRPr="00A176EA">
        <w:rPr>
          <w:lang w:val="fr-FR"/>
        </w:rPr>
        <w:t>1)</w:t>
      </w:r>
      <w:r w:rsidRPr="00A176EA">
        <w:rPr>
          <w:lang w:val="fr-FR"/>
        </w:rPr>
        <w:tab/>
      </w:r>
      <w:r w:rsidR="00AC613E">
        <w:rPr>
          <w:lang w:val="fr-FR"/>
        </w:rPr>
        <w:t xml:space="preserve">Dans toute procédure, les aveux d’un accusé ne peuvent être retenus comme </w:t>
      </w:r>
      <w:r w:rsidR="00BF6815">
        <w:rPr>
          <w:lang w:val="fr-FR"/>
        </w:rPr>
        <w:t xml:space="preserve">élément de </w:t>
      </w:r>
      <w:r w:rsidR="00AC613E">
        <w:rPr>
          <w:lang w:val="fr-FR"/>
        </w:rPr>
        <w:t>preuve contre lui</w:t>
      </w:r>
      <w:r w:rsidR="0008087E">
        <w:rPr>
          <w:lang w:val="fr-FR"/>
        </w:rPr>
        <w:t xml:space="preserve"> que s’ils </w:t>
      </w:r>
      <w:r w:rsidR="00BF6815">
        <w:rPr>
          <w:lang w:val="fr-FR"/>
        </w:rPr>
        <w:t>s</w:t>
      </w:r>
      <w:r w:rsidR="0008087E">
        <w:rPr>
          <w:lang w:val="fr-FR"/>
        </w:rPr>
        <w:t xml:space="preserve">ont </w:t>
      </w:r>
      <w:r w:rsidR="00BF6815">
        <w:rPr>
          <w:lang w:val="fr-FR"/>
        </w:rPr>
        <w:t>pertinents à la même procédure</w:t>
      </w:r>
      <w:r w:rsidRPr="00A176EA">
        <w:rPr>
          <w:lang w:val="fr-FR"/>
        </w:rPr>
        <w:t xml:space="preserve"> </w:t>
      </w:r>
      <w:r w:rsidR="001013DE">
        <w:rPr>
          <w:lang w:val="fr-FR"/>
        </w:rPr>
        <w:t xml:space="preserve">et </w:t>
      </w:r>
      <w:r w:rsidR="00BF6815">
        <w:rPr>
          <w:lang w:val="fr-FR"/>
        </w:rPr>
        <w:t>s</w:t>
      </w:r>
      <w:r w:rsidR="001013DE">
        <w:rPr>
          <w:lang w:val="fr-FR"/>
        </w:rPr>
        <w:t>’ils ne sont pas écarté</w:t>
      </w:r>
      <w:r w:rsidR="00A87B81">
        <w:rPr>
          <w:lang w:val="fr-FR"/>
        </w:rPr>
        <w:t>s en vertu du présent article</w:t>
      </w:r>
      <w:r w:rsidRPr="00A176EA">
        <w:rPr>
          <w:lang w:val="fr-FR"/>
        </w:rPr>
        <w:t>.</w:t>
      </w:r>
    </w:p>
    <w:p w:rsidR="000B562B" w:rsidRPr="00A176EA" w:rsidRDefault="000B562B" w:rsidP="00B669D1">
      <w:pPr>
        <w:pStyle w:val="SingleTxtG"/>
        <w:ind w:firstLine="567"/>
        <w:rPr>
          <w:lang w:val="fr-FR"/>
        </w:rPr>
      </w:pPr>
      <w:r w:rsidRPr="00A176EA">
        <w:rPr>
          <w:lang w:val="fr-FR"/>
        </w:rPr>
        <w:t>2)</w:t>
      </w:r>
      <w:r w:rsidRPr="00A176EA">
        <w:rPr>
          <w:lang w:val="fr-FR"/>
        </w:rPr>
        <w:tab/>
      </w:r>
      <w:r w:rsidR="0098045D">
        <w:rPr>
          <w:lang w:val="fr-FR"/>
        </w:rPr>
        <w:t>Si, dans une procédure où le ministère public entend utiliser les aveux de l’accusé comme élément de preuve, il est invoqué devant le tribunal que ces aveux ont été ou peuvent avoir été obtenus</w:t>
      </w:r>
      <w:r w:rsidR="00FC2B97">
        <w:rPr>
          <w:lang w:val="fr-FR"/>
        </w:rPr>
        <w:t>:</w:t>
      </w:r>
    </w:p>
    <w:p w:rsidR="000B562B" w:rsidRPr="00A176EA" w:rsidRDefault="000B562B" w:rsidP="00B669D1">
      <w:pPr>
        <w:pStyle w:val="SingleTxtG"/>
        <w:ind w:firstLine="567"/>
        <w:rPr>
          <w:lang w:val="fr-FR"/>
        </w:rPr>
      </w:pPr>
      <w:r w:rsidRPr="00A176EA">
        <w:rPr>
          <w:lang w:val="fr-FR"/>
        </w:rPr>
        <w:t>a)</w:t>
      </w:r>
      <w:r w:rsidRPr="00A176EA">
        <w:rPr>
          <w:lang w:val="fr-FR"/>
        </w:rPr>
        <w:tab/>
      </w:r>
      <w:r w:rsidR="008E451C">
        <w:rPr>
          <w:lang w:val="fr-FR"/>
        </w:rPr>
        <w:t>en exerçant une contrainte sur la personne qui les a faits</w:t>
      </w:r>
      <w:r w:rsidR="00FC2B97">
        <w:rPr>
          <w:lang w:val="fr-FR"/>
        </w:rPr>
        <w:t>;</w:t>
      </w:r>
      <w:r w:rsidR="008E451C">
        <w:rPr>
          <w:lang w:val="fr-FR"/>
        </w:rPr>
        <w:t xml:space="preserve"> ou</w:t>
      </w:r>
    </w:p>
    <w:p w:rsidR="000B562B" w:rsidRPr="00A176EA" w:rsidRDefault="000B562B" w:rsidP="00B669D1">
      <w:pPr>
        <w:pStyle w:val="SingleTxtG"/>
        <w:ind w:firstLine="567"/>
        <w:rPr>
          <w:lang w:val="fr-FR"/>
        </w:rPr>
      </w:pPr>
      <w:r w:rsidRPr="00A176EA">
        <w:rPr>
          <w:lang w:val="fr-FR"/>
        </w:rPr>
        <w:t>b)</w:t>
      </w:r>
      <w:r w:rsidRPr="00A176EA">
        <w:rPr>
          <w:lang w:val="fr-FR"/>
        </w:rPr>
        <w:tab/>
      </w:r>
      <w:r w:rsidR="00BC66A9">
        <w:rPr>
          <w:lang w:val="fr-FR"/>
        </w:rPr>
        <w:t>suite à des paroles ou des actes susceptibles, dans les circonstances prévalant alors, d’entacher la fiabilité des aveux de l’accusé, le tribunal ne saurait retenir ces aveux comme élément de preuve contre l’accusé si le ministère public n’a pas établi au-delà de tout doute raisonnable que, même s’ils correspondent à la vérité, ils n’ont pas été obtenus par ces moyens</w:t>
      </w:r>
      <w:r w:rsidRPr="00A176EA">
        <w:rPr>
          <w:lang w:val="fr-FR"/>
        </w:rPr>
        <w:t>.</w:t>
      </w:r>
    </w:p>
    <w:p w:rsidR="000B562B" w:rsidRPr="00A176EA" w:rsidRDefault="009B6B0D" w:rsidP="001C135E">
      <w:pPr>
        <w:pStyle w:val="H1G"/>
      </w:pPr>
      <w:r>
        <w:tab/>
      </w:r>
      <w:r>
        <w:tab/>
      </w:r>
      <w:r w:rsidR="000B562B" w:rsidRPr="00BC66A9">
        <w:t>Conclusion</w:t>
      </w:r>
    </w:p>
    <w:p w:rsidR="000B562B" w:rsidRPr="00A176EA" w:rsidRDefault="008F780E" w:rsidP="00451077">
      <w:pPr>
        <w:pStyle w:val="SingleTxtG"/>
        <w:rPr>
          <w:lang w:val="fr-FR"/>
        </w:rPr>
      </w:pPr>
      <w:r w:rsidRPr="00A176EA">
        <w:rPr>
          <w:lang w:val="fr-FR"/>
        </w:rPr>
        <w:t>9</w:t>
      </w:r>
      <w:r w:rsidR="002549A9" w:rsidRPr="00A176EA">
        <w:rPr>
          <w:lang w:val="fr-FR"/>
        </w:rPr>
        <w:t>.</w:t>
      </w:r>
      <w:r w:rsidR="002549A9" w:rsidRPr="00A176EA">
        <w:rPr>
          <w:lang w:val="fr-FR"/>
        </w:rPr>
        <w:tab/>
      </w:r>
      <w:r w:rsidR="00451077" w:rsidRPr="009931F2">
        <w:rPr>
          <w:lang w:val="fr-FR"/>
        </w:rPr>
        <w:t xml:space="preserve">La législation nationale des Bermudes compte une série de lois qui complètent les objectifs de </w:t>
      </w:r>
      <w:r w:rsidR="00857BEF" w:rsidRPr="009931F2">
        <w:rPr>
          <w:lang w:val="fr-FR"/>
        </w:rPr>
        <w:t>la</w:t>
      </w:r>
      <w:r w:rsidR="000B562B" w:rsidRPr="009931F2">
        <w:rPr>
          <w:lang w:val="fr-FR"/>
        </w:rPr>
        <w:t xml:space="preserve"> </w:t>
      </w:r>
      <w:r w:rsidR="00857BEF" w:rsidRPr="009931F2">
        <w:rPr>
          <w:lang w:val="fr-FR"/>
        </w:rPr>
        <w:t>Convention des</w:t>
      </w:r>
      <w:r w:rsidR="000B562B" w:rsidRPr="009931F2">
        <w:rPr>
          <w:lang w:val="fr-FR"/>
        </w:rPr>
        <w:t xml:space="preserve"> Nations</w:t>
      </w:r>
      <w:r w:rsidR="00857BEF" w:rsidRPr="009931F2">
        <w:rPr>
          <w:lang w:val="fr-FR"/>
        </w:rPr>
        <w:t xml:space="preserve"> Unies contre la torture et autres peines ou traitements cruels, inhumains ou dégradants</w:t>
      </w:r>
      <w:r w:rsidR="000B562B" w:rsidRPr="009931F2">
        <w:rPr>
          <w:lang w:val="fr-FR"/>
        </w:rPr>
        <w:t xml:space="preserve">, </w:t>
      </w:r>
      <w:r w:rsidR="00857BEF" w:rsidRPr="009931F2">
        <w:rPr>
          <w:lang w:val="fr-FR"/>
        </w:rPr>
        <w:t>en particulier ses</w:t>
      </w:r>
      <w:r w:rsidR="000B562B" w:rsidRPr="009931F2">
        <w:rPr>
          <w:lang w:val="fr-FR"/>
        </w:rPr>
        <w:t xml:space="preserve"> </w:t>
      </w:r>
      <w:r w:rsidR="00857BEF" w:rsidRPr="009931F2">
        <w:rPr>
          <w:lang w:val="fr-FR"/>
        </w:rPr>
        <w:t>a</w:t>
      </w:r>
      <w:r w:rsidR="000B562B" w:rsidRPr="009931F2">
        <w:rPr>
          <w:lang w:val="fr-FR"/>
        </w:rPr>
        <w:t xml:space="preserve">rticles 10 </w:t>
      </w:r>
      <w:r w:rsidR="00857BEF" w:rsidRPr="009931F2">
        <w:rPr>
          <w:lang w:val="fr-FR"/>
        </w:rPr>
        <w:t>à</w:t>
      </w:r>
      <w:r w:rsidR="000B562B" w:rsidRPr="009931F2">
        <w:rPr>
          <w:lang w:val="fr-FR"/>
        </w:rPr>
        <w:t xml:space="preserve"> 13.</w:t>
      </w:r>
      <w:r w:rsidR="000B562B" w:rsidRPr="00A176EA">
        <w:rPr>
          <w:lang w:val="fr-FR"/>
        </w:rPr>
        <w:t xml:space="preserve"> </w:t>
      </w:r>
      <w:r w:rsidR="00D62DB6">
        <w:rPr>
          <w:lang w:val="fr-FR"/>
        </w:rPr>
        <w:t xml:space="preserve">L’objet de ces textes va de la protection complète des droits de l’homme, telle que l’interdiction constitutionnelle de la torture et des peines et traitements inhumains et dégradants, aux sanctions prévues par le code pénal. Ce dernier comprend </w:t>
      </w:r>
      <w:r w:rsidR="0004346D">
        <w:rPr>
          <w:lang w:val="fr-FR"/>
        </w:rPr>
        <w:t xml:space="preserve">la protection renforcée des victimes </w:t>
      </w:r>
      <w:r w:rsidR="00BF6815">
        <w:rPr>
          <w:lang w:val="fr-FR"/>
        </w:rPr>
        <w:t>par</w:t>
      </w:r>
      <w:r w:rsidR="0004346D">
        <w:rPr>
          <w:lang w:val="fr-FR"/>
        </w:rPr>
        <w:t xml:space="preserve"> l’</w:t>
      </w:r>
      <w:r w:rsidR="0004346D" w:rsidRPr="0004346D">
        <w:rPr>
          <w:i/>
          <w:lang w:val="fr-FR"/>
        </w:rPr>
        <w:t>habeas corpus</w:t>
      </w:r>
      <w:r w:rsidR="0004346D">
        <w:rPr>
          <w:lang w:val="fr-FR"/>
        </w:rPr>
        <w:t xml:space="preserve"> et des peines sévères à l’encontre des auteurs d’infraction. En outre, des règles pénitentiaires et des mécanismes de contrôle et d’exécution sont en place pour réduire les risques de violation. Ces dispositifs sont </w:t>
      </w:r>
      <w:r w:rsidR="00F23558">
        <w:rPr>
          <w:lang w:val="fr-FR"/>
        </w:rPr>
        <w:t>étayés</w:t>
      </w:r>
      <w:r w:rsidR="0004346D">
        <w:rPr>
          <w:lang w:val="fr-FR"/>
        </w:rPr>
        <w:t xml:space="preserve"> par la création récente d’un Bureau du Médiateur </w:t>
      </w:r>
      <w:r w:rsidR="007E081C">
        <w:rPr>
          <w:lang w:val="fr-FR"/>
        </w:rPr>
        <w:t xml:space="preserve">inscrit dans la Constitution et par un Comité sur le traitement des délinquants, </w:t>
      </w:r>
      <w:r w:rsidR="00137AAF">
        <w:rPr>
          <w:lang w:val="fr-FR"/>
        </w:rPr>
        <w:t>que</w:t>
      </w:r>
      <w:r w:rsidR="007E081C">
        <w:rPr>
          <w:lang w:val="fr-FR"/>
        </w:rPr>
        <w:t xml:space="preserve"> la loi</w:t>
      </w:r>
      <w:r w:rsidR="00137AAF">
        <w:rPr>
          <w:lang w:val="fr-FR"/>
        </w:rPr>
        <w:t xml:space="preserve"> habilite à inspecter les établissements pénitentiaires sans restriction et à rencontrer les détenus, et qui fait rapport au plus haut niveau de pouvoir décisionnel pour veiller à ce </w:t>
      </w:r>
      <w:r w:rsidR="00F23558">
        <w:rPr>
          <w:lang w:val="fr-FR"/>
        </w:rPr>
        <w:t xml:space="preserve">que </w:t>
      </w:r>
      <w:r w:rsidR="00137AAF">
        <w:rPr>
          <w:lang w:val="fr-FR"/>
        </w:rPr>
        <w:t>de telles violations ne se produisent pas</w:t>
      </w:r>
      <w:r w:rsidR="000B562B" w:rsidRPr="00A176EA">
        <w:rPr>
          <w:lang w:val="fr-FR"/>
        </w:rPr>
        <w:t>.</w:t>
      </w:r>
    </w:p>
    <w:p w:rsidR="000B562B" w:rsidRPr="00A176EA" w:rsidRDefault="009B6B0D" w:rsidP="001C135E">
      <w:pPr>
        <w:pStyle w:val="H1G"/>
      </w:pPr>
      <w:bookmarkStart w:id="97" w:name="_Toc299724788"/>
      <w:r>
        <w:tab/>
      </w:r>
      <w:r w:rsidR="000B562B" w:rsidRPr="00A176EA">
        <w:t>C.</w:t>
      </w:r>
      <w:r w:rsidR="00655C7A" w:rsidRPr="00A176EA">
        <w:tab/>
      </w:r>
      <w:bookmarkEnd w:id="97"/>
      <w:r w:rsidR="00401065" w:rsidRPr="00137AAF">
        <w:t>Î</w:t>
      </w:r>
      <w:r w:rsidR="00BA6498" w:rsidRPr="00137AAF">
        <w:t>les Vierges britanniques</w:t>
      </w:r>
    </w:p>
    <w:p w:rsidR="000B562B" w:rsidRPr="00A176EA" w:rsidRDefault="008F780E" w:rsidP="00851C2A">
      <w:pPr>
        <w:pStyle w:val="SingleTxtG"/>
        <w:rPr>
          <w:lang w:val="fr-FR"/>
        </w:rPr>
      </w:pPr>
      <w:r w:rsidRPr="00A176EA">
        <w:rPr>
          <w:lang w:val="fr-FR"/>
        </w:rPr>
        <w:t>10</w:t>
      </w:r>
      <w:r w:rsidR="002549A9" w:rsidRPr="00A176EA">
        <w:rPr>
          <w:lang w:val="fr-FR"/>
        </w:rPr>
        <w:t>.</w:t>
      </w:r>
      <w:r w:rsidR="002549A9" w:rsidRPr="00A176EA">
        <w:rPr>
          <w:lang w:val="fr-FR"/>
        </w:rPr>
        <w:tab/>
      </w:r>
      <w:r w:rsidR="00137AAF">
        <w:rPr>
          <w:lang w:val="fr-FR"/>
        </w:rPr>
        <w:t>Le présent rapport concerne la situation dans les îles Vierges britanniques depuis le dernier rapport</w:t>
      </w:r>
      <w:r w:rsidR="00851C2A">
        <w:rPr>
          <w:lang w:val="fr-FR"/>
        </w:rPr>
        <w:t xml:space="preserve"> qui,</w:t>
      </w:r>
      <w:r w:rsidR="00137AAF">
        <w:rPr>
          <w:lang w:val="fr-FR"/>
        </w:rPr>
        <w:t xml:space="preserve"> établi par le Royaume-Uni pour le compte du Territoire</w:t>
      </w:r>
      <w:r w:rsidR="00851C2A">
        <w:rPr>
          <w:lang w:val="fr-FR"/>
        </w:rPr>
        <w:t>, a été publié par les Nations Unies en mai 2004. Des faits nouveaux importants ont été enregistrés depuis le dernier rapport</w:t>
      </w:r>
      <w:r w:rsidR="000B562B" w:rsidRPr="00A176EA">
        <w:rPr>
          <w:lang w:val="fr-FR"/>
        </w:rPr>
        <w:t>.</w:t>
      </w:r>
    </w:p>
    <w:p w:rsidR="000B562B" w:rsidRPr="00851C2A" w:rsidRDefault="007473FB" w:rsidP="00B669D1">
      <w:pPr>
        <w:pStyle w:val="H23G"/>
        <w:rPr>
          <w:lang w:val="fr-FR"/>
        </w:rPr>
      </w:pPr>
      <w:r w:rsidRPr="00851C2A">
        <w:rPr>
          <w:lang w:val="fr-FR"/>
        </w:rPr>
        <w:t>Droits de l’homme</w:t>
      </w:r>
    </w:p>
    <w:p w:rsidR="000B562B" w:rsidRPr="00A176EA" w:rsidRDefault="007473FB" w:rsidP="00B669D1">
      <w:pPr>
        <w:pStyle w:val="H23G"/>
        <w:rPr>
          <w:lang w:val="fr-FR"/>
        </w:rPr>
      </w:pPr>
      <w:r w:rsidRPr="00851C2A">
        <w:rPr>
          <w:lang w:val="fr-FR"/>
        </w:rPr>
        <w:t xml:space="preserve">Nouvelle </w:t>
      </w:r>
      <w:r w:rsidR="000B562B" w:rsidRPr="00851C2A">
        <w:rPr>
          <w:lang w:val="fr-FR"/>
        </w:rPr>
        <w:t>Constitution</w:t>
      </w:r>
    </w:p>
    <w:p w:rsidR="000B562B" w:rsidRPr="00A176EA" w:rsidRDefault="008F780E" w:rsidP="00CC78CA">
      <w:pPr>
        <w:pStyle w:val="SingleTxtG"/>
        <w:rPr>
          <w:lang w:val="fr-FR"/>
        </w:rPr>
      </w:pPr>
      <w:r w:rsidRPr="00A176EA">
        <w:rPr>
          <w:lang w:val="fr-FR"/>
        </w:rPr>
        <w:t>11</w:t>
      </w:r>
      <w:r w:rsidR="002549A9" w:rsidRPr="00A176EA">
        <w:rPr>
          <w:lang w:val="fr-FR"/>
        </w:rPr>
        <w:t>.</w:t>
      </w:r>
      <w:r w:rsidR="002549A9" w:rsidRPr="00A176EA">
        <w:rPr>
          <w:lang w:val="fr-FR"/>
        </w:rPr>
        <w:tab/>
      </w:r>
      <w:r w:rsidR="006905D8">
        <w:rPr>
          <w:lang w:val="fr-FR"/>
        </w:rPr>
        <w:t xml:space="preserve">L’ordonnance de 2007 relative à la nouvelle Constitution des îles Vierges </w:t>
      </w:r>
      <w:r w:rsidR="0054163A">
        <w:rPr>
          <w:lang w:val="fr-FR"/>
        </w:rPr>
        <w:t xml:space="preserve">britanniques </w:t>
      </w:r>
      <w:r w:rsidR="006905D8">
        <w:rPr>
          <w:lang w:val="fr-FR"/>
        </w:rPr>
        <w:t>a été promulguée</w:t>
      </w:r>
      <w:r w:rsidR="006905D8" w:rsidRPr="006905D8">
        <w:rPr>
          <w:lang w:val="fr-FR"/>
        </w:rPr>
        <w:t xml:space="preserve"> </w:t>
      </w:r>
      <w:r w:rsidR="006905D8">
        <w:rPr>
          <w:lang w:val="fr-FR"/>
        </w:rPr>
        <w:t xml:space="preserve">le 15 juin 2007. Cette nouvelle Constitution </w:t>
      </w:r>
      <w:r w:rsidR="00F23558">
        <w:rPr>
          <w:lang w:val="fr-FR"/>
        </w:rPr>
        <w:t>traduit</w:t>
      </w:r>
      <w:r w:rsidR="006905D8">
        <w:rPr>
          <w:lang w:val="fr-FR"/>
        </w:rPr>
        <w:t xml:space="preserve"> la progression des relations </w:t>
      </w:r>
      <w:r w:rsidR="00F23558">
        <w:rPr>
          <w:lang w:val="fr-FR"/>
        </w:rPr>
        <w:t>politiques entre le</w:t>
      </w:r>
      <w:r w:rsidR="006905D8">
        <w:rPr>
          <w:lang w:val="fr-FR"/>
        </w:rPr>
        <w:t xml:space="preserve"> Territoire </w:t>
      </w:r>
      <w:r w:rsidR="00F23558">
        <w:rPr>
          <w:lang w:val="fr-FR"/>
        </w:rPr>
        <w:t>et</w:t>
      </w:r>
      <w:r w:rsidR="006905D8">
        <w:rPr>
          <w:lang w:val="fr-FR"/>
        </w:rPr>
        <w:t xml:space="preserve"> le Royaume-Uni. Son chapitre 2, intitulé Droits et libertés fondamentaux de l’individu, est avant tout une Charte des droits. Comme indiqué dans le </w:t>
      </w:r>
      <w:r w:rsidR="0054163A">
        <w:rPr>
          <w:lang w:val="fr-FR"/>
        </w:rPr>
        <w:t xml:space="preserve">précédent </w:t>
      </w:r>
      <w:r w:rsidR="006905D8">
        <w:rPr>
          <w:lang w:val="fr-FR"/>
        </w:rPr>
        <w:t xml:space="preserve">rapport, </w:t>
      </w:r>
      <w:r w:rsidR="00CC78CA">
        <w:rPr>
          <w:lang w:val="fr-FR"/>
        </w:rPr>
        <w:t xml:space="preserve">auparavant </w:t>
      </w:r>
      <w:r w:rsidR="006905D8">
        <w:rPr>
          <w:lang w:val="fr-FR"/>
        </w:rPr>
        <w:t xml:space="preserve">il </w:t>
      </w:r>
      <w:r w:rsidR="00CC78CA">
        <w:rPr>
          <w:lang w:val="fr-FR"/>
        </w:rPr>
        <w:t>n’y avait</w:t>
      </w:r>
      <w:r w:rsidR="006905D8">
        <w:rPr>
          <w:lang w:val="fr-FR"/>
        </w:rPr>
        <w:t xml:space="preserve"> </w:t>
      </w:r>
      <w:r w:rsidR="00CC78CA">
        <w:rPr>
          <w:lang w:val="fr-FR"/>
        </w:rPr>
        <w:t xml:space="preserve">pas </w:t>
      </w:r>
      <w:r w:rsidR="00BA038D">
        <w:rPr>
          <w:lang w:val="fr-FR"/>
        </w:rPr>
        <w:t xml:space="preserve">à proprement parler </w:t>
      </w:r>
      <w:r w:rsidR="00CC78CA">
        <w:rPr>
          <w:lang w:val="fr-FR"/>
        </w:rPr>
        <w:t>de législation unique et intégrée sur les droits de l’homme dans les îles Vierges britanniques. Cela dit, il est juste de dire que plusieurs articles de loi, introduits au fil des ans, traitaient de cette question. La Constitution énumère près de 20 droits et libertés distincts qui</w:t>
      </w:r>
      <w:r w:rsidR="00CC78CA" w:rsidRPr="00CC78CA">
        <w:rPr>
          <w:lang w:val="fr-FR"/>
        </w:rPr>
        <w:t xml:space="preserve"> </w:t>
      </w:r>
      <w:r w:rsidR="00CC78CA">
        <w:rPr>
          <w:lang w:val="fr-FR"/>
        </w:rPr>
        <w:t xml:space="preserve">sont </w:t>
      </w:r>
      <w:r w:rsidR="0054163A">
        <w:rPr>
          <w:lang w:val="fr-FR"/>
        </w:rPr>
        <w:t>restreints</w:t>
      </w:r>
      <w:r w:rsidR="00CC78CA">
        <w:rPr>
          <w:lang w:val="fr-FR"/>
        </w:rPr>
        <w:t>, le cas échéant, dans l’intérêt de la défense, de la san</w:t>
      </w:r>
      <w:r w:rsidR="007D0396">
        <w:rPr>
          <w:lang w:val="fr-FR"/>
        </w:rPr>
        <w:t>té publique, de l’ordre public,</w:t>
      </w:r>
      <w:r w:rsidR="00CC78CA">
        <w:rPr>
          <w:lang w:val="fr-FR"/>
        </w:rPr>
        <w:t xml:space="preserve"> </w:t>
      </w:r>
      <w:r w:rsidR="000B562B" w:rsidRPr="00A176EA">
        <w:rPr>
          <w:lang w:val="fr-FR"/>
        </w:rPr>
        <w:t>etc.</w:t>
      </w:r>
    </w:p>
    <w:p w:rsidR="000B562B" w:rsidRPr="00CC78CA" w:rsidRDefault="002549A9" w:rsidP="00B669D1">
      <w:pPr>
        <w:pStyle w:val="SingleTxtG"/>
        <w:rPr>
          <w:lang w:val="fr-FR"/>
        </w:rPr>
      </w:pPr>
      <w:r w:rsidRPr="00A176EA">
        <w:rPr>
          <w:lang w:val="fr-FR"/>
        </w:rPr>
        <w:t>1</w:t>
      </w:r>
      <w:r w:rsidR="008F780E" w:rsidRPr="00A176EA">
        <w:rPr>
          <w:lang w:val="fr-FR"/>
        </w:rPr>
        <w:t>2</w:t>
      </w:r>
      <w:r w:rsidRPr="00A176EA">
        <w:rPr>
          <w:lang w:val="fr-FR"/>
        </w:rPr>
        <w:t>.</w:t>
      </w:r>
      <w:r w:rsidRPr="00A176EA">
        <w:rPr>
          <w:lang w:val="fr-FR"/>
        </w:rPr>
        <w:tab/>
      </w:r>
      <w:r w:rsidR="00401065" w:rsidRPr="00CC78CA">
        <w:rPr>
          <w:lang w:val="fr-FR"/>
        </w:rPr>
        <w:t xml:space="preserve">S’agissant en particulier de la </w:t>
      </w:r>
      <w:r w:rsidR="000B562B" w:rsidRPr="00CC78CA">
        <w:rPr>
          <w:lang w:val="fr-FR"/>
        </w:rPr>
        <w:t xml:space="preserve">torture, </w:t>
      </w:r>
      <w:r w:rsidR="00401065" w:rsidRPr="00CC78CA">
        <w:rPr>
          <w:lang w:val="fr-FR"/>
        </w:rPr>
        <w:t>l’article</w:t>
      </w:r>
      <w:r w:rsidR="000B562B" w:rsidRPr="00CC78CA">
        <w:rPr>
          <w:lang w:val="fr-FR"/>
        </w:rPr>
        <w:t xml:space="preserve"> 13 </w:t>
      </w:r>
      <w:r w:rsidR="00401065" w:rsidRPr="00CC78CA">
        <w:rPr>
          <w:lang w:val="fr-FR"/>
        </w:rPr>
        <w:t>de la</w:t>
      </w:r>
      <w:r w:rsidR="000B562B" w:rsidRPr="00CC78CA">
        <w:rPr>
          <w:lang w:val="fr-FR"/>
        </w:rPr>
        <w:t xml:space="preserve"> Constitution </w:t>
      </w:r>
      <w:r w:rsidR="00401065" w:rsidRPr="00CC78CA">
        <w:rPr>
          <w:lang w:val="fr-FR"/>
        </w:rPr>
        <w:t>est intitulé</w:t>
      </w:r>
      <w:r w:rsidR="000B562B" w:rsidRPr="00CC78CA">
        <w:rPr>
          <w:lang w:val="fr-FR"/>
        </w:rPr>
        <w:t xml:space="preserve"> Protection </w:t>
      </w:r>
      <w:r w:rsidR="00401065" w:rsidRPr="00CC78CA">
        <w:rPr>
          <w:lang w:val="fr-FR"/>
        </w:rPr>
        <w:t>contre les traitements inhumains et libellé comme suit</w:t>
      </w:r>
      <w:r w:rsidR="00FC2B97">
        <w:rPr>
          <w:lang w:val="fr-FR"/>
        </w:rPr>
        <w:t>:</w:t>
      </w:r>
    </w:p>
    <w:p w:rsidR="000B562B" w:rsidRPr="00A176EA" w:rsidRDefault="00CD0110" w:rsidP="00B669D1">
      <w:pPr>
        <w:pStyle w:val="SingleTxtG"/>
        <w:rPr>
          <w:lang w:val="fr-FR"/>
        </w:rPr>
      </w:pPr>
      <w:r>
        <w:rPr>
          <w:lang w:val="fr-FR"/>
        </w:rPr>
        <w:t>«</w:t>
      </w:r>
      <w:r w:rsidR="00401065" w:rsidRPr="00CC78CA">
        <w:rPr>
          <w:lang w:val="fr-FR"/>
        </w:rPr>
        <w:t>Nul ne peut être soumis à la torture ou à des peines et traitements inhumains ou dégradants</w:t>
      </w:r>
      <w:r>
        <w:rPr>
          <w:lang w:val="fr-FR"/>
        </w:rPr>
        <w:t>»</w:t>
      </w:r>
      <w:r w:rsidR="00401065" w:rsidRPr="00CC78CA">
        <w:rPr>
          <w:lang w:val="fr-FR"/>
        </w:rPr>
        <w:t>.</w:t>
      </w:r>
    </w:p>
    <w:p w:rsidR="000B562B" w:rsidRPr="00CC78CA" w:rsidRDefault="002549A9" w:rsidP="00B669D1">
      <w:pPr>
        <w:pStyle w:val="SingleTxtG"/>
        <w:rPr>
          <w:lang w:val="fr-FR"/>
        </w:rPr>
      </w:pPr>
      <w:r w:rsidRPr="00A176EA">
        <w:rPr>
          <w:lang w:val="fr-FR"/>
        </w:rPr>
        <w:t>13.</w:t>
      </w:r>
      <w:r w:rsidRPr="00A176EA">
        <w:rPr>
          <w:lang w:val="fr-FR"/>
        </w:rPr>
        <w:tab/>
      </w:r>
      <w:r w:rsidR="00401065" w:rsidRPr="00CC78CA">
        <w:rPr>
          <w:lang w:val="fr-FR"/>
        </w:rPr>
        <w:t>En outre,</w:t>
      </w:r>
      <w:r w:rsidR="000B562B" w:rsidRPr="00CC78CA">
        <w:rPr>
          <w:lang w:val="fr-FR"/>
        </w:rPr>
        <w:t xml:space="preserve"> </w:t>
      </w:r>
      <w:r w:rsidR="00401065" w:rsidRPr="00CC78CA">
        <w:rPr>
          <w:lang w:val="fr-FR"/>
        </w:rPr>
        <w:t>l’article</w:t>
      </w:r>
      <w:r w:rsidR="000B562B" w:rsidRPr="00CC78CA">
        <w:rPr>
          <w:lang w:val="fr-FR"/>
        </w:rPr>
        <w:t xml:space="preserve"> 17 </w:t>
      </w:r>
      <w:r w:rsidR="00401065" w:rsidRPr="00CC78CA">
        <w:rPr>
          <w:lang w:val="fr-FR"/>
        </w:rPr>
        <w:t>de la</w:t>
      </w:r>
      <w:r w:rsidR="000B562B" w:rsidRPr="00CC78CA">
        <w:rPr>
          <w:lang w:val="fr-FR"/>
        </w:rPr>
        <w:t xml:space="preserve"> Constitution </w:t>
      </w:r>
      <w:r w:rsidR="00401065" w:rsidRPr="00CC78CA">
        <w:rPr>
          <w:lang w:val="fr-FR"/>
        </w:rPr>
        <w:t>est intitulé</w:t>
      </w:r>
      <w:r w:rsidR="000B562B" w:rsidRPr="00CC78CA">
        <w:rPr>
          <w:b/>
          <w:lang w:val="fr-FR"/>
        </w:rPr>
        <w:t xml:space="preserve"> </w:t>
      </w:r>
      <w:r w:rsidR="000B562B" w:rsidRPr="00CC78CA">
        <w:rPr>
          <w:lang w:val="fr-FR"/>
        </w:rPr>
        <w:t xml:space="preserve">Protection </w:t>
      </w:r>
      <w:r w:rsidR="00401065" w:rsidRPr="00CC78CA">
        <w:rPr>
          <w:lang w:val="fr-FR"/>
        </w:rPr>
        <w:t>du droit des détenus à un traitement humain</w:t>
      </w:r>
      <w:r w:rsidR="000B562B" w:rsidRPr="00CC78CA">
        <w:rPr>
          <w:lang w:val="fr-FR"/>
        </w:rPr>
        <w:t xml:space="preserve"> </w:t>
      </w:r>
      <w:r w:rsidR="00401065" w:rsidRPr="00CC78CA">
        <w:rPr>
          <w:lang w:val="fr-FR"/>
        </w:rPr>
        <w:t>et stipule que tous les détenus ont le droit d’être traités</w:t>
      </w:r>
      <w:r w:rsidR="000B562B" w:rsidRPr="00CC78CA">
        <w:rPr>
          <w:lang w:val="fr-FR"/>
        </w:rPr>
        <w:t xml:space="preserve"> </w:t>
      </w:r>
      <w:r w:rsidR="00401065" w:rsidRPr="00CC78CA">
        <w:rPr>
          <w:lang w:val="fr-FR"/>
        </w:rPr>
        <w:t>avec humanité</w:t>
      </w:r>
      <w:r w:rsidR="000B562B" w:rsidRPr="00CC78CA">
        <w:rPr>
          <w:lang w:val="fr-FR"/>
        </w:rPr>
        <w:t xml:space="preserve">. </w:t>
      </w:r>
      <w:r w:rsidR="00401065" w:rsidRPr="00CC78CA">
        <w:rPr>
          <w:lang w:val="fr-FR"/>
        </w:rPr>
        <w:t xml:space="preserve">D’une façon générale, le droit à la vie est protégé à l’article </w:t>
      </w:r>
      <w:r w:rsidR="000B562B" w:rsidRPr="00CC78CA">
        <w:rPr>
          <w:lang w:val="fr-FR"/>
        </w:rPr>
        <w:t>11.</w:t>
      </w:r>
    </w:p>
    <w:p w:rsidR="000B562B" w:rsidRPr="00A176EA" w:rsidRDefault="00857BEF" w:rsidP="00B669D1">
      <w:pPr>
        <w:pStyle w:val="H23G"/>
        <w:rPr>
          <w:lang w:val="fr-FR"/>
        </w:rPr>
      </w:pPr>
      <w:r w:rsidRPr="00CC78CA">
        <w:rPr>
          <w:lang w:val="fr-FR"/>
        </w:rPr>
        <w:t>Comité des droits de l’homme</w:t>
      </w:r>
      <w:r w:rsidR="000B562B" w:rsidRPr="00A176EA">
        <w:rPr>
          <w:lang w:val="fr-FR"/>
        </w:rPr>
        <w:t xml:space="preserve"> </w:t>
      </w:r>
    </w:p>
    <w:p w:rsidR="000B562B" w:rsidRPr="00A176EA" w:rsidRDefault="008F780E" w:rsidP="00B669D1">
      <w:pPr>
        <w:pStyle w:val="SingleTxtG"/>
        <w:rPr>
          <w:lang w:val="fr-FR"/>
        </w:rPr>
      </w:pPr>
      <w:r w:rsidRPr="00A176EA">
        <w:rPr>
          <w:lang w:val="fr-FR"/>
        </w:rPr>
        <w:t>14</w:t>
      </w:r>
      <w:r w:rsidR="002549A9" w:rsidRPr="00A176EA">
        <w:rPr>
          <w:lang w:val="fr-FR"/>
        </w:rPr>
        <w:t>.</w:t>
      </w:r>
      <w:r w:rsidR="002549A9" w:rsidRPr="00A176EA">
        <w:rPr>
          <w:lang w:val="fr-FR"/>
        </w:rPr>
        <w:tab/>
      </w:r>
      <w:r w:rsidR="00CC78CA">
        <w:rPr>
          <w:lang w:val="fr-FR"/>
        </w:rPr>
        <w:t xml:space="preserve">Créé voici une dizaine d’années par le Conseil exécutif de l’époque, le Comité des droits de l’homme est toujours très actif au sein </w:t>
      </w:r>
      <w:r w:rsidR="00D65223">
        <w:rPr>
          <w:lang w:val="fr-FR"/>
        </w:rPr>
        <w:t xml:space="preserve">du Cabinet </w:t>
      </w:r>
      <w:r w:rsidR="000B43D6">
        <w:rPr>
          <w:lang w:val="fr-FR"/>
        </w:rPr>
        <w:t>du Procureur</w:t>
      </w:r>
      <w:r w:rsidR="00D65223">
        <w:rPr>
          <w:lang w:val="fr-FR"/>
        </w:rPr>
        <w:t xml:space="preserve"> </w:t>
      </w:r>
      <w:r w:rsidR="000B43D6">
        <w:rPr>
          <w:lang w:val="fr-FR"/>
        </w:rPr>
        <w:t>général</w:t>
      </w:r>
      <w:r w:rsidR="00D65223">
        <w:rPr>
          <w:lang w:val="fr-FR"/>
        </w:rPr>
        <w:t xml:space="preserve">, surtout depuis l’adoption de la nouvelle Constitution. Le Cabinet </w:t>
      </w:r>
      <w:r w:rsidR="00057758">
        <w:rPr>
          <w:lang w:val="fr-FR"/>
        </w:rPr>
        <w:t xml:space="preserve">a déjà élaboré un projet de loi type pour la création d’une Commission des droits de l’homme, organisme prévu par la Constitution pour, entre autres, recevoir et examiner les plaintes pour violation des droits et libertés individuels ou </w:t>
      </w:r>
      <w:r w:rsidR="00443310">
        <w:rPr>
          <w:lang w:val="fr-FR"/>
        </w:rPr>
        <w:t xml:space="preserve">pour </w:t>
      </w:r>
      <w:r w:rsidR="00057758">
        <w:rPr>
          <w:lang w:val="fr-FR"/>
        </w:rPr>
        <w:t xml:space="preserve">atteinte à ces droits et, d’une façon plus générale, </w:t>
      </w:r>
      <w:r w:rsidR="00380B56">
        <w:rPr>
          <w:lang w:val="fr-FR"/>
        </w:rPr>
        <w:t xml:space="preserve">superviser les activités liées aux droits de l’homme. Le Conseil des ministres a déjà approuvé le projet de loi et autorisé le Cabinet à tenir des consultations civiles à ce sujet avant qu’il ne soit déposé à la Chambre d’assemblée. </w:t>
      </w:r>
      <w:r w:rsidR="004D56D1" w:rsidRPr="00380B56">
        <w:rPr>
          <w:lang w:val="fr-FR"/>
        </w:rPr>
        <w:t>Les</w:t>
      </w:r>
      <w:r w:rsidR="000B562B" w:rsidRPr="00380B56">
        <w:rPr>
          <w:lang w:val="fr-FR"/>
        </w:rPr>
        <w:t xml:space="preserve"> </w:t>
      </w:r>
      <w:r w:rsidR="004D56D1" w:rsidRPr="00380B56">
        <w:rPr>
          <w:lang w:val="fr-FR"/>
        </w:rPr>
        <w:t>consultations civiles</w:t>
      </w:r>
      <w:r w:rsidR="000B562B" w:rsidRPr="00380B56">
        <w:rPr>
          <w:lang w:val="fr-FR"/>
        </w:rPr>
        <w:t xml:space="preserve"> </w:t>
      </w:r>
      <w:r w:rsidR="004D56D1" w:rsidRPr="00380B56">
        <w:rPr>
          <w:lang w:val="fr-FR"/>
        </w:rPr>
        <w:t>se sont tenues</w:t>
      </w:r>
      <w:r w:rsidR="000B562B" w:rsidRPr="00380B56">
        <w:rPr>
          <w:lang w:val="fr-FR"/>
        </w:rPr>
        <w:t xml:space="preserve"> </w:t>
      </w:r>
      <w:r w:rsidR="004D56D1" w:rsidRPr="00380B56">
        <w:rPr>
          <w:lang w:val="fr-FR"/>
        </w:rPr>
        <w:t>en janvier</w:t>
      </w:r>
      <w:r w:rsidR="000B562B" w:rsidRPr="00380B56">
        <w:rPr>
          <w:lang w:val="fr-FR"/>
        </w:rPr>
        <w:t xml:space="preserve"> 2010 (</w:t>
      </w:r>
      <w:r w:rsidR="00443310" w:rsidRPr="00380B56">
        <w:rPr>
          <w:lang w:val="fr-FR"/>
        </w:rPr>
        <w:t xml:space="preserve">le 12 janvier </w:t>
      </w:r>
      <w:r w:rsidR="004D56D1" w:rsidRPr="00380B56">
        <w:rPr>
          <w:lang w:val="fr-FR"/>
        </w:rPr>
        <w:t xml:space="preserve">à </w:t>
      </w:r>
      <w:r w:rsidR="000B562B" w:rsidRPr="00380B56">
        <w:rPr>
          <w:lang w:val="fr-FR"/>
        </w:rPr>
        <w:t>Jost Van Dyke</w:t>
      </w:r>
      <w:r w:rsidR="004D56D1" w:rsidRPr="00380B56">
        <w:rPr>
          <w:lang w:val="fr-FR"/>
        </w:rPr>
        <w:t>,</w:t>
      </w:r>
      <w:r w:rsidR="000B562B" w:rsidRPr="00380B56">
        <w:rPr>
          <w:lang w:val="fr-FR"/>
        </w:rPr>
        <w:t xml:space="preserve"> </w:t>
      </w:r>
      <w:r w:rsidR="004D56D1" w:rsidRPr="00380B56">
        <w:rPr>
          <w:lang w:val="fr-FR"/>
        </w:rPr>
        <w:t xml:space="preserve">le </w:t>
      </w:r>
      <w:r w:rsidR="000B562B" w:rsidRPr="00380B56">
        <w:rPr>
          <w:lang w:val="fr-FR"/>
        </w:rPr>
        <w:t xml:space="preserve">13 </w:t>
      </w:r>
      <w:r w:rsidR="004D56D1" w:rsidRPr="00380B56">
        <w:rPr>
          <w:lang w:val="fr-FR"/>
        </w:rPr>
        <w:t>janvier</w:t>
      </w:r>
      <w:r w:rsidR="000B562B" w:rsidRPr="00380B56">
        <w:rPr>
          <w:lang w:val="fr-FR"/>
        </w:rPr>
        <w:t xml:space="preserve"> </w:t>
      </w:r>
      <w:r w:rsidR="00443310" w:rsidRPr="00380B56">
        <w:rPr>
          <w:lang w:val="fr-FR"/>
        </w:rPr>
        <w:t>à Virgin Gorda</w:t>
      </w:r>
      <w:r w:rsidR="004D56D1" w:rsidRPr="00380B56">
        <w:rPr>
          <w:lang w:val="fr-FR"/>
        </w:rPr>
        <w:t>,</w:t>
      </w:r>
      <w:r w:rsidR="000B562B" w:rsidRPr="00380B56">
        <w:rPr>
          <w:lang w:val="fr-FR"/>
        </w:rPr>
        <w:t xml:space="preserve"> </w:t>
      </w:r>
      <w:r w:rsidR="004D56D1" w:rsidRPr="00380B56">
        <w:rPr>
          <w:lang w:val="fr-FR"/>
        </w:rPr>
        <w:t>le</w:t>
      </w:r>
      <w:r w:rsidR="000B562B" w:rsidRPr="00380B56">
        <w:rPr>
          <w:lang w:val="fr-FR"/>
        </w:rPr>
        <w:t xml:space="preserve"> 19 </w:t>
      </w:r>
      <w:r w:rsidR="004D56D1" w:rsidRPr="00380B56">
        <w:rPr>
          <w:lang w:val="fr-FR"/>
        </w:rPr>
        <w:t xml:space="preserve">janvier </w:t>
      </w:r>
      <w:r w:rsidR="00443310" w:rsidRPr="00380B56">
        <w:rPr>
          <w:lang w:val="fr-FR"/>
        </w:rPr>
        <w:t xml:space="preserve">à Anegada </w:t>
      </w:r>
      <w:r w:rsidR="004D56D1" w:rsidRPr="00380B56">
        <w:rPr>
          <w:lang w:val="fr-FR"/>
        </w:rPr>
        <w:t xml:space="preserve">et </w:t>
      </w:r>
      <w:r w:rsidR="00443310" w:rsidRPr="00380B56">
        <w:rPr>
          <w:lang w:val="fr-FR"/>
        </w:rPr>
        <w:t xml:space="preserve">le 21 janvier </w:t>
      </w:r>
      <w:r w:rsidR="004D56D1" w:rsidRPr="00380B56">
        <w:rPr>
          <w:lang w:val="fr-FR"/>
        </w:rPr>
        <w:t xml:space="preserve">à </w:t>
      </w:r>
      <w:r w:rsidR="000B562B" w:rsidRPr="00380B56">
        <w:rPr>
          <w:lang w:val="fr-FR"/>
        </w:rPr>
        <w:t>Tortola).</w:t>
      </w:r>
      <w:r w:rsidR="000B562B" w:rsidRPr="00A176EA">
        <w:rPr>
          <w:lang w:val="fr-FR"/>
        </w:rPr>
        <w:t xml:space="preserve"> </w:t>
      </w:r>
      <w:r w:rsidR="00380B56">
        <w:rPr>
          <w:lang w:val="fr-FR"/>
        </w:rPr>
        <w:t>Si elle est adoptée, la loi établira expressément le droit de la Commission des droits de l’homme d’inspecter tous les lieux de détention et de veiller à ce que les personnes détenues soient protég</w:t>
      </w:r>
      <w:r w:rsidR="005C20AE">
        <w:rPr>
          <w:lang w:val="fr-FR"/>
        </w:rPr>
        <w:t>ées</w:t>
      </w:r>
      <w:r w:rsidR="00380B56">
        <w:rPr>
          <w:lang w:val="fr-FR"/>
        </w:rPr>
        <w:t xml:space="preserve"> contre la torture et autres peines et traitements cruels, inhumains ou dégradants</w:t>
      </w:r>
      <w:r w:rsidR="000B562B" w:rsidRPr="00A176EA">
        <w:rPr>
          <w:lang w:val="fr-FR"/>
        </w:rPr>
        <w:t>.</w:t>
      </w:r>
    </w:p>
    <w:p w:rsidR="000B562B" w:rsidRPr="00A176EA" w:rsidRDefault="002549A9" w:rsidP="00B669D1">
      <w:pPr>
        <w:pStyle w:val="SingleTxtG"/>
        <w:rPr>
          <w:lang w:val="fr-FR"/>
        </w:rPr>
      </w:pPr>
      <w:r w:rsidRPr="00A176EA">
        <w:rPr>
          <w:lang w:val="fr-FR"/>
        </w:rPr>
        <w:t>1</w:t>
      </w:r>
      <w:r w:rsidR="008F780E" w:rsidRPr="00A176EA">
        <w:rPr>
          <w:lang w:val="fr-FR"/>
        </w:rPr>
        <w:t>5</w:t>
      </w:r>
      <w:r w:rsidRPr="00A176EA">
        <w:rPr>
          <w:lang w:val="fr-FR"/>
        </w:rPr>
        <w:t>.</w:t>
      </w:r>
      <w:r w:rsidRPr="00A176EA">
        <w:rPr>
          <w:lang w:val="fr-FR"/>
        </w:rPr>
        <w:tab/>
      </w:r>
      <w:r w:rsidR="00380B56">
        <w:rPr>
          <w:lang w:val="fr-FR"/>
        </w:rPr>
        <w:t>E</w:t>
      </w:r>
      <w:r w:rsidR="000B562B" w:rsidRPr="00A176EA">
        <w:rPr>
          <w:lang w:val="fr-FR"/>
        </w:rPr>
        <w:t xml:space="preserve">n 2009, </w:t>
      </w:r>
      <w:r w:rsidR="00380B56">
        <w:rPr>
          <w:lang w:val="fr-FR"/>
        </w:rPr>
        <w:t xml:space="preserve">le Cabinet du Procureur général </w:t>
      </w:r>
      <w:r w:rsidR="00544AAC">
        <w:rPr>
          <w:lang w:val="fr-FR"/>
        </w:rPr>
        <w:t xml:space="preserve">a également collaboré avec la Fondation du Commonwealth pour </w:t>
      </w:r>
      <w:r w:rsidR="001C7885">
        <w:rPr>
          <w:lang w:val="fr-FR"/>
        </w:rPr>
        <w:t xml:space="preserve">entreprendre sa première campagne de sensibilisation </w:t>
      </w:r>
      <w:r w:rsidR="00B01B94">
        <w:rPr>
          <w:lang w:val="fr-FR"/>
        </w:rPr>
        <w:t>au renforcement des capacités dans les îles Vierges. L</w:t>
      </w:r>
      <w:r w:rsidR="008A272E">
        <w:rPr>
          <w:lang w:val="fr-FR"/>
        </w:rPr>
        <w:t>es</w:t>
      </w:r>
      <w:r w:rsidR="00B01B94">
        <w:rPr>
          <w:lang w:val="fr-FR"/>
        </w:rPr>
        <w:t xml:space="preserve"> </w:t>
      </w:r>
      <w:r w:rsidR="008A272E">
        <w:rPr>
          <w:lang w:val="fr-FR"/>
        </w:rPr>
        <w:t xml:space="preserve">programmes de </w:t>
      </w:r>
      <w:r w:rsidR="00B01B94">
        <w:rPr>
          <w:lang w:val="fr-FR"/>
        </w:rPr>
        <w:t xml:space="preserve">sensibilisation aux droits de l’homme et de renforcement des capacités à l’intention des fonctionnaires, des résidents des principales îles et de certaines ONG </w:t>
      </w:r>
      <w:r w:rsidR="008A272E">
        <w:rPr>
          <w:lang w:val="fr-FR"/>
        </w:rPr>
        <w:t xml:space="preserve">seront mis en œuvre fin 2010 par le Cabinet du Procureur général et la Fondation du Commonwealth. </w:t>
      </w:r>
      <w:r w:rsidR="00FE45DA">
        <w:rPr>
          <w:lang w:val="fr-FR"/>
        </w:rPr>
        <w:t>Les responsables de l’application des lois devraient être nombreux à y participer</w:t>
      </w:r>
      <w:r w:rsidR="000B562B" w:rsidRPr="00A176EA">
        <w:rPr>
          <w:lang w:val="fr-FR"/>
        </w:rPr>
        <w:t>.</w:t>
      </w:r>
    </w:p>
    <w:p w:rsidR="000B562B" w:rsidRPr="00A176EA" w:rsidRDefault="008F780E" w:rsidP="00FE45DA">
      <w:pPr>
        <w:pStyle w:val="SingleTxtG"/>
        <w:rPr>
          <w:lang w:val="fr-FR"/>
        </w:rPr>
      </w:pPr>
      <w:r w:rsidRPr="00A176EA">
        <w:rPr>
          <w:lang w:val="fr-FR"/>
        </w:rPr>
        <w:t>16</w:t>
      </w:r>
      <w:r w:rsidR="002549A9" w:rsidRPr="00A176EA">
        <w:rPr>
          <w:lang w:val="fr-FR"/>
        </w:rPr>
        <w:t>.</w:t>
      </w:r>
      <w:r w:rsidR="002549A9" w:rsidRPr="00A176EA">
        <w:rPr>
          <w:lang w:val="fr-FR"/>
        </w:rPr>
        <w:tab/>
      </w:r>
      <w:r w:rsidR="00FE45DA">
        <w:rPr>
          <w:lang w:val="fr-FR"/>
        </w:rPr>
        <w:t>Il convient de préciser que, au 31 juillet 2010, le Comité des droits de l’homme n’avait connaissance d’aucune violation récente à la Convention contre la torture</w:t>
      </w:r>
      <w:r w:rsidR="000B562B" w:rsidRPr="00A176EA">
        <w:rPr>
          <w:lang w:val="fr-FR"/>
        </w:rPr>
        <w:t>.</w:t>
      </w:r>
    </w:p>
    <w:p w:rsidR="000B562B" w:rsidRPr="00FE45DA" w:rsidRDefault="00AD7ECE" w:rsidP="00B669D1">
      <w:pPr>
        <w:pStyle w:val="H23G"/>
        <w:rPr>
          <w:lang w:val="fr-FR"/>
        </w:rPr>
      </w:pPr>
      <w:r w:rsidRPr="00FE45DA">
        <w:rPr>
          <w:lang w:val="fr-FR"/>
        </w:rPr>
        <w:t>Questions diverses</w:t>
      </w:r>
    </w:p>
    <w:p w:rsidR="000B562B" w:rsidRPr="00FE45DA" w:rsidRDefault="00C247BA" w:rsidP="00B669D1">
      <w:pPr>
        <w:pStyle w:val="H23G"/>
        <w:rPr>
          <w:lang w:val="fr-FR"/>
        </w:rPr>
      </w:pPr>
      <w:r w:rsidRPr="00FE45DA">
        <w:rPr>
          <w:lang w:val="fr-FR"/>
        </w:rPr>
        <w:t>Détention</w:t>
      </w:r>
    </w:p>
    <w:p w:rsidR="000B562B" w:rsidRPr="00A176EA" w:rsidRDefault="008F780E" w:rsidP="00B669D1">
      <w:pPr>
        <w:pStyle w:val="SingleTxtG"/>
        <w:rPr>
          <w:lang w:val="fr-FR"/>
        </w:rPr>
      </w:pPr>
      <w:r w:rsidRPr="00FE45DA">
        <w:rPr>
          <w:lang w:val="fr-FR"/>
        </w:rPr>
        <w:t>17</w:t>
      </w:r>
      <w:r w:rsidR="002549A9" w:rsidRPr="00FE45DA">
        <w:rPr>
          <w:lang w:val="fr-FR"/>
        </w:rPr>
        <w:t>.</w:t>
      </w:r>
      <w:r w:rsidR="002549A9" w:rsidRPr="00FE45DA">
        <w:rPr>
          <w:lang w:val="fr-FR"/>
        </w:rPr>
        <w:tab/>
      </w:r>
      <w:r w:rsidR="00F15A27" w:rsidRPr="00FE45DA">
        <w:rPr>
          <w:lang w:val="fr-FR"/>
        </w:rPr>
        <w:t>Les</w:t>
      </w:r>
      <w:r w:rsidR="000B562B" w:rsidRPr="00FE45DA">
        <w:rPr>
          <w:lang w:val="fr-FR"/>
        </w:rPr>
        <w:t xml:space="preserve"> </w:t>
      </w:r>
      <w:r w:rsidR="00F15A27" w:rsidRPr="00FE45DA">
        <w:rPr>
          <w:lang w:val="fr-FR"/>
        </w:rPr>
        <w:t>Règles pénitentiaires de 1999</w:t>
      </w:r>
      <w:r w:rsidR="00F15A27" w:rsidRPr="00A176EA">
        <w:rPr>
          <w:lang w:val="fr-FR"/>
        </w:rPr>
        <w:t xml:space="preserve"> </w:t>
      </w:r>
      <w:r w:rsidR="00FE45DA">
        <w:rPr>
          <w:lang w:val="fr-FR"/>
        </w:rPr>
        <w:t xml:space="preserve">sont en vigueur depuis une dizaine d’années et le Gouvernement a autorisé </w:t>
      </w:r>
      <w:r w:rsidR="00443310">
        <w:rPr>
          <w:lang w:val="fr-FR"/>
        </w:rPr>
        <w:t>que leur réexamen</w:t>
      </w:r>
      <w:r w:rsidR="00FE45DA">
        <w:rPr>
          <w:lang w:val="fr-FR"/>
        </w:rPr>
        <w:t xml:space="preserve"> </w:t>
      </w:r>
      <w:r w:rsidR="00443310">
        <w:rPr>
          <w:lang w:val="fr-FR"/>
        </w:rPr>
        <w:t>débute</w:t>
      </w:r>
      <w:r w:rsidR="00FE45DA">
        <w:rPr>
          <w:lang w:val="fr-FR"/>
        </w:rPr>
        <w:t xml:space="preserve"> fin 2010. Le Gouvernement a par ailleurs commandé la construction d’un nouveau centre de rétention pour </w:t>
      </w:r>
      <w:r w:rsidR="00AA6FE4">
        <w:rPr>
          <w:lang w:val="fr-FR"/>
        </w:rPr>
        <w:t>migrants</w:t>
      </w:r>
      <w:r w:rsidR="00FE45DA">
        <w:rPr>
          <w:lang w:val="fr-FR"/>
        </w:rPr>
        <w:t xml:space="preserve"> en 2008 afin de séparer les personnes en rétention temporaire des personnes détenues</w:t>
      </w:r>
      <w:r w:rsidR="000B562B" w:rsidRPr="00A176EA">
        <w:rPr>
          <w:lang w:val="fr-FR"/>
        </w:rPr>
        <w:t>.</w:t>
      </w:r>
    </w:p>
    <w:p w:rsidR="000B562B" w:rsidRPr="00A176EA" w:rsidRDefault="00C247BA" w:rsidP="00B669D1">
      <w:pPr>
        <w:pStyle w:val="H23G"/>
        <w:rPr>
          <w:lang w:val="fr-FR"/>
        </w:rPr>
      </w:pPr>
      <w:r w:rsidRPr="00FE45DA">
        <w:rPr>
          <w:lang w:val="fr-FR"/>
        </w:rPr>
        <w:t>Libération conditionnelle</w:t>
      </w:r>
    </w:p>
    <w:p w:rsidR="000B562B" w:rsidRPr="00A176EA" w:rsidRDefault="008F780E" w:rsidP="00CE6AB7">
      <w:pPr>
        <w:pStyle w:val="SingleTxtG"/>
        <w:rPr>
          <w:lang w:val="fr-FR"/>
        </w:rPr>
      </w:pPr>
      <w:r w:rsidRPr="00A176EA">
        <w:rPr>
          <w:lang w:val="fr-FR"/>
        </w:rPr>
        <w:t>18</w:t>
      </w:r>
      <w:r w:rsidR="002549A9" w:rsidRPr="00A176EA">
        <w:rPr>
          <w:lang w:val="fr-FR"/>
        </w:rPr>
        <w:t>.</w:t>
      </w:r>
      <w:r w:rsidR="002549A9" w:rsidRPr="00A176EA">
        <w:rPr>
          <w:lang w:val="fr-FR"/>
        </w:rPr>
        <w:tab/>
      </w:r>
      <w:r w:rsidR="00FE45DA">
        <w:rPr>
          <w:lang w:val="fr-FR"/>
        </w:rPr>
        <w:t>E</w:t>
      </w:r>
      <w:r w:rsidR="000B562B" w:rsidRPr="00A176EA">
        <w:rPr>
          <w:lang w:val="fr-FR"/>
        </w:rPr>
        <w:t xml:space="preserve">n 2009, </w:t>
      </w:r>
      <w:r w:rsidR="00745B56">
        <w:rPr>
          <w:lang w:val="fr-FR"/>
        </w:rPr>
        <w:t>les îles Vierges ont adopté leur première</w:t>
      </w:r>
      <w:r w:rsidR="00FE45DA">
        <w:rPr>
          <w:lang w:val="fr-FR"/>
        </w:rPr>
        <w:t xml:space="preserve"> loi sur la libération conditionnelle </w:t>
      </w:r>
      <w:r w:rsidR="00745B56">
        <w:rPr>
          <w:lang w:val="fr-FR"/>
        </w:rPr>
        <w:t>qui, entrée en vigueur, est appliquée par les tribunaux. Un projet de création d’un</w:t>
      </w:r>
      <w:r w:rsidR="00CE6AB7">
        <w:rPr>
          <w:lang w:val="fr-FR"/>
        </w:rPr>
        <w:t xml:space="preserve"> Comité des libérations conditionnelles</w:t>
      </w:r>
      <w:r w:rsidR="00745B56">
        <w:rPr>
          <w:lang w:val="fr-FR"/>
        </w:rPr>
        <w:t xml:space="preserve"> </w:t>
      </w:r>
      <w:r w:rsidR="00CE6AB7">
        <w:rPr>
          <w:lang w:val="fr-FR"/>
        </w:rPr>
        <w:t>est en cours d’élaboration</w:t>
      </w:r>
      <w:r w:rsidR="000B562B" w:rsidRPr="00A176EA">
        <w:rPr>
          <w:lang w:val="fr-FR"/>
        </w:rPr>
        <w:t>.</w:t>
      </w:r>
    </w:p>
    <w:p w:rsidR="000B562B" w:rsidRPr="00A176EA" w:rsidRDefault="00B5478C" w:rsidP="00B669D1">
      <w:pPr>
        <w:pStyle w:val="H23G"/>
        <w:rPr>
          <w:lang w:val="fr-FR"/>
        </w:rPr>
      </w:pPr>
      <w:r>
        <w:rPr>
          <w:lang w:val="fr-FR"/>
        </w:rPr>
        <w:t>Aide juridictionnelle</w:t>
      </w:r>
    </w:p>
    <w:p w:rsidR="000B562B" w:rsidRPr="00A176EA" w:rsidRDefault="002549A9" w:rsidP="00773B50">
      <w:pPr>
        <w:pStyle w:val="SingleTxtG"/>
        <w:rPr>
          <w:lang w:val="fr-FR"/>
        </w:rPr>
      </w:pPr>
      <w:r w:rsidRPr="00A176EA">
        <w:rPr>
          <w:lang w:val="fr-FR"/>
        </w:rPr>
        <w:t>1</w:t>
      </w:r>
      <w:r w:rsidR="008F780E" w:rsidRPr="00A176EA">
        <w:rPr>
          <w:lang w:val="fr-FR"/>
        </w:rPr>
        <w:t>9</w:t>
      </w:r>
      <w:r w:rsidRPr="00A176EA">
        <w:rPr>
          <w:lang w:val="fr-FR"/>
        </w:rPr>
        <w:t>.</w:t>
      </w:r>
      <w:r w:rsidRPr="00A176EA">
        <w:rPr>
          <w:lang w:val="fr-FR"/>
        </w:rPr>
        <w:tab/>
      </w:r>
      <w:r w:rsidR="00C875EB">
        <w:rPr>
          <w:lang w:val="fr-FR"/>
        </w:rPr>
        <w:t>Le système d’aide juridictionnelle</w:t>
      </w:r>
      <w:r w:rsidR="00773B50">
        <w:rPr>
          <w:lang w:val="fr-FR"/>
        </w:rPr>
        <w:t xml:space="preserve"> en collaboration avec le barreau des îles Vierges britanniques continue de fonctionner. Il est prévu de l’améliorer</w:t>
      </w:r>
      <w:r w:rsidR="000B562B" w:rsidRPr="00A176EA">
        <w:rPr>
          <w:lang w:val="fr-FR"/>
        </w:rPr>
        <w:t>.</w:t>
      </w:r>
    </w:p>
    <w:p w:rsidR="000B562B" w:rsidRPr="00773B50" w:rsidRDefault="00B669D1" w:rsidP="00FC2B97">
      <w:pPr>
        <w:pStyle w:val="HChG"/>
      </w:pPr>
      <w:bookmarkStart w:id="98" w:name="_Toc299724789"/>
      <w:r w:rsidRPr="00A176EA">
        <w:tab/>
      </w:r>
      <w:r w:rsidR="008D1EC1" w:rsidRPr="00A176EA">
        <w:t>D.</w:t>
      </w:r>
      <w:r w:rsidRPr="00A176EA">
        <w:tab/>
      </w:r>
      <w:bookmarkEnd w:id="98"/>
      <w:r w:rsidR="00C247BA" w:rsidRPr="00773B50">
        <w:t>Îles Caïmanes</w:t>
      </w:r>
    </w:p>
    <w:p w:rsidR="000B562B" w:rsidRPr="00773B50" w:rsidRDefault="0004046C" w:rsidP="001C135E">
      <w:pPr>
        <w:pStyle w:val="H1G"/>
      </w:pPr>
      <w:r>
        <w:tab/>
      </w:r>
      <w:r>
        <w:tab/>
      </w:r>
      <w:r w:rsidR="000B562B" w:rsidRPr="00773B50">
        <w:t>Article 2</w:t>
      </w:r>
    </w:p>
    <w:p w:rsidR="000B562B" w:rsidRPr="00A176EA" w:rsidRDefault="008F780E" w:rsidP="00B669D1">
      <w:pPr>
        <w:pStyle w:val="SingleTxtG"/>
        <w:rPr>
          <w:lang w:val="fr-FR"/>
        </w:rPr>
      </w:pPr>
      <w:r w:rsidRPr="00773B50">
        <w:rPr>
          <w:lang w:val="fr-FR"/>
        </w:rPr>
        <w:t>20</w:t>
      </w:r>
      <w:r w:rsidR="002549A9" w:rsidRPr="00773B50">
        <w:rPr>
          <w:lang w:val="fr-FR"/>
        </w:rPr>
        <w:t>.</w:t>
      </w:r>
      <w:r w:rsidR="002549A9" w:rsidRPr="00773B50">
        <w:rPr>
          <w:lang w:val="fr-FR"/>
        </w:rPr>
        <w:tab/>
      </w:r>
      <w:r w:rsidR="00C247BA" w:rsidRPr="00773B50">
        <w:rPr>
          <w:lang w:val="fr-FR"/>
        </w:rPr>
        <w:t>La Police</w:t>
      </w:r>
      <w:r w:rsidR="000B562B" w:rsidRPr="00773B50">
        <w:rPr>
          <w:lang w:val="fr-FR"/>
        </w:rPr>
        <w:t xml:space="preserve"> </w:t>
      </w:r>
      <w:r w:rsidR="00C247BA" w:rsidRPr="00773B50">
        <w:rPr>
          <w:lang w:val="fr-FR"/>
        </w:rPr>
        <w:t>r</w:t>
      </w:r>
      <w:r w:rsidR="000B562B" w:rsidRPr="00773B50">
        <w:rPr>
          <w:lang w:val="fr-FR"/>
        </w:rPr>
        <w:t>oyal</w:t>
      </w:r>
      <w:r w:rsidR="00C247BA" w:rsidRPr="00773B50">
        <w:rPr>
          <w:lang w:val="fr-FR"/>
        </w:rPr>
        <w:t>e</w:t>
      </w:r>
      <w:r w:rsidR="000B562B" w:rsidRPr="00773B50">
        <w:rPr>
          <w:lang w:val="fr-FR"/>
        </w:rPr>
        <w:t xml:space="preserve"> </w:t>
      </w:r>
      <w:r w:rsidR="00C247BA" w:rsidRPr="00773B50">
        <w:rPr>
          <w:lang w:val="fr-FR"/>
        </w:rPr>
        <w:t>des îles Caïmanes</w:t>
      </w:r>
      <w:r w:rsidR="000B562B" w:rsidRPr="00A176EA">
        <w:rPr>
          <w:lang w:val="fr-FR"/>
        </w:rPr>
        <w:t xml:space="preserve"> </w:t>
      </w:r>
      <w:r w:rsidR="00B45071">
        <w:rPr>
          <w:lang w:val="fr-FR"/>
        </w:rPr>
        <w:t>a pris de</w:t>
      </w:r>
      <w:r w:rsidR="00773B50">
        <w:rPr>
          <w:lang w:val="fr-FR"/>
        </w:rPr>
        <w:t>s</w:t>
      </w:r>
      <w:r w:rsidR="00B45071">
        <w:rPr>
          <w:lang w:val="fr-FR"/>
        </w:rPr>
        <w:t xml:space="preserve"> </w:t>
      </w:r>
      <w:r w:rsidR="00773B50">
        <w:rPr>
          <w:lang w:val="fr-FR"/>
        </w:rPr>
        <w:t xml:space="preserve">mesures pour </w:t>
      </w:r>
      <w:r w:rsidR="00F112B4">
        <w:rPr>
          <w:lang w:val="fr-FR"/>
        </w:rPr>
        <w:t>respecter</w:t>
      </w:r>
      <w:r w:rsidR="00B45071">
        <w:rPr>
          <w:lang w:val="fr-FR"/>
        </w:rPr>
        <w:t xml:space="preserve"> l’esprit des conventions relatives aux droits de l’homme, alors même que les tribunaux ne sont pas tenus actuellement de les appliquer. Par exemple, les dispositions des </w:t>
      </w:r>
      <w:r w:rsidR="00B5478C">
        <w:rPr>
          <w:lang w:val="fr-FR"/>
        </w:rPr>
        <w:t>c</w:t>
      </w:r>
      <w:r w:rsidR="00B45071">
        <w:rPr>
          <w:lang w:val="fr-FR"/>
        </w:rPr>
        <w:t>onventions concernées ont été intégrées dans les procédures</w:t>
      </w:r>
      <w:r w:rsidR="00B5478C">
        <w:rPr>
          <w:lang w:val="fr-FR"/>
        </w:rPr>
        <w:t xml:space="preserve"> d’opérations clandestines de renseignement humain, dans un manuel sur les armes à feu et dans les procédures régissant la détention et la prise en charge de prisonniers, dont le droit de consulter un avocat et, s’agissant de ressortissants étrangers, un employé consulaire</w:t>
      </w:r>
      <w:r w:rsidR="000B562B" w:rsidRPr="00A176EA">
        <w:rPr>
          <w:lang w:val="fr-FR"/>
        </w:rPr>
        <w:t>.</w:t>
      </w:r>
    </w:p>
    <w:p w:rsidR="000B562B" w:rsidRPr="00A176EA" w:rsidRDefault="008F780E" w:rsidP="00B97DFB">
      <w:pPr>
        <w:pStyle w:val="SingleTxtG"/>
        <w:tabs>
          <w:tab w:val="left" w:pos="567"/>
          <w:tab w:val="left" w:pos="1134"/>
          <w:tab w:val="left" w:pos="1701"/>
          <w:tab w:val="left" w:pos="2268"/>
          <w:tab w:val="left" w:pos="2835"/>
          <w:tab w:val="left" w:pos="3402"/>
          <w:tab w:val="left" w:pos="3969"/>
          <w:tab w:val="left" w:pos="4536"/>
          <w:tab w:val="left" w:pos="5103"/>
          <w:tab w:val="left" w:pos="5670"/>
          <w:tab w:val="left" w:pos="6237"/>
          <w:tab w:val="left" w:pos="6731"/>
        </w:tabs>
        <w:rPr>
          <w:lang w:val="fr-FR"/>
        </w:rPr>
      </w:pPr>
      <w:r w:rsidRPr="00A176EA">
        <w:rPr>
          <w:lang w:val="fr-FR"/>
        </w:rPr>
        <w:t>21</w:t>
      </w:r>
      <w:r w:rsidR="002549A9" w:rsidRPr="00A176EA">
        <w:rPr>
          <w:lang w:val="fr-FR"/>
        </w:rPr>
        <w:t>.</w:t>
      </w:r>
      <w:r w:rsidR="002549A9" w:rsidRPr="00A176EA">
        <w:rPr>
          <w:lang w:val="fr-FR"/>
        </w:rPr>
        <w:tab/>
      </w:r>
      <w:r w:rsidR="00B97DFB">
        <w:rPr>
          <w:lang w:val="fr-FR"/>
        </w:rPr>
        <w:t xml:space="preserve">À son arrivée en garde à vue, l’intéressé reçoit une copie de la Notification des droits, qui lui explique quels sont ses droits pendant sa garde à vue. Ce document indique qu’il a droit à </w:t>
      </w:r>
      <w:r w:rsidR="00667C9D">
        <w:rPr>
          <w:lang w:val="fr-FR"/>
        </w:rPr>
        <w:t>l’assistance d’un avocat</w:t>
      </w:r>
      <w:r w:rsidR="00B97DFB">
        <w:rPr>
          <w:lang w:val="fr-FR"/>
        </w:rPr>
        <w:t>, à des soins médicaux et</w:t>
      </w:r>
      <w:r w:rsidR="0068163D" w:rsidRPr="0068163D">
        <w:rPr>
          <w:lang w:val="fr-FR"/>
        </w:rPr>
        <w:t xml:space="preserve"> </w:t>
      </w:r>
      <w:r w:rsidR="0068163D">
        <w:rPr>
          <w:lang w:val="fr-FR"/>
        </w:rPr>
        <w:t>à ce qu’un employé consulaire, le cas échéant</w:t>
      </w:r>
      <w:r w:rsidR="00B97DFB">
        <w:rPr>
          <w:lang w:val="fr-FR"/>
        </w:rPr>
        <w:t>, un membre de sa famille ou son employeur soit averti de son placement en garde à vue</w:t>
      </w:r>
      <w:r w:rsidR="000B562B" w:rsidRPr="00A176EA">
        <w:rPr>
          <w:lang w:val="fr-FR"/>
        </w:rPr>
        <w:t>.</w:t>
      </w:r>
    </w:p>
    <w:p w:rsidR="000B562B" w:rsidRPr="00A176EA" w:rsidRDefault="008F780E" w:rsidP="00B669D1">
      <w:pPr>
        <w:pStyle w:val="SingleTxtG"/>
        <w:rPr>
          <w:lang w:val="fr-FR"/>
        </w:rPr>
      </w:pPr>
      <w:r w:rsidRPr="00A176EA">
        <w:rPr>
          <w:lang w:val="fr-FR"/>
        </w:rPr>
        <w:t>22</w:t>
      </w:r>
      <w:r w:rsidR="002549A9" w:rsidRPr="00A176EA">
        <w:rPr>
          <w:lang w:val="fr-FR"/>
        </w:rPr>
        <w:t>.</w:t>
      </w:r>
      <w:r w:rsidR="002549A9" w:rsidRPr="00A176EA">
        <w:rPr>
          <w:lang w:val="fr-FR"/>
        </w:rPr>
        <w:tab/>
      </w:r>
      <w:r w:rsidR="002F02BA">
        <w:rPr>
          <w:lang w:val="fr-FR"/>
        </w:rPr>
        <w:t xml:space="preserve">Les locaux </w:t>
      </w:r>
      <w:r w:rsidR="007405FB">
        <w:rPr>
          <w:lang w:val="fr-FR"/>
        </w:rPr>
        <w:t xml:space="preserve">de </w:t>
      </w:r>
      <w:r w:rsidR="002A5164">
        <w:rPr>
          <w:lang w:val="fr-FR"/>
        </w:rPr>
        <w:t>d</w:t>
      </w:r>
      <w:r w:rsidR="007405FB">
        <w:rPr>
          <w:lang w:val="fr-FR"/>
        </w:rPr>
        <w:t xml:space="preserve">étention </w:t>
      </w:r>
      <w:r w:rsidR="002F02BA">
        <w:rPr>
          <w:lang w:val="fr-FR"/>
        </w:rPr>
        <w:t xml:space="preserve">des Bureaux de l’immigration et du Centre de rétention </w:t>
      </w:r>
      <w:r w:rsidR="00AA6FE4">
        <w:rPr>
          <w:lang w:val="fr-FR"/>
        </w:rPr>
        <w:t>pour  migrants</w:t>
      </w:r>
      <w:r w:rsidR="002F02BA">
        <w:rPr>
          <w:lang w:val="fr-FR"/>
        </w:rPr>
        <w:t xml:space="preserve"> sont conçus pour retenir temporairement les personnes soupçonnées d’infraction </w:t>
      </w:r>
      <w:r w:rsidR="00667C9D">
        <w:rPr>
          <w:lang w:val="fr-FR"/>
        </w:rPr>
        <w:t>aux règles de l’immigration, les demandeurs d’asile et les migrants en situation irrégulière</w:t>
      </w:r>
      <w:r w:rsidR="000B562B" w:rsidRPr="00A176EA">
        <w:rPr>
          <w:lang w:val="fr-FR"/>
        </w:rPr>
        <w:t>.</w:t>
      </w:r>
    </w:p>
    <w:p w:rsidR="000B562B" w:rsidRPr="00A176EA" w:rsidRDefault="008F780E" w:rsidP="00C247BA">
      <w:pPr>
        <w:pStyle w:val="SingleTxtG"/>
        <w:rPr>
          <w:lang w:val="fr-FR"/>
        </w:rPr>
      </w:pPr>
      <w:r w:rsidRPr="00667C9D">
        <w:rPr>
          <w:lang w:val="fr-FR"/>
        </w:rPr>
        <w:t>23</w:t>
      </w:r>
      <w:r w:rsidR="002549A9" w:rsidRPr="00667C9D">
        <w:rPr>
          <w:lang w:val="fr-FR"/>
        </w:rPr>
        <w:t>.</w:t>
      </w:r>
      <w:r w:rsidR="002549A9" w:rsidRPr="00667C9D">
        <w:rPr>
          <w:lang w:val="fr-FR"/>
        </w:rPr>
        <w:tab/>
      </w:r>
      <w:r w:rsidR="00C247BA" w:rsidRPr="00667C9D">
        <w:rPr>
          <w:lang w:val="fr-FR"/>
        </w:rPr>
        <w:t xml:space="preserve">En décembre 2005, un nouveau Comité des droits de l’homme des îles Caïmanes a été créé en tant qu’organe national chargé de la promotion et de la protection des droits de l’homme fondamentaux dans </w:t>
      </w:r>
      <w:r w:rsidR="00AA6FE4">
        <w:rPr>
          <w:lang w:val="fr-FR"/>
        </w:rPr>
        <w:t>l</w:t>
      </w:r>
      <w:r w:rsidR="00C247BA" w:rsidRPr="00667C9D">
        <w:rPr>
          <w:lang w:val="fr-FR"/>
        </w:rPr>
        <w:t xml:space="preserve">es îles. </w:t>
      </w:r>
      <w:r w:rsidR="00AA6FE4">
        <w:rPr>
          <w:lang w:val="fr-FR"/>
        </w:rPr>
        <w:t>S</w:t>
      </w:r>
      <w:r w:rsidR="00C247BA" w:rsidRPr="00667C9D">
        <w:rPr>
          <w:lang w:val="fr-FR"/>
        </w:rPr>
        <w:t xml:space="preserve">on mandat </w:t>
      </w:r>
      <w:r w:rsidR="00AA6FE4">
        <w:rPr>
          <w:lang w:val="fr-FR"/>
        </w:rPr>
        <w:t>l’</w:t>
      </w:r>
      <w:r w:rsidR="00C247BA" w:rsidRPr="00667C9D">
        <w:rPr>
          <w:lang w:val="fr-FR"/>
        </w:rPr>
        <w:t>habilit</w:t>
      </w:r>
      <w:r w:rsidR="00AA6FE4">
        <w:rPr>
          <w:lang w:val="fr-FR"/>
        </w:rPr>
        <w:t>e</w:t>
      </w:r>
      <w:r w:rsidR="00C247BA" w:rsidRPr="00667C9D">
        <w:rPr>
          <w:lang w:val="fr-FR"/>
        </w:rPr>
        <w:t xml:space="preserve"> à sensibiliser le public aux droits de l’homme, à servir de mécanisme de coordination pour formuler des instructions visant à résoudre tout problème relatif aux droits de l’homme et, le cas échéant, </w:t>
      </w:r>
      <w:r w:rsidR="00AA6FE4">
        <w:rPr>
          <w:lang w:val="fr-FR"/>
        </w:rPr>
        <w:t xml:space="preserve">à </w:t>
      </w:r>
      <w:r w:rsidR="00C247BA" w:rsidRPr="00667C9D">
        <w:rPr>
          <w:lang w:val="fr-FR"/>
        </w:rPr>
        <w:t xml:space="preserve">établir des rapports et </w:t>
      </w:r>
      <w:r w:rsidR="00AA6FE4">
        <w:rPr>
          <w:lang w:val="fr-FR"/>
        </w:rPr>
        <w:t>à</w:t>
      </w:r>
      <w:r w:rsidR="00C247BA" w:rsidRPr="00667C9D">
        <w:rPr>
          <w:lang w:val="fr-FR"/>
        </w:rPr>
        <w:t xml:space="preserve"> formuler des recommandations pour améliorer la pr</w:t>
      </w:r>
      <w:r w:rsidR="00B97DFB" w:rsidRPr="00667C9D">
        <w:rPr>
          <w:lang w:val="fr-FR"/>
        </w:rPr>
        <w:t>otection des droits de l’homme.</w:t>
      </w:r>
    </w:p>
    <w:p w:rsidR="000B562B" w:rsidRPr="00A176EA" w:rsidRDefault="008F780E" w:rsidP="00B669D1">
      <w:pPr>
        <w:pStyle w:val="SingleTxtG"/>
        <w:rPr>
          <w:lang w:val="fr-FR"/>
        </w:rPr>
      </w:pPr>
      <w:r w:rsidRPr="00A176EA">
        <w:rPr>
          <w:lang w:val="fr-FR"/>
        </w:rPr>
        <w:t>24</w:t>
      </w:r>
      <w:r w:rsidR="002549A9" w:rsidRPr="00A176EA">
        <w:rPr>
          <w:lang w:val="fr-FR"/>
        </w:rPr>
        <w:t>.</w:t>
      </w:r>
      <w:r w:rsidR="002549A9" w:rsidRPr="00A176EA">
        <w:rPr>
          <w:lang w:val="fr-FR"/>
        </w:rPr>
        <w:tab/>
      </w:r>
      <w:r w:rsidR="001C0BE6">
        <w:rPr>
          <w:lang w:val="fr-FR"/>
        </w:rPr>
        <w:t>Par ailleurs, le Comité s’emploie activement à examiner la législation et les dispositions administratives en vigueur, ainsi que les projets et les propositions de loi, et formule des recommandations pour que ces dispositions soient conformes aux principes des droits de l’homme consacrés par les instruments et conventions dont l’application a été étendue aux îles</w:t>
      </w:r>
      <w:r w:rsidR="000B562B" w:rsidRPr="00A176EA">
        <w:rPr>
          <w:lang w:val="fr-FR"/>
        </w:rPr>
        <w:t>.</w:t>
      </w:r>
    </w:p>
    <w:p w:rsidR="000B562B" w:rsidRPr="00A176EA" w:rsidRDefault="008F780E" w:rsidP="00B669D1">
      <w:pPr>
        <w:pStyle w:val="SingleTxtG"/>
        <w:rPr>
          <w:lang w:val="fr-FR"/>
        </w:rPr>
      </w:pPr>
      <w:r w:rsidRPr="00A176EA">
        <w:rPr>
          <w:lang w:val="fr-FR"/>
        </w:rPr>
        <w:t>25</w:t>
      </w:r>
      <w:r w:rsidR="002549A9" w:rsidRPr="00A176EA">
        <w:rPr>
          <w:lang w:val="fr-FR"/>
        </w:rPr>
        <w:t>.</w:t>
      </w:r>
      <w:r w:rsidR="002549A9" w:rsidRPr="00A176EA">
        <w:rPr>
          <w:lang w:val="fr-FR"/>
        </w:rPr>
        <w:tab/>
      </w:r>
      <w:r w:rsidR="009F34E6">
        <w:rPr>
          <w:lang w:val="fr-FR"/>
        </w:rPr>
        <w:t xml:space="preserve">Bien que le Comité ait été nommé par le Conseil des ministres, ses membres ne </w:t>
      </w:r>
      <w:r w:rsidR="00F112B4">
        <w:rPr>
          <w:lang w:val="fr-FR"/>
        </w:rPr>
        <w:t xml:space="preserve">sont pas </w:t>
      </w:r>
      <w:r w:rsidR="00505462">
        <w:rPr>
          <w:lang w:val="fr-FR"/>
        </w:rPr>
        <w:t>responsables</w:t>
      </w:r>
      <w:r w:rsidR="009F34E6">
        <w:rPr>
          <w:lang w:val="fr-FR"/>
        </w:rPr>
        <w:t xml:space="preserve"> devant lui et sont indépendants de l’Exécutif. Tous, </w:t>
      </w:r>
      <w:r w:rsidR="00AA6FE4">
        <w:rPr>
          <w:lang w:val="fr-FR"/>
        </w:rPr>
        <w:t>y compris</w:t>
      </w:r>
      <w:r w:rsidR="009F34E6">
        <w:rPr>
          <w:lang w:val="fr-FR"/>
        </w:rPr>
        <w:t xml:space="preserve"> ceux qui appartiennent à la fonction publique, participent à titre bénévole et </w:t>
      </w:r>
      <w:r w:rsidR="00E56B38">
        <w:rPr>
          <w:lang w:val="fr-FR"/>
        </w:rPr>
        <w:t>personnel</w:t>
      </w:r>
      <w:r w:rsidR="009F34E6">
        <w:rPr>
          <w:lang w:val="fr-FR"/>
        </w:rPr>
        <w:t xml:space="preserve">. </w:t>
      </w:r>
      <w:r w:rsidR="00E56B38">
        <w:rPr>
          <w:lang w:val="fr-FR"/>
        </w:rPr>
        <w:t>Ils ne représentent aucun intérêt ni organisation particuliers et sont libres d’exprimer leur opinion personnelle sur les questions liées aux droits de l’homme dans les îles</w:t>
      </w:r>
      <w:r w:rsidR="000B562B" w:rsidRPr="00A176EA">
        <w:rPr>
          <w:lang w:val="fr-FR"/>
        </w:rPr>
        <w:t>.</w:t>
      </w:r>
    </w:p>
    <w:p w:rsidR="000B562B" w:rsidRPr="00A176EA" w:rsidRDefault="008F780E" w:rsidP="00B669D1">
      <w:pPr>
        <w:pStyle w:val="SingleTxtG"/>
        <w:rPr>
          <w:lang w:val="fr-FR"/>
        </w:rPr>
      </w:pPr>
      <w:r w:rsidRPr="00A176EA">
        <w:rPr>
          <w:lang w:val="fr-FR"/>
        </w:rPr>
        <w:t>26</w:t>
      </w:r>
      <w:r w:rsidR="002549A9" w:rsidRPr="00A176EA">
        <w:rPr>
          <w:lang w:val="fr-FR"/>
        </w:rPr>
        <w:t>.</w:t>
      </w:r>
      <w:r w:rsidR="002549A9" w:rsidRPr="00A176EA">
        <w:rPr>
          <w:lang w:val="fr-FR"/>
        </w:rPr>
        <w:tab/>
      </w:r>
      <w:r w:rsidR="00E56B38" w:rsidRPr="0053388E">
        <w:rPr>
          <w:lang w:val="fr-FR"/>
        </w:rPr>
        <w:t>Début</w:t>
      </w:r>
      <w:r w:rsidR="000B562B" w:rsidRPr="0053388E">
        <w:rPr>
          <w:lang w:val="fr-FR"/>
        </w:rPr>
        <w:t xml:space="preserve"> 2006</w:t>
      </w:r>
      <w:r w:rsidR="00E56B38" w:rsidRPr="0053388E">
        <w:rPr>
          <w:lang w:val="fr-FR"/>
        </w:rPr>
        <w:t xml:space="preserve">, le Gouvernement a accepté que le droit de recours individuel devant la </w:t>
      </w:r>
      <w:r w:rsidR="00332073" w:rsidRPr="0053388E">
        <w:rPr>
          <w:lang w:val="fr-FR"/>
        </w:rPr>
        <w:t>Cour européenne des droits de l’homme</w:t>
      </w:r>
      <w:r w:rsidR="000B562B" w:rsidRPr="0053388E">
        <w:rPr>
          <w:lang w:val="fr-FR"/>
        </w:rPr>
        <w:t xml:space="preserve"> </w:t>
      </w:r>
      <w:r w:rsidR="0053388E" w:rsidRPr="0053388E">
        <w:rPr>
          <w:lang w:val="fr-FR"/>
        </w:rPr>
        <w:t>soit réétendu aux</w:t>
      </w:r>
      <w:r w:rsidR="000B562B" w:rsidRPr="0053388E">
        <w:rPr>
          <w:lang w:val="fr-FR"/>
        </w:rPr>
        <w:t xml:space="preserve"> </w:t>
      </w:r>
      <w:r w:rsidR="001C0BE6" w:rsidRPr="0053388E">
        <w:rPr>
          <w:lang w:val="fr-FR"/>
        </w:rPr>
        <w:t>îles Caïmanes</w:t>
      </w:r>
      <w:r w:rsidR="000B562B" w:rsidRPr="0053388E">
        <w:rPr>
          <w:lang w:val="fr-FR"/>
        </w:rPr>
        <w:t xml:space="preserve"> </w:t>
      </w:r>
      <w:r w:rsidR="0053388E" w:rsidRPr="0053388E">
        <w:rPr>
          <w:lang w:val="fr-FR"/>
        </w:rPr>
        <w:t>à titre</w:t>
      </w:r>
      <w:r w:rsidR="000B562B" w:rsidRPr="0053388E">
        <w:rPr>
          <w:lang w:val="fr-FR"/>
        </w:rPr>
        <w:t xml:space="preserve"> permanent.</w:t>
      </w:r>
      <w:r w:rsidR="000B562B" w:rsidRPr="00A176EA">
        <w:rPr>
          <w:lang w:val="fr-FR"/>
        </w:rPr>
        <w:t xml:space="preserve"> </w:t>
      </w:r>
      <w:r w:rsidR="0053388E">
        <w:rPr>
          <w:lang w:val="fr-FR"/>
        </w:rPr>
        <w:t xml:space="preserve">Si cette voie de recours n’habilite pas les juridictions locales à faire appliquer dans les îles les droits fondamentaux énoncés dans la Convention européenne des droits de l’homme ni aucun des principaux instruments relatifs aux droits de l’homme, elle constitue un </w:t>
      </w:r>
      <w:r w:rsidR="00AA6FE4">
        <w:rPr>
          <w:lang w:val="fr-FR"/>
        </w:rPr>
        <w:t xml:space="preserve">puissant </w:t>
      </w:r>
      <w:r w:rsidR="0053388E">
        <w:rPr>
          <w:lang w:val="fr-FR"/>
        </w:rPr>
        <w:t>mécanisme de protection des droits de l’homme dans les îles</w:t>
      </w:r>
      <w:r w:rsidR="000B562B" w:rsidRPr="00A176EA">
        <w:rPr>
          <w:lang w:val="fr-FR"/>
        </w:rPr>
        <w:t>.</w:t>
      </w:r>
    </w:p>
    <w:p w:rsidR="000B562B" w:rsidRPr="0053388E" w:rsidRDefault="0004046C" w:rsidP="001C135E">
      <w:pPr>
        <w:pStyle w:val="H1G"/>
      </w:pPr>
      <w:r>
        <w:tab/>
      </w:r>
      <w:r>
        <w:tab/>
      </w:r>
      <w:r w:rsidR="000B562B" w:rsidRPr="0053388E">
        <w:t>Article 10</w:t>
      </w:r>
    </w:p>
    <w:p w:rsidR="000B562B" w:rsidRPr="0053388E" w:rsidRDefault="000B562B" w:rsidP="00B669D1">
      <w:pPr>
        <w:pStyle w:val="H23G"/>
        <w:rPr>
          <w:lang w:val="fr-FR"/>
        </w:rPr>
      </w:pPr>
      <w:r w:rsidRPr="0053388E">
        <w:rPr>
          <w:lang w:val="fr-FR"/>
        </w:rPr>
        <w:t>Police</w:t>
      </w:r>
    </w:p>
    <w:p w:rsidR="000B562B" w:rsidRPr="00A176EA" w:rsidRDefault="00FE4D62" w:rsidP="00C53564">
      <w:pPr>
        <w:pStyle w:val="SingleTxtG"/>
        <w:rPr>
          <w:lang w:val="fr-FR"/>
        </w:rPr>
      </w:pPr>
      <w:r w:rsidRPr="0053388E">
        <w:rPr>
          <w:lang w:val="fr-FR"/>
        </w:rPr>
        <w:t>27</w:t>
      </w:r>
      <w:r w:rsidR="002549A9" w:rsidRPr="0053388E">
        <w:rPr>
          <w:lang w:val="fr-FR"/>
        </w:rPr>
        <w:t>.</w:t>
      </w:r>
      <w:r w:rsidR="002549A9" w:rsidRPr="0053388E">
        <w:rPr>
          <w:lang w:val="fr-FR"/>
        </w:rPr>
        <w:tab/>
      </w:r>
      <w:r w:rsidR="00F6537B" w:rsidRPr="0053388E">
        <w:rPr>
          <w:lang w:val="fr-FR"/>
        </w:rPr>
        <w:t>Le programme de formation</w:t>
      </w:r>
      <w:r w:rsidR="000B562B" w:rsidRPr="0053388E">
        <w:rPr>
          <w:lang w:val="fr-FR"/>
        </w:rPr>
        <w:t xml:space="preserve"> </w:t>
      </w:r>
      <w:r w:rsidR="00F6537B" w:rsidRPr="0053388E">
        <w:rPr>
          <w:lang w:val="fr-FR"/>
        </w:rPr>
        <w:t>de la</w:t>
      </w:r>
      <w:r w:rsidR="000B562B" w:rsidRPr="0053388E">
        <w:rPr>
          <w:lang w:val="fr-FR"/>
        </w:rPr>
        <w:t xml:space="preserve"> </w:t>
      </w:r>
      <w:r w:rsidR="00F6537B" w:rsidRPr="0053388E">
        <w:rPr>
          <w:lang w:val="fr-FR"/>
        </w:rPr>
        <w:t>Police royale des îles Caïmanes</w:t>
      </w:r>
      <w:r w:rsidR="00F6537B" w:rsidRPr="00A176EA">
        <w:rPr>
          <w:lang w:val="fr-FR"/>
        </w:rPr>
        <w:t xml:space="preserve"> </w:t>
      </w:r>
      <w:r w:rsidR="002C22A2">
        <w:rPr>
          <w:lang w:val="fr-FR"/>
        </w:rPr>
        <w:t>reconnaît et encourage les principes d’équité, d’intégrité, de traitement approprié et respectueux en garde à vue</w:t>
      </w:r>
      <w:r w:rsidR="005F5847">
        <w:rPr>
          <w:lang w:val="fr-FR"/>
        </w:rPr>
        <w:t xml:space="preserve"> et lors</w:t>
      </w:r>
      <w:r w:rsidR="002C22A2">
        <w:rPr>
          <w:lang w:val="fr-FR"/>
        </w:rPr>
        <w:t xml:space="preserve"> d</w:t>
      </w:r>
      <w:r w:rsidR="005F5847">
        <w:rPr>
          <w:lang w:val="fr-FR"/>
        </w:rPr>
        <w:t>e l</w:t>
      </w:r>
      <w:r w:rsidR="002C22A2">
        <w:rPr>
          <w:lang w:val="fr-FR"/>
        </w:rPr>
        <w:t xml:space="preserve">’audition </w:t>
      </w:r>
      <w:r w:rsidR="005F5847">
        <w:rPr>
          <w:lang w:val="fr-FR"/>
        </w:rPr>
        <w:t xml:space="preserve">de toute personne en enseignant </w:t>
      </w:r>
      <w:r w:rsidR="00C53564">
        <w:rPr>
          <w:lang w:val="fr-FR"/>
        </w:rPr>
        <w:t xml:space="preserve">les principes fondamentaux </w:t>
      </w:r>
      <w:r w:rsidR="005F5847">
        <w:rPr>
          <w:lang w:val="fr-FR"/>
        </w:rPr>
        <w:t>aux nouvelles recrues</w:t>
      </w:r>
      <w:r w:rsidR="00C53564">
        <w:rPr>
          <w:lang w:val="fr-FR"/>
        </w:rPr>
        <w:t xml:space="preserve"> au cours d’une formation de 12 semaines concentrée notamment sur les aspects suivants</w:t>
      </w:r>
      <w:r w:rsidR="00FC2B97">
        <w:rPr>
          <w:lang w:val="fr-FR"/>
        </w:rPr>
        <w:t>:</w:t>
      </w:r>
    </w:p>
    <w:p w:rsidR="005771CB" w:rsidRPr="002359FC" w:rsidRDefault="005A2731" w:rsidP="00BC0033">
      <w:pPr>
        <w:pStyle w:val="Bullet1G"/>
      </w:pPr>
      <w:r>
        <w:t>Les R</w:t>
      </w:r>
      <w:r w:rsidR="00727812" w:rsidRPr="00C53564">
        <w:t>ègles relatives à l’instruction</w:t>
      </w:r>
      <w:r w:rsidR="00AA6FE4">
        <w:t>,</w:t>
      </w:r>
    </w:p>
    <w:p w:rsidR="005771CB" w:rsidRPr="005771CB" w:rsidRDefault="005771CB" w:rsidP="005771CB">
      <w:pPr>
        <w:pStyle w:val="SingleTxtG"/>
        <w:ind w:left="1531"/>
        <w:rPr>
          <w:lang w:val="fr-FR"/>
        </w:rPr>
      </w:pPr>
      <w:r w:rsidRPr="00C53564">
        <w:rPr>
          <w:lang w:val="fr-FR"/>
        </w:rPr>
        <w:t>•</w:t>
      </w:r>
      <w:r w:rsidRPr="00C53564">
        <w:rPr>
          <w:lang w:val="fr-FR"/>
        </w:rPr>
        <w:tab/>
      </w:r>
      <w:r w:rsidR="00C53564">
        <w:rPr>
          <w:lang w:val="fr-FR"/>
        </w:rPr>
        <w:t>La f</w:t>
      </w:r>
      <w:r w:rsidR="00F6537B" w:rsidRPr="00C53564">
        <w:rPr>
          <w:lang w:val="fr-FR"/>
        </w:rPr>
        <w:t>ormation à la diversité</w:t>
      </w:r>
      <w:r w:rsidR="00AA6FE4">
        <w:rPr>
          <w:lang w:val="fr-FR"/>
        </w:rPr>
        <w:t>,</w:t>
      </w:r>
    </w:p>
    <w:p w:rsidR="003C2678" w:rsidRPr="002359FC" w:rsidRDefault="00C53564" w:rsidP="00C53564">
      <w:pPr>
        <w:numPr>
          <w:ilvl w:val="0"/>
          <w:numId w:val="1"/>
        </w:numPr>
        <w:tabs>
          <w:tab w:val="clear" w:pos="1588"/>
          <w:tab w:val="num" w:pos="1701"/>
        </w:tabs>
        <w:spacing w:after="120"/>
        <w:ind w:left="1701" w:right="1134"/>
        <w:jc w:val="both"/>
        <w:rPr>
          <w:lang w:val="fr-FR"/>
        </w:rPr>
      </w:pPr>
      <w:r w:rsidRPr="00C53564">
        <w:rPr>
          <w:lang w:val="fr-FR"/>
        </w:rPr>
        <w:t xml:space="preserve">La </w:t>
      </w:r>
      <w:r w:rsidR="00505462" w:rsidRPr="00C53564">
        <w:rPr>
          <w:lang w:val="fr-FR"/>
        </w:rPr>
        <w:t>législation</w:t>
      </w:r>
      <w:r w:rsidRPr="00C53564">
        <w:rPr>
          <w:lang w:val="fr-FR"/>
        </w:rPr>
        <w:t xml:space="preserve">, dont la loi et les </w:t>
      </w:r>
      <w:r>
        <w:rPr>
          <w:lang w:val="fr-FR"/>
        </w:rPr>
        <w:t xml:space="preserve">règlements/la discipline s’appliquant à la police, la loi sur les preuves et la loi sur la santé mentale (dont les soins aux </w:t>
      </w:r>
      <w:r w:rsidR="003C2678" w:rsidRPr="002359FC">
        <w:rPr>
          <w:lang w:val="fr-FR"/>
        </w:rPr>
        <w:t>patients)</w:t>
      </w:r>
      <w:r w:rsidR="0086211D" w:rsidRPr="002359FC">
        <w:rPr>
          <w:lang w:val="fr-FR"/>
        </w:rPr>
        <w:t>,</w:t>
      </w:r>
      <w:r w:rsidR="003C2678" w:rsidRPr="002359FC">
        <w:rPr>
          <w:lang w:val="fr-FR"/>
        </w:rPr>
        <w:t xml:space="preserve"> etc.</w:t>
      </w:r>
      <w:r w:rsidR="00AA6FE4" w:rsidRPr="002359FC">
        <w:rPr>
          <w:lang w:val="fr-FR"/>
        </w:rPr>
        <w:t>,</w:t>
      </w:r>
    </w:p>
    <w:p w:rsidR="005771CB" w:rsidRPr="00C53564" w:rsidRDefault="005771CB" w:rsidP="005771CB">
      <w:pPr>
        <w:pStyle w:val="SingleTxtG"/>
        <w:ind w:left="1531"/>
        <w:rPr>
          <w:lang w:val="fr-FR"/>
        </w:rPr>
      </w:pPr>
      <w:r w:rsidRPr="005771CB">
        <w:rPr>
          <w:lang w:val="fr-FR"/>
        </w:rPr>
        <w:t>•</w:t>
      </w:r>
      <w:r w:rsidRPr="005771CB">
        <w:rPr>
          <w:lang w:val="fr-FR"/>
        </w:rPr>
        <w:tab/>
      </w:r>
      <w:r w:rsidR="00C53564" w:rsidRPr="00C53564">
        <w:rPr>
          <w:lang w:val="fr-FR"/>
        </w:rPr>
        <w:t>Les p</w:t>
      </w:r>
      <w:r w:rsidR="00727812" w:rsidRPr="00C53564">
        <w:rPr>
          <w:lang w:val="fr-FR"/>
        </w:rPr>
        <w:t>ouvoirs d’arrestation</w:t>
      </w:r>
      <w:r w:rsidR="00AA6FE4">
        <w:rPr>
          <w:lang w:val="fr-FR"/>
        </w:rPr>
        <w:t>,</w:t>
      </w:r>
    </w:p>
    <w:p w:rsidR="005771CB" w:rsidRPr="00C53564" w:rsidRDefault="005771CB" w:rsidP="005771CB">
      <w:pPr>
        <w:pStyle w:val="SingleTxtG"/>
        <w:ind w:left="1531"/>
        <w:rPr>
          <w:lang w:val="fr-FR"/>
        </w:rPr>
      </w:pPr>
      <w:r w:rsidRPr="00C53564">
        <w:rPr>
          <w:lang w:val="fr-FR"/>
        </w:rPr>
        <w:t>•</w:t>
      </w:r>
      <w:r w:rsidRPr="00C53564">
        <w:rPr>
          <w:lang w:val="fr-FR"/>
        </w:rPr>
        <w:tab/>
      </w:r>
      <w:r w:rsidR="00C53564" w:rsidRPr="00C53564">
        <w:rPr>
          <w:lang w:val="fr-FR"/>
        </w:rPr>
        <w:t>Les q</w:t>
      </w:r>
      <w:r w:rsidR="005A2EC2" w:rsidRPr="00C53564">
        <w:rPr>
          <w:lang w:val="fr-FR"/>
        </w:rPr>
        <w:t>ualités d’un bon fonctionnaire de police</w:t>
      </w:r>
      <w:r w:rsidR="00AA6FE4">
        <w:rPr>
          <w:lang w:val="fr-FR"/>
        </w:rPr>
        <w:t>,</w:t>
      </w:r>
    </w:p>
    <w:p w:rsidR="005771CB" w:rsidRPr="00C53564" w:rsidRDefault="005771CB" w:rsidP="005771CB">
      <w:pPr>
        <w:pStyle w:val="SingleTxtG"/>
        <w:ind w:left="1531"/>
        <w:rPr>
          <w:lang w:val="fr-FR"/>
        </w:rPr>
      </w:pPr>
      <w:r w:rsidRPr="00C53564">
        <w:rPr>
          <w:lang w:val="fr-FR"/>
        </w:rPr>
        <w:t>•</w:t>
      </w:r>
      <w:r w:rsidRPr="00C53564">
        <w:rPr>
          <w:lang w:val="fr-FR"/>
        </w:rPr>
        <w:tab/>
      </w:r>
      <w:r w:rsidR="00C53564" w:rsidRPr="00C53564">
        <w:rPr>
          <w:lang w:val="fr-FR"/>
        </w:rPr>
        <w:t>La p</w:t>
      </w:r>
      <w:r w:rsidR="00727812" w:rsidRPr="00C53564">
        <w:rPr>
          <w:lang w:val="fr-FR"/>
        </w:rPr>
        <w:t>rise en charge des victimes</w:t>
      </w:r>
      <w:r w:rsidR="00AA6FE4">
        <w:rPr>
          <w:lang w:val="fr-FR"/>
        </w:rPr>
        <w:t>,</w:t>
      </w:r>
    </w:p>
    <w:p w:rsidR="005771CB" w:rsidRPr="00C53564" w:rsidRDefault="005771CB" w:rsidP="005771CB">
      <w:pPr>
        <w:pStyle w:val="SingleTxtG"/>
        <w:ind w:left="1531"/>
        <w:rPr>
          <w:lang w:val="fr-FR"/>
        </w:rPr>
      </w:pPr>
      <w:r w:rsidRPr="00C53564">
        <w:rPr>
          <w:lang w:val="fr-FR"/>
        </w:rPr>
        <w:t>•</w:t>
      </w:r>
      <w:r w:rsidRPr="00C53564">
        <w:rPr>
          <w:lang w:val="fr-FR"/>
        </w:rPr>
        <w:tab/>
      </w:r>
      <w:r w:rsidR="00C53564" w:rsidRPr="00C53564">
        <w:rPr>
          <w:lang w:val="fr-FR"/>
        </w:rPr>
        <w:t>Les a</w:t>
      </w:r>
      <w:r w:rsidR="0086211D" w:rsidRPr="00C53564">
        <w:rPr>
          <w:lang w:val="fr-FR"/>
        </w:rPr>
        <w:t>uditions dans le cadre d’une enquête</w:t>
      </w:r>
      <w:r w:rsidR="00AA6FE4">
        <w:rPr>
          <w:lang w:val="fr-FR"/>
        </w:rPr>
        <w:t>,</w:t>
      </w:r>
    </w:p>
    <w:p w:rsidR="005771CB" w:rsidRPr="00C53564" w:rsidRDefault="005771CB" w:rsidP="005771CB">
      <w:pPr>
        <w:pStyle w:val="SingleTxtG"/>
        <w:ind w:left="1531"/>
        <w:rPr>
          <w:lang w:val="fr-FR"/>
        </w:rPr>
      </w:pPr>
      <w:r w:rsidRPr="00C53564">
        <w:rPr>
          <w:lang w:val="fr-FR"/>
        </w:rPr>
        <w:t>•</w:t>
      </w:r>
      <w:r w:rsidRPr="00C53564">
        <w:rPr>
          <w:lang w:val="fr-FR"/>
        </w:rPr>
        <w:tab/>
      </w:r>
      <w:r w:rsidR="009E5585" w:rsidRPr="00C53564">
        <w:rPr>
          <w:lang w:val="fr-FR"/>
        </w:rPr>
        <w:t>La police, un service à la personne</w:t>
      </w:r>
      <w:r w:rsidR="00AA6FE4">
        <w:rPr>
          <w:lang w:val="fr-FR"/>
        </w:rPr>
        <w:t>,</w:t>
      </w:r>
    </w:p>
    <w:p w:rsidR="005771CB" w:rsidRPr="00C53564" w:rsidRDefault="005771CB" w:rsidP="005771CB">
      <w:pPr>
        <w:pStyle w:val="SingleTxtG"/>
        <w:ind w:left="1531"/>
        <w:rPr>
          <w:lang w:val="fr-FR"/>
        </w:rPr>
      </w:pPr>
      <w:r w:rsidRPr="00C53564">
        <w:rPr>
          <w:lang w:val="fr-FR"/>
        </w:rPr>
        <w:t>•</w:t>
      </w:r>
      <w:r w:rsidRPr="00C53564">
        <w:rPr>
          <w:lang w:val="fr-FR"/>
        </w:rPr>
        <w:tab/>
      </w:r>
      <w:r w:rsidR="00C53564" w:rsidRPr="00C53564">
        <w:rPr>
          <w:lang w:val="fr-FR"/>
        </w:rPr>
        <w:t>La d</w:t>
      </w:r>
      <w:r w:rsidR="009E5585" w:rsidRPr="00C53564">
        <w:rPr>
          <w:lang w:val="fr-FR"/>
        </w:rPr>
        <w:t>éontologie de la police</w:t>
      </w:r>
      <w:r w:rsidR="00AA6FE4">
        <w:rPr>
          <w:lang w:val="fr-FR"/>
        </w:rPr>
        <w:t>,</w:t>
      </w:r>
    </w:p>
    <w:p w:rsidR="005771CB" w:rsidRPr="00C53564" w:rsidRDefault="005771CB" w:rsidP="005771CB">
      <w:pPr>
        <w:pStyle w:val="SingleTxtG"/>
        <w:ind w:left="1531"/>
        <w:rPr>
          <w:lang w:val="fr-FR"/>
        </w:rPr>
      </w:pPr>
      <w:r w:rsidRPr="00C53564">
        <w:rPr>
          <w:lang w:val="fr-FR"/>
        </w:rPr>
        <w:t>•</w:t>
      </w:r>
      <w:r w:rsidRPr="00C53564">
        <w:rPr>
          <w:lang w:val="fr-FR"/>
        </w:rPr>
        <w:tab/>
      </w:r>
      <w:r w:rsidR="00C53564" w:rsidRPr="00C53564">
        <w:rPr>
          <w:lang w:val="fr-FR"/>
        </w:rPr>
        <w:t>La v</w:t>
      </w:r>
      <w:r w:rsidR="009E5585" w:rsidRPr="00C53564">
        <w:rPr>
          <w:lang w:val="fr-FR"/>
        </w:rPr>
        <w:t>iolence familiale</w:t>
      </w:r>
      <w:r w:rsidRPr="00C53564">
        <w:rPr>
          <w:lang w:val="fr-FR"/>
        </w:rPr>
        <w:t xml:space="preserve"> (</w:t>
      </w:r>
      <w:r w:rsidR="009E5585" w:rsidRPr="00C53564">
        <w:rPr>
          <w:lang w:val="fr-FR"/>
        </w:rPr>
        <w:t>dont les services aux enfants est à la famille</w:t>
      </w:r>
      <w:r w:rsidRPr="00C53564">
        <w:rPr>
          <w:lang w:val="fr-FR"/>
        </w:rPr>
        <w:t>)</w:t>
      </w:r>
      <w:r w:rsidR="00AA6FE4">
        <w:rPr>
          <w:lang w:val="fr-FR"/>
        </w:rPr>
        <w:t>,</w:t>
      </w:r>
    </w:p>
    <w:p w:rsidR="005771CB" w:rsidRPr="00C53564" w:rsidRDefault="005771CB" w:rsidP="005771CB">
      <w:pPr>
        <w:pStyle w:val="SingleTxtG"/>
        <w:ind w:left="1531"/>
        <w:rPr>
          <w:lang w:val="fr-FR"/>
        </w:rPr>
      </w:pPr>
      <w:r w:rsidRPr="00C53564">
        <w:rPr>
          <w:lang w:val="fr-FR"/>
        </w:rPr>
        <w:t>•</w:t>
      </w:r>
      <w:r w:rsidRPr="00C53564">
        <w:rPr>
          <w:lang w:val="fr-FR"/>
        </w:rPr>
        <w:tab/>
      </w:r>
      <w:r w:rsidR="00C53564" w:rsidRPr="00C53564">
        <w:rPr>
          <w:lang w:val="fr-FR"/>
        </w:rPr>
        <w:t>Le r</w:t>
      </w:r>
      <w:r w:rsidR="009E5585" w:rsidRPr="00C53564">
        <w:rPr>
          <w:lang w:val="fr-FR"/>
        </w:rPr>
        <w:t>èglement des conflits</w:t>
      </w:r>
      <w:r w:rsidR="00AA6FE4">
        <w:rPr>
          <w:lang w:val="fr-FR"/>
        </w:rPr>
        <w:t>,</w:t>
      </w:r>
    </w:p>
    <w:p w:rsidR="00C53564" w:rsidRDefault="005771CB" w:rsidP="00C53564">
      <w:pPr>
        <w:pStyle w:val="SingleTxtG"/>
        <w:ind w:left="1531"/>
        <w:rPr>
          <w:lang w:val="fr-FR"/>
        </w:rPr>
      </w:pPr>
      <w:r w:rsidRPr="00C53564">
        <w:rPr>
          <w:lang w:val="fr-FR"/>
        </w:rPr>
        <w:t>•</w:t>
      </w:r>
      <w:r w:rsidRPr="00C53564">
        <w:rPr>
          <w:lang w:val="fr-FR"/>
        </w:rPr>
        <w:tab/>
      </w:r>
      <w:r w:rsidR="00C53564" w:rsidRPr="00C53564">
        <w:rPr>
          <w:lang w:val="fr-FR"/>
        </w:rPr>
        <w:t>Les i</w:t>
      </w:r>
      <w:r w:rsidR="00A473C6" w:rsidRPr="00C53564">
        <w:rPr>
          <w:lang w:val="fr-FR"/>
        </w:rPr>
        <w:t xml:space="preserve">nterpellations et </w:t>
      </w:r>
      <w:r w:rsidR="00C53564" w:rsidRPr="00C53564">
        <w:rPr>
          <w:lang w:val="fr-FR"/>
        </w:rPr>
        <w:t xml:space="preserve">les </w:t>
      </w:r>
      <w:r w:rsidR="00A473C6" w:rsidRPr="00C53564">
        <w:rPr>
          <w:lang w:val="fr-FR"/>
        </w:rPr>
        <w:t>fouilles</w:t>
      </w:r>
      <w:r w:rsidRPr="00C53564">
        <w:rPr>
          <w:lang w:val="fr-FR"/>
        </w:rPr>
        <w:t xml:space="preserve"> (</w:t>
      </w:r>
      <w:r w:rsidR="00A473C6" w:rsidRPr="00C53564">
        <w:rPr>
          <w:lang w:val="fr-FR"/>
        </w:rPr>
        <w:t>dont la fouille des cellules</w:t>
      </w:r>
      <w:r w:rsidR="00C53564">
        <w:rPr>
          <w:lang w:val="fr-FR"/>
        </w:rPr>
        <w:t>).</w:t>
      </w:r>
    </w:p>
    <w:p w:rsidR="000B562B" w:rsidRPr="00A176EA" w:rsidRDefault="0004046C" w:rsidP="005771CB">
      <w:pPr>
        <w:pStyle w:val="SingleTxtG"/>
        <w:rPr>
          <w:lang w:val="fr-FR"/>
        </w:rPr>
      </w:pPr>
      <w:r>
        <w:rPr>
          <w:lang w:val="fr-FR"/>
        </w:rPr>
        <w:t>28.</w:t>
      </w:r>
      <w:r>
        <w:rPr>
          <w:lang w:val="fr-FR"/>
        </w:rPr>
        <w:tab/>
      </w:r>
      <w:r w:rsidR="005A2731">
        <w:rPr>
          <w:lang w:val="fr-FR"/>
        </w:rPr>
        <w:t xml:space="preserve">Au cours de la formation, des jeux de rôle et des contrôles des connaissances permettent de renforcer l’acquisition des principes consacrés par les Règles relatives à l’instruction. </w:t>
      </w:r>
      <w:r w:rsidR="00DC4E71">
        <w:rPr>
          <w:lang w:val="fr-FR"/>
        </w:rPr>
        <w:t xml:space="preserve">Les connaissances de base de chaque nouvelle recrue sont encore renforcées par une formation permanente sur le terrain encadrée par un fonctionnaire de police expérimenté. La formation continue enrichit encore ces pratiques </w:t>
      </w:r>
      <w:r w:rsidR="002F455A">
        <w:rPr>
          <w:lang w:val="fr-FR"/>
        </w:rPr>
        <w:t>et corrige les lacunes de façon à améliorer le savoir-faire et les compétences de chaque fonctionnaire de police, et à garantir qu’il respecte les normes professionnelles les plus élevées</w:t>
      </w:r>
      <w:r w:rsidR="000B562B" w:rsidRPr="00A176EA">
        <w:rPr>
          <w:lang w:val="fr-FR"/>
        </w:rPr>
        <w:t>.</w:t>
      </w:r>
    </w:p>
    <w:p w:rsidR="000B562B" w:rsidRPr="00A176EA" w:rsidRDefault="00FE4D62" w:rsidP="00B669D1">
      <w:pPr>
        <w:pStyle w:val="SingleTxtG"/>
        <w:rPr>
          <w:lang w:val="fr-FR"/>
        </w:rPr>
      </w:pPr>
      <w:r w:rsidRPr="00A176EA">
        <w:rPr>
          <w:lang w:val="fr-FR"/>
        </w:rPr>
        <w:t>29.</w:t>
      </w:r>
      <w:r w:rsidR="002549A9" w:rsidRPr="00A176EA">
        <w:rPr>
          <w:lang w:val="fr-FR"/>
        </w:rPr>
        <w:tab/>
      </w:r>
      <w:r w:rsidR="0004570F">
        <w:rPr>
          <w:lang w:val="fr-FR"/>
        </w:rPr>
        <w:t xml:space="preserve">La composition de la population, dont les caractéristiques sociales, culturelles et économiques sont complexes, pose des difficultés en termes de formation des agents de la force publique. Pour surmonter ces difficultés, la Police royale s’emploie activement à recruter, former et perfectionner des fonctionnaires de police appartenant à différents groupes ethniques, mais également des natifs, de façon à créer </w:t>
      </w:r>
      <w:r w:rsidR="00651186">
        <w:rPr>
          <w:lang w:val="fr-FR"/>
        </w:rPr>
        <w:t>un réseau efficace travaillant en collaboration pour protéger la communauté et préserver les droits de tous conformément à la loi</w:t>
      </w:r>
      <w:r w:rsidR="000B562B" w:rsidRPr="00A176EA">
        <w:rPr>
          <w:lang w:val="fr-FR"/>
        </w:rPr>
        <w:t>.</w:t>
      </w:r>
    </w:p>
    <w:p w:rsidR="000B562B" w:rsidRPr="00A176EA" w:rsidRDefault="00FE4D62" w:rsidP="00B669D1">
      <w:pPr>
        <w:pStyle w:val="SingleTxtG"/>
        <w:rPr>
          <w:lang w:val="fr-FR"/>
        </w:rPr>
      </w:pPr>
      <w:r w:rsidRPr="00A176EA">
        <w:rPr>
          <w:lang w:val="fr-FR"/>
        </w:rPr>
        <w:t>30</w:t>
      </w:r>
      <w:r w:rsidR="002549A9" w:rsidRPr="00A176EA">
        <w:rPr>
          <w:lang w:val="fr-FR"/>
        </w:rPr>
        <w:t>.</w:t>
      </w:r>
      <w:r w:rsidR="002549A9" w:rsidRPr="00A176EA">
        <w:rPr>
          <w:lang w:val="fr-FR"/>
        </w:rPr>
        <w:tab/>
      </w:r>
      <w:r w:rsidR="00332073" w:rsidRPr="00651186">
        <w:rPr>
          <w:lang w:val="fr-FR"/>
        </w:rPr>
        <w:t>La</w:t>
      </w:r>
      <w:r w:rsidR="000B562B" w:rsidRPr="00651186">
        <w:rPr>
          <w:lang w:val="fr-FR"/>
        </w:rPr>
        <w:t xml:space="preserve"> </w:t>
      </w:r>
      <w:r w:rsidR="00332073" w:rsidRPr="00651186">
        <w:rPr>
          <w:lang w:val="fr-FR"/>
        </w:rPr>
        <w:t>Police royale</w:t>
      </w:r>
      <w:r w:rsidR="000B562B" w:rsidRPr="00A176EA">
        <w:rPr>
          <w:lang w:val="fr-FR"/>
        </w:rPr>
        <w:t xml:space="preserve"> </w:t>
      </w:r>
      <w:r w:rsidR="00651186">
        <w:rPr>
          <w:lang w:val="fr-FR"/>
        </w:rPr>
        <w:t xml:space="preserve">a achevé </w:t>
      </w:r>
      <w:r w:rsidR="00166FB0">
        <w:rPr>
          <w:lang w:val="fr-FR"/>
        </w:rPr>
        <w:t>récemment</w:t>
      </w:r>
      <w:r w:rsidR="00651186">
        <w:rPr>
          <w:lang w:val="fr-FR"/>
        </w:rPr>
        <w:t xml:space="preserve"> un projet de Manuel sur les enquêtes </w:t>
      </w:r>
      <w:r w:rsidR="00166FB0">
        <w:rPr>
          <w:lang w:val="fr-FR"/>
        </w:rPr>
        <w:t xml:space="preserve">externes et internes </w:t>
      </w:r>
      <w:r w:rsidR="00651186">
        <w:rPr>
          <w:lang w:val="fr-FR"/>
        </w:rPr>
        <w:t>relatives aux plaintes du public sur</w:t>
      </w:r>
      <w:r w:rsidR="00166FB0">
        <w:rPr>
          <w:lang w:val="fr-FR"/>
        </w:rPr>
        <w:t xml:space="preserve"> les comportements répréhensibles de la police, qui sera ratifié et mis en œuvre sous peu. </w:t>
      </w:r>
      <w:r w:rsidR="00166FB0" w:rsidRPr="00201463">
        <w:rPr>
          <w:lang w:val="fr-FR"/>
        </w:rPr>
        <w:t>Ce Manu</w:t>
      </w:r>
      <w:r w:rsidR="00581358" w:rsidRPr="00201463">
        <w:rPr>
          <w:lang w:val="fr-FR"/>
        </w:rPr>
        <w:t>e</w:t>
      </w:r>
      <w:r w:rsidR="00166FB0" w:rsidRPr="00201463">
        <w:rPr>
          <w:lang w:val="fr-FR"/>
        </w:rPr>
        <w:t xml:space="preserve">l </w:t>
      </w:r>
      <w:r w:rsidR="00201463" w:rsidRPr="00201463">
        <w:rPr>
          <w:lang w:val="fr-FR"/>
        </w:rPr>
        <w:t xml:space="preserve">aidera </w:t>
      </w:r>
      <w:r w:rsidR="00786B3F">
        <w:rPr>
          <w:lang w:val="fr-FR"/>
        </w:rPr>
        <w:t>le Groupe</w:t>
      </w:r>
      <w:r w:rsidR="00201463" w:rsidRPr="00201463">
        <w:rPr>
          <w:lang w:val="fr-FR"/>
        </w:rPr>
        <w:t xml:space="preserve"> des normes professionnelles créé dernièrement à la suite d’un au</w:t>
      </w:r>
      <w:r w:rsidR="00122ED4">
        <w:rPr>
          <w:lang w:val="fr-FR"/>
        </w:rPr>
        <w:t>d</w:t>
      </w:r>
      <w:r w:rsidR="00201463" w:rsidRPr="00201463">
        <w:rPr>
          <w:lang w:val="fr-FR"/>
        </w:rPr>
        <w:t xml:space="preserve">it externe de trois mois mené par un professionnel expérimenté des </w:t>
      </w:r>
      <w:r w:rsidR="00AF71D8" w:rsidRPr="00201463">
        <w:rPr>
          <w:lang w:val="fr-FR"/>
        </w:rPr>
        <w:t>Services de la police métropolitaine</w:t>
      </w:r>
      <w:r w:rsidR="00201463" w:rsidRPr="00201463">
        <w:rPr>
          <w:lang w:val="fr-FR"/>
        </w:rPr>
        <w:t>.</w:t>
      </w:r>
      <w:r w:rsidR="00201463">
        <w:rPr>
          <w:lang w:val="fr-FR"/>
        </w:rPr>
        <w:t xml:space="preserve"> </w:t>
      </w:r>
      <w:r w:rsidR="00122ED4">
        <w:rPr>
          <w:lang w:val="fr-FR"/>
        </w:rPr>
        <w:t xml:space="preserve">Il définit par ailleurs les normes et le comportement que doivent adopter tous les fonctionnaires de police dans leurs relations avec leurs collègues et le public. Toute allégation de mauvaise conduite fera l’objet d’une enquête visant à déterminer s’il y a eu violation du Code de conduite des fonctionnaires de police et si une procédure disciplinaire s’impose. Le Manuel est un guide pratique qui sera mis à jour en fonction des nouvelles lois et de l’évolution des pratiques et des procédures se rapportant à </w:t>
      </w:r>
      <w:r w:rsidR="00122ED4" w:rsidRPr="00122ED4">
        <w:rPr>
          <w:lang w:val="fr-FR"/>
        </w:rPr>
        <w:t xml:space="preserve">la </w:t>
      </w:r>
      <w:r w:rsidR="00332073" w:rsidRPr="00122ED4">
        <w:rPr>
          <w:lang w:val="fr-FR"/>
        </w:rPr>
        <w:t>Police royale</w:t>
      </w:r>
      <w:r w:rsidR="000B562B" w:rsidRPr="00122ED4">
        <w:rPr>
          <w:lang w:val="fr-FR"/>
        </w:rPr>
        <w:t>.</w:t>
      </w:r>
    </w:p>
    <w:p w:rsidR="000B562B" w:rsidRPr="00A176EA" w:rsidRDefault="00122ED4" w:rsidP="00B669D1">
      <w:pPr>
        <w:pStyle w:val="H23G"/>
        <w:rPr>
          <w:lang w:val="fr-FR"/>
        </w:rPr>
      </w:pPr>
      <w:r>
        <w:rPr>
          <w:lang w:val="fr-FR"/>
        </w:rPr>
        <w:t>Établissements pénitentiaires</w:t>
      </w:r>
    </w:p>
    <w:p w:rsidR="000B562B" w:rsidRPr="00A176EA" w:rsidRDefault="00FE4D62" w:rsidP="00200B89">
      <w:pPr>
        <w:pStyle w:val="SingleTxtG"/>
        <w:rPr>
          <w:lang w:val="fr-FR"/>
        </w:rPr>
      </w:pPr>
      <w:r w:rsidRPr="00A176EA">
        <w:rPr>
          <w:lang w:val="fr-FR"/>
        </w:rPr>
        <w:t>31</w:t>
      </w:r>
      <w:r w:rsidR="002549A9" w:rsidRPr="00A176EA">
        <w:rPr>
          <w:lang w:val="fr-FR"/>
        </w:rPr>
        <w:t>.</w:t>
      </w:r>
      <w:r w:rsidR="002549A9" w:rsidRPr="00A176EA">
        <w:rPr>
          <w:lang w:val="fr-FR"/>
        </w:rPr>
        <w:tab/>
      </w:r>
      <w:r w:rsidR="00122ED4">
        <w:rPr>
          <w:lang w:val="fr-FR"/>
        </w:rPr>
        <w:t xml:space="preserve">La formation aux droits de l’homme est un volet obligatoire du Programme d’instruction </w:t>
      </w:r>
      <w:r w:rsidR="00C14460">
        <w:rPr>
          <w:lang w:val="fr-FR"/>
        </w:rPr>
        <w:t>initiale</w:t>
      </w:r>
      <w:r w:rsidR="00122ED4">
        <w:rPr>
          <w:lang w:val="fr-FR"/>
        </w:rPr>
        <w:t xml:space="preserve"> des fonctionnaires de police. </w:t>
      </w:r>
      <w:r w:rsidR="00C14460">
        <w:rPr>
          <w:lang w:val="fr-FR"/>
        </w:rPr>
        <w:t xml:space="preserve">Au cours des deux années suivantes, ils doivent acquérir 10 </w:t>
      </w:r>
      <w:r w:rsidR="00AA6FE4">
        <w:rPr>
          <w:lang w:val="fr-FR"/>
        </w:rPr>
        <w:t>u</w:t>
      </w:r>
      <w:r w:rsidR="00C14460">
        <w:rPr>
          <w:lang w:val="fr-FR"/>
        </w:rPr>
        <w:t xml:space="preserve">nités de valeur, dont l’une porte spécifiquement sur les droits de l’homme, notamment ceux des détenus. </w:t>
      </w:r>
      <w:r w:rsidR="00750553">
        <w:rPr>
          <w:lang w:val="fr-FR"/>
        </w:rPr>
        <w:t xml:space="preserve">Par ailleurs, un programme d’apprentissage en ligne sur les droits de l’homme est disponible sur l’Internet. Spécifiquement conçu à l’intention du personnel pénitentiaire, il sera obligatoire. Les connaissances et </w:t>
      </w:r>
      <w:r w:rsidR="0028719C">
        <w:rPr>
          <w:lang w:val="fr-FR"/>
        </w:rPr>
        <w:t>attitudes</w:t>
      </w:r>
      <w:r w:rsidR="00200B89">
        <w:rPr>
          <w:lang w:val="fr-FR"/>
        </w:rPr>
        <w:t xml:space="preserve"> de l’ensemble du personnel concernant les droits de l’homme seront contrôlées</w:t>
      </w:r>
      <w:r w:rsidR="000B562B" w:rsidRPr="00A176EA">
        <w:rPr>
          <w:lang w:val="fr-FR"/>
        </w:rPr>
        <w:t>.</w:t>
      </w:r>
    </w:p>
    <w:p w:rsidR="000B562B" w:rsidRPr="00A176EA" w:rsidRDefault="000B562B" w:rsidP="00B669D1">
      <w:pPr>
        <w:pStyle w:val="H23G"/>
        <w:rPr>
          <w:lang w:val="fr-FR"/>
        </w:rPr>
      </w:pPr>
      <w:r w:rsidRPr="00200B89">
        <w:rPr>
          <w:lang w:val="fr-FR"/>
        </w:rPr>
        <w:t>Immigration</w:t>
      </w:r>
    </w:p>
    <w:p w:rsidR="000B562B" w:rsidRPr="00A176EA" w:rsidRDefault="00FE4D62" w:rsidP="00B669D1">
      <w:pPr>
        <w:pStyle w:val="SingleTxtG"/>
        <w:rPr>
          <w:lang w:val="fr-FR"/>
        </w:rPr>
      </w:pPr>
      <w:r w:rsidRPr="00A176EA">
        <w:rPr>
          <w:lang w:val="fr-FR"/>
        </w:rPr>
        <w:t>32</w:t>
      </w:r>
      <w:r w:rsidR="002549A9" w:rsidRPr="00A176EA">
        <w:rPr>
          <w:lang w:val="fr-FR"/>
        </w:rPr>
        <w:t>.</w:t>
      </w:r>
      <w:r w:rsidR="002549A9" w:rsidRPr="00A176EA">
        <w:rPr>
          <w:lang w:val="fr-FR"/>
        </w:rPr>
        <w:tab/>
      </w:r>
      <w:r w:rsidR="00485EC4">
        <w:rPr>
          <w:lang w:val="fr-FR"/>
        </w:rPr>
        <w:t xml:space="preserve">Les fonctionnaires de l’Unité </w:t>
      </w:r>
      <w:r w:rsidR="009F2E39">
        <w:rPr>
          <w:lang w:val="fr-FR"/>
        </w:rPr>
        <w:t>opérationnelle</w:t>
      </w:r>
      <w:r w:rsidR="00485EC4">
        <w:rPr>
          <w:lang w:val="fr-FR"/>
        </w:rPr>
        <w:t xml:space="preserve"> du </w:t>
      </w:r>
      <w:r w:rsidR="00F112B4">
        <w:rPr>
          <w:lang w:val="fr-FR"/>
        </w:rPr>
        <w:t>Service</w:t>
      </w:r>
      <w:r w:rsidR="00485EC4">
        <w:rPr>
          <w:lang w:val="fr-FR"/>
        </w:rPr>
        <w:t xml:space="preserve"> d’immigration chargés de la rétention et de l’audition des personnes reçoivent une formation sur les méthodes de neutralisation et de </w:t>
      </w:r>
      <w:r w:rsidR="0028719C">
        <w:rPr>
          <w:lang w:val="fr-FR"/>
        </w:rPr>
        <w:t>contrainte</w:t>
      </w:r>
      <w:r w:rsidR="00485EC4">
        <w:rPr>
          <w:lang w:val="fr-FR"/>
        </w:rPr>
        <w:t xml:space="preserve"> physique, </w:t>
      </w:r>
      <w:r w:rsidR="003D6426">
        <w:rPr>
          <w:lang w:val="fr-FR"/>
        </w:rPr>
        <w:t>l’usage raisonnable de la force et l’emploi à bon escient de l’aérosol au poivre et des balles en plastique. Dans le cadre de cette formation, les fonctionnaires de l’immigration sont également formés au traitement approprié des femmes et des jeunes, ainsi que des groupes ethniques, religieux et autres</w:t>
      </w:r>
      <w:r w:rsidR="000B562B" w:rsidRPr="00A176EA">
        <w:rPr>
          <w:lang w:val="fr-FR"/>
        </w:rPr>
        <w:t>.</w:t>
      </w:r>
    </w:p>
    <w:p w:rsidR="000B562B" w:rsidRPr="00A176EA" w:rsidRDefault="00FE4D62" w:rsidP="003D6426">
      <w:pPr>
        <w:pStyle w:val="SingleTxtG"/>
        <w:rPr>
          <w:lang w:val="fr-FR"/>
        </w:rPr>
      </w:pPr>
      <w:r w:rsidRPr="00A176EA">
        <w:rPr>
          <w:lang w:val="fr-FR"/>
        </w:rPr>
        <w:t>33</w:t>
      </w:r>
      <w:r w:rsidR="002549A9" w:rsidRPr="00A176EA">
        <w:rPr>
          <w:lang w:val="fr-FR"/>
        </w:rPr>
        <w:t>.</w:t>
      </w:r>
      <w:r w:rsidR="002549A9" w:rsidRPr="00A176EA">
        <w:rPr>
          <w:lang w:val="fr-FR"/>
        </w:rPr>
        <w:tab/>
      </w:r>
      <w:r w:rsidR="003D6426">
        <w:rPr>
          <w:lang w:val="fr-FR"/>
        </w:rPr>
        <w:t xml:space="preserve">Cette formation dispensée à l’entrée dans l’Unité est suivie chaque année de cours de recyclage (y compris pour la certification ou recertification s’agissant des aérosols au poivre, </w:t>
      </w:r>
      <w:r w:rsidR="0028719C">
        <w:rPr>
          <w:lang w:val="fr-FR"/>
        </w:rPr>
        <w:t>des</w:t>
      </w:r>
      <w:r w:rsidR="003D6426">
        <w:rPr>
          <w:lang w:val="fr-FR"/>
        </w:rPr>
        <w:t xml:space="preserve"> balles en plastique, etc.) donnés par des instructeurs internes certifiés</w:t>
      </w:r>
      <w:r w:rsidR="000B562B" w:rsidRPr="00A176EA">
        <w:rPr>
          <w:lang w:val="fr-FR"/>
        </w:rPr>
        <w:t>.</w:t>
      </w:r>
    </w:p>
    <w:p w:rsidR="000B562B" w:rsidRPr="00A176EA" w:rsidRDefault="00FE4D62" w:rsidP="00B669D1">
      <w:pPr>
        <w:pStyle w:val="SingleTxtG"/>
        <w:rPr>
          <w:lang w:val="fr-FR"/>
        </w:rPr>
      </w:pPr>
      <w:r w:rsidRPr="00A176EA">
        <w:rPr>
          <w:lang w:val="fr-FR"/>
        </w:rPr>
        <w:t>34</w:t>
      </w:r>
      <w:r w:rsidR="002549A9" w:rsidRPr="00A176EA">
        <w:rPr>
          <w:lang w:val="fr-FR"/>
        </w:rPr>
        <w:t>.</w:t>
      </w:r>
      <w:r w:rsidR="002549A9" w:rsidRPr="00A176EA">
        <w:rPr>
          <w:lang w:val="fr-FR"/>
        </w:rPr>
        <w:tab/>
      </w:r>
      <w:r w:rsidR="00B72E61">
        <w:rPr>
          <w:lang w:val="fr-FR"/>
        </w:rPr>
        <w:t xml:space="preserve">L’hôpital de George Town ne dispense pas à son personnel un programme de formation spécifique sur l’identification des actes de torture. </w:t>
      </w:r>
      <w:r w:rsidR="00334241">
        <w:rPr>
          <w:lang w:val="fr-FR"/>
        </w:rPr>
        <w:t xml:space="preserve">Le personnel est toutefois formé à reconnaître les traumatismes. </w:t>
      </w:r>
      <w:r w:rsidR="00B96556">
        <w:rPr>
          <w:lang w:val="fr-FR"/>
        </w:rPr>
        <w:t xml:space="preserve">Les établissements pénitentiaires disposent d’une infirmière à plein </w:t>
      </w:r>
      <w:r w:rsidR="00F112B4">
        <w:rPr>
          <w:lang w:val="fr-FR"/>
        </w:rPr>
        <w:t xml:space="preserve">temps </w:t>
      </w:r>
      <w:r w:rsidR="00B96556">
        <w:rPr>
          <w:lang w:val="fr-FR"/>
        </w:rPr>
        <w:t xml:space="preserve">et des médecins généralistes s’y rendent deux fois par semaine pour soigner les détenus. Des visites de généralistes sont également organisées dans les </w:t>
      </w:r>
      <w:r w:rsidR="0028719C">
        <w:rPr>
          <w:lang w:val="fr-FR"/>
        </w:rPr>
        <w:t>C</w:t>
      </w:r>
      <w:r w:rsidR="00B96556">
        <w:rPr>
          <w:lang w:val="fr-FR"/>
        </w:rPr>
        <w:t xml:space="preserve">entres de rétention </w:t>
      </w:r>
      <w:r w:rsidR="0028719C">
        <w:rPr>
          <w:lang w:val="fr-FR"/>
        </w:rPr>
        <w:t>pour migrants</w:t>
      </w:r>
      <w:r w:rsidR="000B562B" w:rsidRPr="00A176EA">
        <w:rPr>
          <w:lang w:val="fr-FR"/>
        </w:rPr>
        <w:t xml:space="preserve">. </w:t>
      </w:r>
      <w:r w:rsidR="00B72E61" w:rsidRPr="00B96556">
        <w:rPr>
          <w:lang w:val="fr-FR"/>
        </w:rPr>
        <w:t>À ce jour, aucun cas de blessures dues à la torture n’a été signalé</w:t>
      </w:r>
      <w:r w:rsidR="000B562B" w:rsidRPr="00B96556">
        <w:rPr>
          <w:lang w:val="fr-FR"/>
        </w:rPr>
        <w:t>.</w:t>
      </w:r>
    </w:p>
    <w:p w:rsidR="000B562B" w:rsidRPr="00B96556" w:rsidRDefault="0004046C" w:rsidP="001C135E">
      <w:pPr>
        <w:pStyle w:val="H1G"/>
      </w:pPr>
      <w:r>
        <w:tab/>
      </w:r>
      <w:r>
        <w:tab/>
      </w:r>
      <w:r w:rsidR="000B562B" w:rsidRPr="00B96556">
        <w:t>Article 11</w:t>
      </w:r>
    </w:p>
    <w:p w:rsidR="000B562B" w:rsidRPr="00061145" w:rsidRDefault="00FE4D62" w:rsidP="00B669D1">
      <w:pPr>
        <w:pStyle w:val="SingleTxtG"/>
        <w:rPr>
          <w:lang w:val="fr-FR"/>
        </w:rPr>
      </w:pPr>
      <w:r w:rsidRPr="00B96556">
        <w:rPr>
          <w:lang w:val="fr-FR"/>
        </w:rPr>
        <w:t>35</w:t>
      </w:r>
      <w:r w:rsidR="002549A9" w:rsidRPr="00B96556">
        <w:rPr>
          <w:lang w:val="fr-FR"/>
        </w:rPr>
        <w:t>.</w:t>
      </w:r>
      <w:r w:rsidR="002549A9" w:rsidRPr="00B96556">
        <w:rPr>
          <w:lang w:val="fr-FR"/>
        </w:rPr>
        <w:tab/>
      </w:r>
      <w:r w:rsidR="00504815" w:rsidRPr="00B96556">
        <w:rPr>
          <w:lang w:val="fr-FR"/>
        </w:rPr>
        <w:t xml:space="preserve">En 2001, trois </w:t>
      </w:r>
      <w:r w:rsidR="005B2E97" w:rsidRPr="00B96556">
        <w:rPr>
          <w:lang w:val="fr-FR"/>
        </w:rPr>
        <w:t xml:space="preserve">Commissaires à la modernisation de la </w:t>
      </w:r>
      <w:r w:rsidR="000B562B" w:rsidRPr="00B96556">
        <w:rPr>
          <w:lang w:val="fr-FR"/>
        </w:rPr>
        <w:t>Constitution</w:t>
      </w:r>
      <w:r w:rsidR="005B2E97" w:rsidRPr="00B96556">
        <w:rPr>
          <w:lang w:val="fr-FR"/>
        </w:rPr>
        <w:t xml:space="preserve"> </w:t>
      </w:r>
      <w:r w:rsidR="00504815" w:rsidRPr="00B96556">
        <w:rPr>
          <w:lang w:val="fr-FR"/>
        </w:rPr>
        <w:t>ont été nommés pour</w:t>
      </w:r>
      <w:r w:rsidR="000B562B" w:rsidRPr="00B96556">
        <w:rPr>
          <w:lang w:val="fr-FR"/>
        </w:rPr>
        <w:t xml:space="preserve"> </w:t>
      </w:r>
      <w:r w:rsidR="00504815" w:rsidRPr="00B96556">
        <w:rPr>
          <w:lang w:val="fr-FR"/>
        </w:rPr>
        <w:t>examiner</w:t>
      </w:r>
      <w:r w:rsidR="000B562B" w:rsidRPr="00B96556">
        <w:rPr>
          <w:lang w:val="fr-FR"/>
        </w:rPr>
        <w:t xml:space="preserve"> </w:t>
      </w:r>
      <w:r w:rsidR="00504815" w:rsidRPr="00B96556">
        <w:rPr>
          <w:lang w:val="fr-FR"/>
        </w:rPr>
        <w:t>la</w:t>
      </w:r>
      <w:r w:rsidR="000B562B" w:rsidRPr="00B96556">
        <w:rPr>
          <w:lang w:val="fr-FR"/>
        </w:rPr>
        <w:t xml:space="preserve"> Constitution</w:t>
      </w:r>
      <w:r w:rsidR="00504815" w:rsidRPr="00B96556">
        <w:rPr>
          <w:lang w:val="fr-FR"/>
        </w:rPr>
        <w:t xml:space="preserve"> des îles Caïmanes</w:t>
      </w:r>
      <w:r w:rsidR="000B562B" w:rsidRPr="00B96556">
        <w:rPr>
          <w:lang w:val="fr-FR"/>
        </w:rPr>
        <w:t>.</w:t>
      </w:r>
      <w:r w:rsidR="000B562B" w:rsidRPr="00A176EA">
        <w:rPr>
          <w:lang w:val="fr-FR"/>
        </w:rPr>
        <w:t xml:space="preserve"> </w:t>
      </w:r>
      <w:r w:rsidR="00AD67B5">
        <w:rPr>
          <w:lang w:val="fr-FR"/>
        </w:rPr>
        <w:t xml:space="preserve">Leur rapport de 2002 recommandait l’introduction d’une Charte des droits conforme aux dispositions de la Convention européenne des droits de l’homme. </w:t>
      </w:r>
      <w:r w:rsidR="00AD67B5" w:rsidRPr="00AD67B5">
        <w:rPr>
          <w:lang w:val="fr-FR"/>
        </w:rPr>
        <w:t xml:space="preserve">Suite à la création du </w:t>
      </w:r>
      <w:r w:rsidR="000B562B" w:rsidRPr="00AD67B5">
        <w:rPr>
          <w:lang w:val="fr-FR"/>
        </w:rPr>
        <w:t>Secr</w:t>
      </w:r>
      <w:r w:rsidR="005B2E97" w:rsidRPr="00AD67B5">
        <w:rPr>
          <w:lang w:val="fr-FR"/>
        </w:rPr>
        <w:t>é</w:t>
      </w:r>
      <w:r w:rsidR="000B562B" w:rsidRPr="00AD67B5">
        <w:rPr>
          <w:lang w:val="fr-FR"/>
        </w:rPr>
        <w:t xml:space="preserve">tariat </w:t>
      </w:r>
      <w:r w:rsidR="005B2E97" w:rsidRPr="00AD67B5">
        <w:rPr>
          <w:lang w:val="fr-FR"/>
        </w:rPr>
        <w:t>pour la modernisation de la Constitution</w:t>
      </w:r>
      <w:r w:rsidR="00AD67B5">
        <w:rPr>
          <w:lang w:val="fr-FR"/>
        </w:rPr>
        <w:t>,</w:t>
      </w:r>
      <w:r w:rsidR="005B2E97" w:rsidRPr="00A176EA">
        <w:rPr>
          <w:lang w:val="fr-FR"/>
        </w:rPr>
        <w:t xml:space="preserve"> </w:t>
      </w:r>
      <w:r w:rsidR="00AD67B5">
        <w:rPr>
          <w:lang w:val="fr-FR"/>
        </w:rPr>
        <w:t>à une vaste campagne de sensibilisation et à de nombreux débats, le projet de nouvelle Constitution, négocié avec le Royaume-Uni, a été diffusé pour une dernière consultation publique et un référendum qui s’est tenu en 2009. Le projet prévo</w:t>
      </w:r>
      <w:r w:rsidR="00B2703F">
        <w:rPr>
          <w:lang w:val="fr-FR"/>
        </w:rPr>
        <w:t>yai</w:t>
      </w:r>
      <w:r w:rsidR="00AD67B5">
        <w:rPr>
          <w:lang w:val="fr-FR"/>
        </w:rPr>
        <w:t xml:space="preserve">t une </w:t>
      </w:r>
      <w:r w:rsidR="0028719C">
        <w:rPr>
          <w:lang w:val="fr-FR"/>
        </w:rPr>
        <w:t>C</w:t>
      </w:r>
      <w:r w:rsidR="00AD67B5">
        <w:rPr>
          <w:lang w:val="fr-FR"/>
        </w:rPr>
        <w:t xml:space="preserve">harte des droits dans laquelle figure, notamment, le droit </w:t>
      </w:r>
      <w:r w:rsidR="00B2703F">
        <w:rPr>
          <w:lang w:val="fr-FR"/>
        </w:rPr>
        <w:t>de</w:t>
      </w:r>
      <w:r w:rsidR="00AD67B5">
        <w:rPr>
          <w:lang w:val="fr-FR"/>
        </w:rPr>
        <w:t xml:space="preserve"> ne pas être soumis à la torture et autres peines ou traitements inhumains ou dégradants. </w:t>
      </w:r>
      <w:r w:rsidR="00741676" w:rsidRPr="00B15A39">
        <w:rPr>
          <w:lang w:val="fr-FR"/>
        </w:rPr>
        <w:t>À l’issue des élections générales de mai 2009, l’ordonnance de 2009 relative à la Constitution des îles Caïmanes est entrée en vigueur</w:t>
      </w:r>
      <w:r w:rsidR="000B562B" w:rsidRPr="00B15A39">
        <w:rPr>
          <w:lang w:val="fr-FR"/>
        </w:rPr>
        <w:t xml:space="preserve"> </w:t>
      </w:r>
      <w:r w:rsidR="00741676" w:rsidRPr="00B15A39">
        <w:rPr>
          <w:lang w:val="fr-FR"/>
        </w:rPr>
        <w:t>le</w:t>
      </w:r>
      <w:r w:rsidR="000B562B" w:rsidRPr="00B15A39">
        <w:rPr>
          <w:lang w:val="fr-FR"/>
        </w:rPr>
        <w:t xml:space="preserve"> 6 </w:t>
      </w:r>
      <w:r w:rsidR="00741676" w:rsidRPr="00B15A39">
        <w:rPr>
          <w:lang w:val="fr-FR"/>
        </w:rPr>
        <w:t>novembre</w:t>
      </w:r>
      <w:r w:rsidR="000B562B" w:rsidRPr="00B15A39">
        <w:rPr>
          <w:lang w:val="fr-FR"/>
        </w:rPr>
        <w:t xml:space="preserve"> 2009, </w:t>
      </w:r>
      <w:r w:rsidR="00061145">
        <w:rPr>
          <w:lang w:val="fr-FR"/>
        </w:rPr>
        <w:t xml:space="preserve">à la date </w:t>
      </w:r>
      <w:r w:rsidR="00376771">
        <w:rPr>
          <w:lang w:val="fr-FR"/>
        </w:rPr>
        <w:t>prévue</w:t>
      </w:r>
      <w:r w:rsidR="000B562B" w:rsidRPr="00B15A39">
        <w:rPr>
          <w:lang w:val="fr-FR"/>
        </w:rPr>
        <w:t xml:space="preserve">. </w:t>
      </w:r>
      <w:r w:rsidR="00741676" w:rsidRPr="00061145">
        <w:rPr>
          <w:lang w:val="fr-FR"/>
        </w:rPr>
        <w:t>Aux termes d</w:t>
      </w:r>
      <w:r w:rsidR="00376771">
        <w:rPr>
          <w:lang w:val="fr-FR"/>
        </w:rPr>
        <w:t>u paragraphe 2 de son</w:t>
      </w:r>
      <w:r w:rsidR="00741676" w:rsidRPr="00061145">
        <w:rPr>
          <w:lang w:val="fr-FR"/>
        </w:rPr>
        <w:t xml:space="preserve"> article </w:t>
      </w:r>
      <w:r w:rsidR="000B562B" w:rsidRPr="00061145">
        <w:rPr>
          <w:lang w:val="fr-FR"/>
        </w:rPr>
        <w:t xml:space="preserve">4, </w:t>
      </w:r>
      <w:r w:rsidR="00B15A39" w:rsidRPr="00061145">
        <w:rPr>
          <w:lang w:val="fr-FR"/>
        </w:rPr>
        <w:t xml:space="preserve">la Chartre des droits entrera en vigueur trois ans après la date indiquée, </w:t>
      </w:r>
      <w:r w:rsidR="00061145" w:rsidRPr="00061145">
        <w:rPr>
          <w:lang w:val="fr-FR"/>
        </w:rPr>
        <w:t xml:space="preserve">à l’exception de certaines dispositions concernant les détenus, qui n’entreront en vigueur que </w:t>
      </w:r>
      <w:r w:rsidR="00FC3B7E" w:rsidRPr="00061145">
        <w:rPr>
          <w:lang w:val="fr-FR"/>
        </w:rPr>
        <w:t>le</w:t>
      </w:r>
      <w:r w:rsidR="000B562B" w:rsidRPr="00061145">
        <w:rPr>
          <w:lang w:val="fr-FR"/>
        </w:rPr>
        <w:t xml:space="preserve"> 6 </w:t>
      </w:r>
      <w:r w:rsidR="00FC3B7E" w:rsidRPr="00061145">
        <w:rPr>
          <w:lang w:val="fr-FR"/>
        </w:rPr>
        <w:t>n</w:t>
      </w:r>
      <w:r w:rsidR="000B562B" w:rsidRPr="00061145">
        <w:rPr>
          <w:lang w:val="fr-FR"/>
        </w:rPr>
        <w:t>ovemb</w:t>
      </w:r>
      <w:r w:rsidR="00FC3B7E" w:rsidRPr="00061145">
        <w:rPr>
          <w:lang w:val="fr-FR"/>
        </w:rPr>
        <w:t>re</w:t>
      </w:r>
      <w:r w:rsidR="000B562B" w:rsidRPr="00061145">
        <w:rPr>
          <w:lang w:val="fr-FR"/>
        </w:rPr>
        <w:t xml:space="preserve"> 2013.</w:t>
      </w:r>
    </w:p>
    <w:p w:rsidR="000B562B" w:rsidRPr="00A176EA" w:rsidRDefault="00F15A27" w:rsidP="00B669D1">
      <w:pPr>
        <w:pStyle w:val="H23G"/>
        <w:rPr>
          <w:lang w:val="fr-FR"/>
        </w:rPr>
      </w:pPr>
      <w:r w:rsidRPr="00061145">
        <w:rPr>
          <w:lang w:val="fr-FR"/>
        </w:rPr>
        <w:t>Établissements pénitentiaires</w:t>
      </w:r>
    </w:p>
    <w:p w:rsidR="000B562B" w:rsidRPr="00A176EA" w:rsidRDefault="00FE4D62" w:rsidP="00B669D1">
      <w:pPr>
        <w:pStyle w:val="SingleTxtG"/>
        <w:rPr>
          <w:lang w:val="fr-FR"/>
        </w:rPr>
      </w:pPr>
      <w:r w:rsidRPr="00A176EA">
        <w:rPr>
          <w:lang w:val="fr-FR"/>
        </w:rPr>
        <w:t>36</w:t>
      </w:r>
      <w:r w:rsidR="002549A9" w:rsidRPr="00A176EA">
        <w:rPr>
          <w:lang w:val="fr-FR"/>
        </w:rPr>
        <w:t>.</w:t>
      </w:r>
      <w:r w:rsidR="002549A9" w:rsidRPr="00A176EA">
        <w:rPr>
          <w:lang w:val="fr-FR"/>
        </w:rPr>
        <w:tab/>
      </w:r>
      <w:r w:rsidR="00061145">
        <w:rPr>
          <w:lang w:val="fr-FR"/>
        </w:rPr>
        <w:t xml:space="preserve">Une nouvelle loi sur les établissements pénitentiaires et de nouvelles Règles pénitentiaires sont actuellement élaborées par le Bureau de rédaction des lois. </w:t>
      </w:r>
      <w:r w:rsidR="00741676" w:rsidRPr="00061145">
        <w:rPr>
          <w:lang w:val="fr-FR"/>
        </w:rPr>
        <w:t xml:space="preserve">Les nouvelles Règles </w:t>
      </w:r>
      <w:r w:rsidR="00376771">
        <w:rPr>
          <w:lang w:val="fr-FR"/>
        </w:rPr>
        <w:t>intègrent</w:t>
      </w:r>
      <w:r w:rsidR="00741676" w:rsidRPr="00061145">
        <w:rPr>
          <w:lang w:val="fr-FR"/>
        </w:rPr>
        <w:t xml:space="preserve"> toutes les protections </w:t>
      </w:r>
      <w:r w:rsidR="000B562B" w:rsidRPr="00061145">
        <w:rPr>
          <w:lang w:val="fr-FR"/>
        </w:rPr>
        <w:t>appropri</w:t>
      </w:r>
      <w:r w:rsidR="00741676" w:rsidRPr="00061145">
        <w:rPr>
          <w:lang w:val="fr-FR"/>
        </w:rPr>
        <w:t>ées</w:t>
      </w:r>
      <w:r w:rsidR="000B562B" w:rsidRPr="00061145">
        <w:rPr>
          <w:lang w:val="fr-FR"/>
        </w:rPr>
        <w:t xml:space="preserve"> </w:t>
      </w:r>
      <w:r w:rsidR="00741676" w:rsidRPr="00061145">
        <w:rPr>
          <w:lang w:val="fr-FR"/>
        </w:rPr>
        <w:t>énoncées dans les nouvelles</w:t>
      </w:r>
      <w:r w:rsidR="000B562B" w:rsidRPr="00061145">
        <w:rPr>
          <w:lang w:val="fr-FR"/>
        </w:rPr>
        <w:t xml:space="preserve"> </w:t>
      </w:r>
      <w:r w:rsidR="00F15A27" w:rsidRPr="00061145">
        <w:rPr>
          <w:lang w:val="fr-FR"/>
        </w:rPr>
        <w:t>Règles pénitentiaires e</w:t>
      </w:r>
      <w:r w:rsidR="000B562B" w:rsidRPr="00061145">
        <w:rPr>
          <w:lang w:val="fr-FR"/>
        </w:rPr>
        <w:t>urop</w:t>
      </w:r>
      <w:r w:rsidR="00F15A27" w:rsidRPr="00061145">
        <w:rPr>
          <w:lang w:val="fr-FR"/>
        </w:rPr>
        <w:t>éennes</w:t>
      </w:r>
      <w:r w:rsidR="000B562B" w:rsidRPr="00061145">
        <w:rPr>
          <w:lang w:val="fr-FR"/>
        </w:rPr>
        <w:t xml:space="preserve"> (2006), </w:t>
      </w:r>
      <w:r w:rsidR="00B06DBA" w:rsidRPr="00061145">
        <w:rPr>
          <w:lang w:val="fr-FR"/>
        </w:rPr>
        <w:t xml:space="preserve">l’Ensemble de règles minima et </w:t>
      </w:r>
      <w:r w:rsidR="00337474">
        <w:rPr>
          <w:lang w:val="fr-FR"/>
        </w:rPr>
        <w:t>l</w:t>
      </w:r>
      <w:r w:rsidR="002F188F" w:rsidRPr="00061145">
        <w:rPr>
          <w:lang w:val="fr-FR"/>
        </w:rPr>
        <w:t>e</w:t>
      </w:r>
      <w:r w:rsidR="00337474">
        <w:rPr>
          <w:lang w:val="fr-FR"/>
        </w:rPr>
        <w:t>s</w:t>
      </w:r>
      <w:r w:rsidR="002F188F" w:rsidRPr="00061145">
        <w:rPr>
          <w:lang w:val="fr-FR"/>
        </w:rPr>
        <w:t xml:space="preserve"> </w:t>
      </w:r>
      <w:r w:rsidR="00337474">
        <w:rPr>
          <w:lang w:val="fr-FR"/>
        </w:rPr>
        <w:t>P</w:t>
      </w:r>
      <w:r w:rsidR="002F188F" w:rsidRPr="00061145">
        <w:rPr>
          <w:lang w:val="fr-FR"/>
        </w:rPr>
        <w:t>rincipes</w:t>
      </w:r>
      <w:r w:rsidR="00337474">
        <w:rPr>
          <w:lang w:val="fr-FR"/>
        </w:rPr>
        <w:t xml:space="preserve"> fondamentaux relatifs au traitement des détenus</w:t>
      </w:r>
      <w:r w:rsidR="000B562B" w:rsidRPr="00061145">
        <w:rPr>
          <w:lang w:val="fr-FR"/>
        </w:rPr>
        <w:t xml:space="preserve">. </w:t>
      </w:r>
      <w:r w:rsidR="002F188F" w:rsidRPr="00061145">
        <w:rPr>
          <w:lang w:val="fr-FR"/>
        </w:rPr>
        <w:t>Par ailleurs, des mesures sont prises pour</w:t>
      </w:r>
      <w:r w:rsidR="002F188F">
        <w:rPr>
          <w:lang w:val="fr-FR"/>
        </w:rPr>
        <w:t xml:space="preserve"> </w:t>
      </w:r>
      <w:r w:rsidR="00DB37B3">
        <w:rPr>
          <w:lang w:val="fr-FR"/>
        </w:rPr>
        <w:t xml:space="preserve">tenir compte de la nouvelle jurisprudence ou des recommandations du Comité des Ministres du Conseil de l’Europe pour, le cas échéant et dans la mesure du possible compte tenu du contexte local, </w:t>
      </w:r>
      <w:r w:rsidR="004A4F65">
        <w:rPr>
          <w:lang w:val="fr-FR"/>
        </w:rPr>
        <w:t xml:space="preserve">intégrer de telles recommandations dans le cadre législatif et les politiques en vigueur, et toute décision de justice pourra servir d’orientation sur l’interprétation et l’application des différents articles de la </w:t>
      </w:r>
      <w:r w:rsidR="000B562B" w:rsidRPr="00A176EA">
        <w:rPr>
          <w:lang w:val="fr-FR"/>
        </w:rPr>
        <w:t>Convention.</w:t>
      </w:r>
    </w:p>
    <w:p w:rsidR="000B562B" w:rsidRPr="00A176EA" w:rsidRDefault="00FE4D62" w:rsidP="00B669D1">
      <w:pPr>
        <w:pStyle w:val="SingleTxtG"/>
        <w:rPr>
          <w:lang w:val="fr-FR"/>
        </w:rPr>
      </w:pPr>
      <w:r w:rsidRPr="00A176EA">
        <w:rPr>
          <w:lang w:val="fr-FR"/>
        </w:rPr>
        <w:t>37</w:t>
      </w:r>
      <w:r w:rsidR="002549A9" w:rsidRPr="00A176EA">
        <w:rPr>
          <w:lang w:val="fr-FR"/>
        </w:rPr>
        <w:t>.</w:t>
      </w:r>
      <w:r w:rsidR="002549A9" w:rsidRPr="00A176EA">
        <w:rPr>
          <w:lang w:val="fr-FR"/>
        </w:rPr>
        <w:tab/>
      </w:r>
      <w:r w:rsidR="002F188F" w:rsidRPr="004A4F65">
        <w:rPr>
          <w:lang w:val="fr-FR"/>
        </w:rPr>
        <w:t>Tous les détenus, qu’ils soient condamnés ou en attente de procès, ont accès à un p</w:t>
      </w:r>
      <w:r w:rsidR="000E52AE" w:rsidRPr="004A4F65">
        <w:rPr>
          <w:lang w:val="fr-FR"/>
        </w:rPr>
        <w:t>e</w:t>
      </w:r>
      <w:r w:rsidR="002F188F" w:rsidRPr="004A4F65">
        <w:rPr>
          <w:lang w:val="fr-FR"/>
        </w:rPr>
        <w:t xml:space="preserve">rsonnel médical, aux membres de leur famille et, le cas échéant, </w:t>
      </w:r>
      <w:r w:rsidR="000E52AE" w:rsidRPr="004A4F65">
        <w:rPr>
          <w:lang w:val="fr-FR"/>
        </w:rPr>
        <w:t>aux employés consulaires</w:t>
      </w:r>
      <w:r w:rsidR="000B562B" w:rsidRPr="004A4F65">
        <w:rPr>
          <w:lang w:val="fr-FR"/>
        </w:rPr>
        <w:t>.</w:t>
      </w:r>
    </w:p>
    <w:p w:rsidR="000B562B" w:rsidRPr="00A176EA" w:rsidRDefault="00FE4D62" w:rsidP="00DA5CCB">
      <w:pPr>
        <w:pStyle w:val="SingleTxtG"/>
        <w:rPr>
          <w:lang w:val="fr-FR"/>
        </w:rPr>
      </w:pPr>
      <w:r w:rsidRPr="00A176EA">
        <w:rPr>
          <w:lang w:val="fr-FR"/>
        </w:rPr>
        <w:t>38</w:t>
      </w:r>
      <w:r w:rsidR="002549A9" w:rsidRPr="00A176EA">
        <w:rPr>
          <w:lang w:val="fr-FR"/>
        </w:rPr>
        <w:t>.</w:t>
      </w:r>
      <w:r w:rsidR="002549A9" w:rsidRPr="00A176EA">
        <w:rPr>
          <w:lang w:val="fr-FR"/>
        </w:rPr>
        <w:tab/>
      </w:r>
      <w:r w:rsidR="004A4F65">
        <w:rPr>
          <w:lang w:val="fr-FR"/>
        </w:rPr>
        <w:t>Le Comité d’inspection des établissements pénitentiaires a été reconstitué en mai 2007 et le Conseil des ministres en a approuvé le mandat</w:t>
      </w:r>
      <w:r w:rsidR="000B562B" w:rsidRPr="00A176EA">
        <w:rPr>
          <w:rStyle w:val="FootnoteReference"/>
          <w:szCs w:val="22"/>
        </w:rPr>
        <w:footnoteReference w:id="140"/>
      </w:r>
      <w:r w:rsidR="00F34769">
        <w:rPr>
          <w:lang w:val="fr-FR"/>
        </w:rPr>
        <w:t>.</w:t>
      </w:r>
      <w:r w:rsidR="000B562B" w:rsidRPr="00A176EA">
        <w:rPr>
          <w:lang w:val="fr-FR"/>
        </w:rPr>
        <w:t xml:space="preserve"> </w:t>
      </w:r>
      <w:r w:rsidR="004A4F65">
        <w:rPr>
          <w:lang w:val="fr-FR"/>
        </w:rPr>
        <w:t>En septembre</w:t>
      </w:r>
      <w:r w:rsidR="000B562B" w:rsidRPr="00A176EA">
        <w:rPr>
          <w:lang w:val="fr-FR"/>
        </w:rPr>
        <w:t xml:space="preserve"> 2007, </w:t>
      </w:r>
      <w:r w:rsidR="004A4F65">
        <w:rPr>
          <w:lang w:val="fr-FR"/>
        </w:rPr>
        <w:t xml:space="preserve">le Comité s’est vu désigner un nouveau Secrétaire. </w:t>
      </w:r>
      <w:r w:rsidR="00CD0C53">
        <w:rPr>
          <w:lang w:val="fr-FR"/>
        </w:rPr>
        <w:t xml:space="preserve">Début octobre 2007, tous ses membres, Secrétaire inclus, ont reçu une formation approfondie sur l’inspection des prisons dispensée par le professeur Jim McManus et M. Roger Houchin, </w:t>
      </w:r>
      <w:r w:rsidR="00DA5CCB">
        <w:rPr>
          <w:lang w:val="fr-FR"/>
        </w:rPr>
        <w:t xml:space="preserve">qui ont tous deux une grande expérience en la matière dans le monde entier, en particulier en Europe. Les nouveaux membres ont été informés sur les dernières normes appliquées en matière d’inspection des prisons dans l’Union européenne et ont suivi une inspection </w:t>
      </w:r>
      <w:r w:rsidR="00CD0110">
        <w:rPr>
          <w:lang w:val="fr-FR"/>
        </w:rPr>
        <w:t>«</w:t>
      </w:r>
      <w:r w:rsidR="00DA5CCB">
        <w:rPr>
          <w:lang w:val="fr-FR"/>
        </w:rPr>
        <w:t>modèle</w:t>
      </w:r>
      <w:r w:rsidR="00CD0110">
        <w:rPr>
          <w:lang w:val="fr-FR"/>
        </w:rPr>
        <w:t>»</w:t>
      </w:r>
      <w:r w:rsidR="00DA5CCB">
        <w:rPr>
          <w:lang w:val="fr-FR"/>
        </w:rPr>
        <w:t xml:space="preserve"> des installations pénitentiaires locales</w:t>
      </w:r>
      <w:r w:rsidR="000B562B" w:rsidRPr="00A176EA">
        <w:rPr>
          <w:lang w:val="fr-FR"/>
        </w:rPr>
        <w:t>.</w:t>
      </w:r>
    </w:p>
    <w:p w:rsidR="000B562B" w:rsidRPr="00A176EA" w:rsidRDefault="00FE4D62" w:rsidP="00B669D1">
      <w:pPr>
        <w:pStyle w:val="SingleTxtG"/>
        <w:rPr>
          <w:lang w:val="fr-FR"/>
        </w:rPr>
      </w:pPr>
      <w:r w:rsidRPr="00A176EA">
        <w:rPr>
          <w:lang w:val="fr-FR"/>
        </w:rPr>
        <w:t>39</w:t>
      </w:r>
      <w:r w:rsidR="002549A9" w:rsidRPr="00A176EA">
        <w:rPr>
          <w:lang w:val="fr-FR"/>
        </w:rPr>
        <w:t>.</w:t>
      </w:r>
      <w:r w:rsidR="002549A9" w:rsidRPr="00A176EA">
        <w:rPr>
          <w:lang w:val="fr-FR"/>
        </w:rPr>
        <w:tab/>
      </w:r>
      <w:r w:rsidR="00043797">
        <w:rPr>
          <w:lang w:val="fr-FR"/>
        </w:rPr>
        <w:t xml:space="preserve">Le Comité inspecte désormais tous les lieux de détention (prisons, centres de rétention </w:t>
      </w:r>
      <w:r w:rsidR="0028719C">
        <w:rPr>
          <w:lang w:val="fr-FR"/>
        </w:rPr>
        <w:t>pour migrants</w:t>
      </w:r>
      <w:r w:rsidR="00043797">
        <w:rPr>
          <w:lang w:val="fr-FR"/>
        </w:rPr>
        <w:t>, cellules de garde à vue et centre</w:t>
      </w:r>
      <w:r w:rsidR="0028719C">
        <w:rPr>
          <w:lang w:val="fr-FR"/>
        </w:rPr>
        <w:t>s</w:t>
      </w:r>
      <w:r w:rsidR="00043797">
        <w:rPr>
          <w:lang w:val="fr-FR"/>
        </w:rPr>
        <w:t xml:space="preserve"> de détention pour jeunes délinquants) en suivant une série de normes issues de la Convention européenne des droits de l’homme, ainsi que </w:t>
      </w:r>
      <w:r w:rsidR="0028719C">
        <w:rPr>
          <w:lang w:val="fr-FR"/>
        </w:rPr>
        <w:t>l</w:t>
      </w:r>
      <w:r w:rsidR="00043797">
        <w:rPr>
          <w:lang w:val="fr-FR"/>
        </w:rPr>
        <w:t xml:space="preserve">es normes pertinentes des Nations Unies. </w:t>
      </w:r>
      <w:r w:rsidR="00F34769" w:rsidRPr="005E7A46">
        <w:rPr>
          <w:lang w:val="fr-FR"/>
        </w:rPr>
        <w:t>Ces normes sont énoncées dans un</w:t>
      </w:r>
      <w:r w:rsidR="000B562B" w:rsidRPr="005E7A46">
        <w:rPr>
          <w:lang w:val="fr-FR"/>
        </w:rPr>
        <w:t xml:space="preserve"> document </w:t>
      </w:r>
      <w:r w:rsidR="00F34769" w:rsidRPr="005E7A46">
        <w:rPr>
          <w:lang w:val="fr-FR"/>
        </w:rPr>
        <w:t xml:space="preserve">intitulé </w:t>
      </w:r>
      <w:r w:rsidR="00CD0110">
        <w:rPr>
          <w:lang w:val="fr-FR"/>
        </w:rPr>
        <w:t>«</w:t>
      </w:r>
      <w:r w:rsidR="00F34769" w:rsidRPr="005E7A46">
        <w:rPr>
          <w:lang w:val="fr-FR"/>
        </w:rPr>
        <w:t>Normes d’i</w:t>
      </w:r>
      <w:r w:rsidR="000B562B" w:rsidRPr="005E7A46">
        <w:rPr>
          <w:lang w:val="fr-FR"/>
        </w:rPr>
        <w:t>nspection</w:t>
      </w:r>
      <w:r w:rsidR="00CD0110">
        <w:rPr>
          <w:lang w:val="fr-FR"/>
        </w:rPr>
        <w:t>»</w:t>
      </w:r>
      <w:r w:rsidR="00F34769" w:rsidRPr="005E7A46">
        <w:rPr>
          <w:lang w:val="fr-FR"/>
        </w:rPr>
        <w:t>, qui a été</w:t>
      </w:r>
      <w:r w:rsidR="000B562B" w:rsidRPr="005E7A46">
        <w:rPr>
          <w:lang w:val="fr-FR"/>
        </w:rPr>
        <w:t xml:space="preserve"> </w:t>
      </w:r>
      <w:r w:rsidR="00F34769" w:rsidRPr="005E7A46">
        <w:rPr>
          <w:lang w:val="fr-FR"/>
        </w:rPr>
        <w:t>établi par le</w:t>
      </w:r>
      <w:r w:rsidR="000B562B" w:rsidRPr="005E7A46">
        <w:rPr>
          <w:lang w:val="fr-FR"/>
        </w:rPr>
        <w:t xml:space="preserve"> </w:t>
      </w:r>
      <w:r w:rsidR="00F34769" w:rsidRPr="005E7A46">
        <w:rPr>
          <w:lang w:val="fr-FR"/>
        </w:rPr>
        <w:t>docteur</w:t>
      </w:r>
      <w:r w:rsidR="000B562B" w:rsidRPr="005E7A46">
        <w:rPr>
          <w:lang w:val="fr-FR"/>
        </w:rPr>
        <w:t xml:space="preserve"> William Rattray, Commiss</w:t>
      </w:r>
      <w:r w:rsidR="00F34769" w:rsidRPr="005E7A46">
        <w:rPr>
          <w:lang w:val="fr-FR"/>
        </w:rPr>
        <w:t>aire</w:t>
      </w:r>
      <w:r w:rsidR="000B562B" w:rsidRPr="00A176EA">
        <w:rPr>
          <w:lang w:val="fr-FR"/>
        </w:rPr>
        <w:t xml:space="preserve"> </w:t>
      </w:r>
      <w:r w:rsidR="005E7A46">
        <w:rPr>
          <w:lang w:val="fr-FR"/>
        </w:rPr>
        <w:t xml:space="preserve">de l’Administration pénitentiaire et de la réinsertion. Ce document sera révisé au fil du temps, à mesure que des </w:t>
      </w:r>
      <w:r w:rsidR="00CD0110">
        <w:rPr>
          <w:lang w:val="fr-FR"/>
        </w:rPr>
        <w:t>«</w:t>
      </w:r>
      <w:r w:rsidR="005E7A46">
        <w:rPr>
          <w:lang w:val="fr-FR"/>
        </w:rPr>
        <w:t>indicateurs</w:t>
      </w:r>
      <w:r w:rsidR="00CD0110">
        <w:rPr>
          <w:lang w:val="fr-FR"/>
        </w:rPr>
        <w:t>»</w:t>
      </w:r>
      <w:r w:rsidR="005E7A46">
        <w:rPr>
          <w:lang w:val="fr-FR"/>
        </w:rPr>
        <w:t xml:space="preserve"> plus spécifiques et adaptés seront développés pour traiter les problèmes survenant dans les lieux de détention, de façon </w:t>
      </w:r>
      <w:r w:rsidR="004D1BC2">
        <w:rPr>
          <w:lang w:val="fr-FR"/>
        </w:rPr>
        <w:t>à ce que les normes internationales soient de mieux en mieux appliquées dans les îles</w:t>
      </w:r>
      <w:r w:rsidR="000B562B" w:rsidRPr="00A176EA">
        <w:rPr>
          <w:lang w:val="fr-FR"/>
        </w:rPr>
        <w:t>.</w:t>
      </w:r>
    </w:p>
    <w:p w:rsidR="000B562B" w:rsidRPr="00A176EA" w:rsidRDefault="00FE4D62" w:rsidP="00B669D1">
      <w:pPr>
        <w:pStyle w:val="SingleTxtG"/>
        <w:rPr>
          <w:lang w:val="fr-FR"/>
        </w:rPr>
      </w:pPr>
      <w:r w:rsidRPr="00A176EA">
        <w:rPr>
          <w:lang w:val="fr-FR"/>
        </w:rPr>
        <w:t>40</w:t>
      </w:r>
      <w:r w:rsidR="002549A9" w:rsidRPr="00A176EA">
        <w:rPr>
          <w:lang w:val="fr-FR"/>
        </w:rPr>
        <w:t>.</w:t>
      </w:r>
      <w:r w:rsidR="002549A9" w:rsidRPr="00A176EA">
        <w:rPr>
          <w:lang w:val="fr-FR"/>
        </w:rPr>
        <w:tab/>
      </w:r>
      <w:r w:rsidR="004D1BC2">
        <w:rPr>
          <w:lang w:val="fr-FR"/>
        </w:rPr>
        <w:t xml:space="preserve">Le Comité </w:t>
      </w:r>
      <w:r w:rsidR="00DE6128">
        <w:rPr>
          <w:lang w:val="fr-FR"/>
        </w:rPr>
        <w:t xml:space="preserve">effectue des inspections mensuelles depuis novembre 2007 pour les trois types de lieux de détention et a publié son rapport général pour 2007-2009, dans lequel il présente ses conclusions. </w:t>
      </w:r>
      <w:r w:rsidR="002C18BC">
        <w:rPr>
          <w:lang w:val="fr-FR"/>
        </w:rPr>
        <w:t>L’Administration des affaires internes et externes (</w:t>
      </w:r>
      <w:r w:rsidR="00315259">
        <w:rPr>
          <w:lang w:val="fr-FR"/>
        </w:rPr>
        <w:t>dont relèvent les services qui ont contribué au présent rapport) a publié ce rapport, les normes d’inspection et le mandat du Comité sur son site Internet</w:t>
      </w:r>
      <w:r w:rsidR="000B562B" w:rsidRPr="00A176EA">
        <w:rPr>
          <w:rStyle w:val="FootnoteReference"/>
          <w:szCs w:val="22"/>
        </w:rPr>
        <w:footnoteReference w:id="141"/>
      </w:r>
      <w:r w:rsidR="000B562B" w:rsidRPr="00A176EA">
        <w:rPr>
          <w:lang w:val="fr-FR"/>
        </w:rPr>
        <w:t xml:space="preserve"> </w:t>
      </w:r>
      <w:r w:rsidR="00315259">
        <w:rPr>
          <w:lang w:val="fr-FR"/>
        </w:rPr>
        <w:t xml:space="preserve">pour que les citoyens soient parfaitement informés des procédures et des pratiques en vigueur. La diffusion de ces documents auprès du public devrait permettre au </w:t>
      </w:r>
      <w:r w:rsidR="0028719C">
        <w:rPr>
          <w:lang w:val="fr-FR"/>
        </w:rPr>
        <w:t>mécanisme</w:t>
      </w:r>
      <w:r w:rsidR="00315259">
        <w:rPr>
          <w:lang w:val="fr-FR"/>
        </w:rPr>
        <w:t xml:space="preserve"> d’inspection d’atteindre un nouveau degré</w:t>
      </w:r>
      <w:r w:rsidR="00BD3AFD">
        <w:rPr>
          <w:lang w:val="fr-FR"/>
        </w:rPr>
        <w:t xml:space="preserve"> en matière de transparence et d’obligation de rendre compte</w:t>
      </w:r>
      <w:r w:rsidR="000B562B" w:rsidRPr="00A176EA">
        <w:rPr>
          <w:lang w:val="fr-FR"/>
        </w:rPr>
        <w:t>.</w:t>
      </w:r>
    </w:p>
    <w:p w:rsidR="000B562B" w:rsidRPr="00A176EA" w:rsidRDefault="00FE4D62" w:rsidP="006D6E20">
      <w:pPr>
        <w:pStyle w:val="SingleTxtG"/>
        <w:rPr>
          <w:lang w:val="fr-FR"/>
        </w:rPr>
      </w:pPr>
      <w:r w:rsidRPr="00A176EA">
        <w:rPr>
          <w:lang w:val="fr-FR"/>
        </w:rPr>
        <w:t>41</w:t>
      </w:r>
      <w:r w:rsidR="002549A9" w:rsidRPr="00A176EA">
        <w:rPr>
          <w:lang w:val="fr-FR"/>
        </w:rPr>
        <w:t>.</w:t>
      </w:r>
      <w:r w:rsidR="002549A9" w:rsidRPr="00A176EA">
        <w:rPr>
          <w:lang w:val="fr-FR"/>
        </w:rPr>
        <w:tab/>
      </w:r>
      <w:r w:rsidR="00BD3AFD">
        <w:rPr>
          <w:lang w:val="fr-FR"/>
        </w:rPr>
        <w:t>Des mesures ont par ailleurs été prises pour renforcer la formation du Comité. À cet égard, des contacts ont été pris avec un expert de</w:t>
      </w:r>
      <w:r w:rsidR="006D6E20">
        <w:rPr>
          <w:lang w:val="fr-FR"/>
        </w:rPr>
        <w:t xml:space="preserve"> renom en matière pénitentiaire pour organiser la formation sur place. Des efforts sont déployés pour dispenser une formation au Secrétaire du Comité</w:t>
      </w:r>
      <w:r w:rsidR="000B562B" w:rsidRPr="00A176EA">
        <w:rPr>
          <w:lang w:val="fr-FR"/>
        </w:rPr>
        <w:t>.</w:t>
      </w:r>
    </w:p>
    <w:p w:rsidR="000B562B" w:rsidRPr="00A176EA" w:rsidRDefault="00FE4D62" w:rsidP="00136858">
      <w:pPr>
        <w:pStyle w:val="SingleTxtG"/>
        <w:rPr>
          <w:lang w:val="fr-FR"/>
        </w:rPr>
      </w:pPr>
      <w:r w:rsidRPr="00A176EA">
        <w:rPr>
          <w:lang w:val="fr-FR"/>
        </w:rPr>
        <w:t>42.</w:t>
      </w:r>
      <w:r w:rsidR="002549A9" w:rsidRPr="00A176EA">
        <w:rPr>
          <w:lang w:val="fr-FR"/>
        </w:rPr>
        <w:tab/>
      </w:r>
      <w:r w:rsidR="006D6E20">
        <w:rPr>
          <w:lang w:val="fr-FR"/>
        </w:rPr>
        <w:t xml:space="preserve">Les objectifs à long terme de l’Administration des affaires internes et externes sont de professionnaliser le Comité de façon à ce que son travail </w:t>
      </w:r>
      <w:r w:rsidR="006D6E20" w:rsidRPr="0028719C">
        <w:rPr>
          <w:lang w:val="fr-FR"/>
        </w:rPr>
        <w:t>soit indépendant</w:t>
      </w:r>
      <w:r w:rsidR="006D6E20">
        <w:rPr>
          <w:lang w:val="fr-FR"/>
        </w:rPr>
        <w:t xml:space="preserve"> (et perçu comme tel) des organismes inspectés, à ce qu’il exécute son mandat conformément aux meilleures pratiques internationales et à ce qu’il demeure responsable devant </w:t>
      </w:r>
      <w:r w:rsidR="00136858">
        <w:rPr>
          <w:lang w:val="fr-FR"/>
        </w:rPr>
        <w:t>la population, dont il sert les intérêts</w:t>
      </w:r>
      <w:r w:rsidR="000B562B" w:rsidRPr="00A176EA">
        <w:rPr>
          <w:lang w:val="fr-FR"/>
        </w:rPr>
        <w:t>.</w:t>
      </w:r>
    </w:p>
    <w:p w:rsidR="000B562B" w:rsidRPr="00A176EA" w:rsidRDefault="000B562B" w:rsidP="00B669D1">
      <w:pPr>
        <w:pStyle w:val="H23G"/>
        <w:rPr>
          <w:lang w:val="fr-FR"/>
        </w:rPr>
      </w:pPr>
      <w:r w:rsidRPr="00136858">
        <w:rPr>
          <w:lang w:val="fr-FR"/>
        </w:rPr>
        <w:t>Immigration</w:t>
      </w:r>
    </w:p>
    <w:p w:rsidR="000B562B" w:rsidRPr="00A176EA" w:rsidRDefault="00FE4D62" w:rsidP="00B669D1">
      <w:pPr>
        <w:pStyle w:val="SingleTxtG"/>
        <w:rPr>
          <w:lang w:val="fr-FR"/>
        </w:rPr>
      </w:pPr>
      <w:r w:rsidRPr="00A176EA">
        <w:rPr>
          <w:lang w:val="fr-FR"/>
        </w:rPr>
        <w:t>4</w:t>
      </w:r>
      <w:r w:rsidR="00096AC3" w:rsidRPr="00A176EA">
        <w:rPr>
          <w:lang w:val="fr-FR"/>
        </w:rPr>
        <w:t>3</w:t>
      </w:r>
      <w:r w:rsidR="002549A9" w:rsidRPr="00A176EA">
        <w:rPr>
          <w:lang w:val="fr-FR"/>
        </w:rPr>
        <w:t>.</w:t>
      </w:r>
      <w:r w:rsidR="002549A9" w:rsidRPr="00A176EA">
        <w:rPr>
          <w:lang w:val="fr-FR"/>
        </w:rPr>
        <w:tab/>
      </w:r>
      <w:r w:rsidR="00BF6917">
        <w:rPr>
          <w:lang w:val="fr-FR"/>
        </w:rPr>
        <w:t xml:space="preserve">Le </w:t>
      </w:r>
      <w:r w:rsidR="00F112B4">
        <w:rPr>
          <w:lang w:val="fr-FR"/>
        </w:rPr>
        <w:t>Service de l’immigration</w:t>
      </w:r>
      <w:r w:rsidR="00BF6917">
        <w:rPr>
          <w:lang w:val="fr-FR"/>
        </w:rPr>
        <w:t xml:space="preserve"> examine régulièrement ses procédures de rétention et de traitement des personnes retenues pour veiller à ce qu’elles ne soient pas soumises à des traitements </w:t>
      </w:r>
      <w:r w:rsidR="00DD40F4">
        <w:rPr>
          <w:lang w:val="fr-FR"/>
        </w:rPr>
        <w:t xml:space="preserve">assimilables à des actes de torture ou autres peines et traitements cruels, inhumains ou dégradants. Le Ministère prépare actuellement des instructions internes écrites à l’intention des fonctionnaires de l’immigration afin de renforcer les procédures existantes en la matière. Ces instructions </w:t>
      </w:r>
      <w:r w:rsidR="007405FB">
        <w:rPr>
          <w:lang w:val="fr-FR"/>
        </w:rPr>
        <w:t xml:space="preserve">définiront ce qu’ils peuvent ou ne peuvent pas faire concernant les personnes retenues. Elles indiqueront par ailleurs les informations devant être consignées dans le Registre de </w:t>
      </w:r>
      <w:r w:rsidR="0028719C">
        <w:rPr>
          <w:lang w:val="fr-FR"/>
        </w:rPr>
        <w:t>r</w:t>
      </w:r>
      <w:r w:rsidR="007405FB">
        <w:rPr>
          <w:lang w:val="fr-FR"/>
        </w:rPr>
        <w:t>étention pendant toute la durée de la rétention</w:t>
      </w:r>
      <w:r w:rsidR="000B562B" w:rsidRPr="00A176EA">
        <w:rPr>
          <w:lang w:val="fr-FR"/>
        </w:rPr>
        <w:t>.</w:t>
      </w:r>
    </w:p>
    <w:p w:rsidR="000B562B" w:rsidRPr="00A176EA" w:rsidRDefault="00FE4D62" w:rsidP="00B669D1">
      <w:pPr>
        <w:pStyle w:val="SingleTxtG"/>
        <w:rPr>
          <w:lang w:val="fr-FR"/>
        </w:rPr>
      </w:pPr>
      <w:r w:rsidRPr="00A176EA">
        <w:rPr>
          <w:lang w:val="fr-FR"/>
        </w:rPr>
        <w:t>4</w:t>
      </w:r>
      <w:r w:rsidR="00096AC3" w:rsidRPr="00A176EA">
        <w:rPr>
          <w:lang w:val="fr-FR"/>
        </w:rPr>
        <w:t>4</w:t>
      </w:r>
      <w:r w:rsidR="002549A9" w:rsidRPr="00A176EA">
        <w:rPr>
          <w:lang w:val="fr-FR"/>
        </w:rPr>
        <w:t>.</w:t>
      </w:r>
      <w:r w:rsidR="002549A9" w:rsidRPr="00A176EA">
        <w:rPr>
          <w:lang w:val="fr-FR"/>
        </w:rPr>
        <w:tab/>
      </w:r>
      <w:r w:rsidR="007405FB" w:rsidRPr="007405FB">
        <w:rPr>
          <w:lang w:val="fr-FR"/>
        </w:rPr>
        <w:t xml:space="preserve">Les locaux </w:t>
      </w:r>
      <w:r w:rsidR="007405FB">
        <w:rPr>
          <w:lang w:val="fr-FR"/>
        </w:rPr>
        <w:t xml:space="preserve">de </w:t>
      </w:r>
      <w:r w:rsidR="002A5164">
        <w:rPr>
          <w:lang w:val="fr-FR"/>
        </w:rPr>
        <w:t>d</w:t>
      </w:r>
      <w:r w:rsidR="007405FB">
        <w:rPr>
          <w:lang w:val="fr-FR"/>
        </w:rPr>
        <w:t xml:space="preserve">étention </w:t>
      </w:r>
      <w:r w:rsidR="007405FB" w:rsidRPr="007405FB">
        <w:rPr>
          <w:lang w:val="fr-FR"/>
        </w:rPr>
        <w:t xml:space="preserve">des Bureaux de l’immigration et du Centre de rétention </w:t>
      </w:r>
      <w:r w:rsidR="0028719C">
        <w:rPr>
          <w:lang w:val="fr-FR"/>
        </w:rPr>
        <w:t>pour migrants</w:t>
      </w:r>
      <w:r w:rsidR="00F112B4">
        <w:rPr>
          <w:lang w:val="fr-FR"/>
        </w:rPr>
        <w:t xml:space="preserve"> </w:t>
      </w:r>
      <w:r w:rsidR="007405FB" w:rsidRPr="007405FB">
        <w:rPr>
          <w:lang w:val="fr-FR"/>
        </w:rPr>
        <w:t>sont</w:t>
      </w:r>
      <w:r w:rsidR="007405FB">
        <w:rPr>
          <w:lang w:val="fr-FR"/>
        </w:rPr>
        <w:t xml:space="preserve"> contrôlés en toute indépendance par le Comité d’inspection des établissements pénitentiaires</w:t>
      </w:r>
      <w:r w:rsidR="000B562B" w:rsidRPr="00A176EA">
        <w:rPr>
          <w:lang w:val="fr-FR"/>
        </w:rPr>
        <w:t>.</w:t>
      </w:r>
    </w:p>
    <w:p w:rsidR="000B562B" w:rsidRPr="007405FB" w:rsidRDefault="0004046C" w:rsidP="001C135E">
      <w:pPr>
        <w:pStyle w:val="H1G"/>
      </w:pPr>
      <w:r>
        <w:tab/>
      </w:r>
      <w:r>
        <w:tab/>
      </w:r>
      <w:r w:rsidR="000B562B" w:rsidRPr="007405FB">
        <w:t>Article</w:t>
      </w:r>
      <w:r w:rsidR="007473FB" w:rsidRPr="007405FB">
        <w:t>s</w:t>
      </w:r>
      <w:r w:rsidR="000B562B" w:rsidRPr="007405FB">
        <w:t xml:space="preserve"> 12 </w:t>
      </w:r>
      <w:r w:rsidR="007473FB" w:rsidRPr="007405FB">
        <w:t>et</w:t>
      </w:r>
      <w:r w:rsidR="000B562B" w:rsidRPr="007405FB">
        <w:t xml:space="preserve"> 13</w:t>
      </w:r>
    </w:p>
    <w:p w:rsidR="000B562B" w:rsidRPr="00A176EA" w:rsidRDefault="000B562B" w:rsidP="00B669D1">
      <w:pPr>
        <w:pStyle w:val="H23G"/>
        <w:rPr>
          <w:lang w:val="fr-FR"/>
        </w:rPr>
      </w:pPr>
      <w:r w:rsidRPr="007405FB">
        <w:rPr>
          <w:lang w:val="fr-FR"/>
        </w:rPr>
        <w:t>Police</w:t>
      </w:r>
    </w:p>
    <w:p w:rsidR="000B562B" w:rsidRPr="00A176EA" w:rsidRDefault="00FE4D62" w:rsidP="00B669D1">
      <w:pPr>
        <w:pStyle w:val="SingleTxtG"/>
        <w:rPr>
          <w:lang w:val="fr-FR"/>
        </w:rPr>
      </w:pPr>
      <w:r w:rsidRPr="00A176EA">
        <w:rPr>
          <w:lang w:val="fr-FR"/>
        </w:rPr>
        <w:t>4</w:t>
      </w:r>
      <w:r w:rsidR="00096AC3" w:rsidRPr="00A176EA">
        <w:rPr>
          <w:lang w:val="fr-FR"/>
        </w:rPr>
        <w:t>5</w:t>
      </w:r>
      <w:r w:rsidR="002549A9" w:rsidRPr="00A176EA">
        <w:rPr>
          <w:lang w:val="fr-FR"/>
        </w:rPr>
        <w:t>.</w:t>
      </w:r>
      <w:r w:rsidR="002549A9" w:rsidRPr="00A176EA">
        <w:rPr>
          <w:lang w:val="fr-FR"/>
        </w:rPr>
        <w:tab/>
      </w:r>
      <w:r w:rsidR="00573439">
        <w:rPr>
          <w:lang w:val="fr-FR"/>
        </w:rPr>
        <w:t>La</w:t>
      </w:r>
      <w:r w:rsidR="00B63163">
        <w:rPr>
          <w:lang w:val="fr-FR"/>
        </w:rPr>
        <w:t xml:space="preserve"> Politique de normes professionnelles mise en </w:t>
      </w:r>
      <w:r w:rsidR="00573439">
        <w:rPr>
          <w:lang w:val="fr-FR"/>
        </w:rPr>
        <w:t xml:space="preserve">œuvre </w:t>
      </w:r>
      <w:r w:rsidR="00EA35E7">
        <w:rPr>
          <w:lang w:val="fr-FR"/>
        </w:rPr>
        <w:t>régit</w:t>
      </w:r>
      <w:r w:rsidR="00573439">
        <w:rPr>
          <w:lang w:val="fr-FR"/>
        </w:rPr>
        <w:t xml:space="preserve"> spécifiquement </w:t>
      </w:r>
      <w:r w:rsidR="00EA35E7">
        <w:rPr>
          <w:lang w:val="fr-FR"/>
        </w:rPr>
        <w:t>l’action</w:t>
      </w:r>
      <w:r w:rsidR="00194B73">
        <w:rPr>
          <w:lang w:val="fr-FR"/>
        </w:rPr>
        <w:t xml:space="preserve"> de la Police royale en termes de normes professionnelles, d’intégrité</w:t>
      </w:r>
      <w:r w:rsidR="00786B3F">
        <w:rPr>
          <w:lang w:val="fr-FR"/>
        </w:rPr>
        <w:t xml:space="preserve"> et d’enquête au sein de son Groupe des normes professionnelles. </w:t>
      </w:r>
      <w:r w:rsidR="00D72A64">
        <w:rPr>
          <w:lang w:val="fr-FR"/>
        </w:rPr>
        <w:t>La Politique s’a</w:t>
      </w:r>
      <w:r w:rsidR="00797407">
        <w:rPr>
          <w:lang w:val="fr-FR"/>
        </w:rPr>
        <w:t>dresse</w:t>
      </w:r>
      <w:r w:rsidR="00D72A64">
        <w:rPr>
          <w:lang w:val="fr-FR"/>
        </w:rPr>
        <w:t xml:space="preserve"> en particulier aux personnels chargés d</w:t>
      </w:r>
      <w:r w:rsidR="00797407">
        <w:rPr>
          <w:lang w:val="fr-FR"/>
        </w:rPr>
        <w:t xml:space="preserve">e faire </w:t>
      </w:r>
      <w:r w:rsidR="00D72A64">
        <w:rPr>
          <w:lang w:val="fr-FR"/>
        </w:rPr>
        <w:t xml:space="preserve">appliquer ces normes et d’enquêter sur les allégations de comportement répréhensible. Les témoins, les victimes et les accusés doivent être informés sur </w:t>
      </w:r>
      <w:r w:rsidR="00F2318A">
        <w:rPr>
          <w:lang w:val="fr-FR"/>
        </w:rPr>
        <w:t>la procédure</w:t>
      </w:r>
      <w:r w:rsidR="00D72A64">
        <w:rPr>
          <w:lang w:val="fr-FR"/>
        </w:rPr>
        <w:t xml:space="preserve"> d’enquête et recevoir le soutien requis pendant toute sa durée. Une Politique de </w:t>
      </w:r>
      <w:r w:rsidR="00C11E44">
        <w:rPr>
          <w:lang w:val="fr-FR"/>
        </w:rPr>
        <w:t>liaison avec les familles a également été mise en œuvre pour s’occuper exclusivement des victimes d’actes criminels, des témoins et de toute question liée aux relations famille/police. L’Unité de soutien aux familles de la Police royale apporte aux familles un soutien permanent</w:t>
      </w:r>
      <w:r w:rsidR="000B562B" w:rsidRPr="00A176EA">
        <w:rPr>
          <w:lang w:val="fr-FR"/>
        </w:rPr>
        <w:t>.</w:t>
      </w:r>
    </w:p>
    <w:p w:rsidR="000B562B" w:rsidRPr="00A176EA" w:rsidRDefault="00FE4D62" w:rsidP="00B669D1">
      <w:pPr>
        <w:pStyle w:val="SingleTxtG"/>
        <w:rPr>
          <w:lang w:val="fr-FR"/>
        </w:rPr>
      </w:pPr>
      <w:r w:rsidRPr="00A176EA">
        <w:rPr>
          <w:lang w:val="fr-FR"/>
        </w:rPr>
        <w:t>4</w:t>
      </w:r>
      <w:r w:rsidR="00096AC3" w:rsidRPr="00A176EA">
        <w:rPr>
          <w:lang w:val="fr-FR"/>
        </w:rPr>
        <w:t>6</w:t>
      </w:r>
      <w:r w:rsidR="002549A9" w:rsidRPr="00A176EA">
        <w:rPr>
          <w:lang w:val="fr-FR"/>
        </w:rPr>
        <w:t>.</w:t>
      </w:r>
      <w:r w:rsidR="002549A9" w:rsidRPr="00A176EA">
        <w:rPr>
          <w:lang w:val="fr-FR"/>
        </w:rPr>
        <w:tab/>
      </w:r>
      <w:r w:rsidR="003812D4">
        <w:rPr>
          <w:lang w:val="fr-FR"/>
        </w:rPr>
        <w:t xml:space="preserve">Selon la pratique en vigueur au sein de l’Administration pénitentiaire et du </w:t>
      </w:r>
      <w:r w:rsidR="00F112B4">
        <w:rPr>
          <w:lang w:val="fr-FR"/>
        </w:rPr>
        <w:t>Service</w:t>
      </w:r>
      <w:r w:rsidR="003812D4">
        <w:rPr>
          <w:lang w:val="fr-FR"/>
        </w:rPr>
        <w:t xml:space="preserve"> de l’immigration, toute allégation de torture est immédiatement transmise à la Police royale pour enquête indépendante. Par ailleurs, l’Administration pénitentiaire dispose d’une procédure interne de plaintes élaborée en collaboration avec le Bureau du </w:t>
      </w:r>
      <w:r w:rsidR="00CB6047">
        <w:rPr>
          <w:lang w:val="fr-FR"/>
        </w:rPr>
        <w:t>Médiateur. En cas d’allégation de torture, un détenu peut déposer une plainte auprès du Directeur de l’Administration pénitentiaire ou du Médecin-chef. Parallèlement, la Police royale mène sa propre enquête</w:t>
      </w:r>
      <w:r w:rsidR="000B562B" w:rsidRPr="00A176EA">
        <w:rPr>
          <w:lang w:val="fr-FR"/>
        </w:rPr>
        <w:t>.</w:t>
      </w:r>
    </w:p>
    <w:p w:rsidR="000B562B" w:rsidRPr="00A176EA" w:rsidRDefault="00FE4D62" w:rsidP="00386270">
      <w:pPr>
        <w:pStyle w:val="SingleTxtG"/>
        <w:rPr>
          <w:lang w:val="fr-FR"/>
        </w:rPr>
      </w:pPr>
      <w:r w:rsidRPr="00A176EA">
        <w:rPr>
          <w:lang w:val="fr-FR"/>
        </w:rPr>
        <w:t>4</w:t>
      </w:r>
      <w:r w:rsidR="00096AC3" w:rsidRPr="00A176EA">
        <w:rPr>
          <w:lang w:val="fr-FR"/>
        </w:rPr>
        <w:t>7</w:t>
      </w:r>
      <w:r w:rsidR="002549A9" w:rsidRPr="00A176EA">
        <w:rPr>
          <w:lang w:val="fr-FR"/>
        </w:rPr>
        <w:t>.</w:t>
      </w:r>
      <w:r w:rsidR="002549A9" w:rsidRPr="00A176EA">
        <w:rPr>
          <w:lang w:val="fr-FR"/>
        </w:rPr>
        <w:tab/>
      </w:r>
      <w:r w:rsidR="00194B73" w:rsidRPr="00CB6047">
        <w:rPr>
          <w:lang w:val="fr-FR"/>
        </w:rPr>
        <w:t xml:space="preserve">La partie VII </w:t>
      </w:r>
      <w:r w:rsidR="00F2318A">
        <w:rPr>
          <w:lang w:val="fr-FR"/>
        </w:rPr>
        <w:t>de la</w:t>
      </w:r>
      <w:r w:rsidR="00194B73" w:rsidRPr="00CB6047">
        <w:rPr>
          <w:lang w:val="fr-FR"/>
        </w:rPr>
        <w:t xml:space="preserve"> loi de 2008 sur la </w:t>
      </w:r>
      <w:r w:rsidR="00EA35E7">
        <w:rPr>
          <w:lang w:val="fr-FR"/>
        </w:rPr>
        <w:t>p</w:t>
      </w:r>
      <w:r w:rsidR="000B562B" w:rsidRPr="00CB6047">
        <w:rPr>
          <w:lang w:val="fr-FR"/>
        </w:rPr>
        <w:t xml:space="preserve">olice </w:t>
      </w:r>
      <w:r w:rsidR="00194B73" w:rsidRPr="00CB6047">
        <w:rPr>
          <w:lang w:val="fr-FR"/>
        </w:rPr>
        <w:t>porte création</w:t>
      </w:r>
      <w:r w:rsidR="00194B73" w:rsidRPr="00194B73">
        <w:rPr>
          <w:lang w:val="fr-FR"/>
        </w:rPr>
        <w:t xml:space="preserve"> </w:t>
      </w:r>
      <w:r w:rsidR="0096601A">
        <w:rPr>
          <w:lang w:val="fr-FR"/>
        </w:rPr>
        <w:t xml:space="preserve">de </w:t>
      </w:r>
      <w:r w:rsidR="0096601A" w:rsidRPr="005E185B">
        <w:rPr>
          <w:lang w:val="fr-FR"/>
        </w:rPr>
        <w:t>l’Administration chargée des plaintes contre la police</w:t>
      </w:r>
      <w:r w:rsidR="00524E37">
        <w:rPr>
          <w:lang w:val="fr-FR"/>
        </w:rPr>
        <w:t>, dont les fonctions comprenne</w:t>
      </w:r>
      <w:r w:rsidR="00797407">
        <w:rPr>
          <w:lang w:val="fr-FR"/>
        </w:rPr>
        <w:t>nt l’instruction et le règlement</w:t>
      </w:r>
      <w:r w:rsidR="00386270">
        <w:rPr>
          <w:lang w:val="fr-FR"/>
        </w:rPr>
        <w:t xml:space="preserve"> de</w:t>
      </w:r>
      <w:r w:rsidR="00FC2B97">
        <w:rPr>
          <w:lang w:val="fr-FR"/>
        </w:rPr>
        <w:t>:</w:t>
      </w:r>
    </w:p>
    <w:p w:rsidR="000B562B" w:rsidRPr="00A176EA" w:rsidRDefault="000B562B" w:rsidP="00386270">
      <w:pPr>
        <w:pStyle w:val="SingleTxtG"/>
        <w:ind w:firstLine="567"/>
        <w:rPr>
          <w:lang w:val="fr-FR"/>
        </w:rPr>
      </w:pPr>
      <w:r w:rsidRPr="00A176EA">
        <w:rPr>
          <w:lang w:val="fr-FR"/>
        </w:rPr>
        <w:t>a)</w:t>
      </w:r>
      <w:r w:rsidRPr="00A176EA">
        <w:rPr>
          <w:lang w:val="fr-FR"/>
        </w:rPr>
        <w:tab/>
      </w:r>
      <w:r w:rsidR="00386270">
        <w:rPr>
          <w:lang w:val="fr-FR"/>
        </w:rPr>
        <w:t>toute plainte selon laquelle le comportement d’un fonctionnaire de police aurait provoqué le décès d’une personne ou des blessures graves</w:t>
      </w:r>
      <w:r w:rsidR="00FC2B97">
        <w:rPr>
          <w:lang w:val="fr-FR"/>
        </w:rPr>
        <w:t>;</w:t>
      </w:r>
      <w:r w:rsidR="00386270">
        <w:rPr>
          <w:lang w:val="fr-FR"/>
        </w:rPr>
        <w:t xml:space="preserve"> ou</w:t>
      </w:r>
    </w:p>
    <w:p w:rsidR="000B562B" w:rsidRPr="00A176EA" w:rsidRDefault="000B562B" w:rsidP="00FF1BCD">
      <w:pPr>
        <w:pStyle w:val="SingleTxtG"/>
        <w:ind w:firstLine="567"/>
        <w:rPr>
          <w:lang w:val="fr-FR"/>
        </w:rPr>
      </w:pPr>
      <w:r w:rsidRPr="00A176EA">
        <w:rPr>
          <w:lang w:val="fr-FR"/>
        </w:rPr>
        <w:t>b)</w:t>
      </w:r>
      <w:r w:rsidRPr="00A176EA">
        <w:rPr>
          <w:lang w:val="fr-FR"/>
        </w:rPr>
        <w:tab/>
      </w:r>
      <w:r w:rsidR="00386270">
        <w:rPr>
          <w:lang w:val="fr-FR"/>
        </w:rPr>
        <w:t>toute autre plainte à l’encontre d’un fonctionnaire de police</w:t>
      </w:r>
      <w:r w:rsidR="00FC2B97">
        <w:rPr>
          <w:lang w:val="fr-FR"/>
        </w:rPr>
        <w:t>;</w:t>
      </w:r>
      <w:r w:rsidR="00386270">
        <w:rPr>
          <w:lang w:val="fr-FR"/>
        </w:rPr>
        <w:t xml:space="preserve"> ou</w:t>
      </w:r>
    </w:p>
    <w:p w:rsidR="000B562B" w:rsidRPr="00A176EA" w:rsidRDefault="000B562B" w:rsidP="00F2318A">
      <w:pPr>
        <w:pStyle w:val="SingleTxtG"/>
        <w:ind w:firstLine="567"/>
        <w:rPr>
          <w:lang w:val="fr-FR"/>
        </w:rPr>
      </w:pPr>
      <w:r w:rsidRPr="00A176EA">
        <w:rPr>
          <w:lang w:val="fr-FR"/>
        </w:rPr>
        <w:t>c)</w:t>
      </w:r>
      <w:r w:rsidRPr="00A176EA">
        <w:rPr>
          <w:lang w:val="fr-FR"/>
        </w:rPr>
        <w:tab/>
      </w:r>
      <w:r w:rsidR="00386270">
        <w:rPr>
          <w:lang w:val="fr-FR"/>
        </w:rPr>
        <w:t xml:space="preserve">tout autre problème, qu’il ait fait l’objet ou non d’une plainte, dont la nature est telle que l’Administration </w:t>
      </w:r>
      <w:r w:rsidR="00F2318A">
        <w:rPr>
          <w:lang w:val="fr-FR"/>
        </w:rPr>
        <w:t>considère qu’il y a lieu de procéder à une enquête en raison</w:t>
      </w:r>
      <w:r w:rsidR="00FC2B97">
        <w:rPr>
          <w:lang w:val="fr-FR"/>
        </w:rPr>
        <w:t>:</w:t>
      </w:r>
    </w:p>
    <w:p w:rsidR="000B562B" w:rsidRPr="00A176EA" w:rsidRDefault="00F2318A" w:rsidP="00096AC3">
      <w:pPr>
        <w:pStyle w:val="Bullet2G"/>
        <w:rPr>
          <w:lang w:val="fr-FR"/>
        </w:rPr>
      </w:pPr>
      <w:r>
        <w:rPr>
          <w:lang w:val="fr-FR"/>
        </w:rPr>
        <w:t>de sa</w:t>
      </w:r>
      <w:r w:rsidR="000B562B" w:rsidRPr="00A176EA">
        <w:rPr>
          <w:lang w:val="fr-FR"/>
        </w:rPr>
        <w:t xml:space="preserve"> gravit</w:t>
      </w:r>
      <w:r>
        <w:rPr>
          <w:lang w:val="fr-FR"/>
        </w:rPr>
        <w:t>é</w:t>
      </w:r>
      <w:r w:rsidR="00FC2B97">
        <w:rPr>
          <w:lang w:val="fr-FR"/>
        </w:rPr>
        <w:t>;</w:t>
      </w:r>
      <w:r>
        <w:rPr>
          <w:lang w:val="fr-FR"/>
        </w:rPr>
        <w:t xml:space="preserve"> ou</w:t>
      </w:r>
    </w:p>
    <w:p w:rsidR="000B562B" w:rsidRPr="00A176EA" w:rsidRDefault="00F2318A" w:rsidP="00096AC3">
      <w:pPr>
        <w:pStyle w:val="Bullet2G"/>
        <w:rPr>
          <w:lang w:val="fr-FR"/>
        </w:rPr>
      </w:pPr>
      <w:r>
        <w:rPr>
          <w:lang w:val="fr-FR"/>
        </w:rPr>
        <w:t>des circonstances exceptionnelles qui l’entourent</w:t>
      </w:r>
      <w:r w:rsidR="000B562B" w:rsidRPr="00A176EA">
        <w:rPr>
          <w:lang w:val="fr-FR"/>
        </w:rPr>
        <w:t>.</w:t>
      </w:r>
    </w:p>
    <w:p w:rsidR="000B562B" w:rsidRPr="00A176EA" w:rsidRDefault="00F2318A" w:rsidP="00F2318A">
      <w:pPr>
        <w:pStyle w:val="SingleTxtG"/>
        <w:rPr>
          <w:lang w:val="fr-FR"/>
        </w:rPr>
      </w:pPr>
      <w:r>
        <w:rPr>
          <w:lang w:val="fr-FR"/>
        </w:rPr>
        <w:t xml:space="preserve">Le </w:t>
      </w:r>
      <w:r w:rsidR="00EA35E7">
        <w:rPr>
          <w:lang w:val="fr-FR"/>
        </w:rPr>
        <w:t>directeur</w:t>
      </w:r>
      <w:r>
        <w:rPr>
          <w:lang w:val="fr-FR"/>
        </w:rPr>
        <w:t xml:space="preserve"> de l’Administration chargée des plaintes contre la police peut se charger lui-même du règlement de la plainte et, s’il l’estime nécessaire, désigner un membre de l’Administration pour l’assister, s’il est convaincu que</w:t>
      </w:r>
      <w:r w:rsidR="00FC2B97">
        <w:rPr>
          <w:lang w:val="fr-FR"/>
        </w:rPr>
        <w:t>:</w:t>
      </w:r>
    </w:p>
    <w:p w:rsidR="000B562B" w:rsidRPr="00A176EA" w:rsidRDefault="000B562B" w:rsidP="00FF1BCD">
      <w:pPr>
        <w:pStyle w:val="SingleTxtG"/>
        <w:ind w:firstLine="567"/>
        <w:rPr>
          <w:lang w:val="fr-FR"/>
        </w:rPr>
      </w:pPr>
      <w:r w:rsidRPr="00A176EA">
        <w:rPr>
          <w:lang w:val="fr-FR"/>
        </w:rPr>
        <w:t>a)</w:t>
      </w:r>
      <w:r w:rsidRPr="00A176EA">
        <w:rPr>
          <w:lang w:val="fr-FR"/>
        </w:rPr>
        <w:tab/>
      </w:r>
      <w:r w:rsidR="00F2318A">
        <w:rPr>
          <w:lang w:val="fr-FR"/>
        </w:rPr>
        <w:t>la plainte porte sur un comportement qui, bien qu’avéré, ne justifie pas des poursuites pénales ou disciplinaires</w:t>
      </w:r>
      <w:r w:rsidR="00FC2B97">
        <w:rPr>
          <w:lang w:val="fr-FR"/>
        </w:rPr>
        <w:t>;</w:t>
      </w:r>
      <w:r w:rsidR="00F2318A">
        <w:rPr>
          <w:lang w:val="fr-FR"/>
        </w:rPr>
        <w:t xml:space="preserve"> et</w:t>
      </w:r>
    </w:p>
    <w:p w:rsidR="000B562B" w:rsidRPr="00A176EA" w:rsidRDefault="000B562B" w:rsidP="00FF1BCD">
      <w:pPr>
        <w:pStyle w:val="SingleTxtG"/>
        <w:ind w:firstLine="567"/>
        <w:rPr>
          <w:lang w:val="fr-FR"/>
        </w:rPr>
      </w:pPr>
      <w:r w:rsidRPr="00A176EA">
        <w:rPr>
          <w:lang w:val="fr-FR"/>
        </w:rPr>
        <w:t>b)</w:t>
      </w:r>
      <w:r w:rsidRPr="00A176EA">
        <w:rPr>
          <w:lang w:val="fr-FR"/>
        </w:rPr>
        <w:tab/>
      </w:r>
      <w:r w:rsidR="00F2318A">
        <w:rPr>
          <w:lang w:val="fr-FR"/>
        </w:rPr>
        <w:t xml:space="preserve">le plaignant et le fonctionnaire de police concerné </w:t>
      </w:r>
      <w:r w:rsidR="00524E37">
        <w:rPr>
          <w:lang w:val="fr-FR"/>
        </w:rPr>
        <w:t>y consentent</w:t>
      </w:r>
      <w:r w:rsidRPr="00A176EA">
        <w:rPr>
          <w:lang w:val="fr-FR"/>
        </w:rPr>
        <w:t>.</w:t>
      </w:r>
    </w:p>
    <w:p w:rsidR="000B562B" w:rsidRPr="00A176EA" w:rsidRDefault="00524E37" w:rsidP="00F92283">
      <w:pPr>
        <w:pStyle w:val="SingleTxtG"/>
        <w:rPr>
          <w:lang w:val="fr-FR"/>
        </w:rPr>
      </w:pPr>
      <w:r>
        <w:rPr>
          <w:lang w:val="fr-FR"/>
        </w:rPr>
        <w:t xml:space="preserve">Au terme de l’enquête, le Directeur de la police peut prendre toute sanction qu’il juge convenir, décider qu’une action n’est pas justifiée ou adresser un avertissement au fonctionnaire de police </w:t>
      </w:r>
      <w:r w:rsidR="00F92283">
        <w:rPr>
          <w:lang w:val="fr-FR"/>
        </w:rPr>
        <w:t>concernant sa conduite</w:t>
      </w:r>
      <w:r w:rsidR="000B562B" w:rsidRPr="00A176EA">
        <w:rPr>
          <w:lang w:val="fr-FR"/>
        </w:rPr>
        <w:t>.</w:t>
      </w:r>
    </w:p>
    <w:p w:rsidR="000B562B" w:rsidRPr="00A176EA" w:rsidRDefault="00F07D0D" w:rsidP="00672C62">
      <w:pPr>
        <w:pStyle w:val="SingleTxtG"/>
        <w:rPr>
          <w:lang w:val="fr-FR"/>
        </w:rPr>
      </w:pPr>
      <w:r w:rsidRPr="00A176EA">
        <w:rPr>
          <w:lang w:val="fr-FR"/>
        </w:rPr>
        <w:t>48.</w:t>
      </w:r>
      <w:r w:rsidR="002549A9" w:rsidRPr="00A176EA">
        <w:rPr>
          <w:lang w:val="fr-FR"/>
        </w:rPr>
        <w:tab/>
      </w:r>
      <w:r w:rsidR="00F2318A" w:rsidRPr="00F92283">
        <w:rPr>
          <w:lang w:val="fr-FR"/>
        </w:rPr>
        <w:t>Le Service d’i</w:t>
      </w:r>
      <w:r w:rsidR="000B562B" w:rsidRPr="00F92283">
        <w:rPr>
          <w:lang w:val="fr-FR"/>
        </w:rPr>
        <w:t>mmigration</w:t>
      </w:r>
      <w:r w:rsidR="000B562B" w:rsidRPr="00A176EA">
        <w:rPr>
          <w:lang w:val="fr-FR"/>
        </w:rPr>
        <w:t xml:space="preserve"> </w:t>
      </w:r>
      <w:r w:rsidR="00F92283">
        <w:rPr>
          <w:lang w:val="fr-FR"/>
        </w:rPr>
        <w:t xml:space="preserve">dispose d’une Procédure interne de plainte permettant </w:t>
      </w:r>
      <w:r w:rsidR="009C5820">
        <w:rPr>
          <w:lang w:val="fr-FR"/>
        </w:rPr>
        <w:t>à tout</w:t>
      </w:r>
      <w:r w:rsidR="008058A5">
        <w:rPr>
          <w:lang w:val="fr-FR"/>
        </w:rPr>
        <w:t xml:space="preserve"> </w:t>
      </w:r>
      <w:r w:rsidR="009C5820">
        <w:rPr>
          <w:lang w:val="fr-FR"/>
        </w:rPr>
        <w:t>usager</w:t>
      </w:r>
      <w:r w:rsidR="008058A5">
        <w:rPr>
          <w:lang w:val="fr-FR"/>
        </w:rPr>
        <w:t xml:space="preserve"> qui estime </w:t>
      </w:r>
      <w:r w:rsidR="009C5820">
        <w:rPr>
          <w:lang w:val="fr-FR"/>
        </w:rPr>
        <w:t>ne pas avoir été traité</w:t>
      </w:r>
      <w:r w:rsidR="008058A5">
        <w:rPr>
          <w:lang w:val="fr-FR"/>
        </w:rPr>
        <w:t xml:space="preserve"> de façon appropriée par un membre du personnel de l’immigration de déposer une plainte contre un fonctionnaire (</w:t>
      </w:r>
      <w:r w:rsidR="00E8048D">
        <w:rPr>
          <w:lang w:val="fr-FR"/>
        </w:rPr>
        <w:t xml:space="preserve">des forces de l’ordre ou </w:t>
      </w:r>
      <w:r w:rsidR="00741CE0">
        <w:rPr>
          <w:lang w:val="fr-FR"/>
        </w:rPr>
        <w:t>administratif</w:t>
      </w:r>
      <w:r w:rsidR="00E8048D">
        <w:rPr>
          <w:lang w:val="fr-FR"/>
        </w:rPr>
        <w:t xml:space="preserve">), plainte qui donnera lieu à une enquête. </w:t>
      </w:r>
      <w:r w:rsidR="009C5820">
        <w:rPr>
          <w:lang w:val="fr-FR"/>
        </w:rPr>
        <w:t>Le public peut obtenir une version imprimée de la procédure par le biais du site Internet du Service d’immigration. L’un des engagements pris par le Service dans ce document est que nul ne sera soumis à un traitement assimilable à la torture et autres peines ou traitements cruels, inhumains ou dégradants</w:t>
      </w:r>
      <w:r w:rsidR="000B562B" w:rsidRPr="00A176EA">
        <w:rPr>
          <w:lang w:val="fr-FR"/>
        </w:rPr>
        <w:t>.</w:t>
      </w:r>
    </w:p>
    <w:p w:rsidR="000B562B" w:rsidRPr="00A176EA" w:rsidRDefault="00F07D0D" w:rsidP="00672C62">
      <w:pPr>
        <w:pStyle w:val="SingleTxtG"/>
        <w:rPr>
          <w:lang w:val="fr-FR"/>
        </w:rPr>
      </w:pPr>
      <w:r w:rsidRPr="00A176EA">
        <w:rPr>
          <w:lang w:val="fr-FR"/>
        </w:rPr>
        <w:t>49</w:t>
      </w:r>
      <w:r w:rsidR="002549A9" w:rsidRPr="00A176EA">
        <w:rPr>
          <w:lang w:val="fr-FR"/>
        </w:rPr>
        <w:t>.</w:t>
      </w:r>
      <w:r w:rsidR="002549A9" w:rsidRPr="00A176EA">
        <w:rPr>
          <w:lang w:val="fr-FR"/>
        </w:rPr>
        <w:tab/>
      </w:r>
      <w:r w:rsidR="008715B3">
        <w:rPr>
          <w:lang w:val="fr-FR"/>
        </w:rPr>
        <w:t xml:space="preserve">Les plaignants ont également accès au Bureau du Médiateur, un organisme indépendant qui </w:t>
      </w:r>
      <w:r w:rsidR="00741CE0">
        <w:rPr>
          <w:lang w:val="fr-FR"/>
        </w:rPr>
        <w:t>dispose</w:t>
      </w:r>
      <w:r w:rsidR="008715B3">
        <w:rPr>
          <w:lang w:val="fr-FR"/>
        </w:rPr>
        <w:t xml:space="preserve"> </w:t>
      </w:r>
      <w:r w:rsidR="00741CE0">
        <w:rPr>
          <w:lang w:val="fr-FR"/>
        </w:rPr>
        <w:t>d’</w:t>
      </w:r>
      <w:r w:rsidR="008715B3">
        <w:rPr>
          <w:lang w:val="fr-FR"/>
        </w:rPr>
        <w:t>importants pouvoirs d’enquête sur les administrations et les organismes publics. À ce jour, aucune plainte n’a été enregistrée contre un fonctionnaire de police, de l’immigration ou de l’Administration pénitentiaire pour torture et autres peines ou traitements cruels, inhumains ou dégradants</w:t>
      </w:r>
      <w:r w:rsidR="000B562B" w:rsidRPr="00A176EA">
        <w:rPr>
          <w:lang w:val="fr-FR"/>
        </w:rPr>
        <w:t>.</w:t>
      </w:r>
    </w:p>
    <w:p w:rsidR="000B562B" w:rsidRPr="00A176EA" w:rsidRDefault="00F07D0D" w:rsidP="008715B3">
      <w:pPr>
        <w:pStyle w:val="SingleTxtG"/>
        <w:rPr>
          <w:lang w:val="fr-FR"/>
        </w:rPr>
      </w:pPr>
      <w:r w:rsidRPr="00A176EA">
        <w:rPr>
          <w:lang w:val="fr-FR"/>
        </w:rPr>
        <w:t>50</w:t>
      </w:r>
      <w:r w:rsidR="002549A9" w:rsidRPr="00A176EA">
        <w:rPr>
          <w:lang w:val="fr-FR"/>
        </w:rPr>
        <w:t>.</w:t>
      </w:r>
      <w:r w:rsidR="002549A9" w:rsidRPr="00A176EA">
        <w:rPr>
          <w:lang w:val="fr-FR"/>
        </w:rPr>
        <w:tab/>
      </w:r>
      <w:r w:rsidR="008715B3">
        <w:rPr>
          <w:lang w:val="fr-FR"/>
        </w:rPr>
        <w:t>Outre dans le cadre des procédures de plaintes propres à chaque administration, les plaintes pour torture et autres traitements cruels, inhumains ou dégradants peuvent être adressées au Comité des droits de l’homme des îles Caïmanes. De par son mandat, le Comité est habili</w:t>
      </w:r>
      <w:r w:rsidR="00741CE0">
        <w:rPr>
          <w:lang w:val="fr-FR"/>
        </w:rPr>
        <w:t>t</w:t>
      </w:r>
      <w:r w:rsidR="008715B3">
        <w:rPr>
          <w:lang w:val="fr-FR"/>
        </w:rPr>
        <w:t>é à recevoir des plaintes concernant les droits fondamentaux d’un particulier et à formuler des recommandations et des conclusions non contraignantes à l’issue de son enquête</w:t>
      </w:r>
      <w:r w:rsidR="000B562B" w:rsidRPr="00A176EA">
        <w:rPr>
          <w:lang w:val="fr-FR"/>
        </w:rPr>
        <w:t>.</w:t>
      </w:r>
    </w:p>
    <w:p w:rsidR="000B562B" w:rsidRPr="00A176EA" w:rsidRDefault="00F07D0D" w:rsidP="0004046C">
      <w:pPr>
        <w:pStyle w:val="H1G"/>
      </w:pPr>
      <w:bookmarkStart w:id="99" w:name="_Toc299724790"/>
      <w:r w:rsidRPr="00A176EA">
        <w:tab/>
      </w:r>
      <w:r w:rsidR="00CC7A04" w:rsidRPr="00A176EA">
        <w:t>E.</w:t>
      </w:r>
      <w:r w:rsidRPr="00A176EA">
        <w:tab/>
      </w:r>
      <w:r w:rsidR="00332073" w:rsidRPr="008715B3">
        <w:t xml:space="preserve">Îles </w:t>
      </w:r>
      <w:r w:rsidRPr="008715B3">
        <w:t>Falkland</w:t>
      </w:r>
      <w:r w:rsidRPr="00A176EA">
        <w:t xml:space="preserve"> </w:t>
      </w:r>
      <w:bookmarkEnd w:id="99"/>
    </w:p>
    <w:p w:rsidR="000B562B" w:rsidRPr="00A176EA" w:rsidRDefault="00F07D0D" w:rsidP="00F07D0D">
      <w:pPr>
        <w:pStyle w:val="SingleTxtG"/>
        <w:rPr>
          <w:lang w:val="fr-FR"/>
        </w:rPr>
      </w:pPr>
      <w:r w:rsidRPr="00A176EA">
        <w:rPr>
          <w:lang w:val="fr-FR"/>
        </w:rPr>
        <w:t>51</w:t>
      </w:r>
      <w:r w:rsidR="002549A9" w:rsidRPr="00A176EA">
        <w:rPr>
          <w:lang w:val="fr-FR"/>
        </w:rPr>
        <w:t>.</w:t>
      </w:r>
      <w:r w:rsidR="002549A9" w:rsidRPr="00A176EA">
        <w:rPr>
          <w:lang w:val="fr-FR"/>
        </w:rPr>
        <w:tab/>
      </w:r>
      <w:r w:rsidR="008715B3">
        <w:rPr>
          <w:lang w:val="fr-FR"/>
        </w:rPr>
        <w:t>La situation au regard de l’application de la Convention dans les îles Falkland reste celle décrite dans le</w:t>
      </w:r>
      <w:r w:rsidR="004F2B21">
        <w:rPr>
          <w:lang w:val="fr-FR"/>
        </w:rPr>
        <w:t>s</w:t>
      </w:r>
      <w:r w:rsidR="008715B3">
        <w:rPr>
          <w:lang w:val="fr-FR"/>
        </w:rPr>
        <w:t xml:space="preserve"> rapport</w:t>
      </w:r>
      <w:r w:rsidR="004F2B21">
        <w:rPr>
          <w:lang w:val="fr-FR"/>
        </w:rPr>
        <w:t>s</w:t>
      </w:r>
      <w:r w:rsidR="004F2B21" w:rsidRPr="004F2B21">
        <w:rPr>
          <w:lang w:val="fr-FR"/>
        </w:rPr>
        <w:t xml:space="preserve"> </w:t>
      </w:r>
      <w:r w:rsidR="004F2B21">
        <w:rPr>
          <w:lang w:val="fr-FR"/>
        </w:rPr>
        <w:t>précédents. Les îles se sont dotées d’une nouvelle Constitution qui est entrée en vigueur le 1</w:t>
      </w:r>
      <w:r w:rsidR="004F2B21" w:rsidRPr="004F2B21">
        <w:rPr>
          <w:vertAlign w:val="superscript"/>
          <w:lang w:val="fr-FR"/>
        </w:rPr>
        <w:t>er</w:t>
      </w:r>
      <w:r w:rsidR="004F2B21">
        <w:rPr>
          <w:lang w:val="fr-FR"/>
        </w:rPr>
        <w:t xml:space="preserve"> janvier 2009. Le chapitre </w:t>
      </w:r>
      <w:r w:rsidR="00644A64">
        <w:rPr>
          <w:lang w:val="fr-FR"/>
        </w:rPr>
        <w:t xml:space="preserve">premier </w:t>
      </w:r>
      <w:r w:rsidR="004F2B21">
        <w:rPr>
          <w:lang w:val="fr-FR"/>
        </w:rPr>
        <w:t xml:space="preserve">porte sur la protection des droits et des libertés fondamentaux </w:t>
      </w:r>
      <w:r w:rsidR="000E3837">
        <w:rPr>
          <w:lang w:val="fr-FR"/>
        </w:rPr>
        <w:t xml:space="preserve">de </w:t>
      </w:r>
      <w:r w:rsidR="00DC6437">
        <w:rPr>
          <w:lang w:val="fr-FR"/>
        </w:rPr>
        <w:t>la personne</w:t>
      </w:r>
      <w:r w:rsidR="000E3837">
        <w:rPr>
          <w:lang w:val="fr-FR"/>
        </w:rPr>
        <w:t xml:space="preserve">. Cela inclut le droit à la vie, la protection contre tout traitement inhumain, la protection contre l’esclavage et le travail forcé, la protection du droit à la liberté individuelle, des dispositions pour garantir la protection de la loi, la protection des détenus contre tout traitement inhumain, </w:t>
      </w:r>
      <w:r w:rsidR="00DC6437">
        <w:rPr>
          <w:lang w:val="fr-FR"/>
        </w:rPr>
        <w:t>la protection de la liberté de circulation, la protection de la vie privée, de la vie de famille, du domicile et d</w:t>
      </w:r>
      <w:r w:rsidR="00B22D18">
        <w:rPr>
          <w:lang w:val="fr-FR"/>
        </w:rPr>
        <w:t xml:space="preserve">es </w:t>
      </w:r>
      <w:r w:rsidR="00DC6437">
        <w:rPr>
          <w:lang w:val="fr-FR"/>
        </w:rPr>
        <w:t xml:space="preserve">autres biens, la protection </w:t>
      </w:r>
      <w:r w:rsidR="00B22D18">
        <w:rPr>
          <w:lang w:val="fr-FR"/>
        </w:rPr>
        <w:t>du droit de se marier et de fonder une famille</w:t>
      </w:r>
      <w:r w:rsidR="000B562B" w:rsidRPr="00A176EA">
        <w:rPr>
          <w:lang w:val="fr-FR"/>
        </w:rPr>
        <w:t>.</w:t>
      </w:r>
    </w:p>
    <w:p w:rsidR="000B562B" w:rsidRPr="00A176EA" w:rsidRDefault="00F07D0D" w:rsidP="00B22D18">
      <w:pPr>
        <w:pStyle w:val="SingleTxtG"/>
        <w:rPr>
          <w:lang w:val="fr-FR"/>
        </w:rPr>
      </w:pPr>
      <w:r w:rsidRPr="00A176EA">
        <w:rPr>
          <w:lang w:val="fr-FR"/>
        </w:rPr>
        <w:t>52</w:t>
      </w:r>
      <w:r w:rsidR="002549A9" w:rsidRPr="00A176EA">
        <w:rPr>
          <w:lang w:val="fr-FR"/>
        </w:rPr>
        <w:t>.</w:t>
      </w:r>
      <w:r w:rsidR="002549A9" w:rsidRPr="00A176EA">
        <w:rPr>
          <w:lang w:val="fr-FR"/>
        </w:rPr>
        <w:tab/>
      </w:r>
      <w:r w:rsidR="00B22D18">
        <w:rPr>
          <w:lang w:val="fr-FR"/>
        </w:rPr>
        <w:t>La p</w:t>
      </w:r>
      <w:r w:rsidR="000B562B" w:rsidRPr="00A176EA">
        <w:rPr>
          <w:lang w:val="fr-FR"/>
        </w:rPr>
        <w:t>art</w:t>
      </w:r>
      <w:r w:rsidR="00B22D18">
        <w:rPr>
          <w:lang w:val="fr-FR"/>
        </w:rPr>
        <w:t>ie</w:t>
      </w:r>
      <w:r w:rsidR="000B562B" w:rsidRPr="00A176EA">
        <w:rPr>
          <w:lang w:val="fr-FR"/>
        </w:rPr>
        <w:t xml:space="preserve"> 7 </w:t>
      </w:r>
      <w:r w:rsidR="00741CE0">
        <w:rPr>
          <w:lang w:val="fr-FR"/>
        </w:rPr>
        <w:t>de la</w:t>
      </w:r>
      <w:r w:rsidR="000B562B" w:rsidRPr="00A176EA">
        <w:rPr>
          <w:lang w:val="fr-FR"/>
        </w:rPr>
        <w:t xml:space="preserve"> </w:t>
      </w:r>
      <w:r w:rsidR="00741CE0">
        <w:rPr>
          <w:lang w:val="fr-FR"/>
        </w:rPr>
        <w:t>C</w:t>
      </w:r>
      <w:r w:rsidR="000B562B" w:rsidRPr="00A176EA">
        <w:rPr>
          <w:lang w:val="fr-FR"/>
        </w:rPr>
        <w:t xml:space="preserve">onstitution </w:t>
      </w:r>
      <w:r w:rsidR="00B22D18">
        <w:rPr>
          <w:lang w:val="fr-FR"/>
        </w:rPr>
        <w:t xml:space="preserve">dispose que </w:t>
      </w:r>
      <w:r w:rsidR="00CD0110">
        <w:rPr>
          <w:lang w:val="fr-FR"/>
        </w:rPr>
        <w:t>«</w:t>
      </w:r>
      <w:r w:rsidR="00B22D18">
        <w:rPr>
          <w:lang w:val="fr-FR"/>
        </w:rPr>
        <w:t>Toute personne privée de sa liberté a le droit d’être traitée avec humanité et dans le respect de la dignité inhérente à la personne humaine</w:t>
      </w:r>
      <w:r w:rsidR="00CD0110">
        <w:rPr>
          <w:lang w:val="fr-FR"/>
        </w:rPr>
        <w:t>»</w:t>
      </w:r>
      <w:r w:rsidR="000B562B" w:rsidRPr="00A176EA">
        <w:rPr>
          <w:lang w:val="fr-FR"/>
        </w:rPr>
        <w:t>.</w:t>
      </w:r>
    </w:p>
    <w:p w:rsidR="000B562B" w:rsidRPr="00A176EA" w:rsidRDefault="00F07D0D" w:rsidP="00644A64">
      <w:pPr>
        <w:pStyle w:val="SingleTxtG"/>
        <w:rPr>
          <w:lang w:val="fr-FR"/>
        </w:rPr>
      </w:pPr>
      <w:r w:rsidRPr="00A176EA">
        <w:rPr>
          <w:lang w:val="fr-FR"/>
        </w:rPr>
        <w:t>53</w:t>
      </w:r>
      <w:r w:rsidR="002549A9" w:rsidRPr="00A176EA">
        <w:rPr>
          <w:lang w:val="fr-FR"/>
        </w:rPr>
        <w:t>.</w:t>
      </w:r>
      <w:r w:rsidR="002549A9" w:rsidRPr="00A176EA">
        <w:rPr>
          <w:lang w:val="fr-FR"/>
        </w:rPr>
        <w:tab/>
      </w:r>
      <w:r w:rsidR="00B22D18">
        <w:rPr>
          <w:lang w:val="fr-FR"/>
        </w:rPr>
        <w:t>Les îles</w:t>
      </w:r>
      <w:r w:rsidR="000B562B" w:rsidRPr="00A176EA">
        <w:rPr>
          <w:lang w:val="fr-FR"/>
        </w:rPr>
        <w:t xml:space="preserve"> Falkland </w:t>
      </w:r>
      <w:r w:rsidR="00B22D18">
        <w:rPr>
          <w:lang w:val="fr-FR"/>
        </w:rPr>
        <w:t xml:space="preserve">ont construit une nouvelle prison et entrepris d’actualiser l’ordonnance de 1966 relative </w:t>
      </w:r>
      <w:r w:rsidR="00644A64">
        <w:rPr>
          <w:lang w:val="fr-FR"/>
        </w:rPr>
        <w:t xml:space="preserve">aux établissements </w:t>
      </w:r>
      <w:r w:rsidR="00505462">
        <w:rPr>
          <w:lang w:val="fr-FR"/>
        </w:rPr>
        <w:t>pénitentiaires</w:t>
      </w:r>
      <w:r w:rsidR="00644A64">
        <w:rPr>
          <w:lang w:val="fr-FR"/>
        </w:rPr>
        <w:t xml:space="preserve"> et le Règlement pénitentiaire qu’elle prévoit</w:t>
      </w:r>
      <w:r w:rsidR="000B562B" w:rsidRPr="00A176EA">
        <w:rPr>
          <w:lang w:val="fr-FR"/>
        </w:rPr>
        <w:t>.</w:t>
      </w:r>
    </w:p>
    <w:p w:rsidR="000B562B" w:rsidRPr="00644A64" w:rsidRDefault="008D1EC1" w:rsidP="0004046C">
      <w:pPr>
        <w:pStyle w:val="H1G"/>
      </w:pPr>
      <w:bookmarkStart w:id="100" w:name="_Toc299724791"/>
      <w:r w:rsidRPr="00A176EA">
        <w:tab/>
      </w:r>
      <w:r w:rsidRPr="00644A64">
        <w:t>F.</w:t>
      </w:r>
      <w:r w:rsidRPr="00644A64">
        <w:tab/>
      </w:r>
      <w:r w:rsidR="000B562B" w:rsidRPr="00644A64">
        <w:t>G</w:t>
      </w:r>
      <w:r w:rsidR="00F07D0D" w:rsidRPr="00644A64">
        <w:t>ibraltar</w:t>
      </w:r>
      <w:bookmarkEnd w:id="100"/>
    </w:p>
    <w:p w:rsidR="000B562B" w:rsidRPr="00644A64" w:rsidRDefault="00F07D0D" w:rsidP="00F07D0D">
      <w:pPr>
        <w:pStyle w:val="SingleTxtG"/>
        <w:rPr>
          <w:lang w:val="fr-FR"/>
        </w:rPr>
      </w:pPr>
      <w:r w:rsidRPr="00644A64">
        <w:rPr>
          <w:lang w:val="fr-FR"/>
        </w:rPr>
        <w:t>54</w:t>
      </w:r>
      <w:r w:rsidR="002549A9" w:rsidRPr="00644A64">
        <w:rPr>
          <w:lang w:val="fr-FR"/>
        </w:rPr>
        <w:t>.</w:t>
      </w:r>
      <w:r w:rsidR="002549A9" w:rsidRPr="00644A64">
        <w:rPr>
          <w:lang w:val="fr-FR"/>
        </w:rPr>
        <w:tab/>
      </w:r>
      <w:r w:rsidR="004F2B21" w:rsidRPr="00644A64">
        <w:rPr>
          <w:lang w:val="fr-FR"/>
        </w:rPr>
        <w:t>La situation au regard de l’application de la Convention à Gibraltar reste celle décrite dans les rapports précédents</w:t>
      </w:r>
      <w:r w:rsidR="000B562B" w:rsidRPr="00644A64">
        <w:rPr>
          <w:lang w:val="fr-FR"/>
        </w:rPr>
        <w:t>.</w:t>
      </w:r>
    </w:p>
    <w:p w:rsidR="000B562B" w:rsidRPr="00644A64" w:rsidRDefault="00F07D0D" w:rsidP="0004046C">
      <w:pPr>
        <w:pStyle w:val="H1G"/>
      </w:pPr>
      <w:bookmarkStart w:id="101" w:name="_Toc299724792"/>
      <w:r w:rsidRPr="00644A64">
        <w:tab/>
      </w:r>
      <w:r w:rsidR="008D1EC1" w:rsidRPr="00644A64">
        <w:t>G.</w:t>
      </w:r>
      <w:r w:rsidRPr="00644A64">
        <w:tab/>
      </w:r>
      <w:r w:rsidR="000B562B" w:rsidRPr="00644A64">
        <w:t>M</w:t>
      </w:r>
      <w:r w:rsidRPr="00644A64">
        <w:t>ontserrat</w:t>
      </w:r>
      <w:bookmarkEnd w:id="101"/>
    </w:p>
    <w:p w:rsidR="000B562B" w:rsidRPr="00644A64" w:rsidRDefault="00F07D0D" w:rsidP="00F07D0D">
      <w:pPr>
        <w:pStyle w:val="SingleTxtG"/>
        <w:rPr>
          <w:lang w:val="fr-FR"/>
        </w:rPr>
      </w:pPr>
      <w:r w:rsidRPr="00644A64">
        <w:rPr>
          <w:lang w:val="fr-FR"/>
        </w:rPr>
        <w:t>55.</w:t>
      </w:r>
      <w:r w:rsidR="002549A9" w:rsidRPr="00644A64">
        <w:rPr>
          <w:lang w:val="fr-FR"/>
        </w:rPr>
        <w:tab/>
      </w:r>
      <w:r w:rsidR="004F2B21" w:rsidRPr="00644A64">
        <w:rPr>
          <w:lang w:val="fr-FR"/>
        </w:rPr>
        <w:t>La situation au regard de l’application de la Convention à Montserrat reste celle décrite dans les rapports précédents</w:t>
      </w:r>
      <w:r w:rsidR="000B562B" w:rsidRPr="00644A64">
        <w:rPr>
          <w:lang w:val="fr-FR"/>
        </w:rPr>
        <w:t>.</w:t>
      </w:r>
    </w:p>
    <w:p w:rsidR="000B562B" w:rsidRPr="00644A64" w:rsidRDefault="00F07D0D" w:rsidP="0004046C">
      <w:pPr>
        <w:pStyle w:val="H1G"/>
      </w:pPr>
      <w:bookmarkStart w:id="102" w:name="_Toc299724793"/>
      <w:r w:rsidRPr="00644A64">
        <w:tab/>
      </w:r>
      <w:r w:rsidR="008D1EC1" w:rsidRPr="00644A64">
        <w:t>H.</w:t>
      </w:r>
      <w:r w:rsidRPr="00644A64">
        <w:tab/>
      </w:r>
      <w:r w:rsidR="000B562B" w:rsidRPr="00644A64">
        <w:t>P</w:t>
      </w:r>
      <w:r w:rsidRPr="00644A64">
        <w:t>itcairn</w:t>
      </w:r>
      <w:bookmarkEnd w:id="102"/>
    </w:p>
    <w:p w:rsidR="000B562B" w:rsidRPr="00A176EA" w:rsidRDefault="00F07D0D" w:rsidP="00F07D0D">
      <w:pPr>
        <w:pStyle w:val="SingleTxtG"/>
        <w:rPr>
          <w:lang w:val="fr-FR"/>
        </w:rPr>
      </w:pPr>
      <w:r w:rsidRPr="00644A64">
        <w:rPr>
          <w:lang w:val="fr-FR"/>
        </w:rPr>
        <w:t>56</w:t>
      </w:r>
      <w:r w:rsidR="002549A9" w:rsidRPr="00644A64">
        <w:rPr>
          <w:lang w:val="fr-FR"/>
        </w:rPr>
        <w:t>.</w:t>
      </w:r>
      <w:r w:rsidR="002549A9" w:rsidRPr="00644A64">
        <w:rPr>
          <w:lang w:val="fr-FR"/>
        </w:rPr>
        <w:tab/>
      </w:r>
      <w:r w:rsidR="00CB5237" w:rsidRPr="00644A64">
        <w:rPr>
          <w:lang w:val="fr-FR"/>
        </w:rPr>
        <w:t xml:space="preserve">Selon le recensement le plus récent, la population de Pitcairn était de 53 habitants au 31 décembre </w:t>
      </w:r>
      <w:r w:rsidR="000B562B" w:rsidRPr="00644A64">
        <w:rPr>
          <w:lang w:val="fr-FR"/>
        </w:rPr>
        <w:t>2009.</w:t>
      </w:r>
      <w:r w:rsidR="000B562B" w:rsidRPr="00A176EA">
        <w:rPr>
          <w:lang w:val="fr-FR"/>
        </w:rPr>
        <w:t xml:space="preserve"> </w:t>
      </w:r>
      <w:r w:rsidR="002653E6" w:rsidRPr="002653E6">
        <w:rPr>
          <w:lang w:val="fr-FR"/>
        </w:rPr>
        <w:t xml:space="preserve">Une nouvelle structure de gouvernance a été mise en place en avril 2009 pour renforcer l’équité et la transparence des capacités administratives de l’île et un projet financé par le </w:t>
      </w:r>
      <w:r w:rsidR="000B562B" w:rsidRPr="002653E6">
        <w:rPr>
          <w:lang w:val="fr-FR"/>
        </w:rPr>
        <w:t>DFID</w:t>
      </w:r>
      <w:r w:rsidR="002653E6" w:rsidRPr="002653E6">
        <w:rPr>
          <w:lang w:val="fr-FR"/>
        </w:rPr>
        <w:t xml:space="preserve"> (Département du développement international du Royaume-Uni)</w:t>
      </w:r>
      <w:r w:rsidR="002653E6">
        <w:rPr>
          <w:lang w:val="fr-FR"/>
        </w:rPr>
        <w:t xml:space="preserve"> est en cours pour renforcer les capacités en matière de droits de l’homme </w:t>
      </w:r>
      <w:r w:rsidR="000B562B" w:rsidRPr="002653E6">
        <w:rPr>
          <w:lang w:val="fr-FR"/>
        </w:rPr>
        <w:t>(</w:t>
      </w:r>
      <w:r w:rsidR="002653E6" w:rsidRPr="002653E6">
        <w:rPr>
          <w:lang w:val="fr-FR"/>
        </w:rPr>
        <w:t>dans plusieurs territoires d’outre-mer)</w:t>
      </w:r>
      <w:r w:rsidR="000B562B" w:rsidRPr="002653E6">
        <w:rPr>
          <w:lang w:val="fr-FR"/>
        </w:rPr>
        <w:t xml:space="preserve">. </w:t>
      </w:r>
      <w:r w:rsidR="002653E6" w:rsidRPr="002653E6">
        <w:rPr>
          <w:lang w:val="fr-FR"/>
        </w:rPr>
        <w:t>Grâce à ces projets,</w:t>
      </w:r>
      <w:r w:rsidR="002653E6">
        <w:rPr>
          <w:lang w:val="fr-FR"/>
        </w:rPr>
        <w:t xml:space="preserve"> </w:t>
      </w:r>
      <w:r w:rsidR="002F0CBB">
        <w:rPr>
          <w:lang w:val="fr-FR"/>
        </w:rPr>
        <w:t>le Conseil de l’île de Pitcairn et la population ont accès à une formation à jour sur les droits et les responsabilités de l’individu</w:t>
      </w:r>
      <w:r w:rsidR="000B562B" w:rsidRPr="00A176EA">
        <w:rPr>
          <w:lang w:val="fr-FR"/>
        </w:rPr>
        <w:t>.</w:t>
      </w:r>
    </w:p>
    <w:p w:rsidR="000B562B" w:rsidRPr="00A176EA" w:rsidRDefault="00F07D0D" w:rsidP="00F07D0D">
      <w:pPr>
        <w:pStyle w:val="SingleTxtG"/>
        <w:rPr>
          <w:lang w:val="fr-FR"/>
        </w:rPr>
      </w:pPr>
      <w:r w:rsidRPr="00A176EA">
        <w:rPr>
          <w:lang w:val="fr-FR"/>
        </w:rPr>
        <w:t>57</w:t>
      </w:r>
      <w:r w:rsidR="002549A9" w:rsidRPr="00A176EA">
        <w:rPr>
          <w:lang w:val="fr-FR"/>
        </w:rPr>
        <w:t>.</w:t>
      </w:r>
      <w:r w:rsidR="002549A9" w:rsidRPr="00A176EA">
        <w:rPr>
          <w:lang w:val="fr-FR"/>
        </w:rPr>
        <w:tab/>
      </w:r>
      <w:r w:rsidR="002F0CBB">
        <w:rPr>
          <w:lang w:val="fr-FR"/>
        </w:rPr>
        <w:t>De novembre</w:t>
      </w:r>
      <w:r w:rsidR="000B562B" w:rsidRPr="00A176EA">
        <w:rPr>
          <w:lang w:val="fr-FR"/>
        </w:rPr>
        <w:t xml:space="preserve"> 2006 </w:t>
      </w:r>
      <w:r w:rsidR="002F0CBB">
        <w:rPr>
          <w:lang w:val="fr-FR"/>
        </w:rPr>
        <w:t>à avril</w:t>
      </w:r>
      <w:r w:rsidR="000B562B" w:rsidRPr="00A176EA">
        <w:rPr>
          <w:lang w:val="fr-FR"/>
        </w:rPr>
        <w:t xml:space="preserve"> 2009</w:t>
      </w:r>
      <w:r w:rsidR="002F0CBB">
        <w:rPr>
          <w:lang w:val="fr-FR"/>
        </w:rPr>
        <w:t>, l’unique lieu de détention de l’île (six cellules) comptait cinq détenus, dont quatre sont depuis en liberté conditionnelle et le cinquième a purgé sa peine et achevé sa période de</w:t>
      </w:r>
      <w:r w:rsidR="004A1DDC">
        <w:rPr>
          <w:lang w:val="fr-FR"/>
        </w:rPr>
        <w:t xml:space="preserve"> libération conditionnelle. Les forces de l’ordre, les juges et les magistrats de Pitcairn </w:t>
      </w:r>
      <w:r w:rsidR="00645547">
        <w:rPr>
          <w:lang w:val="fr-FR"/>
        </w:rPr>
        <w:t>sont recrutés au sein de l’Administration pénitentiaire de Nouvelle-Zélande, de la police de Nouvelle-Zélande</w:t>
      </w:r>
      <w:r w:rsidR="00645547" w:rsidRPr="00A176EA">
        <w:rPr>
          <w:lang w:val="fr-FR"/>
        </w:rPr>
        <w:t xml:space="preserve"> </w:t>
      </w:r>
      <w:r w:rsidR="00645547">
        <w:rPr>
          <w:lang w:val="fr-FR"/>
        </w:rPr>
        <w:t>et</w:t>
      </w:r>
      <w:r w:rsidR="00645547" w:rsidRPr="00645547">
        <w:rPr>
          <w:lang w:val="fr-FR"/>
        </w:rPr>
        <w:t xml:space="preserve"> </w:t>
      </w:r>
      <w:r w:rsidR="00B06B27">
        <w:rPr>
          <w:lang w:val="fr-FR"/>
        </w:rPr>
        <w:t>du Corps judiciaire</w:t>
      </w:r>
      <w:r w:rsidR="00645547" w:rsidRPr="00A176EA">
        <w:rPr>
          <w:lang w:val="fr-FR"/>
        </w:rPr>
        <w:t xml:space="preserve"> </w:t>
      </w:r>
      <w:r w:rsidR="00645547">
        <w:rPr>
          <w:lang w:val="fr-FR"/>
        </w:rPr>
        <w:t xml:space="preserve">de Nouvelle-Zélande, ou en sont détachés. </w:t>
      </w:r>
      <w:r w:rsidR="00B06B27">
        <w:rPr>
          <w:lang w:val="fr-FR"/>
        </w:rPr>
        <w:t xml:space="preserve">Tous ont </w:t>
      </w:r>
      <w:r w:rsidR="00294E96">
        <w:rPr>
          <w:lang w:val="fr-FR"/>
        </w:rPr>
        <w:t>effectué</w:t>
      </w:r>
      <w:r w:rsidR="00B06B27">
        <w:rPr>
          <w:lang w:val="fr-FR"/>
        </w:rPr>
        <w:t xml:space="preserve"> leur formation professionnelle en Nouvelle-Zélande. S’agissant </w:t>
      </w:r>
      <w:r w:rsidR="007E10A2">
        <w:rPr>
          <w:lang w:val="fr-FR"/>
        </w:rPr>
        <w:t>du personnel pénitentiaire</w:t>
      </w:r>
      <w:r w:rsidR="00B06B27">
        <w:rPr>
          <w:lang w:val="fr-FR"/>
        </w:rPr>
        <w:t xml:space="preserve">, la formation des recrues </w:t>
      </w:r>
      <w:r w:rsidR="006C381B">
        <w:rPr>
          <w:lang w:val="fr-FR"/>
        </w:rPr>
        <w:t>porte notamment sur</w:t>
      </w:r>
      <w:r w:rsidR="00B06B27">
        <w:rPr>
          <w:lang w:val="fr-FR"/>
        </w:rPr>
        <w:t xml:space="preserve"> </w:t>
      </w:r>
      <w:r w:rsidR="007E10A2" w:rsidRPr="007E10A2">
        <w:rPr>
          <w:lang w:val="fr-FR"/>
        </w:rPr>
        <w:t>l’Ensemble de règles minima des Nations Unies pour le traitement des détenus</w:t>
      </w:r>
      <w:r w:rsidR="007E10A2">
        <w:rPr>
          <w:lang w:val="fr-FR"/>
        </w:rPr>
        <w:t xml:space="preserve"> et la protection des </w:t>
      </w:r>
      <w:r w:rsidR="009A64BF">
        <w:rPr>
          <w:lang w:val="fr-FR"/>
        </w:rPr>
        <w:t>détenus vulnérables</w:t>
      </w:r>
      <w:r w:rsidR="00AB3BBF">
        <w:rPr>
          <w:lang w:val="fr-FR"/>
        </w:rPr>
        <w:t>. Les fonctionnaires de police reçoivent une formation complète sur le traitement des personnes en garde à vue. Pitcairn dispose d’un médecin recruté et supervisé par l’organisation mondiale International SOS</w:t>
      </w:r>
      <w:r w:rsidR="00FC2B97">
        <w:rPr>
          <w:lang w:val="fr-FR"/>
        </w:rPr>
        <w:t>:</w:t>
      </w:r>
      <w:r w:rsidR="00AB3BBF">
        <w:rPr>
          <w:lang w:val="fr-FR"/>
        </w:rPr>
        <w:t xml:space="preserve"> les détenus </w:t>
      </w:r>
      <w:r w:rsidR="00E6167A">
        <w:rPr>
          <w:lang w:val="fr-FR"/>
        </w:rPr>
        <w:t>bénéficient</w:t>
      </w:r>
      <w:r w:rsidR="00AB3BBF">
        <w:rPr>
          <w:lang w:val="fr-FR"/>
        </w:rPr>
        <w:t xml:space="preserve"> d</w:t>
      </w:r>
      <w:r w:rsidR="00E6167A">
        <w:rPr>
          <w:lang w:val="fr-FR"/>
        </w:rPr>
        <w:t>’</w:t>
      </w:r>
      <w:r w:rsidR="00AB3BBF">
        <w:rPr>
          <w:lang w:val="fr-FR"/>
        </w:rPr>
        <w:t xml:space="preserve">examens médicaux réguliers </w:t>
      </w:r>
      <w:r w:rsidR="00623363">
        <w:rPr>
          <w:lang w:val="fr-FR"/>
        </w:rPr>
        <w:t>et des visites supplémentaires sont organisées en cas de besoin</w:t>
      </w:r>
      <w:r w:rsidR="000B562B" w:rsidRPr="00A176EA">
        <w:rPr>
          <w:lang w:val="fr-FR"/>
        </w:rPr>
        <w:t>.</w:t>
      </w:r>
    </w:p>
    <w:p w:rsidR="000B562B" w:rsidRPr="00A176EA" w:rsidRDefault="00F07D0D" w:rsidP="00360F68">
      <w:pPr>
        <w:pStyle w:val="SingleTxtG"/>
        <w:rPr>
          <w:lang w:val="fr-FR"/>
        </w:rPr>
      </w:pPr>
      <w:r w:rsidRPr="00A176EA">
        <w:rPr>
          <w:lang w:val="fr-FR"/>
        </w:rPr>
        <w:t>58</w:t>
      </w:r>
      <w:r w:rsidR="002549A9" w:rsidRPr="00A176EA">
        <w:rPr>
          <w:lang w:val="fr-FR"/>
        </w:rPr>
        <w:t>.</w:t>
      </w:r>
      <w:r w:rsidR="002549A9" w:rsidRPr="00A176EA">
        <w:rPr>
          <w:lang w:val="fr-FR"/>
        </w:rPr>
        <w:tab/>
      </w:r>
      <w:r w:rsidR="00623363">
        <w:rPr>
          <w:lang w:val="fr-FR"/>
        </w:rPr>
        <w:t>Calqué</w:t>
      </w:r>
      <w:r w:rsidR="00741CE0">
        <w:rPr>
          <w:lang w:val="fr-FR"/>
        </w:rPr>
        <w:t>s</w:t>
      </w:r>
      <w:r w:rsidR="00623363">
        <w:rPr>
          <w:lang w:val="fr-FR"/>
        </w:rPr>
        <w:t xml:space="preserve"> sur </w:t>
      </w:r>
      <w:r w:rsidR="00E6167A">
        <w:rPr>
          <w:lang w:val="fr-FR"/>
        </w:rPr>
        <w:t>ceux</w:t>
      </w:r>
      <w:r w:rsidR="00623363">
        <w:rPr>
          <w:lang w:val="fr-FR"/>
        </w:rPr>
        <w:t xml:space="preserve"> des autres territoires d’outre-mer, l’ordonnance relative aux établissements pénitentiaires et </w:t>
      </w:r>
      <w:r w:rsidR="00E6167A">
        <w:rPr>
          <w:lang w:val="fr-FR"/>
        </w:rPr>
        <w:t>le Règlement pénitentiaire</w:t>
      </w:r>
      <w:r w:rsidR="00623363">
        <w:rPr>
          <w:lang w:val="fr-FR"/>
        </w:rPr>
        <w:t xml:space="preserve"> </w:t>
      </w:r>
      <w:r w:rsidR="00E6167A">
        <w:rPr>
          <w:lang w:val="fr-FR"/>
        </w:rPr>
        <w:t>prévoient</w:t>
      </w:r>
      <w:r w:rsidR="00623363">
        <w:rPr>
          <w:lang w:val="fr-FR"/>
        </w:rPr>
        <w:t xml:space="preserve"> des principes et des pratiques modernes. Construite sous l’égide de consultants experts,</w:t>
      </w:r>
      <w:r w:rsidR="00623363" w:rsidRPr="00623363">
        <w:rPr>
          <w:lang w:val="fr-FR"/>
        </w:rPr>
        <w:t xml:space="preserve"> </w:t>
      </w:r>
      <w:r w:rsidR="00623363">
        <w:rPr>
          <w:lang w:val="fr-FR"/>
        </w:rPr>
        <w:t xml:space="preserve">la prison </w:t>
      </w:r>
      <w:r w:rsidR="00294E96">
        <w:rPr>
          <w:lang w:val="fr-FR"/>
        </w:rPr>
        <w:t xml:space="preserve">répond à des normes nettement supérieures à </w:t>
      </w:r>
      <w:r w:rsidR="00337474" w:rsidRPr="00061145">
        <w:rPr>
          <w:lang w:val="fr-FR"/>
        </w:rPr>
        <w:t xml:space="preserve">l’Ensemble de règles minima et </w:t>
      </w:r>
      <w:r w:rsidR="00E6167A">
        <w:rPr>
          <w:lang w:val="fr-FR"/>
        </w:rPr>
        <w:t>aux</w:t>
      </w:r>
      <w:r w:rsidR="00337474" w:rsidRPr="00061145">
        <w:rPr>
          <w:lang w:val="fr-FR"/>
        </w:rPr>
        <w:t xml:space="preserve"> </w:t>
      </w:r>
      <w:r w:rsidR="00337474">
        <w:rPr>
          <w:lang w:val="fr-FR"/>
        </w:rPr>
        <w:t>P</w:t>
      </w:r>
      <w:r w:rsidR="00337474" w:rsidRPr="00061145">
        <w:rPr>
          <w:lang w:val="fr-FR"/>
        </w:rPr>
        <w:t>rincipes</w:t>
      </w:r>
      <w:r w:rsidR="00337474">
        <w:rPr>
          <w:lang w:val="fr-FR"/>
        </w:rPr>
        <w:t xml:space="preserve"> fondamentaux relatifs au traitement des détenus. Elle est située au cœur </w:t>
      </w:r>
      <w:r w:rsidR="00D172D0">
        <w:rPr>
          <w:lang w:val="fr-FR"/>
        </w:rPr>
        <w:t xml:space="preserve">de </w:t>
      </w:r>
      <w:r w:rsidR="00C83175">
        <w:rPr>
          <w:lang w:val="fr-FR"/>
        </w:rPr>
        <w:t>l’agglomération</w:t>
      </w:r>
      <w:r w:rsidR="00D172D0">
        <w:rPr>
          <w:lang w:val="fr-FR"/>
        </w:rPr>
        <w:t xml:space="preserve"> et, compte tenu de la taille et de la population de l’île, </w:t>
      </w:r>
      <w:r w:rsidR="00C83175">
        <w:rPr>
          <w:lang w:val="fr-FR"/>
        </w:rPr>
        <w:t xml:space="preserve">toute détention au secret est impossible. La prison est actuellement inoccupée mais, lorsqu’elle était en activité, un comité d’inspection présidé par le pasteur adventiste du septième jour était chargé de recevoir les plaintes des détenus ou les allégations </w:t>
      </w:r>
      <w:r w:rsidR="00360F68">
        <w:rPr>
          <w:lang w:val="fr-FR"/>
        </w:rPr>
        <w:t>de mauvais traitements de la part</w:t>
      </w:r>
      <w:r w:rsidR="00C83175">
        <w:rPr>
          <w:lang w:val="fr-FR"/>
        </w:rPr>
        <w:t xml:space="preserve"> d’agents pénitentiaires </w:t>
      </w:r>
      <w:r w:rsidR="00360F68">
        <w:rPr>
          <w:lang w:val="fr-FR"/>
        </w:rPr>
        <w:t>et de les transmettre au Gouverneur de Pitcairn. Toute plainte pour mauvais traitement est d’abord instruite par le Directeur de la prison ou, le cas échéant, par le Représentant du Gouverneur</w:t>
      </w:r>
      <w:r w:rsidR="00557CF0">
        <w:rPr>
          <w:lang w:val="fr-FR"/>
        </w:rPr>
        <w:t>,</w:t>
      </w:r>
      <w:r w:rsidR="00360F68">
        <w:rPr>
          <w:lang w:val="fr-FR"/>
        </w:rPr>
        <w:t xml:space="preserve"> qui sup</w:t>
      </w:r>
      <w:r w:rsidR="00557CF0">
        <w:rPr>
          <w:lang w:val="fr-FR"/>
        </w:rPr>
        <w:t>e</w:t>
      </w:r>
      <w:r w:rsidR="00360F68">
        <w:rPr>
          <w:lang w:val="fr-FR"/>
        </w:rPr>
        <w:t xml:space="preserve">rvise localement la prison. </w:t>
      </w:r>
      <w:r w:rsidR="00557CF0">
        <w:rPr>
          <w:lang w:val="fr-FR"/>
        </w:rPr>
        <w:t>L</w:t>
      </w:r>
      <w:r w:rsidR="00360F68">
        <w:rPr>
          <w:lang w:val="fr-FR"/>
        </w:rPr>
        <w:t xml:space="preserve">a plainte est </w:t>
      </w:r>
      <w:r w:rsidR="00557CF0">
        <w:rPr>
          <w:lang w:val="fr-FR"/>
        </w:rPr>
        <w:t xml:space="preserve">ensuite </w:t>
      </w:r>
      <w:r w:rsidR="00360F68">
        <w:rPr>
          <w:lang w:val="fr-FR"/>
        </w:rPr>
        <w:t>traitée par le Bureau du Gouverneur à Wellington, en Nouvelle-Zélande. Aucun signalement de mauvais traitement de la part de fonctionnaires pénitentiaires n’a été signalé lorsqu’il y avait des détenus à la prison de Pitcairn</w:t>
      </w:r>
      <w:r w:rsidR="000B562B" w:rsidRPr="00A176EA">
        <w:rPr>
          <w:lang w:val="fr-FR"/>
        </w:rPr>
        <w:t>.</w:t>
      </w:r>
    </w:p>
    <w:p w:rsidR="000B562B" w:rsidRPr="00360F68" w:rsidRDefault="00F07D0D" w:rsidP="0004046C">
      <w:pPr>
        <w:pStyle w:val="H1G"/>
      </w:pPr>
      <w:bookmarkStart w:id="103" w:name="_Toc299724794"/>
      <w:r w:rsidRPr="00A176EA">
        <w:tab/>
      </w:r>
      <w:r w:rsidR="000B562B" w:rsidRPr="00A176EA">
        <w:t xml:space="preserve">I. </w:t>
      </w:r>
      <w:r w:rsidRPr="00A176EA">
        <w:tab/>
      </w:r>
      <w:r w:rsidR="000B562B" w:rsidRPr="00360F68">
        <w:t>S</w:t>
      </w:r>
      <w:r w:rsidR="00BA3971" w:rsidRPr="00360F68">
        <w:t>ainte-</w:t>
      </w:r>
      <w:r w:rsidR="000B562B" w:rsidRPr="00360F68">
        <w:t>H</w:t>
      </w:r>
      <w:r w:rsidR="00BA3971" w:rsidRPr="00360F68">
        <w:t>é</w:t>
      </w:r>
      <w:r w:rsidRPr="00360F68">
        <w:t>l</w:t>
      </w:r>
      <w:r w:rsidR="00BA3971" w:rsidRPr="00360F68">
        <w:t>è</w:t>
      </w:r>
      <w:r w:rsidRPr="00360F68">
        <w:t>n</w:t>
      </w:r>
      <w:r w:rsidR="00BA3971" w:rsidRPr="00360F68">
        <w:t>e</w:t>
      </w:r>
      <w:r w:rsidR="000B562B" w:rsidRPr="00360F68">
        <w:t xml:space="preserve">, </w:t>
      </w:r>
      <w:r w:rsidRPr="00360F68">
        <w:t xml:space="preserve">Ascension </w:t>
      </w:r>
      <w:r w:rsidR="00BA3971" w:rsidRPr="00360F68">
        <w:t>et</w:t>
      </w:r>
      <w:r w:rsidRPr="00360F68">
        <w:t xml:space="preserve"> Tristan da Cunha</w:t>
      </w:r>
      <w:bookmarkEnd w:id="103"/>
    </w:p>
    <w:p w:rsidR="000B562B" w:rsidRPr="00A176EA" w:rsidRDefault="00F07D0D" w:rsidP="00F07D0D">
      <w:pPr>
        <w:pStyle w:val="SingleTxtG"/>
        <w:rPr>
          <w:lang w:val="fr-FR"/>
        </w:rPr>
      </w:pPr>
      <w:r w:rsidRPr="00360F68">
        <w:rPr>
          <w:lang w:val="fr-FR"/>
        </w:rPr>
        <w:t>59</w:t>
      </w:r>
      <w:r w:rsidR="002549A9" w:rsidRPr="00360F68">
        <w:rPr>
          <w:lang w:val="fr-FR"/>
        </w:rPr>
        <w:t>.</w:t>
      </w:r>
      <w:r w:rsidR="002549A9" w:rsidRPr="00360F68">
        <w:rPr>
          <w:lang w:val="fr-FR"/>
        </w:rPr>
        <w:tab/>
      </w:r>
      <w:r w:rsidR="00BA3971" w:rsidRPr="00360F68">
        <w:rPr>
          <w:lang w:val="fr-FR"/>
        </w:rPr>
        <w:t>Sainte-Hélène, Ascension et Tristan da Cunha ont une nouvelle</w:t>
      </w:r>
      <w:r w:rsidR="000B562B" w:rsidRPr="00360F68">
        <w:rPr>
          <w:lang w:val="fr-FR"/>
        </w:rPr>
        <w:t xml:space="preserve"> Constitution</w:t>
      </w:r>
      <w:r w:rsidR="000B562B" w:rsidRPr="00A176EA">
        <w:rPr>
          <w:lang w:val="fr-FR"/>
        </w:rPr>
        <w:t xml:space="preserve"> </w:t>
      </w:r>
      <w:r w:rsidR="00FE6CAF">
        <w:rPr>
          <w:lang w:val="fr-FR"/>
        </w:rPr>
        <w:t xml:space="preserve">prévoyant des garanties spécifiques concernant les droits de l’homme, dont la protection contre la torture et autres peines et traitements inhumains ou dégradants. Au cours de la période à l’examen, aucun incident ni plainte pour torture ou autres peines et traitements cruels, inhumains ou dégradants ne s’est produit. Il n’y a pas non plus </w:t>
      </w:r>
      <w:r w:rsidR="00557CF0">
        <w:rPr>
          <w:lang w:val="fr-FR"/>
        </w:rPr>
        <w:t xml:space="preserve">eu </w:t>
      </w:r>
      <w:r w:rsidR="00FE6CAF">
        <w:rPr>
          <w:lang w:val="fr-FR"/>
        </w:rPr>
        <w:t xml:space="preserve">de demande d’extradition </w:t>
      </w:r>
      <w:r w:rsidR="0023448C">
        <w:rPr>
          <w:lang w:val="fr-FR"/>
        </w:rPr>
        <w:t>d’une personne accusée de torture et aucun individu n’a été extradé ou expulsé vers un pays où il risquait d’être soumis à la torture ou à des mauvais traitements</w:t>
      </w:r>
      <w:r w:rsidR="000B562B" w:rsidRPr="00A176EA">
        <w:rPr>
          <w:lang w:val="fr-FR"/>
        </w:rPr>
        <w:t>.</w:t>
      </w:r>
    </w:p>
    <w:p w:rsidR="000B562B" w:rsidRPr="00A176EA" w:rsidRDefault="00F07D0D" w:rsidP="00F07D0D">
      <w:pPr>
        <w:pStyle w:val="SingleTxtG"/>
        <w:rPr>
          <w:lang w:val="fr-FR"/>
        </w:rPr>
      </w:pPr>
      <w:r w:rsidRPr="00A176EA">
        <w:rPr>
          <w:lang w:val="fr-FR"/>
        </w:rPr>
        <w:t>60</w:t>
      </w:r>
      <w:r w:rsidR="002549A9" w:rsidRPr="00A176EA">
        <w:rPr>
          <w:lang w:val="fr-FR"/>
        </w:rPr>
        <w:t>.</w:t>
      </w:r>
      <w:r w:rsidR="002549A9" w:rsidRPr="00A176EA">
        <w:rPr>
          <w:lang w:val="fr-FR"/>
        </w:rPr>
        <w:tab/>
      </w:r>
      <w:r w:rsidR="000B562B" w:rsidRPr="00A176EA">
        <w:rPr>
          <w:lang w:val="fr-FR"/>
        </w:rPr>
        <w:t>S</w:t>
      </w:r>
      <w:r w:rsidR="0023448C">
        <w:rPr>
          <w:lang w:val="fr-FR"/>
        </w:rPr>
        <w:t>ainte-</w:t>
      </w:r>
      <w:r w:rsidR="000B562B" w:rsidRPr="00A176EA">
        <w:rPr>
          <w:lang w:val="fr-FR"/>
        </w:rPr>
        <w:t>H</w:t>
      </w:r>
      <w:r w:rsidR="0023448C">
        <w:rPr>
          <w:lang w:val="fr-FR"/>
        </w:rPr>
        <w:t>é</w:t>
      </w:r>
      <w:r w:rsidR="000B562B" w:rsidRPr="00A176EA">
        <w:rPr>
          <w:lang w:val="fr-FR"/>
        </w:rPr>
        <w:t>l</w:t>
      </w:r>
      <w:r w:rsidR="0023448C">
        <w:rPr>
          <w:lang w:val="fr-FR"/>
        </w:rPr>
        <w:t>è</w:t>
      </w:r>
      <w:r w:rsidR="000B562B" w:rsidRPr="00A176EA">
        <w:rPr>
          <w:lang w:val="fr-FR"/>
        </w:rPr>
        <w:t>n</w:t>
      </w:r>
      <w:r w:rsidR="0023448C">
        <w:rPr>
          <w:lang w:val="fr-FR"/>
        </w:rPr>
        <w:t>e</w:t>
      </w:r>
      <w:r w:rsidR="000B562B" w:rsidRPr="00A176EA">
        <w:rPr>
          <w:lang w:val="fr-FR"/>
        </w:rPr>
        <w:t xml:space="preserve">, Ascension </w:t>
      </w:r>
      <w:r w:rsidR="0023448C">
        <w:rPr>
          <w:lang w:val="fr-FR"/>
        </w:rPr>
        <w:t>et</w:t>
      </w:r>
      <w:r w:rsidR="000B562B" w:rsidRPr="00A176EA">
        <w:rPr>
          <w:lang w:val="fr-FR"/>
        </w:rPr>
        <w:t xml:space="preserve"> Tristan da Cunha </w:t>
      </w:r>
      <w:r w:rsidR="0023448C">
        <w:rPr>
          <w:lang w:val="fr-FR"/>
        </w:rPr>
        <w:t>se sont dotées de nouvelles Constitutions en 2009, qui prévoient toutes trois d’importantes dispositions pour protéger les droits et les libertés fondamentaux de la personne, en sus de la disposition indiquée plus haut quant à la torture. Ces dispositions correspondent pour l’essentiel aux dispositions correspondantes de la Convention européenne des droits de l’homme et du Pacte international relatif aux droits civils et politiques. En outre, il convient de noter que, si la loi du Royaume-Uni de 1998 sur les droits de l’homme ne s’applique pas directement aux territoires d’outre-mer</w:t>
      </w:r>
      <w:r w:rsidR="005A7712">
        <w:rPr>
          <w:lang w:val="fr-FR"/>
        </w:rPr>
        <w:t xml:space="preserve"> (dont Sainte-Hélène), </w:t>
      </w:r>
      <w:r w:rsidR="00C23BB4">
        <w:rPr>
          <w:lang w:val="fr-FR"/>
        </w:rPr>
        <w:t>la Cour suprême de Sainte-Hélène a considéré récemment qu’elle était appliquée d’une certaine façon en vertu de l’ordonnance relative à l’application du droit britannique. (</w:t>
      </w:r>
      <w:r w:rsidR="000373DE">
        <w:rPr>
          <w:lang w:val="fr-FR"/>
        </w:rPr>
        <w:t>Schématiquement</w:t>
      </w:r>
      <w:r w:rsidR="00C23BB4">
        <w:rPr>
          <w:lang w:val="fr-FR"/>
        </w:rPr>
        <w:t>, dans certaines limites et sous réserve de certaines exceptions et conditions non pertinentes dans le présent contexte, cette ordonnance intègre le droit britannique dans celui de Sainte-Hélène à partir du 1</w:t>
      </w:r>
      <w:r w:rsidR="00C23BB4" w:rsidRPr="00C23BB4">
        <w:rPr>
          <w:vertAlign w:val="superscript"/>
          <w:lang w:val="fr-FR"/>
        </w:rPr>
        <w:t>er</w:t>
      </w:r>
      <w:r w:rsidR="00C23BB4">
        <w:rPr>
          <w:lang w:val="fr-FR"/>
        </w:rPr>
        <w:t xml:space="preserve"> janvier 2006). </w:t>
      </w:r>
      <w:r w:rsidR="000373DE">
        <w:rPr>
          <w:lang w:val="fr-FR"/>
        </w:rPr>
        <w:t>De plus, l’ordonnance de 1988 relative à la loi sur la justice pénale (Torture) (Territoires d’outre-mer), prise expressément pour donner effet à la Convention contre la torture, s’</w:t>
      </w:r>
      <w:r w:rsidR="00866F19">
        <w:rPr>
          <w:lang w:val="fr-FR"/>
        </w:rPr>
        <w:t>applique à Sainte-Hélène</w:t>
      </w:r>
      <w:r w:rsidR="00FC2B97">
        <w:rPr>
          <w:lang w:val="fr-FR"/>
        </w:rPr>
        <w:t>:</w:t>
      </w:r>
      <w:r w:rsidR="00866F19">
        <w:rPr>
          <w:lang w:val="fr-FR"/>
        </w:rPr>
        <w:t xml:space="preserve"> voir paragraphe 8 du rapport initial</w:t>
      </w:r>
      <w:r w:rsidR="0071080C">
        <w:rPr>
          <w:lang w:val="fr-FR"/>
        </w:rPr>
        <w:t xml:space="preserve"> concernant Sainte-Hélène (CAT/C/9/Add.10, </w:t>
      </w:r>
      <w:r w:rsidR="000B562B" w:rsidRPr="00A176EA">
        <w:rPr>
          <w:lang w:val="fr-FR"/>
        </w:rPr>
        <w:t>p. 25).</w:t>
      </w:r>
    </w:p>
    <w:p w:rsidR="000B562B" w:rsidRPr="0071080C" w:rsidRDefault="00F07D0D" w:rsidP="0004046C">
      <w:pPr>
        <w:pStyle w:val="H1G"/>
      </w:pPr>
      <w:bookmarkStart w:id="104" w:name="_Toc299724795"/>
      <w:r w:rsidRPr="00A176EA">
        <w:tab/>
      </w:r>
      <w:r w:rsidR="000B562B" w:rsidRPr="0071080C">
        <w:t xml:space="preserve">J. </w:t>
      </w:r>
      <w:r w:rsidRPr="0071080C">
        <w:tab/>
      </w:r>
      <w:bookmarkEnd w:id="104"/>
      <w:r w:rsidR="00BA3971" w:rsidRPr="0071080C">
        <w:t>Îles Turques et Caïques</w:t>
      </w:r>
    </w:p>
    <w:p w:rsidR="00A96D59" w:rsidRPr="003C7933" w:rsidRDefault="00F07D0D" w:rsidP="003C7933">
      <w:pPr>
        <w:pStyle w:val="SingleTxtG"/>
        <w:rPr>
          <w:lang w:val="fr-FR"/>
        </w:rPr>
      </w:pPr>
      <w:r w:rsidRPr="0071080C">
        <w:rPr>
          <w:lang w:val="fr-FR"/>
        </w:rPr>
        <w:t>61</w:t>
      </w:r>
      <w:r w:rsidR="002549A9" w:rsidRPr="0071080C">
        <w:rPr>
          <w:lang w:val="fr-FR"/>
        </w:rPr>
        <w:t>.</w:t>
      </w:r>
      <w:r w:rsidR="002549A9" w:rsidRPr="0071080C">
        <w:rPr>
          <w:lang w:val="fr-FR"/>
        </w:rPr>
        <w:tab/>
      </w:r>
      <w:r w:rsidR="00BA3971" w:rsidRPr="0071080C">
        <w:rPr>
          <w:lang w:val="fr-FR"/>
        </w:rPr>
        <w:t>Nous attendons des îles Turques et Caïques un rapport que nous transmettrons au Comité dès que nous l’aurons reçu</w:t>
      </w:r>
      <w:r w:rsidR="000B562B" w:rsidRPr="0071080C">
        <w:rPr>
          <w:lang w:val="fr-FR"/>
        </w:rPr>
        <w:t>.</w:t>
      </w:r>
    </w:p>
    <w:p w:rsidR="00CB785E" w:rsidRPr="002359FC" w:rsidRDefault="008E1FCB" w:rsidP="003C7933">
      <w:pPr>
        <w:spacing w:before="240"/>
        <w:jc w:val="center"/>
        <w:rPr>
          <w:u w:val="single"/>
          <w:lang w:val="fr-FR"/>
        </w:rPr>
      </w:pPr>
      <w:r w:rsidRPr="002359FC">
        <w:rPr>
          <w:u w:val="single"/>
          <w:lang w:val="fr-FR"/>
        </w:rPr>
        <w:tab/>
      </w:r>
      <w:r w:rsidRPr="002359FC">
        <w:rPr>
          <w:u w:val="single"/>
          <w:lang w:val="fr-FR"/>
        </w:rPr>
        <w:tab/>
      </w:r>
      <w:r w:rsidRPr="002359FC">
        <w:rPr>
          <w:u w:val="single"/>
          <w:lang w:val="fr-FR"/>
        </w:rPr>
        <w:tab/>
      </w:r>
    </w:p>
    <w:sectPr w:rsidR="00CB785E" w:rsidRPr="002359FC" w:rsidSect="008D1EC1">
      <w:headerReference w:type="even" r:id="rId18"/>
      <w:headerReference w:type="default" r:id="rId19"/>
      <w:footerReference w:type="even" r:id="rId20"/>
      <w:footerReference w:type="default" r:id="rId21"/>
      <w:footerReference w:type="first" r:id="rId22"/>
      <w:endnotePr>
        <w:numFmt w:val="decimal"/>
      </w:endnotePr>
      <w:pgSz w:w="11907" w:h="16840" w:code="9"/>
      <w:pgMar w:top="1701" w:right="1134" w:bottom="141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09F2" w:rsidRDefault="008809F2"/>
  </w:endnote>
  <w:endnote w:type="continuationSeparator" w:id="0">
    <w:p w:rsidR="008809F2" w:rsidRDefault="008809F2"/>
  </w:endnote>
  <w:endnote w:type="continuationNotice" w:id="1">
    <w:p w:rsidR="008809F2" w:rsidRDefault="008809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Bold">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547A" w:rsidRPr="00BE2FA0" w:rsidRDefault="00A0547A" w:rsidP="00BE2FA0">
    <w:pPr>
      <w:tabs>
        <w:tab w:val="right" w:pos="9598"/>
      </w:tabs>
      <w:suppressAutoHyphens w:val="0"/>
      <w:rPr>
        <w:b/>
        <w:sz w:val="16"/>
        <w:szCs w:val="16"/>
        <w:lang w:val="es-ES" w:eastAsia="es-ES"/>
      </w:rPr>
    </w:pPr>
    <w:r w:rsidRPr="00BE2FA0">
      <w:rPr>
        <w:b/>
        <w:sz w:val="18"/>
        <w:lang w:val="es-ES" w:eastAsia="es-ES"/>
      </w:rPr>
      <w:fldChar w:fldCharType="begin"/>
    </w:r>
    <w:r w:rsidRPr="00BE2FA0">
      <w:rPr>
        <w:b/>
        <w:sz w:val="18"/>
        <w:lang w:val="es-ES" w:eastAsia="es-ES"/>
      </w:rPr>
      <w:instrText xml:space="preserve"> PAGE  \* MERGEFORMAT </w:instrText>
    </w:r>
    <w:r w:rsidRPr="00BE2FA0">
      <w:rPr>
        <w:b/>
        <w:sz w:val="18"/>
        <w:lang w:val="es-ES" w:eastAsia="es-ES"/>
      </w:rPr>
      <w:fldChar w:fldCharType="separate"/>
    </w:r>
    <w:r w:rsidR="00706C2E">
      <w:rPr>
        <w:b/>
        <w:noProof/>
        <w:sz w:val="18"/>
        <w:lang w:val="es-ES" w:eastAsia="es-ES"/>
      </w:rPr>
      <w:t>182</w:t>
    </w:r>
    <w:r w:rsidRPr="00BE2FA0">
      <w:rPr>
        <w:b/>
        <w:sz w:val="18"/>
        <w:lang w:val="es-ES" w:eastAsia="es-ES"/>
      </w:rPr>
      <w:fldChar w:fldCharType="end"/>
    </w:r>
    <w:r w:rsidRPr="00BE2FA0">
      <w:rPr>
        <w:b/>
        <w:sz w:val="18"/>
        <w:lang w:val="es-ES" w:eastAsia="es-ES"/>
      </w:rPr>
      <w:tab/>
    </w:r>
    <w:r w:rsidRPr="001C740A">
      <w:rPr>
        <w:bCs/>
        <w:sz w:val="16"/>
        <w:szCs w:val="16"/>
        <w:lang w:val="es-ES" w:eastAsia="es-ES"/>
      </w:rPr>
      <w:t>GE.12-42984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547A" w:rsidRPr="00917B92" w:rsidRDefault="00A0547A" w:rsidP="00F87DC5">
    <w:pPr>
      <w:tabs>
        <w:tab w:val="right" w:pos="9598"/>
      </w:tabs>
      <w:suppressAutoHyphens w:val="0"/>
      <w:rPr>
        <w:b/>
        <w:sz w:val="18"/>
        <w:lang w:val="es-ES" w:eastAsia="es-ES"/>
      </w:rPr>
    </w:pPr>
    <w:r w:rsidRPr="001C740A">
      <w:rPr>
        <w:sz w:val="16"/>
        <w:lang w:val="es-ES" w:eastAsia="es-ES"/>
      </w:rPr>
      <w:t>GE.12-42984  (EXT)</w:t>
    </w:r>
    <w:r w:rsidRPr="00917B92">
      <w:rPr>
        <w:sz w:val="16"/>
        <w:lang w:val="es-ES" w:eastAsia="es-ES"/>
      </w:rPr>
      <w:tab/>
    </w:r>
    <w:r w:rsidRPr="00917B92">
      <w:rPr>
        <w:b/>
        <w:sz w:val="18"/>
        <w:lang w:val="es-ES" w:eastAsia="es-ES"/>
      </w:rPr>
      <w:fldChar w:fldCharType="begin"/>
    </w:r>
    <w:r w:rsidRPr="00917B92">
      <w:rPr>
        <w:b/>
        <w:sz w:val="18"/>
        <w:lang w:val="es-ES" w:eastAsia="es-ES"/>
      </w:rPr>
      <w:instrText xml:space="preserve"> PAGE  \* MERGEFORMAT </w:instrText>
    </w:r>
    <w:r w:rsidRPr="00917B92">
      <w:rPr>
        <w:b/>
        <w:sz w:val="18"/>
        <w:lang w:val="es-ES" w:eastAsia="es-ES"/>
      </w:rPr>
      <w:fldChar w:fldCharType="separate"/>
    </w:r>
    <w:r w:rsidR="00706C2E">
      <w:rPr>
        <w:b/>
        <w:noProof/>
        <w:sz w:val="18"/>
        <w:lang w:val="es-ES" w:eastAsia="es-ES"/>
      </w:rPr>
      <w:t>181</w:t>
    </w:r>
    <w:r w:rsidRPr="00917B92">
      <w:rPr>
        <w:b/>
        <w:sz w:val="18"/>
        <w:lang w:val="es-ES" w:eastAsia="es-ES"/>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547A" w:rsidRPr="002E0CB9" w:rsidRDefault="00A0547A">
    <w:r>
      <w:rPr>
        <w:noProof/>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5pt;margin-top:-6.9pt;width:87.65pt;height:18.15pt;z-index:1">
          <v:imagedata r:id="rId1" o:title="recycle_French"/>
        </v:shape>
      </w:pict>
    </w:r>
    <w:r>
      <w:t>GE.12-42984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09F2" w:rsidRPr="00242831" w:rsidRDefault="008809F2" w:rsidP="00773B84">
      <w:pPr>
        <w:tabs>
          <w:tab w:val="right" w:pos="2155"/>
        </w:tabs>
        <w:spacing w:after="80"/>
        <w:ind w:left="680"/>
        <w:rPr>
          <w:u w:val="single"/>
        </w:rPr>
      </w:pPr>
      <w:r>
        <w:rPr>
          <w:u w:val="single"/>
        </w:rPr>
        <w:tab/>
      </w:r>
    </w:p>
  </w:footnote>
  <w:footnote w:type="continuationSeparator" w:id="0">
    <w:p w:rsidR="008809F2" w:rsidRPr="00FC68B7" w:rsidRDefault="008809F2" w:rsidP="00FC68B7">
      <w:pPr>
        <w:tabs>
          <w:tab w:val="left" w:pos="2155"/>
        </w:tabs>
        <w:spacing w:after="80"/>
        <w:ind w:left="680"/>
        <w:rPr>
          <w:u w:val="single"/>
        </w:rPr>
      </w:pPr>
      <w:r>
        <w:rPr>
          <w:u w:val="single"/>
        </w:rPr>
        <w:tab/>
      </w:r>
    </w:p>
  </w:footnote>
  <w:footnote w:type="continuationNotice" w:id="1">
    <w:p w:rsidR="008809F2" w:rsidRDefault="008809F2"/>
  </w:footnote>
  <w:footnote w:id="2">
    <w:p w:rsidR="00A0547A" w:rsidRPr="002359FC" w:rsidRDefault="00A0547A" w:rsidP="002359FC">
      <w:pPr>
        <w:pStyle w:val="FootnoteText"/>
        <w:rPr>
          <w:sz w:val="20"/>
          <w:szCs w:val="20"/>
          <w:lang w:val="fr-FR"/>
        </w:rPr>
      </w:pPr>
      <w:r>
        <w:tab/>
      </w:r>
      <w:r w:rsidRPr="002359FC">
        <w:rPr>
          <w:rStyle w:val="FootnoteReference"/>
          <w:sz w:val="20"/>
          <w:szCs w:val="20"/>
          <w:vertAlign w:val="baseline"/>
        </w:rPr>
        <w:t>*</w:t>
      </w:r>
      <w:r w:rsidRPr="002359FC">
        <w:rPr>
          <w:sz w:val="20"/>
          <w:szCs w:val="20"/>
        </w:rPr>
        <w:tab/>
      </w:r>
      <w:r w:rsidRPr="00B55FAD">
        <w:rPr>
          <w:lang w:val="fr-FR"/>
        </w:rPr>
        <w:t>Le quatrième rapport périodique du Gouvernement du Royaume-Uni de Grande-Bretagne et d’Irlande du Nord figure dans le document CAT/C/67/Add.2; il a été examiné par le Comité à ses 624</w:t>
      </w:r>
      <w:r w:rsidRPr="00B55FAD">
        <w:rPr>
          <w:vertAlign w:val="superscript"/>
          <w:lang w:val="fr-FR"/>
        </w:rPr>
        <w:t>e</w:t>
      </w:r>
      <w:r w:rsidRPr="00B55FAD">
        <w:rPr>
          <w:lang w:val="fr-FR"/>
        </w:rPr>
        <w:t xml:space="preserve"> et 627</w:t>
      </w:r>
      <w:r w:rsidRPr="00B55FAD">
        <w:rPr>
          <w:vertAlign w:val="superscript"/>
          <w:lang w:val="fr-FR"/>
        </w:rPr>
        <w:t>e</w:t>
      </w:r>
      <w:r w:rsidRPr="00B55FAD">
        <w:rPr>
          <w:lang w:val="fr-FR"/>
        </w:rPr>
        <w:t xml:space="preserve"> séances (voir CAT/C/SR. 624 et 627), tenues les 17 et 18 novembre 2004. Pour les conclusions et recommandations du Comité, voir CAT/C/CR/33/3.</w:t>
      </w:r>
    </w:p>
  </w:footnote>
  <w:footnote w:id="3">
    <w:p w:rsidR="00A0547A" w:rsidRPr="002359FC" w:rsidRDefault="00A0547A" w:rsidP="002359FC">
      <w:pPr>
        <w:tabs>
          <w:tab w:val="right" w:pos="1021"/>
          <w:tab w:val="left" w:pos="1134"/>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134" w:right="1131" w:hanging="1134"/>
        <w:rPr>
          <w:sz w:val="18"/>
          <w:szCs w:val="18"/>
          <w:lang w:val="fr-FR"/>
        </w:rPr>
      </w:pPr>
      <w:r>
        <w:tab/>
      </w:r>
      <w:r w:rsidRPr="002359FC">
        <w:rPr>
          <w:rStyle w:val="FootnoteReference"/>
          <w:sz w:val="20"/>
          <w:vertAlign w:val="baseline"/>
          <w:lang w:val="fr-FR"/>
        </w:rPr>
        <w:t>**</w:t>
      </w:r>
      <w:r w:rsidRPr="002359FC">
        <w:rPr>
          <w:sz w:val="18"/>
          <w:szCs w:val="18"/>
          <w:lang w:val="fr-FR"/>
        </w:rPr>
        <w:tab/>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4">
    <w:p w:rsidR="00A0547A" w:rsidRPr="002359FC" w:rsidRDefault="00A0547A" w:rsidP="002359FC">
      <w:pPr>
        <w:pStyle w:val="FootnoteText"/>
        <w:rPr>
          <w:sz w:val="20"/>
          <w:szCs w:val="20"/>
          <w:lang w:val="fr-FR"/>
        </w:rPr>
      </w:pPr>
      <w:r>
        <w:tab/>
      </w:r>
      <w:r w:rsidRPr="002359FC">
        <w:rPr>
          <w:rStyle w:val="FootnoteReference"/>
          <w:sz w:val="20"/>
          <w:szCs w:val="20"/>
          <w:vertAlign w:val="baseline"/>
        </w:rPr>
        <w:t>***</w:t>
      </w:r>
      <w:r w:rsidRPr="002359FC">
        <w:rPr>
          <w:sz w:val="20"/>
          <w:szCs w:val="20"/>
        </w:rPr>
        <w:tab/>
      </w:r>
      <w:r w:rsidRPr="00FB1CA3">
        <w:rPr>
          <w:lang w:val="fr-FR"/>
        </w:rPr>
        <w:t>Les annexes du présent document peuvent être consultées dans les archives du secrétariat.</w:t>
      </w:r>
    </w:p>
  </w:footnote>
  <w:footnote w:id="5">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r>
      <w:hyperlink r:id="rId1" w:history="1">
        <w:r w:rsidRPr="00B16627">
          <w:rPr>
            <w:rStyle w:val="Hyperlink"/>
            <w:lang w:val="fr-FR"/>
          </w:rPr>
          <w:t>http://www.publications.p</w:t>
        </w:r>
        <w:r w:rsidRPr="00B16627">
          <w:rPr>
            <w:rStyle w:val="Hyperlink"/>
            <w:lang w:val="fr-FR"/>
          </w:rPr>
          <w:t>a</w:t>
        </w:r>
        <w:r w:rsidRPr="00B16627">
          <w:rPr>
            <w:rStyle w:val="Hyperlink"/>
            <w:lang w:val="fr-FR"/>
          </w:rPr>
          <w:t>rliament.uk/pa/ld200809/ldjudgmt/jd090218/rbalge-1.htm</w:t>
        </w:r>
      </w:hyperlink>
      <w:r w:rsidRPr="00B16627">
        <w:rPr>
          <w:lang w:val="fr-FR"/>
        </w:rPr>
        <w:t>.</w:t>
      </w:r>
    </w:p>
  </w:footnote>
  <w:footnote w:id="6">
    <w:p w:rsidR="00A0547A" w:rsidRPr="00B16627" w:rsidRDefault="00A0547A" w:rsidP="00BB5587">
      <w:pPr>
        <w:pStyle w:val="FootnoteText"/>
        <w:rPr>
          <w:highlight w:val="yellow"/>
          <w:lang w:val="fr-FR"/>
        </w:rPr>
      </w:pPr>
      <w:r w:rsidRPr="00B16627">
        <w:rPr>
          <w:lang w:val="fr-FR"/>
        </w:rPr>
        <w:tab/>
      </w:r>
      <w:r w:rsidRPr="00B16627">
        <w:rPr>
          <w:rStyle w:val="FootnoteReference"/>
          <w:lang w:val="fr-FR"/>
        </w:rPr>
        <w:footnoteRef/>
      </w:r>
      <w:r w:rsidRPr="00B16627">
        <w:rPr>
          <w:lang w:val="fr-FR"/>
        </w:rPr>
        <w:tab/>
      </w:r>
      <w:hyperlink r:id="rId2" w:history="1">
        <w:r w:rsidRPr="00B16627">
          <w:rPr>
            <w:lang w:val="fr-FR"/>
          </w:rPr>
          <w:t>www.acpo.police.</w:t>
        </w:r>
        <w:r w:rsidRPr="00B16627">
          <w:rPr>
            <w:lang w:val="fr-FR"/>
          </w:rPr>
          <w:t>u</w:t>
        </w:r>
        <w:r w:rsidRPr="00B16627">
          <w:rPr>
            <w:lang w:val="fr-FR"/>
          </w:rPr>
          <w:t>k</w:t>
        </w:r>
      </w:hyperlink>
      <w:r w:rsidRPr="00B16627">
        <w:rPr>
          <w:lang w:val="fr-FR"/>
        </w:rPr>
        <w:t>.</w:t>
      </w:r>
    </w:p>
  </w:footnote>
  <w:footnote w:id="7">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r>
      <w:hyperlink r:id="rId3" w:history="1">
        <w:r w:rsidRPr="00B16627">
          <w:rPr>
            <w:rStyle w:val="Hyperlink"/>
            <w:lang w:val="fr-FR"/>
          </w:rPr>
          <w:t>www.</w:t>
        </w:r>
        <w:r w:rsidRPr="00B16627">
          <w:rPr>
            <w:lang w:val="fr-FR"/>
          </w:rPr>
          <w:t>preventingcustodydeaths</w:t>
        </w:r>
        <w:r w:rsidRPr="00B16627">
          <w:rPr>
            <w:rStyle w:val="Hyperlink"/>
            <w:lang w:val="fr-FR"/>
          </w:rPr>
          <w:t>.org.uk/fulton_revie</w:t>
        </w:r>
        <w:r w:rsidRPr="00B16627">
          <w:rPr>
            <w:rStyle w:val="Hyperlink"/>
            <w:lang w:val="fr-FR"/>
          </w:rPr>
          <w:t>w</w:t>
        </w:r>
        <w:r w:rsidRPr="00B16627">
          <w:rPr>
            <w:rStyle w:val="Hyperlink"/>
            <w:lang w:val="fr-FR"/>
          </w:rPr>
          <w:t>_of_f</w:t>
        </w:r>
        <w:r w:rsidRPr="00B16627">
          <w:rPr>
            <w:rStyle w:val="Hyperlink"/>
            <w:lang w:val="fr-FR"/>
          </w:rPr>
          <w:t>o</w:t>
        </w:r>
        <w:r w:rsidRPr="00B16627">
          <w:rPr>
            <w:rStyle w:val="Hyperlink"/>
            <w:lang w:val="fr-FR"/>
          </w:rPr>
          <w:t>rum_for_preventing_</w:t>
        </w:r>
        <w:r w:rsidRPr="00B16627">
          <w:rPr>
            <w:rStyle w:val="Hyperlink"/>
            <w:lang w:val="fr-FR"/>
          </w:rPr>
          <w:br/>
          <w:t>deaths_in_custody.pdf</w:t>
        </w:r>
      </w:hyperlink>
      <w:r w:rsidRPr="00B16627">
        <w:rPr>
          <w:lang w:val="fr-FR"/>
        </w:rPr>
        <w:t>.</w:t>
      </w:r>
    </w:p>
  </w:footnote>
  <w:footnote w:id="8">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r>
      <w:hyperlink r:id="rId4" w:history="1">
        <w:r w:rsidRPr="00B16627">
          <w:rPr>
            <w:rStyle w:val="Hyperlink"/>
            <w:lang w:val="fr-FR"/>
          </w:rPr>
          <w:t>http://www.justice.gov.uk/publications/corston-report.htm</w:t>
        </w:r>
      </w:hyperlink>
      <w:r w:rsidRPr="00B16627">
        <w:rPr>
          <w:lang w:val="fr-FR"/>
        </w:rPr>
        <w:t>.</w:t>
      </w:r>
    </w:p>
  </w:footnote>
  <w:footnote w:id="9">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r>
      <w:hyperlink r:id="rId5" w:history="1">
        <w:r w:rsidRPr="00B16627">
          <w:rPr>
            <w:rStyle w:val="Hyperlink"/>
            <w:lang w:val="fr-FR"/>
          </w:rPr>
          <w:t>http://www.official-documents.gov.uk/document/hc0506/hc07/0795/0795.asp</w:t>
        </w:r>
      </w:hyperlink>
      <w:r w:rsidRPr="00B16627">
        <w:rPr>
          <w:lang w:val="fr-FR"/>
        </w:rPr>
        <w:t>.</w:t>
      </w:r>
    </w:p>
  </w:footnote>
  <w:footnote w:id="10">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r>
      <w:hyperlink r:id="rId6" w:history="1">
        <w:r w:rsidRPr="00B16627">
          <w:rPr>
            <w:rStyle w:val="Hyperlink"/>
            <w:lang w:val="fr-FR"/>
          </w:rPr>
          <w:t>http://www.bloody-sunday-inquiry.org/index.html</w:t>
        </w:r>
      </w:hyperlink>
      <w:r w:rsidRPr="00B16627">
        <w:rPr>
          <w:lang w:val="fr-FR"/>
        </w:rPr>
        <w:t>.</w:t>
      </w:r>
    </w:p>
  </w:footnote>
  <w:footnote w:id="11">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r>
      <w:hyperlink r:id="rId7" w:history="1">
        <w:r w:rsidRPr="00B16627">
          <w:rPr>
            <w:rStyle w:val="Hyperlink"/>
            <w:lang w:val="fr-FR"/>
          </w:rPr>
          <w:t>http://www.billywrightinquiry.org/</w:t>
        </w:r>
      </w:hyperlink>
      <w:r w:rsidRPr="00B16627">
        <w:rPr>
          <w:lang w:val="fr-FR"/>
        </w:rPr>
        <w:t>.</w:t>
      </w:r>
    </w:p>
  </w:footnote>
  <w:footnote w:id="12">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r>
      <w:hyperlink r:id="rId8" w:history="1">
        <w:r w:rsidRPr="00B16627">
          <w:rPr>
            <w:rStyle w:val="Hyperlink"/>
            <w:lang w:val="fr-FR"/>
          </w:rPr>
          <w:t>http://www.rosemarynelsoninquiry.org/</w:t>
        </w:r>
      </w:hyperlink>
      <w:r w:rsidRPr="00B16627">
        <w:rPr>
          <w:lang w:val="fr-FR"/>
        </w:rPr>
        <w:t>.</w:t>
      </w:r>
    </w:p>
  </w:footnote>
  <w:footnote w:id="13">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t xml:space="preserve">La liste des organes faisant partie du mécanisme national de prévention du Royaume-Uni est disponible à l’adresse Internet </w:t>
      </w:r>
      <w:hyperlink r:id="rId9" w:history="1">
        <w:r w:rsidRPr="00B16627">
          <w:rPr>
            <w:rStyle w:val="Hyperlink"/>
            <w:lang w:val="fr-FR"/>
          </w:rPr>
          <w:t>http://www.apt.ch/index.php?option=com_k2&amp;view=item&amp;id=873:</w:t>
        </w:r>
        <w:r w:rsidRPr="00B16627">
          <w:rPr>
            <w:rStyle w:val="Hyperlink"/>
            <w:lang w:val="fr-FR"/>
          </w:rPr>
          <w:br/>
          <w:t>the-united-kingdoms-national-preventive-mechanism&amp;Itemid=269&amp;lang=en</w:t>
        </w:r>
      </w:hyperlink>
      <w:r w:rsidRPr="00B16627">
        <w:rPr>
          <w:lang w:val="fr-FR"/>
        </w:rPr>
        <w:t xml:space="preserve"> et dans l’annexe 1.</w:t>
      </w:r>
    </w:p>
  </w:footnote>
  <w:footnote w:id="14">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r>
      <w:hyperlink r:id="rId10" w:history="1">
        <w:r w:rsidRPr="00B16627">
          <w:rPr>
            <w:rStyle w:val="Hyperlink"/>
            <w:lang w:val="fr-FR"/>
          </w:rPr>
          <w:t>http://www.justice.gov.uk/noms-annual-report-accounts-09-10.htm</w:t>
        </w:r>
      </w:hyperlink>
      <w:r w:rsidRPr="00B16627">
        <w:rPr>
          <w:lang w:val="fr-FR"/>
        </w:rPr>
        <w:t>.</w:t>
      </w:r>
    </w:p>
  </w:footnote>
  <w:footnote w:id="15">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r>
      <w:hyperlink r:id="rId11" w:history="1">
        <w:r w:rsidRPr="00B16627">
          <w:rPr>
            <w:rStyle w:val="Hyperlink"/>
            <w:lang w:val="fr-FR"/>
          </w:rPr>
          <w:t>http://www.sps.gov.uk/Default.aspx?DocumentID=67e156ce-a4c9-49f5-a526-0dab421427f6</w:t>
        </w:r>
      </w:hyperlink>
      <w:r w:rsidRPr="00B16627">
        <w:rPr>
          <w:lang w:val="fr-FR"/>
        </w:rPr>
        <w:t>.</w:t>
      </w:r>
    </w:p>
  </w:footnote>
  <w:footnote w:id="16">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r>
      <w:hyperlink r:id="rId12" w:tooltip="mailto:gaolinfo@sps.gov.uk" w:history="1">
        <w:r w:rsidRPr="00B16627">
          <w:rPr>
            <w:lang w:val="fr-FR"/>
          </w:rPr>
          <w:t>gaolinfo@sps.gov.uk</w:t>
        </w:r>
      </w:hyperlink>
      <w:r w:rsidRPr="00B16627">
        <w:rPr>
          <w:lang w:val="fr-FR"/>
        </w:rPr>
        <w:t>.</w:t>
      </w:r>
    </w:p>
  </w:footnote>
  <w:footnote w:id="17">
    <w:p w:rsidR="00A0547A" w:rsidRPr="00B16627" w:rsidRDefault="00A0547A" w:rsidP="009F2DD9">
      <w:pPr>
        <w:pStyle w:val="FootnoteText"/>
        <w:rPr>
          <w:lang w:val="fr-FR"/>
        </w:rPr>
      </w:pPr>
      <w:r w:rsidRPr="00B16627">
        <w:rPr>
          <w:lang w:val="fr-FR"/>
        </w:rPr>
        <w:tab/>
      </w:r>
      <w:r w:rsidRPr="00B16627">
        <w:rPr>
          <w:rStyle w:val="FootnoteReference"/>
          <w:lang w:val="fr-FR"/>
        </w:rPr>
        <w:footnoteRef/>
      </w:r>
      <w:r w:rsidRPr="00B16627">
        <w:rPr>
          <w:lang w:val="fr-FR"/>
        </w:rPr>
        <w:tab/>
      </w:r>
      <w:hyperlink r:id="rId13" w:history="1">
        <w:r w:rsidRPr="00B16627">
          <w:rPr>
            <w:rStyle w:val="Hyperlink"/>
            <w:lang w:val="fr-FR"/>
          </w:rPr>
          <w:t>http://www.homeoffice.gov.uk/publications/police/operational-policing/pace-codes/</w:t>
        </w:r>
        <w:r>
          <w:rPr>
            <w:rStyle w:val="Hyperlink"/>
            <w:lang w:val="fr-FR"/>
          </w:rPr>
          <w:br/>
        </w:r>
        <w:r w:rsidRPr="00B16627">
          <w:rPr>
            <w:rStyle w:val="Hyperlink"/>
            <w:lang w:val="fr-FR"/>
          </w:rPr>
          <w:t>?view=Standard&amp;pubID=810826</w:t>
        </w:r>
      </w:hyperlink>
      <w:r w:rsidRPr="00B16627">
        <w:rPr>
          <w:lang w:val="fr-FR"/>
        </w:rPr>
        <w:t>.</w:t>
      </w:r>
    </w:p>
  </w:footnote>
  <w:footnote w:id="18">
    <w:p w:rsidR="00A0547A" w:rsidRPr="00B16627" w:rsidRDefault="00A0547A" w:rsidP="004F11B7">
      <w:pPr>
        <w:pStyle w:val="FootnoteText"/>
        <w:rPr>
          <w:lang w:val="fr-FR"/>
        </w:rPr>
      </w:pPr>
      <w:r w:rsidRPr="00B16627">
        <w:rPr>
          <w:lang w:val="fr-FR"/>
        </w:rPr>
        <w:tab/>
      </w:r>
      <w:r w:rsidRPr="00B16627">
        <w:rPr>
          <w:rStyle w:val="FootnoteReference"/>
          <w:lang w:val="fr-FR"/>
        </w:rPr>
        <w:footnoteRef/>
      </w:r>
      <w:r w:rsidRPr="00B16627">
        <w:rPr>
          <w:lang w:val="fr-FR"/>
        </w:rPr>
        <w:tab/>
        <w:t>Pas de lien Internet, mais il est possible d’obtenir une version papier auprès du Ministère de la justice.</w:t>
      </w:r>
    </w:p>
  </w:footnote>
  <w:footnote w:id="19">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r>
      <w:hyperlink r:id="rId14" w:history="1">
        <w:r w:rsidRPr="00B16627">
          <w:rPr>
            <w:rStyle w:val="Hyperlink"/>
            <w:lang w:val="fr-FR"/>
          </w:rPr>
          <w:t>http://police.home</w:t>
        </w:r>
        <w:r w:rsidRPr="00B16627">
          <w:rPr>
            <w:rStyle w:val="Hyperlink"/>
            <w:lang w:val="fr-FR"/>
          </w:rPr>
          <w:t>o</w:t>
        </w:r>
        <w:r w:rsidRPr="00B16627">
          <w:rPr>
            <w:rStyle w:val="Hyperlink"/>
            <w:lang w:val="fr-FR"/>
          </w:rPr>
          <w:t>ffice.gov.uk/operat</w:t>
        </w:r>
        <w:r w:rsidRPr="00B16627">
          <w:rPr>
            <w:rStyle w:val="Hyperlink"/>
            <w:lang w:val="fr-FR"/>
          </w:rPr>
          <w:t>i</w:t>
        </w:r>
        <w:r w:rsidRPr="00B16627">
          <w:rPr>
            <w:rStyle w:val="Hyperlink"/>
            <w:lang w:val="fr-FR"/>
          </w:rPr>
          <w:t>onal-policing/powers-pace-codes/PACE-Review/</w:t>
        </w:r>
      </w:hyperlink>
      <w:r w:rsidRPr="00B16627">
        <w:rPr>
          <w:lang w:val="fr-FR"/>
        </w:rPr>
        <w:t>.</w:t>
      </w:r>
    </w:p>
  </w:footnote>
  <w:footnote w:id="20">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r>
      <w:hyperlink r:id="rId15" w:history="1">
        <w:r w:rsidRPr="00B16627">
          <w:rPr>
            <w:rStyle w:val="Hyperlink"/>
            <w:lang w:val="fr-FR"/>
          </w:rPr>
          <w:t>http://www.nio.gov.uk/index/public-consultation/archive-consultation.htm</w:t>
        </w:r>
      </w:hyperlink>
      <w:r w:rsidRPr="00B16627">
        <w:rPr>
          <w:lang w:val="fr-FR"/>
        </w:rPr>
        <w:t>.</w:t>
      </w:r>
    </w:p>
  </w:footnote>
  <w:footnote w:id="21">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r>
      <w:hyperlink r:id="rId16" w:history="1">
        <w:r w:rsidRPr="00B16627">
          <w:rPr>
            <w:rStyle w:val="Hyperlink"/>
            <w:lang w:val="fr-FR"/>
          </w:rPr>
          <w:t>http://police.homeoffice.gov.uk/publications/operational-policing/Safer_Detention_and_</w:t>
        </w:r>
        <w:r w:rsidRPr="00B16627">
          <w:rPr>
            <w:rStyle w:val="Hyperlink"/>
            <w:lang w:val="fr-FR"/>
          </w:rPr>
          <w:br/>
          <w:t>Handlin1.pdf</w:t>
        </w:r>
      </w:hyperlink>
      <w:r w:rsidRPr="00B16627">
        <w:rPr>
          <w:lang w:val="fr-FR"/>
        </w:rPr>
        <w:t>.</w:t>
      </w:r>
    </w:p>
  </w:footnote>
  <w:footnote w:id="22">
    <w:p w:rsidR="00A0547A" w:rsidRPr="00B16627" w:rsidRDefault="00A0547A" w:rsidP="00B17E5C">
      <w:pPr>
        <w:pStyle w:val="FootnoteText"/>
        <w:rPr>
          <w:lang w:val="fr-FR"/>
        </w:rPr>
      </w:pPr>
      <w:r w:rsidRPr="00B16627">
        <w:rPr>
          <w:lang w:val="fr-FR"/>
        </w:rPr>
        <w:tab/>
      </w:r>
      <w:r w:rsidRPr="00B16627">
        <w:rPr>
          <w:rStyle w:val="FootnoteReference"/>
          <w:lang w:val="fr-FR"/>
        </w:rPr>
        <w:footnoteRef/>
      </w:r>
      <w:r w:rsidRPr="00B16627">
        <w:rPr>
          <w:lang w:val="fr-FR"/>
        </w:rPr>
        <w:tab/>
      </w:r>
      <w:hyperlink r:id="rId17" w:history="1">
        <w:r w:rsidRPr="00B16627">
          <w:rPr>
            <w:rStyle w:val="Hyperlink"/>
            <w:lang w:val="fr-FR"/>
          </w:rPr>
          <w:t>http://police.homeoffice.gov.uk/publications/operationalpolicing/2008_PACE_Code_C_</w:t>
        </w:r>
        <w:r w:rsidRPr="00B16627">
          <w:rPr>
            <w:rStyle w:val="Hyperlink"/>
            <w:lang w:val="fr-FR"/>
          </w:rPr>
          <w:br/>
          <w:t>(final)</w:t>
        </w:r>
      </w:hyperlink>
      <w:r w:rsidRPr="00B16627">
        <w:rPr>
          <w:lang w:val="fr-FR"/>
        </w:rPr>
        <w:t>.pdf?view=Binary.</w:t>
      </w:r>
    </w:p>
  </w:footnote>
  <w:footnote w:id="23">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r>
      <w:hyperlink r:id="rId18" w:history="1">
        <w:r w:rsidRPr="00B16627">
          <w:rPr>
            <w:rStyle w:val="Hyperlink"/>
            <w:lang w:val="fr-FR"/>
          </w:rPr>
          <w:t>http://www.homeoffice.gov.uk/publications/police/operational-policing/pace-codes/</w:t>
        </w:r>
        <w:r w:rsidRPr="00B16627">
          <w:rPr>
            <w:rStyle w:val="Hyperlink"/>
            <w:lang w:val="fr-FR"/>
          </w:rPr>
          <w:br/>
          <w:t>pace-code-c?view=Binary</w:t>
        </w:r>
      </w:hyperlink>
      <w:r w:rsidRPr="00B16627">
        <w:rPr>
          <w:lang w:val="fr-FR"/>
        </w:rPr>
        <w:t>.</w:t>
      </w:r>
    </w:p>
  </w:footnote>
  <w:footnote w:id="24">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r>
      <w:hyperlink r:id="rId19" w:history="1">
        <w:r w:rsidRPr="00B16627">
          <w:rPr>
            <w:rStyle w:val="Hyperlink"/>
            <w:lang w:val="fr-FR"/>
          </w:rPr>
          <w:t>https://tools.skillsforhealth.org.uk/suite/show/id/12</w:t>
        </w:r>
      </w:hyperlink>
      <w:r w:rsidRPr="00B16627">
        <w:rPr>
          <w:lang w:val="fr-FR"/>
        </w:rPr>
        <w:t>.</w:t>
      </w:r>
    </w:p>
  </w:footnote>
  <w:footnote w:id="25">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r>
      <w:hyperlink r:id="rId20" w:history="1">
        <w:r w:rsidRPr="00B16627">
          <w:rPr>
            <w:rStyle w:val="Hyperlink"/>
            <w:lang w:val="fr-FR"/>
          </w:rPr>
          <w:t>http://www.nio.gov.uk/index/nio-publication/nio-pubs-search results.htm?category=&amp;keyword=</w:t>
        </w:r>
        <w:r w:rsidRPr="00B16627">
          <w:rPr>
            <w:rStyle w:val="Hyperlink"/>
            <w:lang w:val="fr-FR"/>
          </w:rPr>
          <w:br/>
          <w:t>codes+of+practice&amp;order=date</w:t>
        </w:r>
      </w:hyperlink>
      <w:r w:rsidRPr="00B16627">
        <w:rPr>
          <w:lang w:val="fr-FR"/>
        </w:rPr>
        <w:t>.</w:t>
      </w:r>
    </w:p>
  </w:footnote>
  <w:footnote w:id="26">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r>
      <w:hyperlink r:id="rId21" w:history="1">
        <w:r w:rsidRPr="00B16627">
          <w:rPr>
            <w:rStyle w:val="Hyperlink"/>
            <w:lang w:val="fr-FR"/>
          </w:rPr>
          <w:t>http://www.opsi.gov.uk/SI/si2001/20010238.htm</w:t>
        </w:r>
      </w:hyperlink>
      <w:r w:rsidRPr="00B16627">
        <w:rPr>
          <w:lang w:val="fr-FR"/>
        </w:rPr>
        <w:t>.</w:t>
      </w:r>
    </w:p>
  </w:footnote>
  <w:footnote w:id="27">
    <w:p w:rsidR="00A0547A" w:rsidRPr="00B16627" w:rsidRDefault="00A0547A" w:rsidP="00823B2C">
      <w:pPr>
        <w:pStyle w:val="FootnoteText"/>
        <w:rPr>
          <w:lang w:val="fr-FR"/>
        </w:rPr>
      </w:pPr>
      <w:r w:rsidRPr="00B16627">
        <w:rPr>
          <w:lang w:val="fr-FR"/>
        </w:rPr>
        <w:tab/>
      </w:r>
      <w:r w:rsidRPr="00B16627">
        <w:rPr>
          <w:rStyle w:val="FootnoteReference"/>
          <w:lang w:val="fr-FR"/>
        </w:rPr>
        <w:footnoteRef/>
      </w:r>
      <w:r w:rsidRPr="00B16627">
        <w:rPr>
          <w:lang w:val="fr-FR"/>
        </w:rPr>
        <w:tab/>
        <w:t>Pas de lien Internet, mais il est possible d’obtenir une version papier auprès du Ministère de la justice.</w:t>
      </w:r>
    </w:p>
  </w:footnote>
  <w:footnote w:id="28">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r>
      <w:hyperlink r:id="rId22" w:history="1">
        <w:r w:rsidRPr="00B16627">
          <w:rPr>
            <w:rStyle w:val="Hyperlink"/>
            <w:lang w:val="fr-FR"/>
          </w:rPr>
          <w:t>http://www.opsi.gov.uk/si/si2008/uksi_20082864_en_1</w:t>
        </w:r>
      </w:hyperlink>
      <w:r w:rsidRPr="00B16627">
        <w:rPr>
          <w:lang w:val="fr-FR"/>
        </w:rPr>
        <w:t>.</w:t>
      </w:r>
    </w:p>
  </w:footnote>
  <w:footnote w:id="29">
    <w:p w:rsidR="00A0547A" w:rsidRPr="00B16627" w:rsidRDefault="00A0547A" w:rsidP="00BB5587">
      <w:pPr>
        <w:pStyle w:val="FootnoteText"/>
        <w:rPr>
          <w:highlight w:val="yellow"/>
          <w:lang w:val="fr-FR"/>
        </w:rPr>
      </w:pPr>
      <w:r w:rsidRPr="00B16627">
        <w:rPr>
          <w:lang w:val="fr-FR"/>
        </w:rPr>
        <w:tab/>
      </w:r>
      <w:r w:rsidRPr="00B16627">
        <w:rPr>
          <w:rStyle w:val="FootnoteReference"/>
          <w:lang w:val="fr-FR"/>
        </w:rPr>
        <w:footnoteRef/>
      </w:r>
      <w:r w:rsidRPr="00B16627">
        <w:rPr>
          <w:lang w:val="fr-FR"/>
        </w:rPr>
        <w:tab/>
      </w:r>
      <w:hyperlink r:id="rId23" w:history="1">
        <w:r w:rsidRPr="00B16627">
          <w:rPr>
            <w:rStyle w:val="Hyperlink"/>
            <w:lang w:val="fr-FR"/>
          </w:rPr>
          <w:t>http://www.opsi.gov.uk/si/si2008/draft/ukdsi_9780110835181_en_1</w:t>
        </w:r>
      </w:hyperlink>
      <w:r w:rsidRPr="00B16627">
        <w:rPr>
          <w:lang w:val="fr-FR"/>
        </w:rPr>
        <w:t>.</w:t>
      </w:r>
    </w:p>
  </w:footnote>
  <w:footnote w:id="30">
    <w:p w:rsidR="00A0547A" w:rsidRPr="00B16627" w:rsidRDefault="00A0547A" w:rsidP="00BB5587">
      <w:pPr>
        <w:pStyle w:val="FootnoteText"/>
        <w:rPr>
          <w:lang w:val="fr-FR"/>
        </w:rPr>
      </w:pPr>
      <w:r w:rsidRPr="00B16627">
        <w:rPr>
          <w:lang w:val="fr-FR"/>
        </w:rPr>
        <w:tab/>
      </w:r>
      <w:r w:rsidRPr="00B16627">
        <w:rPr>
          <w:vertAlign w:val="superscript"/>
          <w:lang w:val="fr-FR"/>
        </w:rPr>
        <w:footnoteRef/>
      </w:r>
      <w:r w:rsidRPr="00B16627">
        <w:rPr>
          <w:lang w:val="fr-FR"/>
        </w:rPr>
        <w:tab/>
      </w:r>
      <w:hyperlink r:id="rId24" w:history="1">
        <w:r w:rsidRPr="00B16627">
          <w:rPr>
            <w:lang w:val="fr-FR"/>
          </w:rPr>
          <w:t>http://press.homeoffice.gov.uk/documents/police-disciplinary-arrangements/</w:t>
        </w:r>
      </w:hyperlink>
      <w:r w:rsidRPr="00B16627">
        <w:rPr>
          <w:lang w:val="fr-FR"/>
        </w:rPr>
        <w:t>.</w:t>
      </w:r>
    </w:p>
  </w:footnote>
  <w:footnote w:id="31">
    <w:p w:rsidR="00A0547A" w:rsidRPr="00B16627" w:rsidRDefault="00A0547A">
      <w:pPr>
        <w:pStyle w:val="FootnoteText"/>
        <w:rPr>
          <w:lang w:val="fr-FR"/>
        </w:rPr>
      </w:pPr>
      <w:r w:rsidRPr="00B16627">
        <w:rPr>
          <w:lang w:val="fr-FR"/>
        </w:rPr>
        <w:tab/>
      </w:r>
      <w:r w:rsidRPr="00B16627">
        <w:rPr>
          <w:rStyle w:val="FootnoteReference"/>
          <w:lang w:val="fr-FR"/>
        </w:rPr>
        <w:footnoteRef/>
      </w:r>
      <w:r w:rsidRPr="00B16627">
        <w:rPr>
          <w:lang w:val="fr-FR"/>
        </w:rPr>
        <w:t xml:space="preserve"> </w:t>
      </w:r>
      <w:r w:rsidRPr="00B16627">
        <w:rPr>
          <w:lang w:val="fr-FR"/>
        </w:rPr>
        <w:tab/>
      </w:r>
      <w:hyperlink r:id="rId25" w:history="1">
        <w:r w:rsidRPr="00B16627">
          <w:rPr>
            <w:rStyle w:val="Hyperlink"/>
            <w:lang w:val="fr-FR"/>
          </w:rPr>
          <w:t>http://daccessdds.un.org/doc/UNDOC/GEN/G05/1</w:t>
        </w:r>
        <w:r w:rsidRPr="00B16627">
          <w:rPr>
            <w:rStyle w:val="Hyperlink"/>
            <w:lang w:val="fr-FR"/>
          </w:rPr>
          <w:t>6</w:t>
        </w:r>
        <w:r w:rsidRPr="00B16627">
          <w:rPr>
            <w:rStyle w:val="Hyperlink"/>
            <w:lang w:val="fr-FR"/>
          </w:rPr>
          <w:t>8/09</w:t>
        </w:r>
        <w:r w:rsidRPr="00B16627">
          <w:rPr>
            <w:rStyle w:val="Hyperlink"/>
            <w:lang w:val="fr-FR"/>
          </w:rPr>
          <w:t>/</w:t>
        </w:r>
        <w:r w:rsidRPr="00B16627">
          <w:rPr>
            <w:rStyle w:val="Hyperlink"/>
            <w:lang w:val="fr-FR"/>
          </w:rPr>
          <w:t>PDF/G0516809.pdf?OpenElement</w:t>
        </w:r>
      </w:hyperlink>
      <w:r w:rsidRPr="00B16627">
        <w:rPr>
          <w:lang w:val="fr-FR"/>
        </w:rPr>
        <w:t>.</w:t>
      </w:r>
    </w:p>
  </w:footnote>
  <w:footnote w:id="32">
    <w:p w:rsidR="00A0547A" w:rsidRPr="00B16627" w:rsidRDefault="00A0547A">
      <w:pPr>
        <w:pStyle w:val="FootnoteText"/>
        <w:rPr>
          <w:lang w:val="fr-FR"/>
        </w:rPr>
      </w:pPr>
      <w:r w:rsidRPr="00B16627">
        <w:rPr>
          <w:lang w:val="fr-FR"/>
        </w:rPr>
        <w:tab/>
      </w:r>
      <w:r w:rsidRPr="00B16627">
        <w:rPr>
          <w:rStyle w:val="FootnoteReference"/>
          <w:lang w:val="fr-FR"/>
        </w:rPr>
        <w:footnoteRef/>
      </w:r>
      <w:r w:rsidRPr="00B16627">
        <w:rPr>
          <w:lang w:val="fr-FR"/>
        </w:rPr>
        <w:t xml:space="preserve"> </w:t>
      </w:r>
      <w:r w:rsidRPr="00B16627">
        <w:rPr>
          <w:lang w:val="fr-FR"/>
        </w:rPr>
        <w:tab/>
      </w:r>
      <w:hyperlink r:id="rId26" w:history="1">
        <w:r w:rsidRPr="00B16627">
          <w:rPr>
            <w:rStyle w:val="Hyperlink"/>
            <w:lang w:val="fr-FR"/>
          </w:rPr>
          <w:t>http://www.skillsforhealth.org.uk/component/docman/doc_download/175-functional-map-for-hpc-august-2007.html</w:t>
        </w:r>
      </w:hyperlink>
      <w:r w:rsidRPr="00B16627">
        <w:rPr>
          <w:lang w:val="fr-FR"/>
        </w:rPr>
        <w:t>.</w:t>
      </w:r>
    </w:p>
  </w:footnote>
  <w:footnote w:id="33">
    <w:p w:rsidR="00A0547A" w:rsidRPr="00B16627" w:rsidRDefault="00A0547A">
      <w:pPr>
        <w:pStyle w:val="FootnoteText"/>
        <w:rPr>
          <w:lang w:val="fr-FR"/>
        </w:rPr>
      </w:pPr>
      <w:r w:rsidRPr="00B16627">
        <w:rPr>
          <w:lang w:val="fr-FR"/>
        </w:rPr>
        <w:tab/>
      </w:r>
      <w:r w:rsidRPr="00B16627">
        <w:rPr>
          <w:rStyle w:val="FootnoteReference"/>
          <w:lang w:val="fr-FR"/>
        </w:rPr>
        <w:footnoteRef/>
      </w:r>
      <w:r w:rsidRPr="00B16627">
        <w:rPr>
          <w:lang w:val="fr-FR"/>
        </w:rPr>
        <w:t xml:space="preserve"> </w:t>
      </w:r>
      <w:r w:rsidRPr="00B16627">
        <w:rPr>
          <w:lang w:val="fr-FR"/>
        </w:rPr>
        <w:tab/>
        <w:t>http://www.opsi.gov.uk/acts/acts2007/ukpga_20070012_en_1.</w:t>
      </w:r>
    </w:p>
  </w:footnote>
  <w:footnote w:id="34">
    <w:p w:rsidR="00A0547A" w:rsidRPr="00B16627" w:rsidRDefault="00A0547A" w:rsidP="0058092A">
      <w:pPr>
        <w:pStyle w:val="FootnoteText"/>
        <w:rPr>
          <w:lang w:val="fr-FR"/>
        </w:rPr>
      </w:pPr>
      <w:r w:rsidRPr="00B16627">
        <w:rPr>
          <w:lang w:val="fr-FR"/>
        </w:rPr>
        <w:tab/>
      </w:r>
      <w:r w:rsidRPr="00B16627">
        <w:rPr>
          <w:rStyle w:val="FootnoteReference"/>
          <w:lang w:val="fr-FR"/>
        </w:rPr>
        <w:footnoteRef/>
      </w:r>
      <w:r w:rsidRPr="00B16627">
        <w:rPr>
          <w:lang w:val="fr-FR"/>
        </w:rPr>
        <w:t xml:space="preserve"> </w:t>
      </w:r>
      <w:r w:rsidRPr="00B16627">
        <w:rPr>
          <w:lang w:val="fr-FR"/>
        </w:rPr>
        <w:tab/>
        <w:t xml:space="preserve">Code pour l’Angleterre: </w:t>
      </w:r>
      <w:hyperlink r:id="rId27" w:history="1">
        <w:r w:rsidRPr="00B16627">
          <w:rPr>
            <w:rStyle w:val="Hyperlink"/>
            <w:lang w:val="fr-FR"/>
          </w:rPr>
          <w:t>http://www.dh.gov.uk/en/Publicationsandstatistics/Publications/Publications</w:t>
        </w:r>
        <w:r w:rsidRPr="00B16627">
          <w:rPr>
            <w:rStyle w:val="Hyperlink"/>
            <w:lang w:val="fr-FR"/>
          </w:rPr>
          <w:br/>
          <w:t>PolicyAndGuidance/DH_084597?IdcService=GET_FILE&amp;dID=170799&amp;Rendition=Web</w:t>
        </w:r>
      </w:hyperlink>
      <w:r w:rsidRPr="00B16627">
        <w:rPr>
          <w:lang w:val="fr-FR"/>
        </w:rPr>
        <w:br/>
        <w:t xml:space="preserve">Code pour le Pays de Galles: </w:t>
      </w:r>
      <w:hyperlink r:id="rId28" w:history="1">
        <w:r w:rsidRPr="00B16627">
          <w:rPr>
            <w:rStyle w:val="Hyperlink"/>
            <w:lang w:val="fr-FR"/>
          </w:rPr>
          <w:t>http://www.assemblywales.org/bus-home/bus-guide-docs-pub/bus-business-documents/bus-business-documents-doc-laid/gen-ld7209-e.pdf?langoption=3&amp;ttl=GEN-LD7209%20-%20Mental%20Health%20Act%201983%3A%20Code%20of%20Practice%20for%</w:t>
        </w:r>
        <w:r w:rsidRPr="00B16627">
          <w:rPr>
            <w:rStyle w:val="Hyperlink"/>
            <w:lang w:val="fr-FR"/>
          </w:rPr>
          <w:br/>
          <w:t>20Wales</w:t>
        </w:r>
      </w:hyperlink>
      <w:r w:rsidRPr="00B16627">
        <w:rPr>
          <w:lang w:val="fr-FR"/>
        </w:rPr>
        <w:t>.</w:t>
      </w:r>
    </w:p>
  </w:footnote>
  <w:footnote w:id="35">
    <w:p w:rsidR="00A0547A" w:rsidRPr="00B16627" w:rsidRDefault="00A0547A">
      <w:pPr>
        <w:pStyle w:val="FootnoteText"/>
        <w:rPr>
          <w:lang w:val="fr-FR"/>
        </w:rPr>
      </w:pPr>
      <w:r w:rsidRPr="00B16627">
        <w:rPr>
          <w:lang w:val="fr-FR"/>
        </w:rPr>
        <w:tab/>
      </w:r>
      <w:r w:rsidRPr="00B16627">
        <w:rPr>
          <w:rStyle w:val="FootnoteReference"/>
          <w:lang w:val="fr-FR"/>
        </w:rPr>
        <w:footnoteRef/>
      </w:r>
      <w:r w:rsidRPr="00B16627">
        <w:rPr>
          <w:lang w:val="fr-FR"/>
        </w:rPr>
        <w:t xml:space="preserve"> </w:t>
      </w:r>
      <w:r w:rsidRPr="00B16627">
        <w:rPr>
          <w:lang w:val="fr-FR"/>
        </w:rPr>
        <w:tab/>
        <w:t xml:space="preserve">Voir </w:t>
      </w:r>
      <w:hyperlink r:id="rId29" w:history="1">
        <w:r w:rsidRPr="00B16627">
          <w:rPr>
            <w:rStyle w:val="Hyperlink"/>
            <w:lang w:val="fr-FR"/>
          </w:rPr>
          <w:t>http://police.homeoffice.gov.uk/publications/operational-policing/Safer_Detention_and_</w:t>
        </w:r>
        <w:r w:rsidRPr="00B16627">
          <w:rPr>
            <w:rStyle w:val="Hyperlink"/>
            <w:lang w:val="fr-FR"/>
          </w:rPr>
          <w:br/>
          <w:t>Handlin1.pdf</w:t>
        </w:r>
      </w:hyperlink>
      <w:r w:rsidRPr="00B16627">
        <w:rPr>
          <w:lang w:val="fr-FR"/>
        </w:rPr>
        <w:t>.</w:t>
      </w:r>
    </w:p>
  </w:footnote>
  <w:footnote w:id="36">
    <w:p w:rsidR="00A0547A" w:rsidRPr="00B16627" w:rsidRDefault="00A0547A">
      <w:pPr>
        <w:pStyle w:val="FootnoteText"/>
        <w:rPr>
          <w:lang w:val="fr-FR"/>
        </w:rPr>
      </w:pPr>
      <w:r w:rsidRPr="00B16627">
        <w:rPr>
          <w:lang w:val="fr-FR"/>
        </w:rPr>
        <w:tab/>
      </w:r>
      <w:r w:rsidRPr="00B16627">
        <w:rPr>
          <w:rStyle w:val="FootnoteReference"/>
          <w:lang w:val="fr-FR"/>
        </w:rPr>
        <w:footnoteRef/>
      </w:r>
      <w:r w:rsidRPr="00B16627">
        <w:rPr>
          <w:lang w:val="fr-FR"/>
        </w:rPr>
        <w:t xml:space="preserve"> </w:t>
      </w:r>
      <w:r w:rsidRPr="00B16627">
        <w:rPr>
          <w:lang w:val="fr-FR"/>
        </w:rPr>
        <w:tab/>
        <w:t>Pas de lien Internet, mais il est possible d’obtenir une version papier auprès du Ministère de la justice.</w:t>
      </w:r>
    </w:p>
  </w:footnote>
  <w:footnote w:id="37">
    <w:p w:rsidR="00A0547A" w:rsidRPr="00B16627" w:rsidRDefault="00A0547A">
      <w:pPr>
        <w:pStyle w:val="FootnoteText"/>
        <w:rPr>
          <w:lang w:val="fr-FR"/>
        </w:rPr>
      </w:pPr>
      <w:r w:rsidRPr="00B16627">
        <w:rPr>
          <w:lang w:val="fr-FR"/>
        </w:rPr>
        <w:tab/>
      </w:r>
      <w:r w:rsidRPr="00B16627">
        <w:rPr>
          <w:rStyle w:val="FootnoteReference"/>
          <w:lang w:val="fr-FR"/>
        </w:rPr>
        <w:footnoteRef/>
      </w:r>
      <w:r w:rsidRPr="00B16627">
        <w:rPr>
          <w:lang w:val="fr-FR"/>
        </w:rPr>
        <w:t xml:space="preserve"> </w:t>
      </w:r>
      <w:r w:rsidRPr="00B16627">
        <w:rPr>
          <w:lang w:val="fr-FR"/>
        </w:rPr>
        <w:tab/>
        <w:t xml:space="preserve">Voir </w:t>
      </w:r>
      <w:hyperlink r:id="rId30" w:history="1">
        <w:r w:rsidRPr="00B16627">
          <w:rPr>
            <w:rStyle w:val="Hyperlink"/>
            <w:lang w:val="fr-FR"/>
          </w:rPr>
          <w:t>http://www.nipolicingboard.org.uk/final_code_of_ethics-2.pdf</w:t>
        </w:r>
      </w:hyperlink>
      <w:r w:rsidRPr="00B16627">
        <w:rPr>
          <w:lang w:val="fr-FR"/>
        </w:rPr>
        <w:t>.</w:t>
      </w:r>
    </w:p>
  </w:footnote>
  <w:footnote w:id="38">
    <w:p w:rsidR="00A0547A" w:rsidRPr="00B16627" w:rsidRDefault="00A0547A">
      <w:pPr>
        <w:pStyle w:val="FootnoteText"/>
        <w:rPr>
          <w:lang w:val="fr-FR"/>
        </w:rPr>
      </w:pPr>
      <w:r w:rsidRPr="00B16627">
        <w:rPr>
          <w:lang w:val="fr-FR"/>
        </w:rPr>
        <w:tab/>
      </w:r>
      <w:r w:rsidRPr="00B16627">
        <w:rPr>
          <w:rStyle w:val="FootnoteReference"/>
          <w:lang w:val="fr-FR"/>
        </w:rPr>
        <w:footnoteRef/>
      </w:r>
      <w:r w:rsidRPr="00B16627">
        <w:rPr>
          <w:lang w:val="fr-FR"/>
        </w:rPr>
        <w:tab/>
        <w:t xml:space="preserve"> </w:t>
      </w:r>
      <w:hyperlink r:id="rId31" w:history="1">
        <w:r w:rsidRPr="00B16627">
          <w:rPr>
            <w:rStyle w:val="Hyperlink"/>
            <w:lang w:val="fr-FR"/>
          </w:rPr>
          <w:t>http://noms.justice.gov.uk/news-publications-events/publications/strategy/offender-management-model-1.1?version=1</w:t>
        </w:r>
      </w:hyperlink>
      <w:r w:rsidRPr="00B16627">
        <w:rPr>
          <w:lang w:val="fr-FR"/>
        </w:rPr>
        <w:t>.</w:t>
      </w:r>
    </w:p>
  </w:footnote>
  <w:footnote w:id="39">
    <w:p w:rsidR="00A0547A" w:rsidRPr="00B16627" w:rsidRDefault="00A0547A">
      <w:pPr>
        <w:pStyle w:val="FootnoteText"/>
        <w:rPr>
          <w:lang w:val="fr-FR"/>
        </w:rPr>
      </w:pPr>
      <w:r w:rsidRPr="00B16627">
        <w:rPr>
          <w:lang w:val="fr-FR"/>
        </w:rPr>
        <w:tab/>
      </w:r>
      <w:r w:rsidRPr="00B16627">
        <w:rPr>
          <w:rStyle w:val="FootnoteReference"/>
          <w:lang w:val="fr-FR"/>
        </w:rPr>
        <w:footnoteRef/>
      </w:r>
      <w:r w:rsidRPr="00B16627">
        <w:rPr>
          <w:lang w:val="fr-FR"/>
        </w:rPr>
        <w:t xml:space="preserve"> </w:t>
      </w:r>
      <w:r w:rsidRPr="00B16627">
        <w:rPr>
          <w:lang w:val="fr-FR"/>
        </w:rPr>
        <w:tab/>
      </w:r>
      <w:hyperlink r:id="rId32" w:history="1">
        <w:r w:rsidRPr="00B16627">
          <w:rPr>
            <w:rStyle w:val="Hyperlink"/>
            <w:lang w:val="fr-FR"/>
          </w:rPr>
          <w:t>http://www.un.org/documents/ga/res/37/a37r194.htm</w:t>
        </w:r>
      </w:hyperlink>
      <w:r w:rsidRPr="00B16627">
        <w:rPr>
          <w:lang w:val="fr-FR"/>
        </w:rPr>
        <w:t>.</w:t>
      </w:r>
    </w:p>
  </w:footnote>
  <w:footnote w:id="40">
    <w:p w:rsidR="00A0547A" w:rsidRPr="00B16627" w:rsidRDefault="00A0547A">
      <w:pPr>
        <w:pStyle w:val="FootnoteText"/>
        <w:rPr>
          <w:lang w:val="fr-FR"/>
        </w:rPr>
      </w:pPr>
      <w:r w:rsidRPr="00B16627">
        <w:rPr>
          <w:lang w:val="fr-FR"/>
        </w:rPr>
        <w:tab/>
      </w:r>
      <w:r w:rsidRPr="00B16627">
        <w:rPr>
          <w:rStyle w:val="FootnoteReference"/>
          <w:lang w:val="fr-FR"/>
        </w:rPr>
        <w:footnoteRef/>
      </w:r>
      <w:r w:rsidRPr="00B16627">
        <w:rPr>
          <w:lang w:val="fr-FR"/>
        </w:rPr>
        <w:t xml:space="preserve"> </w:t>
      </w:r>
      <w:r w:rsidRPr="00B16627">
        <w:rPr>
          <w:lang w:val="fr-FR"/>
        </w:rPr>
        <w:tab/>
      </w:r>
      <w:hyperlink r:id="rId33" w:history="1">
        <w:r w:rsidRPr="00B16627">
          <w:rPr>
            <w:rStyle w:val="Hyperlink"/>
            <w:lang w:val="fr-FR"/>
          </w:rPr>
          <w:t>http://w</w:t>
        </w:r>
        <w:r w:rsidRPr="00B16627">
          <w:rPr>
            <w:rStyle w:val="Hyperlink"/>
            <w:lang w:val="fr-FR"/>
          </w:rPr>
          <w:t>w</w:t>
        </w:r>
        <w:r w:rsidRPr="00B16627">
          <w:rPr>
            <w:rStyle w:val="Hyperlink"/>
            <w:lang w:val="fr-FR"/>
          </w:rPr>
          <w:t>w.cabinetoffice.gov.uk/newsroom/news_releases/2010/100706-detainees.aspx</w:t>
        </w:r>
      </w:hyperlink>
      <w:r w:rsidRPr="00B16627">
        <w:rPr>
          <w:lang w:val="fr-FR"/>
        </w:rPr>
        <w:t>.</w:t>
      </w:r>
    </w:p>
  </w:footnote>
  <w:footnote w:id="41">
    <w:p w:rsidR="00A0547A" w:rsidRPr="00B16627" w:rsidRDefault="00A0547A">
      <w:pPr>
        <w:pStyle w:val="FootnoteText"/>
        <w:rPr>
          <w:lang w:val="fr-FR"/>
        </w:rPr>
      </w:pPr>
      <w:r w:rsidRPr="00B16627">
        <w:rPr>
          <w:lang w:val="fr-FR"/>
        </w:rPr>
        <w:tab/>
      </w:r>
      <w:r w:rsidRPr="00B16627">
        <w:rPr>
          <w:rStyle w:val="FootnoteReference"/>
          <w:lang w:val="fr-FR"/>
        </w:rPr>
        <w:footnoteRef/>
      </w:r>
      <w:r w:rsidRPr="00B16627">
        <w:rPr>
          <w:lang w:val="fr-FR"/>
        </w:rPr>
        <w:t xml:space="preserve"> </w:t>
      </w:r>
      <w:r w:rsidRPr="00B16627">
        <w:rPr>
          <w:lang w:val="fr-FR"/>
        </w:rPr>
        <w:tab/>
        <w:t xml:space="preserve">La liste des organismes faisant partie du mécanisme national de prévention du Royaume-Uni est disponible à l’adresse Internet </w:t>
      </w:r>
      <w:hyperlink r:id="rId34" w:history="1">
        <w:r w:rsidRPr="00B16627">
          <w:rPr>
            <w:rStyle w:val="Hyperlink"/>
            <w:lang w:val="fr-FR"/>
          </w:rPr>
          <w:t>http://www.apt.ch/index.php?option=com_k2&amp;view=item&amp;id=</w:t>
        </w:r>
        <w:r w:rsidRPr="00B16627">
          <w:rPr>
            <w:rStyle w:val="Hyperlink"/>
            <w:lang w:val="fr-FR"/>
          </w:rPr>
          <w:br/>
          <w:t>873:the-united-kingdoms-national-preventive-mechanism&amp;Itemid=269&amp;lang=en</w:t>
        </w:r>
      </w:hyperlink>
      <w:r w:rsidRPr="00B16627">
        <w:rPr>
          <w:lang w:val="fr-FR"/>
        </w:rPr>
        <w:t xml:space="preserve"> et en annexe 1.</w:t>
      </w:r>
    </w:p>
  </w:footnote>
  <w:footnote w:id="42">
    <w:p w:rsidR="00A0547A" w:rsidRPr="00B16627" w:rsidRDefault="00A0547A">
      <w:pPr>
        <w:pStyle w:val="FootnoteText"/>
        <w:rPr>
          <w:lang w:val="fr-FR"/>
        </w:rPr>
      </w:pPr>
      <w:r w:rsidRPr="00B16627">
        <w:rPr>
          <w:lang w:val="fr-FR"/>
        </w:rPr>
        <w:tab/>
      </w:r>
      <w:r w:rsidRPr="00B16627">
        <w:rPr>
          <w:rStyle w:val="FootnoteReference"/>
          <w:lang w:val="fr-FR"/>
        </w:rPr>
        <w:footnoteRef/>
      </w:r>
      <w:r w:rsidRPr="00B16627">
        <w:rPr>
          <w:lang w:val="fr-FR"/>
        </w:rPr>
        <w:t xml:space="preserve"> </w:t>
      </w:r>
      <w:r w:rsidRPr="00B16627">
        <w:rPr>
          <w:lang w:val="fr-FR"/>
        </w:rPr>
        <w:tab/>
      </w:r>
      <w:hyperlink r:id="rId35" w:tooltip="http://www.justice.gov.uk/inspectorates/hmi-prisons/2536.htm" w:history="1">
        <w:r w:rsidRPr="00B16627">
          <w:rPr>
            <w:rStyle w:val="Hyperlink"/>
            <w:lang w:val="fr-FR"/>
          </w:rPr>
          <w:t>http://www.justice.gov.uk/inspectorates/hmi-prisons/2536.htm</w:t>
        </w:r>
      </w:hyperlink>
      <w:r w:rsidRPr="00B16627">
        <w:rPr>
          <w:lang w:val="fr-FR"/>
        </w:rPr>
        <w:t>.</w:t>
      </w:r>
    </w:p>
  </w:footnote>
  <w:footnote w:id="43">
    <w:p w:rsidR="00A0547A" w:rsidRPr="00B16627" w:rsidRDefault="00A0547A" w:rsidP="00BC621D">
      <w:pPr>
        <w:pStyle w:val="FootnoteText"/>
        <w:rPr>
          <w:lang w:val="fr-FR"/>
        </w:rPr>
      </w:pPr>
      <w:r w:rsidRPr="00B16627">
        <w:rPr>
          <w:lang w:val="fr-FR"/>
        </w:rPr>
        <w:tab/>
      </w:r>
      <w:r w:rsidRPr="00B16627">
        <w:rPr>
          <w:rStyle w:val="FootnoteReference"/>
          <w:lang w:val="fr-FR"/>
        </w:rPr>
        <w:footnoteRef/>
      </w:r>
      <w:r w:rsidRPr="00B16627">
        <w:rPr>
          <w:lang w:val="fr-FR"/>
        </w:rPr>
        <w:t xml:space="preserve"> </w:t>
      </w:r>
      <w:r w:rsidRPr="00B16627">
        <w:rPr>
          <w:lang w:val="fr-FR"/>
        </w:rPr>
        <w:tab/>
      </w:r>
      <w:hyperlink r:id="rId36" w:history="1">
        <w:r w:rsidRPr="00B16627">
          <w:rPr>
            <w:rStyle w:val="Hyperlink"/>
            <w:lang w:val="fr-FR"/>
          </w:rPr>
          <w:t>http://tna.europarchive.org/20100413151426/http://scienceandresearch.homeoffice.gov.uk</w:t>
        </w:r>
        <w:r w:rsidRPr="00B16627">
          <w:rPr>
            <w:rStyle w:val="Hyperlink"/>
            <w:lang w:val="fr-FR"/>
          </w:rPr>
          <w:br/>
          <w:t>/hosdb/publications/police-weaponry/taser-quarterly-Sept09.html</w:t>
        </w:r>
      </w:hyperlink>
      <w:r w:rsidRPr="00B16627">
        <w:rPr>
          <w:lang w:val="fr-FR"/>
        </w:rPr>
        <w:t>.</w:t>
      </w:r>
    </w:p>
  </w:footnote>
  <w:footnote w:id="44">
    <w:p w:rsidR="00A0547A" w:rsidRPr="00B16627" w:rsidRDefault="00A0547A">
      <w:pPr>
        <w:pStyle w:val="FootnoteText"/>
        <w:rPr>
          <w:lang w:val="fr-FR"/>
        </w:rPr>
      </w:pPr>
      <w:r w:rsidRPr="00B16627">
        <w:rPr>
          <w:lang w:val="fr-FR"/>
        </w:rPr>
        <w:tab/>
      </w:r>
      <w:r w:rsidRPr="00B16627">
        <w:rPr>
          <w:rStyle w:val="FootnoteReference"/>
          <w:lang w:val="fr-FR"/>
        </w:rPr>
        <w:footnoteRef/>
      </w:r>
      <w:r w:rsidRPr="00B16627">
        <w:rPr>
          <w:lang w:val="fr-FR"/>
        </w:rPr>
        <w:t xml:space="preserve"> </w:t>
      </w:r>
      <w:r w:rsidRPr="00B16627">
        <w:rPr>
          <w:lang w:val="fr-FR"/>
        </w:rPr>
        <w:tab/>
      </w:r>
      <w:hyperlink r:id="rId37" w:tooltip="http://www.nio.gov.uk/a_new_beginning_in_policing_in_northern_ireland.pdf" w:history="1">
        <w:r w:rsidRPr="00B16627">
          <w:rPr>
            <w:rStyle w:val="Hyperlink"/>
            <w:lang w:val="fr-FR"/>
          </w:rPr>
          <w:t>http://www.nio.gov.uk/a_new_beginning_in_policing_in_northern_ireland.pdf</w:t>
        </w:r>
      </w:hyperlink>
      <w:r w:rsidRPr="00B16627">
        <w:rPr>
          <w:lang w:val="fr-FR"/>
        </w:rPr>
        <w:t>.</w:t>
      </w:r>
    </w:p>
  </w:footnote>
  <w:footnote w:id="45">
    <w:p w:rsidR="00A0547A" w:rsidRPr="00B16627" w:rsidRDefault="00A0547A">
      <w:pPr>
        <w:pStyle w:val="FootnoteText"/>
        <w:rPr>
          <w:lang w:val="fr-FR"/>
        </w:rPr>
      </w:pPr>
      <w:r w:rsidRPr="00B16627">
        <w:rPr>
          <w:lang w:val="fr-FR"/>
        </w:rPr>
        <w:tab/>
      </w:r>
      <w:r w:rsidRPr="00B16627">
        <w:rPr>
          <w:rStyle w:val="FootnoteReference"/>
          <w:lang w:val="fr-FR"/>
        </w:rPr>
        <w:footnoteRef/>
      </w:r>
      <w:r w:rsidRPr="00B16627">
        <w:rPr>
          <w:lang w:val="fr-FR"/>
        </w:rPr>
        <w:t xml:space="preserve"> </w:t>
      </w:r>
      <w:r w:rsidRPr="00B16627">
        <w:rPr>
          <w:lang w:val="fr-FR"/>
        </w:rPr>
        <w:tab/>
      </w:r>
      <w:hyperlink r:id="rId38" w:history="1">
        <w:r w:rsidRPr="00B16627">
          <w:rPr>
            <w:lang w:val="fr-FR"/>
          </w:rPr>
          <w:t>http://www.nio.gov.uk/less_lethal_weaponry_steering_group_phase_5_report.pdf</w:t>
        </w:r>
      </w:hyperlink>
      <w:r w:rsidRPr="00B16627">
        <w:rPr>
          <w:lang w:val="fr-FR"/>
        </w:rPr>
        <w:t>.</w:t>
      </w:r>
    </w:p>
  </w:footnote>
  <w:footnote w:id="46">
    <w:p w:rsidR="00A0547A" w:rsidRPr="00B16627" w:rsidRDefault="00A0547A">
      <w:pPr>
        <w:pStyle w:val="FootnoteText"/>
        <w:rPr>
          <w:lang w:val="fr-FR"/>
        </w:rPr>
      </w:pPr>
      <w:r w:rsidRPr="00B16627">
        <w:rPr>
          <w:lang w:val="fr-FR"/>
        </w:rPr>
        <w:tab/>
      </w:r>
      <w:r w:rsidRPr="00B16627">
        <w:rPr>
          <w:rStyle w:val="FootnoteReference"/>
          <w:lang w:val="fr-FR"/>
        </w:rPr>
        <w:footnoteRef/>
      </w:r>
      <w:r w:rsidRPr="00B16627">
        <w:rPr>
          <w:lang w:val="fr-FR"/>
        </w:rPr>
        <w:t xml:space="preserve"> </w:t>
      </w:r>
      <w:r w:rsidRPr="00B16627">
        <w:rPr>
          <w:lang w:val="fr-FR"/>
        </w:rPr>
        <w:tab/>
      </w:r>
      <w:hyperlink r:id="rId39" w:history="1">
        <w:r w:rsidRPr="00B16627">
          <w:rPr>
            <w:lang w:val="fr-FR" w:eastAsia="en-GB"/>
          </w:rPr>
          <w:t>http://www.thelearningjourney.co.uk/Patrick_Carter_Review.pdf/file_view</w:t>
        </w:r>
      </w:hyperlink>
      <w:r w:rsidRPr="00B16627">
        <w:rPr>
          <w:lang w:val="fr-FR" w:eastAsia="en-GB"/>
        </w:rPr>
        <w:t>.</w:t>
      </w:r>
    </w:p>
  </w:footnote>
  <w:footnote w:id="47">
    <w:p w:rsidR="00A0547A" w:rsidRPr="00B16627" w:rsidRDefault="00A0547A">
      <w:pPr>
        <w:pStyle w:val="FootnoteText"/>
        <w:rPr>
          <w:lang w:val="fr-FR"/>
        </w:rPr>
      </w:pPr>
      <w:r w:rsidRPr="00B16627">
        <w:rPr>
          <w:lang w:val="fr-FR"/>
        </w:rPr>
        <w:tab/>
      </w:r>
      <w:r w:rsidRPr="00B16627">
        <w:rPr>
          <w:rStyle w:val="FootnoteReference"/>
          <w:lang w:val="fr-FR"/>
        </w:rPr>
        <w:footnoteRef/>
      </w:r>
      <w:r w:rsidRPr="00B16627">
        <w:rPr>
          <w:lang w:val="fr-FR"/>
        </w:rPr>
        <w:t xml:space="preserve"> </w:t>
      </w:r>
      <w:r w:rsidRPr="00B16627">
        <w:rPr>
          <w:lang w:val="fr-FR"/>
        </w:rPr>
        <w:tab/>
      </w:r>
      <w:hyperlink r:id="rId40" w:history="1">
        <w:r w:rsidRPr="00B16627">
          <w:rPr>
            <w:rStyle w:val="Hyperlink"/>
            <w:lang w:val="fr-FR"/>
          </w:rPr>
          <w:t>http://www.justice.gov.uk/publications/securing-the-future.htm</w:t>
        </w:r>
      </w:hyperlink>
      <w:r w:rsidRPr="00B16627">
        <w:rPr>
          <w:lang w:val="fr-FR"/>
        </w:rPr>
        <w:t>.</w:t>
      </w:r>
    </w:p>
  </w:footnote>
  <w:footnote w:id="48">
    <w:p w:rsidR="00A0547A" w:rsidRPr="00B16627" w:rsidRDefault="00A0547A">
      <w:pPr>
        <w:pStyle w:val="FootnoteText"/>
        <w:rPr>
          <w:lang w:val="fr-FR"/>
        </w:rPr>
      </w:pPr>
      <w:r w:rsidRPr="00B16627">
        <w:rPr>
          <w:lang w:val="fr-FR"/>
        </w:rPr>
        <w:tab/>
      </w:r>
      <w:r w:rsidRPr="00B16627">
        <w:rPr>
          <w:rStyle w:val="FootnoteReference"/>
          <w:lang w:val="fr-FR"/>
        </w:rPr>
        <w:footnoteRef/>
      </w:r>
      <w:r w:rsidRPr="00B16627">
        <w:rPr>
          <w:lang w:val="fr-FR"/>
        </w:rPr>
        <w:t xml:space="preserve"> </w:t>
      </w:r>
      <w:r w:rsidRPr="00B16627">
        <w:rPr>
          <w:lang w:val="fr-FR"/>
        </w:rPr>
        <w:tab/>
      </w:r>
      <w:hyperlink r:id="rId41" w:history="1">
        <w:r w:rsidRPr="00B16627">
          <w:rPr>
            <w:rStyle w:val="Hyperlink"/>
            <w:lang w:val="fr-FR"/>
          </w:rPr>
          <w:t>http://www.cjini.org/getattachment/cc81a484-6109-4d33-95db-5b9d71df3883/Prisoner-Escort-and-Court-Custody-arrangements-in-.aspx</w:t>
        </w:r>
      </w:hyperlink>
      <w:r w:rsidRPr="00B16627">
        <w:rPr>
          <w:lang w:val="fr-FR"/>
        </w:rPr>
        <w:t>.</w:t>
      </w:r>
    </w:p>
  </w:footnote>
  <w:footnote w:id="49">
    <w:p w:rsidR="00A0547A" w:rsidRPr="00B16627" w:rsidRDefault="00A0547A">
      <w:pPr>
        <w:pStyle w:val="FootnoteText"/>
        <w:rPr>
          <w:lang w:val="fr-FR"/>
        </w:rPr>
      </w:pPr>
      <w:r w:rsidRPr="00B16627">
        <w:rPr>
          <w:lang w:val="fr-FR"/>
        </w:rPr>
        <w:tab/>
      </w:r>
      <w:r w:rsidRPr="00B16627">
        <w:rPr>
          <w:rStyle w:val="FootnoteReference"/>
          <w:lang w:val="fr-FR"/>
        </w:rPr>
        <w:footnoteRef/>
      </w:r>
      <w:r w:rsidRPr="00B16627">
        <w:rPr>
          <w:lang w:val="fr-FR"/>
        </w:rPr>
        <w:t xml:space="preserve"> </w:t>
      </w:r>
      <w:r w:rsidRPr="00B16627">
        <w:rPr>
          <w:lang w:val="fr-FR"/>
        </w:rPr>
        <w:tab/>
      </w:r>
      <w:hyperlink r:id="rId42" w:history="1">
        <w:r w:rsidRPr="00B16627">
          <w:rPr>
            <w:rStyle w:val="Hyperlink"/>
            <w:lang w:val="fr-FR"/>
          </w:rPr>
          <w:t>http://www.ukba.homeoffice.gov.uk/sitecontent/documents/policyandlaw/enforcement/</w:t>
        </w:r>
        <w:r w:rsidRPr="00B16627">
          <w:rPr>
            <w:rStyle w:val="Hyperlink"/>
            <w:lang w:val="fr-FR"/>
          </w:rPr>
          <w:br/>
          <w:t>oemsectione/chapter37?view=Binary</w:t>
        </w:r>
      </w:hyperlink>
      <w:r w:rsidRPr="00B16627">
        <w:rPr>
          <w:lang w:val="fr-FR"/>
        </w:rPr>
        <w:t>.</w:t>
      </w:r>
    </w:p>
  </w:footnote>
  <w:footnote w:id="50">
    <w:p w:rsidR="00A0547A" w:rsidRPr="00B16627" w:rsidRDefault="00A0547A">
      <w:pPr>
        <w:pStyle w:val="FootnoteText"/>
        <w:rPr>
          <w:lang w:val="fr-FR"/>
        </w:rPr>
      </w:pPr>
      <w:r w:rsidRPr="00B16627">
        <w:rPr>
          <w:lang w:val="fr-FR"/>
        </w:rPr>
        <w:tab/>
      </w:r>
      <w:r w:rsidRPr="00B16627">
        <w:rPr>
          <w:rStyle w:val="FootnoteReference"/>
          <w:lang w:val="fr-FR"/>
        </w:rPr>
        <w:footnoteRef/>
      </w:r>
      <w:r w:rsidRPr="00B16627">
        <w:rPr>
          <w:lang w:val="fr-FR"/>
        </w:rPr>
        <w:t xml:space="preserve"> </w:t>
      </w:r>
      <w:r w:rsidRPr="00B16627">
        <w:rPr>
          <w:lang w:val="fr-FR"/>
        </w:rPr>
        <w:tab/>
      </w:r>
      <w:hyperlink r:id="rId43" w:history="1">
        <w:r w:rsidRPr="00B16627">
          <w:rPr>
            <w:rStyle w:val="Hyperlink"/>
            <w:lang w:val="fr-FR"/>
          </w:rPr>
          <w:t>http://www.mod.uk/NR/rdonlyres/C20B9AB9-5F4C-465E-B14D-1660B318E247/0/jdp1_10.pdf</w:t>
        </w:r>
      </w:hyperlink>
      <w:r w:rsidRPr="00B16627">
        <w:rPr>
          <w:lang w:val="fr-FR"/>
        </w:rPr>
        <w:t>.</w:t>
      </w:r>
    </w:p>
  </w:footnote>
  <w:footnote w:id="51">
    <w:p w:rsidR="00A0547A" w:rsidRPr="00B16627" w:rsidRDefault="00A0547A" w:rsidP="00FD67E6">
      <w:pPr>
        <w:pStyle w:val="FootnoteText"/>
        <w:rPr>
          <w:lang w:val="fr-FR"/>
        </w:rPr>
      </w:pPr>
      <w:r w:rsidRPr="00B16627">
        <w:rPr>
          <w:lang w:val="fr-FR"/>
        </w:rPr>
        <w:tab/>
      </w:r>
      <w:r w:rsidRPr="00B16627">
        <w:rPr>
          <w:rStyle w:val="FootnoteReference"/>
          <w:lang w:val="fr-FR"/>
        </w:rPr>
        <w:footnoteRef/>
      </w:r>
      <w:r w:rsidRPr="00B16627">
        <w:rPr>
          <w:lang w:val="fr-FR"/>
        </w:rPr>
        <w:t xml:space="preserve"> </w:t>
      </w:r>
      <w:r w:rsidRPr="00B16627">
        <w:rPr>
          <w:lang w:val="fr-FR"/>
        </w:rPr>
        <w:tab/>
      </w:r>
      <w:hyperlink r:id="rId44" w:history="1">
        <w:r w:rsidRPr="00B16627">
          <w:rPr>
            <w:rStyle w:val="Hyperlink"/>
            <w:lang w:val="fr-FR"/>
          </w:rPr>
          <w:t>http://www.mod.uk/DefenceInternet/AboutDefence/CorporatePublications/</w:t>
        </w:r>
        <w:r w:rsidRPr="00B16627">
          <w:rPr>
            <w:rStyle w:val="Hyperlink"/>
            <w:lang w:val="fr-FR"/>
          </w:rPr>
          <w:t>Legal</w:t>
        </w:r>
        <w:r w:rsidRPr="00B16627">
          <w:rPr>
            <w:rStyle w:val="Hyperlink"/>
            <w:lang w:val="fr-FR"/>
          </w:rPr>
          <w:br/>
          <w:t>Publications/LawOfArmedConflict/</w:t>
        </w:r>
      </w:hyperlink>
      <w:r w:rsidRPr="00B16627">
        <w:rPr>
          <w:lang w:val="fr-FR"/>
        </w:rPr>
        <w:t>.</w:t>
      </w:r>
    </w:p>
  </w:footnote>
  <w:footnote w:id="52">
    <w:p w:rsidR="00A0547A" w:rsidRPr="00B16627" w:rsidRDefault="00A0547A" w:rsidP="00FD67E6">
      <w:pPr>
        <w:pStyle w:val="FootnoteText"/>
        <w:rPr>
          <w:lang w:val="fr-FR"/>
        </w:rPr>
      </w:pPr>
      <w:r w:rsidRPr="00B16627">
        <w:rPr>
          <w:lang w:val="fr-FR"/>
        </w:rPr>
        <w:tab/>
      </w:r>
      <w:r w:rsidRPr="00B16627">
        <w:rPr>
          <w:rStyle w:val="FootnoteReference"/>
          <w:lang w:val="fr-FR"/>
        </w:rPr>
        <w:footnoteRef/>
      </w:r>
      <w:r w:rsidRPr="00B16627">
        <w:rPr>
          <w:lang w:val="fr-FR"/>
        </w:rPr>
        <w:t xml:space="preserve"> </w:t>
      </w:r>
      <w:r w:rsidRPr="00B16627">
        <w:rPr>
          <w:lang w:val="fr-FR"/>
        </w:rPr>
        <w:tab/>
        <w:t xml:space="preserve">Code pour l’Angleterre: </w:t>
      </w:r>
      <w:hyperlink r:id="rId45" w:history="1">
        <w:r w:rsidRPr="00B16627">
          <w:rPr>
            <w:rStyle w:val="Hyperlink"/>
            <w:lang w:val="fr-FR"/>
          </w:rPr>
          <w:t>http://www.dh.gov.uk/en/Publicationsandstatistics/Publications/</w:t>
        </w:r>
        <w:r w:rsidRPr="00B16627">
          <w:rPr>
            <w:rStyle w:val="Hyperlink"/>
            <w:lang w:val="fr-FR"/>
          </w:rPr>
          <w:br/>
          <w:t>PublicationsPolicyAndGuidance/DH_084597?IdcService=GET_FILE&amp;dID=170799&amp;Rendition</w:t>
        </w:r>
        <w:r w:rsidRPr="00B16627">
          <w:rPr>
            <w:rStyle w:val="Hyperlink"/>
            <w:lang w:val="fr-FR"/>
          </w:rPr>
          <w:br/>
          <w:t>=Web</w:t>
        </w:r>
      </w:hyperlink>
      <w:r w:rsidRPr="00B16627">
        <w:rPr>
          <w:lang w:val="fr-FR"/>
        </w:rPr>
        <w:t>.</w:t>
      </w:r>
      <w:r w:rsidRPr="00B16627">
        <w:rPr>
          <w:lang w:val="fr-FR"/>
        </w:rPr>
        <w:br/>
        <w:t xml:space="preserve">Code pour le pays de Galles: </w:t>
      </w:r>
      <w:hyperlink r:id="rId46" w:history="1">
        <w:r w:rsidRPr="00B16627">
          <w:rPr>
            <w:rStyle w:val="Hyperlink"/>
            <w:lang w:val="fr-FR"/>
          </w:rPr>
          <w:t>http://www.assemblywales.org/bus-home/bus-guide-docs-pub/bus-business-documents/bus-business-documents-doc-laid/gen-ld7209-e.pdf?langoption=3&amp;ttl=GEN-LD7209%20-%20Mental%20Health%20Act%201983%3A%20Code%20of%20Practice%20for%</w:t>
        </w:r>
        <w:r w:rsidRPr="00B16627">
          <w:rPr>
            <w:rStyle w:val="Hyperlink"/>
            <w:lang w:val="fr-FR"/>
          </w:rPr>
          <w:br/>
          <w:t>20Wales</w:t>
        </w:r>
      </w:hyperlink>
      <w:r w:rsidRPr="00B16627">
        <w:rPr>
          <w:lang w:val="fr-FR"/>
        </w:rPr>
        <w:t>.</w:t>
      </w:r>
    </w:p>
  </w:footnote>
  <w:footnote w:id="53">
    <w:p w:rsidR="00A0547A" w:rsidRPr="00B16627" w:rsidRDefault="00A0547A">
      <w:pPr>
        <w:pStyle w:val="FootnoteText"/>
        <w:rPr>
          <w:lang w:val="fr-FR"/>
        </w:rPr>
      </w:pPr>
      <w:r w:rsidRPr="00B16627">
        <w:rPr>
          <w:lang w:val="fr-FR"/>
        </w:rPr>
        <w:tab/>
      </w:r>
      <w:r w:rsidRPr="00B16627">
        <w:rPr>
          <w:rStyle w:val="FootnoteReference"/>
          <w:lang w:val="fr-FR"/>
        </w:rPr>
        <w:footnoteRef/>
      </w:r>
      <w:r w:rsidRPr="00B16627">
        <w:rPr>
          <w:lang w:val="fr-FR"/>
        </w:rPr>
        <w:t xml:space="preserve"> </w:t>
      </w:r>
      <w:r w:rsidRPr="00B16627">
        <w:rPr>
          <w:lang w:val="fr-FR"/>
        </w:rPr>
        <w:tab/>
      </w:r>
      <w:hyperlink r:id="rId47" w:history="1">
        <w:r w:rsidRPr="00B16627">
          <w:rPr>
            <w:rStyle w:val="Hyperlink"/>
            <w:lang w:val="fr-FR"/>
          </w:rPr>
          <w:t>http://www.opsi.gov.uk/legislation/scotland/acts2003/asp_20030013_en_1</w:t>
        </w:r>
      </w:hyperlink>
      <w:r w:rsidRPr="00B16627">
        <w:rPr>
          <w:lang w:val="fr-FR"/>
        </w:rPr>
        <w:t>.</w:t>
      </w:r>
    </w:p>
  </w:footnote>
  <w:footnote w:id="54">
    <w:p w:rsidR="00A0547A" w:rsidRPr="00B16627" w:rsidRDefault="00A0547A">
      <w:pPr>
        <w:pStyle w:val="FootnoteText"/>
        <w:rPr>
          <w:lang w:val="fr-FR"/>
        </w:rPr>
      </w:pPr>
      <w:r w:rsidRPr="00B16627">
        <w:rPr>
          <w:lang w:val="fr-FR"/>
        </w:rPr>
        <w:tab/>
      </w:r>
      <w:r w:rsidRPr="00B16627">
        <w:rPr>
          <w:rStyle w:val="FootnoteReference"/>
          <w:lang w:val="fr-FR"/>
        </w:rPr>
        <w:footnoteRef/>
      </w:r>
      <w:r w:rsidRPr="00B16627">
        <w:rPr>
          <w:lang w:val="fr-FR"/>
        </w:rPr>
        <w:t xml:space="preserve"> </w:t>
      </w:r>
      <w:r w:rsidRPr="00B16627">
        <w:rPr>
          <w:lang w:val="fr-FR"/>
        </w:rPr>
        <w:tab/>
      </w:r>
      <w:hyperlink r:id="rId48" w:history="1">
        <w:r w:rsidRPr="00B16627">
          <w:rPr>
            <w:rStyle w:val="Hyperlink"/>
            <w:lang w:val="fr-FR"/>
          </w:rPr>
          <w:t>http://www.scotland.gov.uk/Publications/2005/08/29100428/04289</w:t>
        </w:r>
      </w:hyperlink>
      <w:r w:rsidRPr="00B16627">
        <w:rPr>
          <w:lang w:val="fr-FR"/>
        </w:rPr>
        <w:t>,</w:t>
      </w:r>
      <w:r w:rsidRPr="00B16627">
        <w:rPr>
          <w:lang w:val="fr-FR"/>
        </w:rPr>
        <w:br/>
      </w:r>
      <w:hyperlink r:id="rId49" w:history="1">
        <w:r w:rsidRPr="00B16627">
          <w:rPr>
            <w:rStyle w:val="Hyperlink"/>
            <w:lang w:val="fr-FR"/>
          </w:rPr>
          <w:t>http://www.scotland.gov.uk/Publications/2005/09/16121646/16474</w:t>
        </w:r>
      </w:hyperlink>
      <w:r w:rsidRPr="00B16627">
        <w:rPr>
          <w:lang w:val="fr-FR"/>
        </w:rPr>
        <w:t>,</w:t>
      </w:r>
      <w:r w:rsidRPr="00B16627">
        <w:rPr>
          <w:lang w:val="fr-FR"/>
        </w:rPr>
        <w:br/>
      </w:r>
      <w:hyperlink r:id="rId50" w:history="1">
        <w:r w:rsidRPr="00B16627">
          <w:rPr>
            <w:rStyle w:val="Hyperlink"/>
            <w:lang w:val="fr-FR"/>
          </w:rPr>
          <w:t>http://www.scotland.gov.uk/Publications/2005/09/16121646/16474</w:t>
        </w:r>
      </w:hyperlink>
      <w:r w:rsidRPr="00B16627">
        <w:rPr>
          <w:lang w:val="fr-FR"/>
        </w:rPr>
        <w:t>.</w:t>
      </w:r>
    </w:p>
  </w:footnote>
  <w:footnote w:id="55">
    <w:p w:rsidR="00A0547A" w:rsidRPr="00B16627" w:rsidRDefault="00A0547A">
      <w:pPr>
        <w:pStyle w:val="FootnoteText"/>
        <w:rPr>
          <w:lang w:val="fr-FR"/>
        </w:rPr>
      </w:pPr>
      <w:r w:rsidRPr="00B16627">
        <w:rPr>
          <w:lang w:val="fr-FR"/>
        </w:rPr>
        <w:tab/>
      </w:r>
      <w:r w:rsidRPr="00B16627">
        <w:rPr>
          <w:rStyle w:val="FootnoteReference"/>
          <w:lang w:val="fr-FR"/>
        </w:rPr>
        <w:footnoteRef/>
      </w:r>
      <w:r w:rsidRPr="00B16627">
        <w:rPr>
          <w:lang w:val="fr-FR"/>
        </w:rPr>
        <w:t xml:space="preserve"> </w:t>
      </w:r>
      <w:r w:rsidRPr="00B16627">
        <w:rPr>
          <w:lang w:val="fr-FR"/>
        </w:rPr>
        <w:tab/>
        <w:t xml:space="preserve">L’établissement des certificats de décès en Angleterre, au pays de Galles et en Irlande du Nord, Rapport d’étude approfondie, Cm 5831, 2003 </w:t>
      </w:r>
      <w:hyperlink r:id="rId51" w:history="1">
        <w:r w:rsidRPr="00B16627">
          <w:rPr>
            <w:rStyle w:val="Hyperlink"/>
            <w:lang w:val="fr-FR"/>
          </w:rPr>
          <w:t>http://www.archive2.official-documents.co.uk/</w:t>
        </w:r>
        <w:r w:rsidRPr="00B16627">
          <w:rPr>
            <w:rStyle w:val="Hyperlink"/>
            <w:lang w:val="fr-FR"/>
          </w:rPr>
          <w:br/>
          <w:t>document/cm58/5831/5831.pdf</w:t>
        </w:r>
      </w:hyperlink>
      <w:r w:rsidRPr="00B16627">
        <w:rPr>
          <w:lang w:val="fr-FR"/>
        </w:rPr>
        <w:t>.</w:t>
      </w:r>
    </w:p>
  </w:footnote>
  <w:footnote w:id="56">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r>
      <w:hyperlink r:id="rId52" w:history="1">
        <w:r w:rsidRPr="00B16627">
          <w:rPr>
            <w:rStyle w:val="Hyperlink"/>
            <w:lang w:val="fr-FR"/>
          </w:rPr>
          <w:t>http://www.the-sia.org.uk/home</w:t>
        </w:r>
      </w:hyperlink>
      <w:r w:rsidRPr="00B16627">
        <w:rPr>
          <w:lang w:val="fr-FR"/>
        </w:rPr>
        <w:t>.</w:t>
      </w:r>
    </w:p>
  </w:footnote>
  <w:footnote w:id="57">
    <w:p w:rsidR="00A0547A" w:rsidRPr="00B16627" w:rsidRDefault="00A0547A" w:rsidP="00A43E7B">
      <w:pPr>
        <w:pStyle w:val="FootnoteText"/>
        <w:rPr>
          <w:lang w:val="fr-FR"/>
        </w:rPr>
      </w:pPr>
      <w:r w:rsidRPr="00B16627">
        <w:rPr>
          <w:lang w:val="fr-FR"/>
        </w:rPr>
        <w:tab/>
      </w:r>
      <w:r w:rsidRPr="00B16627">
        <w:rPr>
          <w:rStyle w:val="FootnoteReference"/>
          <w:lang w:val="fr-FR"/>
        </w:rPr>
        <w:footnoteRef/>
      </w:r>
      <w:r w:rsidRPr="00B16627">
        <w:rPr>
          <w:lang w:val="fr-FR"/>
        </w:rPr>
        <w:tab/>
      </w:r>
      <w:hyperlink r:id="rId53" w:history="1">
        <w:r w:rsidRPr="00B16627">
          <w:rPr>
            <w:rStyle w:val="Hyperlink"/>
            <w:lang w:val="fr-FR"/>
          </w:rPr>
          <w:t>http://www.statutelaw.gov.uk/content.aspx?LegType=All+Legislation&amp;searchEnacted</w:t>
        </w:r>
        <w:r w:rsidRPr="00B16627">
          <w:rPr>
            <w:rStyle w:val="Hyperlink"/>
            <w:lang w:val="fr-FR"/>
          </w:rPr>
          <w:br/>
          <w:t>=0&amp;extentMatchOnly=0&amp;confersPower=0&amp;blanketAmendment=0&amp;sortAlpha=0&amp;PageNumber</w:t>
        </w:r>
        <w:r w:rsidRPr="00B16627">
          <w:rPr>
            <w:rStyle w:val="Hyperlink"/>
            <w:lang w:val="fr-FR"/>
          </w:rPr>
          <w:br/>
          <w:t>=0&amp;NavFrom=0&amp;parentActiveTextDocId=1241799&amp;ActiveText</w:t>
        </w:r>
        <w:r w:rsidRPr="00B16627">
          <w:rPr>
            <w:rStyle w:val="Hyperlink"/>
            <w:lang w:val="fr-FR"/>
          </w:rPr>
          <w:t>DocId=1241799&amp;filesize=40984</w:t>
        </w:r>
      </w:hyperlink>
      <w:r w:rsidRPr="00B16627">
        <w:rPr>
          <w:lang w:val="fr-FR"/>
        </w:rPr>
        <w:t>.</w:t>
      </w:r>
    </w:p>
  </w:footnote>
  <w:footnote w:id="58">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r>
      <w:hyperlink r:id="rId54" w:history="1">
        <w:r w:rsidRPr="00B16627">
          <w:rPr>
            <w:rStyle w:val="Hyperlink"/>
            <w:lang w:val="fr-FR"/>
          </w:rPr>
          <w:t>http://www.niprisonerombudsman.gov.uk/publications.html</w:t>
        </w:r>
      </w:hyperlink>
      <w:r w:rsidRPr="00B16627">
        <w:rPr>
          <w:lang w:val="fr-FR"/>
        </w:rPr>
        <w:t>.</w:t>
      </w:r>
    </w:p>
  </w:footnote>
  <w:footnote w:id="59">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r>
      <w:hyperlink r:id="rId55" w:history="1">
        <w:r w:rsidRPr="00B16627">
          <w:rPr>
            <w:rStyle w:val="Hyperlink"/>
            <w:lang w:val="fr-FR"/>
          </w:rPr>
          <w:t>http://www.mod.uk/NR/rdonlyres/5A0855FD-CECC-4BF7-A466-61520CEE9AB3/0/JSP397.pdf</w:t>
        </w:r>
      </w:hyperlink>
      <w:r w:rsidRPr="00B16627">
        <w:rPr>
          <w:lang w:val="fr-FR"/>
        </w:rPr>
        <w:t>.</w:t>
      </w:r>
    </w:p>
  </w:footnote>
  <w:footnote w:id="60">
    <w:p w:rsidR="00A0547A" w:rsidRPr="00B16627" w:rsidRDefault="00A0547A" w:rsidP="00A43E7B">
      <w:pPr>
        <w:pStyle w:val="FootnoteText"/>
        <w:rPr>
          <w:lang w:val="fr-FR"/>
        </w:rPr>
      </w:pPr>
      <w:r w:rsidRPr="00B16627">
        <w:rPr>
          <w:lang w:val="fr-FR"/>
        </w:rPr>
        <w:tab/>
      </w:r>
      <w:r w:rsidRPr="00B16627">
        <w:rPr>
          <w:rStyle w:val="FootnoteReference"/>
          <w:lang w:val="fr-FR"/>
        </w:rPr>
        <w:footnoteRef/>
      </w:r>
      <w:r w:rsidRPr="00B16627">
        <w:rPr>
          <w:lang w:val="fr-FR"/>
        </w:rPr>
        <w:tab/>
      </w:r>
      <w:hyperlink r:id="rId56" w:history="1">
        <w:r w:rsidRPr="00B16627">
          <w:rPr>
            <w:rStyle w:val="Hyperlink"/>
            <w:lang w:val="fr-FR"/>
          </w:rPr>
          <w:t>http://www.roberthamillinquiry.org/filestore/?f=/filestore/documents/evidence/Major_Investigation_</w:t>
        </w:r>
        <w:r w:rsidRPr="00B16627">
          <w:rPr>
            <w:rStyle w:val="Hyperlink"/>
            <w:lang w:val="fr-FR"/>
          </w:rPr>
          <w:br/>
          <w:t>Incident_Room_Standardised_Administrative_Procedures_(10789).pdf</w:t>
        </w:r>
      </w:hyperlink>
      <w:r w:rsidRPr="00B16627">
        <w:rPr>
          <w:lang w:val="fr-FR"/>
        </w:rPr>
        <w:t>.</w:t>
      </w:r>
    </w:p>
  </w:footnote>
  <w:footnote w:id="61">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r>
      <w:hyperlink r:id="rId57" w:history="1">
        <w:r w:rsidRPr="00B16627">
          <w:rPr>
            <w:rStyle w:val="Hyperlink"/>
            <w:lang w:val="fr-FR"/>
          </w:rPr>
          <w:t>http://www.ipcc.gov.uk/index/resources/research/stats.htm</w:t>
        </w:r>
      </w:hyperlink>
      <w:r w:rsidRPr="00B16627">
        <w:rPr>
          <w:lang w:val="fr-FR"/>
        </w:rPr>
        <w:t>.</w:t>
      </w:r>
    </w:p>
  </w:footnote>
  <w:footnote w:id="62">
    <w:p w:rsidR="00A0547A" w:rsidRPr="00B16627" w:rsidRDefault="00A0547A" w:rsidP="00BB5587">
      <w:pPr>
        <w:pStyle w:val="FootnoteText"/>
        <w:rPr>
          <w:highlight w:val="yellow"/>
          <w:lang w:val="fr-FR"/>
        </w:rPr>
      </w:pPr>
      <w:r w:rsidRPr="00B16627">
        <w:rPr>
          <w:lang w:val="fr-FR"/>
        </w:rPr>
        <w:tab/>
      </w:r>
      <w:r w:rsidRPr="00B16627">
        <w:rPr>
          <w:rStyle w:val="FootnoteReference"/>
          <w:lang w:val="fr-FR"/>
        </w:rPr>
        <w:footnoteRef/>
      </w:r>
      <w:r w:rsidRPr="00B16627">
        <w:rPr>
          <w:lang w:val="fr-FR"/>
        </w:rPr>
        <w:tab/>
      </w:r>
      <w:hyperlink r:id="rId58" w:history="1">
        <w:r w:rsidRPr="00B16627">
          <w:rPr>
            <w:rStyle w:val="Hyperlink"/>
            <w:lang w:val="fr-FR"/>
          </w:rPr>
          <w:t>http://www.scotland.gov.uk/hmic/docs/afcp-00.asp</w:t>
        </w:r>
      </w:hyperlink>
      <w:r w:rsidRPr="00B16627">
        <w:rPr>
          <w:lang w:val="fr-FR"/>
        </w:rPr>
        <w:t>.</w:t>
      </w:r>
    </w:p>
  </w:footnote>
  <w:footnote w:id="63">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r>
      <w:hyperlink r:id="rId59" w:history="1">
        <w:r w:rsidRPr="00B16627">
          <w:rPr>
            <w:rStyle w:val="Hyperlink"/>
            <w:lang w:val="fr-FR"/>
          </w:rPr>
          <w:t>http://www.scotland.gov.uk/Publications/2004/06/19502/38829</w:t>
        </w:r>
      </w:hyperlink>
      <w:r w:rsidRPr="00B16627">
        <w:rPr>
          <w:lang w:val="fr-FR"/>
        </w:rPr>
        <w:t>.</w:t>
      </w:r>
    </w:p>
  </w:footnote>
  <w:footnote w:id="64">
    <w:p w:rsidR="00A0547A" w:rsidRPr="00B16627" w:rsidRDefault="00A0547A" w:rsidP="0091555B">
      <w:pPr>
        <w:pStyle w:val="FootnoteText"/>
        <w:rPr>
          <w:lang w:val="fr-FR"/>
        </w:rPr>
      </w:pPr>
      <w:r w:rsidRPr="00B16627">
        <w:rPr>
          <w:lang w:val="fr-FR"/>
        </w:rPr>
        <w:tab/>
      </w:r>
      <w:r w:rsidRPr="00B16627">
        <w:rPr>
          <w:rStyle w:val="FootnoteReference"/>
          <w:lang w:val="fr-FR"/>
        </w:rPr>
        <w:footnoteRef/>
      </w:r>
      <w:r w:rsidRPr="00B16627">
        <w:rPr>
          <w:lang w:val="fr-FR"/>
        </w:rPr>
        <w:tab/>
      </w:r>
      <w:hyperlink r:id="rId60" w:history="1">
        <w:r w:rsidRPr="00B16627">
          <w:rPr>
            <w:rStyle w:val="Hyperlink"/>
            <w:lang w:val="fr-FR"/>
          </w:rPr>
          <w:t>http://pso.hmprisonservice.gov.uk/PSO_2510_prisoners_requests_and_complaints_procedures.doc</w:t>
        </w:r>
      </w:hyperlink>
      <w:r w:rsidRPr="00B16627">
        <w:rPr>
          <w:lang w:val="fr-FR"/>
        </w:rPr>
        <w:t>.</w:t>
      </w:r>
    </w:p>
  </w:footnote>
  <w:footnote w:id="65">
    <w:p w:rsidR="00A0547A" w:rsidRPr="00B16627" w:rsidRDefault="00A0547A" w:rsidP="0019482F">
      <w:pPr>
        <w:pStyle w:val="FootnoteText"/>
        <w:rPr>
          <w:lang w:val="fr-FR"/>
        </w:rPr>
      </w:pPr>
      <w:r w:rsidRPr="00B16627">
        <w:rPr>
          <w:lang w:val="fr-FR"/>
        </w:rPr>
        <w:tab/>
      </w:r>
      <w:r w:rsidRPr="00B16627">
        <w:rPr>
          <w:rStyle w:val="FootnoteReference"/>
          <w:lang w:val="fr-FR"/>
        </w:rPr>
        <w:footnoteRef/>
      </w:r>
      <w:r w:rsidRPr="00B16627">
        <w:rPr>
          <w:lang w:val="fr-FR"/>
        </w:rPr>
        <w:tab/>
      </w:r>
      <w:hyperlink r:id="rId61" w:history="1">
        <w:r w:rsidRPr="00B16627">
          <w:rPr>
            <w:rStyle w:val="Hyperlink"/>
            <w:lang w:val="fr-FR"/>
          </w:rPr>
          <w:t>http://www.nio.gov.uk/final_report_of_the_independent_assessor_of_military_complaints_</w:t>
        </w:r>
        <w:r w:rsidRPr="00B16627">
          <w:rPr>
            <w:rStyle w:val="Hyperlink"/>
            <w:lang w:val="fr-FR"/>
          </w:rPr>
          <w:br/>
          <w:t>procedures.pdf</w:t>
        </w:r>
      </w:hyperlink>
      <w:r w:rsidRPr="00B16627">
        <w:rPr>
          <w:lang w:val="fr-FR"/>
        </w:rPr>
        <w:t>.</w:t>
      </w:r>
    </w:p>
  </w:footnote>
  <w:footnote w:id="66">
    <w:p w:rsidR="00A0547A" w:rsidRPr="00B16627" w:rsidRDefault="00A0547A" w:rsidP="0019482F">
      <w:pPr>
        <w:pStyle w:val="FootnoteText"/>
        <w:rPr>
          <w:lang w:val="fr-FR"/>
        </w:rPr>
      </w:pPr>
      <w:r w:rsidRPr="00B16627">
        <w:rPr>
          <w:lang w:val="fr-FR"/>
        </w:rPr>
        <w:tab/>
      </w:r>
      <w:r w:rsidRPr="00B16627">
        <w:rPr>
          <w:rStyle w:val="FootnoteReference"/>
          <w:lang w:val="fr-FR"/>
        </w:rPr>
        <w:footnoteRef/>
      </w:r>
      <w:r w:rsidRPr="00B16627">
        <w:rPr>
          <w:lang w:val="fr-FR"/>
        </w:rPr>
        <w:tab/>
      </w:r>
      <w:hyperlink r:id="rId62" w:history="1">
        <w:r w:rsidRPr="00B16627">
          <w:rPr>
            <w:rStyle w:val="Hyperlink"/>
            <w:lang w:val="fr-FR"/>
          </w:rPr>
          <w:t>http://www.parliament.uk/deposits/depositedpapers/2009/DEP2009-0031.pdf</w:t>
        </w:r>
      </w:hyperlink>
      <w:r w:rsidRPr="00B16627">
        <w:rPr>
          <w:lang w:val="fr-FR"/>
        </w:rPr>
        <w:t xml:space="preserve">, </w:t>
      </w:r>
      <w:hyperlink r:id="rId63" w:history="1">
        <w:r w:rsidRPr="00B16627">
          <w:rPr>
            <w:rStyle w:val="Hyperlink"/>
            <w:lang w:val="fr-FR"/>
          </w:rPr>
          <w:t>http://www.parliament.uk/deposits/depositedpapers/2009/DEP2009-3130.pdf</w:t>
        </w:r>
      </w:hyperlink>
      <w:r w:rsidRPr="00B16627">
        <w:rPr>
          <w:lang w:val="fr-FR"/>
        </w:rPr>
        <w:t xml:space="preserve"> et </w:t>
      </w:r>
      <w:hyperlink r:id="rId64" w:history="1">
        <w:r w:rsidRPr="00B16627">
          <w:rPr>
            <w:rStyle w:val="Hyperlink"/>
            <w:lang w:val="fr-FR"/>
          </w:rPr>
          <w:t>http://www.nio.gov.uk/independent_reviewers_third_report.pdf</w:t>
        </w:r>
      </w:hyperlink>
      <w:r w:rsidRPr="00B16627">
        <w:rPr>
          <w:lang w:val="fr-FR"/>
        </w:rPr>
        <w:t>.</w:t>
      </w:r>
    </w:p>
  </w:footnote>
  <w:footnote w:id="67">
    <w:p w:rsidR="00A0547A" w:rsidRPr="00B16627" w:rsidRDefault="00A0547A" w:rsidP="00B04AD5">
      <w:pPr>
        <w:pStyle w:val="FootnoteText"/>
        <w:rPr>
          <w:lang w:val="fr-FR"/>
        </w:rPr>
      </w:pPr>
      <w:r w:rsidRPr="00B16627">
        <w:rPr>
          <w:lang w:val="fr-FR"/>
        </w:rPr>
        <w:tab/>
      </w:r>
      <w:r w:rsidRPr="00B16627">
        <w:rPr>
          <w:rStyle w:val="FootnoteReference"/>
          <w:lang w:val="fr-FR"/>
        </w:rPr>
        <w:footnoteRef/>
      </w:r>
      <w:r w:rsidRPr="00B16627">
        <w:rPr>
          <w:lang w:val="fr-FR"/>
        </w:rPr>
        <w:tab/>
      </w:r>
      <w:hyperlink r:id="rId65" w:history="1">
        <w:r w:rsidRPr="00B16627">
          <w:rPr>
            <w:rStyle w:val="Hyperlink"/>
            <w:lang w:val="fr-FR"/>
          </w:rPr>
          <w:t>http://www.dh.gov.uk/en/Publicationsandstatistics/Publications/PublicationsPolicy</w:t>
        </w:r>
      </w:hyperlink>
      <w:r w:rsidRPr="00B16627">
        <w:rPr>
          <w:lang w:val="fr-FR"/>
        </w:rPr>
        <w:t>AndGuidance/</w:t>
      </w:r>
      <w:r w:rsidRPr="00B16627">
        <w:rPr>
          <w:lang w:val="fr-FR"/>
        </w:rPr>
        <w:br/>
        <w:t>DH_098694.</w:t>
      </w:r>
    </w:p>
  </w:footnote>
  <w:footnote w:id="68">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r>
      <w:hyperlink r:id="rId66" w:history="1">
        <w:r w:rsidRPr="00B16627">
          <w:rPr>
            <w:rStyle w:val="Hyperlink"/>
            <w:lang w:val="fr-FR"/>
          </w:rPr>
          <w:t>http://pso.hmprisonservice.gov.uk/pso2700/PSO%202700_-_front_index_and_PSO_itself.htm</w:t>
        </w:r>
      </w:hyperlink>
      <w:r w:rsidRPr="00B16627">
        <w:rPr>
          <w:lang w:val="fr-FR"/>
        </w:rPr>
        <w:t>.</w:t>
      </w:r>
    </w:p>
  </w:footnote>
  <w:footnote w:id="69">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r>
      <w:hyperlink r:id="rId67" w:history="1">
        <w:r w:rsidRPr="00B16627">
          <w:rPr>
            <w:rStyle w:val="Hyperlink"/>
            <w:lang w:val="fr-FR"/>
          </w:rPr>
          <w:t>http://psi.hmprisonservice.gov.uk/psi_2009_26_amendments_to_pso_1700.doc</w:t>
        </w:r>
      </w:hyperlink>
      <w:r w:rsidRPr="00B16627">
        <w:rPr>
          <w:lang w:val="fr-FR"/>
        </w:rPr>
        <w:t>.</w:t>
      </w:r>
    </w:p>
  </w:footnote>
  <w:footnote w:id="70">
    <w:p w:rsidR="00A0547A" w:rsidRPr="00B16627" w:rsidRDefault="00A0547A" w:rsidP="00B04AD5">
      <w:pPr>
        <w:pStyle w:val="FootnoteText"/>
        <w:rPr>
          <w:lang w:val="fr-FR"/>
        </w:rPr>
      </w:pPr>
      <w:r w:rsidRPr="00B16627">
        <w:rPr>
          <w:lang w:val="fr-FR"/>
        </w:rPr>
        <w:tab/>
      </w:r>
      <w:r w:rsidRPr="00B16627">
        <w:rPr>
          <w:rStyle w:val="FootnoteReference"/>
          <w:lang w:val="fr-FR"/>
        </w:rPr>
        <w:footnoteRef/>
      </w:r>
      <w:r w:rsidRPr="00B16627">
        <w:rPr>
          <w:lang w:val="fr-FR"/>
        </w:rPr>
        <w:tab/>
      </w:r>
      <w:hyperlink r:id="rId68" w:history="1">
        <w:r w:rsidRPr="00B16627">
          <w:rPr>
            <w:rStyle w:val="Hyperlink"/>
            <w:lang w:val="fr-FR"/>
          </w:rPr>
          <w:t>http://www.niprisonservice.gov.uk/module.cfm/opt/5/area/publications/page/publications/</w:t>
        </w:r>
        <w:r w:rsidRPr="00B16627">
          <w:rPr>
            <w:rStyle w:val="Hyperlink"/>
            <w:lang w:val="fr-FR"/>
          </w:rPr>
          <w:br/>
          <w:t>download/true/id/237</w:t>
        </w:r>
      </w:hyperlink>
      <w:r w:rsidRPr="00B16627">
        <w:rPr>
          <w:lang w:val="fr-FR"/>
        </w:rPr>
        <w:t>.</w:t>
      </w:r>
    </w:p>
  </w:footnote>
  <w:footnote w:id="71">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t>http://www.niace.org.uk/exemplars/pdf/Offenders%20Learning%20Journey_Adult.pdf.</w:t>
      </w:r>
    </w:p>
  </w:footnote>
  <w:footnote w:id="72">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r>
      <w:hyperlink r:id="rId69" w:history="1">
        <w:r w:rsidRPr="00B16627">
          <w:rPr>
            <w:rStyle w:val="Hyperlink"/>
            <w:lang w:val="fr-FR"/>
          </w:rPr>
          <w:t>http://webarchive.nationalarchives.gov.uk/20110201125714/,</w:t>
        </w:r>
        <w:r w:rsidRPr="00B16627">
          <w:rPr>
            <w:rStyle w:val="Hyperlink"/>
            <w:lang w:val="fr-FR"/>
          </w:rPr>
          <w:br/>
          <w:t>http://www.justice.gov.uk/pu</w:t>
        </w:r>
        <w:r w:rsidRPr="00B16627">
          <w:rPr>
            <w:rStyle w:val="Hyperlink"/>
            <w:lang w:val="fr-FR"/>
          </w:rPr>
          <w:t>b</w:t>
        </w:r>
        <w:r w:rsidRPr="00B16627">
          <w:rPr>
            <w:rStyle w:val="Hyperlink"/>
            <w:lang w:val="fr-FR"/>
          </w:rPr>
          <w:t>lications/docs/restraint_review.pdf</w:t>
        </w:r>
      </w:hyperlink>
      <w:r w:rsidRPr="00B16627">
        <w:rPr>
          <w:lang w:val="fr-FR"/>
        </w:rPr>
        <w:t>.</w:t>
      </w:r>
    </w:p>
  </w:footnote>
  <w:footnote w:id="73">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t>Sauf mention contraire, les chiffres correspondent à l’année 2009 ou au milieu de l’année 2008.</w:t>
      </w:r>
    </w:p>
  </w:footnote>
  <w:footnote w:id="74">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t>Estimation démographique au milieu de l’année 2009, Bureau des statistiques nationales.</w:t>
      </w:r>
    </w:p>
  </w:footnote>
  <w:footnote w:id="75">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t>Estimation démographique au milieu de l’année 2009, Bureau des statistiques nationales.</w:t>
      </w:r>
    </w:p>
  </w:footnote>
  <w:footnote w:id="76">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t>Estimation démographique au milieu de l’année 2009, Bureau des statistiques nationales.</w:t>
      </w:r>
    </w:p>
  </w:footnote>
  <w:footnote w:id="77">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t>Estimation démographique au milieu de l’année 2009, Bureau des statistiques nationales.</w:t>
      </w:r>
    </w:p>
  </w:footnote>
  <w:footnote w:id="78">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r>
      <w:r w:rsidRPr="00B16627">
        <w:rPr>
          <w:i/>
          <w:lang w:val="fr-FR"/>
        </w:rPr>
        <w:t>Recensement</w:t>
      </w:r>
      <w:r w:rsidRPr="00B16627">
        <w:rPr>
          <w:lang w:val="fr-FR"/>
        </w:rPr>
        <w:t>, avril 2001, Bureau des statistiques nationales. Des chiffres « expérimentaux » plus récents publiés par le Bureau des statistiques nationales donnent la ventilation suivante de la population d’Angleterre à la mi-2007: Blancs (88,2 %), Métis (1,7 %), Asiatiques ou Britanniques d’origine asiatique (5,7 %), Noirs ou Britanniques d’origine africaine  (2,8 %), Chinois (0,8 %), autres (0,7 %).</w:t>
      </w:r>
    </w:p>
  </w:footnote>
  <w:footnote w:id="79">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t>Estimation démographique au milieu de l’année 2009, Bureau des statistiques nationales.</w:t>
      </w:r>
    </w:p>
  </w:footnote>
  <w:footnote w:id="80">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t>Estimation démographique au milieu de l’année 2009, Bureau des statistiques nationales.</w:t>
      </w:r>
    </w:p>
  </w:footnote>
  <w:footnote w:id="81">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t>Recensement, avril 2001, Bureau des statistiques nationales, à l’aide de la classification zone urbaine/zone rurale de 2004. Ce chiffre vaut pour l’Angleterre et le pays de Galles uniquement.</w:t>
      </w:r>
    </w:p>
  </w:footnote>
  <w:footnote w:id="82">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t>Recensement, avril 2001, Bureau des statistiques nationales. Ce chiffre vaut pour la Grande-Bretagne (Angleterre, pays de Galles et Écosse) seulement.</w:t>
      </w:r>
    </w:p>
  </w:footnote>
  <w:footnote w:id="83">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t>Tendances démographiques 138 (2009), Bureau des statistiques nationales. Chiffres fondés sur les enregistrements et non sur les cas réels.</w:t>
      </w:r>
    </w:p>
  </w:footnote>
  <w:footnote w:id="84">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r>
      <w:r w:rsidRPr="00B16627">
        <w:rPr>
          <w:lang w:val="fr-FR" w:eastAsia="en-GB"/>
        </w:rPr>
        <w:t>Extrait annuel de la publication statistique, édition 2010</w:t>
      </w:r>
      <w:r w:rsidRPr="00B16627">
        <w:rPr>
          <w:lang w:val="fr-FR"/>
        </w:rPr>
        <w:t>, Bureau des statistiques nationales.</w:t>
      </w:r>
    </w:p>
  </w:footnote>
  <w:footnote w:id="85">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r>
      <w:r w:rsidRPr="00B16627">
        <w:rPr>
          <w:lang w:val="fr-FR" w:eastAsia="en-GB"/>
        </w:rPr>
        <w:t>Extrait annuel de la publication statistique, édition 2010</w:t>
      </w:r>
      <w:r w:rsidRPr="00B16627">
        <w:rPr>
          <w:lang w:val="fr-FR"/>
        </w:rPr>
        <w:t>, Bureau des statistiques nationales. Ces chiffres ne concernent que l’Angleterre et le pays de Galles.</w:t>
      </w:r>
    </w:p>
  </w:footnote>
  <w:footnote w:id="86">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t>Tendances démographiques 138 (2009), Bureau des statistiques nationales.</w:t>
      </w:r>
    </w:p>
  </w:footnote>
  <w:footnote w:id="87">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r>
      <w:r w:rsidRPr="00B16627">
        <w:rPr>
          <w:lang w:val="fr-FR" w:eastAsia="en-GB"/>
        </w:rPr>
        <w:t>Extrait annuel de la publication statistique, édition</w:t>
      </w:r>
      <w:r w:rsidRPr="00B16627" w:rsidDel="000810C6">
        <w:rPr>
          <w:lang w:val="fr-FR"/>
        </w:rPr>
        <w:t xml:space="preserve"> </w:t>
      </w:r>
      <w:r w:rsidRPr="00B16627">
        <w:rPr>
          <w:lang w:val="fr-FR" w:eastAsia="en-GB"/>
        </w:rPr>
        <w:t xml:space="preserve">2010, </w:t>
      </w:r>
      <w:r w:rsidRPr="00B16627">
        <w:rPr>
          <w:lang w:val="fr-FR"/>
        </w:rPr>
        <w:t>Bureau des statistiques nationales. Tableau 2.2. L’indice synthétique de fécondité est le nombre d’enfants qu’aurait une femme si les tendances de la fertilité demeuraient les mêmes tout au long de sa période de procréation.</w:t>
      </w:r>
    </w:p>
  </w:footnote>
  <w:footnote w:id="88">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t>Taille moyenne d’un ménage en Grande-Bretagne = 2,4 personnes en 2009 (Q2, LFS) – Source: Tendances sociales 40 (2009), chapitre 2.</w:t>
      </w:r>
    </w:p>
  </w:footnote>
  <w:footnote w:id="89">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r>
      <w:r w:rsidRPr="00B16627">
        <w:rPr>
          <w:i/>
          <w:lang w:val="fr-FR"/>
        </w:rPr>
        <w:t>PIB du Royaume-Uni pour</w:t>
      </w:r>
      <w:r w:rsidRPr="00B16627">
        <w:rPr>
          <w:lang w:val="fr-FR"/>
        </w:rPr>
        <w:t xml:space="preserve"> </w:t>
      </w:r>
      <w:r w:rsidRPr="00B16627">
        <w:rPr>
          <w:i/>
          <w:lang w:val="fr-FR"/>
        </w:rPr>
        <w:t>2010</w:t>
      </w:r>
      <w:r w:rsidRPr="00B16627">
        <w:rPr>
          <w:lang w:val="fr-FR"/>
        </w:rPr>
        <w:t>, Bureau des statistiques nationales.</w:t>
      </w:r>
    </w:p>
  </w:footnote>
  <w:footnote w:id="90">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t>Indice des prix à la consommation (IPC). Bureau des statistiques nationales, juillet 2010.</w:t>
      </w:r>
    </w:p>
  </w:footnote>
  <w:footnote w:id="91">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r>
      <w:r w:rsidRPr="00B16627">
        <w:rPr>
          <w:i/>
          <w:lang w:val="fr-FR"/>
        </w:rPr>
        <w:t>Dette et déficit publics du Royaume-Uni</w:t>
      </w:r>
      <w:r w:rsidRPr="00B16627">
        <w:rPr>
          <w:lang w:val="fr-FR"/>
        </w:rPr>
        <w:t>, Bureau des statistiques nationales, mars 2010.</w:t>
      </w:r>
    </w:p>
  </w:footnote>
  <w:footnote w:id="92">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r>
      <w:r w:rsidRPr="00B16627">
        <w:rPr>
          <w:i/>
          <w:lang w:val="fr-FR"/>
        </w:rPr>
        <w:t>Dette et déficit publics du Royaume-Uni</w:t>
      </w:r>
      <w:r w:rsidRPr="00B16627">
        <w:rPr>
          <w:lang w:val="fr-FR"/>
        </w:rPr>
        <w:t>, Bureau des statistiques nationales, mars 2010.</w:t>
      </w:r>
    </w:p>
  </w:footnote>
  <w:footnote w:id="93">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r>
      <w:r w:rsidRPr="00B16627">
        <w:rPr>
          <w:i/>
          <w:lang w:val="fr-FR"/>
        </w:rPr>
        <w:t>Statistiques du marché du travail</w:t>
      </w:r>
      <w:r w:rsidRPr="00B16627">
        <w:rPr>
          <w:lang w:val="fr-FR"/>
        </w:rPr>
        <w:t>, Bureau des statistiques nationales, juillet 2010.</w:t>
      </w:r>
    </w:p>
  </w:footnote>
  <w:footnote w:id="94">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t>CIA World Factbook, 5 mars 2009.</w:t>
      </w:r>
    </w:p>
  </w:footnote>
  <w:footnote w:id="95">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t>Nombre de partis qui se sont présentés aux élections générales de 2010, hors candidats indépendants, candidats sans étiquette et le Speaker de la Chambre des communes.</w:t>
      </w:r>
    </w:p>
  </w:footnote>
  <w:footnote w:id="96">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t>Chiffre calculé en fonction de l’estimation du nombre d’habitants du Royaume-Uni âgés de 18 ans et plus au 1</w:t>
      </w:r>
      <w:r w:rsidRPr="00B16627">
        <w:rPr>
          <w:vertAlign w:val="superscript"/>
          <w:lang w:val="fr-FR"/>
        </w:rPr>
        <w:t>er</w:t>
      </w:r>
      <w:r w:rsidRPr="00B16627">
        <w:rPr>
          <w:lang w:val="fr-FR"/>
        </w:rPr>
        <w:t xml:space="preserve"> décembre </w:t>
      </w:r>
      <w:r w:rsidRPr="00B16627">
        <w:rPr>
          <w:snapToGrid w:val="0"/>
          <w:lang w:val="fr-FR"/>
        </w:rPr>
        <w:t>2009, soit 48,7 millions. La population totale était de 61,8 millions. Veuillez noter qu’il ne s’agit que d’une estimation approximative du pourcentage d’habitants ayant le droit de voter: Au Royaume-Uni, les citoyens britanniques, les citoyens irlandais résidant au Royaume-Uni et les citoyens du Commonwealth résidant légalement au Royaume-Uni qui ont atteint l’âge de 18 ans peuvent voter à toutes les élections. Les ressortissants de pays membres de l’Union européenne, résidant au Royaume-Uni, peuvent voter aux élections au Parlement européen et aux élections locales, mais pas aux élections générales. Les listes électorales pour les élections législatives comptaient, au 6 mai 2010, 45,6 électeurs.</w:t>
      </w:r>
    </w:p>
  </w:footnote>
  <w:footnote w:id="97">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t xml:space="preserve">Voir </w:t>
      </w:r>
      <w:r w:rsidRPr="00B16627">
        <w:rPr>
          <w:i/>
          <w:lang w:val="fr-FR"/>
        </w:rPr>
        <w:t>HC Deb 16 janvier 2008 c1298-9W</w:t>
      </w:r>
      <w:r w:rsidRPr="00B16627">
        <w:rPr>
          <w:lang w:val="fr-FR"/>
        </w:rPr>
        <w:t>. Les citoyens britanniques, les citoyens irlandais résidant au Royaume-Uni et les citoyens du Commonwealth résidant légalement au Royaume-Uni qui ont atteint l’âge de 18 ans peuvent voter aux élections générales. Il n’y a pas d’informations centralisées sur les électeurs inscrits, qui distingueraient les citoyens irlandais et ceux du Commonwealth.</w:t>
      </w:r>
    </w:p>
  </w:footnote>
  <w:footnote w:id="98">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r>
      <w:hyperlink r:id="rId70" w:history="1">
        <w:r w:rsidRPr="00B16627">
          <w:rPr>
            <w:rStyle w:val="Hyperlink"/>
            <w:lang w:val="fr-FR"/>
          </w:rPr>
          <w:t>http://www.electoralcommission.org.uk/__data/assets/pdf_file/0010/100702/Report-on-the-administration-of-the-2010-UK-general-election.pdf~page=34</w:t>
        </w:r>
      </w:hyperlink>
    </w:p>
  </w:footnote>
  <w:footnote w:id="99">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t>Aux élections générales de 2010.</w:t>
      </w:r>
    </w:p>
  </w:footnote>
  <w:footnote w:id="100">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t>Participation aux trois dernières élections de l’Assemblée d’Irlande du Nord.</w:t>
      </w:r>
    </w:p>
  </w:footnote>
  <w:footnote w:id="101">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t>Participation aux trois dernières élections du Parlement écossais. Les membres sont élus selon le système du membre additionnel, qui implique deux scrutins, un local et un régional. Le chiffre de participation indiqué dans ce tableau est le plus élevé des deux chiffres de participation obtenus pour la circonscription et la région.</w:t>
      </w:r>
    </w:p>
  </w:footnote>
  <w:footnote w:id="102">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t>Participation aux trois dernières élections de l’Assemblée galloise. Les membres sont élus selon le système du membre additionnel. Le chiffre de participation figurant dans ce tableau indiqué dans ce tableau est le plus élevé des deux chiffres de participation obtenus pour la circonscription et la région.</w:t>
      </w:r>
    </w:p>
  </w:footnote>
  <w:footnote w:id="103">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t>Étude de la criminalité britannique 2007-2008. Ces chiffres ne concernent que l’Angleterre et le pays de Galles.</w:t>
      </w:r>
    </w:p>
  </w:footnote>
  <w:footnote w:id="104">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r>
      <w:r w:rsidRPr="00B16627">
        <w:rPr>
          <w:i/>
          <w:lang w:val="fr-FR"/>
        </w:rPr>
        <w:t xml:space="preserve">La Criminalité en Angleterre et au pays de Galles 2007-2008: résumé des principaux chiffres </w:t>
      </w:r>
      <w:r w:rsidRPr="00B16627">
        <w:rPr>
          <w:lang w:val="fr-FR"/>
        </w:rPr>
        <w:t>(Ministère de l’intérieur) – chiffres fondés sur les tendances dégagées par  l’Étude de la criminalité britannique.</w:t>
      </w:r>
    </w:p>
  </w:footnote>
  <w:footnote w:id="105">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t>Chiffres pour l’Angleterre et le pays de Galles 2007-2008 – Étude de la criminalité britannique.</w:t>
      </w:r>
    </w:p>
  </w:footnote>
  <w:footnote w:id="106">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t xml:space="preserve">Étude de la criminalité britannique 2007-2008; données tirées de </w:t>
      </w:r>
      <w:r w:rsidRPr="00B16627">
        <w:rPr>
          <w:i/>
          <w:lang w:val="fr-FR"/>
        </w:rPr>
        <w:t xml:space="preserve">La Criminalité en Angleterre et au pays de Galles 2007-2008: résumé des principaux chiffres, </w:t>
      </w:r>
      <w:r w:rsidRPr="00B16627">
        <w:rPr>
          <w:lang w:val="fr-FR"/>
        </w:rPr>
        <w:t>publié par le Ministère de l’intérieur.</w:t>
      </w:r>
    </w:p>
  </w:footnote>
  <w:footnote w:id="107">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t>Étude de la criminalité britannique. Les faits de violence comprennent les coups et blessures, le vol, l’agression causant une blessure légère et l’agression ne causant pas de blessure.</w:t>
      </w:r>
    </w:p>
  </w:footnote>
  <w:footnote w:id="108">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t>Chiffres pour l’Angleterre et le pays de Galles 2007-2008 – Étude de la criminalité britannique.</w:t>
      </w:r>
    </w:p>
  </w:footnote>
  <w:footnote w:id="109">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t>Chiffres pour l’Angleterre et le pays de Galles 2007-2008 – Étude de la criminalité britannique.</w:t>
      </w:r>
    </w:p>
  </w:footnote>
  <w:footnote w:id="110">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t xml:space="preserve">2007-2008. Tels qu’enregistrés par le Ministère de l’intérieur dans les Statistiques de la criminalité pour l’Angleterre et le pays de Galles: </w:t>
      </w:r>
      <w:hyperlink r:id="rId71" w:history="1">
        <w:r w:rsidRPr="00B16627">
          <w:rPr>
            <w:rStyle w:val="Hyperlink"/>
            <w:lang w:val="fr-FR"/>
          </w:rPr>
          <w:t>http://www.homeoffice.gov.uk/rds/pdfs08/hosb0708.pdf</w:t>
        </w:r>
      </w:hyperlink>
      <w:r w:rsidRPr="00B16627">
        <w:rPr>
          <w:lang w:val="fr-FR"/>
        </w:rPr>
        <w:t xml:space="preserve"> Ce chiffre est celui enregistré par les services de police.</w:t>
      </w:r>
    </w:p>
  </w:footnote>
  <w:footnote w:id="111">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t xml:space="preserve">2007-2008. Tels qu’enregistrés par le Ministère de l’intérieur dans les Statistiques de la criminalité pour l’Angleterre et le pays de Galles: </w:t>
      </w:r>
      <w:hyperlink r:id="rId72" w:history="1">
        <w:r w:rsidRPr="00B16627">
          <w:rPr>
            <w:rStyle w:val="Hyperlink"/>
            <w:lang w:val="fr-FR"/>
          </w:rPr>
          <w:t>http://www.homeoffice.gov.uk/rds/pdfs08/hosb0708.pdf</w:t>
        </w:r>
      </w:hyperlink>
    </w:p>
  </w:footnote>
  <w:footnote w:id="112">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t xml:space="preserve">2007-2008. Tels qu’enregistrés par le Ministère de l’intérieur dans les Statistiques de la criminalité pour l’Angleterre et le pays de Galles: </w:t>
      </w:r>
      <w:hyperlink r:id="rId73" w:history="1">
        <w:r w:rsidRPr="00B16627">
          <w:rPr>
            <w:rStyle w:val="Hyperlink"/>
            <w:lang w:val="fr-FR"/>
          </w:rPr>
          <w:t>http://www.homeoffice.gov.uk/rds/pdfs08/hosb0708.pdf</w:t>
        </w:r>
      </w:hyperlink>
    </w:p>
  </w:footnote>
  <w:footnote w:id="113">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t>2007-2008. Tels qu’enregistrés par le Ministère de l’intérieur dans les Statistiques de la criminalité pour l’Angleterre et le pays de Galles.</w:t>
      </w:r>
    </w:p>
  </w:footnote>
  <w:footnote w:id="114">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t>Concerne les i</w:t>
      </w:r>
      <w:r w:rsidRPr="00B16627">
        <w:rPr>
          <w:lang w:val="fr-FR" w:eastAsia="en-GB"/>
        </w:rPr>
        <w:t>nfractions aboutissant à une sanction formelle, telle qu’une inculpation par la police, une citation à comparaître ou une mise en garde.</w:t>
      </w:r>
    </w:p>
  </w:footnote>
  <w:footnote w:id="115">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t xml:space="preserve">Population carcérale, janvier 2009, Ministère de la justice (Angleterre et pays de Galles seulement) </w:t>
      </w:r>
      <w:hyperlink r:id="rId74" w:history="1">
        <w:r w:rsidRPr="00B16627">
          <w:rPr>
            <w:rStyle w:val="Hyperlink"/>
            <w:lang w:val="fr-FR"/>
          </w:rPr>
          <w:t>http://www.justice.gov.uk/docs/population-in-custody-january09.pdf</w:t>
        </w:r>
      </w:hyperlink>
    </w:p>
  </w:footnote>
  <w:footnote w:id="116">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t xml:space="preserve">Population carcérale, janvier 2009, Ministère de la justice (Angleterre et pays de Galles seulement) </w:t>
      </w:r>
      <w:hyperlink r:id="rId75" w:history="1">
        <w:r w:rsidRPr="00B16627">
          <w:rPr>
            <w:rStyle w:val="Hyperlink"/>
            <w:lang w:val="fr-FR"/>
          </w:rPr>
          <w:t>http://www.justice.gov.uk/docs/population-in-custody-january09.pdf</w:t>
        </w:r>
      </w:hyperlink>
    </w:p>
  </w:footnote>
  <w:footnote w:id="117">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t xml:space="preserve">Chiffres tirés de « Décès en garde à vue: statistiques pour l’Angleterre et le pays de Galles, avril 1999 à mars 2000 ». </w:t>
      </w:r>
      <w:hyperlink r:id="rId76" w:history="1">
        <w:r w:rsidRPr="00B16627">
          <w:rPr>
            <w:rStyle w:val="Hyperlink"/>
            <w:lang w:val="fr-FR"/>
          </w:rPr>
          <w:t>http://www.homeoffice.gov.uk/rds/pdfs/deaths2000.pdf</w:t>
        </w:r>
      </w:hyperlink>
    </w:p>
  </w:footnote>
  <w:footnote w:id="118">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t xml:space="preserve">Chiffres tirés de « Décès en garde à vue: statistiques pour l’Angleterre et le pays de Galles, avril 1999 à mars 2000 ». </w:t>
      </w:r>
      <w:hyperlink r:id="rId77" w:history="1">
        <w:r w:rsidRPr="00B16627">
          <w:rPr>
            <w:rStyle w:val="Hyperlink"/>
            <w:lang w:val="fr-FR"/>
          </w:rPr>
          <w:t>http://www.homeoffice.gov.uk/rds/pdfs/deaths2000.pdf</w:t>
        </w:r>
      </w:hyperlink>
    </w:p>
  </w:footnote>
  <w:footnote w:id="119">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t xml:space="preserve">Chiffres fournis par les tribunaux concernés. </w:t>
      </w:r>
      <w:r w:rsidRPr="00B16627">
        <w:rPr>
          <w:snapToGrid w:val="0"/>
          <w:lang w:val="fr-FR"/>
        </w:rPr>
        <w:t>Rapport officiel (Hansard) 27 février 2007: Colonne 1252W.</w:t>
      </w:r>
    </w:p>
  </w:footnote>
  <w:footnote w:id="120">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t>Année civile 2007. Source: HMCS CREST System.</w:t>
      </w:r>
    </w:p>
  </w:footnote>
  <w:footnote w:id="121">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t>Exercice budgétaire 2007-2008. Source: Commission des services juridiques.</w:t>
      </w:r>
    </w:p>
  </w:footnote>
  <w:footnote w:id="122">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r>
      <w:hyperlink r:id="rId78" w:history="1">
        <w:r w:rsidRPr="00B16627">
          <w:rPr>
            <w:rStyle w:val="Hyperlink"/>
            <w:lang w:val="fr-FR"/>
          </w:rPr>
          <w:t>http://www.legalservices.gov.uk/docs/about_us_main/LSC_AR_FINAL_(web)_-_0575.pdf</w:t>
        </w:r>
      </w:hyperlink>
    </w:p>
  </w:footnote>
  <w:footnote w:id="123">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t>Millions de livres sterling.</w:t>
      </w:r>
    </w:p>
  </w:footnote>
  <w:footnote w:id="124">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t>Suite à l’accord de the Belfast en avril 1998.</w:t>
      </w:r>
    </w:p>
  </w:footnote>
  <w:footnote w:id="125">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t xml:space="preserve">Novembre 2010: </w:t>
      </w:r>
      <w:hyperlink r:id="rId79" w:history="1">
        <w:r w:rsidRPr="00B16627">
          <w:rPr>
            <w:rStyle w:val="Hyperlink"/>
            <w:lang w:val="fr-FR"/>
          </w:rPr>
          <w:t>http://www.parliament.uk/mps-lords-and-offices/lords/lords-by-type-and-party/</w:t>
        </w:r>
      </w:hyperlink>
      <w:r w:rsidRPr="00B16627">
        <w:rPr>
          <w:lang w:val="fr-FR"/>
        </w:rPr>
        <w:t>.</w:t>
      </w:r>
    </w:p>
  </w:footnote>
  <w:footnote w:id="126">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r>
      <w:hyperlink r:id="rId80" w:history="1">
        <w:r w:rsidRPr="00B16627">
          <w:rPr>
            <w:rStyle w:val="Hyperlink"/>
            <w:lang w:val="fr-FR"/>
          </w:rPr>
          <w:t>www.dsdni.gov.uk</w:t>
        </w:r>
      </w:hyperlink>
      <w:r w:rsidRPr="00B16627">
        <w:rPr>
          <w:lang w:val="fr-FR"/>
        </w:rPr>
        <w:t>.</w:t>
      </w:r>
    </w:p>
  </w:footnote>
  <w:footnote w:id="127">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t>Le Tribunal pour les questions d’asile et d’immigration a compétence pour l’ensemble du Royaume-Uni. L’Angleterre, l’Écosse et le pays de Galles ont un Système de Tribunal du travail commun.</w:t>
      </w:r>
    </w:p>
  </w:footnote>
  <w:footnote w:id="128">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t>Énumérées dans la loi de 2005 sur la réforme constitutionnelle.</w:t>
      </w:r>
    </w:p>
  </w:footnote>
  <w:footnote w:id="129">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t>Ces chiffres s’appliquent aux juges de l’appareil judiciaire. Ils sont tirés de « Statistics – Monthly Judicial Statistics Overview » (avril 2008) le bulletin mensuel de statistiques établi par l’institution judiciaire d’Angleterre et du pays de Galles.</w:t>
      </w:r>
    </w:p>
  </w:footnote>
  <w:footnote w:id="130">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r>
      <w:hyperlink r:id="rId81" w:history="1">
        <w:r w:rsidRPr="00B16627">
          <w:rPr>
            <w:rStyle w:val="Hyperlink"/>
            <w:lang w:val="fr-FR"/>
          </w:rPr>
          <w:t>http://www.judiciary.gov.uk/publications-and-reports/statistics/judges/judicial-statistics</w:t>
        </w:r>
      </w:hyperlink>
      <w:r w:rsidRPr="00B16627">
        <w:rPr>
          <w:lang w:val="fr-FR"/>
        </w:rPr>
        <w:t>.</w:t>
      </w:r>
    </w:p>
  </w:footnote>
  <w:footnote w:id="131">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t>Sauf dans les affaires où une personne de moins de 18 ans est jugée en tant qu’adulte ou en même temps qu’un adulte, ou s’il s’agit d’une affaire de viol ou d’homicide volontaire</w:t>
      </w:r>
      <w:r w:rsidRPr="00B16627">
        <w:rPr>
          <w:snapToGrid w:val="0"/>
          <w:lang w:val="fr-FR"/>
        </w:rPr>
        <w:t>.</w:t>
      </w:r>
    </w:p>
  </w:footnote>
  <w:footnote w:id="132">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r>
      <w:hyperlink r:id="rId82" w:history="1">
        <w:r w:rsidRPr="00B16627">
          <w:rPr>
            <w:rStyle w:val="Hyperlink"/>
            <w:lang w:val="fr-FR"/>
          </w:rPr>
          <w:t>http://treaties.un.org/Pages/Treaties.aspx?id=4&amp;subid=A&amp;lang=en</w:t>
        </w:r>
      </w:hyperlink>
      <w:r w:rsidRPr="00B16627">
        <w:rPr>
          <w:lang w:val="fr-FR"/>
        </w:rPr>
        <w:t>.</w:t>
      </w:r>
    </w:p>
  </w:footnote>
  <w:footnote w:id="133">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Pr>
          <w:lang w:val="fr-FR"/>
        </w:rPr>
        <w:tab/>
        <w:t xml:space="preserve">Article 6 2) </w:t>
      </w:r>
      <w:r w:rsidRPr="00B16627">
        <w:rPr>
          <w:lang w:val="fr-FR"/>
        </w:rPr>
        <w:t>c) de la loi de 1998 sur l’Irlande du Nord.</w:t>
      </w:r>
    </w:p>
  </w:footnote>
  <w:footnote w:id="134">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t>Créée par la loi de 1995 sur  les recours en matière pénale et opérationnelle depuis 1997.</w:t>
      </w:r>
    </w:p>
  </w:footnote>
  <w:footnote w:id="135">
    <w:p w:rsidR="00A0547A" w:rsidRPr="00B16627" w:rsidRDefault="00A0547A" w:rsidP="00BC0033">
      <w:pPr>
        <w:pStyle w:val="FootnoteText"/>
        <w:rPr>
          <w:lang w:val="fr-FR"/>
        </w:rPr>
      </w:pPr>
      <w:r w:rsidRPr="00B16627">
        <w:rPr>
          <w:lang w:val="fr-FR"/>
        </w:rPr>
        <w:tab/>
      </w:r>
      <w:r w:rsidRPr="00B16627">
        <w:rPr>
          <w:rStyle w:val="FootnoteReference"/>
          <w:lang w:val="fr-FR"/>
        </w:rPr>
        <w:footnoteRef/>
      </w:r>
      <w:r w:rsidRPr="00B16627">
        <w:rPr>
          <w:lang w:val="fr-FR"/>
        </w:rPr>
        <w:tab/>
      </w:r>
      <w:hyperlink r:id="rId83" w:history="1">
        <w:r w:rsidRPr="00B16627">
          <w:rPr>
            <w:rStyle w:val="Hyperlink"/>
            <w:lang w:val="fr-FR"/>
          </w:rPr>
          <w:t>http://www.dh.gov.uk/en/Publicationsandstatistics/Publications/PublicationsPolicyAndGuidance/</w:t>
        </w:r>
        <w:r w:rsidRPr="00B16627">
          <w:rPr>
            <w:rStyle w:val="Hyperlink"/>
            <w:lang w:val="fr-FR"/>
          </w:rPr>
          <w:br/>
          <w:t>DH_113613</w:t>
        </w:r>
      </w:hyperlink>
      <w:r w:rsidRPr="00B16627">
        <w:rPr>
          <w:lang w:val="fr-FR"/>
        </w:rPr>
        <w:t>.</w:t>
      </w:r>
    </w:p>
  </w:footnote>
  <w:footnote w:id="136">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r>
      <w:hyperlink r:id="rId84" w:history="1">
        <w:r w:rsidRPr="00B16627">
          <w:rPr>
            <w:rStyle w:val="Hyperlink"/>
            <w:lang w:val="fr-FR"/>
          </w:rPr>
          <w:t>http://www.teachernet.gov.uk/teachingandlearning/subjects/citizenship/rhrn/</w:t>
        </w:r>
      </w:hyperlink>
      <w:r w:rsidRPr="00B16627">
        <w:rPr>
          <w:lang w:val="fr-FR"/>
        </w:rPr>
        <w:t>.</w:t>
      </w:r>
    </w:p>
  </w:footnote>
  <w:footnote w:id="137">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t>Les Chief Pleas sont le corps législatif de l’île.</w:t>
      </w:r>
    </w:p>
  </w:footnote>
  <w:footnote w:id="138">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t>Voir annexe 4.</w:t>
      </w:r>
    </w:p>
  </w:footnote>
  <w:footnote w:id="139">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t xml:space="preserve">Voir </w:t>
      </w:r>
      <w:hyperlink r:id="rId85" w:history="1">
        <w:r w:rsidRPr="00B16627">
          <w:rPr>
            <w:rStyle w:val="Hyperlink"/>
            <w:lang w:val="fr-FR"/>
          </w:rPr>
          <w:t>www.gov.im/lib/docs/infocentre/</w:t>
        </w:r>
        <w:r w:rsidRPr="00B16627">
          <w:rPr>
            <w:rStyle w:val="Hyperlink"/>
            <w:bCs/>
            <w:lang w:val="fr-FR"/>
          </w:rPr>
          <w:t>act</w:t>
        </w:r>
        <w:r w:rsidRPr="00B16627">
          <w:rPr>
            <w:rStyle w:val="Hyperlink"/>
            <w:lang w:val="fr-FR"/>
          </w:rPr>
          <w:t>s/crim</w:t>
        </w:r>
        <w:r w:rsidRPr="00B16627">
          <w:rPr>
            <w:rStyle w:val="Hyperlink"/>
            <w:bCs/>
            <w:lang w:val="fr-FR"/>
          </w:rPr>
          <w:t>justiceact</w:t>
        </w:r>
        <w:r w:rsidRPr="00B16627">
          <w:rPr>
            <w:rStyle w:val="Hyperlink"/>
            <w:lang w:val="fr-FR"/>
          </w:rPr>
          <w:t>.pdf</w:t>
        </w:r>
      </w:hyperlink>
      <w:r w:rsidRPr="00B16627">
        <w:rPr>
          <w:lang w:val="fr-FR"/>
        </w:rPr>
        <w:t>.</w:t>
      </w:r>
    </w:p>
  </w:footnote>
  <w:footnote w:id="140">
    <w:p w:rsidR="00A0547A" w:rsidRPr="00B16627" w:rsidRDefault="00A0547A" w:rsidP="00BB5587">
      <w:pPr>
        <w:pStyle w:val="FootnoteText"/>
        <w:rPr>
          <w:lang w:val="fr-FR"/>
        </w:rPr>
      </w:pPr>
      <w:r w:rsidRPr="00B16627">
        <w:rPr>
          <w:lang w:val="fr-FR"/>
        </w:rPr>
        <w:tab/>
      </w:r>
      <w:r w:rsidRPr="00B16627">
        <w:rPr>
          <w:rStyle w:val="FootnoteReference"/>
          <w:lang w:val="fr-FR"/>
        </w:rPr>
        <w:footnoteRef/>
      </w:r>
      <w:r w:rsidRPr="00B16627">
        <w:rPr>
          <w:lang w:val="fr-FR"/>
        </w:rPr>
        <w:tab/>
        <w:t>Voir annexe 2.</w:t>
      </w:r>
    </w:p>
  </w:footnote>
  <w:footnote w:id="141">
    <w:p w:rsidR="00A0547A" w:rsidRPr="00B16627" w:rsidRDefault="00A0547A" w:rsidP="0004046C">
      <w:pPr>
        <w:pStyle w:val="FootnoteText"/>
        <w:rPr>
          <w:lang w:val="fr-FR"/>
        </w:rPr>
      </w:pPr>
      <w:r w:rsidRPr="00B16627">
        <w:rPr>
          <w:lang w:val="fr-FR"/>
        </w:rPr>
        <w:tab/>
      </w:r>
      <w:r w:rsidRPr="00B16627">
        <w:rPr>
          <w:rStyle w:val="FootnoteReference"/>
          <w:lang w:val="fr-FR"/>
        </w:rPr>
        <w:footnoteRef/>
      </w:r>
      <w:r w:rsidRPr="00B16627">
        <w:rPr>
          <w:lang w:val="fr-FR"/>
        </w:rPr>
        <w:tab/>
      </w:r>
      <w:hyperlink r:id="rId86" w:history="1">
        <w:r w:rsidRPr="00B16627">
          <w:rPr>
            <w:lang w:val="fr-FR"/>
          </w:rPr>
          <w:t>http://ww</w:t>
        </w:r>
        <w:r w:rsidRPr="00B16627">
          <w:rPr>
            <w:lang w:val="fr-FR"/>
          </w:rPr>
          <w:t>w</w:t>
        </w:r>
        <w:r w:rsidRPr="00B16627">
          <w:rPr>
            <w:lang w:val="fr-FR"/>
          </w:rPr>
          <w:t>.pie.gov.ky/portal/page?_pageid=1795,3509442&amp;_dad=portal&amp;_schema=PORTAL</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547A" w:rsidRPr="00BE2FA0" w:rsidRDefault="00A0547A" w:rsidP="00C05DE0">
    <w:pPr>
      <w:pBdr>
        <w:bottom w:val="single" w:sz="4" w:space="4" w:color="auto"/>
      </w:pBdr>
      <w:suppressAutoHyphens w:val="0"/>
      <w:spacing w:line="240" w:lineRule="auto"/>
      <w:rPr>
        <w:rFonts w:hint="cs"/>
        <w:b/>
        <w:sz w:val="18"/>
        <w:lang w:val="es-ES" w:eastAsia="es-ES"/>
      </w:rPr>
    </w:pPr>
    <w:r>
      <w:rPr>
        <w:b/>
        <w:sz w:val="18"/>
        <w:lang w:val="es-ES" w:eastAsia="es-ES"/>
      </w:rPr>
      <w:t>CAT/C/GRB/5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547A" w:rsidRPr="00711113" w:rsidRDefault="00A0547A" w:rsidP="009A3F24">
    <w:pPr>
      <w:pStyle w:val="Header"/>
      <w:jc w:val="right"/>
    </w:pPr>
    <w:r>
      <w:t>CAT/C/GBR</w:t>
    </w:r>
    <w:r w:rsidRPr="00711113">
      <w:t>/</w:t>
    </w:r>
    <w:r>
      <w:t>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654C0A0"/>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31F58F6"/>
    <w:multiLevelType w:val="hybridMultilevel"/>
    <w:tmpl w:val="8EA03856"/>
    <w:lvl w:ilvl="0" w:tplc="26365066">
      <w:numFmt w:val="bullet"/>
      <w:lvlText w:val=""/>
      <w:lvlJc w:val="left"/>
      <w:pPr>
        <w:ind w:left="2251" w:hanging="360"/>
      </w:pPr>
      <w:rPr>
        <w:rFonts w:ascii="Symbol" w:eastAsia="Times New Roman" w:hAnsi="Symbol" w:cs="Simplified Arabic" w:hint="default"/>
        <w:color w:val="000000"/>
      </w:rPr>
    </w:lvl>
    <w:lvl w:ilvl="1" w:tplc="040C0003" w:tentative="1">
      <w:start w:val="1"/>
      <w:numFmt w:val="bullet"/>
      <w:lvlText w:val="o"/>
      <w:lvlJc w:val="left"/>
      <w:pPr>
        <w:ind w:left="2971" w:hanging="360"/>
      </w:pPr>
      <w:rPr>
        <w:rFonts w:ascii="Courier New" w:hAnsi="Courier New" w:cs="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cs="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cs="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2">
    <w:nsid w:val="03F2036B"/>
    <w:multiLevelType w:val="hybridMultilevel"/>
    <w:tmpl w:val="A2E0125C"/>
    <w:lvl w:ilvl="0" w:tplc="941EE9A0">
      <w:start w:val="1"/>
      <w:numFmt w:val="bullet"/>
      <w:pStyle w:val="Bullet1G"/>
      <w:lvlText w:val="•"/>
      <w:lvlJc w:val="left"/>
      <w:pPr>
        <w:tabs>
          <w:tab w:val="num" w:pos="1588"/>
        </w:tabs>
        <w:ind w:left="158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B277679"/>
    <w:multiLevelType w:val="hybridMultilevel"/>
    <w:tmpl w:val="34F61004"/>
    <w:lvl w:ilvl="0" w:tplc="AE56CCDA">
      <w:start w:val="1"/>
      <w:numFmt w:val="bullet"/>
      <w:lvlText w:val=""/>
      <w:lvlJc w:val="left"/>
      <w:pPr>
        <w:ind w:left="2251" w:hanging="360"/>
      </w:pPr>
      <w:rPr>
        <w:rFonts w:ascii="Symbol" w:hAnsi="Symbol" w:hint="default"/>
        <w:color w:val="auto"/>
      </w:rPr>
    </w:lvl>
    <w:lvl w:ilvl="1" w:tplc="040C0003" w:tentative="1">
      <w:start w:val="1"/>
      <w:numFmt w:val="bullet"/>
      <w:lvlText w:val="o"/>
      <w:lvlJc w:val="left"/>
      <w:pPr>
        <w:ind w:left="2971" w:hanging="360"/>
      </w:pPr>
      <w:rPr>
        <w:rFonts w:ascii="Courier New" w:hAnsi="Courier New" w:cs="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cs="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cs="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4">
    <w:nsid w:val="0E435BAB"/>
    <w:multiLevelType w:val="hybridMultilevel"/>
    <w:tmpl w:val="E05A82E2"/>
    <w:lvl w:ilvl="0" w:tplc="040C0001">
      <w:start w:val="1"/>
      <w:numFmt w:val="bullet"/>
      <w:lvlText w:val=""/>
      <w:lvlJc w:val="left"/>
      <w:pPr>
        <w:ind w:left="2251" w:hanging="360"/>
      </w:pPr>
      <w:rPr>
        <w:rFonts w:ascii="Symbol" w:hAnsi="Symbol" w:hint="default"/>
      </w:rPr>
    </w:lvl>
    <w:lvl w:ilvl="1" w:tplc="040C0003" w:tentative="1">
      <w:start w:val="1"/>
      <w:numFmt w:val="bullet"/>
      <w:lvlText w:val="o"/>
      <w:lvlJc w:val="left"/>
      <w:pPr>
        <w:ind w:left="2971" w:hanging="360"/>
      </w:pPr>
      <w:rPr>
        <w:rFonts w:ascii="Courier New" w:hAnsi="Courier New" w:cs="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cs="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cs="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5">
    <w:nsid w:val="10147899"/>
    <w:multiLevelType w:val="hybridMultilevel"/>
    <w:tmpl w:val="F6048724"/>
    <w:lvl w:ilvl="0" w:tplc="040C0001">
      <w:start w:val="1"/>
      <w:numFmt w:val="bullet"/>
      <w:lvlText w:val=""/>
      <w:lvlJc w:val="left"/>
      <w:pPr>
        <w:ind w:left="2251" w:hanging="360"/>
      </w:pPr>
      <w:rPr>
        <w:rFonts w:ascii="Symbol" w:hAnsi="Symbol" w:hint="default"/>
      </w:rPr>
    </w:lvl>
    <w:lvl w:ilvl="1" w:tplc="040C0003" w:tentative="1">
      <w:start w:val="1"/>
      <w:numFmt w:val="bullet"/>
      <w:lvlText w:val="o"/>
      <w:lvlJc w:val="left"/>
      <w:pPr>
        <w:ind w:left="2971" w:hanging="360"/>
      </w:pPr>
      <w:rPr>
        <w:rFonts w:ascii="Courier New" w:hAnsi="Courier New" w:cs="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cs="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cs="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6">
    <w:nsid w:val="13067163"/>
    <w:multiLevelType w:val="hybridMultilevel"/>
    <w:tmpl w:val="D006ED8C"/>
    <w:lvl w:ilvl="0" w:tplc="040C0001">
      <w:start w:val="1"/>
      <w:numFmt w:val="bullet"/>
      <w:lvlText w:val=""/>
      <w:lvlJc w:val="left"/>
      <w:pPr>
        <w:ind w:left="2251" w:hanging="360"/>
      </w:pPr>
      <w:rPr>
        <w:rFonts w:ascii="Symbol" w:hAnsi="Symbol" w:hint="default"/>
      </w:rPr>
    </w:lvl>
    <w:lvl w:ilvl="1" w:tplc="040C0003" w:tentative="1">
      <w:start w:val="1"/>
      <w:numFmt w:val="bullet"/>
      <w:lvlText w:val="o"/>
      <w:lvlJc w:val="left"/>
      <w:pPr>
        <w:ind w:left="2971" w:hanging="360"/>
      </w:pPr>
      <w:rPr>
        <w:rFonts w:ascii="Courier New" w:hAnsi="Courier New" w:cs="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cs="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cs="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7">
    <w:nsid w:val="1A2C4B34"/>
    <w:multiLevelType w:val="hybridMultilevel"/>
    <w:tmpl w:val="BABC5B1A"/>
    <w:lvl w:ilvl="0" w:tplc="040C0001">
      <w:start w:val="1"/>
      <w:numFmt w:val="bullet"/>
      <w:lvlText w:val=""/>
      <w:lvlJc w:val="left"/>
      <w:pPr>
        <w:ind w:left="2251" w:hanging="360"/>
      </w:pPr>
      <w:rPr>
        <w:rFonts w:ascii="Symbol" w:hAnsi="Symbol" w:hint="default"/>
      </w:rPr>
    </w:lvl>
    <w:lvl w:ilvl="1" w:tplc="040C0003" w:tentative="1">
      <w:start w:val="1"/>
      <w:numFmt w:val="bullet"/>
      <w:lvlText w:val="o"/>
      <w:lvlJc w:val="left"/>
      <w:pPr>
        <w:ind w:left="2971" w:hanging="360"/>
      </w:pPr>
      <w:rPr>
        <w:rFonts w:ascii="Courier New" w:hAnsi="Courier New" w:cs="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cs="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cs="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8">
    <w:nsid w:val="1B3E584E"/>
    <w:multiLevelType w:val="hybridMultilevel"/>
    <w:tmpl w:val="6F06CEE4"/>
    <w:lvl w:ilvl="0" w:tplc="040C0001">
      <w:start w:val="1"/>
      <w:numFmt w:val="bullet"/>
      <w:lvlText w:val=""/>
      <w:lvlJc w:val="left"/>
      <w:pPr>
        <w:ind w:left="2251" w:hanging="360"/>
      </w:pPr>
      <w:rPr>
        <w:rFonts w:ascii="Symbol" w:hAnsi="Symbol" w:hint="default"/>
      </w:rPr>
    </w:lvl>
    <w:lvl w:ilvl="1" w:tplc="040C0003" w:tentative="1">
      <w:start w:val="1"/>
      <w:numFmt w:val="bullet"/>
      <w:lvlText w:val="o"/>
      <w:lvlJc w:val="left"/>
      <w:pPr>
        <w:ind w:left="2971" w:hanging="360"/>
      </w:pPr>
      <w:rPr>
        <w:rFonts w:ascii="Courier New" w:hAnsi="Courier New" w:cs="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cs="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cs="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9">
    <w:nsid w:val="1B622BC1"/>
    <w:multiLevelType w:val="singleLevel"/>
    <w:tmpl w:val="9E186FD2"/>
    <w:lvl w:ilvl="0">
      <w:start w:val="1"/>
      <w:numFmt w:val="bullet"/>
      <w:pStyle w:val="Bulletundernumberedtext"/>
      <w:lvlText w:val=""/>
      <w:lvlJc w:val="left"/>
      <w:pPr>
        <w:tabs>
          <w:tab w:val="num" w:pos="927"/>
        </w:tabs>
        <w:ind w:left="924" w:hanging="357"/>
      </w:pPr>
      <w:rPr>
        <w:rFonts w:ascii="Symbol" w:hAnsi="Symbol" w:hint="default"/>
        <w:sz w:val="22"/>
      </w:rPr>
    </w:lvl>
  </w:abstractNum>
  <w:abstractNum w:abstractNumId="10">
    <w:nsid w:val="249C2924"/>
    <w:multiLevelType w:val="hybridMultilevel"/>
    <w:tmpl w:val="FC6200E2"/>
    <w:lvl w:ilvl="0" w:tplc="040C0001">
      <w:start w:val="1"/>
      <w:numFmt w:val="bullet"/>
      <w:lvlText w:val=""/>
      <w:lvlJc w:val="left"/>
      <w:pPr>
        <w:ind w:left="2251" w:hanging="360"/>
      </w:pPr>
      <w:rPr>
        <w:rFonts w:ascii="Symbol" w:hAnsi="Symbol" w:hint="default"/>
      </w:rPr>
    </w:lvl>
    <w:lvl w:ilvl="1" w:tplc="040C0003" w:tentative="1">
      <w:start w:val="1"/>
      <w:numFmt w:val="bullet"/>
      <w:lvlText w:val="o"/>
      <w:lvlJc w:val="left"/>
      <w:pPr>
        <w:ind w:left="2971" w:hanging="360"/>
      </w:pPr>
      <w:rPr>
        <w:rFonts w:ascii="Courier New" w:hAnsi="Courier New" w:cs="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cs="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cs="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11">
    <w:nsid w:val="2735436D"/>
    <w:multiLevelType w:val="singleLevel"/>
    <w:tmpl w:val="23885AD6"/>
    <w:lvl w:ilvl="0">
      <w:start w:val="1"/>
      <w:numFmt w:val="decimal"/>
      <w:pStyle w:val="Textnumbered"/>
      <w:lvlText w:val="%1."/>
      <w:lvlJc w:val="left"/>
      <w:pPr>
        <w:tabs>
          <w:tab w:val="num" w:pos="567"/>
        </w:tabs>
        <w:ind w:left="567" w:hanging="567"/>
      </w:pPr>
      <w:rPr>
        <w:rFonts w:hint="default"/>
      </w:rPr>
    </w:lvl>
  </w:abstractNum>
  <w:abstractNum w:abstractNumId="12">
    <w:nsid w:val="37627C1C"/>
    <w:multiLevelType w:val="hybridMultilevel"/>
    <w:tmpl w:val="9282138E"/>
    <w:lvl w:ilvl="0" w:tplc="040C0001">
      <w:start w:val="1"/>
      <w:numFmt w:val="bullet"/>
      <w:lvlText w:val=""/>
      <w:lvlJc w:val="left"/>
      <w:pPr>
        <w:ind w:left="2251" w:hanging="360"/>
      </w:pPr>
      <w:rPr>
        <w:rFonts w:ascii="Symbol" w:hAnsi="Symbol" w:hint="default"/>
      </w:rPr>
    </w:lvl>
    <w:lvl w:ilvl="1" w:tplc="040C0003" w:tentative="1">
      <w:start w:val="1"/>
      <w:numFmt w:val="bullet"/>
      <w:lvlText w:val="o"/>
      <w:lvlJc w:val="left"/>
      <w:pPr>
        <w:ind w:left="2971" w:hanging="360"/>
      </w:pPr>
      <w:rPr>
        <w:rFonts w:ascii="Courier New" w:hAnsi="Courier New" w:cs="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cs="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cs="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13">
    <w:nsid w:val="49DF3142"/>
    <w:multiLevelType w:val="hybridMultilevel"/>
    <w:tmpl w:val="AE243064"/>
    <w:lvl w:ilvl="0" w:tplc="040C0001">
      <w:start w:val="1"/>
      <w:numFmt w:val="bullet"/>
      <w:lvlText w:val=""/>
      <w:lvlJc w:val="left"/>
      <w:pPr>
        <w:ind w:left="2251" w:hanging="360"/>
      </w:pPr>
      <w:rPr>
        <w:rFonts w:ascii="Symbol" w:hAnsi="Symbol" w:hint="default"/>
      </w:rPr>
    </w:lvl>
    <w:lvl w:ilvl="1" w:tplc="040C0003" w:tentative="1">
      <w:start w:val="1"/>
      <w:numFmt w:val="bullet"/>
      <w:lvlText w:val="o"/>
      <w:lvlJc w:val="left"/>
      <w:pPr>
        <w:ind w:left="2971" w:hanging="360"/>
      </w:pPr>
      <w:rPr>
        <w:rFonts w:ascii="Courier New" w:hAnsi="Courier New" w:cs="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cs="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cs="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14">
    <w:nsid w:val="4E335303"/>
    <w:multiLevelType w:val="hybridMultilevel"/>
    <w:tmpl w:val="639260D8"/>
    <w:lvl w:ilvl="0" w:tplc="040C0001">
      <w:start w:val="1"/>
      <w:numFmt w:val="bullet"/>
      <w:lvlText w:val=""/>
      <w:lvlJc w:val="left"/>
      <w:pPr>
        <w:ind w:left="2251" w:hanging="360"/>
      </w:pPr>
      <w:rPr>
        <w:rFonts w:ascii="Symbol" w:hAnsi="Symbol" w:hint="default"/>
      </w:rPr>
    </w:lvl>
    <w:lvl w:ilvl="1" w:tplc="040C0003" w:tentative="1">
      <w:start w:val="1"/>
      <w:numFmt w:val="bullet"/>
      <w:lvlText w:val="o"/>
      <w:lvlJc w:val="left"/>
      <w:pPr>
        <w:ind w:left="2971" w:hanging="360"/>
      </w:pPr>
      <w:rPr>
        <w:rFonts w:ascii="Courier New" w:hAnsi="Courier New" w:cs="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cs="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cs="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15">
    <w:nsid w:val="53CB57A5"/>
    <w:multiLevelType w:val="hybridMultilevel"/>
    <w:tmpl w:val="2E000A8E"/>
    <w:lvl w:ilvl="0" w:tplc="040C0001">
      <w:start w:val="1"/>
      <w:numFmt w:val="bullet"/>
      <w:lvlText w:val=""/>
      <w:lvlJc w:val="left"/>
      <w:pPr>
        <w:ind w:left="2251" w:hanging="360"/>
      </w:pPr>
      <w:rPr>
        <w:rFonts w:ascii="Symbol" w:hAnsi="Symbol" w:hint="default"/>
      </w:rPr>
    </w:lvl>
    <w:lvl w:ilvl="1" w:tplc="040C0003" w:tentative="1">
      <w:start w:val="1"/>
      <w:numFmt w:val="bullet"/>
      <w:lvlText w:val="o"/>
      <w:lvlJc w:val="left"/>
      <w:pPr>
        <w:ind w:left="2971" w:hanging="360"/>
      </w:pPr>
      <w:rPr>
        <w:rFonts w:ascii="Courier New" w:hAnsi="Courier New" w:cs="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cs="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cs="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16">
    <w:nsid w:val="57AE0404"/>
    <w:multiLevelType w:val="hybridMultilevel"/>
    <w:tmpl w:val="0A781076"/>
    <w:lvl w:ilvl="0" w:tplc="040C0001">
      <w:start w:val="1"/>
      <w:numFmt w:val="bullet"/>
      <w:lvlText w:val=""/>
      <w:lvlJc w:val="left"/>
      <w:pPr>
        <w:ind w:left="2251" w:hanging="360"/>
      </w:pPr>
      <w:rPr>
        <w:rFonts w:ascii="Symbol" w:hAnsi="Symbol" w:hint="default"/>
      </w:rPr>
    </w:lvl>
    <w:lvl w:ilvl="1" w:tplc="040C0003" w:tentative="1">
      <w:start w:val="1"/>
      <w:numFmt w:val="bullet"/>
      <w:lvlText w:val="o"/>
      <w:lvlJc w:val="left"/>
      <w:pPr>
        <w:ind w:left="2971" w:hanging="360"/>
      </w:pPr>
      <w:rPr>
        <w:rFonts w:ascii="Courier New" w:hAnsi="Courier New" w:cs="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cs="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cs="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17">
    <w:nsid w:val="5E121476"/>
    <w:multiLevelType w:val="hybridMultilevel"/>
    <w:tmpl w:val="B92C6B5A"/>
    <w:lvl w:ilvl="0" w:tplc="040C0001">
      <w:start w:val="1"/>
      <w:numFmt w:val="bullet"/>
      <w:lvlText w:val=""/>
      <w:lvlJc w:val="left"/>
      <w:pPr>
        <w:ind w:left="2251" w:hanging="360"/>
      </w:pPr>
      <w:rPr>
        <w:rFonts w:ascii="Symbol" w:hAnsi="Symbol" w:hint="default"/>
      </w:rPr>
    </w:lvl>
    <w:lvl w:ilvl="1" w:tplc="040C0003" w:tentative="1">
      <w:start w:val="1"/>
      <w:numFmt w:val="bullet"/>
      <w:lvlText w:val="o"/>
      <w:lvlJc w:val="left"/>
      <w:pPr>
        <w:ind w:left="2971" w:hanging="360"/>
      </w:pPr>
      <w:rPr>
        <w:rFonts w:ascii="Courier New" w:hAnsi="Courier New" w:cs="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cs="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cs="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1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6D0B10FC"/>
    <w:multiLevelType w:val="hybridMultilevel"/>
    <w:tmpl w:val="C20CE81A"/>
    <w:lvl w:ilvl="0" w:tplc="040C0001">
      <w:start w:val="1"/>
      <w:numFmt w:val="bullet"/>
      <w:lvlText w:val=""/>
      <w:lvlJc w:val="left"/>
      <w:pPr>
        <w:ind w:left="2251" w:hanging="360"/>
      </w:pPr>
      <w:rPr>
        <w:rFonts w:ascii="Symbol" w:hAnsi="Symbol" w:hint="default"/>
      </w:rPr>
    </w:lvl>
    <w:lvl w:ilvl="1" w:tplc="040C0003" w:tentative="1">
      <w:start w:val="1"/>
      <w:numFmt w:val="bullet"/>
      <w:lvlText w:val="o"/>
      <w:lvlJc w:val="left"/>
      <w:pPr>
        <w:ind w:left="2971" w:hanging="360"/>
      </w:pPr>
      <w:rPr>
        <w:rFonts w:ascii="Courier New" w:hAnsi="Courier New" w:cs="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cs="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cs="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20">
    <w:nsid w:val="6E4E7D3C"/>
    <w:multiLevelType w:val="hybridMultilevel"/>
    <w:tmpl w:val="1EC6D4FC"/>
    <w:lvl w:ilvl="0" w:tplc="040C0001">
      <w:start w:val="1"/>
      <w:numFmt w:val="bullet"/>
      <w:lvlText w:val=""/>
      <w:lvlJc w:val="left"/>
      <w:pPr>
        <w:ind w:left="2251" w:hanging="360"/>
      </w:pPr>
      <w:rPr>
        <w:rFonts w:ascii="Symbol" w:hAnsi="Symbol" w:hint="default"/>
      </w:rPr>
    </w:lvl>
    <w:lvl w:ilvl="1" w:tplc="040C0003" w:tentative="1">
      <w:start w:val="1"/>
      <w:numFmt w:val="bullet"/>
      <w:lvlText w:val="o"/>
      <w:lvlJc w:val="left"/>
      <w:pPr>
        <w:ind w:left="2971" w:hanging="360"/>
      </w:pPr>
      <w:rPr>
        <w:rFonts w:ascii="Courier New" w:hAnsi="Courier New" w:cs="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cs="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cs="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21">
    <w:nsid w:val="748021A2"/>
    <w:multiLevelType w:val="hybridMultilevel"/>
    <w:tmpl w:val="BEBE0602"/>
    <w:lvl w:ilvl="0" w:tplc="040C0001">
      <w:start w:val="1"/>
      <w:numFmt w:val="bullet"/>
      <w:lvlText w:val=""/>
      <w:lvlJc w:val="left"/>
      <w:pPr>
        <w:ind w:left="2251" w:hanging="360"/>
      </w:pPr>
      <w:rPr>
        <w:rFonts w:ascii="Symbol" w:hAnsi="Symbol" w:hint="default"/>
      </w:rPr>
    </w:lvl>
    <w:lvl w:ilvl="1" w:tplc="040C0003" w:tentative="1">
      <w:start w:val="1"/>
      <w:numFmt w:val="bullet"/>
      <w:lvlText w:val="o"/>
      <w:lvlJc w:val="left"/>
      <w:pPr>
        <w:ind w:left="2971" w:hanging="360"/>
      </w:pPr>
      <w:rPr>
        <w:rFonts w:ascii="Courier New" w:hAnsi="Courier New" w:cs="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cs="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cs="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22">
    <w:nsid w:val="78D131F5"/>
    <w:multiLevelType w:val="hybridMultilevel"/>
    <w:tmpl w:val="04F80C5C"/>
    <w:lvl w:ilvl="0" w:tplc="040C0001">
      <w:start w:val="1"/>
      <w:numFmt w:val="bullet"/>
      <w:lvlText w:val=""/>
      <w:lvlJc w:val="left"/>
      <w:pPr>
        <w:ind w:left="2251" w:hanging="360"/>
      </w:pPr>
      <w:rPr>
        <w:rFonts w:ascii="Symbol" w:hAnsi="Symbol" w:hint="default"/>
      </w:rPr>
    </w:lvl>
    <w:lvl w:ilvl="1" w:tplc="040C0003" w:tentative="1">
      <w:start w:val="1"/>
      <w:numFmt w:val="bullet"/>
      <w:lvlText w:val="o"/>
      <w:lvlJc w:val="left"/>
      <w:pPr>
        <w:ind w:left="2971" w:hanging="360"/>
      </w:pPr>
      <w:rPr>
        <w:rFonts w:ascii="Courier New" w:hAnsi="Courier New" w:cs="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cs="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cs="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23">
    <w:nsid w:val="7BB81BF4"/>
    <w:multiLevelType w:val="hybridMultilevel"/>
    <w:tmpl w:val="73888410"/>
    <w:lvl w:ilvl="0" w:tplc="040C0001">
      <w:start w:val="1"/>
      <w:numFmt w:val="bullet"/>
      <w:lvlText w:val=""/>
      <w:lvlJc w:val="left"/>
      <w:pPr>
        <w:ind w:left="2251" w:hanging="360"/>
      </w:pPr>
      <w:rPr>
        <w:rFonts w:ascii="Symbol" w:hAnsi="Symbol" w:hint="default"/>
      </w:rPr>
    </w:lvl>
    <w:lvl w:ilvl="1" w:tplc="040C0003" w:tentative="1">
      <w:start w:val="1"/>
      <w:numFmt w:val="bullet"/>
      <w:lvlText w:val="o"/>
      <w:lvlJc w:val="left"/>
      <w:pPr>
        <w:ind w:left="2971" w:hanging="360"/>
      </w:pPr>
      <w:rPr>
        <w:rFonts w:ascii="Courier New" w:hAnsi="Courier New" w:cs="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cs="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cs="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24">
    <w:nsid w:val="7C337B54"/>
    <w:multiLevelType w:val="hybridMultilevel"/>
    <w:tmpl w:val="94C26F16"/>
    <w:lvl w:ilvl="0" w:tplc="040C0001">
      <w:start w:val="1"/>
      <w:numFmt w:val="bullet"/>
      <w:lvlText w:val=""/>
      <w:lvlJc w:val="left"/>
      <w:pPr>
        <w:ind w:left="2251" w:hanging="360"/>
      </w:pPr>
      <w:rPr>
        <w:rFonts w:ascii="Symbol" w:hAnsi="Symbol" w:hint="default"/>
      </w:rPr>
    </w:lvl>
    <w:lvl w:ilvl="1" w:tplc="040C0003" w:tentative="1">
      <w:start w:val="1"/>
      <w:numFmt w:val="bullet"/>
      <w:lvlText w:val="o"/>
      <w:lvlJc w:val="left"/>
      <w:pPr>
        <w:ind w:left="2971" w:hanging="360"/>
      </w:pPr>
      <w:rPr>
        <w:rFonts w:ascii="Courier New" w:hAnsi="Courier New" w:cs="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cs="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cs="Courier New" w:hint="default"/>
      </w:rPr>
    </w:lvl>
    <w:lvl w:ilvl="8" w:tplc="040C0005" w:tentative="1">
      <w:start w:val="1"/>
      <w:numFmt w:val="bullet"/>
      <w:lvlText w:val=""/>
      <w:lvlJc w:val="left"/>
      <w:pPr>
        <w:ind w:left="8011" w:hanging="360"/>
      </w:pPr>
      <w:rPr>
        <w:rFonts w:ascii="Wingdings" w:hAnsi="Wingdings" w:hint="default"/>
      </w:rPr>
    </w:lvl>
  </w:abstractNum>
  <w:num w:numId="1">
    <w:abstractNumId w:val="2"/>
  </w:num>
  <w:num w:numId="2">
    <w:abstractNumId w:val="18"/>
  </w:num>
  <w:num w:numId="3">
    <w:abstractNumId w:val="9"/>
  </w:num>
  <w:num w:numId="4">
    <w:abstractNumId w:val="11"/>
  </w:num>
  <w:num w:numId="5">
    <w:abstractNumId w:val="0"/>
  </w:num>
  <w:num w:numId="6">
    <w:abstractNumId w:val="3"/>
  </w:num>
  <w:num w:numId="7">
    <w:abstractNumId w:val="14"/>
  </w:num>
  <w:num w:numId="8">
    <w:abstractNumId w:val="17"/>
  </w:num>
  <w:num w:numId="9">
    <w:abstractNumId w:val="10"/>
  </w:num>
  <w:num w:numId="10">
    <w:abstractNumId w:val="23"/>
  </w:num>
  <w:num w:numId="11">
    <w:abstractNumId w:val="8"/>
  </w:num>
  <w:num w:numId="12">
    <w:abstractNumId w:val="20"/>
  </w:num>
  <w:num w:numId="13">
    <w:abstractNumId w:val="16"/>
  </w:num>
  <w:num w:numId="14">
    <w:abstractNumId w:val="19"/>
  </w:num>
  <w:num w:numId="15">
    <w:abstractNumId w:val="6"/>
  </w:num>
  <w:num w:numId="16">
    <w:abstractNumId w:val="7"/>
  </w:num>
  <w:num w:numId="17">
    <w:abstractNumId w:val="24"/>
  </w:num>
  <w:num w:numId="18">
    <w:abstractNumId w:val="21"/>
  </w:num>
  <w:num w:numId="19">
    <w:abstractNumId w:val="5"/>
  </w:num>
  <w:num w:numId="20">
    <w:abstractNumId w:val="12"/>
  </w:num>
  <w:num w:numId="21">
    <w:abstractNumId w:val="4"/>
  </w:num>
  <w:num w:numId="22">
    <w:abstractNumId w:val="13"/>
  </w:num>
  <w:num w:numId="23">
    <w:abstractNumId w:val="15"/>
  </w:num>
  <w:num w:numId="24">
    <w:abstractNumId w:val="22"/>
  </w:num>
  <w:num w:numId="25">
    <w:abstractNumId w:val="1"/>
  </w:num>
  <w:num w:numId="26">
    <w:abstractNumId w:val="2"/>
    <w:lvlOverride w:ilvl="0"/>
    <w:lvlOverride w:ilvl="1"/>
    <w:lvlOverride w:ilvl="2"/>
    <w:lvlOverride w:ilvl="3"/>
    <w:lvlOverride w:ilvl="4"/>
    <w:lvlOverride w:ilvl="5"/>
    <w:lvlOverride w:ilvl="6"/>
    <w:lvlOverride w:ilvl="7"/>
    <w:lvlOverride w:ilvl="8"/>
  </w:num>
  <w:num w:numId="27">
    <w:abstractNumId w:val="2"/>
  </w:num>
  <w:num w:numId="28">
    <w:abstractNumId w:val="2"/>
  </w:num>
  <w:num w:numId="29">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4"/>
  <w:hideSpellingErrors/>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fr-FR" w:vendorID="64" w:dllVersion="131078" w:nlCheck="1" w:checkStyle="1"/>
  <w:activeWritingStyle w:appName="MSWord" w:lang="es-E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noTabHangInd/>
    <w:footnoteLayoutLikeWW8/>
    <w:forgetLastTabAlignmen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E0CB9"/>
    <w:rsid w:val="000002F9"/>
    <w:rsid w:val="00000988"/>
    <w:rsid w:val="00000C78"/>
    <w:rsid w:val="00000CC2"/>
    <w:rsid w:val="00001535"/>
    <w:rsid w:val="000015A9"/>
    <w:rsid w:val="000023A1"/>
    <w:rsid w:val="0000248A"/>
    <w:rsid w:val="00002509"/>
    <w:rsid w:val="00002801"/>
    <w:rsid w:val="00002802"/>
    <w:rsid w:val="000036CE"/>
    <w:rsid w:val="00003A0D"/>
    <w:rsid w:val="0000404E"/>
    <w:rsid w:val="00004358"/>
    <w:rsid w:val="00004B88"/>
    <w:rsid w:val="00004DE8"/>
    <w:rsid w:val="00005A4A"/>
    <w:rsid w:val="00005BD3"/>
    <w:rsid w:val="00006230"/>
    <w:rsid w:val="000069BC"/>
    <w:rsid w:val="00006BAB"/>
    <w:rsid w:val="00007C03"/>
    <w:rsid w:val="00011EAC"/>
    <w:rsid w:val="0001235B"/>
    <w:rsid w:val="00012483"/>
    <w:rsid w:val="000132C8"/>
    <w:rsid w:val="000132DE"/>
    <w:rsid w:val="00014A87"/>
    <w:rsid w:val="00014BDD"/>
    <w:rsid w:val="00015139"/>
    <w:rsid w:val="0001614C"/>
    <w:rsid w:val="00016977"/>
    <w:rsid w:val="00016F36"/>
    <w:rsid w:val="000172C9"/>
    <w:rsid w:val="00017426"/>
    <w:rsid w:val="00017843"/>
    <w:rsid w:val="00017939"/>
    <w:rsid w:val="00017BA3"/>
    <w:rsid w:val="00017C1B"/>
    <w:rsid w:val="00020002"/>
    <w:rsid w:val="000202A7"/>
    <w:rsid w:val="00020401"/>
    <w:rsid w:val="00020770"/>
    <w:rsid w:val="00020823"/>
    <w:rsid w:val="00020A33"/>
    <w:rsid w:val="00021C38"/>
    <w:rsid w:val="00021C70"/>
    <w:rsid w:val="00022391"/>
    <w:rsid w:val="0002387A"/>
    <w:rsid w:val="0002390B"/>
    <w:rsid w:val="00023C8F"/>
    <w:rsid w:val="000244D8"/>
    <w:rsid w:val="0002454E"/>
    <w:rsid w:val="00024F9B"/>
    <w:rsid w:val="00025959"/>
    <w:rsid w:val="0002689D"/>
    <w:rsid w:val="00026DF5"/>
    <w:rsid w:val="00026E1C"/>
    <w:rsid w:val="00026E8C"/>
    <w:rsid w:val="000279D6"/>
    <w:rsid w:val="00027A81"/>
    <w:rsid w:val="00030261"/>
    <w:rsid w:val="00031446"/>
    <w:rsid w:val="000319EE"/>
    <w:rsid w:val="00031A9A"/>
    <w:rsid w:val="000323B8"/>
    <w:rsid w:val="00032CE7"/>
    <w:rsid w:val="00033627"/>
    <w:rsid w:val="00035108"/>
    <w:rsid w:val="00035EC4"/>
    <w:rsid w:val="000373DE"/>
    <w:rsid w:val="00037568"/>
    <w:rsid w:val="00037A5C"/>
    <w:rsid w:val="00037E46"/>
    <w:rsid w:val="00040439"/>
    <w:rsid w:val="0004046C"/>
    <w:rsid w:val="00040513"/>
    <w:rsid w:val="00040C06"/>
    <w:rsid w:val="000423A5"/>
    <w:rsid w:val="00042FA5"/>
    <w:rsid w:val="0004306A"/>
    <w:rsid w:val="0004346D"/>
    <w:rsid w:val="00043797"/>
    <w:rsid w:val="000439AE"/>
    <w:rsid w:val="00044345"/>
    <w:rsid w:val="000443B5"/>
    <w:rsid w:val="0004456F"/>
    <w:rsid w:val="0004473C"/>
    <w:rsid w:val="00044969"/>
    <w:rsid w:val="00045614"/>
    <w:rsid w:val="0004570F"/>
    <w:rsid w:val="00045969"/>
    <w:rsid w:val="00045B44"/>
    <w:rsid w:val="00045E57"/>
    <w:rsid w:val="00046CCD"/>
    <w:rsid w:val="00046D36"/>
    <w:rsid w:val="00047D7C"/>
    <w:rsid w:val="00047DAF"/>
    <w:rsid w:val="0005042E"/>
    <w:rsid w:val="000504BD"/>
    <w:rsid w:val="0005066F"/>
    <w:rsid w:val="00050A2C"/>
    <w:rsid w:val="00050F6B"/>
    <w:rsid w:val="00051C7D"/>
    <w:rsid w:val="00051D7A"/>
    <w:rsid w:val="00054FA1"/>
    <w:rsid w:val="00055A39"/>
    <w:rsid w:val="0005686C"/>
    <w:rsid w:val="0005706C"/>
    <w:rsid w:val="0005734B"/>
    <w:rsid w:val="000574B2"/>
    <w:rsid w:val="00057541"/>
    <w:rsid w:val="00057758"/>
    <w:rsid w:val="00057D57"/>
    <w:rsid w:val="00057E97"/>
    <w:rsid w:val="00057FA5"/>
    <w:rsid w:val="00060A37"/>
    <w:rsid w:val="00060C01"/>
    <w:rsid w:val="00060E7E"/>
    <w:rsid w:val="00061145"/>
    <w:rsid w:val="000611C9"/>
    <w:rsid w:val="00061682"/>
    <w:rsid w:val="00061A04"/>
    <w:rsid w:val="00061DD8"/>
    <w:rsid w:val="00061FF8"/>
    <w:rsid w:val="00063054"/>
    <w:rsid w:val="00063292"/>
    <w:rsid w:val="00063851"/>
    <w:rsid w:val="0006465B"/>
    <w:rsid w:val="000653CF"/>
    <w:rsid w:val="00065C99"/>
    <w:rsid w:val="00066B85"/>
    <w:rsid w:val="00067766"/>
    <w:rsid w:val="00067C17"/>
    <w:rsid w:val="00067E2C"/>
    <w:rsid w:val="00070066"/>
    <w:rsid w:val="000701F8"/>
    <w:rsid w:val="000708BD"/>
    <w:rsid w:val="00070F93"/>
    <w:rsid w:val="00071E81"/>
    <w:rsid w:val="00071F7F"/>
    <w:rsid w:val="00072178"/>
    <w:rsid w:val="00072A5B"/>
    <w:rsid w:val="00072C2C"/>
    <w:rsid w:val="00072C8C"/>
    <w:rsid w:val="00073366"/>
    <w:rsid w:val="000733B5"/>
    <w:rsid w:val="00073755"/>
    <w:rsid w:val="000738A6"/>
    <w:rsid w:val="00073CFB"/>
    <w:rsid w:val="000740F5"/>
    <w:rsid w:val="000741BB"/>
    <w:rsid w:val="00074B7C"/>
    <w:rsid w:val="000755F5"/>
    <w:rsid w:val="00075B2C"/>
    <w:rsid w:val="00075CD4"/>
    <w:rsid w:val="000768AC"/>
    <w:rsid w:val="000770A5"/>
    <w:rsid w:val="000773E2"/>
    <w:rsid w:val="000776C3"/>
    <w:rsid w:val="0008087E"/>
    <w:rsid w:val="000808B7"/>
    <w:rsid w:val="0008090D"/>
    <w:rsid w:val="00080FB9"/>
    <w:rsid w:val="00081815"/>
    <w:rsid w:val="00081ED7"/>
    <w:rsid w:val="000824A8"/>
    <w:rsid w:val="00082576"/>
    <w:rsid w:val="000827DD"/>
    <w:rsid w:val="000829BE"/>
    <w:rsid w:val="00082EB4"/>
    <w:rsid w:val="00083687"/>
    <w:rsid w:val="000844D4"/>
    <w:rsid w:val="0008479B"/>
    <w:rsid w:val="00084CDD"/>
    <w:rsid w:val="00084FE8"/>
    <w:rsid w:val="00086099"/>
    <w:rsid w:val="000864A4"/>
    <w:rsid w:val="000875F6"/>
    <w:rsid w:val="00090465"/>
    <w:rsid w:val="00090925"/>
    <w:rsid w:val="00090C35"/>
    <w:rsid w:val="00090C59"/>
    <w:rsid w:val="00090E37"/>
    <w:rsid w:val="00091B98"/>
    <w:rsid w:val="00092521"/>
    <w:rsid w:val="00092B44"/>
    <w:rsid w:val="00092DBD"/>
    <w:rsid w:val="000931C0"/>
    <w:rsid w:val="00093AC8"/>
    <w:rsid w:val="00093F3E"/>
    <w:rsid w:val="00094B47"/>
    <w:rsid w:val="00095939"/>
    <w:rsid w:val="000964AA"/>
    <w:rsid w:val="00096AC3"/>
    <w:rsid w:val="000A075F"/>
    <w:rsid w:val="000A1211"/>
    <w:rsid w:val="000A14C2"/>
    <w:rsid w:val="000A1593"/>
    <w:rsid w:val="000A19FF"/>
    <w:rsid w:val="000A2097"/>
    <w:rsid w:val="000A21B3"/>
    <w:rsid w:val="000A2201"/>
    <w:rsid w:val="000A2222"/>
    <w:rsid w:val="000A2667"/>
    <w:rsid w:val="000A2D01"/>
    <w:rsid w:val="000A3DA1"/>
    <w:rsid w:val="000A4282"/>
    <w:rsid w:val="000A43B4"/>
    <w:rsid w:val="000A51DA"/>
    <w:rsid w:val="000A539B"/>
    <w:rsid w:val="000A6C32"/>
    <w:rsid w:val="000A701B"/>
    <w:rsid w:val="000A7D87"/>
    <w:rsid w:val="000B0347"/>
    <w:rsid w:val="000B0B40"/>
    <w:rsid w:val="000B175B"/>
    <w:rsid w:val="000B1B22"/>
    <w:rsid w:val="000B1BE0"/>
    <w:rsid w:val="000B2F02"/>
    <w:rsid w:val="000B32AC"/>
    <w:rsid w:val="000B39A7"/>
    <w:rsid w:val="000B3A0F"/>
    <w:rsid w:val="000B43D6"/>
    <w:rsid w:val="000B4D48"/>
    <w:rsid w:val="000B4EF7"/>
    <w:rsid w:val="000B524F"/>
    <w:rsid w:val="000B550D"/>
    <w:rsid w:val="000B562B"/>
    <w:rsid w:val="000B60F8"/>
    <w:rsid w:val="000B628E"/>
    <w:rsid w:val="000B67D2"/>
    <w:rsid w:val="000B75E4"/>
    <w:rsid w:val="000C06FB"/>
    <w:rsid w:val="000C1439"/>
    <w:rsid w:val="000C1B46"/>
    <w:rsid w:val="000C204F"/>
    <w:rsid w:val="000C2C03"/>
    <w:rsid w:val="000C2D2E"/>
    <w:rsid w:val="000C33DC"/>
    <w:rsid w:val="000C38FF"/>
    <w:rsid w:val="000C406E"/>
    <w:rsid w:val="000C4071"/>
    <w:rsid w:val="000C6120"/>
    <w:rsid w:val="000C76B9"/>
    <w:rsid w:val="000C7869"/>
    <w:rsid w:val="000C7DE4"/>
    <w:rsid w:val="000D06CD"/>
    <w:rsid w:val="000D0E7B"/>
    <w:rsid w:val="000D11F0"/>
    <w:rsid w:val="000D1CF2"/>
    <w:rsid w:val="000D1E2E"/>
    <w:rsid w:val="000D23CB"/>
    <w:rsid w:val="000D2AFD"/>
    <w:rsid w:val="000D2D3F"/>
    <w:rsid w:val="000D2F91"/>
    <w:rsid w:val="000D2FA0"/>
    <w:rsid w:val="000D33BC"/>
    <w:rsid w:val="000D3E23"/>
    <w:rsid w:val="000D3FE8"/>
    <w:rsid w:val="000D40A2"/>
    <w:rsid w:val="000D6BDA"/>
    <w:rsid w:val="000D7FE0"/>
    <w:rsid w:val="000E0415"/>
    <w:rsid w:val="000E0429"/>
    <w:rsid w:val="000E1303"/>
    <w:rsid w:val="000E2387"/>
    <w:rsid w:val="000E296E"/>
    <w:rsid w:val="000E2CF0"/>
    <w:rsid w:val="000E3070"/>
    <w:rsid w:val="000E3153"/>
    <w:rsid w:val="000E343C"/>
    <w:rsid w:val="000E3837"/>
    <w:rsid w:val="000E3AB4"/>
    <w:rsid w:val="000E470D"/>
    <w:rsid w:val="000E4719"/>
    <w:rsid w:val="000E4BAA"/>
    <w:rsid w:val="000E52AE"/>
    <w:rsid w:val="000E5AB4"/>
    <w:rsid w:val="000E5F91"/>
    <w:rsid w:val="000E629E"/>
    <w:rsid w:val="000E6525"/>
    <w:rsid w:val="000F0266"/>
    <w:rsid w:val="000F0AA3"/>
    <w:rsid w:val="000F34EA"/>
    <w:rsid w:val="000F3680"/>
    <w:rsid w:val="000F36B4"/>
    <w:rsid w:val="000F36FB"/>
    <w:rsid w:val="000F3716"/>
    <w:rsid w:val="000F41EE"/>
    <w:rsid w:val="000F428A"/>
    <w:rsid w:val="000F5288"/>
    <w:rsid w:val="000F5632"/>
    <w:rsid w:val="000F596B"/>
    <w:rsid w:val="000F6D56"/>
    <w:rsid w:val="001005C8"/>
    <w:rsid w:val="001013D6"/>
    <w:rsid w:val="001013DE"/>
    <w:rsid w:val="00101830"/>
    <w:rsid w:val="00101DCE"/>
    <w:rsid w:val="00102AAE"/>
    <w:rsid w:val="00102BAB"/>
    <w:rsid w:val="00104DFF"/>
    <w:rsid w:val="00105A37"/>
    <w:rsid w:val="00105BAA"/>
    <w:rsid w:val="001061ED"/>
    <w:rsid w:val="00106318"/>
    <w:rsid w:val="0010799D"/>
    <w:rsid w:val="00107D16"/>
    <w:rsid w:val="001103AA"/>
    <w:rsid w:val="00111319"/>
    <w:rsid w:val="001118AF"/>
    <w:rsid w:val="00111A5C"/>
    <w:rsid w:val="00111F3E"/>
    <w:rsid w:val="00112061"/>
    <w:rsid w:val="001130F1"/>
    <w:rsid w:val="0011429C"/>
    <w:rsid w:val="00114B24"/>
    <w:rsid w:val="00115AD1"/>
    <w:rsid w:val="00116A7B"/>
    <w:rsid w:val="0011745C"/>
    <w:rsid w:val="00120B7A"/>
    <w:rsid w:val="00122AD9"/>
    <w:rsid w:val="00122DCC"/>
    <w:rsid w:val="00122ED4"/>
    <w:rsid w:val="00123620"/>
    <w:rsid w:val="0012382D"/>
    <w:rsid w:val="00123DE7"/>
    <w:rsid w:val="001241FB"/>
    <w:rsid w:val="00124595"/>
    <w:rsid w:val="0012609F"/>
    <w:rsid w:val="0012628F"/>
    <w:rsid w:val="00126547"/>
    <w:rsid w:val="0012689F"/>
    <w:rsid w:val="001305FD"/>
    <w:rsid w:val="00131797"/>
    <w:rsid w:val="00131A18"/>
    <w:rsid w:val="0013278C"/>
    <w:rsid w:val="00133AF0"/>
    <w:rsid w:val="00133E54"/>
    <w:rsid w:val="00133F07"/>
    <w:rsid w:val="00134313"/>
    <w:rsid w:val="00134906"/>
    <w:rsid w:val="00134BA2"/>
    <w:rsid w:val="00134FCB"/>
    <w:rsid w:val="001352A8"/>
    <w:rsid w:val="00135B4A"/>
    <w:rsid w:val="00135BF6"/>
    <w:rsid w:val="00135F35"/>
    <w:rsid w:val="001362FF"/>
    <w:rsid w:val="00136708"/>
    <w:rsid w:val="00136858"/>
    <w:rsid w:val="0013782F"/>
    <w:rsid w:val="00137AAF"/>
    <w:rsid w:val="001402F4"/>
    <w:rsid w:val="00140EFA"/>
    <w:rsid w:val="0014113E"/>
    <w:rsid w:val="00141A30"/>
    <w:rsid w:val="001428EB"/>
    <w:rsid w:val="001428EC"/>
    <w:rsid w:val="00143925"/>
    <w:rsid w:val="00143ECD"/>
    <w:rsid w:val="0014412E"/>
    <w:rsid w:val="00144147"/>
    <w:rsid w:val="00144A4E"/>
    <w:rsid w:val="001450BD"/>
    <w:rsid w:val="0014569D"/>
    <w:rsid w:val="00145825"/>
    <w:rsid w:val="00145830"/>
    <w:rsid w:val="001458EB"/>
    <w:rsid w:val="00146D48"/>
    <w:rsid w:val="001477EE"/>
    <w:rsid w:val="00147B65"/>
    <w:rsid w:val="00147E46"/>
    <w:rsid w:val="0015048F"/>
    <w:rsid w:val="001508BE"/>
    <w:rsid w:val="00150F52"/>
    <w:rsid w:val="00151462"/>
    <w:rsid w:val="0015177C"/>
    <w:rsid w:val="001520A2"/>
    <w:rsid w:val="001526B0"/>
    <w:rsid w:val="00152724"/>
    <w:rsid w:val="00152DF0"/>
    <w:rsid w:val="001530A5"/>
    <w:rsid w:val="00153179"/>
    <w:rsid w:val="00154050"/>
    <w:rsid w:val="00154A0F"/>
    <w:rsid w:val="0015627A"/>
    <w:rsid w:val="001568A7"/>
    <w:rsid w:val="001569E9"/>
    <w:rsid w:val="00157107"/>
    <w:rsid w:val="00161227"/>
    <w:rsid w:val="00161230"/>
    <w:rsid w:val="0016209E"/>
    <w:rsid w:val="00163954"/>
    <w:rsid w:val="00164491"/>
    <w:rsid w:val="00164B8F"/>
    <w:rsid w:val="00164ECF"/>
    <w:rsid w:val="00165726"/>
    <w:rsid w:val="00165C77"/>
    <w:rsid w:val="00165F3A"/>
    <w:rsid w:val="00165FE3"/>
    <w:rsid w:val="0016602E"/>
    <w:rsid w:val="00166FB0"/>
    <w:rsid w:val="00167188"/>
    <w:rsid w:val="001678DC"/>
    <w:rsid w:val="00167E64"/>
    <w:rsid w:val="0017027F"/>
    <w:rsid w:val="001707C6"/>
    <w:rsid w:val="00170E5D"/>
    <w:rsid w:val="00171980"/>
    <w:rsid w:val="00171AF5"/>
    <w:rsid w:val="00171B0F"/>
    <w:rsid w:val="00171E33"/>
    <w:rsid w:val="00171F68"/>
    <w:rsid w:val="001728BD"/>
    <w:rsid w:val="001735DE"/>
    <w:rsid w:val="00174761"/>
    <w:rsid w:val="00174A70"/>
    <w:rsid w:val="00174E0E"/>
    <w:rsid w:val="00175A9C"/>
    <w:rsid w:val="001765BA"/>
    <w:rsid w:val="001766E5"/>
    <w:rsid w:val="00177472"/>
    <w:rsid w:val="00180B34"/>
    <w:rsid w:val="00180CB8"/>
    <w:rsid w:val="001829BD"/>
    <w:rsid w:val="00182A5E"/>
    <w:rsid w:val="00182C39"/>
    <w:rsid w:val="00182C78"/>
    <w:rsid w:val="00183227"/>
    <w:rsid w:val="00183E65"/>
    <w:rsid w:val="00183FFD"/>
    <w:rsid w:val="00184451"/>
    <w:rsid w:val="0018471B"/>
    <w:rsid w:val="001847B5"/>
    <w:rsid w:val="00185059"/>
    <w:rsid w:val="001853AA"/>
    <w:rsid w:val="001854AD"/>
    <w:rsid w:val="00185CA0"/>
    <w:rsid w:val="00185FFB"/>
    <w:rsid w:val="00186686"/>
    <w:rsid w:val="00186A02"/>
    <w:rsid w:val="00187DDF"/>
    <w:rsid w:val="00190DDA"/>
    <w:rsid w:val="001924D6"/>
    <w:rsid w:val="00192894"/>
    <w:rsid w:val="0019341C"/>
    <w:rsid w:val="0019343C"/>
    <w:rsid w:val="00194495"/>
    <w:rsid w:val="001945B8"/>
    <w:rsid w:val="0019482F"/>
    <w:rsid w:val="00194B4E"/>
    <w:rsid w:val="00194B73"/>
    <w:rsid w:val="00194EE1"/>
    <w:rsid w:val="001950A1"/>
    <w:rsid w:val="00195358"/>
    <w:rsid w:val="001954EC"/>
    <w:rsid w:val="00196465"/>
    <w:rsid w:val="00196D8D"/>
    <w:rsid w:val="00197050"/>
    <w:rsid w:val="0019760C"/>
    <w:rsid w:val="00197B02"/>
    <w:rsid w:val="00197F7D"/>
    <w:rsid w:val="001A0C20"/>
    <w:rsid w:val="001A103F"/>
    <w:rsid w:val="001A1441"/>
    <w:rsid w:val="001A1CC5"/>
    <w:rsid w:val="001A2479"/>
    <w:rsid w:val="001A2B08"/>
    <w:rsid w:val="001A3D6D"/>
    <w:rsid w:val="001A43BE"/>
    <w:rsid w:val="001A4C9E"/>
    <w:rsid w:val="001A52F4"/>
    <w:rsid w:val="001A5F58"/>
    <w:rsid w:val="001A60ED"/>
    <w:rsid w:val="001A6161"/>
    <w:rsid w:val="001A6214"/>
    <w:rsid w:val="001A6235"/>
    <w:rsid w:val="001A6336"/>
    <w:rsid w:val="001A6C12"/>
    <w:rsid w:val="001A6FB8"/>
    <w:rsid w:val="001A7026"/>
    <w:rsid w:val="001A7726"/>
    <w:rsid w:val="001B048F"/>
    <w:rsid w:val="001B1A35"/>
    <w:rsid w:val="001B1AE8"/>
    <w:rsid w:val="001B1CF5"/>
    <w:rsid w:val="001B1FE3"/>
    <w:rsid w:val="001B25F1"/>
    <w:rsid w:val="001B2941"/>
    <w:rsid w:val="001B3189"/>
    <w:rsid w:val="001B4070"/>
    <w:rsid w:val="001B45B8"/>
    <w:rsid w:val="001B4B04"/>
    <w:rsid w:val="001B516C"/>
    <w:rsid w:val="001B52DC"/>
    <w:rsid w:val="001B644B"/>
    <w:rsid w:val="001B654C"/>
    <w:rsid w:val="001B6C98"/>
    <w:rsid w:val="001B6CD9"/>
    <w:rsid w:val="001B7D97"/>
    <w:rsid w:val="001B7EA2"/>
    <w:rsid w:val="001C02A8"/>
    <w:rsid w:val="001C0909"/>
    <w:rsid w:val="001C09B1"/>
    <w:rsid w:val="001C0BE6"/>
    <w:rsid w:val="001C135E"/>
    <w:rsid w:val="001C14F0"/>
    <w:rsid w:val="001C15A9"/>
    <w:rsid w:val="001C17BD"/>
    <w:rsid w:val="001C18EF"/>
    <w:rsid w:val="001C1986"/>
    <w:rsid w:val="001C28D5"/>
    <w:rsid w:val="001C2B56"/>
    <w:rsid w:val="001C2DE8"/>
    <w:rsid w:val="001C2F8E"/>
    <w:rsid w:val="001C3155"/>
    <w:rsid w:val="001C3354"/>
    <w:rsid w:val="001C3409"/>
    <w:rsid w:val="001C34FC"/>
    <w:rsid w:val="001C3801"/>
    <w:rsid w:val="001C454A"/>
    <w:rsid w:val="001C4D1A"/>
    <w:rsid w:val="001C6663"/>
    <w:rsid w:val="001C66B2"/>
    <w:rsid w:val="001C6948"/>
    <w:rsid w:val="001C6B9D"/>
    <w:rsid w:val="001C740A"/>
    <w:rsid w:val="001C783D"/>
    <w:rsid w:val="001C7885"/>
    <w:rsid w:val="001C7895"/>
    <w:rsid w:val="001D0C8C"/>
    <w:rsid w:val="001D1276"/>
    <w:rsid w:val="001D1344"/>
    <w:rsid w:val="001D14F2"/>
    <w:rsid w:val="001D1844"/>
    <w:rsid w:val="001D24DC"/>
    <w:rsid w:val="001D24F5"/>
    <w:rsid w:val="001D26DF"/>
    <w:rsid w:val="001D3058"/>
    <w:rsid w:val="001D32F5"/>
    <w:rsid w:val="001D3A03"/>
    <w:rsid w:val="001D3A54"/>
    <w:rsid w:val="001D484F"/>
    <w:rsid w:val="001D4BB7"/>
    <w:rsid w:val="001D5445"/>
    <w:rsid w:val="001D6408"/>
    <w:rsid w:val="001D68A5"/>
    <w:rsid w:val="001D6EB7"/>
    <w:rsid w:val="001D71C3"/>
    <w:rsid w:val="001D7381"/>
    <w:rsid w:val="001E10A6"/>
    <w:rsid w:val="001E18B7"/>
    <w:rsid w:val="001E26C3"/>
    <w:rsid w:val="001E2C35"/>
    <w:rsid w:val="001E2D90"/>
    <w:rsid w:val="001E31A4"/>
    <w:rsid w:val="001E426C"/>
    <w:rsid w:val="001E44BE"/>
    <w:rsid w:val="001E4AC5"/>
    <w:rsid w:val="001E51CE"/>
    <w:rsid w:val="001E528B"/>
    <w:rsid w:val="001E52E0"/>
    <w:rsid w:val="001E5EAE"/>
    <w:rsid w:val="001E625E"/>
    <w:rsid w:val="001E68E7"/>
    <w:rsid w:val="001E6919"/>
    <w:rsid w:val="001E6C79"/>
    <w:rsid w:val="001E7EB9"/>
    <w:rsid w:val="001F0649"/>
    <w:rsid w:val="001F0D97"/>
    <w:rsid w:val="001F2177"/>
    <w:rsid w:val="001F2881"/>
    <w:rsid w:val="001F3182"/>
    <w:rsid w:val="001F3E50"/>
    <w:rsid w:val="001F40EE"/>
    <w:rsid w:val="001F42A6"/>
    <w:rsid w:val="001F4B8D"/>
    <w:rsid w:val="001F4D85"/>
    <w:rsid w:val="001F6E49"/>
    <w:rsid w:val="001F6FBF"/>
    <w:rsid w:val="001F70E7"/>
    <w:rsid w:val="001F712D"/>
    <w:rsid w:val="001F7819"/>
    <w:rsid w:val="001F792A"/>
    <w:rsid w:val="001F7965"/>
    <w:rsid w:val="001F7EA7"/>
    <w:rsid w:val="00200787"/>
    <w:rsid w:val="0020080B"/>
    <w:rsid w:val="00200B89"/>
    <w:rsid w:val="00201463"/>
    <w:rsid w:val="0020177A"/>
    <w:rsid w:val="00201BF6"/>
    <w:rsid w:val="00202DA8"/>
    <w:rsid w:val="00203FB3"/>
    <w:rsid w:val="00204260"/>
    <w:rsid w:val="002048C6"/>
    <w:rsid w:val="00205F1B"/>
    <w:rsid w:val="002061C9"/>
    <w:rsid w:val="00206280"/>
    <w:rsid w:val="00206602"/>
    <w:rsid w:val="0020660D"/>
    <w:rsid w:val="00206739"/>
    <w:rsid w:val="00206A23"/>
    <w:rsid w:val="00207656"/>
    <w:rsid w:val="00207C2F"/>
    <w:rsid w:val="00207D38"/>
    <w:rsid w:val="00207E90"/>
    <w:rsid w:val="00207F4B"/>
    <w:rsid w:val="00210725"/>
    <w:rsid w:val="00210CAC"/>
    <w:rsid w:val="002114C3"/>
    <w:rsid w:val="00211E0B"/>
    <w:rsid w:val="002125D3"/>
    <w:rsid w:val="002129D0"/>
    <w:rsid w:val="00212E9E"/>
    <w:rsid w:val="00212FB6"/>
    <w:rsid w:val="00213066"/>
    <w:rsid w:val="002138E8"/>
    <w:rsid w:val="00214BC0"/>
    <w:rsid w:val="00214C57"/>
    <w:rsid w:val="00215EC6"/>
    <w:rsid w:val="00216236"/>
    <w:rsid w:val="002171CB"/>
    <w:rsid w:val="002175A2"/>
    <w:rsid w:val="0022049F"/>
    <w:rsid w:val="00220850"/>
    <w:rsid w:val="00220D9E"/>
    <w:rsid w:val="00220DDC"/>
    <w:rsid w:val="002218DB"/>
    <w:rsid w:val="002225AD"/>
    <w:rsid w:val="002225CD"/>
    <w:rsid w:val="002227B4"/>
    <w:rsid w:val="00222A6D"/>
    <w:rsid w:val="00222DA6"/>
    <w:rsid w:val="002232D2"/>
    <w:rsid w:val="0022389C"/>
    <w:rsid w:val="002255B5"/>
    <w:rsid w:val="00226443"/>
    <w:rsid w:val="00226A92"/>
    <w:rsid w:val="00226E7E"/>
    <w:rsid w:val="00227315"/>
    <w:rsid w:val="00227504"/>
    <w:rsid w:val="002277CB"/>
    <w:rsid w:val="0023058B"/>
    <w:rsid w:val="00230A9B"/>
    <w:rsid w:val="00230CE5"/>
    <w:rsid w:val="00231D75"/>
    <w:rsid w:val="00232AE6"/>
    <w:rsid w:val="00232C44"/>
    <w:rsid w:val="00232D89"/>
    <w:rsid w:val="00233391"/>
    <w:rsid w:val="00233407"/>
    <w:rsid w:val="002334C8"/>
    <w:rsid w:val="00233C8D"/>
    <w:rsid w:val="0023448C"/>
    <w:rsid w:val="00235933"/>
    <w:rsid w:val="002359FC"/>
    <w:rsid w:val="00235D41"/>
    <w:rsid w:val="00236935"/>
    <w:rsid w:val="0023706D"/>
    <w:rsid w:val="00237732"/>
    <w:rsid w:val="002400E9"/>
    <w:rsid w:val="00240282"/>
    <w:rsid w:val="0024063E"/>
    <w:rsid w:val="002415B5"/>
    <w:rsid w:val="00242640"/>
    <w:rsid w:val="00242E9F"/>
    <w:rsid w:val="00243845"/>
    <w:rsid w:val="00243A3E"/>
    <w:rsid w:val="00243C34"/>
    <w:rsid w:val="0024430D"/>
    <w:rsid w:val="0024448E"/>
    <w:rsid w:val="00244C7C"/>
    <w:rsid w:val="00244DC7"/>
    <w:rsid w:val="002450CA"/>
    <w:rsid w:val="00245A8E"/>
    <w:rsid w:val="00245A9A"/>
    <w:rsid w:val="00246269"/>
    <w:rsid w:val="0024666D"/>
    <w:rsid w:val="00246BFB"/>
    <w:rsid w:val="00246EE1"/>
    <w:rsid w:val="002478B2"/>
    <w:rsid w:val="00250A6E"/>
    <w:rsid w:val="00251415"/>
    <w:rsid w:val="00251E63"/>
    <w:rsid w:val="00251F09"/>
    <w:rsid w:val="002522F6"/>
    <w:rsid w:val="00252747"/>
    <w:rsid w:val="00252B83"/>
    <w:rsid w:val="00252C4D"/>
    <w:rsid w:val="00253BDC"/>
    <w:rsid w:val="002545A7"/>
    <w:rsid w:val="002549A9"/>
    <w:rsid w:val="00254D8A"/>
    <w:rsid w:val="00254F7F"/>
    <w:rsid w:val="00255254"/>
    <w:rsid w:val="0025526A"/>
    <w:rsid w:val="0025581D"/>
    <w:rsid w:val="0025598E"/>
    <w:rsid w:val="00255C07"/>
    <w:rsid w:val="00256641"/>
    <w:rsid w:val="002574A0"/>
    <w:rsid w:val="0025772B"/>
    <w:rsid w:val="00257CED"/>
    <w:rsid w:val="0026024D"/>
    <w:rsid w:val="00260389"/>
    <w:rsid w:val="00260973"/>
    <w:rsid w:val="00261262"/>
    <w:rsid w:val="00261382"/>
    <w:rsid w:val="002613DD"/>
    <w:rsid w:val="00261B10"/>
    <w:rsid w:val="0026226B"/>
    <w:rsid w:val="002625D4"/>
    <w:rsid w:val="00262795"/>
    <w:rsid w:val="00263016"/>
    <w:rsid w:val="002630CF"/>
    <w:rsid w:val="0026320B"/>
    <w:rsid w:val="00263384"/>
    <w:rsid w:val="00263670"/>
    <w:rsid w:val="0026428D"/>
    <w:rsid w:val="00265001"/>
    <w:rsid w:val="002653E6"/>
    <w:rsid w:val="00265D5C"/>
    <w:rsid w:val="002662E8"/>
    <w:rsid w:val="002666A4"/>
    <w:rsid w:val="0026676A"/>
    <w:rsid w:val="00266CF8"/>
    <w:rsid w:val="0026718E"/>
    <w:rsid w:val="00267B0B"/>
    <w:rsid w:val="00267CF0"/>
    <w:rsid w:val="00267F5F"/>
    <w:rsid w:val="0027005F"/>
    <w:rsid w:val="002710DE"/>
    <w:rsid w:val="00271560"/>
    <w:rsid w:val="00271FC9"/>
    <w:rsid w:val="00272771"/>
    <w:rsid w:val="002729C2"/>
    <w:rsid w:val="00272B9D"/>
    <w:rsid w:val="00273234"/>
    <w:rsid w:val="002736ED"/>
    <w:rsid w:val="00273A2D"/>
    <w:rsid w:val="00274926"/>
    <w:rsid w:val="00275295"/>
    <w:rsid w:val="00275826"/>
    <w:rsid w:val="00275CF8"/>
    <w:rsid w:val="00275E22"/>
    <w:rsid w:val="002762FE"/>
    <w:rsid w:val="002764E8"/>
    <w:rsid w:val="00276C67"/>
    <w:rsid w:val="002801D6"/>
    <w:rsid w:val="002803A4"/>
    <w:rsid w:val="00280D8E"/>
    <w:rsid w:val="00280DAA"/>
    <w:rsid w:val="00280DB6"/>
    <w:rsid w:val="002810E9"/>
    <w:rsid w:val="002812F2"/>
    <w:rsid w:val="0028151A"/>
    <w:rsid w:val="002816D1"/>
    <w:rsid w:val="002821B4"/>
    <w:rsid w:val="002827D7"/>
    <w:rsid w:val="002831E4"/>
    <w:rsid w:val="002833E5"/>
    <w:rsid w:val="002834B6"/>
    <w:rsid w:val="002840C6"/>
    <w:rsid w:val="0028494E"/>
    <w:rsid w:val="00284963"/>
    <w:rsid w:val="00285994"/>
    <w:rsid w:val="00285B7A"/>
    <w:rsid w:val="00285EB5"/>
    <w:rsid w:val="00286281"/>
    <w:rsid w:val="00286ABA"/>
    <w:rsid w:val="00286B4D"/>
    <w:rsid w:val="00286C05"/>
    <w:rsid w:val="00286DDD"/>
    <w:rsid w:val="0028719C"/>
    <w:rsid w:val="002871AF"/>
    <w:rsid w:val="002911A8"/>
    <w:rsid w:val="00291C5C"/>
    <w:rsid w:val="00292393"/>
    <w:rsid w:val="002924A3"/>
    <w:rsid w:val="00292932"/>
    <w:rsid w:val="00293484"/>
    <w:rsid w:val="00294057"/>
    <w:rsid w:val="0029405C"/>
    <w:rsid w:val="002943CE"/>
    <w:rsid w:val="0029462A"/>
    <w:rsid w:val="00294657"/>
    <w:rsid w:val="00294A7B"/>
    <w:rsid w:val="00294E96"/>
    <w:rsid w:val="002955D6"/>
    <w:rsid w:val="002961D4"/>
    <w:rsid w:val="00296BAB"/>
    <w:rsid w:val="00297799"/>
    <w:rsid w:val="002A00B2"/>
    <w:rsid w:val="002A0181"/>
    <w:rsid w:val="002A1940"/>
    <w:rsid w:val="002A1F21"/>
    <w:rsid w:val="002A22ED"/>
    <w:rsid w:val="002A2EF1"/>
    <w:rsid w:val="002A4107"/>
    <w:rsid w:val="002A4AEF"/>
    <w:rsid w:val="002A5164"/>
    <w:rsid w:val="002A5E87"/>
    <w:rsid w:val="002A798A"/>
    <w:rsid w:val="002B05EF"/>
    <w:rsid w:val="002B08EC"/>
    <w:rsid w:val="002B093B"/>
    <w:rsid w:val="002B0C5C"/>
    <w:rsid w:val="002B2979"/>
    <w:rsid w:val="002B2D40"/>
    <w:rsid w:val="002B35B7"/>
    <w:rsid w:val="002B3A9C"/>
    <w:rsid w:val="002B3C39"/>
    <w:rsid w:val="002B4210"/>
    <w:rsid w:val="002B466B"/>
    <w:rsid w:val="002B4AD5"/>
    <w:rsid w:val="002B5354"/>
    <w:rsid w:val="002B6C35"/>
    <w:rsid w:val="002B7051"/>
    <w:rsid w:val="002C0454"/>
    <w:rsid w:val="002C047C"/>
    <w:rsid w:val="002C053D"/>
    <w:rsid w:val="002C18BC"/>
    <w:rsid w:val="002C1CA1"/>
    <w:rsid w:val="002C22A2"/>
    <w:rsid w:val="002C240E"/>
    <w:rsid w:val="002C254A"/>
    <w:rsid w:val="002C2EF2"/>
    <w:rsid w:val="002C3BD4"/>
    <w:rsid w:val="002C3FDD"/>
    <w:rsid w:val="002C404A"/>
    <w:rsid w:val="002C41FD"/>
    <w:rsid w:val="002C4AEA"/>
    <w:rsid w:val="002C4B01"/>
    <w:rsid w:val="002C643E"/>
    <w:rsid w:val="002C65F8"/>
    <w:rsid w:val="002C6A8F"/>
    <w:rsid w:val="002C6F62"/>
    <w:rsid w:val="002C6F9D"/>
    <w:rsid w:val="002C7072"/>
    <w:rsid w:val="002C74C4"/>
    <w:rsid w:val="002C76C7"/>
    <w:rsid w:val="002C795C"/>
    <w:rsid w:val="002C79A7"/>
    <w:rsid w:val="002C7A9F"/>
    <w:rsid w:val="002D0358"/>
    <w:rsid w:val="002D09B6"/>
    <w:rsid w:val="002D0F43"/>
    <w:rsid w:val="002D1670"/>
    <w:rsid w:val="002D16E5"/>
    <w:rsid w:val="002D1DD6"/>
    <w:rsid w:val="002D2970"/>
    <w:rsid w:val="002D2AC5"/>
    <w:rsid w:val="002D3901"/>
    <w:rsid w:val="002D3932"/>
    <w:rsid w:val="002D55DC"/>
    <w:rsid w:val="002D5F70"/>
    <w:rsid w:val="002D62E5"/>
    <w:rsid w:val="002D63E8"/>
    <w:rsid w:val="002D6777"/>
    <w:rsid w:val="002D6A7E"/>
    <w:rsid w:val="002D6F7B"/>
    <w:rsid w:val="002D7355"/>
    <w:rsid w:val="002D7528"/>
    <w:rsid w:val="002E029D"/>
    <w:rsid w:val="002E0C2B"/>
    <w:rsid w:val="002E0CB9"/>
    <w:rsid w:val="002E12F1"/>
    <w:rsid w:val="002E14C3"/>
    <w:rsid w:val="002E1D0A"/>
    <w:rsid w:val="002E1FCB"/>
    <w:rsid w:val="002E24F1"/>
    <w:rsid w:val="002E263A"/>
    <w:rsid w:val="002E2E5B"/>
    <w:rsid w:val="002E43A1"/>
    <w:rsid w:val="002E43A9"/>
    <w:rsid w:val="002E49BD"/>
    <w:rsid w:val="002E4F66"/>
    <w:rsid w:val="002E5862"/>
    <w:rsid w:val="002E5F38"/>
    <w:rsid w:val="002E624B"/>
    <w:rsid w:val="002E625B"/>
    <w:rsid w:val="002E7606"/>
    <w:rsid w:val="002F0045"/>
    <w:rsid w:val="002F02BA"/>
    <w:rsid w:val="002F0B1A"/>
    <w:rsid w:val="002F0CBB"/>
    <w:rsid w:val="002F175C"/>
    <w:rsid w:val="002F188F"/>
    <w:rsid w:val="002F1A00"/>
    <w:rsid w:val="002F200F"/>
    <w:rsid w:val="002F2DB8"/>
    <w:rsid w:val="002F38D4"/>
    <w:rsid w:val="002F391F"/>
    <w:rsid w:val="002F455A"/>
    <w:rsid w:val="002F45E3"/>
    <w:rsid w:val="002F4825"/>
    <w:rsid w:val="002F4A6E"/>
    <w:rsid w:val="002F4E02"/>
    <w:rsid w:val="002F53D1"/>
    <w:rsid w:val="002F5D56"/>
    <w:rsid w:val="002F5FE5"/>
    <w:rsid w:val="002F641B"/>
    <w:rsid w:val="002F7E88"/>
    <w:rsid w:val="003001A9"/>
    <w:rsid w:val="00300CDD"/>
    <w:rsid w:val="003021F0"/>
    <w:rsid w:val="003025CE"/>
    <w:rsid w:val="003035BB"/>
    <w:rsid w:val="00303EC4"/>
    <w:rsid w:val="00303F73"/>
    <w:rsid w:val="00304EF1"/>
    <w:rsid w:val="0030535F"/>
    <w:rsid w:val="003060EA"/>
    <w:rsid w:val="0030618E"/>
    <w:rsid w:val="00306271"/>
    <w:rsid w:val="003068BB"/>
    <w:rsid w:val="00306A09"/>
    <w:rsid w:val="00307AF4"/>
    <w:rsid w:val="00307D4A"/>
    <w:rsid w:val="00310347"/>
    <w:rsid w:val="003104D0"/>
    <w:rsid w:val="00311042"/>
    <w:rsid w:val="003114BE"/>
    <w:rsid w:val="00311ED9"/>
    <w:rsid w:val="00312205"/>
    <w:rsid w:val="00313995"/>
    <w:rsid w:val="00315259"/>
    <w:rsid w:val="003152B4"/>
    <w:rsid w:val="0031618A"/>
    <w:rsid w:val="003169B3"/>
    <w:rsid w:val="00317EF8"/>
    <w:rsid w:val="003201AE"/>
    <w:rsid w:val="0032202B"/>
    <w:rsid w:val="003229D8"/>
    <w:rsid w:val="003229F0"/>
    <w:rsid w:val="00322D1A"/>
    <w:rsid w:val="00323157"/>
    <w:rsid w:val="00323E0A"/>
    <w:rsid w:val="00324342"/>
    <w:rsid w:val="00325125"/>
    <w:rsid w:val="0032567F"/>
    <w:rsid w:val="00326650"/>
    <w:rsid w:val="00326A37"/>
    <w:rsid w:val="00327073"/>
    <w:rsid w:val="00327FCB"/>
    <w:rsid w:val="00330AA2"/>
    <w:rsid w:val="00330C20"/>
    <w:rsid w:val="00330F51"/>
    <w:rsid w:val="003312A1"/>
    <w:rsid w:val="003318CC"/>
    <w:rsid w:val="003319FF"/>
    <w:rsid w:val="00331AA4"/>
    <w:rsid w:val="0033203A"/>
    <w:rsid w:val="00332073"/>
    <w:rsid w:val="003320E6"/>
    <w:rsid w:val="003329EF"/>
    <w:rsid w:val="00333F1F"/>
    <w:rsid w:val="00334241"/>
    <w:rsid w:val="003342E9"/>
    <w:rsid w:val="003363FE"/>
    <w:rsid w:val="0033693B"/>
    <w:rsid w:val="00337186"/>
    <w:rsid w:val="00337474"/>
    <w:rsid w:val="003379BB"/>
    <w:rsid w:val="00337FF4"/>
    <w:rsid w:val="0034086A"/>
    <w:rsid w:val="00340CA1"/>
    <w:rsid w:val="00341B60"/>
    <w:rsid w:val="00342139"/>
    <w:rsid w:val="00344560"/>
    <w:rsid w:val="003454A8"/>
    <w:rsid w:val="003458FA"/>
    <w:rsid w:val="00345BBC"/>
    <w:rsid w:val="00346258"/>
    <w:rsid w:val="0034713B"/>
    <w:rsid w:val="00350E3D"/>
    <w:rsid w:val="00350E7C"/>
    <w:rsid w:val="003515A2"/>
    <w:rsid w:val="00351678"/>
    <w:rsid w:val="00352709"/>
    <w:rsid w:val="00352807"/>
    <w:rsid w:val="003534A3"/>
    <w:rsid w:val="00353857"/>
    <w:rsid w:val="00353AF4"/>
    <w:rsid w:val="0035416B"/>
    <w:rsid w:val="00354882"/>
    <w:rsid w:val="003551A8"/>
    <w:rsid w:val="00355EA8"/>
    <w:rsid w:val="003563F1"/>
    <w:rsid w:val="0035653C"/>
    <w:rsid w:val="0035665C"/>
    <w:rsid w:val="00356DD1"/>
    <w:rsid w:val="00356EA4"/>
    <w:rsid w:val="00357969"/>
    <w:rsid w:val="00357B7B"/>
    <w:rsid w:val="00360A6B"/>
    <w:rsid w:val="00360B5C"/>
    <w:rsid w:val="00360CA2"/>
    <w:rsid w:val="00360F68"/>
    <w:rsid w:val="00361772"/>
    <w:rsid w:val="003618C0"/>
    <w:rsid w:val="00361941"/>
    <w:rsid w:val="0036195C"/>
    <w:rsid w:val="003623CD"/>
    <w:rsid w:val="00362509"/>
    <w:rsid w:val="00362E4F"/>
    <w:rsid w:val="00363345"/>
    <w:rsid w:val="00365910"/>
    <w:rsid w:val="00365B71"/>
    <w:rsid w:val="003667D4"/>
    <w:rsid w:val="003667EB"/>
    <w:rsid w:val="00366E84"/>
    <w:rsid w:val="00367A21"/>
    <w:rsid w:val="003703AF"/>
    <w:rsid w:val="0037080C"/>
    <w:rsid w:val="00370AF8"/>
    <w:rsid w:val="00371178"/>
    <w:rsid w:val="0037119E"/>
    <w:rsid w:val="00371C66"/>
    <w:rsid w:val="00371EF4"/>
    <w:rsid w:val="003723B6"/>
    <w:rsid w:val="003726AF"/>
    <w:rsid w:val="0037275A"/>
    <w:rsid w:val="003736FF"/>
    <w:rsid w:val="003737F6"/>
    <w:rsid w:val="0037394F"/>
    <w:rsid w:val="003744DC"/>
    <w:rsid w:val="0037450D"/>
    <w:rsid w:val="00375886"/>
    <w:rsid w:val="00375AC5"/>
    <w:rsid w:val="0037610E"/>
    <w:rsid w:val="00376771"/>
    <w:rsid w:val="00376BB2"/>
    <w:rsid w:val="003771B8"/>
    <w:rsid w:val="00380106"/>
    <w:rsid w:val="00380B56"/>
    <w:rsid w:val="003812D4"/>
    <w:rsid w:val="00381CF1"/>
    <w:rsid w:val="00381DCB"/>
    <w:rsid w:val="00381FBC"/>
    <w:rsid w:val="00382087"/>
    <w:rsid w:val="00382B8E"/>
    <w:rsid w:val="003831EB"/>
    <w:rsid w:val="003833D8"/>
    <w:rsid w:val="00383801"/>
    <w:rsid w:val="00383B03"/>
    <w:rsid w:val="00383C72"/>
    <w:rsid w:val="0038408D"/>
    <w:rsid w:val="003843ED"/>
    <w:rsid w:val="0038444A"/>
    <w:rsid w:val="00384C11"/>
    <w:rsid w:val="00385BDD"/>
    <w:rsid w:val="00385E15"/>
    <w:rsid w:val="00386270"/>
    <w:rsid w:val="003868F8"/>
    <w:rsid w:val="00386912"/>
    <w:rsid w:val="00386A33"/>
    <w:rsid w:val="00386DC8"/>
    <w:rsid w:val="00386E16"/>
    <w:rsid w:val="0038760D"/>
    <w:rsid w:val="00391296"/>
    <w:rsid w:val="00391D77"/>
    <w:rsid w:val="00391DC4"/>
    <w:rsid w:val="00392A6B"/>
    <w:rsid w:val="003930E7"/>
    <w:rsid w:val="00393689"/>
    <w:rsid w:val="003939AE"/>
    <w:rsid w:val="00394CBB"/>
    <w:rsid w:val="00395CD7"/>
    <w:rsid w:val="00395F19"/>
    <w:rsid w:val="003961C5"/>
    <w:rsid w:val="00396411"/>
    <w:rsid w:val="00397167"/>
    <w:rsid w:val="003A0226"/>
    <w:rsid w:val="003A0CEF"/>
    <w:rsid w:val="003A1B47"/>
    <w:rsid w:val="003A22B1"/>
    <w:rsid w:val="003A2E70"/>
    <w:rsid w:val="003A3A21"/>
    <w:rsid w:val="003A3F1F"/>
    <w:rsid w:val="003A427B"/>
    <w:rsid w:val="003A4914"/>
    <w:rsid w:val="003A4A6F"/>
    <w:rsid w:val="003A55FF"/>
    <w:rsid w:val="003A586A"/>
    <w:rsid w:val="003A58A0"/>
    <w:rsid w:val="003A63EF"/>
    <w:rsid w:val="003A6643"/>
    <w:rsid w:val="003A6810"/>
    <w:rsid w:val="003A7C75"/>
    <w:rsid w:val="003A7CFF"/>
    <w:rsid w:val="003B03E0"/>
    <w:rsid w:val="003B0FEB"/>
    <w:rsid w:val="003B1778"/>
    <w:rsid w:val="003B2259"/>
    <w:rsid w:val="003B28C6"/>
    <w:rsid w:val="003B2B97"/>
    <w:rsid w:val="003B3051"/>
    <w:rsid w:val="003B35D0"/>
    <w:rsid w:val="003B3C44"/>
    <w:rsid w:val="003B3D14"/>
    <w:rsid w:val="003B3F14"/>
    <w:rsid w:val="003B4808"/>
    <w:rsid w:val="003B50B4"/>
    <w:rsid w:val="003B5214"/>
    <w:rsid w:val="003B5AA4"/>
    <w:rsid w:val="003B60BF"/>
    <w:rsid w:val="003B64F4"/>
    <w:rsid w:val="003B6CEA"/>
    <w:rsid w:val="003B6ECA"/>
    <w:rsid w:val="003B7BA8"/>
    <w:rsid w:val="003C0108"/>
    <w:rsid w:val="003C0579"/>
    <w:rsid w:val="003C0ACD"/>
    <w:rsid w:val="003C0BDD"/>
    <w:rsid w:val="003C10F6"/>
    <w:rsid w:val="003C12EF"/>
    <w:rsid w:val="003C1E78"/>
    <w:rsid w:val="003C2678"/>
    <w:rsid w:val="003C2CC4"/>
    <w:rsid w:val="003C36A4"/>
    <w:rsid w:val="003C38EC"/>
    <w:rsid w:val="003C448B"/>
    <w:rsid w:val="003C456A"/>
    <w:rsid w:val="003C4B2E"/>
    <w:rsid w:val="003C6092"/>
    <w:rsid w:val="003C6245"/>
    <w:rsid w:val="003C6F6D"/>
    <w:rsid w:val="003C7933"/>
    <w:rsid w:val="003C7A06"/>
    <w:rsid w:val="003C7CFF"/>
    <w:rsid w:val="003D039C"/>
    <w:rsid w:val="003D0876"/>
    <w:rsid w:val="003D1B17"/>
    <w:rsid w:val="003D4684"/>
    <w:rsid w:val="003D4B23"/>
    <w:rsid w:val="003D5DFC"/>
    <w:rsid w:val="003D6426"/>
    <w:rsid w:val="003D6BAB"/>
    <w:rsid w:val="003D6D60"/>
    <w:rsid w:val="003D7364"/>
    <w:rsid w:val="003D7528"/>
    <w:rsid w:val="003E030D"/>
    <w:rsid w:val="003E0FAD"/>
    <w:rsid w:val="003E14C4"/>
    <w:rsid w:val="003E1C98"/>
    <w:rsid w:val="003E22F4"/>
    <w:rsid w:val="003E269C"/>
    <w:rsid w:val="003E3074"/>
    <w:rsid w:val="003E30D7"/>
    <w:rsid w:val="003E3233"/>
    <w:rsid w:val="003E3351"/>
    <w:rsid w:val="003E3412"/>
    <w:rsid w:val="003E3E11"/>
    <w:rsid w:val="003E4E89"/>
    <w:rsid w:val="003E5F20"/>
    <w:rsid w:val="003E7900"/>
    <w:rsid w:val="003E7A96"/>
    <w:rsid w:val="003F0C19"/>
    <w:rsid w:val="003F0E92"/>
    <w:rsid w:val="003F14E2"/>
    <w:rsid w:val="003F1AFC"/>
    <w:rsid w:val="003F1B50"/>
    <w:rsid w:val="003F1FE2"/>
    <w:rsid w:val="003F26EC"/>
    <w:rsid w:val="003F3740"/>
    <w:rsid w:val="003F48E4"/>
    <w:rsid w:val="003F4CFB"/>
    <w:rsid w:val="003F4DC1"/>
    <w:rsid w:val="003F4F89"/>
    <w:rsid w:val="003F561A"/>
    <w:rsid w:val="003F625A"/>
    <w:rsid w:val="003F70B9"/>
    <w:rsid w:val="003F7104"/>
    <w:rsid w:val="003F7714"/>
    <w:rsid w:val="003F7767"/>
    <w:rsid w:val="003F7862"/>
    <w:rsid w:val="004003F0"/>
    <w:rsid w:val="00400485"/>
    <w:rsid w:val="00400A32"/>
    <w:rsid w:val="00400B4F"/>
    <w:rsid w:val="00401065"/>
    <w:rsid w:val="004014F8"/>
    <w:rsid w:val="004018F0"/>
    <w:rsid w:val="0040266F"/>
    <w:rsid w:val="00402D0C"/>
    <w:rsid w:val="00402DB8"/>
    <w:rsid w:val="004040FA"/>
    <w:rsid w:val="00404F31"/>
    <w:rsid w:val="00405166"/>
    <w:rsid w:val="00405953"/>
    <w:rsid w:val="00405EFD"/>
    <w:rsid w:val="004063FA"/>
    <w:rsid w:val="00406966"/>
    <w:rsid w:val="0040706B"/>
    <w:rsid w:val="004070CF"/>
    <w:rsid w:val="00407653"/>
    <w:rsid w:val="00407CDC"/>
    <w:rsid w:val="0041002E"/>
    <w:rsid w:val="00410954"/>
    <w:rsid w:val="00410A02"/>
    <w:rsid w:val="00410C89"/>
    <w:rsid w:val="004113DA"/>
    <w:rsid w:val="00411CFF"/>
    <w:rsid w:val="00411F45"/>
    <w:rsid w:val="00412362"/>
    <w:rsid w:val="00412C0A"/>
    <w:rsid w:val="00412C1F"/>
    <w:rsid w:val="004133DB"/>
    <w:rsid w:val="00413603"/>
    <w:rsid w:val="004138D2"/>
    <w:rsid w:val="004139C3"/>
    <w:rsid w:val="00413D38"/>
    <w:rsid w:val="00414AC1"/>
    <w:rsid w:val="004156B3"/>
    <w:rsid w:val="0041584C"/>
    <w:rsid w:val="00416377"/>
    <w:rsid w:val="00416EAF"/>
    <w:rsid w:val="004177E9"/>
    <w:rsid w:val="0042012A"/>
    <w:rsid w:val="00420528"/>
    <w:rsid w:val="0042073D"/>
    <w:rsid w:val="00420CE9"/>
    <w:rsid w:val="00421E96"/>
    <w:rsid w:val="004236F0"/>
    <w:rsid w:val="004237E3"/>
    <w:rsid w:val="00423E02"/>
    <w:rsid w:val="004246F3"/>
    <w:rsid w:val="0042499D"/>
    <w:rsid w:val="00424D58"/>
    <w:rsid w:val="0042557C"/>
    <w:rsid w:val="00425A5D"/>
    <w:rsid w:val="004265E0"/>
    <w:rsid w:val="00426B9B"/>
    <w:rsid w:val="004273C0"/>
    <w:rsid w:val="00427831"/>
    <w:rsid w:val="0042784E"/>
    <w:rsid w:val="00427A6B"/>
    <w:rsid w:val="004304BB"/>
    <w:rsid w:val="004306CD"/>
    <w:rsid w:val="00430750"/>
    <w:rsid w:val="00431A82"/>
    <w:rsid w:val="00431B25"/>
    <w:rsid w:val="00431C36"/>
    <w:rsid w:val="004325BA"/>
    <w:rsid w:val="004325CB"/>
    <w:rsid w:val="00432741"/>
    <w:rsid w:val="00433DBB"/>
    <w:rsid w:val="00434A80"/>
    <w:rsid w:val="00434B45"/>
    <w:rsid w:val="00434CCA"/>
    <w:rsid w:val="00435E03"/>
    <w:rsid w:val="00436467"/>
    <w:rsid w:val="00436F1A"/>
    <w:rsid w:val="00436F6A"/>
    <w:rsid w:val="004370AA"/>
    <w:rsid w:val="00437218"/>
    <w:rsid w:val="0044025E"/>
    <w:rsid w:val="00440353"/>
    <w:rsid w:val="00440E82"/>
    <w:rsid w:val="00440FAD"/>
    <w:rsid w:val="00441868"/>
    <w:rsid w:val="00441918"/>
    <w:rsid w:val="00442A83"/>
    <w:rsid w:val="00442F84"/>
    <w:rsid w:val="004430F5"/>
    <w:rsid w:val="00443310"/>
    <w:rsid w:val="00443481"/>
    <w:rsid w:val="004437F2"/>
    <w:rsid w:val="00444960"/>
    <w:rsid w:val="00444D43"/>
    <w:rsid w:val="00445071"/>
    <w:rsid w:val="004451E6"/>
    <w:rsid w:val="004459F5"/>
    <w:rsid w:val="00446129"/>
    <w:rsid w:val="00446857"/>
    <w:rsid w:val="00446905"/>
    <w:rsid w:val="00446B8D"/>
    <w:rsid w:val="00446D8C"/>
    <w:rsid w:val="00450E93"/>
    <w:rsid w:val="00451077"/>
    <w:rsid w:val="00451361"/>
    <w:rsid w:val="00451C40"/>
    <w:rsid w:val="0045245F"/>
    <w:rsid w:val="00453180"/>
    <w:rsid w:val="004539F1"/>
    <w:rsid w:val="0045433B"/>
    <w:rsid w:val="004545DE"/>
    <w:rsid w:val="0045495B"/>
    <w:rsid w:val="00454A94"/>
    <w:rsid w:val="00455526"/>
    <w:rsid w:val="00455A97"/>
    <w:rsid w:val="00455AE7"/>
    <w:rsid w:val="00456773"/>
    <w:rsid w:val="00456994"/>
    <w:rsid w:val="00456B72"/>
    <w:rsid w:val="00457671"/>
    <w:rsid w:val="004579A8"/>
    <w:rsid w:val="00460C37"/>
    <w:rsid w:val="00460D92"/>
    <w:rsid w:val="00461A48"/>
    <w:rsid w:val="00461A4E"/>
    <w:rsid w:val="00461AF6"/>
    <w:rsid w:val="00462A4C"/>
    <w:rsid w:val="00462CA3"/>
    <w:rsid w:val="004634E1"/>
    <w:rsid w:val="00464469"/>
    <w:rsid w:val="004646FC"/>
    <w:rsid w:val="00464916"/>
    <w:rsid w:val="0046532D"/>
    <w:rsid w:val="00467079"/>
    <w:rsid w:val="0047173B"/>
    <w:rsid w:val="0047177D"/>
    <w:rsid w:val="004717D8"/>
    <w:rsid w:val="00471843"/>
    <w:rsid w:val="00471E38"/>
    <w:rsid w:val="004721A6"/>
    <w:rsid w:val="00472582"/>
    <w:rsid w:val="00472F36"/>
    <w:rsid w:val="0047351B"/>
    <w:rsid w:val="0047433F"/>
    <w:rsid w:val="00474575"/>
    <w:rsid w:val="00474DA1"/>
    <w:rsid w:val="00475072"/>
    <w:rsid w:val="00475340"/>
    <w:rsid w:val="00476B2B"/>
    <w:rsid w:val="00477CB3"/>
    <w:rsid w:val="00477F96"/>
    <w:rsid w:val="004803B0"/>
    <w:rsid w:val="004805F4"/>
    <w:rsid w:val="00481021"/>
    <w:rsid w:val="004820A0"/>
    <w:rsid w:val="004828A5"/>
    <w:rsid w:val="004843E1"/>
    <w:rsid w:val="00485326"/>
    <w:rsid w:val="0048582D"/>
    <w:rsid w:val="00485EC4"/>
    <w:rsid w:val="00487356"/>
    <w:rsid w:val="00487728"/>
    <w:rsid w:val="0048787E"/>
    <w:rsid w:val="00490A55"/>
    <w:rsid w:val="0049248C"/>
    <w:rsid w:val="004924FA"/>
    <w:rsid w:val="004925DB"/>
    <w:rsid w:val="00493287"/>
    <w:rsid w:val="0049384F"/>
    <w:rsid w:val="00493FBC"/>
    <w:rsid w:val="0049444C"/>
    <w:rsid w:val="0049499F"/>
    <w:rsid w:val="00494F52"/>
    <w:rsid w:val="004954A6"/>
    <w:rsid w:val="004956CD"/>
    <w:rsid w:val="00496567"/>
    <w:rsid w:val="00496A4C"/>
    <w:rsid w:val="00496CC6"/>
    <w:rsid w:val="00497312"/>
    <w:rsid w:val="004A0335"/>
    <w:rsid w:val="004A08D7"/>
    <w:rsid w:val="004A0D61"/>
    <w:rsid w:val="004A0E55"/>
    <w:rsid w:val="004A1794"/>
    <w:rsid w:val="004A1ABD"/>
    <w:rsid w:val="004A1DDC"/>
    <w:rsid w:val="004A1EBA"/>
    <w:rsid w:val="004A26A4"/>
    <w:rsid w:val="004A3191"/>
    <w:rsid w:val="004A3472"/>
    <w:rsid w:val="004A38B6"/>
    <w:rsid w:val="004A3D81"/>
    <w:rsid w:val="004A4AC3"/>
    <w:rsid w:val="004A4BE4"/>
    <w:rsid w:val="004A4E66"/>
    <w:rsid w:val="004A4F65"/>
    <w:rsid w:val="004A5EFF"/>
    <w:rsid w:val="004A6484"/>
    <w:rsid w:val="004A6A6B"/>
    <w:rsid w:val="004A74CE"/>
    <w:rsid w:val="004B02C1"/>
    <w:rsid w:val="004B050D"/>
    <w:rsid w:val="004B07DE"/>
    <w:rsid w:val="004B1207"/>
    <w:rsid w:val="004B1586"/>
    <w:rsid w:val="004B29AE"/>
    <w:rsid w:val="004B2B67"/>
    <w:rsid w:val="004B2B79"/>
    <w:rsid w:val="004B401C"/>
    <w:rsid w:val="004B4765"/>
    <w:rsid w:val="004B49E8"/>
    <w:rsid w:val="004B4C23"/>
    <w:rsid w:val="004B5C35"/>
    <w:rsid w:val="004B64C7"/>
    <w:rsid w:val="004B72E4"/>
    <w:rsid w:val="004B7802"/>
    <w:rsid w:val="004C051B"/>
    <w:rsid w:val="004C0E33"/>
    <w:rsid w:val="004C0E7E"/>
    <w:rsid w:val="004C1131"/>
    <w:rsid w:val="004C13DA"/>
    <w:rsid w:val="004C1947"/>
    <w:rsid w:val="004C1B40"/>
    <w:rsid w:val="004C21E1"/>
    <w:rsid w:val="004C24F3"/>
    <w:rsid w:val="004C27D2"/>
    <w:rsid w:val="004C2A66"/>
    <w:rsid w:val="004C2D49"/>
    <w:rsid w:val="004C30F0"/>
    <w:rsid w:val="004C480D"/>
    <w:rsid w:val="004C4F9A"/>
    <w:rsid w:val="004C5715"/>
    <w:rsid w:val="004C5BBA"/>
    <w:rsid w:val="004C5C8A"/>
    <w:rsid w:val="004C6422"/>
    <w:rsid w:val="004C6520"/>
    <w:rsid w:val="004C6ADA"/>
    <w:rsid w:val="004C6BDE"/>
    <w:rsid w:val="004C6D45"/>
    <w:rsid w:val="004C78C6"/>
    <w:rsid w:val="004C7E06"/>
    <w:rsid w:val="004D098D"/>
    <w:rsid w:val="004D0D0F"/>
    <w:rsid w:val="004D1003"/>
    <w:rsid w:val="004D16F0"/>
    <w:rsid w:val="004D1BC2"/>
    <w:rsid w:val="004D20ED"/>
    <w:rsid w:val="004D2B24"/>
    <w:rsid w:val="004D3884"/>
    <w:rsid w:val="004D3A01"/>
    <w:rsid w:val="004D4AFD"/>
    <w:rsid w:val="004D5363"/>
    <w:rsid w:val="004D56D1"/>
    <w:rsid w:val="004D5C6A"/>
    <w:rsid w:val="004D63D2"/>
    <w:rsid w:val="004D6B0D"/>
    <w:rsid w:val="004D6D5B"/>
    <w:rsid w:val="004D770F"/>
    <w:rsid w:val="004D7801"/>
    <w:rsid w:val="004D7979"/>
    <w:rsid w:val="004E03E9"/>
    <w:rsid w:val="004E10AD"/>
    <w:rsid w:val="004E1193"/>
    <w:rsid w:val="004E136B"/>
    <w:rsid w:val="004E18C3"/>
    <w:rsid w:val="004E1F49"/>
    <w:rsid w:val="004E223A"/>
    <w:rsid w:val="004E26EA"/>
    <w:rsid w:val="004E276B"/>
    <w:rsid w:val="004E2D87"/>
    <w:rsid w:val="004E311C"/>
    <w:rsid w:val="004E35F5"/>
    <w:rsid w:val="004E3861"/>
    <w:rsid w:val="004E4747"/>
    <w:rsid w:val="004E47B7"/>
    <w:rsid w:val="004E4C2A"/>
    <w:rsid w:val="004E56E1"/>
    <w:rsid w:val="004E719D"/>
    <w:rsid w:val="004E79A8"/>
    <w:rsid w:val="004F0147"/>
    <w:rsid w:val="004F01D8"/>
    <w:rsid w:val="004F11B7"/>
    <w:rsid w:val="004F148A"/>
    <w:rsid w:val="004F176C"/>
    <w:rsid w:val="004F22AE"/>
    <w:rsid w:val="004F2B21"/>
    <w:rsid w:val="004F2C72"/>
    <w:rsid w:val="004F31AC"/>
    <w:rsid w:val="004F35A7"/>
    <w:rsid w:val="004F39FE"/>
    <w:rsid w:val="004F4765"/>
    <w:rsid w:val="004F4B63"/>
    <w:rsid w:val="004F4D91"/>
    <w:rsid w:val="004F53E4"/>
    <w:rsid w:val="004F5E0E"/>
    <w:rsid w:val="004F70DF"/>
    <w:rsid w:val="004F77DF"/>
    <w:rsid w:val="004F7BB6"/>
    <w:rsid w:val="004F7F98"/>
    <w:rsid w:val="00500561"/>
    <w:rsid w:val="0050077F"/>
    <w:rsid w:val="005007AD"/>
    <w:rsid w:val="00500D85"/>
    <w:rsid w:val="00500D8B"/>
    <w:rsid w:val="00501103"/>
    <w:rsid w:val="00501990"/>
    <w:rsid w:val="00501DA1"/>
    <w:rsid w:val="00501DE8"/>
    <w:rsid w:val="00502117"/>
    <w:rsid w:val="005026A7"/>
    <w:rsid w:val="005029DD"/>
    <w:rsid w:val="00502AD5"/>
    <w:rsid w:val="005030CE"/>
    <w:rsid w:val="005030F8"/>
    <w:rsid w:val="005031B9"/>
    <w:rsid w:val="005045AB"/>
    <w:rsid w:val="00504815"/>
    <w:rsid w:val="00504B1D"/>
    <w:rsid w:val="00504D31"/>
    <w:rsid w:val="00505462"/>
    <w:rsid w:val="0050560B"/>
    <w:rsid w:val="005056C0"/>
    <w:rsid w:val="00505888"/>
    <w:rsid w:val="00505A47"/>
    <w:rsid w:val="00506870"/>
    <w:rsid w:val="00507B8D"/>
    <w:rsid w:val="00510015"/>
    <w:rsid w:val="005104B8"/>
    <w:rsid w:val="0051072C"/>
    <w:rsid w:val="00510BED"/>
    <w:rsid w:val="005113DF"/>
    <w:rsid w:val="005115E6"/>
    <w:rsid w:val="00512EEC"/>
    <w:rsid w:val="00513568"/>
    <w:rsid w:val="00513E3D"/>
    <w:rsid w:val="00513E83"/>
    <w:rsid w:val="0051481E"/>
    <w:rsid w:val="00514917"/>
    <w:rsid w:val="005152D9"/>
    <w:rsid w:val="00516182"/>
    <w:rsid w:val="00517173"/>
    <w:rsid w:val="005206DF"/>
    <w:rsid w:val="00520D28"/>
    <w:rsid w:val="00520F62"/>
    <w:rsid w:val="0052136D"/>
    <w:rsid w:val="00521C12"/>
    <w:rsid w:val="005231E8"/>
    <w:rsid w:val="00523916"/>
    <w:rsid w:val="00524036"/>
    <w:rsid w:val="00524E37"/>
    <w:rsid w:val="005256BF"/>
    <w:rsid w:val="00525BD7"/>
    <w:rsid w:val="005264F8"/>
    <w:rsid w:val="005266C9"/>
    <w:rsid w:val="00526854"/>
    <w:rsid w:val="00526A58"/>
    <w:rsid w:val="00526FDF"/>
    <w:rsid w:val="0052775E"/>
    <w:rsid w:val="00527932"/>
    <w:rsid w:val="00527F3A"/>
    <w:rsid w:val="00527F86"/>
    <w:rsid w:val="005309E9"/>
    <w:rsid w:val="00530C60"/>
    <w:rsid w:val="00531020"/>
    <w:rsid w:val="0053190B"/>
    <w:rsid w:val="005319D8"/>
    <w:rsid w:val="00531AF3"/>
    <w:rsid w:val="00532784"/>
    <w:rsid w:val="00532DD5"/>
    <w:rsid w:val="0053388E"/>
    <w:rsid w:val="00533A61"/>
    <w:rsid w:val="005341B4"/>
    <w:rsid w:val="00534B95"/>
    <w:rsid w:val="005351D8"/>
    <w:rsid w:val="0053551A"/>
    <w:rsid w:val="00535735"/>
    <w:rsid w:val="00536F95"/>
    <w:rsid w:val="0053721B"/>
    <w:rsid w:val="00540640"/>
    <w:rsid w:val="00540DA9"/>
    <w:rsid w:val="00541106"/>
    <w:rsid w:val="005412BA"/>
    <w:rsid w:val="0054163A"/>
    <w:rsid w:val="005420F2"/>
    <w:rsid w:val="005431F7"/>
    <w:rsid w:val="005433CB"/>
    <w:rsid w:val="00544AAC"/>
    <w:rsid w:val="0054586D"/>
    <w:rsid w:val="00545DF8"/>
    <w:rsid w:val="00546997"/>
    <w:rsid w:val="00546DE3"/>
    <w:rsid w:val="00547730"/>
    <w:rsid w:val="00547C48"/>
    <w:rsid w:val="00547DF1"/>
    <w:rsid w:val="00550531"/>
    <w:rsid w:val="00550815"/>
    <w:rsid w:val="00551DD8"/>
    <w:rsid w:val="00552259"/>
    <w:rsid w:val="00552C82"/>
    <w:rsid w:val="005532EF"/>
    <w:rsid w:val="005538A6"/>
    <w:rsid w:val="00553A5E"/>
    <w:rsid w:val="00554019"/>
    <w:rsid w:val="00554EF1"/>
    <w:rsid w:val="005557E9"/>
    <w:rsid w:val="005560C6"/>
    <w:rsid w:val="0055627C"/>
    <w:rsid w:val="00556867"/>
    <w:rsid w:val="00556AEB"/>
    <w:rsid w:val="00556B03"/>
    <w:rsid w:val="00556F85"/>
    <w:rsid w:val="00557349"/>
    <w:rsid w:val="00557CF0"/>
    <w:rsid w:val="00557E15"/>
    <w:rsid w:val="0056004D"/>
    <w:rsid w:val="005601A1"/>
    <w:rsid w:val="00560D78"/>
    <w:rsid w:val="0056122C"/>
    <w:rsid w:val="00561A6D"/>
    <w:rsid w:val="00561EF6"/>
    <w:rsid w:val="0056211B"/>
    <w:rsid w:val="005628B6"/>
    <w:rsid w:val="00562C5A"/>
    <w:rsid w:val="00562C5E"/>
    <w:rsid w:val="00563459"/>
    <w:rsid w:val="005647A5"/>
    <w:rsid w:val="00566B0C"/>
    <w:rsid w:val="005671E9"/>
    <w:rsid w:val="00567E43"/>
    <w:rsid w:val="00570A71"/>
    <w:rsid w:val="0057107D"/>
    <w:rsid w:val="00571661"/>
    <w:rsid w:val="005718D3"/>
    <w:rsid w:val="00571B6D"/>
    <w:rsid w:val="005721CB"/>
    <w:rsid w:val="00572633"/>
    <w:rsid w:val="005733F7"/>
    <w:rsid w:val="00573439"/>
    <w:rsid w:val="00573547"/>
    <w:rsid w:val="005739FB"/>
    <w:rsid w:val="00573C42"/>
    <w:rsid w:val="00574B8E"/>
    <w:rsid w:val="0057540E"/>
    <w:rsid w:val="0057557D"/>
    <w:rsid w:val="00575D01"/>
    <w:rsid w:val="00576F7E"/>
    <w:rsid w:val="005771CB"/>
    <w:rsid w:val="00577256"/>
    <w:rsid w:val="0058035F"/>
    <w:rsid w:val="0058092A"/>
    <w:rsid w:val="00580D15"/>
    <w:rsid w:val="00581303"/>
    <w:rsid w:val="00581318"/>
    <w:rsid w:val="00581358"/>
    <w:rsid w:val="00581FA0"/>
    <w:rsid w:val="00582049"/>
    <w:rsid w:val="00582316"/>
    <w:rsid w:val="00582966"/>
    <w:rsid w:val="00582DCF"/>
    <w:rsid w:val="00582F63"/>
    <w:rsid w:val="00584211"/>
    <w:rsid w:val="00584246"/>
    <w:rsid w:val="00585847"/>
    <w:rsid w:val="00585E9E"/>
    <w:rsid w:val="005878A4"/>
    <w:rsid w:val="00587EC2"/>
    <w:rsid w:val="0059106D"/>
    <w:rsid w:val="005916D3"/>
    <w:rsid w:val="005918DA"/>
    <w:rsid w:val="00591A65"/>
    <w:rsid w:val="005920F7"/>
    <w:rsid w:val="00592471"/>
    <w:rsid w:val="00592B97"/>
    <w:rsid w:val="005939C7"/>
    <w:rsid w:val="00593ED2"/>
    <w:rsid w:val="0059478A"/>
    <w:rsid w:val="00594790"/>
    <w:rsid w:val="005953B4"/>
    <w:rsid w:val="00595680"/>
    <w:rsid w:val="005956F4"/>
    <w:rsid w:val="005964B6"/>
    <w:rsid w:val="00596C22"/>
    <w:rsid w:val="00596C3D"/>
    <w:rsid w:val="0059715B"/>
    <w:rsid w:val="00597417"/>
    <w:rsid w:val="00597784"/>
    <w:rsid w:val="005A0480"/>
    <w:rsid w:val="005A14CC"/>
    <w:rsid w:val="005A1CB3"/>
    <w:rsid w:val="005A236D"/>
    <w:rsid w:val="005A2724"/>
    <w:rsid w:val="005A2731"/>
    <w:rsid w:val="005A2EC2"/>
    <w:rsid w:val="005A2F75"/>
    <w:rsid w:val="005A36C9"/>
    <w:rsid w:val="005A37D6"/>
    <w:rsid w:val="005A3CCD"/>
    <w:rsid w:val="005A3D53"/>
    <w:rsid w:val="005A44A6"/>
    <w:rsid w:val="005A455B"/>
    <w:rsid w:val="005A4E43"/>
    <w:rsid w:val="005A4E8E"/>
    <w:rsid w:val="005A665E"/>
    <w:rsid w:val="005A7105"/>
    <w:rsid w:val="005A7712"/>
    <w:rsid w:val="005A7886"/>
    <w:rsid w:val="005A7A10"/>
    <w:rsid w:val="005A7D31"/>
    <w:rsid w:val="005A7EB6"/>
    <w:rsid w:val="005B0825"/>
    <w:rsid w:val="005B08BA"/>
    <w:rsid w:val="005B17FF"/>
    <w:rsid w:val="005B2698"/>
    <w:rsid w:val="005B26AE"/>
    <w:rsid w:val="005B2775"/>
    <w:rsid w:val="005B27BF"/>
    <w:rsid w:val="005B2E97"/>
    <w:rsid w:val="005B337F"/>
    <w:rsid w:val="005B3787"/>
    <w:rsid w:val="005B3C2B"/>
    <w:rsid w:val="005B3DB3"/>
    <w:rsid w:val="005B3E8D"/>
    <w:rsid w:val="005B5097"/>
    <w:rsid w:val="005B518B"/>
    <w:rsid w:val="005B5771"/>
    <w:rsid w:val="005B5938"/>
    <w:rsid w:val="005B5BD0"/>
    <w:rsid w:val="005B5D73"/>
    <w:rsid w:val="005B6409"/>
    <w:rsid w:val="005B6EF0"/>
    <w:rsid w:val="005B74F7"/>
    <w:rsid w:val="005C0186"/>
    <w:rsid w:val="005C12A1"/>
    <w:rsid w:val="005C1751"/>
    <w:rsid w:val="005C1DFE"/>
    <w:rsid w:val="005C1ECB"/>
    <w:rsid w:val="005C20AE"/>
    <w:rsid w:val="005C2262"/>
    <w:rsid w:val="005C2557"/>
    <w:rsid w:val="005C279B"/>
    <w:rsid w:val="005C2F7D"/>
    <w:rsid w:val="005C3A37"/>
    <w:rsid w:val="005C454D"/>
    <w:rsid w:val="005C54E4"/>
    <w:rsid w:val="005C5D9A"/>
    <w:rsid w:val="005C6467"/>
    <w:rsid w:val="005C6754"/>
    <w:rsid w:val="005C6845"/>
    <w:rsid w:val="005C6E16"/>
    <w:rsid w:val="005D0143"/>
    <w:rsid w:val="005D0482"/>
    <w:rsid w:val="005D06A0"/>
    <w:rsid w:val="005D0F07"/>
    <w:rsid w:val="005D0FAF"/>
    <w:rsid w:val="005D0FDF"/>
    <w:rsid w:val="005D2932"/>
    <w:rsid w:val="005D3A6B"/>
    <w:rsid w:val="005D4B4D"/>
    <w:rsid w:val="005D57A9"/>
    <w:rsid w:val="005D5D85"/>
    <w:rsid w:val="005D67E9"/>
    <w:rsid w:val="005D6853"/>
    <w:rsid w:val="005D70AB"/>
    <w:rsid w:val="005D7B22"/>
    <w:rsid w:val="005E08E3"/>
    <w:rsid w:val="005E09DE"/>
    <w:rsid w:val="005E128B"/>
    <w:rsid w:val="005E185B"/>
    <w:rsid w:val="005E18FF"/>
    <w:rsid w:val="005E2498"/>
    <w:rsid w:val="005E281E"/>
    <w:rsid w:val="005E486E"/>
    <w:rsid w:val="005E4940"/>
    <w:rsid w:val="005E5025"/>
    <w:rsid w:val="005E618C"/>
    <w:rsid w:val="005E667B"/>
    <w:rsid w:val="005E7198"/>
    <w:rsid w:val="005E76CE"/>
    <w:rsid w:val="005E7A46"/>
    <w:rsid w:val="005E7E1A"/>
    <w:rsid w:val="005F0026"/>
    <w:rsid w:val="005F0169"/>
    <w:rsid w:val="005F082A"/>
    <w:rsid w:val="005F11C7"/>
    <w:rsid w:val="005F1303"/>
    <w:rsid w:val="005F24A6"/>
    <w:rsid w:val="005F2567"/>
    <w:rsid w:val="005F2C23"/>
    <w:rsid w:val="005F36E7"/>
    <w:rsid w:val="005F3864"/>
    <w:rsid w:val="005F3876"/>
    <w:rsid w:val="005F4ED9"/>
    <w:rsid w:val="005F530A"/>
    <w:rsid w:val="005F5847"/>
    <w:rsid w:val="005F5A6E"/>
    <w:rsid w:val="005F696B"/>
    <w:rsid w:val="005F6B9A"/>
    <w:rsid w:val="005F70E7"/>
    <w:rsid w:val="005F744E"/>
    <w:rsid w:val="005F771A"/>
    <w:rsid w:val="005F7B75"/>
    <w:rsid w:val="005F7DB7"/>
    <w:rsid w:val="006001EE"/>
    <w:rsid w:val="00600EFA"/>
    <w:rsid w:val="00600FD3"/>
    <w:rsid w:val="0060153A"/>
    <w:rsid w:val="00601C2B"/>
    <w:rsid w:val="00603914"/>
    <w:rsid w:val="00603D7D"/>
    <w:rsid w:val="00604391"/>
    <w:rsid w:val="00604397"/>
    <w:rsid w:val="00604447"/>
    <w:rsid w:val="006046AF"/>
    <w:rsid w:val="00604CAE"/>
    <w:rsid w:val="00604D17"/>
    <w:rsid w:val="00604EA7"/>
    <w:rsid w:val="00605042"/>
    <w:rsid w:val="00605496"/>
    <w:rsid w:val="0060684C"/>
    <w:rsid w:val="00606F22"/>
    <w:rsid w:val="00607F75"/>
    <w:rsid w:val="006119E7"/>
    <w:rsid w:val="00611A1E"/>
    <w:rsid w:val="00611FC4"/>
    <w:rsid w:val="00613312"/>
    <w:rsid w:val="006134D9"/>
    <w:rsid w:val="00613999"/>
    <w:rsid w:val="00615593"/>
    <w:rsid w:val="00615D60"/>
    <w:rsid w:val="00617609"/>
    <w:rsid w:val="00617649"/>
    <w:rsid w:val="006176FB"/>
    <w:rsid w:val="00620391"/>
    <w:rsid w:val="00620A20"/>
    <w:rsid w:val="00620D3F"/>
    <w:rsid w:val="00620E06"/>
    <w:rsid w:val="00621202"/>
    <w:rsid w:val="006213F7"/>
    <w:rsid w:val="00621EA5"/>
    <w:rsid w:val="006226D0"/>
    <w:rsid w:val="00622783"/>
    <w:rsid w:val="00622C88"/>
    <w:rsid w:val="0062330A"/>
    <w:rsid w:val="00623363"/>
    <w:rsid w:val="0062347C"/>
    <w:rsid w:val="0062351B"/>
    <w:rsid w:val="006237E4"/>
    <w:rsid w:val="00624087"/>
    <w:rsid w:val="006240FE"/>
    <w:rsid w:val="00624747"/>
    <w:rsid w:val="00624E4F"/>
    <w:rsid w:val="0062562F"/>
    <w:rsid w:val="006257FC"/>
    <w:rsid w:val="006268DC"/>
    <w:rsid w:val="0062714E"/>
    <w:rsid w:val="006274B6"/>
    <w:rsid w:val="00627596"/>
    <w:rsid w:val="00627A2C"/>
    <w:rsid w:val="00627BCF"/>
    <w:rsid w:val="006306CE"/>
    <w:rsid w:val="00630FAA"/>
    <w:rsid w:val="00632105"/>
    <w:rsid w:val="0063242A"/>
    <w:rsid w:val="00632789"/>
    <w:rsid w:val="00632BA9"/>
    <w:rsid w:val="006337C6"/>
    <w:rsid w:val="00634752"/>
    <w:rsid w:val="00634A8E"/>
    <w:rsid w:val="00634B7E"/>
    <w:rsid w:val="00636372"/>
    <w:rsid w:val="006365D5"/>
    <w:rsid w:val="0063675F"/>
    <w:rsid w:val="00636DF7"/>
    <w:rsid w:val="006370AE"/>
    <w:rsid w:val="00637446"/>
    <w:rsid w:val="00637857"/>
    <w:rsid w:val="00637874"/>
    <w:rsid w:val="00637C15"/>
    <w:rsid w:val="00637EFB"/>
    <w:rsid w:val="0064071C"/>
    <w:rsid w:val="00640B26"/>
    <w:rsid w:val="006412DF"/>
    <w:rsid w:val="00641E29"/>
    <w:rsid w:val="00642C37"/>
    <w:rsid w:val="00642E47"/>
    <w:rsid w:val="006446CC"/>
    <w:rsid w:val="00644A64"/>
    <w:rsid w:val="00645547"/>
    <w:rsid w:val="0064574D"/>
    <w:rsid w:val="00647820"/>
    <w:rsid w:val="006505CA"/>
    <w:rsid w:val="00650F6C"/>
    <w:rsid w:val="00651186"/>
    <w:rsid w:val="00651423"/>
    <w:rsid w:val="006515E4"/>
    <w:rsid w:val="006519E8"/>
    <w:rsid w:val="00651D7E"/>
    <w:rsid w:val="00651EA1"/>
    <w:rsid w:val="00652D0A"/>
    <w:rsid w:val="00652E12"/>
    <w:rsid w:val="00653797"/>
    <w:rsid w:val="006538B6"/>
    <w:rsid w:val="00653E95"/>
    <w:rsid w:val="00653F24"/>
    <w:rsid w:val="0065498B"/>
    <w:rsid w:val="00655A99"/>
    <w:rsid w:val="00655C7A"/>
    <w:rsid w:val="00656907"/>
    <w:rsid w:val="00656B69"/>
    <w:rsid w:val="00657B89"/>
    <w:rsid w:val="00657DA1"/>
    <w:rsid w:val="006604CD"/>
    <w:rsid w:val="0066067C"/>
    <w:rsid w:val="00660B2A"/>
    <w:rsid w:val="00660D11"/>
    <w:rsid w:val="00660F8C"/>
    <w:rsid w:val="006618B4"/>
    <w:rsid w:val="00661C57"/>
    <w:rsid w:val="00661FA2"/>
    <w:rsid w:val="006622F7"/>
    <w:rsid w:val="00662BB6"/>
    <w:rsid w:val="00662F07"/>
    <w:rsid w:val="0066308C"/>
    <w:rsid w:val="006636C4"/>
    <w:rsid w:val="00663907"/>
    <w:rsid w:val="00663F21"/>
    <w:rsid w:val="006643AF"/>
    <w:rsid w:val="00664F28"/>
    <w:rsid w:val="00665A10"/>
    <w:rsid w:val="00665B09"/>
    <w:rsid w:val="006671B9"/>
    <w:rsid w:val="00667C9D"/>
    <w:rsid w:val="00667EFD"/>
    <w:rsid w:val="00671A43"/>
    <w:rsid w:val="00672546"/>
    <w:rsid w:val="00672C62"/>
    <w:rsid w:val="00672CA7"/>
    <w:rsid w:val="0067398A"/>
    <w:rsid w:val="00673990"/>
    <w:rsid w:val="00674565"/>
    <w:rsid w:val="00674C19"/>
    <w:rsid w:val="00674D19"/>
    <w:rsid w:val="00674DD3"/>
    <w:rsid w:val="006752B3"/>
    <w:rsid w:val="00675C17"/>
    <w:rsid w:val="00675F91"/>
    <w:rsid w:val="00676249"/>
    <w:rsid w:val="00676483"/>
    <w:rsid w:val="00676887"/>
    <w:rsid w:val="00676A0B"/>
    <w:rsid w:val="00677843"/>
    <w:rsid w:val="00680067"/>
    <w:rsid w:val="006801F9"/>
    <w:rsid w:val="0068022E"/>
    <w:rsid w:val="0068163D"/>
    <w:rsid w:val="006832BC"/>
    <w:rsid w:val="006835CA"/>
    <w:rsid w:val="0068366A"/>
    <w:rsid w:val="00683F93"/>
    <w:rsid w:val="00684C21"/>
    <w:rsid w:val="00685980"/>
    <w:rsid w:val="00685B85"/>
    <w:rsid w:val="00685E81"/>
    <w:rsid w:val="0068702B"/>
    <w:rsid w:val="006874D4"/>
    <w:rsid w:val="00687AA8"/>
    <w:rsid w:val="00687E2B"/>
    <w:rsid w:val="006901B8"/>
    <w:rsid w:val="006905D8"/>
    <w:rsid w:val="006916C3"/>
    <w:rsid w:val="0069181B"/>
    <w:rsid w:val="00691945"/>
    <w:rsid w:val="00692721"/>
    <w:rsid w:val="00692B0C"/>
    <w:rsid w:val="00693500"/>
    <w:rsid w:val="0069357F"/>
    <w:rsid w:val="0069365E"/>
    <w:rsid w:val="00693713"/>
    <w:rsid w:val="00693898"/>
    <w:rsid w:val="006939AB"/>
    <w:rsid w:val="00693A2E"/>
    <w:rsid w:val="00694804"/>
    <w:rsid w:val="00694A55"/>
    <w:rsid w:val="00694A9A"/>
    <w:rsid w:val="00694B46"/>
    <w:rsid w:val="0069564E"/>
    <w:rsid w:val="00696200"/>
    <w:rsid w:val="006966D4"/>
    <w:rsid w:val="006968C9"/>
    <w:rsid w:val="00696A3C"/>
    <w:rsid w:val="00696DBF"/>
    <w:rsid w:val="006A03E5"/>
    <w:rsid w:val="006A0623"/>
    <w:rsid w:val="006A0820"/>
    <w:rsid w:val="006A0CC3"/>
    <w:rsid w:val="006A0DDA"/>
    <w:rsid w:val="006A1052"/>
    <w:rsid w:val="006A1066"/>
    <w:rsid w:val="006A38CB"/>
    <w:rsid w:val="006A3C5A"/>
    <w:rsid w:val="006A4851"/>
    <w:rsid w:val="006A4FDD"/>
    <w:rsid w:val="006A52ED"/>
    <w:rsid w:val="006A573A"/>
    <w:rsid w:val="006A5956"/>
    <w:rsid w:val="006A6545"/>
    <w:rsid w:val="006A6FE2"/>
    <w:rsid w:val="006A71C2"/>
    <w:rsid w:val="006B1205"/>
    <w:rsid w:val="006B122B"/>
    <w:rsid w:val="006B126A"/>
    <w:rsid w:val="006B155D"/>
    <w:rsid w:val="006B1711"/>
    <w:rsid w:val="006B25C3"/>
    <w:rsid w:val="006B2B77"/>
    <w:rsid w:val="006B3670"/>
    <w:rsid w:val="006B38B0"/>
    <w:rsid w:val="006B4268"/>
    <w:rsid w:val="006B4907"/>
    <w:rsid w:val="006B520E"/>
    <w:rsid w:val="006B5886"/>
    <w:rsid w:val="006B5990"/>
    <w:rsid w:val="006B60C7"/>
    <w:rsid w:val="006B6CDA"/>
    <w:rsid w:val="006B737F"/>
    <w:rsid w:val="006B7A88"/>
    <w:rsid w:val="006B7C8C"/>
    <w:rsid w:val="006C19AB"/>
    <w:rsid w:val="006C1A70"/>
    <w:rsid w:val="006C2C82"/>
    <w:rsid w:val="006C2D1A"/>
    <w:rsid w:val="006C2FF9"/>
    <w:rsid w:val="006C3155"/>
    <w:rsid w:val="006C336F"/>
    <w:rsid w:val="006C381B"/>
    <w:rsid w:val="006C3CFE"/>
    <w:rsid w:val="006C3D06"/>
    <w:rsid w:val="006C4082"/>
    <w:rsid w:val="006C45E9"/>
    <w:rsid w:val="006C499D"/>
    <w:rsid w:val="006C4E87"/>
    <w:rsid w:val="006C5444"/>
    <w:rsid w:val="006C5F40"/>
    <w:rsid w:val="006C63FB"/>
    <w:rsid w:val="006C7AA3"/>
    <w:rsid w:val="006C7F9C"/>
    <w:rsid w:val="006D04C4"/>
    <w:rsid w:val="006D07AA"/>
    <w:rsid w:val="006D0B7D"/>
    <w:rsid w:val="006D0C07"/>
    <w:rsid w:val="006D1216"/>
    <w:rsid w:val="006D1424"/>
    <w:rsid w:val="006D1445"/>
    <w:rsid w:val="006D156C"/>
    <w:rsid w:val="006D16BE"/>
    <w:rsid w:val="006D26F0"/>
    <w:rsid w:val="006D2A70"/>
    <w:rsid w:val="006D2AF3"/>
    <w:rsid w:val="006D30B4"/>
    <w:rsid w:val="006D3246"/>
    <w:rsid w:val="006D37AF"/>
    <w:rsid w:val="006D4283"/>
    <w:rsid w:val="006D466B"/>
    <w:rsid w:val="006D4C3E"/>
    <w:rsid w:val="006D4FEE"/>
    <w:rsid w:val="006D51D0"/>
    <w:rsid w:val="006D54EA"/>
    <w:rsid w:val="006D5CF1"/>
    <w:rsid w:val="006D5D60"/>
    <w:rsid w:val="006D6980"/>
    <w:rsid w:val="006D6E20"/>
    <w:rsid w:val="006D715C"/>
    <w:rsid w:val="006D7250"/>
    <w:rsid w:val="006D7EFC"/>
    <w:rsid w:val="006E1152"/>
    <w:rsid w:val="006E1323"/>
    <w:rsid w:val="006E15DC"/>
    <w:rsid w:val="006E233D"/>
    <w:rsid w:val="006E4DA6"/>
    <w:rsid w:val="006E564B"/>
    <w:rsid w:val="006E57F0"/>
    <w:rsid w:val="006E6437"/>
    <w:rsid w:val="006E6851"/>
    <w:rsid w:val="006E7191"/>
    <w:rsid w:val="006E7A4B"/>
    <w:rsid w:val="006E7C5C"/>
    <w:rsid w:val="006F026F"/>
    <w:rsid w:val="006F14EA"/>
    <w:rsid w:val="006F16D6"/>
    <w:rsid w:val="006F1E15"/>
    <w:rsid w:val="006F1F43"/>
    <w:rsid w:val="006F247A"/>
    <w:rsid w:val="006F34A6"/>
    <w:rsid w:val="006F415E"/>
    <w:rsid w:val="006F4B46"/>
    <w:rsid w:val="006F5689"/>
    <w:rsid w:val="006F65F6"/>
    <w:rsid w:val="006F6CC3"/>
    <w:rsid w:val="006F7348"/>
    <w:rsid w:val="007001C2"/>
    <w:rsid w:val="00700D64"/>
    <w:rsid w:val="00701B02"/>
    <w:rsid w:val="00701F12"/>
    <w:rsid w:val="0070213F"/>
    <w:rsid w:val="00702330"/>
    <w:rsid w:val="00702FE5"/>
    <w:rsid w:val="00703577"/>
    <w:rsid w:val="00704193"/>
    <w:rsid w:val="00704265"/>
    <w:rsid w:val="00704402"/>
    <w:rsid w:val="00705A69"/>
    <w:rsid w:val="007061CF"/>
    <w:rsid w:val="00706C2E"/>
    <w:rsid w:val="00707012"/>
    <w:rsid w:val="007075C1"/>
    <w:rsid w:val="0071080C"/>
    <w:rsid w:val="00710AC2"/>
    <w:rsid w:val="00711511"/>
    <w:rsid w:val="007115EF"/>
    <w:rsid w:val="007119F0"/>
    <w:rsid w:val="00711C7D"/>
    <w:rsid w:val="0071224C"/>
    <w:rsid w:val="00712D7E"/>
    <w:rsid w:val="00714378"/>
    <w:rsid w:val="0071441B"/>
    <w:rsid w:val="00714477"/>
    <w:rsid w:val="00714EC5"/>
    <w:rsid w:val="007157EB"/>
    <w:rsid w:val="00715AEA"/>
    <w:rsid w:val="00715B4A"/>
    <w:rsid w:val="007160E4"/>
    <w:rsid w:val="0071643C"/>
    <w:rsid w:val="007166B3"/>
    <w:rsid w:val="007178BC"/>
    <w:rsid w:val="00717E58"/>
    <w:rsid w:val="007200FC"/>
    <w:rsid w:val="00721368"/>
    <w:rsid w:val="00721A28"/>
    <w:rsid w:val="007231D9"/>
    <w:rsid w:val="007232EF"/>
    <w:rsid w:val="0072554C"/>
    <w:rsid w:val="00725FE3"/>
    <w:rsid w:val="007262C0"/>
    <w:rsid w:val="0072632A"/>
    <w:rsid w:val="00726C3D"/>
    <w:rsid w:val="007277EF"/>
    <w:rsid w:val="00727812"/>
    <w:rsid w:val="007302C4"/>
    <w:rsid w:val="00730F0F"/>
    <w:rsid w:val="00731121"/>
    <w:rsid w:val="0073134B"/>
    <w:rsid w:val="007313D3"/>
    <w:rsid w:val="00731681"/>
    <w:rsid w:val="00731EB3"/>
    <w:rsid w:val="007327D5"/>
    <w:rsid w:val="0073281E"/>
    <w:rsid w:val="00732870"/>
    <w:rsid w:val="00733EB9"/>
    <w:rsid w:val="00734854"/>
    <w:rsid w:val="00734BDF"/>
    <w:rsid w:val="00734D09"/>
    <w:rsid w:val="007355A1"/>
    <w:rsid w:val="00735ABB"/>
    <w:rsid w:val="00736A5C"/>
    <w:rsid w:val="00736DFC"/>
    <w:rsid w:val="00737B30"/>
    <w:rsid w:val="00740167"/>
    <w:rsid w:val="007404DF"/>
    <w:rsid w:val="007405FB"/>
    <w:rsid w:val="00740894"/>
    <w:rsid w:val="00740AD5"/>
    <w:rsid w:val="007410AF"/>
    <w:rsid w:val="00741160"/>
    <w:rsid w:val="00741676"/>
    <w:rsid w:val="00741698"/>
    <w:rsid w:val="00741A77"/>
    <w:rsid w:val="00741C82"/>
    <w:rsid w:val="00741CE0"/>
    <w:rsid w:val="0074254F"/>
    <w:rsid w:val="0074267E"/>
    <w:rsid w:val="00742E67"/>
    <w:rsid w:val="00743DA5"/>
    <w:rsid w:val="00744D25"/>
    <w:rsid w:val="0074534D"/>
    <w:rsid w:val="0074574E"/>
    <w:rsid w:val="00745B56"/>
    <w:rsid w:val="00745B7E"/>
    <w:rsid w:val="00745FF6"/>
    <w:rsid w:val="007473FB"/>
    <w:rsid w:val="007477E0"/>
    <w:rsid w:val="00747D38"/>
    <w:rsid w:val="00750553"/>
    <w:rsid w:val="00751D6E"/>
    <w:rsid w:val="0075212B"/>
    <w:rsid w:val="00752534"/>
    <w:rsid w:val="0075261D"/>
    <w:rsid w:val="007529E0"/>
    <w:rsid w:val="00752AD0"/>
    <w:rsid w:val="00752EB0"/>
    <w:rsid w:val="007532AC"/>
    <w:rsid w:val="007534A1"/>
    <w:rsid w:val="0075360D"/>
    <w:rsid w:val="00753D14"/>
    <w:rsid w:val="0075448C"/>
    <w:rsid w:val="0075467D"/>
    <w:rsid w:val="00754934"/>
    <w:rsid w:val="0075581A"/>
    <w:rsid w:val="00756EE7"/>
    <w:rsid w:val="00757297"/>
    <w:rsid w:val="00757E15"/>
    <w:rsid w:val="00757E66"/>
    <w:rsid w:val="00761E97"/>
    <w:rsid w:val="007629C8"/>
    <w:rsid w:val="00764549"/>
    <w:rsid w:val="00764AE1"/>
    <w:rsid w:val="007663AD"/>
    <w:rsid w:val="00766830"/>
    <w:rsid w:val="007672D5"/>
    <w:rsid w:val="00767314"/>
    <w:rsid w:val="007678B1"/>
    <w:rsid w:val="0077046F"/>
    <w:rsid w:val="00771444"/>
    <w:rsid w:val="007719F6"/>
    <w:rsid w:val="00771E0E"/>
    <w:rsid w:val="00771E2A"/>
    <w:rsid w:val="00773242"/>
    <w:rsid w:val="00773B50"/>
    <w:rsid w:val="00773B84"/>
    <w:rsid w:val="007742EF"/>
    <w:rsid w:val="0077474D"/>
    <w:rsid w:val="00774F25"/>
    <w:rsid w:val="0077512A"/>
    <w:rsid w:val="007759A8"/>
    <w:rsid w:val="00775B68"/>
    <w:rsid w:val="00775EEA"/>
    <w:rsid w:val="0077625E"/>
    <w:rsid w:val="007765F6"/>
    <w:rsid w:val="007767A5"/>
    <w:rsid w:val="0077757B"/>
    <w:rsid w:val="007801CB"/>
    <w:rsid w:val="00781196"/>
    <w:rsid w:val="00781E74"/>
    <w:rsid w:val="00781F79"/>
    <w:rsid w:val="00782178"/>
    <w:rsid w:val="007821FF"/>
    <w:rsid w:val="0078233F"/>
    <w:rsid w:val="00782413"/>
    <w:rsid w:val="007827E9"/>
    <w:rsid w:val="007831C7"/>
    <w:rsid w:val="007834EB"/>
    <w:rsid w:val="0078353A"/>
    <w:rsid w:val="007837F1"/>
    <w:rsid w:val="0078425F"/>
    <w:rsid w:val="00784B2C"/>
    <w:rsid w:val="007853D8"/>
    <w:rsid w:val="0078579D"/>
    <w:rsid w:val="007862D0"/>
    <w:rsid w:val="00786384"/>
    <w:rsid w:val="00786B3F"/>
    <w:rsid w:val="00790878"/>
    <w:rsid w:val="00790E88"/>
    <w:rsid w:val="007911BB"/>
    <w:rsid w:val="00791523"/>
    <w:rsid w:val="007918D4"/>
    <w:rsid w:val="00791B99"/>
    <w:rsid w:val="00791FE8"/>
    <w:rsid w:val="00792F00"/>
    <w:rsid w:val="007939C4"/>
    <w:rsid w:val="00793CEE"/>
    <w:rsid w:val="00794B46"/>
    <w:rsid w:val="00794BAA"/>
    <w:rsid w:val="00796BDD"/>
    <w:rsid w:val="00796E7A"/>
    <w:rsid w:val="007971E8"/>
    <w:rsid w:val="0079732A"/>
    <w:rsid w:val="00797407"/>
    <w:rsid w:val="007977DD"/>
    <w:rsid w:val="007A06C7"/>
    <w:rsid w:val="007A0A90"/>
    <w:rsid w:val="007A101F"/>
    <w:rsid w:val="007A1549"/>
    <w:rsid w:val="007A2289"/>
    <w:rsid w:val="007A30C2"/>
    <w:rsid w:val="007A322C"/>
    <w:rsid w:val="007A4029"/>
    <w:rsid w:val="007A42ED"/>
    <w:rsid w:val="007A437E"/>
    <w:rsid w:val="007A4A6B"/>
    <w:rsid w:val="007A4C1B"/>
    <w:rsid w:val="007A542D"/>
    <w:rsid w:val="007A694B"/>
    <w:rsid w:val="007A7028"/>
    <w:rsid w:val="007A7AFA"/>
    <w:rsid w:val="007A7E38"/>
    <w:rsid w:val="007B0047"/>
    <w:rsid w:val="007B0148"/>
    <w:rsid w:val="007B0CF3"/>
    <w:rsid w:val="007B1250"/>
    <w:rsid w:val="007B1C4A"/>
    <w:rsid w:val="007B22BE"/>
    <w:rsid w:val="007B25B5"/>
    <w:rsid w:val="007B2DBA"/>
    <w:rsid w:val="007B2E5B"/>
    <w:rsid w:val="007B30DB"/>
    <w:rsid w:val="007B372C"/>
    <w:rsid w:val="007B383A"/>
    <w:rsid w:val="007B3918"/>
    <w:rsid w:val="007B3F6A"/>
    <w:rsid w:val="007B455A"/>
    <w:rsid w:val="007B462F"/>
    <w:rsid w:val="007B4F34"/>
    <w:rsid w:val="007B53BE"/>
    <w:rsid w:val="007B5579"/>
    <w:rsid w:val="007B563C"/>
    <w:rsid w:val="007B5FFE"/>
    <w:rsid w:val="007B61B4"/>
    <w:rsid w:val="007B64F7"/>
    <w:rsid w:val="007B6BA5"/>
    <w:rsid w:val="007B7FC2"/>
    <w:rsid w:val="007C06D7"/>
    <w:rsid w:val="007C0ADB"/>
    <w:rsid w:val="007C0C6A"/>
    <w:rsid w:val="007C0E73"/>
    <w:rsid w:val="007C110D"/>
    <w:rsid w:val="007C1780"/>
    <w:rsid w:val="007C2406"/>
    <w:rsid w:val="007C2560"/>
    <w:rsid w:val="007C258D"/>
    <w:rsid w:val="007C2C63"/>
    <w:rsid w:val="007C308B"/>
    <w:rsid w:val="007C334C"/>
    <w:rsid w:val="007C3390"/>
    <w:rsid w:val="007C36FB"/>
    <w:rsid w:val="007C3CA1"/>
    <w:rsid w:val="007C4B13"/>
    <w:rsid w:val="007C4C18"/>
    <w:rsid w:val="007C4E24"/>
    <w:rsid w:val="007C4E85"/>
    <w:rsid w:val="007C4F4B"/>
    <w:rsid w:val="007C507C"/>
    <w:rsid w:val="007C5705"/>
    <w:rsid w:val="007C57AF"/>
    <w:rsid w:val="007C5E86"/>
    <w:rsid w:val="007C6E8A"/>
    <w:rsid w:val="007C70EE"/>
    <w:rsid w:val="007C7A13"/>
    <w:rsid w:val="007C7B03"/>
    <w:rsid w:val="007C7B2B"/>
    <w:rsid w:val="007D0396"/>
    <w:rsid w:val="007D0815"/>
    <w:rsid w:val="007D0B21"/>
    <w:rsid w:val="007D0C93"/>
    <w:rsid w:val="007D0D32"/>
    <w:rsid w:val="007D146C"/>
    <w:rsid w:val="007D1E76"/>
    <w:rsid w:val="007D1FBF"/>
    <w:rsid w:val="007D2039"/>
    <w:rsid w:val="007D2498"/>
    <w:rsid w:val="007D3174"/>
    <w:rsid w:val="007D337C"/>
    <w:rsid w:val="007D3919"/>
    <w:rsid w:val="007D5492"/>
    <w:rsid w:val="007D614E"/>
    <w:rsid w:val="007D69AD"/>
    <w:rsid w:val="007D72C9"/>
    <w:rsid w:val="007D72F9"/>
    <w:rsid w:val="007D7F18"/>
    <w:rsid w:val="007E01C9"/>
    <w:rsid w:val="007E0692"/>
    <w:rsid w:val="007E081C"/>
    <w:rsid w:val="007E0909"/>
    <w:rsid w:val="007E10A2"/>
    <w:rsid w:val="007E13E3"/>
    <w:rsid w:val="007E1E87"/>
    <w:rsid w:val="007E2611"/>
    <w:rsid w:val="007E2663"/>
    <w:rsid w:val="007E26C3"/>
    <w:rsid w:val="007E34D1"/>
    <w:rsid w:val="007E3884"/>
    <w:rsid w:val="007E3CC8"/>
    <w:rsid w:val="007E43C2"/>
    <w:rsid w:val="007E4A51"/>
    <w:rsid w:val="007E4B36"/>
    <w:rsid w:val="007E50B4"/>
    <w:rsid w:val="007E510C"/>
    <w:rsid w:val="007E5CE6"/>
    <w:rsid w:val="007E75BB"/>
    <w:rsid w:val="007F03B7"/>
    <w:rsid w:val="007F0C2C"/>
    <w:rsid w:val="007F140A"/>
    <w:rsid w:val="007F147B"/>
    <w:rsid w:val="007F263B"/>
    <w:rsid w:val="007F3281"/>
    <w:rsid w:val="007F3AAA"/>
    <w:rsid w:val="007F3B1C"/>
    <w:rsid w:val="007F3D67"/>
    <w:rsid w:val="007F40F9"/>
    <w:rsid w:val="007F45E5"/>
    <w:rsid w:val="007F467A"/>
    <w:rsid w:val="007F5096"/>
    <w:rsid w:val="007F51C9"/>
    <w:rsid w:val="007F57F7"/>
    <w:rsid w:val="007F5A30"/>
    <w:rsid w:val="007F613D"/>
    <w:rsid w:val="007F63C5"/>
    <w:rsid w:val="007F65BD"/>
    <w:rsid w:val="007F6611"/>
    <w:rsid w:val="007F692D"/>
    <w:rsid w:val="007F77A4"/>
    <w:rsid w:val="007F7A34"/>
    <w:rsid w:val="007F7AA1"/>
    <w:rsid w:val="007F7F20"/>
    <w:rsid w:val="0080019F"/>
    <w:rsid w:val="00800906"/>
    <w:rsid w:val="00800A1B"/>
    <w:rsid w:val="008010FA"/>
    <w:rsid w:val="00801B56"/>
    <w:rsid w:val="00802626"/>
    <w:rsid w:val="00802638"/>
    <w:rsid w:val="00802959"/>
    <w:rsid w:val="0080325F"/>
    <w:rsid w:val="00803DA1"/>
    <w:rsid w:val="00804621"/>
    <w:rsid w:val="00804904"/>
    <w:rsid w:val="00804AC7"/>
    <w:rsid w:val="00804D3C"/>
    <w:rsid w:val="008055E0"/>
    <w:rsid w:val="008058A5"/>
    <w:rsid w:val="00805CBA"/>
    <w:rsid w:val="008063CD"/>
    <w:rsid w:val="008063D7"/>
    <w:rsid w:val="008064EC"/>
    <w:rsid w:val="00806AF9"/>
    <w:rsid w:val="00806B7B"/>
    <w:rsid w:val="00806CAA"/>
    <w:rsid w:val="00810DDE"/>
    <w:rsid w:val="008114E7"/>
    <w:rsid w:val="00811616"/>
    <w:rsid w:val="0081165C"/>
    <w:rsid w:val="00811931"/>
    <w:rsid w:val="00811E67"/>
    <w:rsid w:val="008120B2"/>
    <w:rsid w:val="008129FA"/>
    <w:rsid w:val="0081307C"/>
    <w:rsid w:val="00813B97"/>
    <w:rsid w:val="00813F2F"/>
    <w:rsid w:val="00814060"/>
    <w:rsid w:val="0081430F"/>
    <w:rsid w:val="008144ED"/>
    <w:rsid w:val="00814C8A"/>
    <w:rsid w:val="00815051"/>
    <w:rsid w:val="008152F2"/>
    <w:rsid w:val="0081578C"/>
    <w:rsid w:val="008168F3"/>
    <w:rsid w:val="008170AC"/>
    <w:rsid w:val="00817213"/>
    <w:rsid w:val="00817245"/>
    <w:rsid w:val="00817284"/>
    <w:rsid w:val="008176CA"/>
    <w:rsid w:val="0082085A"/>
    <w:rsid w:val="00820D3B"/>
    <w:rsid w:val="00820ECF"/>
    <w:rsid w:val="00820FBD"/>
    <w:rsid w:val="008213C1"/>
    <w:rsid w:val="0082241B"/>
    <w:rsid w:val="0082323C"/>
    <w:rsid w:val="00823472"/>
    <w:rsid w:val="008238B4"/>
    <w:rsid w:val="00823B2C"/>
    <w:rsid w:val="008242D7"/>
    <w:rsid w:val="00825320"/>
    <w:rsid w:val="0082562A"/>
    <w:rsid w:val="00825799"/>
    <w:rsid w:val="008257B1"/>
    <w:rsid w:val="008259AB"/>
    <w:rsid w:val="00826234"/>
    <w:rsid w:val="00826B52"/>
    <w:rsid w:val="00826DDD"/>
    <w:rsid w:val="00826E60"/>
    <w:rsid w:val="00827F54"/>
    <w:rsid w:val="008300E3"/>
    <w:rsid w:val="0083054F"/>
    <w:rsid w:val="0083086C"/>
    <w:rsid w:val="008316D8"/>
    <w:rsid w:val="00832780"/>
    <w:rsid w:val="00832ACF"/>
    <w:rsid w:val="0083340D"/>
    <w:rsid w:val="00833795"/>
    <w:rsid w:val="00835629"/>
    <w:rsid w:val="0083595A"/>
    <w:rsid w:val="00835962"/>
    <w:rsid w:val="00835DF8"/>
    <w:rsid w:val="008360CE"/>
    <w:rsid w:val="0083647B"/>
    <w:rsid w:val="00836FCA"/>
    <w:rsid w:val="00837E7D"/>
    <w:rsid w:val="00840028"/>
    <w:rsid w:val="008405A4"/>
    <w:rsid w:val="00840F46"/>
    <w:rsid w:val="008410BF"/>
    <w:rsid w:val="008418E1"/>
    <w:rsid w:val="008427A2"/>
    <w:rsid w:val="00843086"/>
    <w:rsid w:val="008432D4"/>
    <w:rsid w:val="00843767"/>
    <w:rsid w:val="0084391D"/>
    <w:rsid w:val="008446D2"/>
    <w:rsid w:val="00844F3F"/>
    <w:rsid w:val="00845456"/>
    <w:rsid w:val="008454F7"/>
    <w:rsid w:val="0084550A"/>
    <w:rsid w:val="00845743"/>
    <w:rsid w:val="00845DE6"/>
    <w:rsid w:val="008465B1"/>
    <w:rsid w:val="008466AB"/>
    <w:rsid w:val="00846D9D"/>
    <w:rsid w:val="00847125"/>
    <w:rsid w:val="008476D9"/>
    <w:rsid w:val="00847984"/>
    <w:rsid w:val="00847FE5"/>
    <w:rsid w:val="0085015A"/>
    <w:rsid w:val="00850943"/>
    <w:rsid w:val="00850B37"/>
    <w:rsid w:val="00850B8C"/>
    <w:rsid w:val="00850BF9"/>
    <w:rsid w:val="00851163"/>
    <w:rsid w:val="00851C2A"/>
    <w:rsid w:val="00852A67"/>
    <w:rsid w:val="00855001"/>
    <w:rsid w:val="008558C5"/>
    <w:rsid w:val="00855DAE"/>
    <w:rsid w:val="00855FD9"/>
    <w:rsid w:val="008564D2"/>
    <w:rsid w:val="008575D1"/>
    <w:rsid w:val="00857BEF"/>
    <w:rsid w:val="00857CE7"/>
    <w:rsid w:val="00860035"/>
    <w:rsid w:val="008601B2"/>
    <w:rsid w:val="008606BE"/>
    <w:rsid w:val="00860A76"/>
    <w:rsid w:val="00860F2E"/>
    <w:rsid w:val="00861D78"/>
    <w:rsid w:val="00861E9C"/>
    <w:rsid w:val="00861F1C"/>
    <w:rsid w:val="0086211D"/>
    <w:rsid w:val="008638F8"/>
    <w:rsid w:val="00863B7C"/>
    <w:rsid w:val="00863D2C"/>
    <w:rsid w:val="00864306"/>
    <w:rsid w:val="008645F5"/>
    <w:rsid w:val="00864D5A"/>
    <w:rsid w:val="00864EC7"/>
    <w:rsid w:val="00865217"/>
    <w:rsid w:val="008658FB"/>
    <w:rsid w:val="00865B18"/>
    <w:rsid w:val="00866436"/>
    <w:rsid w:val="00866F19"/>
    <w:rsid w:val="0086796A"/>
    <w:rsid w:val="008679D9"/>
    <w:rsid w:val="0087031A"/>
    <w:rsid w:val="00870748"/>
    <w:rsid w:val="008715B3"/>
    <w:rsid w:val="00871937"/>
    <w:rsid w:val="00871BEB"/>
    <w:rsid w:val="008721CE"/>
    <w:rsid w:val="008721D9"/>
    <w:rsid w:val="00873804"/>
    <w:rsid w:val="00874F67"/>
    <w:rsid w:val="0087507D"/>
    <w:rsid w:val="008752E4"/>
    <w:rsid w:val="00875781"/>
    <w:rsid w:val="00875A66"/>
    <w:rsid w:val="00875BE3"/>
    <w:rsid w:val="00875DF4"/>
    <w:rsid w:val="00877EB0"/>
    <w:rsid w:val="00877FC7"/>
    <w:rsid w:val="008805D4"/>
    <w:rsid w:val="008809F2"/>
    <w:rsid w:val="00880F0B"/>
    <w:rsid w:val="008819E8"/>
    <w:rsid w:val="00881C11"/>
    <w:rsid w:val="00881ED7"/>
    <w:rsid w:val="008822AB"/>
    <w:rsid w:val="00882352"/>
    <w:rsid w:val="00882BF4"/>
    <w:rsid w:val="00883C7C"/>
    <w:rsid w:val="00884196"/>
    <w:rsid w:val="008856C2"/>
    <w:rsid w:val="00885D88"/>
    <w:rsid w:val="00885FDA"/>
    <w:rsid w:val="008862F9"/>
    <w:rsid w:val="00886544"/>
    <w:rsid w:val="008865ED"/>
    <w:rsid w:val="00886903"/>
    <w:rsid w:val="00886C88"/>
    <w:rsid w:val="008902E0"/>
    <w:rsid w:val="008911B1"/>
    <w:rsid w:val="00891F05"/>
    <w:rsid w:val="00892A8C"/>
    <w:rsid w:val="00892E2F"/>
    <w:rsid w:val="00893BDC"/>
    <w:rsid w:val="00893C30"/>
    <w:rsid w:val="008946EF"/>
    <w:rsid w:val="0089491D"/>
    <w:rsid w:val="00894F3B"/>
    <w:rsid w:val="00895A91"/>
    <w:rsid w:val="008965C9"/>
    <w:rsid w:val="008979B1"/>
    <w:rsid w:val="008A085A"/>
    <w:rsid w:val="008A0B3F"/>
    <w:rsid w:val="008A0F9C"/>
    <w:rsid w:val="008A17EB"/>
    <w:rsid w:val="008A272E"/>
    <w:rsid w:val="008A2BF0"/>
    <w:rsid w:val="008A33B0"/>
    <w:rsid w:val="008A33E5"/>
    <w:rsid w:val="008A3F01"/>
    <w:rsid w:val="008A402B"/>
    <w:rsid w:val="008A4260"/>
    <w:rsid w:val="008A4455"/>
    <w:rsid w:val="008A48DA"/>
    <w:rsid w:val="008A4ADF"/>
    <w:rsid w:val="008A4C4D"/>
    <w:rsid w:val="008A5A89"/>
    <w:rsid w:val="008A5C2E"/>
    <w:rsid w:val="008A6443"/>
    <w:rsid w:val="008A6B25"/>
    <w:rsid w:val="008A6C4F"/>
    <w:rsid w:val="008A6CEC"/>
    <w:rsid w:val="008A7454"/>
    <w:rsid w:val="008A7CEF"/>
    <w:rsid w:val="008B04FE"/>
    <w:rsid w:val="008B088A"/>
    <w:rsid w:val="008B2096"/>
    <w:rsid w:val="008B20EB"/>
    <w:rsid w:val="008B2335"/>
    <w:rsid w:val="008B2996"/>
    <w:rsid w:val="008B2EFA"/>
    <w:rsid w:val="008B3227"/>
    <w:rsid w:val="008B380B"/>
    <w:rsid w:val="008B3A50"/>
    <w:rsid w:val="008B3C6F"/>
    <w:rsid w:val="008B4A1C"/>
    <w:rsid w:val="008B57BB"/>
    <w:rsid w:val="008B5EF4"/>
    <w:rsid w:val="008B603B"/>
    <w:rsid w:val="008B623D"/>
    <w:rsid w:val="008B6B3A"/>
    <w:rsid w:val="008B6F91"/>
    <w:rsid w:val="008B6FF0"/>
    <w:rsid w:val="008B7215"/>
    <w:rsid w:val="008C004F"/>
    <w:rsid w:val="008C0784"/>
    <w:rsid w:val="008C0FE9"/>
    <w:rsid w:val="008C13E4"/>
    <w:rsid w:val="008C1993"/>
    <w:rsid w:val="008C20D8"/>
    <w:rsid w:val="008C2F2D"/>
    <w:rsid w:val="008C3084"/>
    <w:rsid w:val="008C395B"/>
    <w:rsid w:val="008C497F"/>
    <w:rsid w:val="008C4CEB"/>
    <w:rsid w:val="008C50A9"/>
    <w:rsid w:val="008C5858"/>
    <w:rsid w:val="008C664C"/>
    <w:rsid w:val="008C6E8D"/>
    <w:rsid w:val="008D0304"/>
    <w:rsid w:val="008D077B"/>
    <w:rsid w:val="008D1448"/>
    <w:rsid w:val="008D15D8"/>
    <w:rsid w:val="008D1EC1"/>
    <w:rsid w:val="008D2B6F"/>
    <w:rsid w:val="008D314B"/>
    <w:rsid w:val="008D37E1"/>
    <w:rsid w:val="008D38C0"/>
    <w:rsid w:val="008D3E7A"/>
    <w:rsid w:val="008D3FD5"/>
    <w:rsid w:val="008D5349"/>
    <w:rsid w:val="008D5873"/>
    <w:rsid w:val="008D5A06"/>
    <w:rsid w:val="008D5A3B"/>
    <w:rsid w:val="008D5A9E"/>
    <w:rsid w:val="008D6A03"/>
    <w:rsid w:val="008D7695"/>
    <w:rsid w:val="008D772A"/>
    <w:rsid w:val="008E012B"/>
    <w:rsid w:val="008E0678"/>
    <w:rsid w:val="008E0BD6"/>
    <w:rsid w:val="008E1087"/>
    <w:rsid w:val="008E1D5F"/>
    <w:rsid w:val="008E1FCB"/>
    <w:rsid w:val="008E3816"/>
    <w:rsid w:val="008E3BCB"/>
    <w:rsid w:val="008E4285"/>
    <w:rsid w:val="008E451C"/>
    <w:rsid w:val="008E46A5"/>
    <w:rsid w:val="008E4932"/>
    <w:rsid w:val="008E5AC7"/>
    <w:rsid w:val="008E6104"/>
    <w:rsid w:val="008E6461"/>
    <w:rsid w:val="008E6AD5"/>
    <w:rsid w:val="008E7582"/>
    <w:rsid w:val="008E7A41"/>
    <w:rsid w:val="008E7CD4"/>
    <w:rsid w:val="008F0DC4"/>
    <w:rsid w:val="008F0E2E"/>
    <w:rsid w:val="008F0FD7"/>
    <w:rsid w:val="008F12E8"/>
    <w:rsid w:val="008F1826"/>
    <w:rsid w:val="008F1880"/>
    <w:rsid w:val="008F1971"/>
    <w:rsid w:val="008F1C84"/>
    <w:rsid w:val="008F1DD2"/>
    <w:rsid w:val="008F2103"/>
    <w:rsid w:val="008F3DA4"/>
    <w:rsid w:val="008F4063"/>
    <w:rsid w:val="008F46E3"/>
    <w:rsid w:val="008F4D49"/>
    <w:rsid w:val="008F563D"/>
    <w:rsid w:val="008F5658"/>
    <w:rsid w:val="008F56B2"/>
    <w:rsid w:val="008F5AC7"/>
    <w:rsid w:val="008F655C"/>
    <w:rsid w:val="008F780E"/>
    <w:rsid w:val="008F7D33"/>
    <w:rsid w:val="008F7E09"/>
    <w:rsid w:val="0090139B"/>
    <w:rsid w:val="0090162C"/>
    <w:rsid w:val="00901641"/>
    <w:rsid w:val="00901FCA"/>
    <w:rsid w:val="00902B3F"/>
    <w:rsid w:val="00902D17"/>
    <w:rsid w:val="00903B2F"/>
    <w:rsid w:val="0090430A"/>
    <w:rsid w:val="00906BA4"/>
    <w:rsid w:val="0090765F"/>
    <w:rsid w:val="00907CFF"/>
    <w:rsid w:val="009106E0"/>
    <w:rsid w:val="009109E9"/>
    <w:rsid w:val="00910D87"/>
    <w:rsid w:val="00910E01"/>
    <w:rsid w:val="00910FBC"/>
    <w:rsid w:val="00911122"/>
    <w:rsid w:val="00911441"/>
    <w:rsid w:val="0091183E"/>
    <w:rsid w:val="00911D6E"/>
    <w:rsid w:val="00913361"/>
    <w:rsid w:val="00914A11"/>
    <w:rsid w:val="0091555B"/>
    <w:rsid w:val="00915AA6"/>
    <w:rsid w:val="00916340"/>
    <w:rsid w:val="00916B4F"/>
    <w:rsid w:val="00916F1D"/>
    <w:rsid w:val="009209FB"/>
    <w:rsid w:val="009223CA"/>
    <w:rsid w:val="009230C1"/>
    <w:rsid w:val="00923517"/>
    <w:rsid w:val="00924329"/>
    <w:rsid w:val="009246A2"/>
    <w:rsid w:val="00924966"/>
    <w:rsid w:val="00924ADE"/>
    <w:rsid w:val="00924CB7"/>
    <w:rsid w:val="009255AD"/>
    <w:rsid w:val="009257F1"/>
    <w:rsid w:val="009266F2"/>
    <w:rsid w:val="00926AB7"/>
    <w:rsid w:val="00926F7D"/>
    <w:rsid w:val="00927478"/>
    <w:rsid w:val="00927991"/>
    <w:rsid w:val="00927BE4"/>
    <w:rsid w:val="00927EA0"/>
    <w:rsid w:val="00930408"/>
    <w:rsid w:val="0093043D"/>
    <w:rsid w:val="00930670"/>
    <w:rsid w:val="00930A44"/>
    <w:rsid w:val="00930EC2"/>
    <w:rsid w:val="00930FB1"/>
    <w:rsid w:val="0093147A"/>
    <w:rsid w:val="00932991"/>
    <w:rsid w:val="00932C0D"/>
    <w:rsid w:val="009331A5"/>
    <w:rsid w:val="00933809"/>
    <w:rsid w:val="00933A27"/>
    <w:rsid w:val="00933E0F"/>
    <w:rsid w:val="009341E5"/>
    <w:rsid w:val="009347EB"/>
    <w:rsid w:val="00935637"/>
    <w:rsid w:val="009360E1"/>
    <w:rsid w:val="00936941"/>
    <w:rsid w:val="009369D9"/>
    <w:rsid w:val="00936C6C"/>
    <w:rsid w:val="00937FA8"/>
    <w:rsid w:val="00940F93"/>
    <w:rsid w:val="00941026"/>
    <w:rsid w:val="00941519"/>
    <w:rsid w:val="0094174F"/>
    <w:rsid w:val="009418D7"/>
    <w:rsid w:val="00941FFF"/>
    <w:rsid w:val="009426B8"/>
    <w:rsid w:val="00943621"/>
    <w:rsid w:val="00943754"/>
    <w:rsid w:val="00943DE3"/>
    <w:rsid w:val="00943E25"/>
    <w:rsid w:val="009454AC"/>
    <w:rsid w:val="009454F9"/>
    <w:rsid w:val="0094573E"/>
    <w:rsid w:val="00945D3C"/>
    <w:rsid w:val="009460DC"/>
    <w:rsid w:val="0094655D"/>
    <w:rsid w:val="00946631"/>
    <w:rsid w:val="009467E1"/>
    <w:rsid w:val="00946B6D"/>
    <w:rsid w:val="00946B72"/>
    <w:rsid w:val="00947CE5"/>
    <w:rsid w:val="00950573"/>
    <w:rsid w:val="009508E6"/>
    <w:rsid w:val="00950A4C"/>
    <w:rsid w:val="00951490"/>
    <w:rsid w:val="009522B3"/>
    <w:rsid w:val="0095235A"/>
    <w:rsid w:val="009525F1"/>
    <w:rsid w:val="009534E8"/>
    <w:rsid w:val="00953837"/>
    <w:rsid w:val="00953E17"/>
    <w:rsid w:val="009546C2"/>
    <w:rsid w:val="00954A60"/>
    <w:rsid w:val="00955417"/>
    <w:rsid w:val="0095559A"/>
    <w:rsid w:val="009555D8"/>
    <w:rsid w:val="009600F2"/>
    <w:rsid w:val="009602D5"/>
    <w:rsid w:val="00960378"/>
    <w:rsid w:val="00960472"/>
    <w:rsid w:val="00960491"/>
    <w:rsid w:val="00961240"/>
    <w:rsid w:val="00961C89"/>
    <w:rsid w:val="00962A4F"/>
    <w:rsid w:val="00964368"/>
    <w:rsid w:val="0096546D"/>
    <w:rsid w:val="0096557C"/>
    <w:rsid w:val="00965D05"/>
    <w:rsid w:val="0096601A"/>
    <w:rsid w:val="009662AA"/>
    <w:rsid w:val="00966518"/>
    <w:rsid w:val="0096661E"/>
    <w:rsid w:val="00966B06"/>
    <w:rsid w:val="00966D3C"/>
    <w:rsid w:val="00967585"/>
    <w:rsid w:val="009675AD"/>
    <w:rsid w:val="00967EB1"/>
    <w:rsid w:val="009707B1"/>
    <w:rsid w:val="00970DCE"/>
    <w:rsid w:val="00971257"/>
    <w:rsid w:val="00971FA6"/>
    <w:rsid w:val="00972211"/>
    <w:rsid w:val="009726A9"/>
    <w:rsid w:val="00973881"/>
    <w:rsid w:val="00974474"/>
    <w:rsid w:val="009749F2"/>
    <w:rsid w:val="0097531E"/>
    <w:rsid w:val="00975911"/>
    <w:rsid w:val="00975A2B"/>
    <w:rsid w:val="009760F3"/>
    <w:rsid w:val="00977FB2"/>
    <w:rsid w:val="00980028"/>
    <w:rsid w:val="009801B6"/>
    <w:rsid w:val="0098045D"/>
    <w:rsid w:val="00980687"/>
    <w:rsid w:val="00981019"/>
    <w:rsid w:val="00981546"/>
    <w:rsid w:val="00981A0C"/>
    <w:rsid w:val="00982C2F"/>
    <w:rsid w:val="009830FA"/>
    <w:rsid w:val="0098348B"/>
    <w:rsid w:val="0098370E"/>
    <w:rsid w:val="00983CAD"/>
    <w:rsid w:val="00983D71"/>
    <w:rsid w:val="00983FBB"/>
    <w:rsid w:val="009840A8"/>
    <w:rsid w:val="009844DE"/>
    <w:rsid w:val="009859F3"/>
    <w:rsid w:val="00986474"/>
    <w:rsid w:val="009865E8"/>
    <w:rsid w:val="00987298"/>
    <w:rsid w:val="0098730A"/>
    <w:rsid w:val="0098762F"/>
    <w:rsid w:val="00990DD7"/>
    <w:rsid w:val="00991775"/>
    <w:rsid w:val="00991797"/>
    <w:rsid w:val="00991E1E"/>
    <w:rsid w:val="0099230F"/>
    <w:rsid w:val="009923F2"/>
    <w:rsid w:val="00992AF9"/>
    <w:rsid w:val="00992B44"/>
    <w:rsid w:val="00992D0E"/>
    <w:rsid w:val="009931F2"/>
    <w:rsid w:val="0099359F"/>
    <w:rsid w:val="00993E76"/>
    <w:rsid w:val="00994B90"/>
    <w:rsid w:val="00994CD4"/>
    <w:rsid w:val="00995644"/>
    <w:rsid w:val="009960AF"/>
    <w:rsid w:val="00997BE5"/>
    <w:rsid w:val="00997EB1"/>
    <w:rsid w:val="00997F87"/>
    <w:rsid w:val="009A0438"/>
    <w:rsid w:val="009A0E8D"/>
    <w:rsid w:val="009A1618"/>
    <w:rsid w:val="009A2919"/>
    <w:rsid w:val="009A2E3E"/>
    <w:rsid w:val="009A3BB9"/>
    <w:rsid w:val="009A3DFD"/>
    <w:rsid w:val="009A3F24"/>
    <w:rsid w:val="009A4174"/>
    <w:rsid w:val="009A4935"/>
    <w:rsid w:val="009A4A97"/>
    <w:rsid w:val="009A4B0F"/>
    <w:rsid w:val="009A581F"/>
    <w:rsid w:val="009A590B"/>
    <w:rsid w:val="009A6454"/>
    <w:rsid w:val="009A64BF"/>
    <w:rsid w:val="009A6AA0"/>
    <w:rsid w:val="009A6DC0"/>
    <w:rsid w:val="009A7887"/>
    <w:rsid w:val="009B0111"/>
    <w:rsid w:val="009B035C"/>
    <w:rsid w:val="009B0C21"/>
    <w:rsid w:val="009B1F61"/>
    <w:rsid w:val="009B22F5"/>
    <w:rsid w:val="009B257C"/>
    <w:rsid w:val="009B26E7"/>
    <w:rsid w:val="009B27BC"/>
    <w:rsid w:val="009B3AEA"/>
    <w:rsid w:val="009B3CFA"/>
    <w:rsid w:val="009B4A37"/>
    <w:rsid w:val="009B4DA5"/>
    <w:rsid w:val="009B5055"/>
    <w:rsid w:val="009B5353"/>
    <w:rsid w:val="009B5999"/>
    <w:rsid w:val="009B59BD"/>
    <w:rsid w:val="009B5EB1"/>
    <w:rsid w:val="009B6070"/>
    <w:rsid w:val="009B6237"/>
    <w:rsid w:val="009B6912"/>
    <w:rsid w:val="009B6B0D"/>
    <w:rsid w:val="009B749E"/>
    <w:rsid w:val="009B773A"/>
    <w:rsid w:val="009B7835"/>
    <w:rsid w:val="009B7D65"/>
    <w:rsid w:val="009C00B9"/>
    <w:rsid w:val="009C045A"/>
    <w:rsid w:val="009C0D9C"/>
    <w:rsid w:val="009C1017"/>
    <w:rsid w:val="009C16FE"/>
    <w:rsid w:val="009C1701"/>
    <w:rsid w:val="009C1B30"/>
    <w:rsid w:val="009C1B4F"/>
    <w:rsid w:val="009C2E05"/>
    <w:rsid w:val="009C3352"/>
    <w:rsid w:val="009C38E0"/>
    <w:rsid w:val="009C3AAE"/>
    <w:rsid w:val="009C3D47"/>
    <w:rsid w:val="009C569D"/>
    <w:rsid w:val="009C5820"/>
    <w:rsid w:val="009C6841"/>
    <w:rsid w:val="009C68F5"/>
    <w:rsid w:val="009C6F6F"/>
    <w:rsid w:val="009C759C"/>
    <w:rsid w:val="009C7904"/>
    <w:rsid w:val="009D0565"/>
    <w:rsid w:val="009D08B8"/>
    <w:rsid w:val="009D0CCC"/>
    <w:rsid w:val="009D1632"/>
    <w:rsid w:val="009D1CF6"/>
    <w:rsid w:val="009D231A"/>
    <w:rsid w:val="009D2E56"/>
    <w:rsid w:val="009D319E"/>
    <w:rsid w:val="009D3631"/>
    <w:rsid w:val="009D3A88"/>
    <w:rsid w:val="009D3F85"/>
    <w:rsid w:val="009D3F8C"/>
    <w:rsid w:val="009D4FD8"/>
    <w:rsid w:val="009D54A5"/>
    <w:rsid w:val="009D5A6D"/>
    <w:rsid w:val="009D762B"/>
    <w:rsid w:val="009E0046"/>
    <w:rsid w:val="009E0DD0"/>
    <w:rsid w:val="009E11FA"/>
    <w:rsid w:val="009E24CA"/>
    <w:rsid w:val="009E2C9D"/>
    <w:rsid w:val="009E3197"/>
    <w:rsid w:val="009E36C4"/>
    <w:rsid w:val="009E3B05"/>
    <w:rsid w:val="009E3F85"/>
    <w:rsid w:val="009E4085"/>
    <w:rsid w:val="009E551A"/>
    <w:rsid w:val="009E5585"/>
    <w:rsid w:val="009E6DA7"/>
    <w:rsid w:val="009E79C3"/>
    <w:rsid w:val="009E7A7E"/>
    <w:rsid w:val="009F021B"/>
    <w:rsid w:val="009F0823"/>
    <w:rsid w:val="009F0FB2"/>
    <w:rsid w:val="009F1B7A"/>
    <w:rsid w:val="009F1CC5"/>
    <w:rsid w:val="009F28F0"/>
    <w:rsid w:val="009F2DD9"/>
    <w:rsid w:val="009F2E39"/>
    <w:rsid w:val="009F34E6"/>
    <w:rsid w:val="009F35AF"/>
    <w:rsid w:val="009F4669"/>
    <w:rsid w:val="009F4E80"/>
    <w:rsid w:val="009F534B"/>
    <w:rsid w:val="009F55ED"/>
    <w:rsid w:val="009F5662"/>
    <w:rsid w:val="009F5B80"/>
    <w:rsid w:val="009F604C"/>
    <w:rsid w:val="009F6186"/>
    <w:rsid w:val="009F78EA"/>
    <w:rsid w:val="009F7D93"/>
    <w:rsid w:val="00A00149"/>
    <w:rsid w:val="00A0043B"/>
    <w:rsid w:val="00A00622"/>
    <w:rsid w:val="00A00A3F"/>
    <w:rsid w:val="00A01489"/>
    <w:rsid w:val="00A01530"/>
    <w:rsid w:val="00A01850"/>
    <w:rsid w:val="00A01898"/>
    <w:rsid w:val="00A01CCC"/>
    <w:rsid w:val="00A01F5C"/>
    <w:rsid w:val="00A021EA"/>
    <w:rsid w:val="00A02A0D"/>
    <w:rsid w:val="00A03500"/>
    <w:rsid w:val="00A037F6"/>
    <w:rsid w:val="00A03861"/>
    <w:rsid w:val="00A04588"/>
    <w:rsid w:val="00A0490E"/>
    <w:rsid w:val="00A04CEA"/>
    <w:rsid w:val="00A0547A"/>
    <w:rsid w:val="00A056E5"/>
    <w:rsid w:val="00A05CE1"/>
    <w:rsid w:val="00A062AF"/>
    <w:rsid w:val="00A069A6"/>
    <w:rsid w:val="00A07093"/>
    <w:rsid w:val="00A072E6"/>
    <w:rsid w:val="00A0789C"/>
    <w:rsid w:val="00A078A8"/>
    <w:rsid w:val="00A079C3"/>
    <w:rsid w:val="00A103D8"/>
    <w:rsid w:val="00A109A5"/>
    <w:rsid w:val="00A1142E"/>
    <w:rsid w:val="00A11B8E"/>
    <w:rsid w:val="00A11B9B"/>
    <w:rsid w:val="00A11D29"/>
    <w:rsid w:val="00A11FE6"/>
    <w:rsid w:val="00A125A0"/>
    <w:rsid w:val="00A12E37"/>
    <w:rsid w:val="00A13ADF"/>
    <w:rsid w:val="00A14377"/>
    <w:rsid w:val="00A1528D"/>
    <w:rsid w:val="00A155A6"/>
    <w:rsid w:val="00A16169"/>
    <w:rsid w:val="00A168C4"/>
    <w:rsid w:val="00A16F95"/>
    <w:rsid w:val="00A176EA"/>
    <w:rsid w:val="00A17974"/>
    <w:rsid w:val="00A179B1"/>
    <w:rsid w:val="00A2062D"/>
    <w:rsid w:val="00A21540"/>
    <w:rsid w:val="00A22490"/>
    <w:rsid w:val="00A227E8"/>
    <w:rsid w:val="00A22BE1"/>
    <w:rsid w:val="00A22F55"/>
    <w:rsid w:val="00A2372B"/>
    <w:rsid w:val="00A239ED"/>
    <w:rsid w:val="00A241E2"/>
    <w:rsid w:val="00A2487E"/>
    <w:rsid w:val="00A24987"/>
    <w:rsid w:val="00A24D9C"/>
    <w:rsid w:val="00A2565A"/>
    <w:rsid w:val="00A26592"/>
    <w:rsid w:val="00A26850"/>
    <w:rsid w:val="00A26E5E"/>
    <w:rsid w:val="00A27824"/>
    <w:rsid w:val="00A3110A"/>
    <w:rsid w:val="00A318E2"/>
    <w:rsid w:val="00A31E61"/>
    <w:rsid w:val="00A31F3A"/>
    <w:rsid w:val="00A325DB"/>
    <w:rsid w:val="00A32945"/>
    <w:rsid w:val="00A32E08"/>
    <w:rsid w:val="00A335FB"/>
    <w:rsid w:val="00A338F1"/>
    <w:rsid w:val="00A34A63"/>
    <w:rsid w:val="00A34ED0"/>
    <w:rsid w:val="00A36502"/>
    <w:rsid w:val="00A36797"/>
    <w:rsid w:val="00A369C1"/>
    <w:rsid w:val="00A41007"/>
    <w:rsid w:val="00A41D03"/>
    <w:rsid w:val="00A4279A"/>
    <w:rsid w:val="00A42C4C"/>
    <w:rsid w:val="00A4350F"/>
    <w:rsid w:val="00A43B6F"/>
    <w:rsid w:val="00A43E68"/>
    <w:rsid w:val="00A43E7B"/>
    <w:rsid w:val="00A43F6F"/>
    <w:rsid w:val="00A4404D"/>
    <w:rsid w:val="00A44F34"/>
    <w:rsid w:val="00A451A5"/>
    <w:rsid w:val="00A46215"/>
    <w:rsid w:val="00A46CF1"/>
    <w:rsid w:val="00A47128"/>
    <w:rsid w:val="00A473C6"/>
    <w:rsid w:val="00A478A9"/>
    <w:rsid w:val="00A47B29"/>
    <w:rsid w:val="00A50287"/>
    <w:rsid w:val="00A50B30"/>
    <w:rsid w:val="00A5185C"/>
    <w:rsid w:val="00A519E7"/>
    <w:rsid w:val="00A51B22"/>
    <w:rsid w:val="00A5214F"/>
    <w:rsid w:val="00A5243F"/>
    <w:rsid w:val="00A524C2"/>
    <w:rsid w:val="00A5262B"/>
    <w:rsid w:val="00A526F7"/>
    <w:rsid w:val="00A53AB0"/>
    <w:rsid w:val="00A5478E"/>
    <w:rsid w:val="00A56045"/>
    <w:rsid w:val="00A567A6"/>
    <w:rsid w:val="00A56A42"/>
    <w:rsid w:val="00A56B57"/>
    <w:rsid w:val="00A56D48"/>
    <w:rsid w:val="00A57129"/>
    <w:rsid w:val="00A60645"/>
    <w:rsid w:val="00A60C02"/>
    <w:rsid w:val="00A60D8A"/>
    <w:rsid w:val="00A6184F"/>
    <w:rsid w:val="00A618E1"/>
    <w:rsid w:val="00A61DEC"/>
    <w:rsid w:val="00A61FBC"/>
    <w:rsid w:val="00A628EA"/>
    <w:rsid w:val="00A63AF7"/>
    <w:rsid w:val="00A65A0A"/>
    <w:rsid w:val="00A65D41"/>
    <w:rsid w:val="00A663E5"/>
    <w:rsid w:val="00A66614"/>
    <w:rsid w:val="00A66664"/>
    <w:rsid w:val="00A6678A"/>
    <w:rsid w:val="00A6688B"/>
    <w:rsid w:val="00A66AFB"/>
    <w:rsid w:val="00A703E9"/>
    <w:rsid w:val="00A70410"/>
    <w:rsid w:val="00A70444"/>
    <w:rsid w:val="00A70A9C"/>
    <w:rsid w:val="00A716A7"/>
    <w:rsid w:val="00A71798"/>
    <w:rsid w:val="00A71E43"/>
    <w:rsid w:val="00A71F58"/>
    <w:rsid w:val="00A729C3"/>
    <w:rsid w:val="00A72BA3"/>
    <w:rsid w:val="00A72D7E"/>
    <w:rsid w:val="00A72F22"/>
    <w:rsid w:val="00A732D1"/>
    <w:rsid w:val="00A7360F"/>
    <w:rsid w:val="00A74364"/>
    <w:rsid w:val="00A7457A"/>
    <w:rsid w:val="00A74893"/>
    <w:rsid w:val="00A748A6"/>
    <w:rsid w:val="00A748F7"/>
    <w:rsid w:val="00A74E3D"/>
    <w:rsid w:val="00A7509C"/>
    <w:rsid w:val="00A7561A"/>
    <w:rsid w:val="00A75D04"/>
    <w:rsid w:val="00A769F4"/>
    <w:rsid w:val="00A76C9A"/>
    <w:rsid w:val="00A770DF"/>
    <w:rsid w:val="00A776B4"/>
    <w:rsid w:val="00A801B9"/>
    <w:rsid w:val="00A802A3"/>
    <w:rsid w:val="00A80861"/>
    <w:rsid w:val="00A80DFC"/>
    <w:rsid w:val="00A81038"/>
    <w:rsid w:val="00A8141F"/>
    <w:rsid w:val="00A814D0"/>
    <w:rsid w:val="00A8165F"/>
    <w:rsid w:val="00A81B6F"/>
    <w:rsid w:val="00A81E74"/>
    <w:rsid w:val="00A82238"/>
    <w:rsid w:val="00A825F9"/>
    <w:rsid w:val="00A82F87"/>
    <w:rsid w:val="00A832FD"/>
    <w:rsid w:val="00A83643"/>
    <w:rsid w:val="00A836C4"/>
    <w:rsid w:val="00A8379B"/>
    <w:rsid w:val="00A83A63"/>
    <w:rsid w:val="00A83FC1"/>
    <w:rsid w:val="00A842A0"/>
    <w:rsid w:val="00A84A6B"/>
    <w:rsid w:val="00A85914"/>
    <w:rsid w:val="00A85CD6"/>
    <w:rsid w:val="00A86580"/>
    <w:rsid w:val="00A87B81"/>
    <w:rsid w:val="00A87DD7"/>
    <w:rsid w:val="00A90767"/>
    <w:rsid w:val="00A90B84"/>
    <w:rsid w:val="00A910FB"/>
    <w:rsid w:val="00A91740"/>
    <w:rsid w:val="00A91C09"/>
    <w:rsid w:val="00A91FC7"/>
    <w:rsid w:val="00A930F3"/>
    <w:rsid w:val="00A9357A"/>
    <w:rsid w:val="00A940E1"/>
    <w:rsid w:val="00A941C3"/>
    <w:rsid w:val="00A94361"/>
    <w:rsid w:val="00A94975"/>
    <w:rsid w:val="00A94A90"/>
    <w:rsid w:val="00A95361"/>
    <w:rsid w:val="00A96D59"/>
    <w:rsid w:val="00A974A6"/>
    <w:rsid w:val="00AA03A4"/>
    <w:rsid w:val="00AA1FF7"/>
    <w:rsid w:val="00AA2084"/>
    <w:rsid w:val="00AA245D"/>
    <w:rsid w:val="00AA293C"/>
    <w:rsid w:val="00AA3112"/>
    <w:rsid w:val="00AA3141"/>
    <w:rsid w:val="00AA5191"/>
    <w:rsid w:val="00AA5391"/>
    <w:rsid w:val="00AA6FE4"/>
    <w:rsid w:val="00AA76F1"/>
    <w:rsid w:val="00AA7BD7"/>
    <w:rsid w:val="00AB00A4"/>
    <w:rsid w:val="00AB25A9"/>
    <w:rsid w:val="00AB2681"/>
    <w:rsid w:val="00AB2A28"/>
    <w:rsid w:val="00AB2D54"/>
    <w:rsid w:val="00AB3B30"/>
    <w:rsid w:val="00AB3BBF"/>
    <w:rsid w:val="00AB5AA3"/>
    <w:rsid w:val="00AB5CDF"/>
    <w:rsid w:val="00AB5EBE"/>
    <w:rsid w:val="00AB611E"/>
    <w:rsid w:val="00AB6279"/>
    <w:rsid w:val="00AB7C5A"/>
    <w:rsid w:val="00AC039A"/>
    <w:rsid w:val="00AC19AE"/>
    <w:rsid w:val="00AC1DB2"/>
    <w:rsid w:val="00AC1EF8"/>
    <w:rsid w:val="00AC2109"/>
    <w:rsid w:val="00AC30FE"/>
    <w:rsid w:val="00AC4116"/>
    <w:rsid w:val="00AC4D71"/>
    <w:rsid w:val="00AC4ED4"/>
    <w:rsid w:val="00AC54A3"/>
    <w:rsid w:val="00AC558F"/>
    <w:rsid w:val="00AC613E"/>
    <w:rsid w:val="00AC6162"/>
    <w:rsid w:val="00AC6438"/>
    <w:rsid w:val="00AC718A"/>
    <w:rsid w:val="00AD059D"/>
    <w:rsid w:val="00AD0918"/>
    <w:rsid w:val="00AD1054"/>
    <w:rsid w:val="00AD255E"/>
    <w:rsid w:val="00AD2E21"/>
    <w:rsid w:val="00AD3260"/>
    <w:rsid w:val="00AD350D"/>
    <w:rsid w:val="00AD3643"/>
    <w:rsid w:val="00AD3840"/>
    <w:rsid w:val="00AD43D8"/>
    <w:rsid w:val="00AD44CF"/>
    <w:rsid w:val="00AD5511"/>
    <w:rsid w:val="00AD5638"/>
    <w:rsid w:val="00AD570A"/>
    <w:rsid w:val="00AD647F"/>
    <w:rsid w:val="00AD67B5"/>
    <w:rsid w:val="00AD6E69"/>
    <w:rsid w:val="00AD6F87"/>
    <w:rsid w:val="00AD7ECE"/>
    <w:rsid w:val="00AE0AD0"/>
    <w:rsid w:val="00AE2E20"/>
    <w:rsid w:val="00AE3540"/>
    <w:rsid w:val="00AE40E2"/>
    <w:rsid w:val="00AE4EE9"/>
    <w:rsid w:val="00AE56C0"/>
    <w:rsid w:val="00AE5844"/>
    <w:rsid w:val="00AE5868"/>
    <w:rsid w:val="00AE590F"/>
    <w:rsid w:val="00AE5AEE"/>
    <w:rsid w:val="00AE6937"/>
    <w:rsid w:val="00AE69AB"/>
    <w:rsid w:val="00AE7325"/>
    <w:rsid w:val="00AE775B"/>
    <w:rsid w:val="00AF063B"/>
    <w:rsid w:val="00AF1202"/>
    <w:rsid w:val="00AF1987"/>
    <w:rsid w:val="00AF1EDE"/>
    <w:rsid w:val="00AF2A12"/>
    <w:rsid w:val="00AF39C5"/>
    <w:rsid w:val="00AF4400"/>
    <w:rsid w:val="00AF465C"/>
    <w:rsid w:val="00AF4EE2"/>
    <w:rsid w:val="00AF4F77"/>
    <w:rsid w:val="00AF5306"/>
    <w:rsid w:val="00AF5A27"/>
    <w:rsid w:val="00AF5B8C"/>
    <w:rsid w:val="00AF6456"/>
    <w:rsid w:val="00AF71D8"/>
    <w:rsid w:val="00B01B94"/>
    <w:rsid w:val="00B022F6"/>
    <w:rsid w:val="00B03364"/>
    <w:rsid w:val="00B033F0"/>
    <w:rsid w:val="00B0397C"/>
    <w:rsid w:val="00B03E70"/>
    <w:rsid w:val="00B04AD5"/>
    <w:rsid w:val="00B05299"/>
    <w:rsid w:val="00B05460"/>
    <w:rsid w:val="00B05625"/>
    <w:rsid w:val="00B057E9"/>
    <w:rsid w:val="00B05F0D"/>
    <w:rsid w:val="00B061D3"/>
    <w:rsid w:val="00B06B27"/>
    <w:rsid w:val="00B06DBA"/>
    <w:rsid w:val="00B11287"/>
    <w:rsid w:val="00B1165F"/>
    <w:rsid w:val="00B116B3"/>
    <w:rsid w:val="00B11959"/>
    <w:rsid w:val="00B11A72"/>
    <w:rsid w:val="00B11BDD"/>
    <w:rsid w:val="00B128A2"/>
    <w:rsid w:val="00B129AE"/>
    <w:rsid w:val="00B12C70"/>
    <w:rsid w:val="00B1365C"/>
    <w:rsid w:val="00B1430E"/>
    <w:rsid w:val="00B14F88"/>
    <w:rsid w:val="00B15A39"/>
    <w:rsid w:val="00B15E9F"/>
    <w:rsid w:val="00B161B1"/>
    <w:rsid w:val="00B16627"/>
    <w:rsid w:val="00B16863"/>
    <w:rsid w:val="00B16899"/>
    <w:rsid w:val="00B172B3"/>
    <w:rsid w:val="00B17E5C"/>
    <w:rsid w:val="00B20406"/>
    <w:rsid w:val="00B208A9"/>
    <w:rsid w:val="00B2104D"/>
    <w:rsid w:val="00B21057"/>
    <w:rsid w:val="00B21167"/>
    <w:rsid w:val="00B21F4E"/>
    <w:rsid w:val="00B2254F"/>
    <w:rsid w:val="00B22D18"/>
    <w:rsid w:val="00B231C1"/>
    <w:rsid w:val="00B23E3E"/>
    <w:rsid w:val="00B24C0A"/>
    <w:rsid w:val="00B25695"/>
    <w:rsid w:val="00B25E70"/>
    <w:rsid w:val="00B25EBF"/>
    <w:rsid w:val="00B25FB7"/>
    <w:rsid w:val="00B2603F"/>
    <w:rsid w:val="00B2668A"/>
    <w:rsid w:val="00B26733"/>
    <w:rsid w:val="00B26794"/>
    <w:rsid w:val="00B2703F"/>
    <w:rsid w:val="00B27501"/>
    <w:rsid w:val="00B275DF"/>
    <w:rsid w:val="00B27C0C"/>
    <w:rsid w:val="00B30179"/>
    <w:rsid w:val="00B309CC"/>
    <w:rsid w:val="00B30A43"/>
    <w:rsid w:val="00B30CDA"/>
    <w:rsid w:val="00B31AE1"/>
    <w:rsid w:val="00B31EA6"/>
    <w:rsid w:val="00B33171"/>
    <w:rsid w:val="00B3389B"/>
    <w:rsid w:val="00B343B8"/>
    <w:rsid w:val="00B34C01"/>
    <w:rsid w:val="00B34FCB"/>
    <w:rsid w:val="00B3525D"/>
    <w:rsid w:val="00B356DC"/>
    <w:rsid w:val="00B35A56"/>
    <w:rsid w:val="00B35C62"/>
    <w:rsid w:val="00B35D0E"/>
    <w:rsid w:val="00B36CE8"/>
    <w:rsid w:val="00B36F11"/>
    <w:rsid w:val="00B375DF"/>
    <w:rsid w:val="00B37A76"/>
    <w:rsid w:val="00B37AAB"/>
    <w:rsid w:val="00B37B01"/>
    <w:rsid w:val="00B37D8C"/>
    <w:rsid w:val="00B40141"/>
    <w:rsid w:val="00B41369"/>
    <w:rsid w:val="00B41436"/>
    <w:rsid w:val="00B42475"/>
    <w:rsid w:val="00B4435C"/>
    <w:rsid w:val="00B44564"/>
    <w:rsid w:val="00B45071"/>
    <w:rsid w:val="00B4543A"/>
    <w:rsid w:val="00B45553"/>
    <w:rsid w:val="00B45A95"/>
    <w:rsid w:val="00B502F4"/>
    <w:rsid w:val="00B506E9"/>
    <w:rsid w:val="00B5125A"/>
    <w:rsid w:val="00B51366"/>
    <w:rsid w:val="00B5224F"/>
    <w:rsid w:val="00B52C1F"/>
    <w:rsid w:val="00B5451A"/>
    <w:rsid w:val="00B5478C"/>
    <w:rsid w:val="00B54B2F"/>
    <w:rsid w:val="00B54D21"/>
    <w:rsid w:val="00B54F31"/>
    <w:rsid w:val="00B551B2"/>
    <w:rsid w:val="00B55424"/>
    <w:rsid w:val="00B55E25"/>
    <w:rsid w:val="00B55FAD"/>
    <w:rsid w:val="00B56525"/>
    <w:rsid w:val="00B56E4A"/>
    <w:rsid w:val="00B56E9C"/>
    <w:rsid w:val="00B56EEF"/>
    <w:rsid w:val="00B57F13"/>
    <w:rsid w:val="00B60A5E"/>
    <w:rsid w:val="00B60CEC"/>
    <w:rsid w:val="00B60E7B"/>
    <w:rsid w:val="00B61865"/>
    <w:rsid w:val="00B61AB0"/>
    <w:rsid w:val="00B61F16"/>
    <w:rsid w:val="00B623EC"/>
    <w:rsid w:val="00B63163"/>
    <w:rsid w:val="00B63519"/>
    <w:rsid w:val="00B6490C"/>
    <w:rsid w:val="00B64B1F"/>
    <w:rsid w:val="00B6553F"/>
    <w:rsid w:val="00B6556D"/>
    <w:rsid w:val="00B669A3"/>
    <w:rsid w:val="00B669D1"/>
    <w:rsid w:val="00B679A8"/>
    <w:rsid w:val="00B67C5E"/>
    <w:rsid w:val="00B70353"/>
    <w:rsid w:val="00B70FB5"/>
    <w:rsid w:val="00B72DED"/>
    <w:rsid w:val="00B72E61"/>
    <w:rsid w:val="00B74745"/>
    <w:rsid w:val="00B7490E"/>
    <w:rsid w:val="00B74CD9"/>
    <w:rsid w:val="00B753B9"/>
    <w:rsid w:val="00B75712"/>
    <w:rsid w:val="00B75F6C"/>
    <w:rsid w:val="00B76ECB"/>
    <w:rsid w:val="00B77D05"/>
    <w:rsid w:val="00B80620"/>
    <w:rsid w:val="00B80B88"/>
    <w:rsid w:val="00B80E64"/>
    <w:rsid w:val="00B810DC"/>
    <w:rsid w:val="00B81206"/>
    <w:rsid w:val="00B81C00"/>
    <w:rsid w:val="00B81E12"/>
    <w:rsid w:val="00B820F9"/>
    <w:rsid w:val="00B82329"/>
    <w:rsid w:val="00B8240E"/>
    <w:rsid w:val="00B834B6"/>
    <w:rsid w:val="00B86C8A"/>
    <w:rsid w:val="00B86CE9"/>
    <w:rsid w:val="00B87909"/>
    <w:rsid w:val="00B90013"/>
    <w:rsid w:val="00B90561"/>
    <w:rsid w:val="00B91217"/>
    <w:rsid w:val="00B9164E"/>
    <w:rsid w:val="00B91B23"/>
    <w:rsid w:val="00B923C3"/>
    <w:rsid w:val="00B9260E"/>
    <w:rsid w:val="00B92937"/>
    <w:rsid w:val="00B92A76"/>
    <w:rsid w:val="00B934ED"/>
    <w:rsid w:val="00B9357C"/>
    <w:rsid w:val="00B94E44"/>
    <w:rsid w:val="00B94E51"/>
    <w:rsid w:val="00B94E80"/>
    <w:rsid w:val="00B958F8"/>
    <w:rsid w:val="00B95A02"/>
    <w:rsid w:val="00B95CD2"/>
    <w:rsid w:val="00B95F47"/>
    <w:rsid w:val="00B96387"/>
    <w:rsid w:val="00B96556"/>
    <w:rsid w:val="00B9685D"/>
    <w:rsid w:val="00B96D90"/>
    <w:rsid w:val="00B96F97"/>
    <w:rsid w:val="00B96FB8"/>
    <w:rsid w:val="00B97DFB"/>
    <w:rsid w:val="00B97EE2"/>
    <w:rsid w:val="00BA038D"/>
    <w:rsid w:val="00BA04BA"/>
    <w:rsid w:val="00BA0CA8"/>
    <w:rsid w:val="00BA1EB9"/>
    <w:rsid w:val="00BA2278"/>
    <w:rsid w:val="00BA2851"/>
    <w:rsid w:val="00BA30BD"/>
    <w:rsid w:val="00BA31A1"/>
    <w:rsid w:val="00BA3971"/>
    <w:rsid w:val="00BA4519"/>
    <w:rsid w:val="00BA4B0F"/>
    <w:rsid w:val="00BA5B69"/>
    <w:rsid w:val="00BA6498"/>
    <w:rsid w:val="00BA6B7A"/>
    <w:rsid w:val="00BA7138"/>
    <w:rsid w:val="00BA746E"/>
    <w:rsid w:val="00BA7817"/>
    <w:rsid w:val="00BA7A1C"/>
    <w:rsid w:val="00BA7BAD"/>
    <w:rsid w:val="00BA7E23"/>
    <w:rsid w:val="00BA7F04"/>
    <w:rsid w:val="00BB0B5A"/>
    <w:rsid w:val="00BB14B5"/>
    <w:rsid w:val="00BB16FB"/>
    <w:rsid w:val="00BB1E56"/>
    <w:rsid w:val="00BB2947"/>
    <w:rsid w:val="00BB3173"/>
    <w:rsid w:val="00BB3E9B"/>
    <w:rsid w:val="00BB42B9"/>
    <w:rsid w:val="00BB462A"/>
    <w:rsid w:val="00BB46FD"/>
    <w:rsid w:val="00BB5587"/>
    <w:rsid w:val="00BB5976"/>
    <w:rsid w:val="00BB60A7"/>
    <w:rsid w:val="00BB6241"/>
    <w:rsid w:val="00BB6569"/>
    <w:rsid w:val="00BB684A"/>
    <w:rsid w:val="00BB766E"/>
    <w:rsid w:val="00BB7CFF"/>
    <w:rsid w:val="00BC0033"/>
    <w:rsid w:val="00BC21D2"/>
    <w:rsid w:val="00BC298B"/>
    <w:rsid w:val="00BC369C"/>
    <w:rsid w:val="00BC36FC"/>
    <w:rsid w:val="00BC3989"/>
    <w:rsid w:val="00BC3EE1"/>
    <w:rsid w:val="00BC45D4"/>
    <w:rsid w:val="00BC4BF8"/>
    <w:rsid w:val="00BC4D3B"/>
    <w:rsid w:val="00BC4DB8"/>
    <w:rsid w:val="00BC5EBE"/>
    <w:rsid w:val="00BC5FF0"/>
    <w:rsid w:val="00BC621D"/>
    <w:rsid w:val="00BC65F4"/>
    <w:rsid w:val="00BC66A9"/>
    <w:rsid w:val="00BC6873"/>
    <w:rsid w:val="00BC6DD7"/>
    <w:rsid w:val="00BC74E9"/>
    <w:rsid w:val="00BC7863"/>
    <w:rsid w:val="00BC79B4"/>
    <w:rsid w:val="00BD0311"/>
    <w:rsid w:val="00BD036D"/>
    <w:rsid w:val="00BD094D"/>
    <w:rsid w:val="00BD0B56"/>
    <w:rsid w:val="00BD0FC6"/>
    <w:rsid w:val="00BD1937"/>
    <w:rsid w:val="00BD1D7E"/>
    <w:rsid w:val="00BD1EC8"/>
    <w:rsid w:val="00BD23B4"/>
    <w:rsid w:val="00BD3857"/>
    <w:rsid w:val="00BD3AFD"/>
    <w:rsid w:val="00BD4206"/>
    <w:rsid w:val="00BD4652"/>
    <w:rsid w:val="00BD55B2"/>
    <w:rsid w:val="00BD5618"/>
    <w:rsid w:val="00BD5B6E"/>
    <w:rsid w:val="00BD5FD0"/>
    <w:rsid w:val="00BD6423"/>
    <w:rsid w:val="00BD7086"/>
    <w:rsid w:val="00BD70BB"/>
    <w:rsid w:val="00BD7111"/>
    <w:rsid w:val="00BD73EB"/>
    <w:rsid w:val="00BD7499"/>
    <w:rsid w:val="00BD798D"/>
    <w:rsid w:val="00BE013C"/>
    <w:rsid w:val="00BE026F"/>
    <w:rsid w:val="00BE038B"/>
    <w:rsid w:val="00BE0907"/>
    <w:rsid w:val="00BE20DF"/>
    <w:rsid w:val="00BE223F"/>
    <w:rsid w:val="00BE2314"/>
    <w:rsid w:val="00BE27E2"/>
    <w:rsid w:val="00BE2FA0"/>
    <w:rsid w:val="00BE3904"/>
    <w:rsid w:val="00BE4D65"/>
    <w:rsid w:val="00BE53E5"/>
    <w:rsid w:val="00BE56A4"/>
    <w:rsid w:val="00BE5E0C"/>
    <w:rsid w:val="00BE5EBE"/>
    <w:rsid w:val="00BE61B7"/>
    <w:rsid w:val="00BE62A7"/>
    <w:rsid w:val="00BE70B4"/>
    <w:rsid w:val="00BE72BB"/>
    <w:rsid w:val="00BE73ED"/>
    <w:rsid w:val="00BE7735"/>
    <w:rsid w:val="00BE7A98"/>
    <w:rsid w:val="00BF0074"/>
    <w:rsid w:val="00BF3544"/>
    <w:rsid w:val="00BF3A2A"/>
    <w:rsid w:val="00BF3AA7"/>
    <w:rsid w:val="00BF3E00"/>
    <w:rsid w:val="00BF419C"/>
    <w:rsid w:val="00BF42ED"/>
    <w:rsid w:val="00BF48EC"/>
    <w:rsid w:val="00BF49B4"/>
    <w:rsid w:val="00BF4D44"/>
    <w:rsid w:val="00BF4E86"/>
    <w:rsid w:val="00BF5D3B"/>
    <w:rsid w:val="00BF5D70"/>
    <w:rsid w:val="00BF5F08"/>
    <w:rsid w:val="00BF602F"/>
    <w:rsid w:val="00BF615C"/>
    <w:rsid w:val="00BF6322"/>
    <w:rsid w:val="00BF6815"/>
    <w:rsid w:val="00BF68A8"/>
    <w:rsid w:val="00BF6917"/>
    <w:rsid w:val="00BF6F47"/>
    <w:rsid w:val="00BF6F86"/>
    <w:rsid w:val="00BF7A88"/>
    <w:rsid w:val="00BF7C72"/>
    <w:rsid w:val="00C00565"/>
    <w:rsid w:val="00C006CB"/>
    <w:rsid w:val="00C008F9"/>
    <w:rsid w:val="00C00A1D"/>
    <w:rsid w:val="00C01359"/>
    <w:rsid w:val="00C0135E"/>
    <w:rsid w:val="00C01A5A"/>
    <w:rsid w:val="00C01D5E"/>
    <w:rsid w:val="00C022DC"/>
    <w:rsid w:val="00C025CA"/>
    <w:rsid w:val="00C02882"/>
    <w:rsid w:val="00C02A02"/>
    <w:rsid w:val="00C02B07"/>
    <w:rsid w:val="00C03203"/>
    <w:rsid w:val="00C034F9"/>
    <w:rsid w:val="00C0379B"/>
    <w:rsid w:val="00C03AE6"/>
    <w:rsid w:val="00C03B48"/>
    <w:rsid w:val="00C043C2"/>
    <w:rsid w:val="00C043EA"/>
    <w:rsid w:val="00C045E9"/>
    <w:rsid w:val="00C04706"/>
    <w:rsid w:val="00C04B97"/>
    <w:rsid w:val="00C056CD"/>
    <w:rsid w:val="00C05783"/>
    <w:rsid w:val="00C05DA6"/>
    <w:rsid w:val="00C05DE0"/>
    <w:rsid w:val="00C061FA"/>
    <w:rsid w:val="00C063E8"/>
    <w:rsid w:val="00C06508"/>
    <w:rsid w:val="00C0693F"/>
    <w:rsid w:val="00C07D64"/>
    <w:rsid w:val="00C07FB3"/>
    <w:rsid w:val="00C104E5"/>
    <w:rsid w:val="00C10F58"/>
    <w:rsid w:val="00C1128D"/>
    <w:rsid w:val="00C11439"/>
    <w:rsid w:val="00C1146C"/>
    <w:rsid w:val="00C118C0"/>
    <w:rsid w:val="00C11A03"/>
    <w:rsid w:val="00C11E44"/>
    <w:rsid w:val="00C12E67"/>
    <w:rsid w:val="00C13750"/>
    <w:rsid w:val="00C13A56"/>
    <w:rsid w:val="00C13B3C"/>
    <w:rsid w:val="00C14460"/>
    <w:rsid w:val="00C154F2"/>
    <w:rsid w:val="00C15621"/>
    <w:rsid w:val="00C1615E"/>
    <w:rsid w:val="00C16298"/>
    <w:rsid w:val="00C167E6"/>
    <w:rsid w:val="00C16F91"/>
    <w:rsid w:val="00C17A8B"/>
    <w:rsid w:val="00C2081A"/>
    <w:rsid w:val="00C20E09"/>
    <w:rsid w:val="00C20F05"/>
    <w:rsid w:val="00C2149F"/>
    <w:rsid w:val="00C21D21"/>
    <w:rsid w:val="00C21ED5"/>
    <w:rsid w:val="00C22068"/>
    <w:rsid w:val="00C22286"/>
    <w:rsid w:val="00C22338"/>
    <w:rsid w:val="00C22514"/>
    <w:rsid w:val="00C2269D"/>
    <w:rsid w:val="00C22B03"/>
    <w:rsid w:val="00C23BB4"/>
    <w:rsid w:val="00C244DB"/>
    <w:rsid w:val="00C245B6"/>
    <w:rsid w:val="00C247BA"/>
    <w:rsid w:val="00C25317"/>
    <w:rsid w:val="00C25FC0"/>
    <w:rsid w:val="00C267BA"/>
    <w:rsid w:val="00C26B3D"/>
    <w:rsid w:val="00C26E45"/>
    <w:rsid w:val="00C27264"/>
    <w:rsid w:val="00C2730C"/>
    <w:rsid w:val="00C27408"/>
    <w:rsid w:val="00C301F3"/>
    <w:rsid w:val="00C30D05"/>
    <w:rsid w:val="00C30D68"/>
    <w:rsid w:val="00C30DEB"/>
    <w:rsid w:val="00C31118"/>
    <w:rsid w:val="00C31459"/>
    <w:rsid w:val="00C3206E"/>
    <w:rsid w:val="00C3217E"/>
    <w:rsid w:val="00C32C70"/>
    <w:rsid w:val="00C3349B"/>
    <w:rsid w:val="00C34AEA"/>
    <w:rsid w:val="00C35598"/>
    <w:rsid w:val="00C377F4"/>
    <w:rsid w:val="00C378D5"/>
    <w:rsid w:val="00C37A01"/>
    <w:rsid w:val="00C40086"/>
    <w:rsid w:val="00C4143E"/>
    <w:rsid w:val="00C42634"/>
    <w:rsid w:val="00C428D2"/>
    <w:rsid w:val="00C42987"/>
    <w:rsid w:val="00C42F4E"/>
    <w:rsid w:val="00C43FD9"/>
    <w:rsid w:val="00C441B3"/>
    <w:rsid w:val="00C44C51"/>
    <w:rsid w:val="00C462FE"/>
    <w:rsid w:val="00C463DD"/>
    <w:rsid w:val="00C46F16"/>
    <w:rsid w:val="00C4724C"/>
    <w:rsid w:val="00C4746E"/>
    <w:rsid w:val="00C5004C"/>
    <w:rsid w:val="00C511A0"/>
    <w:rsid w:val="00C51512"/>
    <w:rsid w:val="00C515F4"/>
    <w:rsid w:val="00C52320"/>
    <w:rsid w:val="00C53564"/>
    <w:rsid w:val="00C535E3"/>
    <w:rsid w:val="00C536B6"/>
    <w:rsid w:val="00C53D31"/>
    <w:rsid w:val="00C55073"/>
    <w:rsid w:val="00C550FB"/>
    <w:rsid w:val="00C560A4"/>
    <w:rsid w:val="00C56320"/>
    <w:rsid w:val="00C570C5"/>
    <w:rsid w:val="00C57349"/>
    <w:rsid w:val="00C574E7"/>
    <w:rsid w:val="00C60430"/>
    <w:rsid w:val="00C61BED"/>
    <w:rsid w:val="00C61EBB"/>
    <w:rsid w:val="00C629A0"/>
    <w:rsid w:val="00C62B8E"/>
    <w:rsid w:val="00C648A0"/>
    <w:rsid w:val="00C652F7"/>
    <w:rsid w:val="00C655A5"/>
    <w:rsid w:val="00C65BC7"/>
    <w:rsid w:val="00C661ED"/>
    <w:rsid w:val="00C66551"/>
    <w:rsid w:val="00C666C6"/>
    <w:rsid w:val="00C66D56"/>
    <w:rsid w:val="00C6771E"/>
    <w:rsid w:val="00C70032"/>
    <w:rsid w:val="00C7057C"/>
    <w:rsid w:val="00C7153C"/>
    <w:rsid w:val="00C71958"/>
    <w:rsid w:val="00C71DE4"/>
    <w:rsid w:val="00C72691"/>
    <w:rsid w:val="00C7288C"/>
    <w:rsid w:val="00C72F91"/>
    <w:rsid w:val="00C73411"/>
    <w:rsid w:val="00C738BB"/>
    <w:rsid w:val="00C73D08"/>
    <w:rsid w:val="00C745C3"/>
    <w:rsid w:val="00C75586"/>
    <w:rsid w:val="00C755E2"/>
    <w:rsid w:val="00C758E9"/>
    <w:rsid w:val="00C75AC8"/>
    <w:rsid w:val="00C76DFC"/>
    <w:rsid w:val="00C77239"/>
    <w:rsid w:val="00C77A8D"/>
    <w:rsid w:val="00C803A5"/>
    <w:rsid w:val="00C80A48"/>
    <w:rsid w:val="00C8119C"/>
    <w:rsid w:val="00C82902"/>
    <w:rsid w:val="00C82ACD"/>
    <w:rsid w:val="00C82F12"/>
    <w:rsid w:val="00C83175"/>
    <w:rsid w:val="00C83767"/>
    <w:rsid w:val="00C8414E"/>
    <w:rsid w:val="00C844DC"/>
    <w:rsid w:val="00C84C60"/>
    <w:rsid w:val="00C8622E"/>
    <w:rsid w:val="00C8658E"/>
    <w:rsid w:val="00C86F61"/>
    <w:rsid w:val="00C87499"/>
    <w:rsid w:val="00C875EB"/>
    <w:rsid w:val="00C87674"/>
    <w:rsid w:val="00C87CB1"/>
    <w:rsid w:val="00C9005E"/>
    <w:rsid w:val="00C903A9"/>
    <w:rsid w:val="00C90930"/>
    <w:rsid w:val="00C90D61"/>
    <w:rsid w:val="00C91840"/>
    <w:rsid w:val="00C9201F"/>
    <w:rsid w:val="00C92034"/>
    <w:rsid w:val="00C925B5"/>
    <w:rsid w:val="00C92679"/>
    <w:rsid w:val="00C92D01"/>
    <w:rsid w:val="00C92F80"/>
    <w:rsid w:val="00C935B0"/>
    <w:rsid w:val="00C937D5"/>
    <w:rsid w:val="00C93BF5"/>
    <w:rsid w:val="00C94ACB"/>
    <w:rsid w:val="00C94BBD"/>
    <w:rsid w:val="00C954D3"/>
    <w:rsid w:val="00C959CB"/>
    <w:rsid w:val="00C95D7B"/>
    <w:rsid w:val="00C960F3"/>
    <w:rsid w:val="00C96C6F"/>
    <w:rsid w:val="00CA0AAA"/>
    <w:rsid w:val="00CA0DEE"/>
    <w:rsid w:val="00CA10CD"/>
    <w:rsid w:val="00CA1E94"/>
    <w:rsid w:val="00CA1EEE"/>
    <w:rsid w:val="00CA2081"/>
    <w:rsid w:val="00CA2276"/>
    <w:rsid w:val="00CA2A39"/>
    <w:rsid w:val="00CA2BB4"/>
    <w:rsid w:val="00CA2C40"/>
    <w:rsid w:val="00CA2C66"/>
    <w:rsid w:val="00CA2CF7"/>
    <w:rsid w:val="00CA30CE"/>
    <w:rsid w:val="00CA3489"/>
    <w:rsid w:val="00CA4497"/>
    <w:rsid w:val="00CA4B14"/>
    <w:rsid w:val="00CA4C6C"/>
    <w:rsid w:val="00CA5047"/>
    <w:rsid w:val="00CA538E"/>
    <w:rsid w:val="00CA59EF"/>
    <w:rsid w:val="00CA5B78"/>
    <w:rsid w:val="00CA641A"/>
    <w:rsid w:val="00CA725B"/>
    <w:rsid w:val="00CA7748"/>
    <w:rsid w:val="00CA78FA"/>
    <w:rsid w:val="00CB0090"/>
    <w:rsid w:val="00CB0519"/>
    <w:rsid w:val="00CB0B04"/>
    <w:rsid w:val="00CB16F7"/>
    <w:rsid w:val="00CB188C"/>
    <w:rsid w:val="00CB2353"/>
    <w:rsid w:val="00CB23B2"/>
    <w:rsid w:val="00CB23D8"/>
    <w:rsid w:val="00CB28AA"/>
    <w:rsid w:val="00CB3835"/>
    <w:rsid w:val="00CB46BD"/>
    <w:rsid w:val="00CB48D3"/>
    <w:rsid w:val="00CB4CFC"/>
    <w:rsid w:val="00CB5069"/>
    <w:rsid w:val="00CB5237"/>
    <w:rsid w:val="00CB6047"/>
    <w:rsid w:val="00CB62B6"/>
    <w:rsid w:val="00CB65D1"/>
    <w:rsid w:val="00CB66AF"/>
    <w:rsid w:val="00CB7245"/>
    <w:rsid w:val="00CB7620"/>
    <w:rsid w:val="00CB7715"/>
    <w:rsid w:val="00CB778F"/>
    <w:rsid w:val="00CB785E"/>
    <w:rsid w:val="00CC06B1"/>
    <w:rsid w:val="00CC0A48"/>
    <w:rsid w:val="00CC1361"/>
    <w:rsid w:val="00CC168E"/>
    <w:rsid w:val="00CC1726"/>
    <w:rsid w:val="00CC252B"/>
    <w:rsid w:val="00CC2724"/>
    <w:rsid w:val="00CC295F"/>
    <w:rsid w:val="00CC31B2"/>
    <w:rsid w:val="00CC3ACF"/>
    <w:rsid w:val="00CC4128"/>
    <w:rsid w:val="00CC4705"/>
    <w:rsid w:val="00CC48A3"/>
    <w:rsid w:val="00CC76E5"/>
    <w:rsid w:val="00CC78CA"/>
    <w:rsid w:val="00CC7A04"/>
    <w:rsid w:val="00CC7C23"/>
    <w:rsid w:val="00CD0048"/>
    <w:rsid w:val="00CD0110"/>
    <w:rsid w:val="00CD0C53"/>
    <w:rsid w:val="00CD0E70"/>
    <w:rsid w:val="00CD11EA"/>
    <w:rsid w:val="00CD126E"/>
    <w:rsid w:val="00CD2BC1"/>
    <w:rsid w:val="00CD2EB4"/>
    <w:rsid w:val="00CD3B28"/>
    <w:rsid w:val="00CD40BD"/>
    <w:rsid w:val="00CD4611"/>
    <w:rsid w:val="00CD4C80"/>
    <w:rsid w:val="00CD63FF"/>
    <w:rsid w:val="00CD6502"/>
    <w:rsid w:val="00CD6836"/>
    <w:rsid w:val="00CD6A43"/>
    <w:rsid w:val="00CD6A47"/>
    <w:rsid w:val="00CD6B01"/>
    <w:rsid w:val="00CD74DD"/>
    <w:rsid w:val="00CD77A9"/>
    <w:rsid w:val="00CD78D8"/>
    <w:rsid w:val="00CD7BA7"/>
    <w:rsid w:val="00CD7EF6"/>
    <w:rsid w:val="00CE012B"/>
    <w:rsid w:val="00CE0167"/>
    <w:rsid w:val="00CE0403"/>
    <w:rsid w:val="00CE0667"/>
    <w:rsid w:val="00CE0AB1"/>
    <w:rsid w:val="00CE0B67"/>
    <w:rsid w:val="00CE0C14"/>
    <w:rsid w:val="00CE0C3D"/>
    <w:rsid w:val="00CE1335"/>
    <w:rsid w:val="00CE18A5"/>
    <w:rsid w:val="00CE4952"/>
    <w:rsid w:val="00CE4A8F"/>
    <w:rsid w:val="00CE4F5E"/>
    <w:rsid w:val="00CE5722"/>
    <w:rsid w:val="00CE61E1"/>
    <w:rsid w:val="00CE637A"/>
    <w:rsid w:val="00CE666B"/>
    <w:rsid w:val="00CE6AB7"/>
    <w:rsid w:val="00CE75E9"/>
    <w:rsid w:val="00CE7FD3"/>
    <w:rsid w:val="00CF0987"/>
    <w:rsid w:val="00CF1314"/>
    <w:rsid w:val="00CF1CC1"/>
    <w:rsid w:val="00CF204A"/>
    <w:rsid w:val="00CF2B72"/>
    <w:rsid w:val="00CF45ED"/>
    <w:rsid w:val="00CF554F"/>
    <w:rsid w:val="00CF57D0"/>
    <w:rsid w:val="00CF5D13"/>
    <w:rsid w:val="00CF5D4D"/>
    <w:rsid w:val="00CF6169"/>
    <w:rsid w:val="00CF69D8"/>
    <w:rsid w:val="00CF6BB1"/>
    <w:rsid w:val="00CF6D7A"/>
    <w:rsid w:val="00CF7440"/>
    <w:rsid w:val="00CF7B25"/>
    <w:rsid w:val="00CF7E80"/>
    <w:rsid w:val="00D0076C"/>
    <w:rsid w:val="00D00B69"/>
    <w:rsid w:val="00D01383"/>
    <w:rsid w:val="00D01BDE"/>
    <w:rsid w:val="00D01CE7"/>
    <w:rsid w:val="00D02D59"/>
    <w:rsid w:val="00D0318B"/>
    <w:rsid w:val="00D04B85"/>
    <w:rsid w:val="00D05ED0"/>
    <w:rsid w:val="00D061B7"/>
    <w:rsid w:val="00D069AB"/>
    <w:rsid w:val="00D069D0"/>
    <w:rsid w:val="00D073D1"/>
    <w:rsid w:val="00D073FF"/>
    <w:rsid w:val="00D0777C"/>
    <w:rsid w:val="00D07CB1"/>
    <w:rsid w:val="00D104C4"/>
    <w:rsid w:val="00D10520"/>
    <w:rsid w:val="00D10599"/>
    <w:rsid w:val="00D108FF"/>
    <w:rsid w:val="00D10FF3"/>
    <w:rsid w:val="00D11427"/>
    <w:rsid w:val="00D11E3C"/>
    <w:rsid w:val="00D11E45"/>
    <w:rsid w:val="00D12816"/>
    <w:rsid w:val="00D12879"/>
    <w:rsid w:val="00D1352B"/>
    <w:rsid w:val="00D14367"/>
    <w:rsid w:val="00D1514F"/>
    <w:rsid w:val="00D15451"/>
    <w:rsid w:val="00D17116"/>
    <w:rsid w:val="00D172D0"/>
    <w:rsid w:val="00D2031B"/>
    <w:rsid w:val="00D20434"/>
    <w:rsid w:val="00D20F9A"/>
    <w:rsid w:val="00D21697"/>
    <w:rsid w:val="00D21EE2"/>
    <w:rsid w:val="00D22001"/>
    <w:rsid w:val="00D24650"/>
    <w:rsid w:val="00D2508B"/>
    <w:rsid w:val="00D25374"/>
    <w:rsid w:val="00D2584C"/>
    <w:rsid w:val="00D25FE2"/>
    <w:rsid w:val="00D25FE7"/>
    <w:rsid w:val="00D2675F"/>
    <w:rsid w:val="00D26D56"/>
    <w:rsid w:val="00D2721E"/>
    <w:rsid w:val="00D3061B"/>
    <w:rsid w:val="00D307E9"/>
    <w:rsid w:val="00D30C9D"/>
    <w:rsid w:val="00D3169B"/>
    <w:rsid w:val="00D316FD"/>
    <w:rsid w:val="00D3298B"/>
    <w:rsid w:val="00D32F8A"/>
    <w:rsid w:val="00D33159"/>
    <w:rsid w:val="00D334FA"/>
    <w:rsid w:val="00D33792"/>
    <w:rsid w:val="00D33A15"/>
    <w:rsid w:val="00D34516"/>
    <w:rsid w:val="00D3499C"/>
    <w:rsid w:val="00D36550"/>
    <w:rsid w:val="00D36AE0"/>
    <w:rsid w:val="00D37C5E"/>
    <w:rsid w:val="00D4001A"/>
    <w:rsid w:val="00D40623"/>
    <w:rsid w:val="00D41F34"/>
    <w:rsid w:val="00D423C6"/>
    <w:rsid w:val="00D42EA0"/>
    <w:rsid w:val="00D43087"/>
    <w:rsid w:val="00D43252"/>
    <w:rsid w:val="00D43AC1"/>
    <w:rsid w:val="00D43F55"/>
    <w:rsid w:val="00D4427C"/>
    <w:rsid w:val="00D444DB"/>
    <w:rsid w:val="00D44DB2"/>
    <w:rsid w:val="00D459EE"/>
    <w:rsid w:val="00D45E4A"/>
    <w:rsid w:val="00D4624A"/>
    <w:rsid w:val="00D46D1A"/>
    <w:rsid w:val="00D4736F"/>
    <w:rsid w:val="00D4738D"/>
    <w:rsid w:val="00D47706"/>
    <w:rsid w:val="00D478DC"/>
    <w:rsid w:val="00D47D82"/>
    <w:rsid w:val="00D47EEA"/>
    <w:rsid w:val="00D515FF"/>
    <w:rsid w:val="00D5190D"/>
    <w:rsid w:val="00D524A9"/>
    <w:rsid w:val="00D52CFF"/>
    <w:rsid w:val="00D533A4"/>
    <w:rsid w:val="00D541A6"/>
    <w:rsid w:val="00D541D5"/>
    <w:rsid w:val="00D54BDC"/>
    <w:rsid w:val="00D54E6A"/>
    <w:rsid w:val="00D55C5B"/>
    <w:rsid w:val="00D56419"/>
    <w:rsid w:val="00D57354"/>
    <w:rsid w:val="00D5750A"/>
    <w:rsid w:val="00D60D28"/>
    <w:rsid w:val="00D60FB5"/>
    <w:rsid w:val="00D61470"/>
    <w:rsid w:val="00D61CC1"/>
    <w:rsid w:val="00D62255"/>
    <w:rsid w:val="00D623EF"/>
    <w:rsid w:val="00D625BB"/>
    <w:rsid w:val="00D62763"/>
    <w:rsid w:val="00D62DB6"/>
    <w:rsid w:val="00D63D59"/>
    <w:rsid w:val="00D6442C"/>
    <w:rsid w:val="00D65223"/>
    <w:rsid w:val="00D6561F"/>
    <w:rsid w:val="00D66559"/>
    <w:rsid w:val="00D67457"/>
    <w:rsid w:val="00D67947"/>
    <w:rsid w:val="00D70809"/>
    <w:rsid w:val="00D70B06"/>
    <w:rsid w:val="00D71604"/>
    <w:rsid w:val="00D72096"/>
    <w:rsid w:val="00D72509"/>
    <w:rsid w:val="00D729DC"/>
    <w:rsid w:val="00D72A64"/>
    <w:rsid w:val="00D734CD"/>
    <w:rsid w:val="00D7358C"/>
    <w:rsid w:val="00D73889"/>
    <w:rsid w:val="00D73D25"/>
    <w:rsid w:val="00D73FDD"/>
    <w:rsid w:val="00D74382"/>
    <w:rsid w:val="00D74DEE"/>
    <w:rsid w:val="00D754CE"/>
    <w:rsid w:val="00D75BC4"/>
    <w:rsid w:val="00D75FC4"/>
    <w:rsid w:val="00D760B8"/>
    <w:rsid w:val="00D7646D"/>
    <w:rsid w:val="00D77D41"/>
    <w:rsid w:val="00D77FDC"/>
    <w:rsid w:val="00D801F6"/>
    <w:rsid w:val="00D802F0"/>
    <w:rsid w:val="00D8070A"/>
    <w:rsid w:val="00D80BCB"/>
    <w:rsid w:val="00D80E53"/>
    <w:rsid w:val="00D81875"/>
    <w:rsid w:val="00D81910"/>
    <w:rsid w:val="00D81A49"/>
    <w:rsid w:val="00D81CA8"/>
    <w:rsid w:val="00D825D6"/>
    <w:rsid w:val="00D825DE"/>
    <w:rsid w:val="00D82F96"/>
    <w:rsid w:val="00D83507"/>
    <w:rsid w:val="00D8394F"/>
    <w:rsid w:val="00D84DDB"/>
    <w:rsid w:val="00D85693"/>
    <w:rsid w:val="00D86250"/>
    <w:rsid w:val="00D876CB"/>
    <w:rsid w:val="00D90673"/>
    <w:rsid w:val="00D90C38"/>
    <w:rsid w:val="00D90FC6"/>
    <w:rsid w:val="00D912FA"/>
    <w:rsid w:val="00D91987"/>
    <w:rsid w:val="00D925E8"/>
    <w:rsid w:val="00D925F9"/>
    <w:rsid w:val="00D92661"/>
    <w:rsid w:val="00D92D41"/>
    <w:rsid w:val="00D930C0"/>
    <w:rsid w:val="00D93758"/>
    <w:rsid w:val="00D93AF5"/>
    <w:rsid w:val="00D93CC8"/>
    <w:rsid w:val="00D946C1"/>
    <w:rsid w:val="00D94A95"/>
    <w:rsid w:val="00D95303"/>
    <w:rsid w:val="00D953FD"/>
    <w:rsid w:val="00D95D23"/>
    <w:rsid w:val="00D9649E"/>
    <w:rsid w:val="00D96A33"/>
    <w:rsid w:val="00D978C6"/>
    <w:rsid w:val="00DA0C8A"/>
    <w:rsid w:val="00DA0F7C"/>
    <w:rsid w:val="00DA210C"/>
    <w:rsid w:val="00DA2892"/>
    <w:rsid w:val="00DA3218"/>
    <w:rsid w:val="00DA3512"/>
    <w:rsid w:val="00DA369B"/>
    <w:rsid w:val="00DA3C1C"/>
    <w:rsid w:val="00DA3EA3"/>
    <w:rsid w:val="00DA408B"/>
    <w:rsid w:val="00DA4231"/>
    <w:rsid w:val="00DA4E84"/>
    <w:rsid w:val="00DA50E5"/>
    <w:rsid w:val="00DA590C"/>
    <w:rsid w:val="00DA5CCB"/>
    <w:rsid w:val="00DA5F15"/>
    <w:rsid w:val="00DA6497"/>
    <w:rsid w:val="00DA65FA"/>
    <w:rsid w:val="00DA6A62"/>
    <w:rsid w:val="00DA6AE8"/>
    <w:rsid w:val="00DA6F73"/>
    <w:rsid w:val="00DA72B2"/>
    <w:rsid w:val="00DA76A6"/>
    <w:rsid w:val="00DA77FD"/>
    <w:rsid w:val="00DA7D0D"/>
    <w:rsid w:val="00DB0343"/>
    <w:rsid w:val="00DB09E6"/>
    <w:rsid w:val="00DB0FE7"/>
    <w:rsid w:val="00DB1151"/>
    <w:rsid w:val="00DB15EB"/>
    <w:rsid w:val="00DB2A5E"/>
    <w:rsid w:val="00DB36D2"/>
    <w:rsid w:val="00DB37B3"/>
    <w:rsid w:val="00DB3926"/>
    <w:rsid w:val="00DB3D0A"/>
    <w:rsid w:val="00DB3FC6"/>
    <w:rsid w:val="00DB42FE"/>
    <w:rsid w:val="00DB44C5"/>
    <w:rsid w:val="00DB4529"/>
    <w:rsid w:val="00DB45DF"/>
    <w:rsid w:val="00DB4951"/>
    <w:rsid w:val="00DB4A27"/>
    <w:rsid w:val="00DB56FB"/>
    <w:rsid w:val="00DB58EA"/>
    <w:rsid w:val="00DB613D"/>
    <w:rsid w:val="00DB6232"/>
    <w:rsid w:val="00DB638E"/>
    <w:rsid w:val="00DB719E"/>
    <w:rsid w:val="00DB78DE"/>
    <w:rsid w:val="00DB7AE0"/>
    <w:rsid w:val="00DB7CB5"/>
    <w:rsid w:val="00DB7DD5"/>
    <w:rsid w:val="00DC045F"/>
    <w:rsid w:val="00DC0C59"/>
    <w:rsid w:val="00DC0F99"/>
    <w:rsid w:val="00DC1764"/>
    <w:rsid w:val="00DC1857"/>
    <w:rsid w:val="00DC1FDC"/>
    <w:rsid w:val="00DC3286"/>
    <w:rsid w:val="00DC3DED"/>
    <w:rsid w:val="00DC3FA8"/>
    <w:rsid w:val="00DC3FE1"/>
    <w:rsid w:val="00DC42CB"/>
    <w:rsid w:val="00DC456B"/>
    <w:rsid w:val="00DC4E71"/>
    <w:rsid w:val="00DC50C6"/>
    <w:rsid w:val="00DC53A4"/>
    <w:rsid w:val="00DC5441"/>
    <w:rsid w:val="00DC57CC"/>
    <w:rsid w:val="00DC6424"/>
    <w:rsid w:val="00DC6437"/>
    <w:rsid w:val="00DC6566"/>
    <w:rsid w:val="00DC6C88"/>
    <w:rsid w:val="00DC71C2"/>
    <w:rsid w:val="00DC7774"/>
    <w:rsid w:val="00DD0428"/>
    <w:rsid w:val="00DD10FD"/>
    <w:rsid w:val="00DD1188"/>
    <w:rsid w:val="00DD155D"/>
    <w:rsid w:val="00DD18BB"/>
    <w:rsid w:val="00DD1AF7"/>
    <w:rsid w:val="00DD1B0F"/>
    <w:rsid w:val="00DD2D26"/>
    <w:rsid w:val="00DD2FA8"/>
    <w:rsid w:val="00DD40F4"/>
    <w:rsid w:val="00DD4992"/>
    <w:rsid w:val="00DD5165"/>
    <w:rsid w:val="00DD59D7"/>
    <w:rsid w:val="00DD7B80"/>
    <w:rsid w:val="00DD7C56"/>
    <w:rsid w:val="00DD7D78"/>
    <w:rsid w:val="00DE083C"/>
    <w:rsid w:val="00DE0E9E"/>
    <w:rsid w:val="00DE1014"/>
    <w:rsid w:val="00DE1905"/>
    <w:rsid w:val="00DE24C3"/>
    <w:rsid w:val="00DE3387"/>
    <w:rsid w:val="00DE3AC7"/>
    <w:rsid w:val="00DE3FA1"/>
    <w:rsid w:val="00DE4351"/>
    <w:rsid w:val="00DE6128"/>
    <w:rsid w:val="00DE66F6"/>
    <w:rsid w:val="00DE708E"/>
    <w:rsid w:val="00DE744F"/>
    <w:rsid w:val="00DE74FE"/>
    <w:rsid w:val="00DF081B"/>
    <w:rsid w:val="00DF2622"/>
    <w:rsid w:val="00DF2688"/>
    <w:rsid w:val="00DF29EE"/>
    <w:rsid w:val="00DF3182"/>
    <w:rsid w:val="00DF3B5E"/>
    <w:rsid w:val="00DF45C7"/>
    <w:rsid w:val="00DF4C14"/>
    <w:rsid w:val="00DF571C"/>
    <w:rsid w:val="00DF629C"/>
    <w:rsid w:val="00DF6C43"/>
    <w:rsid w:val="00DF7297"/>
    <w:rsid w:val="00DF7B7E"/>
    <w:rsid w:val="00E011F5"/>
    <w:rsid w:val="00E0161F"/>
    <w:rsid w:val="00E01862"/>
    <w:rsid w:val="00E01EAA"/>
    <w:rsid w:val="00E02730"/>
    <w:rsid w:val="00E02764"/>
    <w:rsid w:val="00E027DE"/>
    <w:rsid w:val="00E0301A"/>
    <w:rsid w:val="00E033B8"/>
    <w:rsid w:val="00E03901"/>
    <w:rsid w:val="00E043A5"/>
    <w:rsid w:val="00E05CBF"/>
    <w:rsid w:val="00E06419"/>
    <w:rsid w:val="00E06924"/>
    <w:rsid w:val="00E0792D"/>
    <w:rsid w:val="00E07B66"/>
    <w:rsid w:val="00E102E7"/>
    <w:rsid w:val="00E103E7"/>
    <w:rsid w:val="00E110DE"/>
    <w:rsid w:val="00E11737"/>
    <w:rsid w:val="00E1248D"/>
    <w:rsid w:val="00E125DB"/>
    <w:rsid w:val="00E1260C"/>
    <w:rsid w:val="00E13A3A"/>
    <w:rsid w:val="00E13ABD"/>
    <w:rsid w:val="00E13D11"/>
    <w:rsid w:val="00E1450F"/>
    <w:rsid w:val="00E15BF0"/>
    <w:rsid w:val="00E1628C"/>
    <w:rsid w:val="00E16428"/>
    <w:rsid w:val="00E16438"/>
    <w:rsid w:val="00E16AD2"/>
    <w:rsid w:val="00E170BC"/>
    <w:rsid w:val="00E17BD0"/>
    <w:rsid w:val="00E200E3"/>
    <w:rsid w:val="00E2069C"/>
    <w:rsid w:val="00E20825"/>
    <w:rsid w:val="00E20FDE"/>
    <w:rsid w:val="00E21217"/>
    <w:rsid w:val="00E21970"/>
    <w:rsid w:val="00E2351B"/>
    <w:rsid w:val="00E23D80"/>
    <w:rsid w:val="00E242D3"/>
    <w:rsid w:val="00E2479E"/>
    <w:rsid w:val="00E24D54"/>
    <w:rsid w:val="00E24EB4"/>
    <w:rsid w:val="00E26A54"/>
    <w:rsid w:val="00E26B9A"/>
    <w:rsid w:val="00E272B6"/>
    <w:rsid w:val="00E272F3"/>
    <w:rsid w:val="00E27346"/>
    <w:rsid w:val="00E3167C"/>
    <w:rsid w:val="00E31829"/>
    <w:rsid w:val="00E32953"/>
    <w:rsid w:val="00E32B5E"/>
    <w:rsid w:val="00E32E32"/>
    <w:rsid w:val="00E32EFC"/>
    <w:rsid w:val="00E33429"/>
    <w:rsid w:val="00E3362E"/>
    <w:rsid w:val="00E34346"/>
    <w:rsid w:val="00E353C0"/>
    <w:rsid w:val="00E35E43"/>
    <w:rsid w:val="00E360E9"/>
    <w:rsid w:val="00E361C5"/>
    <w:rsid w:val="00E3644C"/>
    <w:rsid w:val="00E36D10"/>
    <w:rsid w:val="00E3712E"/>
    <w:rsid w:val="00E37EAA"/>
    <w:rsid w:val="00E409AF"/>
    <w:rsid w:val="00E41448"/>
    <w:rsid w:val="00E41CD1"/>
    <w:rsid w:val="00E42B15"/>
    <w:rsid w:val="00E4338B"/>
    <w:rsid w:val="00E436EA"/>
    <w:rsid w:val="00E438FE"/>
    <w:rsid w:val="00E43E9F"/>
    <w:rsid w:val="00E43F21"/>
    <w:rsid w:val="00E44F0B"/>
    <w:rsid w:val="00E44FBC"/>
    <w:rsid w:val="00E45E55"/>
    <w:rsid w:val="00E479C7"/>
    <w:rsid w:val="00E50B21"/>
    <w:rsid w:val="00E51010"/>
    <w:rsid w:val="00E516BD"/>
    <w:rsid w:val="00E51C58"/>
    <w:rsid w:val="00E5234C"/>
    <w:rsid w:val="00E525C3"/>
    <w:rsid w:val="00E52B0A"/>
    <w:rsid w:val="00E5308B"/>
    <w:rsid w:val="00E53982"/>
    <w:rsid w:val="00E543D2"/>
    <w:rsid w:val="00E54490"/>
    <w:rsid w:val="00E549C4"/>
    <w:rsid w:val="00E55C4E"/>
    <w:rsid w:val="00E55F13"/>
    <w:rsid w:val="00E5651C"/>
    <w:rsid w:val="00E569F8"/>
    <w:rsid w:val="00E56B38"/>
    <w:rsid w:val="00E57402"/>
    <w:rsid w:val="00E57B83"/>
    <w:rsid w:val="00E57C0D"/>
    <w:rsid w:val="00E57D90"/>
    <w:rsid w:val="00E60090"/>
    <w:rsid w:val="00E6042D"/>
    <w:rsid w:val="00E60D75"/>
    <w:rsid w:val="00E6167A"/>
    <w:rsid w:val="00E620F3"/>
    <w:rsid w:val="00E62C72"/>
    <w:rsid w:val="00E63B77"/>
    <w:rsid w:val="00E6445D"/>
    <w:rsid w:val="00E64D5C"/>
    <w:rsid w:val="00E654D3"/>
    <w:rsid w:val="00E6665D"/>
    <w:rsid w:val="00E66934"/>
    <w:rsid w:val="00E66B82"/>
    <w:rsid w:val="00E66E9C"/>
    <w:rsid w:val="00E67086"/>
    <w:rsid w:val="00E67126"/>
    <w:rsid w:val="00E67345"/>
    <w:rsid w:val="00E67A83"/>
    <w:rsid w:val="00E708BD"/>
    <w:rsid w:val="00E709A9"/>
    <w:rsid w:val="00E71BC8"/>
    <w:rsid w:val="00E71D2B"/>
    <w:rsid w:val="00E725D4"/>
    <w:rsid w:val="00E7260F"/>
    <w:rsid w:val="00E72C22"/>
    <w:rsid w:val="00E7456D"/>
    <w:rsid w:val="00E74771"/>
    <w:rsid w:val="00E74AAB"/>
    <w:rsid w:val="00E74D04"/>
    <w:rsid w:val="00E75578"/>
    <w:rsid w:val="00E75D97"/>
    <w:rsid w:val="00E761C7"/>
    <w:rsid w:val="00E767F0"/>
    <w:rsid w:val="00E76A1F"/>
    <w:rsid w:val="00E7704B"/>
    <w:rsid w:val="00E77857"/>
    <w:rsid w:val="00E80397"/>
    <w:rsid w:val="00E8048D"/>
    <w:rsid w:val="00E80D5B"/>
    <w:rsid w:val="00E81BE3"/>
    <w:rsid w:val="00E81C59"/>
    <w:rsid w:val="00E825E0"/>
    <w:rsid w:val="00E84686"/>
    <w:rsid w:val="00E84D91"/>
    <w:rsid w:val="00E856EF"/>
    <w:rsid w:val="00E857CF"/>
    <w:rsid w:val="00E85E7F"/>
    <w:rsid w:val="00E868FB"/>
    <w:rsid w:val="00E86B61"/>
    <w:rsid w:val="00E86D5B"/>
    <w:rsid w:val="00E87614"/>
    <w:rsid w:val="00E87CBC"/>
    <w:rsid w:val="00E87CD1"/>
    <w:rsid w:val="00E87D5C"/>
    <w:rsid w:val="00E87F4A"/>
    <w:rsid w:val="00E9019A"/>
    <w:rsid w:val="00E90AE8"/>
    <w:rsid w:val="00E90E45"/>
    <w:rsid w:val="00E91229"/>
    <w:rsid w:val="00E91BCC"/>
    <w:rsid w:val="00E92E1A"/>
    <w:rsid w:val="00E93C73"/>
    <w:rsid w:val="00E94D44"/>
    <w:rsid w:val="00E95684"/>
    <w:rsid w:val="00E956F9"/>
    <w:rsid w:val="00E96630"/>
    <w:rsid w:val="00E968A5"/>
    <w:rsid w:val="00E96BB0"/>
    <w:rsid w:val="00E97E8A"/>
    <w:rsid w:val="00E97F2B"/>
    <w:rsid w:val="00EA053C"/>
    <w:rsid w:val="00EA0727"/>
    <w:rsid w:val="00EA083A"/>
    <w:rsid w:val="00EA0E1F"/>
    <w:rsid w:val="00EA35E7"/>
    <w:rsid w:val="00EA41AF"/>
    <w:rsid w:val="00EA4348"/>
    <w:rsid w:val="00EA4E4C"/>
    <w:rsid w:val="00EA5CDB"/>
    <w:rsid w:val="00EA5FEF"/>
    <w:rsid w:val="00EA61E2"/>
    <w:rsid w:val="00EA6A75"/>
    <w:rsid w:val="00EB00F4"/>
    <w:rsid w:val="00EB03F0"/>
    <w:rsid w:val="00EB10E0"/>
    <w:rsid w:val="00EB1337"/>
    <w:rsid w:val="00EB3104"/>
    <w:rsid w:val="00EB3D30"/>
    <w:rsid w:val="00EB3E5C"/>
    <w:rsid w:val="00EB3EEB"/>
    <w:rsid w:val="00EB4033"/>
    <w:rsid w:val="00EB414B"/>
    <w:rsid w:val="00EB43BC"/>
    <w:rsid w:val="00EB445A"/>
    <w:rsid w:val="00EB46DD"/>
    <w:rsid w:val="00EB483E"/>
    <w:rsid w:val="00EB4EF6"/>
    <w:rsid w:val="00EB55F9"/>
    <w:rsid w:val="00EB5873"/>
    <w:rsid w:val="00EB5DE1"/>
    <w:rsid w:val="00EB5FAC"/>
    <w:rsid w:val="00EB6309"/>
    <w:rsid w:val="00EB66C0"/>
    <w:rsid w:val="00EB6DCB"/>
    <w:rsid w:val="00EB6F92"/>
    <w:rsid w:val="00EB7BF9"/>
    <w:rsid w:val="00EC04CD"/>
    <w:rsid w:val="00EC116E"/>
    <w:rsid w:val="00EC1553"/>
    <w:rsid w:val="00EC17F9"/>
    <w:rsid w:val="00EC20AE"/>
    <w:rsid w:val="00EC243F"/>
    <w:rsid w:val="00EC24A2"/>
    <w:rsid w:val="00EC36FE"/>
    <w:rsid w:val="00EC37D9"/>
    <w:rsid w:val="00EC3B28"/>
    <w:rsid w:val="00EC3B9A"/>
    <w:rsid w:val="00EC425C"/>
    <w:rsid w:val="00EC44EF"/>
    <w:rsid w:val="00EC452E"/>
    <w:rsid w:val="00EC46A5"/>
    <w:rsid w:val="00EC4D93"/>
    <w:rsid w:val="00EC6F31"/>
    <w:rsid w:val="00EC7038"/>
    <w:rsid w:val="00EC7069"/>
    <w:rsid w:val="00EC7E95"/>
    <w:rsid w:val="00ED01BB"/>
    <w:rsid w:val="00ED05C3"/>
    <w:rsid w:val="00ED0894"/>
    <w:rsid w:val="00ED0990"/>
    <w:rsid w:val="00ED1014"/>
    <w:rsid w:val="00ED1297"/>
    <w:rsid w:val="00ED1CEC"/>
    <w:rsid w:val="00ED1EEB"/>
    <w:rsid w:val="00ED2622"/>
    <w:rsid w:val="00ED3086"/>
    <w:rsid w:val="00ED4908"/>
    <w:rsid w:val="00ED4936"/>
    <w:rsid w:val="00ED5134"/>
    <w:rsid w:val="00ED54EC"/>
    <w:rsid w:val="00ED6298"/>
    <w:rsid w:val="00ED7A2A"/>
    <w:rsid w:val="00EE082A"/>
    <w:rsid w:val="00EE0966"/>
    <w:rsid w:val="00EE1719"/>
    <w:rsid w:val="00EE2D32"/>
    <w:rsid w:val="00EE2F90"/>
    <w:rsid w:val="00EE3090"/>
    <w:rsid w:val="00EE3117"/>
    <w:rsid w:val="00EE31A6"/>
    <w:rsid w:val="00EE337A"/>
    <w:rsid w:val="00EE33DD"/>
    <w:rsid w:val="00EE3493"/>
    <w:rsid w:val="00EE35F5"/>
    <w:rsid w:val="00EE3B3E"/>
    <w:rsid w:val="00EE4680"/>
    <w:rsid w:val="00EE4C75"/>
    <w:rsid w:val="00EE50E6"/>
    <w:rsid w:val="00EE519C"/>
    <w:rsid w:val="00EE5200"/>
    <w:rsid w:val="00EE543F"/>
    <w:rsid w:val="00EE5C5F"/>
    <w:rsid w:val="00EE6514"/>
    <w:rsid w:val="00EE66D4"/>
    <w:rsid w:val="00EE6986"/>
    <w:rsid w:val="00EE6B6F"/>
    <w:rsid w:val="00EE6D7E"/>
    <w:rsid w:val="00EE71B8"/>
    <w:rsid w:val="00EE7296"/>
    <w:rsid w:val="00EF0787"/>
    <w:rsid w:val="00EF0790"/>
    <w:rsid w:val="00EF0C88"/>
    <w:rsid w:val="00EF127F"/>
    <w:rsid w:val="00EF189A"/>
    <w:rsid w:val="00EF19E2"/>
    <w:rsid w:val="00EF1C48"/>
    <w:rsid w:val="00EF1D7F"/>
    <w:rsid w:val="00EF2170"/>
    <w:rsid w:val="00EF2278"/>
    <w:rsid w:val="00EF2889"/>
    <w:rsid w:val="00EF3068"/>
    <w:rsid w:val="00EF30FF"/>
    <w:rsid w:val="00EF338D"/>
    <w:rsid w:val="00EF39F5"/>
    <w:rsid w:val="00EF3D77"/>
    <w:rsid w:val="00EF40B0"/>
    <w:rsid w:val="00EF4165"/>
    <w:rsid w:val="00EF456C"/>
    <w:rsid w:val="00EF4795"/>
    <w:rsid w:val="00EF4A8C"/>
    <w:rsid w:val="00EF51BC"/>
    <w:rsid w:val="00EF5973"/>
    <w:rsid w:val="00EF5C0A"/>
    <w:rsid w:val="00EF68F3"/>
    <w:rsid w:val="00EF6C8B"/>
    <w:rsid w:val="00EF779D"/>
    <w:rsid w:val="00F00E7A"/>
    <w:rsid w:val="00F016E0"/>
    <w:rsid w:val="00F023C6"/>
    <w:rsid w:val="00F0259B"/>
    <w:rsid w:val="00F03237"/>
    <w:rsid w:val="00F0364E"/>
    <w:rsid w:val="00F03DD7"/>
    <w:rsid w:val="00F03FA6"/>
    <w:rsid w:val="00F04602"/>
    <w:rsid w:val="00F04932"/>
    <w:rsid w:val="00F04BE2"/>
    <w:rsid w:val="00F05020"/>
    <w:rsid w:val="00F0520B"/>
    <w:rsid w:val="00F05329"/>
    <w:rsid w:val="00F05542"/>
    <w:rsid w:val="00F05552"/>
    <w:rsid w:val="00F0582D"/>
    <w:rsid w:val="00F0625A"/>
    <w:rsid w:val="00F06365"/>
    <w:rsid w:val="00F0698A"/>
    <w:rsid w:val="00F07857"/>
    <w:rsid w:val="00F07D0D"/>
    <w:rsid w:val="00F07DAD"/>
    <w:rsid w:val="00F10B92"/>
    <w:rsid w:val="00F112B4"/>
    <w:rsid w:val="00F11C94"/>
    <w:rsid w:val="00F11FD1"/>
    <w:rsid w:val="00F12899"/>
    <w:rsid w:val="00F13897"/>
    <w:rsid w:val="00F139C8"/>
    <w:rsid w:val="00F153D6"/>
    <w:rsid w:val="00F15A27"/>
    <w:rsid w:val="00F16DD2"/>
    <w:rsid w:val="00F175FB"/>
    <w:rsid w:val="00F176C5"/>
    <w:rsid w:val="00F20509"/>
    <w:rsid w:val="00F20651"/>
    <w:rsid w:val="00F210B2"/>
    <w:rsid w:val="00F21904"/>
    <w:rsid w:val="00F21CB0"/>
    <w:rsid w:val="00F23181"/>
    <w:rsid w:val="00F2318A"/>
    <w:rsid w:val="00F23558"/>
    <w:rsid w:val="00F23F70"/>
    <w:rsid w:val="00F24B45"/>
    <w:rsid w:val="00F25390"/>
    <w:rsid w:val="00F256EB"/>
    <w:rsid w:val="00F26EDF"/>
    <w:rsid w:val="00F31CD2"/>
    <w:rsid w:val="00F3289A"/>
    <w:rsid w:val="00F32F6C"/>
    <w:rsid w:val="00F33F26"/>
    <w:rsid w:val="00F34539"/>
    <w:rsid w:val="00F34769"/>
    <w:rsid w:val="00F34885"/>
    <w:rsid w:val="00F35187"/>
    <w:rsid w:val="00F406E9"/>
    <w:rsid w:val="00F41455"/>
    <w:rsid w:val="00F41807"/>
    <w:rsid w:val="00F41DFA"/>
    <w:rsid w:val="00F4211E"/>
    <w:rsid w:val="00F4273B"/>
    <w:rsid w:val="00F4298E"/>
    <w:rsid w:val="00F43CEE"/>
    <w:rsid w:val="00F43ED2"/>
    <w:rsid w:val="00F44637"/>
    <w:rsid w:val="00F45F49"/>
    <w:rsid w:val="00F46AC9"/>
    <w:rsid w:val="00F472C5"/>
    <w:rsid w:val="00F5095A"/>
    <w:rsid w:val="00F509D8"/>
    <w:rsid w:val="00F50E6D"/>
    <w:rsid w:val="00F510E8"/>
    <w:rsid w:val="00F52569"/>
    <w:rsid w:val="00F5330B"/>
    <w:rsid w:val="00F5449E"/>
    <w:rsid w:val="00F54DBD"/>
    <w:rsid w:val="00F54DBF"/>
    <w:rsid w:val="00F550BE"/>
    <w:rsid w:val="00F554CB"/>
    <w:rsid w:val="00F57351"/>
    <w:rsid w:val="00F60524"/>
    <w:rsid w:val="00F60671"/>
    <w:rsid w:val="00F6074C"/>
    <w:rsid w:val="00F60974"/>
    <w:rsid w:val="00F61FB5"/>
    <w:rsid w:val="00F6300A"/>
    <w:rsid w:val="00F630DA"/>
    <w:rsid w:val="00F63620"/>
    <w:rsid w:val="00F64396"/>
    <w:rsid w:val="00F646C4"/>
    <w:rsid w:val="00F650AE"/>
    <w:rsid w:val="00F651EB"/>
    <w:rsid w:val="00F65272"/>
    <w:rsid w:val="00F6537B"/>
    <w:rsid w:val="00F653DC"/>
    <w:rsid w:val="00F653EC"/>
    <w:rsid w:val="00F65ABC"/>
    <w:rsid w:val="00F66106"/>
    <w:rsid w:val="00F66202"/>
    <w:rsid w:val="00F66F7F"/>
    <w:rsid w:val="00F67B53"/>
    <w:rsid w:val="00F703B5"/>
    <w:rsid w:val="00F70DB3"/>
    <w:rsid w:val="00F721F6"/>
    <w:rsid w:val="00F7223D"/>
    <w:rsid w:val="00F72792"/>
    <w:rsid w:val="00F73398"/>
    <w:rsid w:val="00F73B3A"/>
    <w:rsid w:val="00F74142"/>
    <w:rsid w:val="00F7416D"/>
    <w:rsid w:val="00F741FB"/>
    <w:rsid w:val="00F74726"/>
    <w:rsid w:val="00F749B1"/>
    <w:rsid w:val="00F74EF2"/>
    <w:rsid w:val="00F7531B"/>
    <w:rsid w:val="00F75A88"/>
    <w:rsid w:val="00F7654C"/>
    <w:rsid w:val="00F76AE0"/>
    <w:rsid w:val="00F775E0"/>
    <w:rsid w:val="00F801AC"/>
    <w:rsid w:val="00F807BA"/>
    <w:rsid w:val="00F826AE"/>
    <w:rsid w:val="00F830D9"/>
    <w:rsid w:val="00F844DC"/>
    <w:rsid w:val="00F84EA5"/>
    <w:rsid w:val="00F84F67"/>
    <w:rsid w:val="00F85708"/>
    <w:rsid w:val="00F85852"/>
    <w:rsid w:val="00F85D57"/>
    <w:rsid w:val="00F85EAA"/>
    <w:rsid w:val="00F872D2"/>
    <w:rsid w:val="00F874CA"/>
    <w:rsid w:val="00F875C2"/>
    <w:rsid w:val="00F879E3"/>
    <w:rsid w:val="00F87DC5"/>
    <w:rsid w:val="00F9002C"/>
    <w:rsid w:val="00F909C7"/>
    <w:rsid w:val="00F90D17"/>
    <w:rsid w:val="00F918EE"/>
    <w:rsid w:val="00F920E8"/>
    <w:rsid w:val="00F92283"/>
    <w:rsid w:val="00F922A3"/>
    <w:rsid w:val="00F922EE"/>
    <w:rsid w:val="00F93490"/>
    <w:rsid w:val="00F93781"/>
    <w:rsid w:val="00F9383C"/>
    <w:rsid w:val="00F93D83"/>
    <w:rsid w:val="00F9426B"/>
    <w:rsid w:val="00F94CF3"/>
    <w:rsid w:val="00F954C6"/>
    <w:rsid w:val="00F95FB1"/>
    <w:rsid w:val="00F971A3"/>
    <w:rsid w:val="00F9784F"/>
    <w:rsid w:val="00F97C02"/>
    <w:rsid w:val="00FA0983"/>
    <w:rsid w:val="00FA0BD4"/>
    <w:rsid w:val="00FA104D"/>
    <w:rsid w:val="00FA130E"/>
    <w:rsid w:val="00FA14AC"/>
    <w:rsid w:val="00FA1FE6"/>
    <w:rsid w:val="00FA247D"/>
    <w:rsid w:val="00FA2CFE"/>
    <w:rsid w:val="00FA30FD"/>
    <w:rsid w:val="00FA3C15"/>
    <w:rsid w:val="00FA3E8B"/>
    <w:rsid w:val="00FA403C"/>
    <w:rsid w:val="00FA4907"/>
    <w:rsid w:val="00FA4C36"/>
    <w:rsid w:val="00FA5408"/>
    <w:rsid w:val="00FA56F9"/>
    <w:rsid w:val="00FA5869"/>
    <w:rsid w:val="00FA5BCE"/>
    <w:rsid w:val="00FA6357"/>
    <w:rsid w:val="00FA64CF"/>
    <w:rsid w:val="00FA6809"/>
    <w:rsid w:val="00FA7592"/>
    <w:rsid w:val="00FA7CAC"/>
    <w:rsid w:val="00FA7FDC"/>
    <w:rsid w:val="00FB00ED"/>
    <w:rsid w:val="00FB0EA8"/>
    <w:rsid w:val="00FB12AA"/>
    <w:rsid w:val="00FB1CA3"/>
    <w:rsid w:val="00FB2083"/>
    <w:rsid w:val="00FB347C"/>
    <w:rsid w:val="00FB3C5B"/>
    <w:rsid w:val="00FB486F"/>
    <w:rsid w:val="00FB4DA0"/>
    <w:rsid w:val="00FB503E"/>
    <w:rsid w:val="00FB526D"/>
    <w:rsid w:val="00FB5D7D"/>
    <w:rsid w:val="00FB60AE"/>
    <w:rsid w:val="00FB613B"/>
    <w:rsid w:val="00FB7A1D"/>
    <w:rsid w:val="00FC002C"/>
    <w:rsid w:val="00FC06D8"/>
    <w:rsid w:val="00FC0DB2"/>
    <w:rsid w:val="00FC0E69"/>
    <w:rsid w:val="00FC101B"/>
    <w:rsid w:val="00FC24A3"/>
    <w:rsid w:val="00FC266E"/>
    <w:rsid w:val="00FC2B97"/>
    <w:rsid w:val="00FC3674"/>
    <w:rsid w:val="00FC3843"/>
    <w:rsid w:val="00FC3B7E"/>
    <w:rsid w:val="00FC3F44"/>
    <w:rsid w:val="00FC41FD"/>
    <w:rsid w:val="00FC43CF"/>
    <w:rsid w:val="00FC4890"/>
    <w:rsid w:val="00FC4961"/>
    <w:rsid w:val="00FC4C67"/>
    <w:rsid w:val="00FC4DAB"/>
    <w:rsid w:val="00FC53AD"/>
    <w:rsid w:val="00FC68B7"/>
    <w:rsid w:val="00FC79B7"/>
    <w:rsid w:val="00FD0975"/>
    <w:rsid w:val="00FD0C09"/>
    <w:rsid w:val="00FD0E67"/>
    <w:rsid w:val="00FD1E7B"/>
    <w:rsid w:val="00FD285C"/>
    <w:rsid w:val="00FD2CE1"/>
    <w:rsid w:val="00FD3126"/>
    <w:rsid w:val="00FD3376"/>
    <w:rsid w:val="00FD349C"/>
    <w:rsid w:val="00FD470C"/>
    <w:rsid w:val="00FD4CCF"/>
    <w:rsid w:val="00FD53B2"/>
    <w:rsid w:val="00FD5D8A"/>
    <w:rsid w:val="00FD67E6"/>
    <w:rsid w:val="00FD682F"/>
    <w:rsid w:val="00FD6B93"/>
    <w:rsid w:val="00FD6EEB"/>
    <w:rsid w:val="00FD72AF"/>
    <w:rsid w:val="00FD7CE6"/>
    <w:rsid w:val="00FD7F68"/>
    <w:rsid w:val="00FE00FB"/>
    <w:rsid w:val="00FE0677"/>
    <w:rsid w:val="00FE0B13"/>
    <w:rsid w:val="00FE0F68"/>
    <w:rsid w:val="00FE106A"/>
    <w:rsid w:val="00FE1082"/>
    <w:rsid w:val="00FE188A"/>
    <w:rsid w:val="00FE1AF9"/>
    <w:rsid w:val="00FE22C6"/>
    <w:rsid w:val="00FE2361"/>
    <w:rsid w:val="00FE293D"/>
    <w:rsid w:val="00FE2C25"/>
    <w:rsid w:val="00FE3917"/>
    <w:rsid w:val="00FE3931"/>
    <w:rsid w:val="00FE45D6"/>
    <w:rsid w:val="00FE45DA"/>
    <w:rsid w:val="00FE4706"/>
    <w:rsid w:val="00FE4AE2"/>
    <w:rsid w:val="00FE4D62"/>
    <w:rsid w:val="00FE578E"/>
    <w:rsid w:val="00FE5CF2"/>
    <w:rsid w:val="00FE6520"/>
    <w:rsid w:val="00FE6808"/>
    <w:rsid w:val="00FE6CAF"/>
    <w:rsid w:val="00FE6D78"/>
    <w:rsid w:val="00FE7A26"/>
    <w:rsid w:val="00FE7FD1"/>
    <w:rsid w:val="00FF0744"/>
    <w:rsid w:val="00FF086A"/>
    <w:rsid w:val="00FF1509"/>
    <w:rsid w:val="00FF1835"/>
    <w:rsid w:val="00FF1BCD"/>
    <w:rsid w:val="00FF20A8"/>
    <w:rsid w:val="00FF2774"/>
    <w:rsid w:val="00FF29A1"/>
    <w:rsid w:val="00FF2A0E"/>
    <w:rsid w:val="00FF2BEB"/>
    <w:rsid w:val="00FF3545"/>
    <w:rsid w:val="00FF4541"/>
    <w:rsid w:val="00FF4A30"/>
    <w:rsid w:val="00FF4E49"/>
    <w:rsid w:val="00FF514F"/>
    <w:rsid w:val="00FF5250"/>
    <w:rsid w:val="00FF5C37"/>
    <w:rsid w:val="00FF5E74"/>
    <w:rsid w:val="00FF657D"/>
    <w:rsid w:val="00FF6F32"/>
    <w:rsid w:val="00FF7AD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3F85"/>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9E3F85"/>
    <w:pPr>
      <w:spacing w:after="0" w:line="240" w:lineRule="auto"/>
      <w:ind w:right="0"/>
      <w:jc w:val="left"/>
      <w:outlineLvl w:val="0"/>
    </w:pPr>
  </w:style>
  <w:style w:type="paragraph" w:styleId="Heading2">
    <w:name w:val="heading 2"/>
    <w:basedOn w:val="Normal"/>
    <w:next w:val="Normal"/>
    <w:link w:val="Heading2Char"/>
    <w:qFormat/>
    <w:rsid w:val="009E3F85"/>
    <w:pPr>
      <w:spacing w:line="240" w:lineRule="auto"/>
      <w:outlineLvl w:val="1"/>
    </w:pPr>
  </w:style>
  <w:style w:type="paragraph" w:styleId="Heading3">
    <w:name w:val="heading 3"/>
    <w:basedOn w:val="Normal"/>
    <w:next w:val="Normal"/>
    <w:link w:val="Heading3Char"/>
    <w:qFormat/>
    <w:rsid w:val="009E3F85"/>
    <w:pPr>
      <w:spacing w:line="240" w:lineRule="auto"/>
      <w:outlineLvl w:val="2"/>
    </w:pPr>
  </w:style>
  <w:style w:type="paragraph" w:styleId="Heading4">
    <w:name w:val="heading 4"/>
    <w:basedOn w:val="Normal"/>
    <w:next w:val="Normal"/>
    <w:link w:val="Heading4Char"/>
    <w:qFormat/>
    <w:rsid w:val="009E3F85"/>
    <w:pPr>
      <w:spacing w:line="240" w:lineRule="auto"/>
      <w:outlineLvl w:val="3"/>
    </w:pPr>
  </w:style>
  <w:style w:type="paragraph" w:styleId="Heading5">
    <w:name w:val="heading 5"/>
    <w:basedOn w:val="Normal"/>
    <w:next w:val="Normal"/>
    <w:link w:val="Heading5Char"/>
    <w:qFormat/>
    <w:rsid w:val="009E3F85"/>
    <w:pPr>
      <w:spacing w:line="240" w:lineRule="auto"/>
      <w:outlineLvl w:val="4"/>
    </w:pPr>
  </w:style>
  <w:style w:type="paragraph" w:styleId="Heading6">
    <w:name w:val="heading 6"/>
    <w:basedOn w:val="Normal"/>
    <w:next w:val="Normal"/>
    <w:link w:val="Heading6Char"/>
    <w:qFormat/>
    <w:rsid w:val="009E3F85"/>
    <w:pPr>
      <w:spacing w:line="240" w:lineRule="auto"/>
      <w:outlineLvl w:val="5"/>
    </w:pPr>
  </w:style>
  <w:style w:type="paragraph" w:styleId="Heading7">
    <w:name w:val="heading 7"/>
    <w:basedOn w:val="Normal"/>
    <w:next w:val="Normal"/>
    <w:link w:val="Heading7Char"/>
    <w:qFormat/>
    <w:rsid w:val="009E3F85"/>
    <w:pPr>
      <w:spacing w:line="240" w:lineRule="auto"/>
      <w:outlineLvl w:val="6"/>
    </w:pPr>
  </w:style>
  <w:style w:type="paragraph" w:styleId="Heading8">
    <w:name w:val="heading 8"/>
    <w:basedOn w:val="Normal"/>
    <w:next w:val="Normal"/>
    <w:link w:val="Heading8Char"/>
    <w:qFormat/>
    <w:rsid w:val="009E3F85"/>
    <w:pPr>
      <w:spacing w:line="240" w:lineRule="auto"/>
      <w:outlineLvl w:val="7"/>
    </w:pPr>
  </w:style>
  <w:style w:type="paragraph" w:styleId="Heading9">
    <w:name w:val="heading 9"/>
    <w:basedOn w:val="Normal"/>
    <w:next w:val="Normal"/>
    <w:link w:val="Heading9Char"/>
    <w:qFormat/>
    <w:rsid w:val="009E3F85"/>
    <w:pPr>
      <w:spacing w:line="240" w:lineRule="auto"/>
      <w:outlineLvl w:val="8"/>
    </w:pPr>
  </w:style>
  <w:style w:type="character" w:default="1" w:styleId="DefaultParagraphFont">
    <w:name w:val="Default Paragraph Font"/>
    <w:uiPriority w:val="1"/>
    <w:unhideWhenUsed/>
    <w:rsid w:val="009E3F8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unhideWhenUsed/>
    <w:rsid w:val="009E3F85"/>
  </w:style>
  <w:style w:type="paragraph" w:customStyle="1" w:styleId="SingleTxtG">
    <w:name w:val="_ Single Txt_G"/>
    <w:basedOn w:val="Normal"/>
    <w:link w:val="SingleTxtGChar"/>
    <w:rsid w:val="009E3F85"/>
    <w:pPr>
      <w:spacing w:after="120"/>
      <w:ind w:left="1134" w:right="1134"/>
      <w:jc w:val="both"/>
    </w:pPr>
  </w:style>
  <w:style w:type="character" w:customStyle="1" w:styleId="Heading1Char">
    <w:name w:val="Heading 1 Char"/>
    <w:aliases w:val="Table_G Char"/>
    <w:link w:val="Heading1"/>
    <w:locked/>
    <w:rsid w:val="000B562B"/>
    <w:rPr>
      <w:lang w:val="en-GB" w:eastAsia="en-US" w:bidi="ar-SA"/>
    </w:rPr>
  </w:style>
  <w:style w:type="character" w:customStyle="1" w:styleId="Heading2Char">
    <w:name w:val="Heading 2 Char"/>
    <w:link w:val="Heading2"/>
    <w:locked/>
    <w:rsid w:val="000B562B"/>
    <w:rPr>
      <w:lang w:val="en-GB" w:eastAsia="en-US" w:bidi="ar-SA"/>
    </w:rPr>
  </w:style>
  <w:style w:type="character" w:customStyle="1" w:styleId="Heading3Char">
    <w:name w:val="Heading 3 Char"/>
    <w:link w:val="Heading3"/>
    <w:locked/>
    <w:rsid w:val="000B562B"/>
    <w:rPr>
      <w:lang w:val="en-GB" w:eastAsia="en-US" w:bidi="ar-SA"/>
    </w:rPr>
  </w:style>
  <w:style w:type="character" w:customStyle="1" w:styleId="Heading4Char">
    <w:name w:val="Heading 4 Char"/>
    <w:link w:val="Heading4"/>
    <w:locked/>
    <w:rsid w:val="000B562B"/>
    <w:rPr>
      <w:lang w:val="en-GB" w:eastAsia="en-US" w:bidi="ar-SA"/>
    </w:rPr>
  </w:style>
  <w:style w:type="character" w:customStyle="1" w:styleId="Heading5Char">
    <w:name w:val="Heading 5 Char"/>
    <w:link w:val="Heading5"/>
    <w:locked/>
    <w:rsid w:val="000B562B"/>
    <w:rPr>
      <w:lang w:val="en-GB" w:eastAsia="en-US" w:bidi="ar-SA"/>
    </w:rPr>
  </w:style>
  <w:style w:type="character" w:customStyle="1" w:styleId="Heading6Char">
    <w:name w:val="Heading 6 Char"/>
    <w:link w:val="Heading6"/>
    <w:locked/>
    <w:rsid w:val="000B562B"/>
    <w:rPr>
      <w:lang w:val="en-GB" w:eastAsia="en-US" w:bidi="ar-SA"/>
    </w:rPr>
  </w:style>
  <w:style w:type="character" w:customStyle="1" w:styleId="Heading7Char">
    <w:name w:val="Heading 7 Char"/>
    <w:link w:val="Heading7"/>
    <w:locked/>
    <w:rsid w:val="000B562B"/>
    <w:rPr>
      <w:lang w:val="en-GB" w:eastAsia="en-US" w:bidi="ar-SA"/>
    </w:rPr>
  </w:style>
  <w:style w:type="character" w:customStyle="1" w:styleId="Heading8Char">
    <w:name w:val="Heading 8 Char"/>
    <w:link w:val="Heading8"/>
    <w:locked/>
    <w:rsid w:val="000B562B"/>
    <w:rPr>
      <w:lang w:val="en-GB" w:eastAsia="en-US" w:bidi="ar-SA"/>
    </w:rPr>
  </w:style>
  <w:style w:type="character" w:customStyle="1" w:styleId="Heading9Char">
    <w:name w:val="Heading 9 Char"/>
    <w:link w:val="Heading9"/>
    <w:locked/>
    <w:rsid w:val="000B562B"/>
    <w:rPr>
      <w:lang w:val="en-GB" w:eastAsia="en-US" w:bidi="ar-SA"/>
    </w:rPr>
  </w:style>
  <w:style w:type="paragraph" w:customStyle="1" w:styleId="HMG">
    <w:name w:val="_ H __M_G"/>
    <w:basedOn w:val="Normal"/>
    <w:next w:val="Normal"/>
    <w:rsid w:val="009E3F8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FC2B97"/>
    <w:pPr>
      <w:keepNext/>
      <w:keepLines/>
      <w:tabs>
        <w:tab w:val="right" w:pos="851"/>
      </w:tabs>
      <w:spacing w:before="360" w:after="240" w:line="300" w:lineRule="exact"/>
      <w:ind w:left="1134" w:right="1134" w:hanging="1134"/>
    </w:pPr>
    <w:rPr>
      <w:b/>
      <w:sz w:val="28"/>
      <w:lang w:val="fr-FR"/>
    </w:rPr>
  </w:style>
  <w:style w:type="paragraph" w:customStyle="1" w:styleId="H1G">
    <w:name w:val="_ H_1_G"/>
    <w:basedOn w:val="Normal"/>
    <w:next w:val="Normal"/>
    <w:rsid w:val="001C135E"/>
    <w:pPr>
      <w:keepNext/>
      <w:keepLines/>
      <w:tabs>
        <w:tab w:val="right" w:pos="851"/>
      </w:tabs>
      <w:spacing w:before="360" w:after="240" w:line="270" w:lineRule="exact"/>
      <w:ind w:left="1134" w:right="1134" w:hanging="1134"/>
    </w:pPr>
    <w:rPr>
      <w:b/>
      <w:sz w:val="24"/>
      <w:lang w:val="fr-FR"/>
    </w:rPr>
  </w:style>
  <w:style w:type="paragraph" w:customStyle="1" w:styleId="H23G">
    <w:name w:val="_ H_2/3_G"/>
    <w:basedOn w:val="Normal"/>
    <w:next w:val="Normal"/>
    <w:link w:val="H23GChar"/>
    <w:rsid w:val="00342139"/>
    <w:pPr>
      <w:keepNext/>
      <w:keepLines/>
      <w:spacing w:before="240" w:after="120" w:line="240" w:lineRule="exact"/>
      <w:ind w:left="1134" w:right="1134"/>
    </w:pPr>
    <w:rPr>
      <w:b/>
      <w:lang w:val="en-US" w:eastAsia="fr-CH"/>
    </w:rPr>
  </w:style>
  <w:style w:type="paragraph" w:customStyle="1" w:styleId="H4G">
    <w:name w:val="_ H_4_G"/>
    <w:basedOn w:val="Normal"/>
    <w:next w:val="Normal"/>
    <w:rsid w:val="00057D57"/>
    <w:pPr>
      <w:keepNext/>
      <w:keepLines/>
      <w:spacing w:before="240" w:after="120" w:line="240" w:lineRule="exact"/>
      <w:ind w:left="1134" w:right="1134"/>
    </w:pPr>
    <w:rPr>
      <w:i/>
    </w:rPr>
  </w:style>
  <w:style w:type="paragraph" w:customStyle="1" w:styleId="H56G">
    <w:name w:val="_ H_5/6_G"/>
    <w:basedOn w:val="Normal"/>
    <w:next w:val="Normal"/>
    <w:rsid w:val="00F9426B"/>
    <w:pPr>
      <w:keepNext/>
      <w:keepLines/>
      <w:spacing w:before="240" w:after="120" w:line="240" w:lineRule="exact"/>
      <w:ind w:left="1134" w:right="1134"/>
    </w:pPr>
    <w:rPr>
      <w:lang w:val="en-US" w:eastAsia="fr-CH"/>
    </w:rPr>
  </w:style>
  <w:style w:type="paragraph" w:customStyle="1" w:styleId="SLG">
    <w:name w:val="__S_L_G"/>
    <w:basedOn w:val="Normal"/>
    <w:next w:val="Normal"/>
    <w:rsid w:val="009E3F85"/>
    <w:pPr>
      <w:keepNext/>
      <w:keepLines/>
      <w:spacing w:before="240" w:after="240" w:line="580" w:lineRule="exact"/>
      <w:ind w:left="1134" w:right="1134"/>
    </w:pPr>
    <w:rPr>
      <w:b/>
      <w:sz w:val="56"/>
    </w:rPr>
  </w:style>
  <w:style w:type="paragraph" w:customStyle="1" w:styleId="SMG">
    <w:name w:val="__S_M_G"/>
    <w:basedOn w:val="Normal"/>
    <w:next w:val="Normal"/>
    <w:rsid w:val="009E3F85"/>
    <w:pPr>
      <w:keepNext/>
      <w:keepLines/>
      <w:spacing w:before="240" w:after="240" w:line="420" w:lineRule="exact"/>
      <w:ind w:left="1134" w:right="1134"/>
    </w:pPr>
    <w:rPr>
      <w:b/>
      <w:sz w:val="40"/>
    </w:rPr>
  </w:style>
  <w:style w:type="paragraph" w:customStyle="1" w:styleId="SSG">
    <w:name w:val="__S_S_G"/>
    <w:basedOn w:val="Normal"/>
    <w:next w:val="Normal"/>
    <w:rsid w:val="009E3F85"/>
    <w:pPr>
      <w:keepNext/>
      <w:keepLines/>
      <w:spacing w:before="240" w:after="240" w:line="300" w:lineRule="exact"/>
      <w:ind w:left="1134" w:right="1134"/>
    </w:pPr>
    <w:rPr>
      <w:b/>
      <w:sz w:val="28"/>
    </w:rPr>
  </w:style>
  <w:style w:type="paragraph" w:customStyle="1" w:styleId="XLargeG">
    <w:name w:val="__XLarge_G"/>
    <w:basedOn w:val="Normal"/>
    <w:next w:val="Normal"/>
    <w:rsid w:val="009E3F85"/>
    <w:pPr>
      <w:keepNext/>
      <w:keepLines/>
      <w:spacing w:before="240" w:after="240" w:line="420" w:lineRule="exact"/>
      <w:ind w:left="1134" w:right="1134"/>
    </w:pPr>
    <w:rPr>
      <w:b/>
      <w:sz w:val="40"/>
    </w:rPr>
  </w:style>
  <w:style w:type="paragraph" w:customStyle="1" w:styleId="Bullet1G">
    <w:name w:val="_Bullet 1_G"/>
    <w:basedOn w:val="Normal"/>
    <w:rsid w:val="00BC0033"/>
    <w:pPr>
      <w:numPr>
        <w:numId w:val="1"/>
      </w:numPr>
      <w:tabs>
        <w:tab w:val="clear" w:pos="1588"/>
        <w:tab w:val="num" w:pos="1701"/>
      </w:tabs>
      <w:spacing w:after="120"/>
      <w:ind w:left="1701" w:right="1134"/>
      <w:jc w:val="both"/>
    </w:pPr>
    <w:rPr>
      <w:lang w:val="fr-FR"/>
    </w:rPr>
  </w:style>
  <w:style w:type="paragraph" w:customStyle="1" w:styleId="Bullet2G">
    <w:name w:val="_Bullet 2_G"/>
    <w:basedOn w:val="Normal"/>
    <w:rsid w:val="009E3F85"/>
    <w:pPr>
      <w:numPr>
        <w:numId w:val="2"/>
      </w:numPr>
      <w:spacing w:after="120"/>
      <w:ind w:right="1134"/>
      <w:jc w:val="both"/>
    </w:pPr>
  </w:style>
  <w:style w:type="character" w:styleId="FootnoteReference">
    <w:name w:val="footnote reference"/>
    <w:aliases w:val="4_G"/>
    <w:rsid w:val="009E3F85"/>
    <w:rPr>
      <w:rFonts w:ascii="Times New Roman" w:hAnsi="Times New Roman"/>
      <w:sz w:val="18"/>
      <w:vertAlign w:val="superscript"/>
    </w:rPr>
  </w:style>
  <w:style w:type="character" w:styleId="EndnoteReference">
    <w:name w:val="endnote reference"/>
    <w:aliases w:val="1_G"/>
    <w:basedOn w:val="FootnoteReference"/>
    <w:rsid w:val="009E3F85"/>
    <w:rPr>
      <w:rFonts w:ascii="Times New Roman" w:hAnsi="Times New Roman"/>
      <w:sz w:val="18"/>
      <w:vertAlign w:val="superscript"/>
    </w:rPr>
  </w:style>
  <w:style w:type="paragraph" w:styleId="Header">
    <w:name w:val="header"/>
    <w:aliases w:val="6_G"/>
    <w:basedOn w:val="Normal"/>
    <w:link w:val="HeaderChar1"/>
    <w:rsid w:val="009E3F85"/>
    <w:pPr>
      <w:pBdr>
        <w:bottom w:val="single" w:sz="4" w:space="4" w:color="auto"/>
      </w:pBdr>
      <w:spacing w:line="240" w:lineRule="auto"/>
    </w:pPr>
    <w:rPr>
      <w:b/>
      <w:sz w:val="18"/>
    </w:rPr>
  </w:style>
  <w:style w:type="character" w:customStyle="1" w:styleId="HeaderChar1">
    <w:name w:val="Header Char1"/>
    <w:aliases w:val="6_G Char"/>
    <w:link w:val="Header"/>
    <w:rsid w:val="009E3F85"/>
    <w:rPr>
      <w:b/>
      <w:sz w:val="18"/>
      <w:lang w:val="en-GB" w:eastAsia="en-US"/>
    </w:rPr>
  </w:style>
  <w:style w:type="table" w:styleId="TableGrid">
    <w:name w:val="Table Grid"/>
    <w:basedOn w:val="TableNormal"/>
    <w:rsid w:val="009E3F8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rsid w:val="009E3F85"/>
    <w:rPr>
      <w:color w:val="auto"/>
      <w:u w:val="none"/>
    </w:rPr>
  </w:style>
  <w:style w:type="character" w:styleId="FollowedHyperlink">
    <w:name w:val="FollowedHyperlink"/>
    <w:rsid w:val="009E3F85"/>
    <w:rPr>
      <w:color w:val="auto"/>
      <w:u w:val="none"/>
    </w:rPr>
  </w:style>
  <w:style w:type="paragraph" w:styleId="FootnoteText">
    <w:name w:val="footnote text"/>
    <w:aliases w:val="5_G,Footnote Text Char Char Char Char Char,Footnote Text Char Char Char Char,Footnote reference,FA Fu, Car1,Texto nota pie Car1,Texto nota pie Car Car, Car1 Car2,ft,texto de nota al pie,Nota a pie/Bibliog,texto de nota al pie Car Car"/>
    <w:basedOn w:val="Normal"/>
    <w:link w:val="FootnoteTextChar1"/>
    <w:rsid w:val="00BB5587"/>
    <w:pPr>
      <w:widowControl w:val="0"/>
      <w:tabs>
        <w:tab w:val="right" w:pos="1020"/>
      </w:tabs>
      <w:spacing w:line="220" w:lineRule="exact"/>
      <w:ind w:left="1134" w:right="1134" w:hanging="1134"/>
    </w:pPr>
    <w:rPr>
      <w:iCs/>
      <w:sz w:val="18"/>
      <w:szCs w:val="18"/>
      <w:lang w:val="x-none"/>
    </w:rPr>
  </w:style>
  <w:style w:type="character" w:customStyle="1" w:styleId="FootnoteTextChar1">
    <w:name w:val="Footnote Text Char1"/>
    <w:aliases w:val="5_G Char,Footnote Text Char Char Char Char Char Char,Footnote Text Char Char Char Char Char1,Footnote reference Char,FA Fu Char, Car1 Char,Texto nota pie Car1 Char,Texto nota pie Car Car Char, Car1 Car2 Char,ft Char"/>
    <w:link w:val="FootnoteText"/>
    <w:rsid w:val="00BB5587"/>
    <w:rPr>
      <w:rFonts w:cs="Arial"/>
      <w:iCs/>
      <w:sz w:val="18"/>
      <w:szCs w:val="18"/>
      <w:lang w:eastAsia="en-US"/>
    </w:rPr>
  </w:style>
  <w:style w:type="paragraph" w:styleId="EndnoteText">
    <w:name w:val="endnote text"/>
    <w:aliases w:val="2_G"/>
    <w:basedOn w:val="FootnoteText"/>
    <w:link w:val="EndnoteTextChar"/>
    <w:rsid w:val="009E3F85"/>
    <w:rPr>
      <w:iCs w:val="0"/>
      <w:szCs w:val="20"/>
      <w:lang w:val="en-GB"/>
    </w:rPr>
  </w:style>
  <w:style w:type="character" w:customStyle="1" w:styleId="EndnoteTextChar">
    <w:name w:val="Endnote Text Char"/>
    <w:aliases w:val="2_G Char"/>
    <w:link w:val="EndnoteText"/>
    <w:rsid w:val="009E3F85"/>
    <w:rPr>
      <w:sz w:val="18"/>
      <w:lang w:val="en-GB" w:eastAsia="en-US"/>
    </w:rPr>
  </w:style>
  <w:style w:type="character" w:styleId="PageNumber">
    <w:name w:val="page number"/>
    <w:aliases w:val="7_G"/>
    <w:rsid w:val="009E3F85"/>
    <w:rPr>
      <w:rFonts w:ascii="Times New Roman" w:hAnsi="Times New Roman"/>
      <w:b/>
      <w:sz w:val="18"/>
    </w:rPr>
  </w:style>
  <w:style w:type="paragraph" w:styleId="Footer">
    <w:name w:val="footer"/>
    <w:aliases w:val="3_G"/>
    <w:basedOn w:val="Normal"/>
    <w:link w:val="FooterChar1"/>
    <w:rsid w:val="009E3F85"/>
    <w:pPr>
      <w:spacing w:line="240" w:lineRule="auto"/>
    </w:pPr>
    <w:rPr>
      <w:sz w:val="16"/>
    </w:rPr>
  </w:style>
  <w:style w:type="character" w:customStyle="1" w:styleId="FooterChar1">
    <w:name w:val="Footer Char1"/>
    <w:aliases w:val="3_G Char"/>
    <w:link w:val="Footer"/>
    <w:rsid w:val="009E3F85"/>
    <w:rPr>
      <w:sz w:val="16"/>
      <w:lang w:val="en-GB" w:eastAsia="en-US"/>
    </w:rPr>
  </w:style>
  <w:style w:type="paragraph" w:styleId="TOC1">
    <w:name w:val="toc 1"/>
    <w:basedOn w:val="Normal"/>
    <w:autoRedefine/>
    <w:semiHidden/>
    <w:rsid w:val="0072554C"/>
    <w:pPr>
      <w:tabs>
        <w:tab w:val="right" w:pos="7655"/>
      </w:tabs>
      <w:suppressAutoHyphens w:val="0"/>
      <w:spacing w:before="120" w:after="60" w:line="240" w:lineRule="auto"/>
    </w:pPr>
    <w:rPr>
      <w:rFonts w:ascii="Arial" w:hAnsi="Arial"/>
      <w:b/>
      <w:sz w:val="22"/>
      <w:lang w:eastAsia="en-GB"/>
    </w:rPr>
  </w:style>
  <w:style w:type="paragraph" w:customStyle="1" w:styleId="Heading-contents">
    <w:name w:val="Heading - contents"/>
    <w:basedOn w:val="Heading1"/>
    <w:next w:val="Normal"/>
    <w:rsid w:val="0072554C"/>
    <w:pPr>
      <w:keepNext/>
      <w:pageBreakBefore/>
      <w:suppressAutoHyphens w:val="0"/>
      <w:spacing w:after="851"/>
      <w:ind w:left="0"/>
    </w:pPr>
    <w:rPr>
      <w:rFonts w:ascii="Arial" w:hAnsi="Arial"/>
      <w:b/>
      <w:sz w:val="28"/>
      <w:lang w:eastAsia="en-GB"/>
    </w:rPr>
  </w:style>
  <w:style w:type="paragraph" w:styleId="TOC2">
    <w:name w:val="toc 2"/>
    <w:basedOn w:val="TOC1"/>
    <w:next w:val="Normal"/>
    <w:autoRedefine/>
    <w:semiHidden/>
    <w:rsid w:val="0072554C"/>
    <w:pPr>
      <w:spacing w:before="0"/>
      <w:ind w:left="284"/>
    </w:pPr>
    <w:rPr>
      <w:b w:val="0"/>
    </w:rPr>
  </w:style>
  <w:style w:type="paragraph" w:styleId="TOC3">
    <w:name w:val="toc 3"/>
    <w:basedOn w:val="TOC2"/>
    <w:next w:val="Normal"/>
    <w:autoRedefine/>
    <w:semiHidden/>
    <w:rsid w:val="0072554C"/>
    <w:pPr>
      <w:ind w:left="567"/>
    </w:pPr>
  </w:style>
  <w:style w:type="character" w:customStyle="1" w:styleId="HeaderChar">
    <w:name w:val="Header Char"/>
    <w:locked/>
    <w:rsid w:val="009A3F24"/>
    <w:rPr>
      <w:rFonts w:cs="Times New Roman"/>
      <w:b/>
      <w:sz w:val="18"/>
      <w:lang w:val="x-none" w:eastAsia="en-US"/>
    </w:rPr>
  </w:style>
  <w:style w:type="paragraph" w:customStyle="1" w:styleId="Text">
    <w:name w:val="Text"/>
    <w:link w:val="TextChar"/>
    <w:rsid w:val="00605496"/>
    <w:pPr>
      <w:spacing w:after="240"/>
    </w:pPr>
    <w:rPr>
      <w:rFonts w:ascii="Arial" w:hAnsi="Arial"/>
      <w:sz w:val="22"/>
      <w:lang w:val="en-GB" w:eastAsia="en-GB"/>
    </w:rPr>
  </w:style>
  <w:style w:type="character" w:customStyle="1" w:styleId="TextChar">
    <w:name w:val="Text Char"/>
    <w:link w:val="Text"/>
    <w:rsid w:val="00605496"/>
    <w:rPr>
      <w:rFonts w:ascii="Arial" w:hAnsi="Arial"/>
      <w:sz w:val="22"/>
      <w:lang w:val="en-GB" w:eastAsia="en-GB" w:bidi="ar-SA"/>
    </w:rPr>
  </w:style>
  <w:style w:type="paragraph" w:customStyle="1" w:styleId="Sub-heading">
    <w:name w:val="Sub-heading"/>
    <w:next w:val="Text"/>
    <w:rsid w:val="00605496"/>
    <w:pPr>
      <w:keepNext/>
      <w:spacing w:before="120" w:after="120"/>
    </w:pPr>
    <w:rPr>
      <w:rFonts w:ascii="Arial Bold" w:hAnsi="Arial Bold"/>
      <w:b/>
      <w:sz w:val="24"/>
      <w:lang w:val="en-GB" w:eastAsia="en-US"/>
    </w:rPr>
  </w:style>
  <w:style w:type="paragraph" w:customStyle="1" w:styleId="Textnumbered">
    <w:name w:val="Text numbered"/>
    <w:link w:val="TextnumberedCharChar"/>
    <w:rsid w:val="00605496"/>
    <w:pPr>
      <w:numPr>
        <w:numId w:val="4"/>
      </w:numPr>
      <w:spacing w:after="240"/>
    </w:pPr>
    <w:rPr>
      <w:rFonts w:ascii="Arial" w:hAnsi="Arial"/>
      <w:sz w:val="22"/>
      <w:lang w:val="en-GB" w:eastAsia="en-GB"/>
    </w:rPr>
  </w:style>
  <w:style w:type="character" w:customStyle="1" w:styleId="TextnumberedCharChar">
    <w:name w:val="Text numbered Char Char"/>
    <w:link w:val="Textnumbered"/>
    <w:rsid w:val="00605496"/>
    <w:rPr>
      <w:rFonts w:ascii="Arial" w:hAnsi="Arial"/>
      <w:sz w:val="22"/>
      <w:lang w:val="en-GB" w:eastAsia="en-GB" w:bidi="ar-SA"/>
    </w:rPr>
  </w:style>
  <w:style w:type="paragraph" w:customStyle="1" w:styleId="Bulletundernumberedtext">
    <w:name w:val="Bullet (under numbered text)"/>
    <w:rsid w:val="00605496"/>
    <w:pPr>
      <w:numPr>
        <w:numId w:val="3"/>
      </w:numPr>
      <w:spacing w:after="240"/>
    </w:pPr>
    <w:rPr>
      <w:rFonts w:ascii="Arial" w:hAnsi="Arial"/>
      <w:sz w:val="22"/>
      <w:lang w:val="en-GB" w:eastAsia="en-GB"/>
    </w:rPr>
  </w:style>
  <w:style w:type="paragraph" w:styleId="Title">
    <w:name w:val="Title"/>
    <w:link w:val="TitleChar"/>
    <w:qFormat/>
    <w:rsid w:val="00605496"/>
    <w:pPr>
      <w:spacing w:before="1800" w:after="120"/>
      <w:outlineLvl w:val="0"/>
    </w:pPr>
    <w:rPr>
      <w:rFonts w:ascii="Arial" w:hAnsi="Arial"/>
      <w:b/>
      <w:sz w:val="36"/>
      <w:lang w:val="en-GB" w:eastAsia="en-GB"/>
    </w:rPr>
  </w:style>
  <w:style w:type="character" w:customStyle="1" w:styleId="TitleChar">
    <w:name w:val="Title Char"/>
    <w:link w:val="Title"/>
    <w:locked/>
    <w:rsid w:val="000B562B"/>
    <w:rPr>
      <w:rFonts w:ascii="Arial" w:hAnsi="Arial"/>
      <w:b/>
      <w:sz w:val="36"/>
      <w:lang w:val="en-GB" w:eastAsia="en-GB" w:bidi="ar-SA"/>
    </w:rPr>
  </w:style>
  <w:style w:type="paragraph" w:customStyle="1" w:styleId="Title-subtitle">
    <w:name w:val="Title - subtitle"/>
    <w:basedOn w:val="Title"/>
    <w:rsid w:val="00605496"/>
    <w:pPr>
      <w:spacing w:before="100" w:beforeAutospacing="1" w:after="0"/>
    </w:pPr>
    <w:rPr>
      <w:b w:val="0"/>
    </w:rPr>
  </w:style>
  <w:style w:type="paragraph" w:customStyle="1" w:styleId="Bulletundertext">
    <w:name w:val="Bullet (under text)"/>
    <w:rsid w:val="00605496"/>
    <w:pPr>
      <w:tabs>
        <w:tab w:val="num" w:pos="360"/>
      </w:tabs>
      <w:spacing w:after="240"/>
      <w:ind w:left="360" w:hanging="360"/>
    </w:pPr>
    <w:rPr>
      <w:rFonts w:ascii="Arial" w:hAnsi="Arial"/>
      <w:sz w:val="22"/>
      <w:lang w:val="en-GB" w:eastAsia="en-GB"/>
    </w:rPr>
  </w:style>
  <w:style w:type="paragraph" w:customStyle="1" w:styleId="Covertitle">
    <w:name w:val="Cover title"/>
    <w:rsid w:val="00605496"/>
    <w:rPr>
      <w:rFonts w:ascii="Arial" w:hAnsi="Arial"/>
      <w:b/>
      <w:sz w:val="52"/>
      <w:lang w:val="en-GB" w:eastAsia="en-GB"/>
    </w:rPr>
  </w:style>
  <w:style w:type="paragraph" w:customStyle="1" w:styleId="cover-othertext">
    <w:name w:val="cover - other text"/>
    <w:rsid w:val="00605496"/>
    <w:pPr>
      <w:spacing w:line="360" w:lineRule="exact"/>
    </w:pPr>
    <w:rPr>
      <w:rFonts w:ascii="Arial" w:hAnsi="Arial"/>
      <w:sz w:val="24"/>
      <w:szCs w:val="24"/>
      <w:lang w:val="en-GB" w:eastAsia="en-GB"/>
    </w:rPr>
  </w:style>
  <w:style w:type="paragraph" w:customStyle="1" w:styleId="Textindented">
    <w:name w:val="Text indented"/>
    <w:rsid w:val="00605496"/>
    <w:pPr>
      <w:spacing w:after="240"/>
      <w:ind w:left="924"/>
    </w:pPr>
    <w:rPr>
      <w:rFonts w:ascii="Arial" w:hAnsi="Arial"/>
      <w:sz w:val="22"/>
      <w:lang w:val="en-GB" w:eastAsia="en-US"/>
    </w:rPr>
  </w:style>
  <w:style w:type="paragraph" w:customStyle="1" w:styleId="StyleTopSinglesolidlineAuto05ptLinewidth">
    <w:name w:val="Style Top: (Single solid line Auto  0.5 pt Line width)"/>
    <w:basedOn w:val="Text"/>
    <w:rsid w:val="00605496"/>
    <w:pPr>
      <w:pBdr>
        <w:top w:val="single" w:sz="4" w:space="1" w:color="auto"/>
      </w:pBdr>
    </w:pPr>
  </w:style>
  <w:style w:type="paragraph" w:customStyle="1" w:styleId="Cover-sub-title">
    <w:name w:val="Cover - sub-title"/>
    <w:rsid w:val="00605496"/>
    <w:rPr>
      <w:rFonts w:ascii="Arial" w:hAnsi="Arial"/>
      <w:sz w:val="48"/>
      <w:lang w:val="en-GB" w:eastAsia="en-GB"/>
    </w:rPr>
  </w:style>
  <w:style w:type="paragraph" w:styleId="BalloonText">
    <w:name w:val="Balloon Text"/>
    <w:basedOn w:val="Normal"/>
    <w:link w:val="BalloonTextChar"/>
    <w:semiHidden/>
    <w:rsid w:val="00605496"/>
    <w:pPr>
      <w:suppressAutoHyphens w:val="0"/>
      <w:spacing w:after="240" w:line="240" w:lineRule="auto"/>
    </w:pPr>
    <w:rPr>
      <w:rFonts w:ascii="Tahoma" w:hAnsi="Tahoma" w:cs="Verdana"/>
      <w:sz w:val="16"/>
      <w:szCs w:val="16"/>
    </w:rPr>
  </w:style>
  <w:style w:type="character" w:customStyle="1" w:styleId="BalloonTextChar">
    <w:name w:val="Balloon Text Char"/>
    <w:link w:val="BalloonText"/>
    <w:semiHidden/>
    <w:locked/>
    <w:rsid w:val="000B562B"/>
    <w:rPr>
      <w:rFonts w:ascii="Tahoma" w:hAnsi="Tahoma" w:cs="Verdana"/>
      <w:sz w:val="16"/>
      <w:szCs w:val="16"/>
      <w:lang w:val="en-GB" w:eastAsia="en-US" w:bidi="ar-SA"/>
    </w:rPr>
  </w:style>
  <w:style w:type="paragraph" w:styleId="Subtitle">
    <w:name w:val="Subtitle"/>
    <w:basedOn w:val="Normal"/>
    <w:link w:val="SubtitleChar"/>
    <w:qFormat/>
    <w:rsid w:val="00605496"/>
    <w:pPr>
      <w:suppressAutoHyphens w:val="0"/>
      <w:spacing w:after="240" w:line="240" w:lineRule="auto"/>
    </w:pPr>
    <w:rPr>
      <w:rFonts w:ascii="Arial" w:hAnsi="Arial"/>
      <w:b/>
      <w:sz w:val="24"/>
      <w:lang w:eastAsia="en-GB"/>
    </w:rPr>
  </w:style>
  <w:style w:type="character" w:customStyle="1" w:styleId="SubtitleChar">
    <w:name w:val="Subtitle Char"/>
    <w:link w:val="Subtitle"/>
    <w:locked/>
    <w:rsid w:val="000B562B"/>
    <w:rPr>
      <w:rFonts w:ascii="Arial" w:hAnsi="Arial"/>
      <w:b/>
      <w:sz w:val="24"/>
      <w:lang w:val="en-GB" w:eastAsia="en-GB" w:bidi="ar-SA"/>
    </w:rPr>
  </w:style>
  <w:style w:type="paragraph" w:styleId="CommentText">
    <w:name w:val="annotation text"/>
    <w:basedOn w:val="Normal"/>
    <w:link w:val="CommentTextChar1"/>
    <w:semiHidden/>
    <w:rsid w:val="00605496"/>
    <w:pPr>
      <w:suppressAutoHyphens w:val="0"/>
      <w:spacing w:after="240" w:line="240" w:lineRule="auto"/>
    </w:pPr>
    <w:rPr>
      <w:rFonts w:ascii="Arial" w:hAnsi="Arial"/>
      <w:sz w:val="22"/>
    </w:rPr>
  </w:style>
  <w:style w:type="character" w:customStyle="1" w:styleId="CommentTextChar1">
    <w:name w:val="Comment Text Char1"/>
    <w:link w:val="CommentText"/>
    <w:semiHidden/>
    <w:rsid w:val="00605496"/>
    <w:rPr>
      <w:rFonts w:ascii="Arial" w:hAnsi="Arial"/>
      <w:sz w:val="22"/>
      <w:lang w:val="en-GB" w:eastAsia="en-US" w:bidi="ar-SA"/>
    </w:rPr>
  </w:style>
  <w:style w:type="paragraph" w:customStyle="1" w:styleId="sub-sub-heading">
    <w:name w:val="sub-sub-heading"/>
    <w:basedOn w:val="Sub-heading"/>
    <w:rsid w:val="00605496"/>
    <w:pPr>
      <w:spacing w:before="60" w:after="60"/>
    </w:pPr>
    <w:rPr>
      <w:rFonts w:ascii="Arial" w:hAnsi="Arial"/>
      <w:sz w:val="22"/>
    </w:rPr>
  </w:style>
  <w:style w:type="paragraph" w:customStyle="1" w:styleId="textundernumbered">
    <w:name w:val="text under numbered"/>
    <w:aliases w:val="Roman numerals"/>
    <w:rsid w:val="00605496"/>
    <w:pPr>
      <w:tabs>
        <w:tab w:val="num" w:pos="924"/>
      </w:tabs>
      <w:spacing w:after="240"/>
      <w:ind w:left="924" w:hanging="357"/>
    </w:pPr>
    <w:rPr>
      <w:rFonts w:ascii="Arial" w:hAnsi="Arial"/>
      <w:sz w:val="22"/>
      <w:szCs w:val="24"/>
      <w:lang w:val="en-GB" w:eastAsia="en-US"/>
    </w:rPr>
  </w:style>
  <w:style w:type="paragraph" w:customStyle="1" w:styleId="Textindentbold">
    <w:name w:val="Text indent bold"/>
    <w:basedOn w:val="Textindented"/>
    <w:rsid w:val="00605496"/>
    <w:pPr>
      <w:ind w:left="567"/>
    </w:pPr>
    <w:rPr>
      <w:b/>
    </w:rPr>
  </w:style>
  <w:style w:type="paragraph" w:customStyle="1" w:styleId="sub-sub-sub-heading">
    <w:name w:val="sub-sub-sub-heading"/>
    <w:basedOn w:val="sub-sub-heading"/>
    <w:rsid w:val="00605496"/>
    <w:rPr>
      <w:i/>
    </w:rPr>
  </w:style>
  <w:style w:type="character" w:customStyle="1" w:styleId="FootnoteTextChar">
    <w:name w:val="Footnote Text Char"/>
    <w:locked/>
    <w:rsid w:val="006C336F"/>
    <w:rPr>
      <w:rFonts w:cs="Times New Roman"/>
      <w:sz w:val="18"/>
      <w:lang w:val="x-none" w:eastAsia="en-US"/>
    </w:rPr>
  </w:style>
  <w:style w:type="character" w:customStyle="1" w:styleId="FooterChar">
    <w:name w:val="Footer Char"/>
    <w:locked/>
    <w:rsid w:val="000B562B"/>
    <w:rPr>
      <w:rFonts w:ascii="Arial" w:hAnsi="Arial" w:cs="Times New Roman"/>
      <w:sz w:val="18"/>
    </w:rPr>
  </w:style>
  <w:style w:type="paragraph" w:styleId="DocumentMap">
    <w:name w:val="Document Map"/>
    <w:basedOn w:val="Normal"/>
    <w:link w:val="DocumentMapChar"/>
    <w:semiHidden/>
    <w:rsid w:val="000B562B"/>
    <w:pPr>
      <w:shd w:val="clear" w:color="auto" w:fill="000080"/>
      <w:suppressAutoHyphens w:val="0"/>
      <w:spacing w:after="240" w:line="240" w:lineRule="auto"/>
    </w:pPr>
    <w:rPr>
      <w:rFonts w:ascii="Tahoma" w:hAnsi="Tahoma"/>
      <w:sz w:val="22"/>
    </w:rPr>
  </w:style>
  <w:style w:type="character" w:customStyle="1" w:styleId="DocumentMapChar">
    <w:name w:val="Document Map Char"/>
    <w:link w:val="DocumentMap"/>
    <w:semiHidden/>
    <w:locked/>
    <w:rsid w:val="000B562B"/>
    <w:rPr>
      <w:rFonts w:ascii="Tahoma" w:hAnsi="Tahoma"/>
      <w:sz w:val="22"/>
      <w:lang w:val="en-GB" w:eastAsia="en-US" w:bidi="ar-SA"/>
    </w:rPr>
  </w:style>
  <w:style w:type="paragraph" w:styleId="CommentSubject">
    <w:name w:val="annotation subject"/>
    <w:basedOn w:val="CommentText"/>
    <w:next w:val="CommentText"/>
    <w:link w:val="CommentSubjectChar"/>
    <w:semiHidden/>
    <w:rsid w:val="000B562B"/>
    <w:rPr>
      <w:b/>
      <w:bCs/>
    </w:rPr>
  </w:style>
  <w:style w:type="character" w:customStyle="1" w:styleId="CommentSubjectChar">
    <w:name w:val="Comment Subject Char"/>
    <w:link w:val="CommentSubject"/>
    <w:semiHidden/>
    <w:locked/>
    <w:rsid w:val="000B562B"/>
    <w:rPr>
      <w:rFonts w:ascii="Arial" w:hAnsi="Arial" w:cs="Times New Roman"/>
      <w:b/>
      <w:bCs/>
      <w:sz w:val="22"/>
      <w:lang w:val="en-GB" w:eastAsia="en-US" w:bidi="ar-SA"/>
    </w:rPr>
  </w:style>
  <w:style w:type="character" w:customStyle="1" w:styleId="CommentTextChar">
    <w:name w:val="Comment Text Char"/>
    <w:semiHidden/>
    <w:locked/>
    <w:rsid w:val="000B562B"/>
    <w:rPr>
      <w:rFonts w:ascii="Arial" w:hAnsi="Arial" w:cs="Times New Roman"/>
      <w:sz w:val="22"/>
      <w:lang w:val="x-none" w:eastAsia="en-US"/>
    </w:rPr>
  </w:style>
  <w:style w:type="character" w:customStyle="1" w:styleId="SingleTxtGChar">
    <w:name w:val="_ Single Txt_G Char"/>
    <w:link w:val="SingleTxtG"/>
    <w:rsid w:val="00671A43"/>
    <w:rPr>
      <w:lang w:val="en-GB" w:eastAsia="en-US" w:bidi="ar-SA"/>
    </w:rPr>
  </w:style>
  <w:style w:type="character" w:customStyle="1" w:styleId="H23GChar">
    <w:name w:val="_ H_2/3_G Char"/>
    <w:link w:val="H23G"/>
    <w:rsid w:val="00C32C70"/>
    <w:rPr>
      <w:b/>
      <w:lang w:val="en-US" w:eastAsia="fr-CH" w:bidi="ar-SA"/>
    </w:rPr>
  </w:style>
  <w:style w:type="character" w:customStyle="1" w:styleId="longtext">
    <w:name w:val="long_text"/>
    <w:rsid w:val="00810DDE"/>
  </w:style>
  <w:style w:type="paragraph" w:styleId="ListBullet">
    <w:name w:val="List Bullet"/>
    <w:basedOn w:val="Normal"/>
    <w:uiPriority w:val="99"/>
    <w:unhideWhenUsed/>
    <w:rsid w:val="0080325F"/>
    <w:pPr>
      <w:numPr>
        <w:numId w:val="5"/>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225973">
      <w:bodyDiv w:val="1"/>
      <w:marLeft w:val="0"/>
      <w:marRight w:val="0"/>
      <w:marTop w:val="0"/>
      <w:marBottom w:val="0"/>
      <w:divBdr>
        <w:top w:val="none" w:sz="0" w:space="0" w:color="auto"/>
        <w:left w:val="none" w:sz="0" w:space="0" w:color="auto"/>
        <w:bottom w:val="none" w:sz="0" w:space="0" w:color="auto"/>
        <w:right w:val="none" w:sz="0" w:space="0" w:color="auto"/>
      </w:divBdr>
    </w:div>
    <w:div w:id="412163938">
      <w:bodyDiv w:val="1"/>
      <w:marLeft w:val="0"/>
      <w:marRight w:val="0"/>
      <w:marTop w:val="0"/>
      <w:marBottom w:val="0"/>
      <w:divBdr>
        <w:top w:val="none" w:sz="0" w:space="0" w:color="auto"/>
        <w:left w:val="none" w:sz="0" w:space="0" w:color="auto"/>
        <w:bottom w:val="none" w:sz="0" w:space="0" w:color="auto"/>
        <w:right w:val="none" w:sz="0" w:space="0" w:color="auto"/>
      </w:divBdr>
    </w:div>
    <w:div w:id="443111172">
      <w:bodyDiv w:val="1"/>
      <w:marLeft w:val="0"/>
      <w:marRight w:val="0"/>
      <w:marTop w:val="0"/>
      <w:marBottom w:val="0"/>
      <w:divBdr>
        <w:top w:val="none" w:sz="0" w:space="0" w:color="auto"/>
        <w:left w:val="none" w:sz="0" w:space="0" w:color="auto"/>
        <w:bottom w:val="none" w:sz="0" w:space="0" w:color="auto"/>
        <w:right w:val="none" w:sz="0" w:space="0" w:color="auto"/>
      </w:divBdr>
    </w:div>
    <w:div w:id="563640203">
      <w:bodyDiv w:val="1"/>
      <w:marLeft w:val="0"/>
      <w:marRight w:val="0"/>
      <w:marTop w:val="0"/>
      <w:marBottom w:val="0"/>
      <w:divBdr>
        <w:top w:val="none" w:sz="0" w:space="0" w:color="auto"/>
        <w:left w:val="none" w:sz="0" w:space="0" w:color="auto"/>
        <w:bottom w:val="none" w:sz="0" w:space="0" w:color="auto"/>
        <w:right w:val="none" w:sz="0" w:space="0" w:color="auto"/>
      </w:divBdr>
    </w:div>
    <w:div w:id="742266152">
      <w:bodyDiv w:val="1"/>
      <w:marLeft w:val="0"/>
      <w:marRight w:val="0"/>
      <w:marTop w:val="0"/>
      <w:marBottom w:val="0"/>
      <w:divBdr>
        <w:top w:val="none" w:sz="0" w:space="0" w:color="auto"/>
        <w:left w:val="none" w:sz="0" w:space="0" w:color="auto"/>
        <w:bottom w:val="none" w:sz="0" w:space="0" w:color="auto"/>
        <w:right w:val="none" w:sz="0" w:space="0" w:color="auto"/>
      </w:divBdr>
    </w:div>
    <w:div w:id="760030061">
      <w:bodyDiv w:val="1"/>
      <w:marLeft w:val="0"/>
      <w:marRight w:val="0"/>
      <w:marTop w:val="0"/>
      <w:marBottom w:val="0"/>
      <w:divBdr>
        <w:top w:val="none" w:sz="0" w:space="0" w:color="auto"/>
        <w:left w:val="none" w:sz="0" w:space="0" w:color="auto"/>
        <w:bottom w:val="none" w:sz="0" w:space="0" w:color="auto"/>
        <w:right w:val="none" w:sz="0" w:space="0" w:color="auto"/>
      </w:divBdr>
    </w:div>
    <w:div w:id="1092119206">
      <w:bodyDiv w:val="1"/>
      <w:marLeft w:val="0"/>
      <w:marRight w:val="0"/>
      <w:marTop w:val="0"/>
      <w:marBottom w:val="0"/>
      <w:divBdr>
        <w:top w:val="none" w:sz="0" w:space="0" w:color="auto"/>
        <w:left w:val="none" w:sz="0" w:space="0" w:color="auto"/>
        <w:bottom w:val="none" w:sz="0" w:space="0" w:color="auto"/>
        <w:right w:val="none" w:sz="0" w:space="0" w:color="auto"/>
      </w:divBdr>
    </w:div>
    <w:div w:id="1177572967">
      <w:bodyDiv w:val="1"/>
      <w:marLeft w:val="0"/>
      <w:marRight w:val="0"/>
      <w:marTop w:val="0"/>
      <w:marBottom w:val="0"/>
      <w:divBdr>
        <w:top w:val="none" w:sz="0" w:space="0" w:color="auto"/>
        <w:left w:val="none" w:sz="0" w:space="0" w:color="auto"/>
        <w:bottom w:val="none" w:sz="0" w:space="0" w:color="auto"/>
        <w:right w:val="none" w:sz="0" w:space="0" w:color="auto"/>
      </w:divBdr>
    </w:div>
    <w:div w:id="1833718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justice.gov.uk" TargetMode="External"/><Relationship Id="rId13" Type="http://schemas.openxmlformats.org/officeDocument/2006/relationships/hyperlink" Target="http://download.cabinetoffice.gov.uk/intelligence/consolidated-guidance-iosp.pdf"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wmf"/><Relationship Id="rId12" Type="http://schemas.openxmlformats.org/officeDocument/2006/relationships/hyperlink" Target="http://www.detaineeinquiry.org.uk" TargetMode="External"/><Relationship Id="rId17" Type="http://schemas.openxmlformats.org/officeDocument/2006/relationships/hyperlink" Target="http://www.jerseylaw.je" TargetMode="External"/><Relationship Id="rId2" Type="http://schemas.openxmlformats.org/officeDocument/2006/relationships/styles" Target="styles.xml"/><Relationship Id="rId16" Type="http://schemas.openxmlformats.org/officeDocument/2006/relationships/hyperlink" Target="http://www.fco.gov.uk/en/global-issues/human-rights/"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ownload.cabinetoffice.gov.uk/intelligence/pm-letter-gibson.pdf"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justice.gov.uk/about/human-rights.htm" TargetMode="External"/><Relationship Id="rId23" Type="http://schemas.openxmlformats.org/officeDocument/2006/relationships/fontTable" Target="fontTable.xml"/><Relationship Id="rId10" Type="http://schemas.openxmlformats.org/officeDocument/2006/relationships/hyperlink" Target="http://www.publications.parliament.uk/pa/cm201011/cmhansrd/cm100706/debtext/100706-0001.htm"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mailto:humanrights@justice.gsi.gov.uk" TargetMode="External"/><Relationship Id="rId14" Type="http://schemas.openxmlformats.org/officeDocument/2006/relationships/hyperlink" Target="http://www.ipcc.gov.uk/annual_report_2008_death_section.pdf"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www.homeoffice.gov.uk/publications/police/operational-policing/pace-codes/?view=Standard&amp;pubID=810826" TargetMode="External"/><Relationship Id="rId18" Type="http://schemas.openxmlformats.org/officeDocument/2006/relationships/hyperlink" Target="http://www.homeoffice.gov.uk/publications/police/operational-policing/pace-codes/pace-code-c?view=Binary" TargetMode="External"/><Relationship Id="rId26" Type="http://schemas.openxmlformats.org/officeDocument/2006/relationships/hyperlink" Target="http://www.skillsforhealth.org.uk/component/docman/doc_download/175-functional-map-for-hpc-august-2007.html" TargetMode="External"/><Relationship Id="rId39" Type="http://schemas.openxmlformats.org/officeDocument/2006/relationships/hyperlink" Target="http://www.thelearningjourney.co.uk/Patrick_Carter_Review.pdf/file_view" TargetMode="External"/><Relationship Id="rId21" Type="http://schemas.openxmlformats.org/officeDocument/2006/relationships/hyperlink" Target="http://www.opsi.gov.uk/SI/si2001/20010238.htm" TargetMode="External"/><Relationship Id="rId34" Type="http://schemas.openxmlformats.org/officeDocument/2006/relationships/hyperlink" Target="http://www.apt.ch/index.php?option=com_k2&amp;view=item&amp;id=873:the-united-kingdoms-national-preventive-mechanism&amp;Itemid=269&amp;lang=en" TargetMode="External"/><Relationship Id="rId42" Type="http://schemas.openxmlformats.org/officeDocument/2006/relationships/hyperlink" Target="http://www.ukba.homeoffice.gov.uk/sitecontent/documents/policyandlaw/enforcement/oemsectione/chapter37?view=Binary" TargetMode="External"/><Relationship Id="rId47" Type="http://schemas.openxmlformats.org/officeDocument/2006/relationships/hyperlink" Target="http://www.opsi.gov.uk/legislation/scotland/acts2003/asp_20030013_en_1" TargetMode="External"/><Relationship Id="rId50" Type="http://schemas.openxmlformats.org/officeDocument/2006/relationships/hyperlink" Target="http://www.scotland.gov.uk/Publications/2005/09/16121646/16474" TargetMode="External"/><Relationship Id="rId55" Type="http://schemas.openxmlformats.org/officeDocument/2006/relationships/hyperlink" Target="http://www.mod.uk/NR/rdonlyres/5A0855FD-CECC-4BF7-A466-61520CEE9AB3/0/JSP397.pdf" TargetMode="External"/><Relationship Id="rId63" Type="http://schemas.openxmlformats.org/officeDocument/2006/relationships/hyperlink" Target="http://www.parliament.uk/deposits/depositedpapers/2009/DEP2009-3130.pdf" TargetMode="External"/><Relationship Id="rId68" Type="http://schemas.openxmlformats.org/officeDocument/2006/relationships/hyperlink" Target="http://www.niprisonservice.gov.uk/module.cfm/opt/5/area/publications/page/publications/download/true/id/237" TargetMode="External"/><Relationship Id="rId76" Type="http://schemas.openxmlformats.org/officeDocument/2006/relationships/hyperlink" Target="http://www.homeoffice.gov.uk/rds/pdfs/deaths2000.pdf" TargetMode="External"/><Relationship Id="rId84" Type="http://schemas.openxmlformats.org/officeDocument/2006/relationships/hyperlink" Target="http://www.teachernet.gov.uk/teachingandlearning/subjects/citizenship/rhrn/" TargetMode="External"/><Relationship Id="rId7" Type="http://schemas.openxmlformats.org/officeDocument/2006/relationships/hyperlink" Target="http://www.billywrightinquiry.org/" TargetMode="External"/><Relationship Id="rId71" Type="http://schemas.openxmlformats.org/officeDocument/2006/relationships/hyperlink" Target="http://www.homeoffice.gov.uk/rds/pdfs08/hosb0708.pdf" TargetMode="External"/><Relationship Id="rId2" Type="http://schemas.openxmlformats.org/officeDocument/2006/relationships/hyperlink" Target="http://www.acpo.police.uk" TargetMode="External"/><Relationship Id="rId16" Type="http://schemas.openxmlformats.org/officeDocument/2006/relationships/hyperlink" Target="http://police.homeoffice.gov.uk/publications/operational-policing/Safer_Detention_and_Handlin1.pdf" TargetMode="External"/><Relationship Id="rId29" Type="http://schemas.openxmlformats.org/officeDocument/2006/relationships/hyperlink" Target="http://police.homeoffice.gov.uk/publications/operational-policing/Safer_Detention_and_Handlin1.pdf" TargetMode="External"/><Relationship Id="rId11" Type="http://schemas.openxmlformats.org/officeDocument/2006/relationships/hyperlink" Target="http://www.sps.gov.uk/Default.aspx?DocumentID=67e156ce-a4c9-49f5-a526-0dab421427f6" TargetMode="External"/><Relationship Id="rId24" Type="http://schemas.openxmlformats.org/officeDocument/2006/relationships/hyperlink" Target="http://press.homeoffice.gov.uk/documents/police-disciplinary-arrangements/" TargetMode="External"/><Relationship Id="rId32" Type="http://schemas.openxmlformats.org/officeDocument/2006/relationships/hyperlink" Target="http://www.un.org/documents/ga/res/37/a37r194.htm" TargetMode="External"/><Relationship Id="rId37" Type="http://schemas.openxmlformats.org/officeDocument/2006/relationships/hyperlink" Target="http://www.nio.gov.uk/a_new_beginning_in_policing_in_northern_ireland.pdf" TargetMode="External"/><Relationship Id="rId40" Type="http://schemas.openxmlformats.org/officeDocument/2006/relationships/hyperlink" Target="http://www.justice.gov.uk/publications/securing-the-future.htm" TargetMode="External"/><Relationship Id="rId45" Type="http://schemas.openxmlformats.org/officeDocument/2006/relationships/hyperlink" Target="http://www.dh.gov.uk/en/Publicationsandstatistics/Publications/PublicationsPolicyAndGuidance/DH_084597?IdcService=GET_FILE&amp;dID=170799&amp;Rendition=Web" TargetMode="External"/><Relationship Id="rId53" Type="http://schemas.openxmlformats.org/officeDocument/2006/relationships/hyperlink" Target="http://www.statutelaw.gov.uk/content.aspx?LegType=All+Legislation&amp;searchEnacted=0&amp;extentMatchOnly=0&amp;confersPower=0&amp;blanketAmendment=0&amp;sortAlpha=0&amp;PageNumber=0&amp;NavFrom=0&amp;parentActiveTextDocId=1241799&amp;ActiveTextDocId=1241799&amp;filesize=40984" TargetMode="External"/><Relationship Id="rId58" Type="http://schemas.openxmlformats.org/officeDocument/2006/relationships/hyperlink" Target="http://www.scotland.gov.uk/hmic/docs/afcp-00.asp" TargetMode="External"/><Relationship Id="rId66" Type="http://schemas.openxmlformats.org/officeDocument/2006/relationships/hyperlink" Target="http://pso.hmprisonservice.gov.uk/pso2700/PSO%202700_-_front_index_and_PSO_itself.htm" TargetMode="External"/><Relationship Id="rId74" Type="http://schemas.openxmlformats.org/officeDocument/2006/relationships/hyperlink" Target="http://www.justice.gov.uk/docs/population-in-custody-january09.pdf" TargetMode="External"/><Relationship Id="rId79" Type="http://schemas.openxmlformats.org/officeDocument/2006/relationships/hyperlink" Target="http://www.parliament.uk/mps-lords-and-offices/lords/lords-by-type-and-party/" TargetMode="External"/><Relationship Id="rId5" Type="http://schemas.openxmlformats.org/officeDocument/2006/relationships/hyperlink" Target="http://www.official-documents.gov.uk/document/hc0506/hc07/0795/0795.asp" TargetMode="External"/><Relationship Id="rId61" Type="http://schemas.openxmlformats.org/officeDocument/2006/relationships/hyperlink" Target="http://www.nio.gov.uk/final_report_of_the_independent_assessor_of_military_complaints_procedures.pdf" TargetMode="External"/><Relationship Id="rId82" Type="http://schemas.openxmlformats.org/officeDocument/2006/relationships/hyperlink" Target="http://treaties.un.org/Pages/Treaties.aspx?id=4&amp;subid=A&amp;lang=en" TargetMode="External"/><Relationship Id="rId19" Type="http://schemas.openxmlformats.org/officeDocument/2006/relationships/hyperlink" Target="https://tools.skillsforhealth.org.uk/suite/show/id/12" TargetMode="External"/><Relationship Id="rId4" Type="http://schemas.openxmlformats.org/officeDocument/2006/relationships/hyperlink" Target="http://www.justice.gov.uk/publications/corston-report.htm" TargetMode="External"/><Relationship Id="rId9" Type="http://schemas.openxmlformats.org/officeDocument/2006/relationships/hyperlink" Target="http://www.apt.ch/index.php?option=com_k2&amp;view=item&amp;id=873:the-united-kingdoms-national-preventive-mechanism&amp;Itemid=269&amp;lang=en" TargetMode="External"/><Relationship Id="rId14" Type="http://schemas.openxmlformats.org/officeDocument/2006/relationships/hyperlink" Target="http://police.homeoffice.gov.uk/operational-policing/powers-pace-codes/PACE-Review/" TargetMode="External"/><Relationship Id="rId22" Type="http://schemas.openxmlformats.org/officeDocument/2006/relationships/hyperlink" Target="http://www.opsi.gov.uk/si/si2008/uksi_20082864_en_1" TargetMode="External"/><Relationship Id="rId27" Type="http://schemas.openxmlformats.org/officeDocument/2006/relationships/hyperlink" Target="http://www.dh.gov.uk/en/Publicationsandstatistics/Publications/PublicationsPolicyAndGuidance/DH_084597?IdcService=GET_FILE&amp;dID=170799&amp;Rendition=Web" TargetMode="External"/><Relationship Id="rId30" Type="http://schemas.openxmlformats.org/officeDocument/2006/relationships/hyperlink" Target="http://www.nipolicingboard.org.uk/final_code_of_ethics-2.pdf" TargetMode="External"/><Relationship Id="rId35" Type="http://schemas.openxmlformats.org/officeDocument/2006/relationships/hyperlink" Target="http://www.justice.gov.uk/inspectorates/hmi-prisons/2536.htm" TargetMode="External"/><Relationship Id="rId43" Type="http://schemas.openxmlformats.org/officeDocument/2006/relationships/hyperlink" Target="http://www.mod.uk/NR/rdonlyres/C20B9AB9-5F4C-465E-B14D-1660B318E247/0/jdp1_10.pdf" TargetMode="External"/><Relationship Id="rId48" Type="http://schemas.openxmlformats.org/officeDocument/2006/relationships/hyperlink" Target="http://www.scotland.gov.uk/Publications/2005/08/29100428/04289" TargetMode="External"/><Relationship Id="rId56" Type="http://schemas.openxmlformats.org/officeDocument/2006/relationships/hyperlink" Target="http://www.roberthamillinquiry.org/filestore/?f=/filestore/documents/evidence/Major_Investigation_Incident_Room_Standardised_Administrative_Procedures_(10789).pdf" TargetMode="External"/><Relationship Id="rId64" Type="http://schemas.openxmlformats.org/officeDocument/2006/relationships/hyperlink" Target="http://www.nio.gov.uk/independent_reviewers_third_report.pdf" TargetMode="External"/><Relationship Id="rId69" Type="http://schemas.openxmlformats.org/officeDocument/2006/relationships/hyperlink" Target="http://webarchive.nationalarchives.gov.uk/20110201125714/http://www.justice.gov.uk/publications/docs/restraint_review.pdf" TargetMode="External"/><Relationship Id="rId77" Type="http://schemas.openxmlformats.org/officeDocument/2006/relationships/hyperlink" Target="http://www.homeoffice.gov.uk/rds/pdfs/deaths2000.pdf" TargetMode="External"/><Relationship Id="rId8" Type="http://schemas.openxmlformats.org/officeDocument/2006/relationships/hyperlink" Target="http://www.billywrightinquiry.org/" TargetMode="External"/><Relationship Id="rId51" Type="http://schemas.openxmlformats.org/officeDocument/2006/relationships/hyperlink" Target="http://www.archive2.official-documents.co.uk/document/cm58/5831/5831.pdf" TargetMode="External"/><Relationship Id="rId72" Type="http://schemas.openxmlformats.org/officeDocument/2006/relationships/hyperlink" Target="http://www.homeoffice.gov.uk/rds/pdfs08/hosb0708.pdf" TargetMode="External"/><Relationship Id="rId80" Type="http://schemas.openxmlformats.org/officeDocument/2006/relationships/hyperlink" Target="http://www.dsdni.gov.uk" TargetMode="External"/><Relationship Id="rId85" Type="http://schemas.openxmlformats.org/officeDocument/2006/relationships/hyperlink" Target="http://www.gov.im/lib/docs/infocentre/acts/crimjusticeact.pdf" TargetMode="External"/><Relationship Id="rId3" Type="http://schemas.openxmlformats.org/officeDocument/2006/relationships/hyperlink" Target="http://www.preventingcustodydeaths.org.uk/fulton_review_of_forum_for_preventing_deaths_in_custody.pdf" TargetMode="External"/><Relationship Id="rId12" Type="http://schemas.openxmlformats.org/officeDocument/2006/relationships/hyperlink" Target="mailto:gaolinfo@sps.gov.uk" TargetMode="External"/><Relationship Id="rId17" Type="http://schemas.openxmlformats.org/officeDocument/2006/relationships/hyperlink" Target="http://police.homeoffice.gov.uk/publications/operationalpolicing/2008_PACE_Code_C_(final)" TargetMode="External"/><Relationship Id="rId25" Type="http://schemas.openxmlformats.org/officeDocument/2006/relationships/hyperlink" Target="http://daccessdds.un.org/doc/UNDOC/GEN/G05/168/09/PDF/G0516809.pdf?OpenElement" TargetMode="External"/><Relationship Id="rId33" Type="http://schemas.openxmlformats.org/officeDocument/2006/relationships/hyperlink" Target="http://www.cabinetoffice.gov.uk/newsroom/news_releases/2010/100706-detainees.aspx" TargetMode="External"/><Relationship Id="rId38" Type="http://schemas.openxmlformats.org/officeDocument/2006/relationships/hyperlink" Target="http://www.nio.gov.uk/less_lethal_weaponry_steering_group_phase_5_report.pdf" TargetMode="External"/><Relationship Id="rId46" Type="http://schemas.openxmlformats.org/officeDocument/2006/relationships/hyperlink" Target="http://www.assemblywales.org/bus-home/bus-guide-docs-pub/bus-business-documents/bus-business-documents-doc-laid/gen-ld7209-e.pdf?langoption=3&amp;ttl=GEN-LD7209%20-%20Mental%20Health%20Act%201983%3A%20Code%20of%20Practice%20for%20Wales" TargetMode="External"/><Relationship Id="rId59" Type="http://schemas.openxmlformats.org/officeDocument/2006/relationships/hyperlink" Target="http://www.scotland.gov.uk/Publications/2004/06/19502/38829" TargetMode="External"/><Relationship Id="rId67" Type="http://schemas.openxmlformats.org/officeDocument/2006/relationships/hyperlink" Target="http://psi.hmprisonservice.gov.uk/psi_2009_26_amendments_to_pso_1700.doc" TargetMode="External"/><Relationship Id="rId20" Type="http://schemas.openxmlformats.org/officeDocument/2006/relationships/hyperlink" Target="http://www.nio.gov.uk/index/nio-publication/nio-pubs-search%20results.htm?category=&amp;keyword=codes+of+practice&amp;order=date" TargetMode="External"/><Relationship Id="rId41" Type="http://schemas.openxmlformats.org/officeDocument/2006/relationships/hyperlink" Target="http://www.cjini.org/getattachment/cc81a484-6109-4d33-95db-5b9d71df3883/Prisoner-Escort-and-Court-Custody-arrangements-in-.aspx" TargetMode="External"/><Relationship Id="rId54" Type="http://schemas.openxmlformats.org/officeDocument/2006/relationships/hyperlink" Target="http://www.niprisonerombudsman.gov.uk/publications.html" TargetMode="External"/><Relationship Id="rId62" Type="http://schemas.openxmlformats.org/officeDocument/2006/relationships/hyperlink" Target="http://www.parliament.uk/deposits/depositedpapers/2009/DEP2009-0031.pdf" TargetMode="External"/><Relationship Id="rId70" Type="http://schemas.openxmlformats.org/officeDocument/2006/relationships/hyperlink" Target="http://www.electoralcommission.org.uk/__data/assets/pdf_file/0010/100702/Report-on-the-administration-of-the-2010-UK-general-election.pdf~page=34" TargetMode="External"/><Relationship Id="rId75" Type="http://schemas.openxmlformats.org/officeDocument/2006/relationships/hyperlink" Target="http://www.justice.gov.uk/docs/population-in-custody-january09.pdf" TargetMode="External"/><Relationship Id="rId83" Type="http://schemas.openxmlformats.org/officeDocument/2006/relationships/hyperlink" Target="http://www.dh.gov.uk/en/Publicationsandstatistics/Publications/PublicationsPolicyAndGuidance/DH_113613" TargetMode="External"/><Relationship Id="rId1" Type="http://schemas.openxmlformats.org/officeDocument/2006/relationships/hyperlink" Target="http://www.publications.parliament.uk/pa/ld200809/ldjudgmt/jd090218/rbalge-1.htm" TargetMode="External"/><Relationship Id="rId6" Type="http://schemas.openxmlformats.org/officeDocument/2006/relationships/hyperlink" Target="http://www.bloody-sunday-inquiry.org/index.html" TargetMode="External"/><Relationship Id="rId15" Type="http://schemas.openxmlformats.org/officeDocument/2006/relationships/hyperlink" Target="http://www.nio.gov.uk/index/public-consultation/archive-consultation.htm" TargetMode="External"/><Relationship Id="rId23" Type="http://schemas.openxmlformats.org/officeDocument/2006/relationships/hyperlink" Target="http://www.opsi.gov.uk/si/si2008/draft/ukdsi_9780110835181_en_1" TargetMode="External"/><Relationship Id="rId28" Type="http://schemas.openxmlformats.org/officeDocument/2006/relationships/hyperlink" Target="http://www.assemblywales.org/bus-home/bus-guide-docs-pub/bus-business-documents/bus-business-documents-doc-laid/gen-ld7209-e.pdf?langoption=3&amp;ttl=GEN-LD7209%20-%20Mental%20Health%20Act%201983%3A%20Code%20of%20Practice%20for%20Wales" TargetMode="External"/><Relationship Id="rId36" Type="http://schemas.openxmlformats.org/officeDocument/2006/relationships/hyperlink" Target="http://tna.europarchive.org/20100413151426/http://scienceandresearch.homeoffice.gov.uk/hosdb/publications/police-weaponry/taser-quarterly-Sept09.html" TargetMode="External"/><Relationship Id="rId49" Type="http://schemas.openxmlformats.org/officeDocument/2006/relationships/hyperlink" Target="http://www.scotland.gov.uk/Publications/2005/09/16121646/16474" TargetMode="External"/><Relationship Id="rId57" Type="http://schemas.openxmlformats.org/officeDocument/2006/relationships/hyperlink" Target="http://www.ipcc.gov.uk/index/resources/research/stats.htm" TargetMode="External"/><Relationship Id="rId10" Type="http://schemas.openxmlformats.org/officeDocument/2006/relationships/hyperlink" Target="http://www.justice.gov.uk/noms-annual-report-accounts-09-10.htm" TargetMode="External"/><Relationship Id="rId31" Type="http://schemas.openxmlformats.org/officeDocument/2006/relationships/hyperlink" Target="http://noms.justice.gov.uk/news-publications-events/publications/strategy/offender-management-model-1.1?version=1" TargetMode="External"/><Relationship Id="rId44" Type="http://schemas.openxmlformats.org/officeDocument/2006/relationships/hyperlink" Target="http://www.mod.uk/DefenceInternet/AboutDefence/CorporatePublications/LegalPublications/LawOfArmedConflict/" TargetMode="External"/><Relationship Id="rId52" Type="http://schemas.openxmlformats.org/officeDocument/2006/relationships/hyperlink" Target="http://www.the-sia.org.uk/home" TargetMode="External"/><Relationship Id="rId60" Type="http://schemas.openxmlformats.org/officeDocument/2006/relationships/hyperlink" Target="http://pso.hmprisonservice.gov.uk/PSO_2510_prisoners_requests_and_complaints_procedures.doc" TargetMode="External"/><Relationship Id="rId65" Type="http://schemas.openxmlformats.org/officeDocument/2006/relationships/hyperlink" Target="http://www.dh.gov.uk/en/Publicationsandstatistics/Publications/PublicationsPolicy" TargetMode="External"/><Relationship Id="rId73" Type="http://schemas.openxmlformats.org/officeDocument/2006/relationships/hyperlink" Target="http://www.homeoffice.gov.uk/rds/pdfs08/hosb0708.pdf" TargetMode="External"/><Relationship Id="rId78" Type="http://schemas.openxmlformats.org/officeDocument/2006/relationships/hyperlink" Target="http://www.legalservices.gov.uk/docs/about_us_main/LSC_AR_FINAL_(web)_-_0575.pdf" TargetMode="External"/><Relationship Id="rId81" Type="http://schemas.openxmlformats.org/officeDocument/2006/relationships/hyperlink" Target="http://www.judiciary.gov.uk/publications-and-reports/statistics/judges/judicial-statistics" TargetMode="External"/><Relationship Id="rId86" Type="http://schemas.openxmlformats.org/officeDocument/2006/relationships/hyperlink" Target="http://www.pie.gov.ky/portal/page?_pageid=1795,3509442&amp;_dad=portal&amp;_schema=PORT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22</TotalTime>
  <Pages>1</Pages>
  <Words>90909</Words>
  <Characters>518185</Characters>
  <Application>Microsoft Office Word</Application>
  <DocSecurity>4</DocSecurity>
  <Lines>4318</Lines>
  <Paragraphs>1215</Paragraphs>
  <ScaleCrop>false</ScaleCrop>
  <HeadingPairs>
    <vt:vector size="2" baseType="variant">
      <vt:variant>
        <vt:lpstr>Title</vt:lpstr>
      </vt:variant>
      <vt:variant>
        <vt:i4>1</vt:i4>
      </vt:variant>
    </vt:vector>
  </HeadingPairs>
  <TitlesOfParts>
    <vt:vector size="1" baseType="lpstr">
      <vt:lpstr>United Nations</vt:lpstr>
    </vt:vector>
  </TitlesOfParts>
  <Company>OHCHR</Company>
  <LinksUpToDate>false</LinksUpToDate>
  <CharactersWithSpaces>607879</CharactersWithSpaces>
  <SharedDoc>false</SharedDoc>
  <HLinks>
    <vt:vector size="576" baseType="variant">
      <vt:variant>
        <vt:i4>524309</vt:i4>
      </vt:variant>
      <vt:variant>
        <vt:i4>27</vt:i4>
      </vt:variant>
      <vt:variant>
        <vt:i4>0</vt:i4>
      </vt:variant>
      <vt:variant>
        <vt:i4>5</vt:i4>
      </vt:variant>
      <vt:variant>
        <vt:lpwstr>http://www.jerseylaw.je/</vt:lpwstr>
      </vt:variant>
      <vt:variant>
        <vt:lpwstr/>
      </vt:variant>
      <vt:variant>
        <vt:i4>1245188</vt:i4>
      </vt:variant>
      <vt:variant>
        <vt:i4>24</vt:i4>
      </vt:variant>
      <vt:variant>
        <vt:i4>0</vt:i4>
      </vt:variant>
      <vt:variant>
        <vt:i4>5</vt:i4>
      </vt:variant>
      <vt:variant>
        <vt:lpwstr>http://www.fco.gov.uk/en/global-issues/human-rights/</vt:lpwstr>
      </vt:variant>
      <vt:variant>
        <vt:lpwstr/>
      </vt:variant>
      <vt:variant>
        <vt:i4>196636</vt:i4>
      </vt:variant>
      <vt:variant>
        <vt:i4>21</vt:i4>
      </vt:variant>
      <vt:variant>
        <vt:i4>0</vt:i4>
      </vt:variant>
      <vt:variant>
        <vt:i4>5</vt:i4>
      </vt:variant>
      <vt:variant>
        <vt:lpwstr>http://www.justice.gov.uk/about/human-rights.htm</vt:lpwstr>
      </vt:variant>
      <vt:variant>
        <vt:lpwstr/>
      </vt:variant>
      <vt:variant>
        <vt:i4>5046354</vt:i4>
      </vt:variant>
      <vt:variant>
        <vt:i4>18</vt:i4>
      </vt:variant>
      <vt:variant>
        <vt:i4>0</vt:i4>
      </vt:variant>
      <vt:variant>
        <vt:i4>5</vt:i4>
      </vt:variant>
      <vt:variant>
        <vt:lpwstr>http://www.ipcc.gov.uk/annual_report_2008_death_section.pdf</vt:lpwstr>
      </vt:variant>
      <vt:variant>
        <vt:lpwstr/>
      </vt:variant>
      <vt:variant>
        <vt:i4>327770</vt:i4>
      </vt:variant>
      <vt:variant>
        <vt:i4>15</vt:i4>
      </vt:variant>
      <vt:variant>
        <vt:i4>0</vt:i4>
      </vt:variant>
      <vt:variant>
        <vt:i4>5</vt:i4>
      </vt:variant>
      <vt:variant>
        <vt:lpwstr>http://download.cabinetoffice.gov.uk/intelligence/consolidated-guidance-iosp.pdf</vt:lpwstr>
      </vt:variant>
      <vt:variant>
        <vt:lpwstr/>
      </vt:variant>
      <vt:variant>
        <vt:i4>7143471</vt:i4>
      </vt:variant>
      <vt:variant>
        <vt:i4>12</vt:i4>
      </vt:variant>
      <vt:variant>
        <vt:i4>0</vt:i4>
      </vt:variant>
      <vt:variant>
        <vt:i4>5</vt:i4>
      </vt:variant>
      <vt:variant>
        <vt:lpwstr>http://www.detaineeinquiry.org.uk/</vt:lpwstr>
      </vt:variant>
      <vt:variant>
        <vt:lpwstr/>
      </vt:variant>
      <vt:variant>
        <vt:i4>7733292</vt:i4>
      </vt:variant>
      <vt:variant>
        <vt:i4>9</vt:i4>
      </vt:variant>
      <vt:variant>
        <vt:i4>0</vt:i4>
      </vt:variant>
      <vt:variant>
        <vt:i4>5</vt:i4>
      </vt:variant>
      <vt:variant>
        <vt:lpwstr>http://download.cabinetoffice.gov.uk/intelligence/pm-letter-gibson.pdf</vt:lpwstr>
      </vt:variant>
      <vt:variant>
        <vt:lpwstr/>
      </vt:variant>
      <vt:variant>
        <vt:i4>7012458</vt:i4>
      </vt:variant>
      <vt:variant>
        <vt:i4>6</vt:i4>
      </vt:variant>
      <vt:variant>
        <vt:i4>0</vt:i4>
      </vt:variant>
      <vt:variant>
        <vt:i4>5</vt:i4>
      </vt:variant>
      <vt:variant>
        <vt:lpwstr>http://www.publications.parliament.uk/pa/cm201011/cmhansrd/cm100706/debtext/100706-0001.htm</vt:lpwstr>
      </vt:variant>
      <vt:variant>
        <vt:lpwstr/>
      </vt:variant>
      <vt:variant>
        <vt:i4>262191</vt:i4>
      </vt:variant>
      <vt:variant>
        <vt:i4>3</vt:i4>
      </vt:variant>
      <vt:variant>
        <vt:i4>0</vt:i4>
      </vt:variant>
      <vt:variant>
        <vt:i4>5</vt:i4>
      </vt:variant>
      <vt:variant>
        <vt:lpwstr>mailto:humanrights@justice.gsi.gov.uk</vt:lpwstr>
      </vt:variant>
      <vt:variant>
        <vt:lpwstr/>
      </vt:variant>
      <vt:variant>
        <vt:i4>7667766</vt:i4>
      </vt:variant>
      <vt:variant>
        <vt:i4>0</vt:i4>
      </vt:variant>
      <vt:variant>
        <vt:i4>0</vt:i4>
      </vt:variant>
      <vt:variant>
        <vt:i4>5</vt:i4>
      </vt:variant>
      <vt:variant>
        <vt:lpwstr>http://www.justice.gov.uk/</vt:lpwstr>
      </vt:variant>
      <vt:variant>
        <vt:lpwstr/>
      </vt:variant>
      <vt:variant>
        <vt:i4>6750248</vt:i4>
      </vt:variant>
      <vt:variant>
        <vt:i4>255</vt:i4>
      </vt:variant>
      <vt:variant>
        <vt:i4>0</vt:i4>
      </vt:variant>
      <vt:variant>
        <vt:i4>5</vt:i4>
      </vt:variant>
      <vt:variant>
        <vt:lpwstr>http://www.pie.gov.ky/portal/page?_pageid=1795,3509442&amp;_dad=portal&amp;__x000b_schema=PORTAL</vt:lpwstr>
      </vt:variant>
      <vt:variant>
        <vt:lpwstr/>
      </vt:variant>
      <vt:variant>
        <vt:i4>6225933</vt:i4>
      </vt:variant>
      <vt:variant>
        <vt:i4>252</vt:i4>
      </vt:variant>
      <vt:variant>
        <vt:i4>0</vt:i4>
      </vt:variant>
      <vt:variant>
        <vt:i4>5</vt:i4>
      </vt:variant>
      <vt:variant>
        <vt:lpwstr>http://www.gov.im/lib/docs/infocentre/acts/crimjusticeact.pdf</vt:lpwstr>
      </vt:variant>
      <vt:variant>
        <vt:lpwstr/>
      </vt:variant>
      <vt:variant>
        <vt:i4>3342386</vt:i4>
      </vt:variant>
      <vt:variant>
        <vt:i4>249</vt:i4>
      </vt:variant>
      <vt:variant>
        <vt:i4>0</vt:i4>
      </vt:variant>
      <vt:variant>
        <vt:i4>5</vt:i4>
      </vt:variant>
      <vt:variant>
        <vt:lpwstr>http://www.teachernet.gov.uk/teachingandlearning/subjects/citizenship/rhrn/</vt:lpwstr>
      </vt:variant>
      <vt:variant>
        <vt:lpwstr/>
      </vt:variant>
      <vt:variant>
        <vt:i4>5439504</vt:i4>
      </vt:variant>
      <vt:variant>
        <vt:i4>246</vt:i4>
      </vt:variant>
      <vt:variant>
        <vt:i4>0</vt:i4>
      </vt:variant>
      <vt:variant>
        <vt:i4>5</vt:i4>
      </vt:variant>
      <vt:variant>
        <vt:lpwstr>http://www.dh.gov.uk/en/Publicationsandstatistics/Publications/PublicationsPolicy_x000b_AndGuidance/DH_113613</vt:lpwstr>
      </vt:variant>
      <vt:variant>
        <vt:lpwstr/>
      </vt:variant>
      <vt:variant>
        <vt:i4>3407985</vt:i4>
      </vt:variant>
      <vt:variant>
        <vt:i4>243</vt:i4>
      </vt:variant>
      <vt:variant>
        <vt:i4>0</vt:i4>
      </vt:variant>
      <vt:variant>
        <vt:i4>5</vt:i4>
      </vt:variant>
      <vt:variant>
        <vt:lpwstr>http://treaties.un.org/Pages/Treaties.aspx?id=4&amp;subid=A&amp;lang=en</vt:lpwstr>
      </vt:variant>
      <vt:variant>
        <vt:lpwstr/>
      </vt:variant>
      <vt:variant>
        <vt:i4>7012393</vt:i4>
      </vt:variant>
      <vt:variant>
        <vt:i4>240</vt:i4>
      </vt:variant>
      <vt:variant>
        <vt:i4>0</vt:i4>
      </vt:variant>
      <vt:variant>
        <vt:i4>5</vt:i4>
      </vt:variant>
      <vt:variant>
        <vt:lpwstr>http://www.judiciary.gov.uk/publications-and-reports/statistics/judges/judicial-statistics</vt:lpwstr>
      </vt:variant>
      <vt:variant>
        <vt:lpwstr/>
      </vt:variant>
      <vt:variant>
        <vt:i4>589897</vt:i4>
      </vt:variant>
      <vt:variant>
        <vt:i4>237</vt:i4>
      </vt:variant>
      <vt:variant>
        <vt:i4>0</vt:i4>
      </vt:variant>
      <vt:variant>
        <vt:i4>5</vt:i4>
      </vt:variant>
      <vt:variant>
        <vt:lpwstr>http://www.dsdni.gov.uk/</vt:lpwstr>
      </vt:variant>
      <vt:variant>
        <vt:lpwstr/>
      </vt:variant>
      <vt:variant>
        <vt:i4>4456462</vt:i4>
      </vt:variant>
      <vt:variant>
        <vt:i4>234</vt:i4>
      </vt:variant>
      <vt:variant>
        <vt:i4>0</vt:i4>
      </vt:variant>
      <vt:variant>
        <vt:i4>5</vt:i4>
      </vt:variant>
      <vt:variant>
        <vt:lpwstr>http://www.parliament.uk/mps-lords-and-offices/lords/lords-by-type-and-party/</vt:lpwstr>
      </vt:variant>
      <vt:variant>
        <vt:lpwstr/>
      </vt:variant>
      <vt:variant>
        <vt:i4>2228315</vt:i4>
      </vt:variant>
      <vt:variant>
        <vt:i4>231</vt:i4>
      </vt:variant>
      <vt:variant>
        <vt:i4>0</vt:i4>
      </vt:variant>
      <vt:variant>
        <vt:i4>5</vt:i4>
      </vt:variant>
      <vt:variant>
        <vt:lpwstr>http://www.legalservices.gov.uk/docs/about_us_main/LSC_AR_FINAL_(web)_-_0575.pdf</vt:lpwstr>
      </vt:variant>
      <vt:variant>
        <vt:lpwstr/>
      </vt:variant>
      <vt:variant>
        <vt:i4>786434</vt:i4>
      </vt:variant>
      <vt:variant>
        <vt:i4>228</vt:i4>
      </vt:variant>
      <vt:variant>
        <vt:i4>0</vt:i4>
      </vt:variant>
      <vt:variant>
        <vt:i4>5</vt:i4>
      </vt:variant>
      <vt:variant>
        <vt:lpwstr>http://www.homeoffice.gov.uk/rds/pdfs/deaths2000.pdf</vt:lpwstr>
      </vt:variant>
      <vt:variant>
        <vt:lpwstr/>
      </vt:variant>
      <vt:variant>
        <vt:i4>786434</vt:i4>
      </vt:variant>
      <vt:variant>
        <vt:i4>225</vt:i4>
      </vt:variant>
      <vt:variant>
        <vt:i4>0</vt:i4>
      </vt:variant>
      <vt:variant>
        <vt:i4>5</vt:i4>
      </vt:variant>
      <vt:variant>
        <vt:lpwstr>http://www.homeoffice.gov.uk/rds/pdfs/deaths2000.pdf</vt:lpwstr>
      </vt:variant>
      <vt:variant>
        <vt:lpwstr/>
      </vt:variant>
      <vt:variant>
        <vt:i4>6815858</vt:i4>
      </vt:variant>
      <vt:variant>
        <vt:i4>222</vt:i4>
      </vt:variant>
      <vt:variant>
        <vt:i4>0</vt:i4>
      </vt:variant>
      <vt:variant>
        <vt:i4>5</vt:i4>
      </vt:variant>
      <vt:variant>
        <vt:lpwstr>http://www.justice.gov.uk/docs/population-in-custody-january09.pdf</vt:lpwstr>
      </vt:variant>
      <vt:variant>
        <vt:lpwstr/>
      </vt:variant>
      <vt:variant>
        <vt:i4>6815858</vt:i4>
      </vt:variant>
      <vt:variant>
        <vt:i4>219</vt:i4>
      </vt:variant>
      <vt:variant>
        <vt:i4>0</vt:i4>
      </vt:variant>
      <vt:variant>
        <vt:i4>5</vt:i4>
      </vt:variant>
      <vt:variant>
        <vt:lpwstr>http://www.justice.gov.uk/docs/population-in-custody-january09.pdf</vt:lpwstr>
      </vt:variant>
      <vt:variant>
        <vt:lpwstr/>
      </vt:variant>
      <vt:variant>
        <vt:i4>6029390</vt:i4>
      </vt:variant>
      <vt:variant>
        <vt:i4>216</vt:i4>
      </vt:variant>
      <vt:variant>
        <vt:i4>0</vt:i4>
      </vt:variant>
      <vt:variant>
        <vt:i4>5</vt:i4>
      </vt:variant>
      <vt:variant>
        <vt:lpwstr>http://www.homeoffice.gov.uk/rds/pdfs08/hosb0708.pdf</vt:lpwstr>
      </vt:variant>
      <vt:variant>
        <vt:lpwstr/>
      </vt:variant>
      <vt:variant>
        <vt:i4>6029390</vt:i4>
      </vt:variant>
      <vt:variant>
        <vt:i4>213</vt:i4>
      </vt:variant>
      <vt:variant>
        <vt:i4>0</vt:i4>
      </vt:variant>
      <vt:variant>
        <vt:i4>5</vt:i4>
      </vt:variant>
      <vt:variant>
        <vt:lpwstr>http://www.homeoffice.gov.uk/rds/pdfs08/hosb0708.pdf</vt:lpwstr>
      </vt:variant>
      <vt:variant>
        <vt:lpwstr/>
      </vt:variant>
      <vt:variant>
        <vt:i4>6029390</vt:i4>
      </vt:variant>
      <vt:variant>
        <vt:i4>210</vt:i4>
      </vt:variant>
      <vt:variant>
        <vt:i4>0</vt:i4>
      </vt:variant>
      <vt:variant>
        <vt:i4>5</vt:i4>
      </vt:variant>
      <vt:variant>
        <vt:lpwstr>http://www.homeoffice.gov.uk/rds/pdfs08/hosb0708.pdf</vt:lpwstr>
      </vt:variant>
      <vt:variant>
        <vt:lpwstr/>
      </vt:variant>
      <vt:variant>
        <vt:i4>1376307</vt:i4>
      </vt:variant>
      <vt:variant>
        <vt:i4>207</vt:i4>
      </vt:variant>
      <vt:variant>
        <vt:i4>0</vt:i4>
      </vt:variant>
      <vt:variant>
        <vt:i4>5</vt:i4>
      </vt:variant>
      <vt:variant>
        <vt:lpwstr>http://www.electoralcommission.org.uk/__data/assets/pdf_file/0010/100702/Report-on-the-administration-of-the-2010-UK-general-election.pdf~page=34</vt:lpwstr>
      </vt:variant>
      <vt:variant>
        <vt:lpwstr/>
      </vt:variant>
      <vt:variant>
        <vt:i4>7929912</vt:i4>
      </vt:variant>
      <vt:variant>
        <vt:i4>204</vt:i4>
      </vt:variant>
      <vt:variant>
        <vt:i4>0</vt:i4>
      </vt:variant>
      <vt:variant>
        <vt:i4>5</vt:i4>
      </vt:variant>
      <vt:variant>
        <vt:lpwstr>http://webarchive.nationalarchives.gov.uk/20110201125714/_x000b_http://www.justice.gov.uk/publications/docs/restraint_review.pdf</vt:lpwstr>
      </vt:variant>
      <vt:variant>
        <vt:lpwstr/>
      </vt:variant>
      <vt:variant>
        <vt:i4>6029375</vt:i4>
      </vt:variant>
      <vt:variant>
        <vt:i4>201</vt:i4>
      </vt:variant>
      <vt:variant>
        <vt:i4>0</vt:i4>
      </vt:variant>
      <vt:variant>
        <vt:i4>5</vt:i4>
      </vt:variant>
      <vt:variant>
        <vt:lpwstr>http://www.niprisonservice.gov.uk/module.cfm/opt/5/area/publications/page/_x000b_publications/download/true/id/237</vt:lpwstr>
      </vt:variant>
      <vt:variant>
        <vt:lpwstr/>
      </vt:variant>
      <vt:variant>
        <vt:i4>5636174</vt:i4>
      </vt:variant>
      <vt:variant>
        <vt:i4>198</vt:i4>
      </vt:variant>
      <vt:variant>
        <vt:i4>0</vt:i4>
      </vt:variant>
      <vt:variant>
        <vt:i4>5</vt:i4>
      </vt:variant>
      <vt:variant>
        <vt:lpwstr>http://psi.hmprisonservice.gov.uk/psi_2009_26_amendments_to_pso_1700.doc</vt:lpwstr>
      </vt:variant>
      <vt:variant>
        <vt:lpwstr/>
      </vt:variant>
      <vt:variant>
        <vt:i4>7667762</vt:i4>
      </vt:variant>
      <vt:variant>
        <vt:i4>195</vt:i4>
      </vt:variant>
      <vt:variant>
        <vt:i4>0</vt:i4>
      </vt:variant>
      <vt:variant>
        <vt:i4>5</vt:i4>
      </vt:variant>
      <vt:variant>
        <vt:lpwstr>http://pso.hmprisonservice.gov.uk/pso2700/PSO 2700_-_front_index_and_PSO_itself.htm</vt:lpwstr>
      </vt:variant>
      <vt:variant>
        <vt:lpwstr/>
      </vt:variant>
      <vt:variant>
        <vt:i4>5111882</vt:i4>
      </vt:variant>
      <vt:variant>
        <vt:i4>192</vt:i4>
      </vt:variant>
      <vt:variant>
        <vt:i4>0</vt:i4>
      </vt:variant>
      <vt:variant>
        <vt:i4>5</vt:i4>
      </vt:variant>
      <vt:variant>
        <vt:lpwstr>http://www.dh.gov.uk/en/Publicationsandstatistics/Publications/PublicationsPolicy</vt:lpwstr>
      </vt:variant>
      <vt:variant>
        <vt:lpwstr/>
      </vt:variant>
      <vt:variant>
        <vt:i4>2162699</vt:i4>
      </vt:variant>
      <vt:variant>
        <vt:i4>189</vt:i4>
      </vt:variant>
      <vt:variant>
        <vt:i4>0</vt:i4>
      </vt:variant>
      <vt:variant>
        <vt:i4>5</vt:i4>
      </vt:variant>
      <vt:variant>
        <vt:lpwstr>http://www.nio.gov.uk/independent_reviewers_third_report.pdf</vt:lpwstr>
      </vt:variant>
      <vt:variant>
        <vt:lpwstr/>
      </vt:variant>
      <vt:variant>
        <vt:i4>4128881</vt:i4>
      </vt:variant>
      <vt:variant>
        <vt:i4>186</vt:i4>
      </vt:variant>
      <vt:variant>
        <vt:i4>0</vt:i4>
      </vt:variant>
      <vt:variant>
        <vt:i4>5</vt:i4>
      </vt:variant>
      <vt:variant>
        <vt:lpwstr>http://www.parliament.uk/deposits/depositedpapers/2009/DEP2009-3130.pdf</vt:lpwstr>
      </vt:variant>
      <vt:variant>
        <vt:lpwstr/>
      </vt:variant>
      <vt:variant>
        <vt:i4>3932273</vt:i4>
      </vt:variant>
      <vt:variant>
        <vt:i4>183</vt:i4>
      </vt:variant>
      <vt:variant>
        <vt:i4>0</vt:i4>
      </vt:variant>
      <vt:variant>
        <vt:i4>5</vt:i4>
      </vt:variant>
      <vt:variant>
        <vt:lpwstr>http://www.parliament.uk/deposits/depositedpapers/2009/DEP2009-0031.pdf</vt:lpwstr>
      </vt:variant>
      <vt:variant>
        <vt:lpwstr/>
      </vt:variant>
      <vt:variant>
        <vt:i4>196680</vt:i4>
      </vt:variant>
      <vt:variant>
        <vt:i4>180</vt:i4>
      </vt:variant>
      <vt:variant>
        <vt:i4>0</vt:i4>
      </vt:variant>
      <vt:variant>
        <vt:i4>5</vt:i4>
      </vt:variant>
      <vt:variant>
        <vt:lpwstr>http://www.nio.gov.uk/final_report_of_the_independent_assessor_of_military__x000b_complaints_procedures.pdf</vt:lpwstr>
      </vt:variant>
      <vt:variant>
        <vt:lpwstr/>
      </vt:variant>
      <vt:variant>
        <vt:i4>655477</vt:i4>
      </vt:variant>
      <vt:variant>
        <vt:i4>177</vt:i4>
      </vt:variant>
      <vt:variant>
        <vt:i4>0</vt:i4>
      </vt:variant>
      <vt:variant>
        <vt:i4>5</vt:i4>
      </vt:variant>
      <vt:variant>
        <vt:lpwstr>http://pso.hmprisonservice.gov.uk/PSO_2510_prisoners_requests_and__x000b_complaints_procedures.doc</vt:lpwstr>
      </vt:variant>
      <vt:variant>
        <vt:lpwstr/>
      </vt:variant>
      <vt:variant>
        <vt:i4>3407933</vt:i4>
      </vt:variant>
      <vt:variant>
        <vt:i4>174</vt:i4>
      </vt:variant>
      <vt:variant>
        <vt:i4>0</vt:i4>
      </vt:variant>
      <vt:variant>
        <vt:i4>5</vt:i4>
      </vt:variant>
      <vt:variant>
        <vt:lpwstr>http://www.scotland.gov.uk/Publications/2004/06/19502/38829</vt:lpwstr>
      </vt:variant>
      <vt:variant>
        <vt:lpwstr/>
      </vt:variant>
      <vt:variant>
        <vt:i4>852052</vt:i4>
      </vt:variant>
      <vt:variant>
        <vt:i4>171</vt:i4>
      </vt:variant>
      <vt:variant>
        <vt:i4>0</vt:i4>
      </vt:variant>
      <vt:variant>
        <vt:i4>5</vt:i4>
      </vt:variant>
      <vt:variant>
        <vt:lpwstr>http://www.scotland.gov.uk/hmic/docs/afcp-00.asp</vt:lpwstr>
      </vt:variant>
      <vt:variant>
        <vt:lpwstr/>
      </vt:variant>
      <vt:variant>
        <vt:i4>4325389</vt:i4>
      </vt:variant>
      <vt:variant>
        <vt:i4>168</vt:i4>
      </vt:variant>
      <vt:variant>
        <vt:i4>0</vt:i4>
      </vt:variant>
      <vt:variant>
        <vt:i4>5</vt:i4>
      </vt:variant>
      <vt:variant>
        <vt:lpwstr>http://www.ipcc.gov.uk/index/resources/research/stats.htm</vt:lpwstr>
      </vt:variant>
      <vt:variant>
        <vt:lpwstr/>
      </vt:variant>
      <vt:variant>
        <vt:i4>5308493</vt:i4>
      </vt:variant>
      <vt:variant>
        <vt:i4>165</vt:i4>
      </vt:variant>
      <vt:variant>
        <vt:i4>0</vt:i4>
      </vt:variant>
      <vt:variant>
        <vt:i4>5</vt:i4>
      </vt:variant>
      <vt:variant>
        <vt:lpwstr>http://www.roberthamillinquiry.org/filestore/?f=/filestore/documents/evidence/_x000b_Major_Investigation_Incident_Room_Standardised_Administrative_Procedures_(10789).pdf</vt:lpwstr>
      </vt:variant>
      <vt:variant>
        <vt:lpwstr/>
      </vt:variant>
      <vt:variant>
        <vt:i4>1441798</vt:i4>
      </vt:variant>
      <vt:variant>
        <vt:i4>162</vt:i4>
      </vt:variant>
      <vt:variant>
        <vt:i4>0</vt:i4>
      </vt:variant>
      <vt:variant>
        <vt:i4>5</vt:i4>
      </vt:variant>
      <vt:variant>
        <vt:lpwstr>http://www.mod.uk/NR/rdonlyres/5A0855FD-CECC-4BF7-A466-61520CEE9AB3/0/JSP397.pdf</vt:lpwstr>
      </vt:variant>
      <vt:variant>
        <vt:lpwstr/>
      </vt:variant>
      <vt:variant>
        <vt:i4>6291565</vt:i4>
      </vt:variant>
      <vt:variant>
        <vt:i4>159</vt:i4>
      </vt:variant>
      <vt:variant>
        <vt:i4>0</vt:i4>
      </vt:variant>
      <vt:variant>
        <vt:i4>5</vt:i4>
      </vt:variant>
      <vt:variant>
        <vt:lpwstr>http://www.niprisonerombudsman.gov.uk/publications.html</vt:lpwstr>
      </vt:variant>
      <vt:variant>
        <vt:lpwstr/>
      </vt:variant>
      <vt:variant>
        <vt:i4>262184</vt:i4>
      </vt:variant>
      <vt:variant>
        <vt:i4>156</vt:i4>
      </vt:variant>
      <vt:variant>
        <vt:i4>0</vt:i4>
      </vt:variant>
      <vt:variant>
        <vt:i4>5</vt:i4>
      </vt:variant>
      <vt:variant>
        <vt:lpwstr>http://www.statutelaw.gov.uk/content.aspx?LegType=All+Legislation&amp;search_x000b_Enacted=0&amp;extentMatchOnly=0&amp;confersPower=0&amp;blanketAmendment=0&amp;sort_x000b_Alpha=0&amp;PageNumber=0&amp;NavFrom=0&amp;parentActiveTextDocId=1241799&amp;ActiveText_x000b_DocId=1241799&amp;filesize=40984</vt:lpwstr>
      </vt:variant>
      <vt:variant>
        <vt:lpwstr/>
      </vt:variant>
      <vt:variant>
        <vt:i4>7340128</vt:i4>
      </vt:variant>
      <vt:variant>
        <vt:i4>153</vt:i4>
      </vt:variant>
      <vt:variant>
        <vt:i4>0</vt:i4>
      </vt:variant>
      <vt:variant>
        <vt:i4>5</vt:i4>
      </vt:variant>
      <vt:variant>
        <vt:lpwstr>http://www.the-sia.org.uk/home</vt:lpwstr>
      </vt:variant>
      <vt:variant>
        <vt:lpwstr/>
      </vt:variant>
      <vt:variant>
        <vt:i4>1572879</vt:i4>
      </vt:variant>
      <vt:variant>
        <vt:i4>150</vt:i4>
      </vt:variant>
      <vt:variant>
        <vt:i4>0</vt:i4>
      </vt:variant>
      <vt:variant>
        <vt:i4>5</vt:i4>
      </vt:variant>
      <vt:variant>
        <vt:lpwstr>http://www.archive2.official-documents.co.uk/document/cm58/5831/5831.pdf</vt:lpwstr>
      </vt:variant>
      <vt:variant>
        <vt:lpwstr/>
      </vt:variant>
      <vt:variant>
        <vt:i4>2883620</vt:i4>
      </vt:variant>
      <vt:variant>
        <vt:i4>147</vt:i4>
      </vt:variant>
      <vt:variant>
        <vt:i4>0</vt:i4>
      </vt:variant>
      <vt:variant>
        <vt:i4>5</vt:i4>
      </vt:variant>
      <vt:variant>
        <vt:lpwstr>http://www.scotland.gov.uk/Publications/2005/09/16121646/16474</vt:lpwstr>
      </vt:variant>
      <vt:variant>
        <vt:lpwstr/>
      </vt:variant>
      <vt:variant>
        <vt:i4>2883620</vt:i4>
      </vt:variant>
      <vt:variant>
        <vt:i4>144</vt:i4>
      </vt:variant>
      <vt:variant>
        <vt:i4>0</vt:i4>
      </vt:variant>
      <vt:variant>
        <vt:i4>5</vt:i4>
      </vt:variant>
      <vt:variant>
        <vt:lpwstr>http://www.scotland.gov.uk/Publications/2005/09/16121646/16474</vt:lpwstr>
      </vt:variant>
      <vt:variant>
        <vt:lpwstr/>
      </vt:variant>
      <vt:variant>
        <vt:i4>2555948</vt:i4>
      </vt:variant>
      <vt:variant>
        <vt:i4>141</vt:i4>
      </vt:variant>
      <vt:variant>
        <vt:i4>0</vt:i4>
      </vt:variant>
      <vt:variant>
        <vt:i4>5</vt:i4>
      </vt:variant>
      <vt:variant>
        <vt:lpwstr>http://www.scotland.gov.uk/Publications/2005/08/29100428/04289</vt:lpwstr>
      </vt:variant>
      <vt:variant>
        <vt:lpwstr/>
      </vt:variant>
      <vt:variant>
        <vt:i4>1900650</vt:i4>
      </vt:variant>
      <vt:variant>
        <vt:i4>138</vt:i4>
      </vt:variant>
      <vt:variant>
        <vt:i4>0</vt:i4>
      </vt:variant>
      <vt:variant>
        <vt:i4>5</vt:i4>
      </vt:variant>
      <vt:variant>
        <vt:lpwstr>http://www.opsi.gov.uk/legislation/scotland/acts2003/asp_20030013_en_1</vt:lpwstr>
      </vt:variant>
      <vt:variant>
        <vt:lpwstr/>
      </vt:variant>
      <vt:variant>
        <vt:i4>2359349</vt:i4>
      </vt:variant>
      <vt:variant>
        <vt:i4>135</vt:i4>
      </vt:variant>
      <vt:variant>
        <vt:i4>0</vt:i4>
      </vt:variant>
      <vt:variant>
        <vt:i4>5</vt:i4>
      </vt:variant>
      <vt:variant>
        <vt:lpwstr>http://www.assemblywales.org/bus-home/bus-guide-docs-pub/bus-business-documents/bus-business-documents-doc-laid/gen-ld7209-e.pdf?_x000b_langoption=3&amp;ttl=GEN-LD7209%20-%20Mental%20Health%_x000b_20Act%201983%3A%20Code%20of%20Practice%20for%20Wales</vt:lpwstr>
      </vt:variant>
      <vt:variant>
        <vt:lpwstr/>
      </vt:variant>
      <vt:variant>
        <vt:i4>4063232</vt:i4>
      </vt:variant>
      <vt:variant>
        <vt:i4>132</vt:i4>
      </vt:variant>
      <vt:variant>
        <vt:i4>0</vt:i4>
      </vt:variant>
      <vt:variant>
        <vt:i4>5</vt:i4>
      </vt:variant>
      <vt:variant>
        <vt:lpwstr>http://www.dh.gov.uk/en/Publicationsandstatistics/Publications/PublicationsPolicy_x000b_AndGuidance/DH_084597?IdcService=GET_FILE&amp;dID=170799&amp;Rendition=Web</vt:lpwstr>
      </vt:variant>
      <vt:variant>
        <vt:lpwstr/>
      </vt:variant>
      <vt:variant>
        <vt:i4>458850</vt:i4>
      </vt:variant>
      <vt:variant>
        <vt:i4>129</vt:i4>
      </vt:variant>
      <vt:variant>
        <vt:i4>0</vt:i4>
      </vt:variant>
      <vt:variant>
        <vt:i4>5</vt:i4>
      </vt:variant>
      <vt:variant>
        <vt:lpwstr>http://www.mod.uk/DefenceInternet/AboutDefence/CorporatePublications/_x000b_LegalPublications/LawOfArmedConflict/</vt:lpwstr>
      </vt:variant>
      <vt:variant>
        <vt:lpwstr/>
      </vt:variant>
      <vt:variant>
        <vt:i4>524339</vt:i4>
      </vt:variant>
      <vt:variant>
        <vt:i4>126</vt:i4>
      </vt:variant>
      <vt:variant>
        <vt:i4>0</vt:i4>
      </vt:variant>
      <vt:variant>
        <vt:i4>5</vt:i4>
      </vt:variant>
      <vt:variant>
        <vt:lpwstr>http://www.mod.uk/NR/rdonlyres/C20B9AB9-5F4C-465E-B14D-1660B318E247/0/jdp1_10.pdf</vt:lpwstr>
      </vt:variant>
      <vt:variant>
        <vt:lpwstr/>
      </vt:variant>
      <vt:variant>
        <vt:i4>196651</vt:i4>
      </vt:variant>
      <vt:variant>
        <vt:i4>123</vt:i4>
      </vt:variant>
      <vt:variant>
        <vt:i4>0</vt:i4>
      </vt:variant>
      <vt:variant>
        <vt:i4>5</vt:i4>
      </vt:variant>
      <vt:variant>
        <vt:lpwstr>http://www.ukba.homeoffice.gov.uk/sitecontent/documents/policyandlaw/enforcement/_x000b_oemsectione/chapter37?view=Binary</vt:lpwstr>
      </vt:variant>
      <vt:variant>
        <vt:lpwstr/>
      </vt:variant>
      <vt:variant>
        <vt:i4>3145788</vt:i4>
      </vt:variant>
      <vt:variant>
        <vt:i4>120</vt:i4>
      </vt:variant>
      <vt:variant>
        <vt:i4>0</vt:i4>
      </vt:variant>
      <vt:variant>
        <vt:i4>5</vt:i4>
      </vt:variant>
      <vt:variant>
        <vt:lpwstr>http://www.cjini.org/getattachment/cc81a484-6109-4d33-95db-5b9d71df3883/Prisoner-Escort-and-Court-Custody-arrangements-in-.aspx</vt:lpwstr>
      </vt:variant>
      <vt:variant>
        <vt:lpwstr/>
      </vt:variant>
      <vt:variant>
        <vt:i4>6488113</vt:i4>
      </vt:variant>
      <vt:variant>
        <vt:i4>117</vt:i4>
      </vt:variant>
      <vt:variant>
        <vt:i4>0</vt:i4>
      </vt:variant>
      <vt:variant>
        <vt:i4>5</vt:i4>
      </vt:variant>
      <vt:variant>
        <vt:lpwstr>http://www.justice.gov.uk/publications/securing-the-future.htm</vt:lpwstr>
      </vt:variant>
      <vt:variant>
        <vt:lpwstr/>
      </vt:variant>
      <vt:variant>
        <vt:i4>1245287</vt:i4>
      </vt:variant>
      <vt:variant>
        <vt:i4>114</vt:i4>
      </vt:variant>
      <vt:variant>
        <vt:i4>0</vt:i4>
      </vt:variant>
      <vt:variant>
        <vt:i4>5</vt:i4>
      </vt:variant>
      <vt:variant>
        <vt:lpwstr>http://www.thelearningjourney.co.uk/Patrick_Carter_Review.pdf/file_view</vt:lpwstr>
      </vt:variant>
      <vt:variant>
        <vt:lpwstr/>
      </vt:variant>
      <vt:variant>
        <vt:i4>2949204</vt:i4>
      </vt:variant>
      <vt:variant>
        <vt:i4>111</vt:i4>
      </vt:variant>
      <vt:variant>
        <vt:i4>0</vt:i4>
      </vt:variant>
      <vt:variant>
        <vt:i4>5</vt:i4>
      </vt:variant>
      <vt:variant>
        <vt:lpwstr>http://www.nio.gov.uk/less_lethal_weaponry_steering_group_phase_5_report.pdf</vt:lpwstr>
      </vt:variant>
      <vt:variant>
        <vt:lpwstr/>
      </vt:variant>
      <vt:variant>
        <vt:i4>7995457</vt:i4>
      </vt:variant>
      <vt:variant>
        <vt:i4>108</vt:i4>
      </vt:variant>
      <vt:variant>
        <vt:i4>0</vt:i4>
      </vt:variant>
      <vt:variant>
        <vt:i4>5</vt:i4>
      </vt:variant>
      <vt:variant>
        <vt:lpwstr>http://www.nio.gov.uk/a_new_beginning_in_policing_in_northern_ireland.pdf</vt:lpwstr>
      </vt:variant>
      <vt:variant>
        <vt:lpwstr/>
      </vt:variant>
      <vt:variant>
        <vt:i4>5439515</vt:i4>
      </vt:variant>
      <vt:variant>
        <vt:i4>105</vt:i4>
      </vt:variant>
      <vt:variant>
        <vt:i4>0</vt:i4>
      </vt:variant>
      <vt:variant>
        <vt:i4>5</vt:i4>
      </vt:variant>
      <vt:variant>
        <vt:lpwstr>http://tna.europarchive.org/20100413151426/http://scienceand_x000b_research.homeoffice.gov.uk/hosdb/publications/police-weaponry/_x000b_taser-quarterly-Sept09.html</vt:lpwstr>
      </vt:variant>
      <vt:variant>
        <vt:lpwstr/>
      </vt:variant>
      <vt:variant>
        <vt:i4>4849687</vt:i4>
      </vt:variant>
      <vt:variant>
        <vt:i4>102</vt:i4>
      </vt:variant>
      <vt:variant>
        <vt:i4>0</vt:i4>
      </vt:variant>
      <vt:variant>
        <vt:i4>5</vt:i4>
      </vt:variant>
      <vt:variant>
        <vt:lpwstr>http://www.justice.gov.uk/inspectorates/hmi-prisons/2536.htm</vt:lpwstr>
      </vt:variant>
      <vt:variant>
        <vt:lpwstr/>
      </vt:variant>
      <vt:variant>
        <vt:i4>2555910</vt:i4>
      </vt:variant>
      <vt:variant>
        <vt:i4>99</vt:i4>
      </vt:variant>
      <vt:variant>
        <vt:i4>0</vt:i4>
      </vt:variant>
      <vt:variant>
        <vt:i4>5</vt:i4>
      </vt:variant>
      <vt:variant>
        <vt:lpwstr>http://www.apt.ch/index.php?option=com_k2&amp;view=item&amp;id=873:the-united-kingdoms-national-preventive-mechanism&amp;Itemid=269&amp;lang=en</vt:lpwstr>
      </vt:variant>
      <vt:variant>
        <vt:lpwstr/>
      </vt:variant>
      <vt:variant>
        <vt:i4>2097173</vt:i4>
      </vt:variant>
      <vt:variant>
        <vt:i4>96</vt:i4>
      </vt:variant>
      <vt:variant>
        <vt:i4>0</vt:i4>
      </vt:variant>
      <vt:variant>
        <vt:i4>5</vt:i4>
      </vt:variant>
      <vt:variant>
        <vt:lpwstr>http://www.cabinetoffice.gov.uk/newsroom/news_releases/2010/100706-detainees.aspx</vt:lpwstr>
      </vt:variant>
      <vt:variant>
        <vt:lpwstr/>
      </vt:variant>
      <vt:variant>
        <vt:i4>5701711</vt:i4>
      </vt:variant>
      <vt:variant>
        <vt:i4>93</vt:i4>
      </vt:variant>
      <vt:variant>
        <vt:i4>0</vt:i4>
      </vt:variant>
      <vt:variant>
        <vt:i4>5</vt:i4>
      </vt:variant>
      <vt:variant>
        <vt:lpwstr>http://www.un.org/documents/ga/res/37/a37r194.htm</vt:lpwstr>
      </vt:variant>
      <vt:variant>
        <vt:lpwstr/>
      </vt:variant>
      <vt:variant>
        <vt:i4>2031616</vt:i4>
      </vt:variant>
      <vt:variant>
        <vt:i4>90</vt:i4>
      </vt:variant>
      <vt:variant>
        <vt:i4>0</vt:i4>
      </vt:variant>
      <vt:variant>
        <vt:i4>5</vt:i4>
      </vt:variant>
      <vt:variant>
        <vt:lpwstr>http://noms.justice.gov.uk/news-publications-events/publications/strategy/offender-management-model-1.1?version=1</vt:lpwstr>
      </vt:variant>
      <vt:variant>
        <vt:lpwstr/>
      </vt:variant>
      <vt:variant>
        <vt:i4>4587622</vt:i4>
      </vt:variant>
      <vt:variant>
        <vt:i4>87</vt:i4>
      </vt:variant>
      <vt:variant>
        <vt:i4>0</vt:i4>
      </vt:variant>
      <vt:variant>
        <vt:i4>5</vt:i4>
      </vt:variant>
      <vt:variant>
        <vt:lpwstr>http://www.nipolicingboard.org.uk/final_code_of_ethics-2.pdf</vt:lpwstr>
      </vt:variant>
      <vt:variant>
        <vt:lpwstr/>
      </vt:variant>
      <vt:variant>
        <vt:i4>1572923</vt:i4>
      </vt:variant>
      <vt:variant>
        <vt:i4>84</vt:i4>
      </vt:variant>
      <vt:variant>
        <vt:i4>0</vt:i4>
      </vt:variant>
      <vt:variant>
        <vt:i4>5</vt:i4>
      </vt:variant>
      <vt:variant>
        <vt:lpwstr>http://police.homeoffice.gov.uk/publications/operational-policing/Safer_Detention_and_Handlin1.pdf</vt:lpwstr>
      </vt:variant>
      <vt:variant>
        <vt:lpwstr/>
      </vt:variant>
      <vt:variant>
        <vt:i4>7471203</vt:i4>
      </vt:variant>
      <vt:variant>
        <vt:i4>81</vt:i4>
      </vt:variant>
      <vt:variant>
        <vt:i4>0</vt:i4>
      </vt:variant>
      <vt:variant>
        <vt:i4>5</vt:i4>
      </vt:variant>
      <vt:variant>
        <vt:lpwstr>http://www.assemblywales.org/bus-home/bus-guide-docs-pub/bus-business-documents/bus-business-documents-doc-laid/gen-ld7209-e.pdf?langoption_x000b_=3&amp;ttl=GEN-LD7209%20-%20Mental%20Health%20Act%_x000b_201983%3A%20Code%20of%20Practice%20for%20Wales</vt:lpwstr>
      </vt:variant>
      <vt:variant>
        <vt:lpwstr/>
      </vt:variant>
      <vt:variant>
        <vt:i4>4063232</vt:i4>
      </vt:variant>
      <vt:variant>
        <vt:i4>78</vt:i4>
      </vt:variant>
      <vt:variant>
        <vt:i4>0</vt:i4>
      </vt:variant>
      <vt:variant>
        <vt:i4>5</vt:i4>
      </vt:variant>
      <vt:variant>
        <vt:lpwstr>http://www.dh.gov.uk/en/Publicationsandstatistics/Publications/PublicationsPolicy_x000b_AndGuidance/DH_084597?IdcService=GET_FILE&amp;dID=170799&amp;Rendition=Web</vt:lpwstr>
      </vt:variant>
      <vt:variant>
        <vt:lpwstr/>
      </vt:variant>
      <vt:variant>
        <vt:i4>3080200</vt:i4>
      </vt:variant>
      <vt:variant>
        <vt:i4>75</vt:i4>
      </vt:variant>
      <vt:variant>
        <vt:i4>0</vt:i4>
      </vt:variant>
      <vt:variant>
        <vt:i4>5</vt:i4>
      </vt:variant>
      <vt:variant>
        <vt:lpwstr>http://www.skillsforhealth.org.uk/component/docman/doc_download/175-functional-map-for-hpc-august-2007.html</vt:lpwstr>
      </vt:variant>
      <vt:variant>
        <vt:lpwstr/>
      </vt:variant>
      <vt:variant>
        <vt:i4>6815796</vt:i4>
      </vt:variant>
      <vt:variant>
        <vt:i4>72</vt:i4>
      </vt:variant>
      <vt:variant>
        <vt:i4>0</vt:i4>
      </vt:variant>
      <vt:variant>
        <vt:i4>5</vt:i4>
      </vt:variant>
      <vt:variant>
        <vt:lpwstr>http://daccessdds.un.org/doc/UNDOC/GEN/G05/168/09/PDF/G0516809.pdf?OpenElement</vt:lpwstr>
      </vt:variant>
      <vt:variant>
        <vt:lpwstr/>
      </vt:variant>
      <vt:variant>
        <vt:i4>3014765</vt:i4>
      </vt:variant>
      <vt:variant>
        <vt:i4>69</vt:i4>
      </vt:variant>
      <vt:variant>
        <vt:i4>0</vt:i4>
      </vt:variant>
      <vt:variant>
        <vt:i4>5</vt:i4>
      </vt:variant>
      <vt:variant>
        <vt:lpwstr>http://press.homeoffice.gov.uk/documents/police-disciplinary-arrangements/</vt:lpwstr>
      </vt:variant>
      <vt:variant>
        <vt:lpwstr/>
      </vt:variant>
      <vt:variant>
        <vt:i4>917627</vt:i4>
      </vt:variant>
      <vt:variant>
        <vt:i4>66</vt:i4>
      </vt:variant>
      <vt:variant>
        <vt:i4>0</vt:i4>
      </vt:variant>
      <vt:variant>
        <vt:i4>5</vt:i4>
      </vt:variant>
      <vt:variant>
        <vt:lpwstr>http://www.opsi.gov.uk/si/si2008/draft/ukdsi_9780110835181_en_1</vt:lpwstr>
      </vt:variant>
      <vt:variant>
        <vt:lpwstr/>
      </vt:variant>
      <vt:variant>
        <vt:i4>6881280</vt:i4>
      </vt:variant>
      <vt:variant>
        <vt:i4>63</vt:i4>
      </vt:variant>
      <vt:variant>
        <vt:i4>0</vt:i4>
      </vt:variant>
      <vt:variant>
        <vt:i4>5</vt:i4>
      </vt:variant>
      <vt:variant>
        <vt:lpwstr>http://www.opsi.gov.uk/si/si2008/uksi_20082864_en_1</vt:lpwstr>
      </vt:variant>
      <vt:variant>
        <vt:lpwstr/>
      </vt:variant>
      <vt:variant>
        <vt:i4>6029398</vt:i4>
      </vt:variant>
      <vt:variant>
        <vt:i4>60</vt:i4>
      </vt:variant>
      <vt:variant>
        <vt:i4>0</vt:i4>
      </vt:variant>
      <vt:variant>
        <vt:i4>5</vt:i4>
      </vt:variant>
      <vt:variant>
        <vt:lpwstr>http://www.opsi.gov.uk/SI/si2001/20010238.htm</vt:lpwstr>
      </vt:variant>
      <vt:variant>
        <vt:lpwstr/>
      </vt:variant>
      <vt:variant>
        <vt:i4>8192108</vt:i4>
      </vt:variant>
      <vt:variant>
        <vt:i4>57</vt:i4>
      </vt:variant>
      <vt:variant>
        <vt:i4>0</vt:i4>
      </vt:variant>
      <vt:variant>
        <vt:i4>5</vt:i4>
      </vt:variant>
      <vt:variant>
        <vt:lpwstr>http://www.nio.gov.uk/index/nio-publication/nio-pubs-search results.htm?category=&amp;keyword=codes+of+practice&amp;order=date</vt:lpwstr>
      </vt:variant>
      <vt:variant>
        <vt:lpwstr/>
      </vt:variant>
      <vt:variant>
        <vt:i4>5898254</vt:i4>
      </vt:variant>
      <vt:variant>
        <vt:i4>54</vt:i4>
      </vt:variant>
      <vt:variant>
        <vt:i4>0</vt:i4>
      </vt:variant>
      <vt:variant>
        <vt:i4>5</vt:i4>
      </vt:variant>
      <vt:variant>
        <vt:lpwstr>https://tools.skillsforhealth.org.uk/suite/show/id/12</vt:lpwstr>
      </vt:variant>
      <vt:variant>
        <vt:lpwstr/>
      </vt:variant>
      <vt:variant>
        <vt:i4>2424846</vt:i4>
      </vt:variant>
      <vt:variant>
        <vt:i4>51</vt:i4>
      </vt:variant>
      <vt:variant>
        <vt:i4>0</vt:i4>
      </vt:variant>
      <vt:variant>
        <vt:i4>5</vt:i4>
      </vt:variant>
      <vt:variant>
        <vt:lpwstr>http://www.homeoffice.gov.uk/publications/police/operational-policing/pace-codes/_x000b_pace-code-c?view=Binary</vt:lpwstr>
      </vt:variant>
      <vt:variant>
        <vt:lpwstr/>
      </vt:variant>
      <vt:variant>
        <vt:i4>2752513</vt:i4>
      </vt:variant>
      <vt:variant>
        <vt:i4>48</vt:i4>
      </vt:variant>
      <vt:variant>
        <vt:i4>0</vt:i4>
      </vt:variant>
      <vt:variant>
        <vt:i4>5</vt:i4>
      </vt:variant>
      <vt:variant>
        <vt:lpwstr>http://police.homeoffice.gov.uk/publications/_x000b_operationalpolicing/2008_PACE_Code_C_(final)</vt:lpwstr>
      </vt:variant>
      <vt:variant>
        <vt:lpwstr/>
      </vt:variant>
      <vt:variant>
        <vt:i4>1572923</vt:i4>
      </vt:variant>
      <vt:variant>
        <vt:i4>45</vt:i4>
      </vt:variant>
      <vt:variant>
        <vt:i4>0</vt:i4>
      </vt:variant>
      <vt:variant>
        <vt:i4>5</vt:i4>
      </vt:variant>
      <vt:variant>
        <vt:lpwstr>http://police.homeoffice.gov.uk/publications/operational-policing/Safer_Detention_and_Handlin1.pdf</vt:lpwstr>
      </vt:variant>
      <vt:variant>
        <vt:lpwstr/>
      </vt:variant>
      <vt:variant>
        <vt:i4>5570635</vt:i4>
      </vt:variant>
      <vt:variant>
        <vt:i4>42</vt:i4>
      </vt:variant>
      <vt:variant>
        <vt:i4>0</vt:i4>
      </vt:variant>
      <vt:variant>
        <vt:i4>5</vt:i4>
      </vt:variant>
      <vt:variant>
        <vt:lpwstr>http://www.nio.gov.uk/index/public-consultation/archive-consultation.htm</vt:lpwstr>
      </vt:variant>
      <vt:variant>
        <vt:lpwstr/>
      </vt:variant>
      <vt:variant>
        <vt:i4>6357048</vt:i4>
      </vt:variant>
      <vt:variant>
        <vt:i4>39</vt:i4>
      </vt:variant>
      <vt:variant>
        <vt:i4>0</vt:i4>
      </vt:variant>
      <vt:variant>
        <vt:i4>5</vt:i4>
      </vt:variant>
      <vt:variant>
        <vt:lpwstr>http://police.homeoffice.gov.uk/operational-policing/powers-pace-codes/PACE-Review/</vt:lpwstr>
      </vt:variant>
      <vt:variant>
        <vt:lpwstr/>
      </vt:variant>
      <vt:variant>
        <vt:i4>4325378</vt:i4>
      </vt:variant>
      <vt:variant>
        <vt:i4>36</vt:i4>
      </vt:variant>
      <vt:variant>
        <vt:i4>0</vt:i4>
      </vt:variant>
      <vt:variant>
        <vt:i4>5</vt:i4>
      </vt:variant>
      <vt:variant>
        <vt:lpwstr>http://www.homeoffice.gov.uk/publications/police/operational-policing/pace-codes/?view=Standard&amp;pubID=810826</vt:lpwstr>
      </vt:variant>
      <vt:variant>
        <vt:lpwstr/>
      </vt:variant>
      <vt:variant>
        <vt:i4>5308450</vt:i4>
      </vt:variant>
      <vt:variant>
        <vt:i4>33</vt:i4>
      </vt:variant>
      <vt:variant>
        <vt:i4>0</vt:i4>
      </vt:variant>
      <vt:variant>
        <vt:i4>5</vt:i4>
      </vt:variant>
      <vt:variant>
        <vt:lpwstr>mailto:gaolinfo@sps.gov.uk</vt:lpwstr>
      </vt:variant>
      <vt:variant>
        <vt:lpwstr/>
      </vt:variant>
      <vt:variant>
        <vt:i4>7602239</vt:i4>
      </vt:variant>
      <vt:variant>
        <vt:i4>30</vt:i4>
      </vt:variant>
      <vt:variant>
        <vt:i4>0</vt:i4>
      </vt:variant>
      <vt:variant>
        <vt:i4>5</vt:i4>
      </vt:variant>
      <vt:variant>
        <vt:lpwstr>http://www.sps.gov.uk/Default.aspx?DocumentID=67e156ce-a4c9-49f5-a526-0dab421427f6</vt:lpwstr>
      </vt:variant>
      <vt:variant>
        <vt:lpwstr/>
      </vt:variant>
      <vt:variant>
        <vt:i4>2621542</vt:i4>
      </vt:variant>
      <vt:variant>
        <vt:i4>27</vt:i4>
      </vt:variant>
      <vt:variant>
        <vt:i4>0</vt:i4>
      </vt:variant>
      <vt:variant>
        <vt:i4>5</vt:i4>
      </vt:variant>
      <vt:variant>
        <vt:lpwstr>http://www.justice.gov.uk/noms-annual-report-accounts-09-10.htm</vt:lpwstr>
      </vt:variant>
      <vt:variant>
        <vt:lpwstr/>
      </vt:variant>
      <vt:variant>
        <vt:i4>2555910</vt:i4>
      </vt:variant>
      <vt:variant>
        <vt:i4>24</vt:i4>
      </vt:variant>
      <vt:variant>
        <vt:i4>0</vt:i4>
      </vt:variant>
      <vt:variant>
        <vt:i4>5</vt:i4>
      </vt:variant>
      <vt:variant>
        <vt:lpwstr>http://www.apt.ch/index.php?option=com_k2&amp;view=item&amp;id=873:the-united-kingdoms-national-preventive-mechanism&amp;Itemid=269&amp;lang=en</vt:lpwstr>
      </vt:variant>
      <vt:variant>
        <vt:lpwstr/>
      </vt:variant>
      <vt:variant>
        <vt:i4>2555939</vt:i4>
      </vt:variant>
      <vt:variant>
        <vt:i4>21</vt:i4>
      </vt:variant>
      <vt:variant>
        <vt:i4>0</vt:i4>
      </vt:variant>
      <vt:variant>
        <vt:i4>5</vt:i4>
      </vt:variant>
      <vt:variant>
        <vt:lpwstr>http://www.billywrightinquiry.org/</vt:lpwstr>
      </vt:variant>
      <vt:variant>
        <vt:lpwstr/>
      </vt:variant>
      <vt:variant>
        <vt:i4>2555939</vt:i4>
      </vt:variant>
      <vt:variant>
        <vt:i4>18</vt:i4>
      </vt:variant>
      <vt:variant>
        <vt:i4>0</vt:i4>
      </vt:variant>
      <vt:variant>
        <vt:i4>5</vt:i4>
      </vt:variant>
      <vt:variant>
        <vt:lpwstr>http://www.billywrightinquiry.org/</vt:lpwstr>
      </vt:variant>
      <vt:variant>
        <vt:lpwstr/>
      </vt:variant>
      <vt:variant>
        <vt:i4>7798832</vt:i4>
      </vt:variant>
      <vt:variant>
        <vt:i4>15</vt:i4>
      </vt:variant>
      <vt:variant>
        <vt:i4>0</vt:i4>
      </vt:variant>
      <vt:variant>
        <vt:i4>5</vt:i4>
      </vt:variant>
      <vt:variant>
        <vt:lpwstr>http://www.bloody-sunday-inquiry.org/index.html</vt:lpwstr>
      </vt:variant>
      <vt:variant>
        <vt:lpwstr/>
      </vt:variant>
      <vt:variant>
        <vt:i4>6815803</vt:i4>
      </vt:variant>
      <vt:variant>
        <vt:i4>12</vt:i4>
      </vt:variant>
      <vt:variant>
        <vt:i4>0</vt:i4>
      </vt:variant>
      <vt:variant>
        <vt:i4>5</vt:i4>
      </vt:variant>
      <vt:variant>
        <vt:lpwstr>http://www.official-documents.gov.uk/document/hc0506/hc07/0795/0795.asp</vt:lpwstr>
      </vt:variant>
      <vt:variant>
        <vt:lpwstr/>
      </vt:variant>
      <vt:variant>
        <vt:i4>4587596</vt:i4>
      </vt:variant>
      <vt:variant>
        <vt:i4>9</vt:i4>
      </vt:variant>
      <vt:variant>
        <vt:i4>0</vt:i4>
      </vt:variant>
      <vt:variant>
        <vt:i4>5</vt:i4>
      </vt:variant>
      <vt:variant>
        <vt:lpwstr>http://www.justice.gov.uk/publications/corston-report.htm</vt:lpwstr>
      </vt:variant>
      <vt:variant>
        <vt:lpwstr/>
      </vt:variant>
      <vt:variant>
        <vt:i4>6488175</vt:i4>
      </vt:variant>
      <vt:variant>
        <vt:i4>6</vt:i4>
      </vt:variant>
      <vt:variant>
        <vt:i4>0</vt:i4>
      </vt:variant>
      <vt:variant>
        <vt:i4>5</vt:i4>
      </vt:variant>
      <vt:variant>
        <vt:lpwstr>http://www.preventingcustodydeaths.org.uk/fulton_review_of_forum_for_preventing_deaths_in_custody.pdf</vt:lpwstr>
      </vt:variant>
      <vt:variant>
        <vt:lpwstr/>
      </vt:variant>
      <vt:variant>
        <vt:i4>2949222</vt:i4>
      </vt:variant>
      <vt:variant>
        <vt:i4>3</vt:i4>
      </vt:variant>
      <vt:variant>
        <vt:i4>0</vt:i4>
      </vt:variant>
      <vt:variant>
        <vt:i4>5</vt:i4>
      </vt:variant>
      <vt:variant>
        <vt:lpwstr>http://www.acpo.police.uk/</vt:lpwstr>
      </vt:variant>
      <vt:variant>
        <vt:lpwstr/>
      </vt:variant>
      <vt:variant>
        <vt:i4>393233</vt:i4>
      </vt:variant>
      <vt:variant>
        <vt:i4>0</vt:i4>
      </vt:variant>
      <vt:variant>
        <vt:i4>0</vt:i4>
      </vt:variant>
      <vt:variant>
        <vt:i4>5</vt:i4>
      </vt:variant>
      <vt:variant>
        <vt:lpwstr>http://www.publications.parliament.uk/pa/ld200809/ldjudgmt/jd090218/rbalge-1.htm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Nikita</dc:creator>
  <cp:keywords/>
  <cp:lastModifiedBy>CSD</cp:lastModifiedBy>
  <cp:revision>6</cp:revision>
  <cp:lastPrinted>2012-10-09T07:13:00Z</cp:lastPrinted>
  <dcterms:created xsi:type="dcterms:W3CDTF">2012-10-09T06:55:00Z</dcterms:created>
  <dcterms:modified xsi:type="dcterms:W3CDTF">2012-10-09T07:15:00Z</dcterms:modified>
</cp:coreProperties>
</file>