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0A2834D" w14:textId="77777777" w:rsidTr="00625C2D">
        <w:trPr>
          <w:trHeight w:hRule="exact" w:val="851"/>
        </w:trPr>
        <w:tc>
          <w:tcPr>
            <w:tcW w:w="1280" w:type="dxa"/>
            <w:tcBorders>
              <w:bottom w:val="single" w:sz="4" w:space="0" w:color="auto"/>
            </w:tcBorders>
          </w:tcPr>
          <w:p w14:paraId="516B86FB" w14:textId="77777777" w:rsidR="002D5AAC" w:rsidRDefault="002D5AAC" w:rsidP="00625C2D">
            <w:pPr>
              <w:kinsoku w:val="0"/>
              <w:overflowPunct w:val="0"/>
              <w:autoSpaceDE w:val="0"/>
              <w:autoSpaceDN w:val="0"/>
              <w:adjustRightInd w:val="0"/>
              <w:snapToGrid w:val="0"/>
            </w:pPr>
          </w:p>
        </w:tc>
        <w:tc>
          <w:tcPr>
            <w:tcW w:w="2273" w:type="dxa"/>
            <w:tcBorders>
              <w:bottom w:val="single" w:sz="4" w:space="0" w:color="auto"/>
            </w:tcBorders>
            <w:vAlign w:val="bottom"/>
          </w:tcPr>
          <w:p w14:paraId="25261DAE"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24D7587" w14:textId="1CBEC469" w:rsidR="002D5AAC" w:rsidRDefault="00625C2D" w:rsidP="00625C2D">
            <w:pPr>
              <w:jc w:val="right"/>
            </w:pPr>
            <w:r w:rsidRPr="00625C2D">
              <w:rPr>
                <w:sz w:val="40"/>
              </w:rPr>
              <w:t>E</w:t>
            </w:r>
            <w:r>
              <w:t>/C.12/RUS/RQ/7</w:t>
            </w:r>
          </w:p>
        </w:tc>
      </w:tr>
      <w:tr w:rsidR="002D5AAC" w14:paraId="30CDF6B2" w14:textId="77777777" w:rsidTr="00625C2D">
        <w:trPr>
          <w:trHeight w:hRule="exact" w:val="2835"/>
        </w:trPr>
        <w:tc>
          <w:tcPr>
            <w:tcW w:w="1280" w:type="dxa"/>
            <w:tcBorders>
              <w:top w:val="single" w:sz="4" w:space="0" w:color="auto"/>
              <w:bottom w:val="single" w:sz="12" w:space="0" w:color="auto"/>
            </w:tcBorders>
          </w:tcPr>
          <w:p w14:paraId="6593F0D8" w14:textId="77777777" w:rsidR="002D5AAC" w:rsidRDefault="00DC6544" w:rsidP="006E27AD">
            <w:pPr>
              <w:spacing w:before="120"/>
              <w:jc w:val="center"/>
            </w:pPr>
            <w:r>
              <w:rPr>
                <w:noProof/>
              </w:rPr>
              <w:drawing>
                <wp:inline distT="0" distB="0" distL="0" distR="0" wp14:anchorId="3FCB2503" wp14:editId="6F57B20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78B806E"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17F702E3" w14:textId="77777777" w:rsidR="002D5AAC" w:rsidRDefault="00625C2D" w:rsidP="006E27AD">
            <w:pPr>
              <w:spacing w:before="240"/>
            </w:pPr>
            <w:r>
              <w:t>Distr. general</w:t>
            </w:r>
          </w:p>
          <w:p w14:paraId="184CFCE4" w14:textId="77777777" w:rsidR="00625C2D" w:rsidRDefault="00625C2D" w:rsidP="00625C2D">
            <w:pPr>
              <w:spacing w:line="240" w:lineRule="exact"/>
            </w:pPr>
            <w:r>
              <w:t>19 de noviembre de 2024</w:t>
            </w:r>
          </w:p>
          <w:p w14:paraId="13C1DC6C" w14:textId="77777777" w:rsidR="00625C2D" w:rsidRDefault="00625C2D" w:rsidP="00625C2D">
            <w:pPr>
              <w:spacing w:line="240" w:lineRule="exact"/>
            </w:pPr>
            <w:r>
              <w:t>Español</w:t>
            </w:r>
          </w:p>
          <w:p w14:paraId="1EED0672" w14:textId="77777777" w:rsidR="00625C2D" w:rsidRDefault="00625C2D" w:rsidP="00625C2D">
            <w:pPr>
              <w:spacing w:line="240" w:lineRule="exact"/>
            </w:pPr>
            <w:r>
              <w:t>Original: ruso</w:t>
            </w:r>
          </w:p>
          <w:p w14:paraId="3DCB06BB" w14:textId="70FE2439" w:rsidR="00625C2D" w:rsidRDefault="00625C2D" w:rsidP="00625C2D">
            <w:pPr>
              <w:spacing w:line="240" w:lineRule="exact"/>
            </w:pPr>
            <w:r>
              <w:t>Español, francés, inglés y ruso únicamente</w:t>
            </w:r>
          </w:p>
        </w:tc>
      </w:tr>
    </w:tbl>
    <w:p w14:paraId="6FD2F704" w14:textId="77777777" w:rsidR="00625C2D" w:rsidRPr="00625C2D" w:rsidRDefault="00625C2D" w:rsidP="00625C2D">
      <w:pPr>
        <w:spacing w:before="120"/>
        <w:rPr>
          <w:b/>
          <w:bCs/>
          <w:sz w:val="24"/>
          <w:szCs w:val="24"/>
          <w:lang w:val="es-ES_tradnl"/>
        </w:rPr>
      </w:pPr>
      <w:r w:rsidRPr="00625C2D">
        <w:rPr>
          <w:b/>
          <w:bCs/>
          <w:sz w:val="24"/>
          <w:szCs w:val="24"/>
          <w:lang w:val="es-ES_tradnl"/>
        </w:rPr>
        <w:t>Comité de Derechos Económicos, Sociales y Culturales</w:t>
      </w:r>
    </w:p>
    <w:p w14:paraId="0B5B51F6" w14:textId="77777777" w:rsidR="00625C2D" w:rsidRPr="00625C2D" w:rsidRDefault="00625C2D" w:rsidP="00625C2D">
      <w:pPr>
        <w:rPr>
          <w:b/>
          <w:bCs/>
          <w:lang w:val="es-ES_tradnl"/>
        </w:rPr>
      </w:pPr>
      <w:r w:rsidRPr="00625C2D">
        <w:rPr>
          <w:b/>
          <w:bCs/>
          <w:lang w:val="es-ES_tradnl"/>
        </w:rPr>
        <w:t>78º período de sesiones</w:t>
      </w:r>
    </w:p>
    <w:p w14:paraId="4964076F" w14:textId="77777777" w:rsidR="00625C2D" w:rsidRPr="00625C2D" w:rsidRDefault="00625C2D" w:rsidP="00625C2D">
      <w:pPr>
        <w:rPr>
          <w:lang w:val="es-ES_tradnl"/>
        </w:rPr>
      </w:pPr>
      <w:r w:rsidRPr="00625C2D">
        <w:rPr>
          <w:lang w:val="es-ES_tradnl"/>
        </w:rPr>
        <w:t>Ginebra, 8 de septiembre a 3 de octubre de 2025</w:t>
      </w:r>
    </w:p>
    <w:p w14:paraId="1D7E0897" w14:textId="541AE6DB" w:rsidR="00625C2D" w:rsidRPr="00625C2D" w:rsidRDefault="00625C2D" w:rsidP="00625C2D">
      <w:pPr>
        <w:rPr>
          <w:b/>
          <w:bCs/>
          <w:lang w:val="es-ES_tradnl"/>
        </w:rPr>
      </w:pPr>
      <w:r w:rsidRPr="00625C2D">
        <w:rPr>
          <w:b/>
          <w:bCs/>
          <w:lang w:val="es-ES_tradnl"/>
        </w:rPr>
        <w:t>Examen de los informes: informes presentados por los Estados</w:t>
      </w:r>
      <w:r>
        <w:rPr>
          <w:b/>
          <w:bCs/>
          <w:lang w:val="es-ES_tradnl"/>
        </w:rPr>
        <w:br/>
      </w:r>
      <w:r w:rsidRPr="00625C2D">
        <w:rPr>
          <w:b/>
          <w:bCs/>
          <w:lang w:val="es-ES_tradnl"/>
        </w:rPr>
        <w:t>partes en virtud de los artículos 16 y 17 del Pacto</w:t>
      </w:r>
    </w:p>
    <w:p w14:paraId="071C457A" w14:textId="6C354B11" w:rsidR="00625C2D" w:rsidRPr="00625C2D" w:rsidRDefault="00625C2D" w:rsidP="00625C2D">
      <w:pPr>
        <w:pStyle w:val="HMG"/>
        <w:rPr>
          <w:lang w:val="es-ES_tradnl"/>
        </w:rPr>
      </w:pPr>
      <w:r>
        <w:rPr>
          <w:lang w:val="es-ES_tradnl"/>
        </w:rPr>
        <w:tab/>
      </w:r>
      <w:r w:rsidRPr="00625C2D">
        <w:rPr>
          <w:lang w:val="es-ES_tradnl"/>
        </w:rPr>
        <w:tab/>
        <w:t>Respuestas de la Federación de Rusia</w:t>
      </w:r>
      <w:r>
        <w:rPr>
          <w:lang w:val="es-ES_tradnl"/>
        </w:rPr>
        <w:t xml:space="preserve"> </w:t>
      </w:r>
      <w:r w:rsidRPr="00625C2D">
        <w:rPr>
          <w:lang w:val="es-ES_tradnl"/>
        </w:rPr>
        <w:t>a la lista</w:t>
      </w:r>
      <w:r>
        <w:rPr>
          <w:lang w:val="es-ES_tradnl"/>
        </w:rPr>
        <w:br/>
      </w:r>
      <w:r w:rsidRPr="00625C2D">
        <w:rPr>
          <w:lang w:val="es-ES_tradnl"/>
        </w:rPr>
        <w:t>de cuestiones relativa a su séptimo informe periódico</w:t>
      </w:r>
      <w:r w:rsidRPr="00625C2D">
        <w:rPr>
          <w:rStyle w:val="Refdenotaalpie"/>
          <w:b w:val="0"/>
          <w:bCs/>
          <w:sz w:val="20"/>
          <w:vertAlign w:val="baseline"/>
          <w:lang w:val="es-ES_tradnl"/>
        </w:rPr>
        <w:footnoteReference w:customMarkFollows="1" w:id="1"/>
        <w:t>*</w:t>
      </w:r>
    </w:p>
    <w:p w14:paraId="62A20AC5" w14:textId="77777777" w:rsidR="00625C2D" w:rsidRPr="00625C2D" w:rsidRDefault="00625C2D" w:rsidP="00625C2D">
      <w:pPr>
        <w:pStyle w:val="SingleTxtG"/>
        <w:jc w:val="right"/>
        <w:rPr>
          <w:lang w:val="es-ES_tradnl"/>
        </w:rPr>
      </w:pPr>
      <w:r w:rsidRPr="00625C2D">
        <w:rPr>
          <w:lang w:val="es-ES_tradnl"/>
        </w:rPr>
        <w:t>[Fecha de recepción: 25 de octubre de 2024]</w:t>
      </w:r>
    </w:p>
    <w:p w14:paraId="7D842345" w14:textId="77777777" w:rsidR="00625C2D" w:rsidRPr="00625C2D" w:rsidRDefault="00625C2D" w:rsidP="00625C2D">
      <w:pPr>
        <w:pStyle w:val="SingleTxtG"/>
        <w:rPr>
          <w:lang w:val="es-ES_tradnl"/>
        </w:rPr>
      </w:pPr>
      <w:r w:rsidRPr="00625C2D">
        <w:rPr>
          <w:lang w:val="es-ES_tradnl"/>
        </w:rPr>
        <w:br w:type="page"/>
      </w:r>
    </w:p>
    <w:p w14:paraId="514A09FF" w14:textId="51269169" w:rsidR="00625C2D" w:rsidRPr="00625C2D" w:rsidRDefault="00625C2D" w:rsidP="00625C2D">
      <w:pPr>
        <w:pStyle w:val="H1G"/>
        <w:rPr>
          <w:lang w:val="es-ES_tradnl"/>
        </w:rPr>
      </w:pPr>
      <w:r w:rsidRPr="00625C2D">
        <w:rPr>
          <w:lang w:val="es-ES_tradnl"/>
        </w:rPr>
        <w:lastRenderedPageBreak/>
        <w:tab/>
        <w:t>A.</w:t>
      </w:r>
      <w:r w:rsidRPr="00625C2D">
        <w:rPr>
          <w:lang w:val="es-ES_tradnl"/>
        </w:rPr>
        <w:tab/>
        <w:t>Información general</w:t>
      </w:r>
    </w:p>
    <w:p w14:paraId="206E6643" w14:textId="77777777" w:rsidR="00625C2D" w:rsidRPr="00625C2D" w:rsidRDefault="00625C2D" w:rsidP="00625C2D">
      <w:pPr>
        <w:pStyle w:val="SingleTxtG"/>
        <w:rPr>
          <w:lang w:val="es-ES_tradnl"/>
        </w:rPr>
      </w:pPr>
      <w:r w:rsidRPr="00625C2D">
        <w:rPr>
          <w:lang w:val="es-ES_tradnl"/>
        </w:rPr>
        <w:t>1.</w:t>
      </w:r>
      <w:r w:rsidRPr="00625C2D">
        <w:rPr>
          <w:lang w:val="es-ES_tradnl"/>
        </w:rPr>
        <w:tab/>
        <w:t>La Defensora de los Derechos Humanos de la Federación de Rusia se rige en su labor por lo dispuesto en la Constitución rusa, la Ley Constitucional Federal núm. 1-FKZ del Defensor de los Derechos Humanos de la Federación de Rusia, de 26 de febrero de 1997, la legislación federal, los principios y normas del derecho internacional y los tratados internacionales en que es parte la Federación de Rusa.</w:t>
      </w:r>
    </w:p>
    <w:p w14:paraId="4655DE06" w14:textId="4E820360" w:rsidR="00625C2D" w:rsidRPr="00625C2D" w:rsidRDefault="00625C2D" w:rsidP="00625C2D">
      <w:pPr>
        <w:pStyle w:val="SingleTxtG"/>
        <w:rPr>
          <w:lang w:val="es-ES_tradnl"/>
        </w:rPr>
      </w:pPr>
      <w:r w:rsidRPr="00625C2D">
        <w:rPr>
          <w:lang w:val="es-ES_tradnl"/>
        </w:rPr>
        <w:t>2.</w:t>
      </w:r>
      <w:r w:rsidRPr="00625C2D">
        <w:rPr>
          <w:lang w:val="es-ES_tradnl"/>
        </w:rPr>
        <w:tab/>
        <w:t xml:space="preserve">Se está estableciendo a nivel federal un sistema informático público de los defensores de los derechos humanos que permite habilitar una interfaz de comunicación unificada basada en el principio de </w:t>
      </w:r>
      <w:r w:rsidR="00680C36">
        <w:rPr>
          <w:lang w:val="es-ES_tradnl"/>
        </w:rPr>
        <w:t>“</w:t>
      </w:r>
      <w:r w:rsidRPr="00625C2D">
        <w:rPr>
          <w:lang w:val="es-ES_tradnl"/>
        </w:rPr>
        <w:t>ventanilla única</w:t>
      </w:r>
      <w:r w:rsidR="00680C36">
        <w:rPr>
          <w:lang w:val="es-ES_tradnl"/>
        </w:rPr>
        <w:t>”</w:t>
      </w:r>
      <w:r w:rsidRPr="00625C2D">
        <w:rPr>
          <w:lang w:val="es-ES_tradnl"/>
        </w:rPr>
        <w:t>, realizar consultas en línea, prestar asistencia en línea a los usuarios del sistema, automatizar los procesos de registro, almacenamiento, análisis y archivo de las comunicaciones presentadas por los ciudadanos y los documentos pertinentes, automatizar los procesos de intercambio de información entre los defensores de los derechos humanos y entre los defensores y los organismos públicos y otras organizaciones competentes en materia de protección de los derechos y las libertades, automatizar la supervisión de los medios de comunicación y los medios sociales con el fin de detectar posibles vulneraciones de los derechos y las libertades de la persona y del ciudadano, crear una base de datos sobre la legislación relacionada con los derechos y las libertades de la persona y del ciudadano y hacer búsquedas rápidas de datos estadísticos actuales y estimaciones con el fin de llevar un seguimiento de los procesos relacionados con la protección de los derechos y las libertades, hacer previsiones al respecto y gestionar dichos procesos.</w:t>
      </w:r>
    </w:p>
    <w:p w14:paraId="6733632B" w14:textId="77777777" w:rsidR="00625C2D" w:rsidRPr="00625C2D" w:rsidRDefault="00625C2D" w:rsidP="00625C2D">
      <w:pPr>
        <w:pStyle w:val="SingleTxtG"/>
        <w:rPr>
          <w:lang w:val="es-ES_tradnl"/>
        </w:rPr>
      </w:pPr>
      <w:r w:rsidRPr="00625C2D">
        <w:rPr>
          <w:lang w:val="es-ES_tradnl"/>
        </w:rPr>
        <w:t>3.</w:t>
      </w:r>
      <w:r w:rsidRPr="00625C2D">
        <w:rPr>
          <w:lang w:val="es-ES_tradnl"/>
        </w:rPr>
        <w:tab/>
        <w:t>Del presupuesto federal se destinan fondos para las actividades de la Defensora de los Derechos Humanos de la Federación de Rusia y el personal de la Defensoría. Tanto la Defensora como el personal de la Defensoría tienen asegurado un servicio de transporte. En las oficinas de la Defensora de los Derechos Humanos de la Federación de Rusia —la Casa de los Derechos Humanos— hay un centro de situación desde el que se pueden organizar videoconferencias multilaterales para que los habitantes de regiones remotas del país y los nacionales de la Federación de Rusia residentes en el extranjero puedan comunicarse con la Defensora, el personal de la Defensoría, los defensores regionales de los derechos humanos y representantes de las autoridades de todos los niveles.</w:t>
      </w:r>
    </w:p>
    <w:p w14:paraId="39706467" w14:textId="77777777" w:rsidR="00625C2D" w:rsidRPr="00625C2D" w:rsidRDefault="00625C2D" w:rsidP="00625C2D">
      <w:pPr>
        <w:pStyle w:val="SingleTxtG"/>
        <w:rPr>
          <w:lang w:val="es-ES_tradnl"/>
        </w:rPr>
      </w:pPr>
      <w:r w:rsidRPr="00625C2D">
        <w:rPr>
          <w:lang w:val="es-ES_tradnl"/>
        </w:rPr>
        <w:t>4.</w:t>
      </w:r>
      <w:r w:rsidRPr="00625C2D">
        <w:rPr>
          <w:lang w:val="es-ES_tradnl"/>
        </w:rPr>
        <w:tab/>
        <w:t>La zona de atención al público está equipada con un sistema electrónico de gestión de turnos, acceso a sistemas de información jurídica y un rincón de juegos para niños y es accesible para personas con discapacidad.</w:t>
      </w:r>
    </w:p>
    <w:p w14:paraId="27C89FF5" w14:textId="07409F7D" w:rsidR="00625C2D" w:rsidRPr="00625C2D" w:rsidRDefault="00625C2D" w:rsidP="00625C2D">
      <w:pPr>
        <w:pStyle w:val="SingleTxtG"/>
        <w:rPr>
          <w:lang w:val="es-ES_tradnl"/>
        </w:rPr>
      </w:pPr>
      <w:r w:rsidRPr="00625C2D">
        <w:rPr>
          <w:lang w:val="es-ES_tradnl"/>
        </w:rPr>
        <w:t>5.</w:t>
      </w:r>
      <w:r w:rsidRPr="00625C2D">
        <w:rPr>
          <w:lang w:val="es-ES_tradnl"/>
        </w:rPr>
        <w:tab/>
        <w:t>La Defensora cuenta con personal suficiente, a saber: una plantilla de 250 personas. Actualmente, el 99</w:t>
      </w:r>
      <w:r w:rsidR="000C0D06">
        <w:rPr>
          <w:lang w:val="es-ES_tradnl"/>
        </w:rPr>
        <w:t xml:space="preserve"> </w:t>
      </w:r>
      <w:r w:rsidRPr="00625C2D">
        <w:rPr>
          <w:lang w:val="es-ES_tradnl"/>
        </w:rPr>
        <w:t>% de los funcionarios y empleados de la Defensoría tienen estudios superiores, y entre ellos hay 3 doctores superiores y 25 doctores. La mayoría de los funcionarios y empleados llevan diez o más años trabajando en la Defensoría.</w:t>
      </w:r>
    </w:p>
    <w:p w14:paraId="56AD39FE" w14:textId="3C0018A5" w:rsidR="00625C2D" w:rsidRPr="00625C2D" w:rsidRDefault="00625C2D" w:rsidP="00625C2D">
      <w:pPr>
        <w:pStyle w:val="SingleTxtG"/>
        <w:rPr>
          <w:lang w:val="es-ES_tradnl"/>
        </w:rPr>
      </w:pPr>
      <w:r w:rsidRPr="00625C2D">
        <w:rPr>
          <w:lang w:val="es-ES_tradnl"/>
        </w:rPr>
        <w:t>6.</w:t>
      </w:r>
      <w:r w:rsidRPr="00625C2D">
        <w:rPr>
          <w:lang w:val="es-ES_tradnl"/>
        </w:rPr>
        <w:tab/>
        <w:t xml:space="preserve">Con el fin de mejorar la situación ambiental del país, desde 2019 se viene ejecutando un proyecto federal titulado </w:t>
      </w:r>
      <w:r w:rsidR="00680C36">
        <w:rPr>
          <w:lang w:val="es-ES_tradnl"/>
        </w:rPr>
        <w:t>“</w:t>
      </w:r>
      <w:r w:rsidRPr="00625C2D">
        <w:rPr>
          <w:lang w:val="es-ES_tradnl"/>
        </w:rPr>
        <w:t>Aire limpio</w:t>
      </w:r>
      <w:r w:rsidR="00680C36">
        <w:rPr>
          <w:lang w:val="es-ES_tradnl"/>
        </w:rPr>
        <w:t>”</w:t>
      </w:r>
      <w:r w:rsidRPr="00625C2D">
        <w:rPr>
          <w:lang w:val="es-ES_tradnl"/>
        </w:rPr>
        <w:t>, que tiene como objetivo crear unas condiciones normativas, financieras y organizativas favorables para que las empresas renueven las instalaciones y los procesos de producción con ayuda de las mejores tecnologías disponibles para cumplir las normativas ambientales, velar por que se adopten medidas destinadas a mejorar la calidad del aire y reducir las emisiones de sustancias contaminantes peligrosas. Desde que se empezó a ejecutar el proyecto se han logrado reducir las emisiones de sustancias contaminantes en 12 ciudades del país.</w:t>
      </w:r>
    </w:p>
    <w:p w14:paraId="4E96A3C2" w14:textId="4ED8FF6A" w:rsidR="00625C2D" w:rsidRPr="00625C2D" w:rsidRDefault="00625C2D" w:rsidP="00625C2D">
      <w:pPr>
        <w:pStyle w:val="SingleTxtG"/>
        <w:rPr>
          <w:lang w:val="es-ES_tradnl"/>
        </w:rPr>
      </w:pPr>
      <w:r w:rsidRPr="00625C2D">
        <w:rPr>
          <w:lang w:val="es-ES_tradnl"/>
        </w:rPr>
        <w:t>7.</w:t>
      </w:r>
      <w:r w:rsidRPr="00625C2D">
        <w:rPr>
          <w:lang w:val="es-ES_tradnl"/>
        </w:rPr>
        <w:tab/>
        <w:t>En todos los núcleos de población del país, los fiscales están llevando a cabo actividades de vigilancia para comprobar si las autoridades y otras organizaciones respetan la legislación en materia de protección del aire, lo que ha contribuido a mejorar las infraestructuras; asimismo, se han construido 138 instalaciones de tratamiento y otras 48</w:t>
      </w:r>
      <w:r w:rsidR="00560BD1">
        <w:rPr>
          <w:lang w:val="es-ES_tradnl"/>
        </w:rPr>
        <w:t> </w:t>
      </w:r>
      <w:r w:rsidRPr="00625C2D">
        <w:rPr>
          <w:lang w:val="es-ES_tradnl"/>
        </w:rPr>
        <w:t>están en proceso de construcción.</w:t>
      </w:r>
    </w:p>
    <w:p w14:paraId="04152531" w14:textId="77777777" w:rsidR="00625C2D" w:rsidRPr="00625C2D" w:rsidRDefault="00625C2D" w:rsidP="00625C2D">
      <w:pPr>
        <w:pStyle w:val="SingleTxtG"/>
        <w:rPr>
          <w:lang w:val="es-ES_tradnl"/>
        </w:rPr>
      </w:pPr>
      <w:r w:rsidRPr="00625C2D">
        <w:rPr>
          <w:lang w:val="es-ES_tradnl"/>
        </w:rPr>
        <w:t>8.</w:t>
      </w:r>
      <w:r w:rsidRPr="00625C2D">
        <w:rPr>
          <w:lang w:val="es-ES_tradnl"/>
        </w:rPr>
        <w:tab/>
        <w:t xml:space="preserve">Con el fin de mejorar el nivel de preparación ante los desastres naturales y reducir el riesgo de que se produzcan, se lleva a cabo con carácter periódico una labor de vigilancia de la aplicación de la legislación a la hora de organizar actividades para prevenir riadas e inundaciones y hacer frente a sus efectos. Con la adopción de medidas de intervención fiscal </w:t>
      </w:r>
      <w:r w:rsidRPr="00625C2D">
        <w:rPr>
          <w:lang w:val="es-ES_tradnl"/>
        </w:rPr>
        <w:lastRenderedPageBreak/>
        <w:t>se obliga a las autoridades competentes a tomar medidas para evitar riadas, mejorar el monitoreo y la previsión hidrológicos y hacer más eficaz la transmisión de datos de observación hidrológica. Con el fin de establecer un régimen especial relativo al uso de los territorios afectados por catástrofes relacionadas con el agua y desprovistos de infraestructuras y/o métodos de ingeniería ambiental, se están determinando zonas inundables cuyos límites se inscriben en el Registro Estatal Unificado de Bienes Inmuebles y se reflejan en los documentos de planificación territorial y zonificación de conformidad con lo dispuesto en la legislación en materia de ordenamiento urbano.</w:t>
      </w:r>
    </w:p>
    <w:p w14:paraId="3A4088DD" w14:textId="16DEE1F4" w:rsidR="00625C2D" w:rsidRPr="00625C2D" w:rsidRDefault="00625C2D" w:rsidP="00625C2D">
      <w:pPr>
        <w:pStyle w:val="SingleTxtG"/>
        <w:rPr>
          <w:lang w:val="es-ES_tradnl"/>
        </w:rPr>
      </w:pPr>
      <w:r w:rsidRPr="00625C2D">
        <w:rPr>
          <w:lang w:val="es-ES_tradnl"/>
        </w:rPr>
        <w:t>9.</w:t>
      </w:r>
      <w:r w:rsidRPr="00625C2D">
        <w:rPr>
          <w:lang w:val="es-ES_tradnl"/>
        </w:rPr>
        <w:tab/>
        <w:t>En la Federación de Rusia se han elaborado y se están aplicando planes de adaptación</w:t>
      </w:r>
      <w:r w:rsidR="00560BD1">
        <w:rPr>
          <w:lang w:val="es-ES_tradnl"/>
        </w:rPr>
        <w:t> </w:t>
      </w:r>
      <w:r w:rsidRPr="00625C2D">
        <w:rPr>
          <w:lang w:val="es-ES_tradnl"/>
        </w:rPr>
        <w:t>al cambio climático a nivel federal, sectorial y regional. Mediante la Disposición núm. 559-r del Gobierno, de 11 de marzo de 2023, se aprobó el Plan de Acción Nacional para la Segunda Fase de la Adaptación al Cambio Climático hasta el Año 2025.</w:t>
      </w:r>
    </w:p>
    <w:p w14:paraId="58CF6BBD" w14:textId="77777777" w:rsidR="00625C2D" w:rsidRPr="00625C2D" w:rsidRDefault="00625C2D" w:rsidP="00625C2D">
      <w:pPr>
        <w:pStyle w:val="SingleTxtG"/>
        <w:rPr>
          <w:lang w:val="es-ES_tradnl"/>
        </w:rPr>
      </w:pPr>
      <w:r w:rsidRPr="00625C2D">
        <w:rPr>
          <w:lang w:val="es-ES_tradnl"/>
        </w:rPr>
        <w:t>10.</w:t>
      </w:r>
      <w:r w:rsidRPr="00625C2D">
        <w:rPr>
          <w:lang w:val="es-ES_tradnl"/>
        </w:rPr>
        <w:tab/>
        <w:t>Entre los objetivos de dicho plan se incluyen los siguientes: actualizar los planes de adaptación sectoriales y regionales teniendo en cuenta los resultados logrados durante la primera fase, mejorar el sistema de seguros habida cuenta de los riesgos de desastres naturales, crear e introducir nuevas soluciones tecnológicas orientadas a la investigación sobre el clima, elaborar una lista de las mejores prácticas rusas e internacionales para adaptar los sectores de la economía al cambio climático y someter a seguimiento y evaluar con carácter anual el impacto de las medidas de adaptación que ya se estén adoptando. También está previsto que se elaboren programas de educación superior, reciclaje profesional y formación continua sobre los riesgos climáticos y la adaptación de diversos sectores de la economía al cambio climático.</w:t>
      </w:r>
    </w:p>
    <w:p w14:paraId="28650941" w14:textId="77777777" w:rsidR="00625C2D" w:rsidRPr="00625C2D" w:rsidRDefault="00625C2D" w:rsidP="00625C2D">
      <w:pPr>
        <w:pStyle w:val="SingleTxtG"/>
        <w:rPr>
          <w:lang w:val="es-ES_tradnl"/>
        </w:rPr>
      </w:pPr>
      <w:r w:rsidRPr="00625C2D">
        <w:rPr>
          <w:lang w:val="es-ES_tradnl"/>
        </w:rPr>
        <w:t>11.</w:t>
      </w:r>
      <w:r w:rsidRPr="00625C2D">
        <w:rPr>
          <w:lang w:val="es-ES_tradnl"/>
        </w:rPr>
        <w:tab/>
        <w:t>En el marco de la ejecución de este plan nacional, el Ministerio de Salud aprobó un plan sectorial de adaptación al cambio climático para el período 2022-2030 que incluye una serie de medidas prioritarias en materia de adaptación, entre ellas: reforzar el departamento de infectología teniendo en cuenta las previsiones de la evolución de la situación epidemiológica; mejorar la fiabilidad energética y la eficiencia energética de los edificios y demás instalaciones de los centros médicos; renovar y reformar diversos edificios y equiparlos con modernos sistemas de ventilación y aire acondicionado; y elaborar y poner en marcha una campaña de comunicación centrada en el impacto que tienen sobre la salud los factores de riesgo relacionados con el clima.</w:t>
      </w:r>
    </w:p>
    <w:p w14:paraId="4720C30D" w14:textId="77777777" w:rsidR="00625C2D" w:rsidRPr="00625C2D" w:rsidRDefault="00625C2D" w:rsidP="00625C2D">
      <w:pPr>
        <w:pStyle w:val="SingleTxtG"/>
        <w:rPr>
          <w:lang w:val="es-ES_tradnl"/>
        </w:rPr>
      </w:pPr>
      <w:r w:rsidRPr="00625C2D">
        <w:rPr>
          <w:lang w:val="es-ES_tradnl"/>
        </w:rPr>
        <w:t>12.</w:t>
      </w:r>
      <w:r w:rsidRPr="00625C2D">
        <w:rPr>
          <w:lang w:val="es-ES_tradnl"/>
        </w:rPr>
        <w:tab/>
        <w:t>Uno de los principales objetivos de la Política Climática de la Federación de Rusia, aprobada por el Decreto Presidencial núm. 812, de 26 de octubre de 2023, consiste en elaborar y adoptar sin demora medidas de adaptación a largo plazo.</w:t>
      </w:r>
    </w:p>
    <w:p w14:paraId="4EE7ABA7" w14:textId="77777777" w:rsidR="00625C2D" w:rsidRPr="00625C2D" w:rsidRDefault="00625C2D" w:rsidP="00625C2D">
      <w:pPr>
        <w:pStyle w:val="SingleTxtG"/>
        <w:rPr>
          <w:lang w:val="es-ES_tradnl"/>
        </w:rPr>
      </w:pPr>
      <w:r w:rsidRPr="00625C2D">
        <w:rPr>
          <w:lang w:val="es-ES_tradnl"/>
        </w:rPr>
        <w:t>13.</w:t>
      </w:r>
      <w:r w:rsidRPr="00625C2D">
        <w:rPr>
          <w:lang w:val="es-ES_tradnl"/>
        </w:rPr>
        <w:tab/>
        <w:t>Mediante la Disposición núm. 3240-r del Gobierno, de 29 de octubre de 2022, se aprobó un importantísimo proyecto de innovación a escala nacional —el sistema nacional unificado de monitoreo de sustancias que afectan al clima—, que tiene por objeto llevar un seguimiento de estas sustancias adoptando medidas científicas, normativas e infraestructurales de recopilación, procesamiento, análisis, almacenamiento y uso de datos observados y previsiones fiables y reconocidos internacionalmente para evaluar de forma objetiva los flujos antropógenos y naturales de sustancias que afectan al clima en el territorio de la Federación de Rusia, su concentración en la atmósfera y sus efectos sobre el clima a nivel mundial y regional, así como elaborar un marco orientativo que se pueda emplear posteriormente con carácter sistemático para adoptar medidas encaminadas a lograr una transformación ecológica y con bajas emisiones de los sectores de la economía rusa, adaptar la economía y la población del país al cambio climático y defender las posiciones rusas en los foros internacionales.</w:t>
      </w:r>
    </w:p>
    <w:p w14:paraId="28B10F05" w14:textId="25DE0305" w:rsidR="00625C2D" w:rsidRPr="00625C2D" w:rsidRDefault="00625C2D" w:rsidP="00625C2D">
      <w:pPr>
        <w:pStyle w:val="H1G"/>
        <w:rPr>
          <w:lang w:val="es-ES_tradnl"/>
        </w:rPr>
      </w:pPr>
      <w:r w:rsidRPr="00625C2D">
        <w:rPr>
          <w:lang w:val="es-ES_tradnl"/>
        </w:rPr>
        <w:tab/>
        <w:t>В.</w:t>
      </w:r>
      <w:r w:rsidRPr="00625C2D">
        <w:rPr>
          <w:lang w:val="es-ES_tradnl"/>
        </w:rPr>
        <w:tab/>
        <w:t>Cuestiones relativas a las disposiciones generales del Pacto</w:t>
      </w:r>
      <w:r>
        <w:rPr>
          <w:lang w:val="es-ES_tradnl"/>
        </w:rPr>
        <w:br/>
      </w:r>
      <w:r w:rsidRPr="00625C2D">
        <w:rPr>
          <w:lang w:val="es-ES_tradnl"/>
        </w:rPr>
        <w:t>(arts. 1 a 5)</w:t>
      </w:r>
    </w:p>
    <w:p w14:paraId="2B99F521" w14:textId="7DD50284" w:rsidR="00625C2D" w:rsidRPr="00625C2D" w:rsidRDefault="00625C2D" w:rsidP="00625C2D">
      <w:pPr>
        <w:pStyle w:val="SingleTxtG"/>
        <w:rPr>
          <w:lang w:val="es-ES_tradnl"/>
        </w:rPr>
      </w:pPr>
      <w:r w:rsidRPr="00625C2D">
        <w:rPr>
          <w:lang w:val="es-ES_tradnl"/>
        </w:rPr>
        <w:t>14.</w:t>
      </w:r>
      <w:r w:rsidRPr="00625C2D">
        <w:rPr>
          <w:lang w:val="es-ES_tradnl"/>
        </w:rPr>
        <w:tab/>
        <w:t>En 2023, la tasa de pobreza se situó en un 8,5</w:t>
      </w:r>
      <w:r w:rsidR="00560BD1">
        <w:rPr>
          <w:lang w:val="es-ES_tradnl"/>
        </w:rPr>
        <w:t xml:space="preserve"> </w:t>
      </w:r>
      <w:r w:rsidRPr="00625C2D">
        <w:rPr>
          <w:lang w:val="es-ES_tradnl"/>
        </w:rPr>
        <w:t>%, esto es, un 0,5</w:t>
      </w:r>
      <w:r w:rsidR="00560BD1">
        <w:rPr>
          <w:lang w:val="es-ES_tradnl"/>
        </w:rPr>
        <w:t xml:space="preserve"> </w:t>
      </w:r>
      <w:r w:rsidRPr="00625C2D">
        <w:rPr>
          <w:lang w:val="es-ES_tradnl"/>
        </w:rPr>
        <w:t>% menos que en 2022. Asimismo, la población de bajos ingresos estaba constituida por 12,4 millones de personas, lo que supuso una disminución de 0,9 millones de personas en comparación con 2022. Desde</w:t>
      </w:r>
      <w:r w:rsidR="00560BD1">
        <w:rPr>
          <w:lang w:val="es-ES_tradnl"/>
        </w:rPr>
        <w:t> </w:t>
      </w:r>
      <w:r w:rsidRPr="00625C2D">
        <w:rPr>
          <w:lang w:val="es-ES_tradnl"/>
        </w:rPr>
        <w:t>2017, 6,8 millones de personas han salido de la pobreza, lo que supone una reducción del 4,5</w:t>
      </w:r>
      <w:r w:rsidR="00560BD1">
        <w:rPr>
          <w:lang w:val="es-ES_tradnl"/>
        </w:rPr>
        <w:t xml:space="preserve"> </w:t>
      </w:r>
      <w:r w:rsidRPr="00625C2D">
        <w:rPr>
          <w:lang w:val="es-ES_tradnl"/>
        </w:rPr>
        <w:t>% desde 2017.</w:t>
      </w:r>
    </w:p>
    <w:p w14:paraId="4C5DC350" w14:textId="06D9CC71" w:rsidR="00625C2D" w:rsidRPr="00625C2D" w:rsidRDefault="00625C2D" w:rsidP="00625C2D">
      <w:pPr>
        <w:pStyle w:val="SingleTxtG"/>
        <w:rPr>
          <w:lang w:val="es-ES_tradnl"/>
        </w:rPr>
      </w:pPr>
      <w:r w:rsidRPr="00625C2D">
        <w:rPr>
          <w:lang w:val="es-ES_tradnl"/>
        </w:rPr>
        <w:lastRenderedPageBreak/>
        <w:t>15.</w:t>
      </w:r>
      <w:r w:rsidRPr="00625C2D">
        <w:rPr>
          <w:lang w:val="es-ES_tradnl"/>
        </w:rPr>
        <w:tab/>
        <w:t>Entre 2014 y 2023, 3,9 millones de personas salieron de la pobreza. Mientras que en</w:t>
      </w:r>
      <w:r w:rsidR="00560BD1">
        <w:rPr>
          <w:lang w:val="es-ES_tradnl"/>
        </w:rPr>
        <w:t> </w:t>
      </w:r>
      <w:r w:rsidRPr="00625C2D">
        <w:rPr>
          <w:lang w:val="es-ES_tradnl"/>
        </w:rPr>
        <w:t>2014 había 16,3 millones de personas viviendo en la pobreza, en 2023 esa cifra descendió a 12,4 millones. La tasa de pobreza en 2014 se situaba en el 11,3</w:t>
      </w:r>
      <w:r w:rsidR="00560BD1">
        <w:rPr>
          <w:lang w:val="es-ES_tradnl"/>
        </w:rPr>
        <w:t xml:space="preserve"> </w:t>
      </w:r>
      <w:r w:rsidRPr="00625C2D">
        <w:rPr>
          <w:lang w:val="es-ES_tradnl"/>
        </w:rPr>
        <w:t>% y en 2023, en el 8,5</w:t>
      </w:r>
      <w:r w:rsidR="00560BD1">
        <w:rPr>
          <w:lang w:val="es-ES_tradnl"/>
        </w:rPr>
        <w:t xml:space="preserve"> </w:t>
      </w:r>
      <w:r w:rsidRPr="00625C2D">
        <w:rPr>
          <w:lang w:val="es-ES_tradnl"/>
        </w:rPr>
        <w:t>%, esto es, un 2,8</w:t>
      </w:r>
      <w:r w:rsidR="00560BD1">
        <w:rPr>
          <w:lang w:val="es-ES_tradnl"/>
        </w:rPr>
        <w:t xml:space="preserve"> </w:t>
      </w:r>
      <w:r w:rsidRPr="00625C2D">
        <w:rPr>
          <w:lang w:val="es-ES_tradnl"/>
        </w:rPr>
        <w:t>% menos.</w:t>
      </w:r>
    </w:p>
    <w:p w14:paraId="441AA31D" w14:textId="77777777" w:rsidR="00625C2D" w:rsidRPr="00625C2D" w:rsidRDefault="00625C2D" w:rsidP="00625C2D">
      <w:pPr>
        <w:pStyle w:val="SingleTxtG"/>
        <w:rPr>
          <w:lang w:val="es-ES_tradnl"/>
        </w:rPr>
      </w:pPr>
      <w:r w:rsidRPr="00625C2D">
        <w:rPr>
          <w:lang w:val="es-ES_tradnl"/>
        </w:rPr>
        <w:t>16.</w:t>
      </w:r>
      <w:r w:rsidRPr="00625C2D">
        <w:rPr>
          <w:lang w:val="es-ES_tradnl"/>
        </w:rPr>
        <w:tab/>
        <w:t>En el anexo figura información sobre la evolución de la relación entre la deuda pública y el producto interno bruto a lo largo de los últimos diez años.</w:t>
      </w:r>
    </w:p>
    <w:p w14:paraId="4CF05B36" w14:textId="38E4D15E" w:rsidR="00625C2D" w:rsidRPr="00625C2D" w:rsidRDefault="00625C2D" w:rsidP="00625C2D">
      <w:pPr>
        <w:pStyle w:val="SingleTxtG"/>
        <w:rPr>
          <w:lang w:val="es-ES_tradnl"/>
        </w:rPr>
      </w:pPr>
      <w:r w:rsidRPr="00625C2D">
        <w:rPr>
          <w:lang w:val="es-ES_tradnl"/>
        </w:rPr>
        <w:t>17.</w:t>
      </w:r>
      <w:r w:rsidRPr="00625C2D">
        <w:rPr>
          <w:lang w:val="es-ES_tradnl"/>
        </w:rPr>
        <w:tab/>
        <w:t>En los últimos diez años, el tipo general del impuesto sobre sociedades se ha situado en el 20</w:t>
      </w:r>
      <w:r w:rsidR="00560BD1">
        <w:rPr>
          <w:lang w:val="es-ES_tradnl"/>
        </w:rPr>
        <w:t xml:space="preserve"> </w:t>
      </w:r>
      <w:r w:rsidRPr="00625C2D">
        <w:rPr>
          <w:lang w:val="es-ES_tradnl"/>
        </w:rPr>
        <w:t>%.</w:t>
      </w:r>
    </w:p>
    <w:p w14:paraId="3BE811FD" w14:textId="138DDB70" w:rsidR="00625C2D" w:rsidRPr="00625C2D" w:rsidRDefault="00625C2D" w:rsidP="00625C2D">
      <w:pPr>
        <w:pStyle w:val="SingleTxtG"/>
        <w:rPr>
          <w:lang w:val="es-ES_tradnl"/>
        </w:rPr>
      </w:pPr>
      <w:r w:rsidRPr="00625C2D">
        <w:rPr>
          <w:lang w:val="es-ES_tradnl"/>
        </w:rPr>
        <w:t>18.</w:t>
      </w:r>
      <w:r w:rsidRPr="00625C2D">
        <w:rPr>
          <w:lang w:val="es-ES_tradnl"/>
        </w:rPr>
        <w:tab/>
        <w:t>Entre las ayudas sociales que reciben los desempleados se incluye la prestación por</w:t>
      </w:r>
      <w:r w:rsidR="00560BD1">
        <w:rPr>
          <w:lang w:val="es-ES_tradnl"/>
        </w:rPr>
        <w:t> </w:t>
      </w:r>
      <w:r w:rsidRPr="00625C2D">
        <w:rPr>
          <w:lang w:val="es-ES_tradnl"/>
        </w:rPr>
        <w:t>desempleo. A continuación se indican los importes previstos en promedio anual para el pago de las prestaciones a unos 500.000 desempleados. Según lo dispuesto en la Ley núm.</w:t>
      </w:r>
      <w:r w:rsidR="00560BD1">
        <w:rPr>
          <w:lang w:val="es-ES_tradnl"/>
        </w:rPr>
        <w:t> </w:t>
      </w:r>
      <w:r w:rsidRPr="00625C2D">
        <w:rPr>
          <w:lang w:val="es-ES_tradnl"/>
        </w:rPr>
        <w:t>540-FZ del Presupuesto Federal para 2024 y el Período de Planificación 2025-2026, de 27 de noviembre de 2023:</w:t>
      </w:r>
    </w:p>
    <w:p w14:paraId="5106FBEA" w14:textId="777504BB" w:rsidR="00625C2D" w:rsidRPr="00625C2D" w:rsidRDefault="00625C2D" w:rsidP="00625C2D">
      <w:pPr>
        <w:pStyle w:val="Bullet1G"/>
        <w:rPr>
          <w:lang w:val="es-ES_tradnl"/>
        </w:rPr>
      </w:pPr>
      <w:r w:rsidRPr="00625C2D">
        <w:rPr>
          <w:lang w:val="es-ES_tradnl"/>
        </w:rPr>
        <w:t>Para 2024 se prevén 45.646.773.400 rublos</w:t>
      </w:r>
      <w:r>
        <w:rPr>
          <w:lang w:val="es-ES_tradnl"/>
        </w:rPr>
        <w:t>.</w:t>
      </w:r>
    </w:p>
    <w:p w14:paraId="13FB1428" w14:textId="3866FCD8" w:rsidR="00625C2D" w:rsidRPr="00625C2D" w:rsidRDefault="00625C2D" w:rsidP="00625C2D">
      <w:pPr>
        <w:pStyle w:val="Bullet1G"/>
        <w:rPr>
          <w:lang w:val="es-ES_tradnl"/>
        </w:rPr>
      </w:pPr>
      <w:r w:rsidRPr="00625C2D">
        <w:rPr>
          <w:lang w:val="es-ES_tradnl"/>
        </w:rPr>
        <w:t>Para 2025, 48.125.509.300 rublos</w:t>
      </w:r>
      <w:r>
        <w:rPr>
          <w:lang w:val="es-ES_tradnl"/>
        </w:rPr>
        <w:t>.</w:t>
      </w:r>
    </w:p>
    <w:p w14:paraId="2240F556" w14:textId="02102446" w:rsidR="00625C2D" w:rsidRPr="00625C2D" w:rsidRDefault="00625C2D" w:rsidP="00625C2D">
      <w:pPr>
        <w:pStyle w:val="Bullet1G"/>
        <w:rPr>
          <w:lang w:val="es-ES_tradnl"/>
        </w:rPr>
      </w:pPr>
      <w:r w:rsidRPr="00625C2D">
        <w:rPr>
          <w:lang w:val="es-ES_tradnl"/>
        </w:rPr>
        <w:t>Para 2026, 50.822.850.000 rublos.</w:t>
      </w:r>
    </w:p>
    <w:p w14:paraId="31109D90" w14:textId="77777777" w:rsidR="00625C2D" w:rsidRPr="00625C2D" w:rsidRDefault="00625C2D" w:rsidP="00625C2D">
      <w:pPr>
        <w:pStyle w:val="SingleTxtG"/>
        <w:rPr>
          <w:lang w:val="es-ES_tradnl"/>
        </w:rPr>
      </w:pPr>
      <w:r w:rsidRPr="00625C2D">
        <w:rPr>
          <w:lang w:val="es-ES_tradnl"/>
        </w:rPr>
        <w:t>19.</w:t>
      </w:r>
      <w:r w:rsidRPr="00625C2D">
        <w:rPr>
          <w:lang w:val="es-ES_tradnl"/>
        </w:rPr>
        <w:tab/>
        <w:t>Mediante la Resolución núm. 346 del Gobierno relativa a las cuantías mínimas y máximas de las prestaciones por desempleo para 2020, de 27 de marzo de 2020, entre abril y octubre de 2020 se introdujeron los siguientes cambios: la prestación mínima por desempleo se incrementó de 1.500 a 4.500 rublos, la cuantía máxima para determinadas categorías de ciudadanos aumentó de 8.000 a 12.130 rublos y se introdujeron ayudas de 3.000 rublos para personas desempleadas con hijos menores de edad.</w:t>
      </w:r>
    </w:p>
    <w:p w14:paraId="6579756D" w14:textId="739A8E44" w:rsidR="00625C2D" w:rsidRPr="00625C2D" w:rsidRDefault="00625C2D" w:rsidP="00625C2D">
      <w:pPr>
        <w:pStyle w:val="SingleTxtG"/>
        <w:rPr>
          <w:lang w:val="es-ES_tradnl"/>
        </w:rPr>
      </w:pPr>
      <w:r w:rsidRPr="00625C2D">
        <w:rPr>
          <w:lang w:val="es-ES_tradnl"/>
        </w:rPr>
        <w:t>20.</w:t>
      </w:r>
      <w:r w:rsidRPr="00625C2D">
        <w:rPr>
          <w:lang w:val="es-ES_tradnl"/>
        </w:rPr>
        <w:tab/>
        <w:t>A 31 de diciembre de 2020, 40.500 personas estaban participando en una campaña de</w:t>
      </w:r>
      <w:r w:rsidR="00560BD1">
        <w:rPr>
          <w:lang w:val="es-ES_tradnl"/>
        </w:rPr>
        <w:t xml:space="preserve"> </w:t>
      </w:r>
      <w:r w:rsidRPr="00625C2D">
        <w:rPr>
          <w:lang w:val="es-ES_tradnl"/>
        </w:rPr>
        <w:t>empleo temporal para 26.100 trabajadores en riesgo de despido, y 63.800 personas (28.400</w:t>
      </w:r>
      <w:r w:rsidR="00560BD1">
        <w:rPr>
          <w:lang w:val="es-ES_tradnl"/>
        </w:rPr>
        <w:t>  </w:t>
      </w:r>
      <w:r w:rsidRPr="00625C2D">
        <w:rPr>
          <w:lang w:val="es-ES_tradnl"/>
        </w:rPr>
        <w:t>demandantes de empleo y 35.400 desempleados) estaban participando en un programa de obras públicas para 54.600 demandantes de empleo y desempleados.</w:t>
      </w:r>
    </w:p>
    <w:p w14:paraId="7F9AC7D0" w14:textId="77777777" w:rsidR="00625C2D" w:rsidRPr="00625C2D" w:rsidRDefault="00625C2D" w:rsidP="00625C2D">
      <w:pPr>
        <w:pStyle w:val="SingleTxtG"/>
        <w:rPr>
          <w:lang w:val="es-ES_tradnl"/>
        </w:rPr>
      </w:pPr>
      <w:r w:rsidRPr="00625C2D">
        <w:rPr>
          <w:lang w:val="es-ES_tradnl"/>
        </w:rPr>
        <w:t>21.</w:t>
      </w:r>
      <w:r w:rsidRPr="00625C2D">
        <w:rPr>
          <w:lang w:val="es-ES_tradnl"/>
        </w:rPr>
        <w:tab/>
        <w:t>Estas medidas se adoptaron con cargo al fondo de reserva del Gobierno de la Federación de Rusia.</w:t>
      </w:r>
    </w:p>
    <w:p w14:paraId="6FF06202" w14:textId="77777777" w:rsidR="00625C2D" w:rsidRPr="00625C2D" w:rsidRDefault="00625C2D" w:rsidP="00625C2D">
      <w:pPr>
        <w:pStyle w:val="SingleTxtG"/>
        <w:rPr>
          <w:lang w:val="es-ES_tradnl"/>
        </w:rPr>
      </w:pPr>
      <w:r w:rsidRPr="00625C2D">
        <w:rPr>
          <w:lang w:val="es-ES_tradnl"/>
        </w:rPr>
        <w:t>22.</w:t>
      </w:r>
      <w:r w:rsidRPr="00625C2D">
        <w:rPr>
          <w:lang w:val="es-ES_tradnl"/>
        </w:rPr>
        <w:tab/>
        <w:t>Mediante la Ley Federal núm. 102-FZ, de 1 de abril de 2020, por la que se modifican las partes primera y segunda del Código Tributario de la Federación de Rusia y algunos instrumentos legislativos de la Federación de Rusia, se introdujeron modificaciones en la Ley Federal núm. 125-FZ del Seguro Social Obligatorio de Accidentes de Trabajo y Enfermedades Profesionales, de 24 de julio de 1998. Con esas modificaciones se facultó al Gobierno de la Federación para promulgar instrumentos jurídicos y normativos que permitiesen ampliar, durante el período comprendido entre el 1 de enero y el 31 de diciembre de 2020, los plazos establecidos por dicha ley federal para el pago de las cotizaciones a dicho seguro, admitir justificaciones adicionales para la concesión de aplazamientos o fraccionamientos del pago de cotizaciones al seguro y multas y adoptar otras medidas para reducir la carga financiera de los aseguradores en relación con el pago de las cotizaciones al seguro y multas.</w:t>
      </w:r>
    </w:p>
    <w:p w14:paraId="73ECD2D8" w14:textId="32959EEE" w:rsidR="00625C2D" w:rsidRPr="00625C2D" w:rsidRDefault="00625C2D" w:rsidP="00625C2D">
      <w:pPr>
        <w:pStyle w:val="SingleTxtG"/>
        <w:rPr>
          <w:lang w:val="es-ES_tradnl"/>
        </w:rPr>
      </w:pPr>
      <w:r w:rsidRPr="00625C2D">
        <w:rPr>
          <w:lang w:val="es-ES_tradnl"/>
        </w:rPr>
        <w:t>23.</w:t>
      </w:r>
      <w:r w:rsidRPr="00625C2D">
        <w:rPr>
          <w:lang w:val="es-ES_tradnl"/>
        </w:rPr>
        <w:tab/>
        <w:t>Las empresas y los empresarios individuales que a 1 de marzo de 2020 figurasen en el registro único de pequeñas y medianas empresas de conformidad con la Ley Federal núm.</w:t>
      </w:r>
      <w:r w:rsidR="00560BD1">
        <w:rPr>
          <w:lang w:val="es-ES_tradnl"/>
        </w:rPr>
        <w:t> </w:t>
      </w:r>
      <w:r w:rsidRPr="00625C2D">
        <w:rPr>
          <w:lang w:val="es-ES_tradnl"/>
        </w:rPr>
        <w:t>209-FZ de Fomento de la Pequeña y Mediana Empresa en la Federación de Rusia, de 24 de julio de 2007, y que desempeñasen su actividad en alguno de los ámbitos más afectados por el deterioro de la situación provocada por la propagación de la enfermedad por coronavirus (COVID-19) —según la lista de ámbitos aprobada por la Resolución núm. 409 del Gobierno relativa a las Medidas para Garantizar un Desarrollo Económico Sostenible, de 2 de abril de 2020— se beneficiaron, entre marzo y mayo de 2020, de una prórroga de seis meses del plazo para el pago de las cotizaciones al seguro social obligatorio de accidentes de trabajo y enfermedades profesionales y, entre junio y julio de 2020, de una prórroga de cuatro meses. Los empresarios individuales cuyos ingresos hubiesen superado los 300.000 rublos en el período de cálculo de 2019 también se beneficiaron de una prórroga de cuatro meses.</w:t>
      </w:r>
    </w:p>
    <w:p w14:paraId="5F61ACDE" w14:textId="77777777" w:rsidR="00625C2D" w:rsidRPr="00625C2D" w:rsidRDefault="00625C2D" w:rsidP="00625C2D">
      <w:pPr>
        <w:pStyle w:val="SingleTxtG"/>
        <w:rPr>
          <w:lang w:val="es-ES_tradnl"/>
        </w:rPr>
      </w:pPr>
      <w:r w:rsidRPr="00625C2D">
        <w:rPr>
          <w:lang w:val="es-ES_tradnl"/>
        </w:rPr>
        <w:lastRenderedPageBreak/>
        <w:t>24.</w:t>
      </w:r>
      <w:r w:rsidRPr="00625C2D">
        <w:rPr>
          <w:lang w:val="es-ES_tradnl"/>
        </w:rPr>
        <w:tab/>
        <w:t>Con arreglo a lo dispuesto en la Resolución núm. 409 se prorrogaron los plazos para el pago de las cotizaciones a las entidades que figuraban en el registro de organizaciones sin fines de lucro de orientación social de conformidad con la Resolución núm. 906 del Gobierno de la Federación de Rusia relativa al Registro de Organizaciones Sin Fines de Lucro de Orientación Social, de 23 de junio de 2020, así como en el registro de las organizaciones sin fines de lucro más afectadas por el deterioro de la situación provocada por la propagación de la COVID-19 de conformidad con la Resolución núm. 847 del Gobierno relativa al registro de las organizaciones sin fines de lucro más afectadas por el deterioro de la situación provocada por la propagación de la enfermedad por coronavirus, de 11 de junio de 2020.</w:t>
      </w:r>
    </w:p>
    <w:p w14:paraId="413198FD" w14:textId="3BA39DD9" w:rsidR="00625C2D" w:rsidRPr="00625C2D" w:rsidRDefault="00625C2D" w:rsidP="00625C2D">
      <w:pPr>
        <w:pStyle w:val="SingleTxtG"/>
        <w:rPr>
          <w:lang w:val="es-ES_tradnl"/>
        </w:rPr>
      </w:pPr>
      <w:r w:rsidRPr="00625C2D">
        <w:rPr>
          <w:lang w:val="es-ES_tradnl"/>
        </w:rPr>
        <w:t>25.</w:t>
      </w:r>
      <w:r w:rsidRPr="00625C2D">
        <w:rPr>
          <w:lang w:val="es-ES_tradnl"/>
        </w:rPr>
        <w:tab/>
        <w:t>De conformidad con la Ley Federal núm. 172-FZ, de 8 de junio de 2020, por la que se modifica la segunda parte del Código Tributario de la Federación de Rusia, los importes de las cotizaciones al seguro correspondientes al período de cálculo de 2020 pagaderas por los empresarios individuales de los sectores afectados se redujeron de 32.448 a 20.318 rublos (esto es, sustrayendo el equivalente al salario mínimo, cuya cuantía se elevaba a 12.130</w:t>
      </w:r>
      <w:r w:rsidR="00560BD1">
        <w:rPr>
          <w:lang w:val="es-ES_tradnl"/>
        </w:rPr>
        <w:t> </w:t>
      </w:r>
      <w:r w:rsidRPr="00625C2D">
        <w:rPr>
          <w:lang w:val="es-ES_tradnl"/>
        </w:rPr>
        <w:t>rublos).</w:t>
      </w:r>
    </w:p>
    <w:p w14:paraId="26C701AC" w14:textId="77777777" w:rsidR="00625C2D" w:rsidRPr="00625C2D" w:rsidRDefault="00625C2D" w:rsidP="00625C2D">
      <w:pPr>
        <w:pStyle w:val="SingleTxtG"/>
        <w:rPr>
          <w:lang w:val="es-ES_tradnl"/>
        </w:rPr>
      </w:pPr>
      <w:r w:rsidRPr="00625C2D">
        <w:rPr>
          <w:lang w:val="es-ES_tradnl"/>
        </w:rPr>
        <w:t>26.</w:t>
      </w:r>
      <w:r w:rsidRPr="00625C2D">
        <w:rPr>
          <w:lang w:val="es-ES_tradnl"/>
        </w:rPr>
        <w:tab/>
        <w:t>También se introdujeron desgravaciones fiscales y la exención del pago de las cotizaciones para los empresarios individuales, las organizaciones sin fines de lucro y religiosas, así como para las organizaciones que figuraban en el registro unificado de pequeñas y medianas empresas que desempeñaban su actividad en alguno de los sectores de la economía más afectados por la COVID-19.</w:t>
      </w:r>
    </w:p>
    <w:p w14:paraId="3B97DC35" w14:textId="0EEB5D8F" w:rsidR="00625C2D" w:rsidRPr="00625C2D" w:rsidRDefault="00625C2D" w:rsidP="00625C2D">
      <w:pPr>
        <w:pStyle w:val="SingleTxtG"/>
        <w:rPr>
          <w:lang w:val="es-ES_tradnl"/>
        </w:rPr>
      </w:pPr>
      <w:r w:rsidRPr="00625C2D">
        <w:rPr>
          <w:lang w:val="es-ES_tradnl"/>
        </w:rPr>
        <w:t>27.</w:t>
      </w:r>
      <w:r w:rsidRPr="00625C2D">
        <w:rPr>
          <w:lang w:val="es-ES_tradnl"/>
        </w:rPr>
        <w:tab/>
        <w:t>Se ha desarrollado un programa informático automatizado que permite comprobar, sin la intervención de un inspector fiscal federal, si las solicitudes enviadas al Tesoro Federal cumplen las condiciones para la concesión de ayudas y que transmite los registros generados al Tesoro Federal.</w:t>
      </w:r>
    </w:p>
    <w:p w14:paraId="4BE7A3FC" w14:textId="77777777" w:rsidR="00625C2D" w:rsidRPr="00625C2D" w:rsidRDefault="00625C2D" w:rsidP="00625C2D">
      <w:pPr>
        <w:pStyle w:val="SingleTxtG"/>
        <w:rPr>
          <w:lang w:val="es-ES_tradnl"/>
        </w:rPr>
      </w:pPr>
      <w:r w:rsidRPr="00625C2D">
        <w:rPr>
          <w:lang w:val="es-ES_tradnl"/>
        </w:rPr>
        <w:t>28.</w:t>
      </w:r>
      <w:r w:rsidRPr="00625C2D">
        <w:rPr>
          <w:lang w:val="es-ES_tradnl"/>
        </w:rPr>
        <w:tab/>
        <w:t>En la Resolución núm. 576 del Gobierno, de 24 de abril de 2020, se establece que la cuantía de esas ayudas es el producto del salario mínimo (12.130 rublos) por el número de empleados.</w:t>
      </w:r>
    </w:p>
    <w:p w14:paraId="108AE65F" w14:textId="666517AE" w:rsidR="00625C2D" w:rsidRPr="00625C2D" w:rsidRDefault="00625C2D" w:rsidP="00625C2D">
      <w:pPr>
        <w:pStyle w:val="SingleTxtG"/>
        <w:rPr>
          <w:lang w:val="es-ES_tradnl"/>
        </w:rPr>
      </w:pPr>
      <w:r w:rsidRPr="00625C2D">
        <w:rPr>
          <w:lang w:val="es-ES_tradnl"/>
        </w:rPr>
        <w:t>29.</w:t>
      </w:r>
      <w:r w:rsidRPr="00625C2D">
        <w:rPr>
          <w:lang w:val="es-ES_tradnl"/>
        </w:rPr>
        <w:tab/>
        <w:t>Mediante la Resolución núm. 976 del Gobierno, de 2 de julio de 2020, se aprobaron las Normas para la Concesión de Ayudas para la Adopción de Medidas de Prevención de la Enfermedad por Coronavirus. El importe de las ayudas incluía unos gastos iniciales por una cuantía fijada en 15.000 rublos y unos gastos ordinarios equivalentes al producto de 6.500</w:t>
      </w:r>
      <w:r w:rsidR="00560BD1">
        <w:rPr>
          <w:lang w:val="es-ES_tradnl"/>
        </w:rPr>
        <w:t> </w:t>
      </w:r>
      <w:r w:rsidRPr="00625C2D">
        <w:rPr>
          <w:lang w:val="es-ES_tradnl"/>
        </w:rPr>
        <w:t>rublos por el número de empleados.</w:t>
      </w:r>
    </w:p>
    <w:p w14:paraId="3BB48C99" w14:textId="77777777" w:rsidR="00625C2D" w:rsidRPr="00625C2D" w:rsidRDefault="00625C2D" w:rsidP="00625C2D">
      <w:pPr>
        <w:pStyle w:val="SingleTxtG"/>
        <w:rPr>
          <w:lang w:val="es-ES_tradnl"/>
        </w:rPr>
      </w:pPr>
      <w:r w:rsidRPr="00625C2D">
        <w:rPr>
          <w:lang w:val="es-ES_tradnl"/>
        </w:rPr>
        <w:t>30.</w:t>
      </w:r>
      <w:r w:rsidRPr="00625C2D">
        <w:rPr>
          <w:lang w:val="es-ES_tradnl"/>
        </w:rPr>
        <w:tab/>
        <w:t>Se permitió a las empresas y a los empresarios desgravarse como gastos los costos asociados a la compra de artículos de prevención, diagnóstico y tratamiento de la COVID-19 que se hubieran cedido gratuitamente a centros médicos, autoridades estatales y/o locales, instituciones estatales y municipales o empresas estatales y municipales, así como no contar como ingresos las deudas condonadas total o parcialmente asociadas a préstamos concedidos en 2020 para el fomento del empleo y los intereses devengados por ellos.</w:t>
      </w:r>
    </w:p>
    <w:p w14:paraId="1882AB5E" w14:textId="71EE530B" w:rsidR="00625C2D" w:rsidRPr="00625C2D" w:rsidRDefault="00625C2D" w:rsidP="00625C2D">
      <w:pPr>
        <w:pStyle w:val="SingleTxtG"/>
        <w:rPr>
          <w:lang w:val="es-ES_tradnl"/>
        </w:rPr>
      </w:pPr>
      <w:r w:rsidRPr="00625C2D">
        <w:rPr>
          <w:lang w:val="es-ES_tradnl"/>
        </w:rPr>
        <w:t>31.</w:t>
      </w:r>
      <w:r w:rsidRPr="00625C2D">
        <w:rPr>
          <w:lang w:val="es-ES_tradnl"/>
        </w:rPr>
        <w:tab/>
        <w:t>La Ley Federal núm. 273-FZ de Lucha contra la Corrupción, de 25 de diciembre de</w:t>
      </w:r>
      <w:r w:rsidR="00560BD1">
        <w:rPr>
          <w:lang w:val="es-ES_tradnl"/>
        </w:rPr>
        <w:t> </w:t>
      </w:r>
      <w:r w:rsidRPr="00625C2D">
        <w:rPr>
          <w:lang w:val="es-ES_tradnl"/>
        </w:rPr>
        <w:t>2009, prevé un conjunto de medidas de lucha contra la corrupción.</w:t>
      </w:r>
    </w:p>
    <w:p w14:paraId="67F4EA32" w14:textId="77777777" w:rsidR="00625C2D" w:rsidRPr="00625C2D" w:rsidRDefault="00625C2D" w:rsidP="00625C2D">
      <w:pPr>
        <w:pStyle w:val="SingleTxtG"/>
        <w:rPr>
          <w:lang w:val="es-ES_tradnl"/>
        </w:rPr>
      </w:pPr>
      <w:r w:rsidRPr="00625C2D">
        <w:rPr>
          <w:lang w:val="es-ES_tradnl"/>
        </w:rPr>
        <w:t>32.</w:t>
      </w:r>
      <w:r w:rsidRPr="00625C2D">
        <w:rPr>
          <w:lang w:val="es-ES_tradnl"/>
        </w:rPr>
        <w:tab/>
        <w:t>Mediante el Decreto Presidencial núm. 460, de 13 de abril de 2010, se aprobó la Estrategia Nacional de Lucha contra la Corrupción, un conjunto de medidas organizativas, económicas, jurídicas, informativas y de recursos humanos que son sometidas a constantes mejoras y tienen por objeto eliminar las causas profundas de la corrupción en la sociedad.</w:t>
      </w:r>
    </w:p>
    <w:p w14:paraId="39C97115" w14:textId="77777777" w:rsidR="00625C2D" w:rsidRPr="00625C2D" w:rsidRDefault="00625C2D" w:rsidP="00625C2D">
      <w:pPr>
        <w:pStyle w:val="SingleTxtG"/>
        <w:rPr>
          <w:lang w:val="es-ES_tradnl"/>
        </w:rPr>
      </w:pPr>
      <w:r w:rsidRPr="00625C2D">
        <w:rPr>
          <w:lang w:val="es-ES_tradnl"/>
        </w:rPr>
        <w:t>33.</w:t>
      </w:r>
      <w:r w:rsidRPr="00625C2D">
        <w:rPr>
          <w:lang w:val="es-ES_tradnl"/>
        </w:rPr>
        <w:tab/>
        <w:t>La sección XIV del Plan Nacional de Lucha contra la Corrupción (2021-2024), aprobado por el Decreto Presidencial núm. 478, de 16 de agosto de 2021, prevé que se mejore la eficacia de la cooperación internacional de la Federación de Rusia en materia de lucha contra la corrupción y que se refuerce la posición internacional de nuestro país.</w:t>
      </w:r>
    </w:p>
    <w:p w14:paraId="00040235" w14:textId="77777777" w:rsidR="00625C2D" w:rsidRPr="00625C2D" w:rsidRDefault="00625C2D" w:rsidP="00625C2D">
      <w:pPr>
        <w:pStyle w:val="SingleTxtG"/>
        <w:rPr>
          <w:lang w:val="es-ES_tradnl"/>
        </w:rPr>
      </w:pPr>
      <w:r w:rsidRPr="00625C2D">
        <w:rPr>
          <w:lang w:val="es-ES_tradnl"/>
        </w:rPr>
        <w:t>34.</w:t>
      </w:r>
      <w:r w:rsidRPr="00625C2D">
        <w:rPr>
          <w:lang w:val="es-ES_tradnl"/>
        </w:rPr>
        <w:tab/>
        <w:t>Con el fin de promover los enfoques de principios rusos y las iniciativas pertinentes para combatir la delincuencia, los representantes del Comité de Instrucción de la Federación de Rusia participan periódicamente en eventos internacionales bilaterales y multilaterales organizados por las autoridades competentes de Estados extranjeros y organizaciones internacionales en diversos foros de lucha contra los delitos de corrupción.</w:t>
      </w:r>
    </w:p>
    <w:p w14:paraId="34D55AFC" w14:textId="1CACA232" w:rsidR="00625C2D" w:rsidRPr="00625C2D" w:rsidRDefault="00625C2D" w:rsidP="00625C2D">
      <w:pPr>
        <w:pStyle w:val="SingleTxtG"/>
        <w:rPr>
          <w:lang w:val="es-ES_tradnl"/>
        </w:rPr>
      </w:pPr>
      <w:r w:rsidRPr="00625C2D">
        <w:rPr>
          <w:lang w:val="es-ES_tradnl"/>
        </w:rPr>
        <w:lastRenderedPageBreak/>
        <w:t>35.</w:t>
      </w:r>
      <w:r w:rsidRPr="00625C2D">
        <w:rPr>
          <w:lang w:val="es-ES_tradnl"/>
        </w:rPr>
        <w:tab/>
        <w:t>Los motivos y el procedimiento para la realización de inspecciones por parte de los departamentos de las autoridades públicas y otras entidades para comprobar si las personas que ocupan cargos públicos estatales o municipales, los funcionarios estatales y municipales y otras personas pertinentes respetan las restricciones, prohibiciones y obligaciones establecidas se definen en la Ley núm. 273-FZ, la Ley Federal núm. 230-FZ relativa al control de la coherencia entre los gastos y los ingresos de las personas que ocupan cargos públicos estatales y otras personas pertinentes, de 3 de diciembre de 2012, y la Ley Federal núm.</w:t>
      </w:r>
      <w:r w:rsidR="00356D3C">
        <w:rPr>
          <w:lang w:val="es-ES_tradnl"/>
        </w:rPr>
        <w:t> </w:t>
      </w:r>
      <w:r w:rsidRPr="00625C2D">
        <w:rPr>
          <w:lang w:val="es-ES_tradnl"/>
        </w:rPr>
        <w:t>79</w:t>
      </w:r>
      <w:r w:rsidR="00356D3C">
        <w:rPr>
          <w:lang w:val="es-ES_tradnl"/>
        </w:rPr>
        <w:noBreakHyphen/>
      </w:r>
      <w:r w:rsidRPr="00625C2D">
        <w:rPr>
          <w:lang w:val="es-ES_tradnl"/>
        </w:rPr>
        <w:t>FZ por la que se prohíbe que determinadas categorías de personas abran o posean cuentas o depósitos o atesoren activos líquidos o valores en bancos extranjeros fuera del territorio de la Federación de Rusia o estén en posesión y/o hagan uso de instrumentos financieros extranjeros, de 7 de mayo de 2013.</w:t>
      </w:r>
    </w:p>
    <w:p w14:paraId="78104412" w14:textId="77777777" w:rsidR="00625C2D" w:rsidRPr="00625C2D" w:rsidRDefault="00625C2D" w:rsidP="00625C2D">
      <w:pPr>
        <w:pStyle w:val="SingleTxtG"/>
        <w:rPr>
          <w:lang w:val="es-ES_tradnl"/>
        </w:rPr>
      </w:pPr>
      <w:r w:rsidRPr="00625C2D">
        <w:rPr>
          <w:lang w:val="es-ES_tradnl"/>
        </w:rPr>
        <w:t>36.</w:t>
      </w:r>
      <w:r w:rsidRPr="00625C2D">
        <w:rPr>
          <w:lang w:val="es-ES_tradnl"/>
        </w:rPr>
        <w:tab/>
        <w:t>La Ley Federal núm. 44-FZ del Sistema de Adquisición de Bienes y Contratación de Obras y Servicios por el Estado y los Municipios, de 5 de abril de 2013, tiene por objeto contribuir a la implementación de un proceso único y transparente de gestión, adjudicación y ejecución de contratos públicos y regular las actividades destinadas a cubrir las necesidades estatales y municipales en materia de planificación de la adquisición de bienes y la contratación de obras y servicios, la identificación de proveedores, contratistas y entidades de ejecución, la celebración de contratos de suministro de bienes, realización de obras y prestación de servicios, el cumplimiento de obligaciones contractuales y el monitoreo, la auditoría y la vigilancia del proceso de adquisición y contratación.</w:t>
      </w:r>
    </w:p>
    <w:p w14:paraId="23105BFE" w14:textId="77777777" w:rsidR="00625C2D" w:rsidRPr="00625C2D" w:rsidRDefault="00625C2D" w:rsidP="00625C2D">
      <w:pPr>
        <w:pStyle w:val="SingleTxtG"/>
        <w:rPr>
          <w:lang w:val="es-ES_tradnl"/>
        </w:rPr>
      </w:pPr>
      <w:r w:rsidRPr="00625C2D">
        <w:rPr>
          <w:lang w:val="es-ES_tradnl"/>
        </w:rPr>
        <w:t>37.</w:t>
      </w:r>
      <w:r w:rsidRPr="00625C2D">
        <w:rPr>
          <w:lang w:val="es-ES_tradnl"/>
        </w:rPr>
        <w:tab/>
        <w:t>Con el fin de informatizar el sistema de contratación se prevé desarrollar un sistema informático unificado que permita cotejar y verificar la información contenida en la documentación relativa al proceso de adquisición y contratación públicas, con lo que se pretende garantizar la transparencia y la previsibilidad de las actividades conexas mediante la elaboración de planes y calendarios para la adquisición y la contratación.</w:t>
      </w:r>
    </w:p>
    <w:p w14:paraId="45A5DB4A" w14:textId="473C74DC" w:rsidR="00625C2D" w:rsidRPr="00625C2D" w:rsidRDefault="00625C2D" w:rsidP="00625C2D">
      <w:pPr>
        <w:pStyle w:val="SingleTxtG"/>
        <w:rPr>
          <w:lang w:val="es-ES_tradnl"/>
        </w:rPr>
      </w:pPr>
      <w:r w:rsidRPr="00625C2D">
        <w:rPr>
          <w:lang w:val="es-ES_tradnl"/>
        </w:rPr>
        <w:t>38.</w:t>
      </w:r>
      <w:r w:rsidRPr="00625C2D">
        <w:rPr>
          <w:lang w:val="es-ES_tradnl"/>
        </w:rPr>
        <w:tab/>
        <w:t>Los resultados del análisis de las estadísticas judiciales ponen de manifiesto una estabilización del número de delitos de corrupción registrados en la Federación de Rusia entre</w:t>
      </w:r>
      <w:r w:rsidR="00356D3C">
        <w:rPr>
          <w:lang w:val="es-ES_tradnl"/>
        </w:rPr>
        <w:t> </w:t>
      </w:r>
      <w:r w:rsidRPr="00625C2D">
        <w:rPr>
          <w:lang w:val="es-ES_tradnl"/>
        </w:rPr>
        <w:t>2022 y 2023.</w:t>
      </w:r>
    </w:p>
    <w:p w14:paraId="06DA92AF" w14:textId="651DDDEE" w:rsidR="00625C2D" w:rsidRPr="00625C2D" w:rsidRDefault="00625C2D" w:rsidP="00625C2D">
      <w:pPr>
        <w:pStyle w:val="SingleTxtG"/>
        <w:rPr>
          <w:lang w:val="es-ES_tradnl"/>
        </w:rPr>
      </w:pPr>
      <w:r w:rsidRPr="00625C2D">
        <w:rPr>
          <w:lang w:val="es-ES_tradnl"/>
        </w:rPr>
        <w:t>39.</w:t>
      </w:r>
      <w:r w:rsidRPr="00625C2D">
        <w:rPr>
          <w:lang w:val="es-ES_tradnl"/>
        </w:rPr>
        <w:tab/>
        <w:t>La proporción que representan los delitos de corrupción con respecto al total de delitos registrados en el país ha aumentado ligeramente desde 2022 y se sitúa en un 1,9</w:t>
      </w:r>
      <w:r w:rsidR="00356D3C">
        <w:rPr>
          <w:lang w:val="es-ES_tradnl"/>
        </w:rPr>
        <w:t xml:space="preserve"> </w:t>
      </w:r>
      <w:r w:rsidRPr="00625C2D">
        <w:rPr>
          <w:lang w:val="es-ES_tradnl"/>
        </w:rPr>
        <w:t>%.</w:t>
      </w:r>
    </w:p>
    <w:p w14:paraId="0A39ED2A" w14:textId="07022593" w:rsidR="00625C2D" w:rsidRPr="00625C2D" w:rsidRDefault="00625C2D" w:rsidP="00625C2D">
      <w:pPr>
        <w:pStyle w:val="SingleTxtG"/>
        <w:rPr>
          <w:lang w:val="es-ES_tradnl"/>
        </w:rPr>
      </w:pPr>
      <w:r w:rsidRPr="00625C2D">
        <w:rPr>
          <w:lang w:val="es-ES_tradnl"/>
        </w:rPr>
        <w:t>40.</w:t>
      </w:r>
      <w:r w:rsidRPr="00625C2D">
        <w:rPr>
          <w:lang w:val="es-ES_tradnl"/>
        </w:rPr>
        <w:tab/>
        <w:t>Entre todas las personas que han sido condenadas por delitos de corrupción, más del 63,6</w:t>
      </w:r>
      <w:r w:rsidR="00356D3C">
        <w:rPr>
          <w:lang w:val="es-ES_tradnl"/>
        </w:rPr>
        <w:t xml:space="preserve"> </w:t>
      </w:r>
      <w:r w:rsidRPr="00625C2D">
        <w:rPr>
          <w:lang w:val="es-ES_tradnl"/>
        </w:rPr>
        <w:t>% cometió delitos que estaban directamente relacionados con el soborno o el cohecho comercial.</w:t>
      </w:r>
    </w:p>
    <w:p w14:paraId="6B4C1077" w14:textId="28748BC8" w:rsidR="00625C2D" w:rsidRPr="00625C2D" w:rsidRDefault="00625C2D" w:rsidP="00625C2D">
      <w:pPr>
        <w:pStyle w:val="SingleTxtG"/>
        <w:rPr>
          <w:lang w:val="es-ES_tradnl"/>
        </w:rPr>
      </w:pPr>
      <w:r w:rsidRPr="00625C2D">
        <w:rPr>
          <w:lang w:val="es-ES_tradnl"/>
        </w:rPr>
        <w:t>41.</w:t>
      </w:r>
      <w:r w:rsidRPr="00625C2D">
        <w:rPr>
          <w:lang w:val="es-ES_tradnl"/>
        </w:rPr>
        <w:tab/>
        <w:t>Los principales tipos de penas impuestas por delitos de corrupción son multas (45,1 %) y penas privativas de la libertad condicionales (30,5</w:t>
      </w:r>
      <w:r w:rsidR="00356D3C">
        <w:rPr>
          <w:lang w:val="es-ES_tradnl"/>
        </w:rPr>
        <w:t xml:space="preserve"> </w:t>
      </w:r>
      <w:r w:rsidRPr="00625C2D">
        <w:rPr>
          <w:lang w:val="es-ES_tradnl"/>
        </w:rPr>
        <w:t>%) y efectivas (19,4</w:t>
      </w:r>
      <w:r w:rsidR="00356D3C">
        <w:rPr>
          <w:lang w:val="es-ES_tradnl"/>
        </w:rPr>
        <w:t xml:space="preserve"> </w:t>
      </w:r>
      <w:r w:rsidRPr="00625C2D">
        <w:rPr>
          <w:lang w:val="es-ES_tradnl"/>
        </w:rPr>
        <w:t>%).</w:t>
      </w:r>
    </w:p>
    <w:p w14:paraId="60208583" w14:textId="77777777" w:rsidR="00625C2D" w:rsidRPr="00625C2D" w:rsidRDefault="00625C2D" w:rsidP="00625C2D">
      <w:pPr>
        <w:pStyle w:val="SingleTxtG"/>
        <w:rPr>
          <w:lang w:val="es-ES_tradnl"/>
        </w:rPr>
      </w:pPr>
      <w:r w:rsidRPr="00625C2D">
        <w:rPr>
          <w:lang w:val="es-ES_tradnl"/>
        </w:rPr>
        <w:t>42.</w:t>
      </w:r>
      <w:r w:rsidRPr="00625C2D">
        <w:rPr>
          <w:lang w:val="es-ES_tradnl"/>
        </w:rPr>
        <w:tab/>
        <w:t>En cuanto a las penas accesorias que se impusieron con más frecuencia en 2023 figuran la inhabilitación para desempeñar determinados cargos o funciones (2.307 personas) y las multas (1.751 personas); en algunos casos, los autores fueron despojados de sus rangos oficiales y distinciones o fueron condenados a penas restrictivas de la libertad.</w:t>
      </w:r>
    </w:p>
    <w:p w14:paraId="5AAEDC2A" w14:textId="536B3B50" w:rsidR="00625C2D" w:rsidRPr="00625C2D" w:rsidRDefault="00625C2D" w:rsidP="00625C2D">
      <w:pPr>
        <w:pStyle w:val="SingleTxtG"/>
        <w:rPr>
          <w:lang w:val="es-ES_tradnl"/>
        </w:rPr>
      </w:pPr>
      <w:r w:rsidRPr="00625C2D">
        <w:rPr>
          <w:lang w:val="es-ES_tradnl"/>
        </w:rPr>
        <w:t>43.</w:t>
      </w:r>
      <w:r w:rsidRPr="00625C2D">
        <w:rPr>
          <w:lang w:val="es-ES_tradnl"/>
        </w:rPr>
        <w:tab/>
        <w:t>En 2020 se introdujeron importantes modificaciones en la legislación federal con el fin de mejorar los mecanismos jurídicos para el mantenimiento de los registros de personas pertenecientes a los pueblos indígenas minoritarios del Norte, Siberia y el Extremo Oriente de la Federación de Rusia. Ha entrado en vigor la Ley Federal núm. 403, de 20 de octubre de</w:t>
      </w:r>
      <w:r w:rsidR="00356D3C">
        <w:rPr>
          <w:lang w:val="es-ES_tradnl"/>
        </w:rPr>
        <w:t> </w:t>
      </w:r>
      <w:r w:rsidRPr="00625C2D">
        <w:rPr>
          <w:lang w:val="es-ES_tradnl"/>
        </w:rPr>
        <w:t>2022, por la que se modifica la Ley de los Principios Generales de la Organización de las Comunidades de Pueblos Indígenas Minoritarios del Norte, Siberia y el Extremo Oriente de la Federación de Rusia, en la que se describen en detalle las cuestiones relativas a la creación y el funcionamiento de tales comunidades.</w:t>
      </w:r>
    </w:p>
    <w:p w14:paraId="01410E7A" w14:textId="552ED8C2" w:rsidR="00625C2D" w:rsidRPr="00625C2D" w:rsidRDefault="00625C2D" w:rsidP="00625C2D">
      <w:pPr>
        <w:pStyle w:val="SingleTxtG"/>
        <w:spacing w:after="130"/>
        <w:rPr>
          <w:lang w:val="es-ES_tradnl"/>
        </w:rPr>
      </w:pPr>
      <w:r w:rsidRPr="00625C2D">
        <w:rPr>
          <w:lang w:val="es-ES_tradnl"/>
        </w:rPr>
        <w:t>44.</w:t>
      </w:r>
      <w:r w:rsidRPr="00625C2D">
        <w:rPr>
          <w:lang w:val="es-ES_tradnl"/>
        </w:rPr>
        <w:tab/>
        <w:t xml:space="preserve">En una reunión del grupo de trabajo sobre la aplicación de la legislación con la que se persiguen los actos de extracción ilegal de recursos biológicos acuáticos y de comercio ilegal con ellos, el 31 de mayo de 2023 la Fiscalía General examinó diversos problemas relacionados con la pesca tradicional. A raíz de ello, el Ministerio de Agricultura y el Organismo Federal de Pesca siguieron trabajando en la transición hacia el principio de </w:t>
      </w:r>
      <w:r w:rsidR="00680C36">
        <w:rPr>
          <w:lang w:val="es-ES_tradnl"/>
        </w:rPr>
        <w:t>“</w:t>
      </w:r>
      <w:r w:rsidRPr="00625C2D">
        <w:rPr>
          <w:lang w:val="es-ES_tradnl"/>
        </w:rPr>
        <w:t>acción sin requerimiento</w:t>
      </w:r>
      <w:r w:rsidR="00680C36">
        <w:rPr>
          <w:lang w:val="es-ES_tradnl"/>
        </w:rPr>
        <w:t>”</w:t>
      </w:r>
      <w:r w:rsidRPr="00625C2D">
        <w:rPr>
          <w:lang w:val="es-ES_tradnl"/>
        </w:rPr>
        <w:t xml:space="preserve"> para que los pueblos indígenas minoritarios del Norte, Siberia y el Extremo Oriente de la Federación de Rusia pudiesen ejercer sus derechos preferentes de </w:t>
      </w:r>
      <w:r w:rsidRPr="00625C2D">
        <w:rPr>
          <w:lang w:val="es-ES_tradnl"/>
        </w:rPr>
        <w:lastRenderedPageBreak/>
        <w:t>acceso a los recursos pesqueros, que quedó reflejado en el proyecto de ley federal núm.</w:t>
      </w:r>
      <w:r w:rsidR="00356D3C">
        <w:rPr>
          <w:lang w:val="es-ES_tradnl"/>
        </w:rPr>
        <w:t> </w:t>
      </w:r>
      <w:r w:rsidRPr="00625C2D">
        <w:rPr>
          <w:lang w:val="es-ES_tradnl"/>
        </w:rPr>
        <w:t>309477-8 (aprobado en primera lectura el 13 de febrero de 2024).</w:t>
      </w:r>
    </w:p>
    <w:p w14:paraId="37D52248" w14:textId="510B8F90" w:rsidR="00625C2D" w:rsidRPr="00625C2D" w:rsidRDefault="00625C2D" w:rsidP="00625C2D">
      <w:pPr>
        <w:pStyle w:val="SingleTxtG"/>
        <w:spacing w:after="130"/>
        <w:rPr>
          <w:lang w:val="es-ES_tradnl"/>
        </w:rPr>
      </w:pPr>
      <w:r w:rsidRPr="00625C2D">
        <w:rPr>
          <w:lang w:val="es-ES_tradnl"/>
        </w:rPr>
        <w:t>45.</w:t>
      </w:r>
      <w:r w:rsidRPr="00625C2D">
        <w:rPr>
          <w:lang w:val="es-ES_tradnl"/>
        </w:rPr>
        <w:tab/>
        <w:t>Se ha suspendido la labor que tenía por objeto modificar de la Ley Federal núm. 49</w:t>
      </w:r>
      <w:r w:rsidR="00356D3C">
        <w:rPr>
          <w:lang w:val="es-ES_tradnl"/>
        </w:rPr>
        <w:noBreakHyphen/>
      </w:r>
      <w:r w:rsidRPr="00625C2D">
        <w:rPr>
          <w:lang w:val="es-ES_tradnl"/>
        </w:rPr>
        <w:t>FZ de Territorios de Explotación Tradicional de los Recursos Naturales por los Pueblos Indígenas Minoritarios del Norte, Siberia y el Extremo Oriente de la Federación de Rusia, de 7 de mayo de 2001, entre otras cosas por iniciativa de la Asociación de Pueblos Indígenas del Norte, Siberia y el Extremo Oriente de la Federación de Rusia.</w:t>
      </w:r>
    </w:p>
    <w:p w14:paraId="0690F456" w14:textId="77777777" w:rsidR="00625C2D" w:rsidRPr="00625C2D" w:rsidRDefault="00625C2D" w:rsidP="00625C2D">
      <w:pPr>
        <w:pStyle w:val="SingleTxtG"/>
        <w:spacing w:after="130"/>
        <w:rPr>
          <w:lang w:val="es-ES_tradnl"/>
        </w:rPr>
      </w:pPr>
      <w:r w:rsidRPr="00625C2D">
        <w:rPr>
          <w:lang w:val="es-ES_tradnl"/>
        </w:rPr>
        <w:t>46.</w:t>
      </w:r>
      <w:r w:rsidRPr="00625C2D">
        <w:rPr>
          <w:lang w:val="es-ES_tradnl"/>
        </w:rPr>
        <w:tab/>
        <w:t>La labor destinada a mejorar el reglamento relativo al reconocimiento, la protección, la explotación y la recalificación de territorios de explotación tradicional de los recursos del subsuelo ha perdido su razón de ser. La normativa actual para el reconocimiento y la explotación de dichos territorios, prevista en la Ley Federal núm. 49-FZ, permite que se reconozca esa condición a determinados territorios. En las entidades constitutivas de la Federación de Rusia hay cerca de 600 territorios de explotación tradicional de los recursos del subsuelo de importancia regional y local.</w:t>
      </w:r>
    </w:p>
    <w:p w14:paraId="01FA2D76" w14:textId="59F48817" w:rsidR="00625C2D" w:rsidRPr="00625C2D" w:rsidRDefault="00625C2D" w:rsidP="00625C2D">
      <w:pPr>
        <w:pStyle w:val="SingleTxtG"/>
        <w:spacing w:after="130"/>
        <w:rPr>
          <w:lang w:val="es-ES_tradnl"/>
        </w:rPr>
      </w:pPr>
      <w:r w:rsidRPr="00625C2D">
        <w:rPr>
          <w:lang w:val="es-ES_tradnl"/>
        </w:rPr>
        <w:t>47.</w:t>
      </w:r>
      <w:r w:rsidRPr="00625C2D">
        <w:rPr>
          <w:lang w:val="es-ES_tradnl"/>
        </w:rPr>
        <w:tab/>
        <w:t>En cuanto a las medidas adoptadas para prohibir cualquier tipo de discriminación, nos</w:t>
      </w:r>
      <w:r w:rsidR="00356D3C">
        <w:rPr>
          <w:lang w:val="es-ES_tradnl"/>
        </w:rPr>
        <w:t xml:space="preserve"> </w:t>
      </w:r>
      <w:r w:rsidRPr="00625C2D">
        <w:rPr>
          <w:lang w:val="es-ES_tradnl"/>
        </w:rPr>
        <w:t>gustaría indicar que, si un candidato a un puesto de trabajo al que se decide no contratar lo solicita por escrito, el empleador en cuestión debe informarlo del motivo por el cual no ha sido contratado en un plazo no superior a siete días hábiles desde la fecha de presentación de dicha solicitud. La negativa a contratar al candidato puede ser impugnada ante un tribunal.</w:t>
      </w:r>
    </w:p>
    <w:p w14:paraId="75AEAD67" w14:textId="00212C23" w:rsidR="00625C2D" w:rsidRPr="00625C2D" w:rsidRDefault="00625C2D" w:rsidP="00625C2D">
      <w:pPr>
        <w:pStyle w:val="SingleTxtG"/>
        <w:spacing w:after="130"/>
        <w:rPr>
          <w:lang w:val="es-ES_tradnl"/>
        </w:rPr>
      </w:pPr>
      <w:r w:rsidRPr="00625C2D">
        <w:rPr>
          <w:lang w:val="es-ES_tradnl"/>
        </w:rPr>
        <w:t>48.</w:t>
      </w:r>
      <w:r w:rsidRPr="00625C2D">
        <w:rPr>
          <w:lang w:val="es-ES_tradnl"/>
        </w:rPr>
        <w:tab/>
        <w:t>En el artículo 5.62 del Código de Infracciones Administrativas se castigan tales prácticas discriminatorias con una multa administrativa por un importe de entre 1.000 y 3.000</w:t>
      </w:r>
      <w:r w:rsidR="00356D3C">
        <w:rPr>
          <w:lang w:val="es-ES_tradnl"/>
        </w:rPr>
        <w:t> </w:t>
      </w:r>
      <w:r w:rsidRPr="00625C2D">
        <w:rPr>
          <w:lang w:val="es-ES_tradnl"/>
        </w:rPr>
        <w:t>rublos en el caso de las personas físicas y de entre 50.000 y 100.000 rublos en el caso de las personas jurídicas.</w:t>
      </w:r>
    </w:p>
    <w:p w14:paraId="493F48B3" w14:textId="77777777" w:rsidR="00625C2D" w:rsidRPr="00625C2D" w:rsidRDefault="00625C2D" w:rsidP="00625C2D">
      <w:pPr>
        <w:pStyle w:val="SingleTxtG"/>
        <w:spacing w:after="130"/>
        <w:rPr>
          <w:lang w:val="es-ES_tradnl"/>
        </w:rPr>
      </w:pPr>
      <w:r w:rsidRPr="00625C2D">
        <w:rPr>
          <w:lang w:val="es-ES_tradnl"/>
        </w:rPr>
        <w:t>49.</w:t>
      </w:r>
      <w:r w:rsidRPr="00625C2D">
        <w:rPr>
          <w:lang w:val="es-ES_tradnl"/>
        </w:rPr>
        <w:tab/>
        <w:t>De acuerdo con el artículo 136 del Código Penal, los actos de discriminación se castigan con una multa de entre 100.000 y 300.000 rublos o el equivalente al salario u otros ingresos percibidos por la persona condenada durante un período de 1 a 2 años, hasta 5 años de inhabilitación para desempeñar determinados cargos o funciones, hasta 480 horas de trabajo en beneficio de la comunidad, hasta 2 años de trabajo tutelado con retención de salario o hasta 5 años de trabajo obligatorio o privación de libertad.</w:t>
      </w:r>
    </w:p>
    <w:p w14:paraId="1BD4C462" w14:textId="77777777" w:rsidR="00625C2D" w:rsidRPr="00625C2D" w:rsidRDefault="00625C2D" w:rsidP="00625C2D">
      <w:pPr>
        <w:pStyle w:val="SingleTxtG"/>
        <w:spacing w:after="130"/>
        <w:rPr>
          <w:bCs/>
          <w:iCs/>
          <w:lang w:val="es-ES_tradnl"/>
        </w:rPr>
      </w:pPr>
      <w:r w:rsidRPr="00625C2D">
        <w:rPr>
          <w:lang w:val="es-ES_tradnl"/>
        </w:rPr>
        <w:t>50.</w:t>
      </w:r>
      <w:r w:rsidRPr="00625C2D">
        <w:rPr>
          <w:lang w:val="es-ES_tradnl"/>
        </w:rPr>
        <w:tab/>
        <w:t>Con arreglo al artículo 144.1 del Código Penal, tanto la negativa injustificada a contratar a alguien porque haya alcanzado la edad de prejubilación como el despido injustificado de una persona por ese mismo motivo se castigan, o bien con una multa de hasta 200.000 rublos o el equivalente al salario u otros ingresos percibidos por la persona condenada durante un período de hasta 18 meses, o bien con hasta 360 horas de trabajo en beneficio de la comunidad.</w:t>
      </w:r>
    </w:p>
    <w:p w14:paraId="4C7EB6C6" w14:textId="1D0D11B3" w:rsidR="00625C2D" w:rsidRPr="00625C2D" w:rsidRDefault="00625C2D" w:rsidP="00625C2D">
      <w:pPr>
        <w:pStyle w:val="SingleTxtG"/>
        <w:spacing w:after="130"/>
        <w:rPr>
          <w:lang w:val="es-ES_tradnl"/>
        </w:rPr>
      </w:pPr>
      <w:r w:rsidRPr="00625C2D">
        <w:rPr>
          <w:lang w:val="es-ES_tradnl"/>
        </w:rPr>
        <w:t>51.</w:t>
      </w:r>
      <w:r w:rsidRPr="00625C2D">
        <w:rPr>
          <w:lang w:val="es-ES_tradnl"/>
        </w:rPr>
        <w:tab/>
        <w:t xml:space="preserve">El Servicio Federal de Trabajo y Empleo lleva desde 2021 organizando actividades con fines de formación profesional y complementaria para determinadas categorías de ciudadanos en el marco del proyecto federal </w:t>
      </w:r>
      <w:r w:rsidR="00680C36">
        <w:rPr>
          <w:lang w:val="es-ES_tradnl"/>
        </w:rPr>
        <w:t>“</w:t>
      </w:r>
      <w:r w:rsidRPr="00625C2D">
        <w:rPr>
          <w:lang w:val="es-ES_tradnl"/>
        </w:rPr>
        <w:t>Fomento del empleo</w:t>
      </w:r>
      <w:r w:rsidR="00680C36">
        <w:rPr>
          <w:lang w:val="es-ES_tradnl"/>
        </w:rPr>
        <w:t>”</w:t>
      </w:r>
      <w:r w:rsidRPr="00625C2D">
        <w:rPr>
          <w:lang w:val="es-ES_tradnl"/>
        </w:rPr>
        <w:t xml:space="preserve"> adscrito al proyecto nacional </w:t>
      </w:r>
      <w:r w:rsidR="00680C36">
        <w:rPr>
          <w:lang w:val="es-ES_tradnl"/>
        </w:rPr>
        <w:t>“</w:t>
      </w:r>
      <w:r w:rsidRPr="00625C2D">
        <w:rPr>
          <w:lang w:val="es-ES_tradnl"/>
        </w:rPr>
        <w:t>Demografía</w:t>
      </w:r>
      <w:r w:rsidR="00680C36">
        <w:rPr>
          <w:lang w:val="es-ES_tradnl"/>
        </w:rPr>
        <w:t>”</w:t>
      </w:r>
      <w:r w:rsidRPr="00625C2D">
        <w:rPr>
          <w:lang w:val="es-ES_tradnl"/>
        </w:rPr>
        <w:t>.</w:t>
      </w:r>
    </w:p>
    <w:p w14:paraId="3436953C" w14:textId="60FDF14C" w:rsidR="00625C2D" w:rsidRPr="00625C2D" w:rsidRDefault="00625C2D" w:rsidP="00625C2D">
      <w:pPr>
        <w:pStyle w:val="SingleTxtG"/>
        <w:spacing w:after="130"/>
        <w:rPr>
          <w:lang w:val="es-ES_tradnl"/>
        </w:rPr>
      </w:pPr>
      <w:r w:rsidRPr="00625C2D">
        <w:rPr>
          <w:lang w:val="es-ES_tradnl"/>
        </w:rPr>
        <w:t>52.</w:t>
      </w:r>
      <w:r w:rsidRPr="00625C2D">
        <w:rPr>
          <w:lang w:val="es-ES_tradnl"/>
        </w:rPr>
        <w:tab/>
        <w:t xml:space="preserve">Mediante la Resolución núm. 1545 del Gobierno, de 2 de septiembre de 2022, se añadió la siguiente categoría de participantes en dichas actividades: </w:t>
      </w:r>
      <w:r w:rsidR="00680C36">
        <w:rPr>
          <w:lang w:val="es-ES_tradnl"/>
        </w:rPr>
        <w:t>“</w:t>
      </w:r>
      <w:r w:rsidRPr="00625C2D">
        <w:rPr>
          <w:lang w:val="es-ES_tradnl"/>
        </w:rPr>
        <w:t>nacionales de Ucrania, ciudadanos de la República Popular de Donetsk, ciudadanos de la República Popular de Lugansk y apátridas con residencia permanente en los territorios de Ucrania, la República Popular de Donetsk, la República Popular de Lugansk que hayan recibido un documento de reconocimiento de la condición de refugiado o un certificado de asilo temporal en el territorio de la Federación de Rusia</w:t>
      </w:r>
      <w:r w:rsidR="00680C36">
        <w:rPr>
          <w:lang w:val="es-ES_tradnl"/>
        </w:rPr>
        <w:t>”</w:t>
      </w:r>
      <w:r w:rsidRPr="00625C2D">
        <w:rPr>
          <w:lang w:val="es-ES_tradnl"/>
        </w:rPr>
        <w:t xml:space="preserve">. Por Resolución del Gobierno de 5 de diciembre de 2022, dicha categoría se sustituyó por la de </w:t>
      </w:r>
      <w:r w:rsidR="00680C36">
        <w:rPr>
          <w:lang w:val="es-ES_tradnl"/>
        </w:rPr>
        <w:t>“</w:t>
      </w:r>
      <w:r w:rsidRPr="00625C2D">
        <w:rPr>
          <w:lang w:val="es-ES_tradnl"/>
        </w:rPr>
        <w:t>nacionales de Ucrania y apátridas con residencia permanente en el territorio de Ucrania que hayan recibido un documento de reconocimiento de la condición de refugiado o un certificado de asilo temporal en el territorio de la Federación de Rusia</w:t>
      </w:r>
      <w:r w:rsidR="00680C36">
        <w:rPr>
          <w:lang w:val="es-ES_tradnl"/>
        </w:rPr>
        <w:t>”</w:t>
      </w:r>
      <w:r w:rsidRPr="00625C2D">
        <w:rPr>
          <w:lang w:val="es-ES_tradnl"/>
        </w:rPr>
        <w:t>.</w:t>
      </w:r>
    </w:p>
    <w:p w14:paraId="2D07E754" w14:textId="77777777" w:rsidR="00625C2D" w:rsidRPr="00625C2D" w:rsidRDefault="00625C2D" w:rsidP="00625C2D">
      <w:pPr>
        <w:pStyle w:val="SingleTxtG"/>
        <w:spacing w:after="130"/>
        <w:rPr>
          <w:lang w:val="es-ES_tradnl"/>
        </w:rPr>
      </w:pPr>
      <w:r w:rsidRPr="00625C2D">
        <w:rPr>
          <w:lang w:val="es-ES_tradnl"/>
        </w:rPr>
        <w:t>53.</w:t>
      </w:r>
      <w:r w:rsidRPr="00625C2D">
        <w:rPr>
          <w:lang w:val="es-ES_tradnl"/>
        </w:rPr>
        <w:tab/>
        <w:t>En 2022, 113 personas incluidas en la categoría arriba mencionada recibieron la formación correspondiente (18 en 2023).</w:t>
      </w:r>
    </w:p>
    <w:p w14:paraId="234254C3" w14:textId="77777777" w:rsidR="00625C2D" w:rsidRPr="00625C2D" w:rsidRDefault="00625C2D" w:rsidP="00625C2D">
      <w:pPr>
        <w:pStyle w:val="SingleTxtG"/>
        <w:keepNext/>
        <w:keepLines/>
        <w:rPr>
          <w:lang w:val="es-ES_tradnl"/>
        </w:rPr>
      </w:pPr>
      <w:r w:rsidRPr="00625C2D">
        <w:rPr>
          <w:lang w:val="es-ES_tradnl"/>
        </w:rPr>
        <w:lastRenderedPageBreak/>
        <w:t>54.</w:t>
      </w:r>
      <w:r w:rsidRPr="00625C2D">
        <w:rPr>
          <w:lang w:val="es-ES_tradnl"/>
        </w:rPr>
        <w:tab/>
        <w:t>Se están adoptando medidas para proporcionar apoyo estatal a los empleadores con el fin de fomentar el empleo de determinadas categorías de ciudadanos, como el reembolso a los empleadores de parte de los gastos de remuneración de los trabajadores contratados en virtud de la Resolución núm. 362 del Gobierno relativa a la iniciativa de 2024 de prestación de apoyo estatal a personas jurídicas, incluidas organizaciones sin fines de lucro, y a empresarios individuales con el fin de fomentar el empleo de determinadas categorías de ciudadanos, de 13 de marzo de 2021. En 2024 participaron en estas actividades, entre otras personas, nacionales de Ucrania y apátridas con residencia permanente en territorio ucraniano que habían llegado de forma masiva y en condiciones de urgencia al territorio de la Federación de Rusia y que habían recibido un documento de reconocimiento de la condición de refugiado o un certificado de asilo temporal en el territorio de la Federación de Rusia.</w:t>
      </w:r>
    </w:p>
    <w:p w14:paraId="42BA8F1C" w14:textId="77777777" w:rsidR="00625C2D" w:rsidRPr="00625C2D" w:rsidRDefault="00625C2D" w:rsidP="00625C2D">
      <w:pPr>
        <w:pStyle w:val="SingleTxtG"/>
        <w:rPr>
          <w:lang w:val="es-ES_tradnl"/>
        </w:rPr>
      </w:pPr>
      <w:r w:rsidRPr="00625C2D">
        <w:rPr>
          <w:lang w:val="es-ES_tradnl"/>
        </w:rPr>
        <w:t>55.</w:t>
      </w:r>
      <w:r w:rsidRPr="00625C2D">
        <w:rPr>
          <w:lang w:val="es-ES_tradnl"/>
        </w:rPr>
        <w:tab/>
        <w:t>El deber y la obligación constitucionales de los nacionales de la Federación de Rusia de defender su patria se hacen efectivos mediante el deber militar y el servicio en las Fuerzas Armadas, de conformidad con la Ley Federal núm. 53-FZ del Deber Militar y el Servicio en las Fuerzas Armadas, de 28 de marzo de 1998.</w:t>
      </w:r>
    </w:p>
    <w:p w14:paraId="0A110FF3" w14:textId="77777777" w:rsidR="00625C2D" w:rsidRPr="00625C2D" w:rsidRDefault="00625C2D" w:rsidP="00625C2D">
      <w:pPr>
        <w:pStyle w:val="SingleTxtG"/>
        <w:rPr>
          <w:lang w:val="es-ES_tradnl"/>
        </w:rPr>
      </w:pPr>
      <w:r w:rsidRPr="00625C2D">
        <w:rPr>
          <w:lang w:val="es-ES_tradnl"/>
        </w:rPr>
        <w:t>56.</w:t>
      </w:r>
      <w:r w:rsidRPr="00625C2D">
        <w:rPr>
          <w:lang w:val="es-ES_tradnl"/>
        </w:rPr>
        <w:tab/>
        <w:t>De conformidad con lo dispuesto en la Ley Federal núm. 113-FZ del Servicio Civil como Alternativa al Servicio Militar, de 25 de julio de 2002, los ciudadanos tienen derecho a prestar un servicio civil en lugar del servicio militar por reclutamiento cuando este último sea contrario a sus creencias o su religión o cuando pertenezcan a un pueblo indígena minoritario de la Federación de Rusia, lleven un modo de vida tradicional y realicen actividades económicas tradicionales o se dediquen a la artesanía tradicional de los pueblos indígenas minoritarios de la Federación de Rusia. Las cuestiones relacionadas con la prestación del servicio militar por reclutamiento y en el marco de una movilización no contravienen los derechos y libertades de los ciudadanos ni contradicen la Constitución y están suficientemente reguladas en la legislación rusa.</w:t>
      </w:r>
    </w:p>
    <w:p w14:paraId="4B9D8A89" w14:textId="1A524314" w:rsidR="00625C2D" w:rsidRPr="00625C2D" w:rsidRDefault="00625C2D" w:rsidP="00625C2D">
      <w:pPr>
        <w:pStyle w:val="SingleTxtG"/>
        <w:rPr>
          <w:lang w:val="es-ES_tradnl"/>
        </w:rPr>
      </w:pPr>
      <w:r w:rsidRPr="00625C2D">
        <w:rPr>
          <w:lang w:val="es-ES_tradnl"/>
        </w:rPr>
        <w:t>57.</w:t>
      </w:r>
      <w:r w:rsidRPr="00625C2D">
        <w:rPr>
          <w:lang w:val="es-ES_tradnl"/>
        </w:rPr>
        <w:tab/>
        <w:t xml:space="preserve">Durante la movilización parcial llevada a cabo en la Federación de Rusia por el Decreto Presidencial núm. 647, de 21 de septiembre de 2022, nuestros enemigos, con ayuda de una comunidad de expertos controlados por ellos y de medios de comunicación parciales, llevaron a cabo activamente una campaña informativa para desacreditar las actividades de las Fuerzas Armadas de la Federación de Rusia durante la operación militar especial, entre otras cosas mediante la difusión de información sobre una presunta </w:t>
      </w:r>
      <w:r w:rsidR="00680C36">
        <w:rPr>
          <w:lang w:val="es-ES_tradnl"/>
        </w:rPr>
        <w:t>“</w:t>
      </w:r>
      <w:r w:rsidRPr="00625C2D">
        <w:rPr>
          <w:lang w:val="es-ES_tradnl"/>
        </w:rPr>
        <w:t>movilización forzada</w:t>
      </w:r>
      <w:r w:rsidR="00680C36">
        <w:rPr>
          <w:lang w:val="es-ES_tradnl"/>
        </w:rPr>
        <w:t>”</w:t>
      </w:r>
      <w:r w:rsidRPr="00625C2D">
        <w:rPr>
          <w:lang w:val="es-ES_tradnl"/>
        </w:rPr>
        <w:t>.</w:t>
      </w:r>
    </w:p>
    <w:p w14:paraId="75D87884" w14:textId="5FBFAB63" w:rsidR="00625C2D" w:rsidRPr="00625C2D" w:rsidRDefault="00625C2D" w:rsidP="00625C2D">
      <w:pPr>
        <w:pStyle w:val="SingleTxtG"/>
        <w:rPr>
          <w:lang w:val="es-ES_tradnl"/>
        </w:rPr>
      </w:pPr>
      <w:r w:rsidRPr="00625C2D">
        <w:rPr>
          <w:lang w:val="es-ES_tradnl"/>
        </w:rPr>
        <w:t>58.</w:t>
      </w:r>
      <w:r w:rsidRPr="00625C2D">
        <w:rPr>
          <w:lang w:val="es-ES_tradnl"/>
        </w:rPr>
        <w:tab/>
        <w:t>La proporción de funcionarias en las oficinas centrales de las autoridades estatales federales ha aumentado un 2</w:t>
      </w:r>
      <w:r w:rsidR="00893E0F">
        <w:rPr>
          <w:lang w:val="es-ES_tradnl"/>
        </w:rPr>
        <w:t xml:space="preserve"> </w:t>
      </w:r>
      <w:r w:rsidRPr="00625C2D">
        <w:rPr>
          <w:lang w:val="es-ES_tradnl"/>
        </w:rPr>
        <w:t>% en los últimos seis años, hasta alcanzar el 58</w:t>
      </w:r>
      <w:r w:rsidR="00893E0F">
        <w:rPr>
          <w:lang w:val="es-ES_tradnl"/>
        </w:rPr>
        <w:t xml:space="preserve"> </w:t>
      </w:r>
      <w:r w:rsidRPr="00625C2D">
        <w:rPr>
          <w:lang w:val="es-ES_tradnl"/>
        </w:rPr>
        <w:t>% en 2022; y entre los funcionarios estatales de los órganos del poder ejecutivo de las entidades constitutivas de la Federación de Rusia, un 4,5</w:t>
      </w:r>
      <w:r w:rsidR="00893E0F">
        <w:rPr>
          <w:lang w:val="es-ES_tradnl"/>
        </w:rPr>
        <w:t xml:space="preserve"> </w:t>
      </w:r>
      <w:r w:rsidRPr="00625C2D">
        <w:rPr>
          <w:lang w:val="es-ES_tradnl"/>
        </w:rPr>
        <w:t>% (74</w:t>
      </w:r>
      <w:r w:rsidR="00893E0F">
        <w:rPr>
          <w:lang w:val="es-ES_tradnl"/>
        </w:rPr>
        <w:t xml:space="preserve"> </w:t>
      </w:r>
      <w:r w:rsidRPr="00625C2D">
        <w:rPr>
          <w:lang w:val="es-ES_tradnl"/>
        </w:rPr>
        <w:t xml:space="preserve">% en 2022). La proporción de mujeres en la categoría de </w:t>
      </w:r>
      <w:r w:rsidR="00680C36">
        <w:rPr>
          <w:lang w:val="es-ES_tradnl"/>
        </w:rPr>
        <w:t>“</w:t>
      </w:r>
      <w:r w:rsidRPr="00625C2D">
        <w:rPr>
          <w:lang w:val="es-ES_tradnl"/>
        </w:rPr>
        <w:t>personal directivo</w:t>
      </w:r>
      <w:r w:rsidR="00680C36">
        <w:rPr>
          <w:lang w:val="es-ES_tradnl"/>
        </w:rPr>
        <w:t>”</w:t>
      </w:r>
      <w:r w:rsidRPr="00625C2D">
        <w:rPr>
          <w:lang w:val="es-ES_tradnl"/>
        </w:rPr>
        <w:t xml:space="preserve"> en las oficinas centrales de las autoridades estatales federales ha aumentado un 5,3</w:t>
      </w:r>
      <w:r w:rsidR="00893E0F">
        <w:rPr>
          <w:lang w:val="es-ES_tradnl"/>
        </w:rPr>
        <w:t xml:space="preserve"> </w:t>
      </w:r>
      <w:r w:rsidRPr="00625C2D">
        <w:rPr>
          <w:lang w:val="es-ES_tradnl"/>
        </w:rPr>
        <w:t>%, y representan casi el 40</w:t>
      </w:r>
      <w:r w:rsidR="00893E0F">
        <w:rPr>
          <w:lang w:val="es-ES_tradnl"/>
        </w:rPr>
        <w:t xml:space="preserve"> </w:t>
      </w:r>
      <w:r w:rsidRPr="00625C2D">
        <w:rPr>
          <w:lang w:val="es-ES_tradnl"/>
        </w:rPr>
        <w:t>% del total del personal directivo (en 2022, 1.200 mujeres); y entre el funcionariado estatal de los órganos del poder ejecutivo de las entidades constitutivas de la Federación de Rusia, un 2 % (61 % en 2022, o 25.300 mujeres).</w:t>
      </w:r>
    </w:p>
    <w:p w14:paraId="0C945C7D" w14:textId="53655EF8" w:rsidR="00625C2D" w:rsidRPr="00625C2D" w:rsidRDefault="00625C2D" w:rsidP="00625C2D">
      <w:pPr>
        <w:pStyle w:val="SingleTxtG"/>
        <w:rPr>
          <w:lang w:val="es-ES_tradnl"/>
        </w:rPr>
      </w:pPr>
      <w:r w:rsidRPr="00625C2D">
        <w:rPr>
          <w:lang w:val="es-ES_tradnl"/>
        </w:rPr>
        <w:t>59.</w:t>
      </w:r>
      <w:r w:rsidRPr="00625C2D">
        <w:rPr>
          <w:lang w:val="es-ES_tradnl"/>
        </w:rPr>
        <w:tab/>
        <w:t>En seis años, la proporción de mujeres en el total de cargos del poder judicial y los órganos de la fiscalía ha aumentado un 3,6</w:t>
      </w:r>
      <w:r w:rsidR="00893E0F">
        <w:rPr>
          <w:lang w:val="es-ES_tradnl"/>
        </w:rPr>
        <w:t xml:space="preserve"> </w:t>
      </w:r>
      <w:r w:rsidRPr="00625C2D">
        <w:rPr>
          <w:lang w:val="es-ES_tradnl"/>
        </w:rPr>
        <w:t>% (a finales de 2022 se situaba en el 81,1</w:t>
      </w:r>
      <w:r w:rsidR="00893E0F">
        <w:rPr>
          <w:lang w:val="es-ES_tradnl"/>
        </w:rPr>
        <w:t xml:space="preserve"> </w:t>
      </w:r>
      <w:r w:rsidRPr="00625C2D">
        <w:rPr>
          <w:lang w:val="es-ES_tradnl"/>
        </w:rPr>
        <w:t>%).</w:t>
      </w:r>
    </w:p>
    <w:p w14:paraId="32ACD6B1" w14:textId="77777777" w:rsidR="00625C2D" w:rsidRPr="00625C2D" w:rsidRDefault="00625C2D" w:rsidP="00625C2D">
      <w:pPr>
        <w:pStyle w:val="SingleTxtG"/>
        <w:rPr>
          <w:lang w:val="es-ES_tradnl"/>
        </w:rPr>
      </w:pPr>
      <w:r w:rsidRPr="00625C2D">
        <w:rPr>
          <w:lang w:val="es-ES_tradnl"/>
        </w:rPr>
        <w:t>60.</w:t>
      </w:r>
      <w:r w:rsidRPr="00625C2D">
        <w:rPr>
          <w:lang w:val="es-ES_tradnl"/>
        </w:rPr>
        <w:tab/>
        <w:t>En 2024, el porcentaje de diputadas en la Duma Estatal de la Asamblea Federal de la Federación de Rusia se situaba en el 16,4 % y el de senadoras en el Consejo de la Federación de la Asamblea Federal, en el 19,7 %.</w:t>
      </w:r>
    </w:p>
    <w:p w14:paraId="2BB50F61" w14:textId="77777777" w:rsidR="00625C2D" w:rsidRPr="00625C2D" w:rsidRDefault="00625C2D" w:rsidP="00625C2D">
      <w:pPr>
        <w:pStyle w:val="SingleTxtG"/>
        <w:rPr>
          <w:lang w:val="es-ES_tradnl"/>
        </w:rPr>
      </w:pPr>
      <w:r w:rsidRPr="00625C2D">
        <w:rPr>
          <w:lang w:val="es-ES_tradnl"/>
        </w:rPr>
        <w:t>61.</w:t>
      </w:r>
      <w:r w:rsidRPr="00625C2D">
        <w:rPr>
          <w:lang w:val="es-ES_tradnl"/>
        </w:rPr>
        <w:tab/>
        <w:t>Los siguientes puestos están ocupados por mujeres: la Presidencia del Consejo de la Federación de la Asamblea Federal de la Federación de Rusia, la Vicepresidencia del Consejo de la Federación de la Asamblea Federal, la Vicepresidencia de la Duma Estatal de la Asamblea Federal, la Presidencia y varias Vicepresidencias del Tribunal Supremo y varios puestos de magistrado del Tribunal Constitucional, así como la Presidencia del Banco Central de Rusia, la Presidencia de la Comisión Electoral Central, la Dirección del Servicio Federal de Supervisión en el Ámbito de la Salud, la Dirección del Servicio Federal de Vigilancia de la Gestión de los Recursos Naturales, la Dirección del Organismo Federal de Medicina y Biología, la Defensoría de los Derechos Humanos de la Federación de Rusia y la Defensoría de los Derechos del Niño dependiente de la Presidencia de la Federación.</w:t>
      </w:r>
    </w:p>
    <w:p w14:paraId="5C1BD63A" w14:textId="77777777" w:rsidR="00625C2D" w:rsidRPr="00625C2D" w:rsidRDefault="00625C2D" w:rsidP="00625C2D">
      <w:pPr>
        <w:pStyle w:val="SingleTxtG"/>
        <w:rPr>
          <w:lang w:val="es-ES_tradnl"/>
        </w:rPr>
      </w:pPr>
      <w:r w:rsidRPr="00625C2D">
        <w:rPr>
          <w:lang w:val="es-ES_tradnl"/>
        </w:rPr>
        <w:lastRenderedPageBreak/>
        <w:t>62.</w:t>
      </w:r>
      <w:r w:rsidRPr="00625C2D">
        <w:rPr>
          <w:lang w:val="es-ES_tradnl"/>
        </w:rPr>
        <w:tab/>
        <w:t>En la composición del Gobierno de la Federación de Rusia hay tres mujeres, a saber: la Vicepresidenta del Gobierno, la Ministra de Agricultura y la Ministra de Cultura.</w:t>
      </w:r>
    </w:p>
    <w:p w14:paraId="32F64EAE" w14:textId="63ECC6E4" w:rsidR="00625C2D" w:rsidRPr="00625C2D" w:rsidRDefault="00625C2D" w:rsidP="00625C2D">
      <w:pPr>
        <w:pStyle w:val="SingleTxtG"/>
        <w:rPr>
          <w:lang w:val="es-ES_tradnl"/>
        </w:rPr>
      </w:pPr>
      <w:r w:rsidRPr="00625C2D">
        <w:rPr>
          <w:lang w:val="es-ES_tradnl"/>
        </w:rPr>
        <w:t>63.</w:t>
      </w:r>
      <w:r w:rsidRPr="00625C2D">
        <w:rPr>
          <w:lang w:val="es-ES_tradnl"/>
        </w:rPr>
        <w:tab/>
        <w:t>La brecha salarial entre hombres y mujeres se debe a varias razones, entre ellas el reparto tradicional de las tareas domésticas, según el cual las mujeres se dedican al cuidado de la familia y los hijos. En esos casos, las mujeres optan por unos horarios y una carga laborales que les permiten dedicar más tiempo a la crianza de los hijos y a las responsabilidades familiares y que conllevan una remuneración distinta. La diferencia de remuneración entre hombres y mujeres no está condicionada por el sexo de la persona, sino por la complejidad del trabajo y las condiciones laborales.</w:t>
      </w:r>
    </w:p>
    <w:p w14:paraId="2E353A5C" w14:textId="77777777" w:rsidR="00625C2D" w:rsidRPr="00625C2D" w:rsidRDefault="00625C2D" w:rsidP="00625C2D">
      <w:pPr>
        <w:pStyle w:val="SingleTxtG"/>
        <w:rPr>
          <w:lang w:val="es-ES_tradnl"/>
        </w:rPr>
      </w:pPr>
      <w:r w:rsidRPr="00625C2D">
        <w:rPr>
          <w:lang w:val="es-ES_tradnl"/>
        </w:rPr>
        <w:t>64.</w:t>
      </w:r>
      <w:r w:rsidRPr="00625C2D">
        <w:rPr>
          <w:lang w:val="es-ES_tradnl"/>
        </w:rPr>
        <w:tab/>
        <w:t>Se están introduciendo diversos programas con el fin de fomentar las competencias profesionales de las mujeres y su capacidad de liderazgo.</w:t>
      </w:r>
    </w:p>
    <w:p w14:paraId="4B0CAA65" w14:textId="732D58B0" w:rsidR="00625C2D" w:rsidRPr="00625C2D" w:rsidRDefault="00625C2D" w:rsidP="00625C2D">
      <w:pPr>
        <w:pStyle w:val="SingleTxtG"/>
        <w:rPr>
          <w:lang w:val="es-ES_tradnl"/>
        </w:rPr>
      </w:pPr>
      <w:r w:rsidRPr="00625C2D">
        <w:rPr>
          <w:lang w:val="es-ES_tradnl"/>
        </w:rPr>
        <w:t>65.</w:t>
      </w:r>
      <w:r w:rsidRPr="00625C2D">
        <w:rPr>
          <w:lang w:val="es-ES_tradnl"/>
        </w:rPr>
        <w:tab/>
        <w:t>Tras concluir en 2022 la ejecución de la Estrategia Nacional para la Mujer (2017</w:t>
      </w:r>
      <w:r w:rsidR="00F26228">
        <w:rPr>
          <w:lang w:val="es-ES_tradnl"/>
        </w:rPr>
        <w:noBreakHyphen/>
      </w:r>
      <w:r w:rsidRPr="00625C2D">
        <w:rPr>
          <w:lang w:val="es-ES_tradnl"/>
        </w:rPr>
        <w:t>2022), aprobada mediante la Disposición núm. 410-r del Gobierno, de 8 de marzo de 2017, se elaboró la Estrategia Nacional para la Mujer (2023-2030), que fue posteriormente aprobada mediante la Disposición núm. 4356-r del Gobierno, de 29 de diciembre de 2022.</w:t>
      </w:r>
    </w:p>
    <w:p w14:paraId="3FF1CFC4" w14:textId="5E640374" w:rsidR="00625C2D" w:rsidRPr="00625C2D" w:rsidRDefault="00625C2D" w:rsidP="00625C2D">
      <w:pPr>
        <w:pStyle w:val="SingleTxtG"/>
        <w:rPr>
          <w:lang w:val="es-ES_tradnl"/>
        </w:rPr>
      </w:pPr>
      <w:r w:rsidRPr="00625C2D">
        <w:rPr>
          <w:lang w:val="es-ES_tradnl"/>
        </w:rPr>
        <w:t>66.</w:t>
      </w:r>
      <w:r w:rsidRPr="00625C2D">
        <w:rPr>
          <w:lang w:val="es-ES_tradnl"/>
        </w:rPr>
        <w:tab/>
        <w:t xml:space="preserve">Los objetivos de la Estrategia Nacional para la Mujer (2023-2030) se agrupan en cinco ámbitos: </w:t>
      </w:r>
      <w:r w:rsidR="00680C36">
        <w:rPr>
          <w:lang w:val="es-ES_tradnl"/>
        </w:rPr>
        <w:t>“</w:t>
      </w:r>
      <w:r w:rsidRPr="00625C2D">
        <w:rPr>
          <w:lang w:val="es-ES_tradnl"/>
        </w:rPr>
        <w:t>Reforzar la posición de la mujer en la vida sociopolítica del país. Crear las condiciones necesarias para fomentar su participación ciudadana</w:t>
      </w:r>
      <w:r w:rsidR="00680C36">
        <w:rPr>
          <w:lang w:val="es-ES_tradnl"/>
        </w:rPr>
        <w:t>”</w:t>
      </w:r>
      <w:r w:rsidRPr="00625C2D">
        <w:rPr>
          <w:lang w:val="es-ES_tradnl"/>
        </w:rPr>
        <w:t xml:space="preserve">; </w:t>
      </w:r>
      <w:r w:rsidR="00680C36">
        <w:rPr>
          <w:lang w:val="es-ES_tradnl"/>
        </w:rPr>
        <w:t>“</w:t>
      </w:r>
      <w:r w:rsidRPr="00625C2D">
        <w:rPr>
          <w:lang w:val="es-ES_tradnl"/>
        </w:rPr>
        <w:t>Mejorar el papel de la mujer en el desarrollo socioeconómico de la sociedad y su calidad de vida</w:t>
      </w:r>
      <w:r w:rsidR="00680C36">
        <w:rPr>
          <w:lang w:val="es-ES_tradnl"/>
        </w:rPr>
        <w:t>”</w:t>
      </w:r>
      <w:r w:rsidRPr="00625C2D">
        <w:rPr>
          <w:lang w:val="es-ES_tradnl"/>
        </w:rPr>
        <w:t xml:space="preserve">; </w:t>
      </w:r>
      <w:r w:rsidR="00680C36">
        <w:rPr>
          <w:lang w:val="es-ES_tradnl"/>
        </w:rPr>
        <w:t>“</w:t>
      </w:r>
      <w:r w:rsidRPr="00625C2D">
        <w:rPr>
          <w:lang w:val="es-ES_tradnl"/>
        </w:rPr>
        <w:t>Mejorar la participación de la mujer en las esferas prioritarias del desarrollo socioeconómico del país, incluida la formación de nuevos puntos de crecimiento económico</w:t>
      </w:r>
      <w:r w:rsidR="00680C36">
        <w:rPr>
          <w:lang w:val="es-ES_tradnl"/>
        </w:rPr>
        <w:t>”</w:t>
      </w:r>
      <w:r w:rsidRPr="00625C2D">
        <w:rPr>
          <w:lang w:val="es-ES_tradnl"/>
        </w:rPr>
        <w:t xml:space="preserve">; </w:t>
      </w:r>
      <w:r w:rsidR="00680C36">
        <w:rPr>
          <w:lang w:val="es-ES_tradnl"/>
        </w:rPr>
        <w:t>“</w:t>
      </w:r>
      <w:r w:rsidRPr="00625C2D">
        <w:rPr>
          <w:lang w:val="es-ES_tradnl"/>
        </w:rPr>
        <w:t>Preservar la salud de las mujeres de cualquier edad. Crear las condiciones necesarias para promover el papel de la mujer en la construcción de una sociedad sana</w:t>
      </w:r>
      <w:r w:rsidR="00680C36">
        <w:rPr>
          <w:lang w:val="es-ES_tradnl"/>
        </w:rPr>
        <w:t>”</w:t>
      </w:r>
      <w:r w:rsidRPr="00625C2D">
        <w:rPr>
          <w:lang w:val="es-ES_tradnl"/>
        </w:rPr>
        <w:t xml:space="preserve">; y </w:t>
      </w:r>
      <w:r w:rsidR="00680C36">
        <w:rPr>
          <w:lang w:val="es-ES_tradnl"/>
        </w:rPr>
        <w:t>“</w:t>
      </w:r>
      <w:r w:rsidRPr="00625C2D">
        <w:rPr>
          <w:lang w:val="es-ES_tradnl"/>
        </w:rPr>
        <w:t>Evitar que las mujeres se encuentren en situación de desventaja social</w:t>
      </w:r>
      <w:r w:rsidR="00680C36">
        <w:rPr>
          <w:lang w:val="es-ES_tradnl"/>
        </w:rPr>
        <w:t>”</w:t>
      </w:r>
      <w:r w:rsidRPr="00625C2D">
        <w:rPr>
          <w:lang w:val="es-ES_tradnl"/>
        </w:rPr>
        <w:t>.</w:t>
      </w:r>
    </w:p>
    <w:p w14:paraId="3ABC5B55" w14:textId="77777777" w:rsidR="00625C2D" w:rsidRPr="00625C2D" w:rsidRDefault="00625C2D" w:rsidP="00625C2D">
      <w:pPr>
        <w:pStyle w:val="SingleTxtG"/>
        <w:rPr>
          <w:lang w:val="es-ES_tradnl"/>
        </w:rPr>
      </w:pPr>
      <w:r w:rsidRPr="00625C2D">
        <w:rPr>
          <w:lang w:val="es-ES_tradnl"/>
        </w:rPr>
        <w:t>67.</w:t>
      </w:r>
      <w:r w:rsidRPr="00625C2D">
        <w:rPr>
          <w:lang w:val="es-ES_tradnl"/>
        </w:rPr>
        <w:tab/>
        <w:t>El Consejo de Coordinación de la Ejecución de la Estrategia Nacional para la Mujer (2023-2030), dependiente del Gobierno de la Federación, se encarga de organizar la colaboración entre las autoridades federales, las autoridades de las entidades constitutivas de la Federación de Rusia, las autoridades locales y las organizaciones científicas, de la sociedad civil y de otro tipo en relación con la mejora de la política para el adelanto de la mujer y la preparación de propuestas para determinar esferas prioritarias y medidas de política estatal en favor de la mujer.</w:t>
      </w:r>
    </w:p>
    <w:p w14:paraId="6708B081" w14:textId="5DCE15E1" w:rsidR="00625C2D" w:rsidRPr="00625C2D" w:rsidRDefault="00625C2D" w:rsidP="00625C2D">
      <w:pPr>
        <w:pStyle w:val="SingleTxtG"/>
        <w:rPr>
          <w:lang w:val="es-ES_tradnl"/>
        </w:rPr>
      </w:pPr>
      <w:r w:rsidRPr="00625C2D">
        <w:rPr>
          <w:lang w:val="es-ES_tradnl"/>
        </w:rPr>
        <w:t>68.</w:t>
      </w:r>
      <w:r w:rsidRPr="00625C2D">
        <w:rPr>
          <w:lang w:val="es-ES_tradnl"/>
        </w:rPr>
        <w:tab/>
        <w:t>El registro de organizaciones sin fines de lucro contiene información sobre 847</w:t>
      </w:r>
      <w:r w:rsidR="00F26228">
        <w:rPr>
          <w:lang w:val="es-ES_tradnl"/>
        </w:rPr>
        <w:t> </w:t>
      </w:r>
      <w:r w:rsidRPr="00625C2D">
        <w:rPr>
          <w:lang w:val="es-ES_tradnl"/>
        </w:rPr>
        <w:t>organizaciones de este tipo que se dedican a proteger los derechos de las mujeres y a representar sus intereses. Una de estas organizaciones es la Unión de Mujeres de Rusia, una institución público-civil de ámbito nacional.</w:t>
      </w:r>
    </w:p>
    <w:p w14:paraId="536842E4" w14:textId="2BA73A8D" w:rsidR="00625C2D" w:rsidRPr="00625C2D" w:rsidRDefault="00625C2D" w:rsidP="00625C2D">
      <w:pPr>
        <w:pStyle w:val="H1G"/>
        <w:rPr>
          <w:lang w:val="es-ES_tradnl"/>
        </w:rPr>
      </w:pPr>
      <w:r w:rsidRPr="00625C2D">
        <w:rPr>
          <w:lang w:val="es-ES_tradnl"/>
        </w:rPr>
        <w:tab/>
        <w:t>C.</w:t>
      </w:r>
      <w:r w:rsidRPr="00625C2D">
        <w:rPr>
          <w:lang w:val="es-ES_tradnl"/>
        </w:rPr>
        <w:tab/>
        <w:t>Cuestiones relativas a disposiciones específicas del Pacto</w:t>
      </w:r>
      <w:r>
        <w:rPr>
          <w:lang w:val="es-ES_tradnl"/>
        </w:rPr>
        <w:br/>
      </w:r>
      <w:r w:rsidRPr="00625C2D">
        <w:rPr>
          <w:lang w:val="es-ES_tradnl"/>
        </w:rPr>
        <w:t>(arts. 6 a 15)</w:t>
      </w:r>
    </w:p>
    <w:p w14:paraId="61DB1299" w14:textId="6290D41D" w:rsidR="00625C2D" w:rsidRPr="00625C2D" w:rsidRDefault="00625C2D" w:rsidP="00625C2D">
      <w:pPr>
        <w:pStyle w:val="SingleTxtG"/>
        <w:rPr>
          <w:lang w:val="es-ES_tradnl"/>
        </w:rPr>
      </w:pPr>
      <w:r w:rsidRPr="00625C2D">
        <w:rPr>
          <w:lang w:val="es-ES_tradnl"/>
        </w:rPr>
        <w:t>69.</w:t>
      </w:r>
      <w:r w:rsidRPr="00625C2D">
        <w:rPr>
          <w:lang w:val="es-ES_tradnl"/>
        </w:rPr>
        <w:tab/>
        <w:t>En la Ley Federal núm. 565-FZ de Empleo en la Federación de Rusia, aprobada el</w:t>
      </w:r>
      <w:r w:rsidR="00CD7A47">
        <w:rPr>
          <w:lang w:val="es-ES_tradnl"/>
        </w:rPr>
        <w:t> </w:t>
      </w:r>
      <w:r w:rsidRPr="00625C2D">
        <w:rPr>
          <w:lang w:val="es-ES_tradnl"/>
        </w:rPr>
        <w:t>12</w:t>
      </w:r>
      <w:r w:rsidR="00CD7A47">
        <w:rPr>
          <w:lang w:val="es-ES_tradnl"/>
        </w:rPr>
        <w:t> </w:t>
      </w:r>
      <w:r w:rsidRPr="00625C2D">
        <w:rPr>
          <w:lang w:val="es-ES_tradnl"/>
        </w:rPr>
        <w:t>de diciembre de 2023, se definen las bases jurídicas, económicas y organizativas de la política estatal de empleo y el control público del cumplimiento de la legislación en materia de empleo.</w:t>
      </w:r>
    </w:p>
    <w:p w14:paraId="2C655565" w14:textId="77777777" w:rsidR="00625C2D" w:rsidRPr="00625C2D" w:rsidRDefault="00625C2D" w:rsidP="00625C2D">
      <w:pPr>
        <w:pStyle w:val="SingleTxtG"/>
        <w:rPr>
          <w:lang w:val="es-ES_tradnl"/>
        </w:rPr>
      </w:pPr>
      <w:r w:rsidRPr="00625C2D">
        <w:rPr>
          <w:lang w:val="es-ES_tradnl"/>
        </w:rPr>
        <w:t>70.</w:t>
      </w:r>
      <w:r w:rsidRPr="00625C2D">
        <w:rPr>
          <w:lang w:val="es-ES_tradnl"/>
        </w:rPr>
        <w:tab/>
        <w:t>Dada la importancia de los problemas de empleo de las personas con discapacidad, la Ley Federal núm. 565-FZ contiene un capítulo específico dedicado al fomento del empleo de dichas personas (el capítulo 7, en vigor desde el 1 de septiembre de 2024), en el que se regula el procedimiento para adoptar medidas específicas con el fin de fomentar el empleo de las personas con discapacidad, el establecimiento de cuotas de reserva para la contratación de personas con discapacidad, la normativa relativa a la adaptación de los lugares de trabajo para el empleo de personas con discapacidad y la normativa relativa al acompañamiento de estas personas en la búsqueda de empleo.</w:t>
      </w:r>
    </w:p>
    <w:p w14:paraId="4689C70D" w14:textId="77777777" w:rsidR="00625C2D" w:rsidRPr="00625C2D" w:rsidRDefault="00625C2D" w:rsidP="00625C2D">
      <w:pPr>
        <w:pStyle w:val="SingleTxtG"/>
        <w:rPr>
          <w:lang w:val="es-ES_tradnl"/>
        </w:rPr>
      </w:pPr>
      <w:r w:rsidRPr="00625C2D">
        <w:rPr>
          <w:lang w:val="es-ES_tradnl"/>
        </w:rPr>
        <w:t>71.</w:t>
      </w:r>
      <w:r w:rsidRPr="00625C2D">
        <w:rPr>
          <w:lang w:val="es-ES_tradnl"/>
        </w:rPr>
        <w:tab/>
        <w:t xml:space="preserve">Mediante la Disposición núm. 2401-r del Gobierno, de 2 de septiembre de 2024, se aprobaron el Marco para Aumentar el Número de Personas con Discapacidad Empleadas hasta el Año 2030 y el plan de acción para su ejecución. Las principales disposiciones de ese </w:t>
      </w:r>
      <w:r w:rsidRPr="00625C2D">
        <w:rPr>
          <w:lang w:val="es-ES_tradnl"/>
        </w:rPr>
        <w:lastRenderedPageBreak/>
        <w:t>marco están en conformidad con las obligaciones de aplicar la Convención sobre los Derechos de las Personas con Discapacidad y tienen por objeto eliminar los factores externos que afectan a la accesibilidad y la calidad del empleo y la ocupación de las personas con discapacidad y ofrecerles el apoyo que necesiten, así como ayudas específicas, teniendo en cuenta sus necesidades particulares y su potencial de empleo.</w:t>
      </w:r>
    </w:p>
    <w:p w14:paraId="2EA622E1" w14:textId="77777777" w:rsidR="00625C2D" w:rsidRPr="00625C2D" w:rsidRDefault="00625C2D" w:rsidP="00625C2D">
      <w:pPr>
        <w:pStyle w:val="SingleTxtG"/>
        <w:rPr>
          <w:lang w:val="es-ES_tradnl"/>
        </w:rPr>
      </w:pPr>
      <w:r w:rsidRPr="00625C2D">
        <w:rPr>
          <w:lang w:val="es-ES_tradnl"/>
        </w:rPr>
        <w:t>72.</w:t>
      </w:r>
      <w:r w:rsidRPr="00625C2D">
        <w:rPr>
          <w:lang w:val="es-ES_tradnl"/>
        </w:rPr>
        <w:tab/>
        <w:t>En el marco del programa de apoyo estatal a las personas jurídicas, incluidas las organizaciones sin fines de lucro, y a los empresarios individuales con el fin de fomentar el empleo de determinadas categorías de ciudadanos, aprobado por la Resolución núm. 362 del Gobierno, de 13 de marzo de 2021, los empleadores reciben un reembolso parcial de los gastos en concepto de remuneración de los empleados pertenecientes a dichas categorías. Los empleadores pueden recibir ayudas estatales al contratar a ciudadanos dados de alta en las oficinas de empleo. La empresa recibe un primer pago un mes después de que haya contratado a la persona desempleada; el segundo, tres meses después; y el tercero, seis meses después.</w:t>
      </w:r>
    </w:p>
    <w:p w14:paraId="3694CD75" w14:textId="77777777" w:rsidR="00625C2D" w:rsidRPr="00625C2D" w:rsidRDefault="00625C2D" w:rsidP="00625C2D">
      <w:pPr>
        <w:pStyle w:val="SingleTxtG"/>
        <w:rPr>
          <w:lang w:val="es-ES_tradnl"/>
        </w:rPr>
      </w:pPr>
      <w:r w:rsidRPr="00625C2D">
        <w:rPr>
          <w:lang w:val="es-ES_tradnl"/>
        </w:rPr>
        <w:t>73.</w:t>
      </w:r>
      <w:r w:rsidRPr="00625C2D">
        <w:rPr>
          <w:lang w:val="es-ES_tradnl"/>
        </w:rPr>
        <w:tab/>
        <w:t>En el caso de que un empleador, empresario individual o fundador de una organización que tenga una discapacidad y/o una organización civil nacional de personas con discapacidad contrate a una persona con discapacidad dada de alta en las oficinas de empleo, tiene derecho a una ayuda equivalente al producto de la cuantía de los pagos previstos por cada ciudadano empleado por el número efectivo de ciudadanos empleados un mes, tres meses y seis meses después de la fecha de su contratación.</w:t>
      </w:r>
    </w:p>
    <w:p w14:paraId="059AD26E" w14:textId="77777777" w:rsidR="00625C2D" w:rsidRPr="00625C2D" w:rsidRDefault="00625C2D" w:rsidP="00625C2D">
      <w:pPr>
        <w:pStyle w:val="SingleTxtG"/>
        <w:rPr>
          <w:lang w:val="es-ES_tradnl"/>
        </w:rPr>
      </w:pPr>
      <w:r w:rsidRPr="00625C2D">
        <w:rPr>
          <w:lang w:val="es-ES_tradnl"/>
        </w:rPr>
        <w:t>74.</w:t>
      </w:r>
      <w:r w:rsidRPr="00625C2D">
        <w:rPr>
          <w:lang w:val="es-ES_tradnl"/>
        </w:rPr>
        <w:tab/>
        <w:t>En cumplimiento de una instrucción del Presidente de la Federación de Rusia, en las reuniones del Grupo de Trabajo Interinstitucional para la Recuperación del Mercado Laboral se examinó la situación de aquellas regiones que presentaban más problemas en cuanto al mercado laboral y se idearon medidas de apoyo adecuadas para dichas regiones. Basándose en los resultados del análisis de la situación de los mercados de trabajo regionales y la evaluación del potencial de empleo de la población a octubre de 2023, se determinaron cuáles eran las diez entidades constitutivas de la Federación de Rusia con la tasa de desempleo más alta empleando la metodología de la Organización Internacional del Trabajo (OIT), incluidas seis entidades constitutivas de la circunscripción federal del Cáucaso Septentrional: la república de Osetia del Norte-Alania, la república de Daguestán, la república de Ingusetia, la república de Karacháyevo-Cherkesia, la república de Kabardino-Balkaria y la república de Chechenia.</w:t>
      </w:r>
    </w:p>
    <w:p w14:paraId="1F878008" w14:textId="77777777" w:rsidR="00625C2D" w:rsidRPr="00625C2D" w:rsidRDefault="00625C2D" w:rsidP="00625C2D">
      <w:pPr>
        <w:pStyle w:val="SingleTxtG"/>
        <w:rPr>
          <w:lang w:val="es-ES_tradnl"/>
        </w:rPr>
      </w:pPr>
      <w:r w:rsidRPr="00625C2D">
        <w:rPr>
          <w:lang w:val="es-ES_tradnl"/>
        </w:rPr>
        <w:t>75.</w:t>
      </w:r>
      <w:r w:rsidRPr="00625C2D">
        <w:rPr>
          <w:lang w:val="es-ES_tradnl"/>
        </w:rPr>
        <w:tab/>
        <w:t>Se han elaborado varias hojas de ruta, las cuales son ejecutadas por las autoridades ejecutivas federales con cargo a las asignaciones presupuestarias previstas en la ley del presupuesto federal para el ejercicio financiero en curso y para el período que abarca el marco, así como por las autoridades de las entidades constitutivas de la Federación de Rusia con cargo al presupuesto de la entidad en cuestión sin recibir asignaciones presupuestarias adicionales del presupuesto federal. Las hojas de ruta se han aprobado mediante instrumentos jurídicos y normativos en seis de las entidades constitutivas de la Federación de Rusia que integran la circunscripción federal del Cáucaso Septentrional.</w:t>
      </w:r>
    </w:p>
    <w:p w14:paraId="2C4783FB" w14:textId="3070FF7B" w:rsidR="00625C2D" w:rsidRPr="00625C2D" w:rsidRDefault="00625C2D" w:rsidP="00625C2D">
      <w:pPr>
        <w:pStyle w:val="SingleTxtG"/>
        <w:rPr>
          <w:lang w:val="es-ES_tradnl"/>
        </w:rPr>
      </w:pPr>
      <w:r w:rsidRPr="00625C2D">
        <w:rPr>
          <w:lang w:val="es-ES_tradnl"/>
        </w:rPr>
        <w:t>76.</w:t>
      </w:r>
      <w:r w:rsidRPr="00625C2D">
        <w:rPr>
          <w:lang w:val="es-ES_tradnl"/>
        </w:rPr>
        <w:tab/>
        <w:t xml:space="preserve">Cada hoja de ruta contiene unas metas para la evolución de la tasa de desempleo registrada y la tasa de desempleo calculada empleando la metodología de la OIT, el número de ciudadanos desempleados dados de alta en las oficinas de empleo, la tasa de actividad de las personas con un nivel de estudios secundarios profesionales o superiores, el número de puestos de trabajo creados, el número de ciudadanos empleados en la economía sumergida detectados y regularizados, la proporción de ciudadanos desempleados dados de baja del registro tras haber encontrado un empleo respecto del número total de ciudadanos desempleados dados de baja y el porcentaje de egresados de centros educativos que están cursando algún programa de enseñanza secundaria profesional en el marco del proyecto federal titulado </w:t>
      </w:r>
      <w:r w:rsidR="00680C36">
        <w:rPr>
          <w:lang w:val="es-ES_tradnl"/>
        </w:rPr>
        <w:t>“</w:t>
      </w:r>
      <w:r w:rsidRPr="00625C2D">
        <w:rPr>
          <w:lang w:val="es-ES_tradnl"/>
        </w:rPr>
        <w:t>Profesionalidad</w:t>
      </w:r>
      <w:r w:rsidR="00680C36">
        <w:rPr>
          <w:lang w:val="es-ES_tradnl"/>
        </w:rPr>
        <w:t>”</w:t>
      </w:r>
      <w:r w:rsidRPr="00625C2D">
        <w:rPr>
          <w:lang w:val="es-ES_tradnl"/>
        </w:rPr>
        <w:t>.</w:t>
      </w:r>
    </w:p>
    <w:p w14:paraId="4E9EFC30" w14:textId="2124B38B" w:rsidR="00625C2D" w:rsidRPr="00625C2D" w:rsidRDefault="00625C2D" w:rsidP="00625C2D">
      <w:pPr>
        <w:pStyle w:val="SingleTxtG"/>
        <w:rPr>
          <w:lang w:val="es-ES_tradnl"/>
        </w:rPr>
      </w:pPr>
      <w:r w:rsidRPr="00625C2D">
        <w:rPr>
          <w:lang w:val="es-ES_tradnl"/>
        </w:rPr>
        <w:t>77.</w:t>
      </w:r>
      <w:r w:rsidRPr="00625C2D">
        <w:rPr>
          <w:lang w:val="es-ES_tradnl"/>
        </w:rPr>
        <w:tab/>
        <w:t xml:space="preserve">Se prevé que, a raíz de la ejecución de las hojas de ruta, en 2030 haya mejorado la calidad de la educación, se imparta formación específica adaptada a las necesidades de los empresarios y se haya reforzado la colaboración entre los centros de formación profesional y las empresas y empleadores. Asimismo, de aquí a 2030, la tasa de actividad de las personas con nivel de estudios secundarios profesionales o superiores se multiplicará en promedio por 1,5, y la tasa de desempleo registrada en las entidades constitutivas de la Federación de Rusia se reducirá en promedio en un tercio. Está previsto que en 2030 se hayan creado al menos </w:t>
      </w:r>
      <w:r w:rsidRPr="00625C2D">
        <w:rPr>
          <w:lang w:val="es-ES_tradnl"/>
        </w:rPr>
        <w:lastRenderedPageBreak/>
        <w:t>251.700 puestos de trabajo en las entidades constitutivas de la Federación de Rusia que integran la circunscripción federal del Cáucaso Septentrional. Se crearán puestos de trabajo a través de proyectos de inversión, entre otros ámbitos en los sectores con mayor potencial de crecimiento, como la agricultura y el turismo, así como en la industria, incluida la industria manufacturera.</w:t>
      </w:r>
    </w:p>
    <w:p w14:paraId="443DACA2" w14:textId="77777777" w:rsidR="00625C2D" w:rsidRPr="00625C2D" w:rsidRDefault="00625C2D" w:rsidP="00625C2D">
      <w:pPr>
        <w:pStyle w:val="SingleTxtG"/>
        <w:rPr>
          <w:lang w:val="es-ES_tradnl"/>
        </w:rPr>
      </w:pPr>
      <w:r w:rsidRPr="00625C2D">
        <w:rPr>
          <w:lang w:val="es-ES_tradnl"/>
        </w:rPr>
        <w:t>78.</w:t>
      </w:r>
      <w:r w:rsidRPr="00625C2D">
        <w:rPr>
          <w:lang w:val="es-ES_tradnl"/>
        </w:rPr>
        <w:tab/>
        <w:t>En vista de la necesidad evidente de atraer a migrantes laborales regulares, los órganos de la fiscalía, en el marco de la coordinación de la lucha contra la delincuencia, imparten orientaciones a las fuerzas del orden para garantizar la máxima protección de los derechos laborales de los extranjeros y apátridas, prestarles asistencia sanitaria y médica, eliminar los conflictos étnicos y fomentar la adaptación social de los migrantes.</w:t>
      </w:r>
    </w:p>
    <w:p w14:paraId="0D148B9C" w14:textId="77777777" w:rsidR="00625C2D" w:rsidRPr="00625C2D" w:rsidRDefault="00625C2D" w:rsidP="00625C2D">
      <w:pPr>
        <w:pStyle w:val="SingleTxtG"/>
        <w:rPr>
          <w:lang w:val="es-ES_tradnl"/>
        </w:rPr>
      </w:pPr>
      <w:r w:rsidRPr="00625C2D">
        <w:rPr>
          <w:lang w:val="es-ES_tradnl"/>
        </w:rPr>
        <w:t>79.</w:t>
      </w:r>
      <w:r w:rsidRPr="00625C2D">
        <w:rPr>
          <w:lang w:val="es-ES_tradnl"/>
        </w:rPr>
        <w:tab/>
        <w:t>En 2023 se registraron 415.404 violaciones de los derechos laborales, de las cuales 170.805 estaban relacionadas con la remuneración. A fecha de mayo de 2024 se habían registrado 188.536 violaciones de los derechos laborales de los ciudadanos, de las cuales 71.375 estaban relacionadas con la remuneración. Se tomaron las medidas de intervención fiscal pertinentes para subsanar las violaciones detectadas.</w:t>
      </w:r>
    </w:p>
    <w:p w14:paraId="683CA175" w14:textId="77777777" w:rsidR="00625C2D" w:rsidRPr="00625C2D" w:rsidRDefault="00625C2D" w:rsidP="00625C2D">
      <w:pPr>
        <w:pStyle w:val="SingleTxtG"/>
        <w:rPr>
          <w:lang w:val="es-ES_tradnl"/>
        </w:rPr>
      </w:pPr>
      <w:r w:rsidRPr="00625C2D">
        <w:rPr>
          <w:lang w:val="es-ES_tradnl"/>
        </w:rPr>
        <w:t>80.</w:t>
      </w:r>
      <w:r w:rsidRPr="00625C2D">
        <w:rPr>
          <w:lang w:val="es-ES_tradnl"/>
        </w:rPr>
        <w:tab/>
        <w:t>La práctica de organizar la modalidad de trabajo a distancia o remoto como medida de emergencia ante una situación de crisis sanitaria o epidemiológica (durante la pandemia de COVID-19) sirvió de base para la elaboración de modificaciones del Código del Trabajo con el fin de regular el trabajo a distancia y la posibilidad de implementar temporalmente la modalidad de trabajo a distancia por iniciativa del empleador en casos excepcionales, independientemente del sexo y estado civil del empleado.</w:t>
      </w:r>
    </w:p>
    <w:p w14:paraId="790AF1C6" w14:textId="53C0A778" w:rsidR="00625C2D" w:rsidRPr="00625C2D" w:rsidRDefault="00625C2D" w:rsidP="00625C2D">
      <w:pPr>
        <w:pStyle w:val="SingleTxtG"/>
        <w:rPr>
          <w:lang w:val="es-ES_tradnl"/>
        </w:rPr>
      </w:pPr>
      <w:r w:rsidRPr="00625C2D">
        <w:rPr>
          <w:lang w:val="es-ES_tradnl"/>
        </w:rPr>
        <w:t>81.</w:t>
      </w:r>
      <w:r w:rsidRPr="00625C2D">
        <w:rPr>
          <w:lang w:val="es-ES_tradnl"/>
        </w:rPr>
        <w:tab/>
        <w:t>Con el fin de mejorar las modalidades flexibles de empleo en la legislación laboral y el uso de las tecnologías de la información y las comunicaciones en el contexto laboral, mediante la Ley Federal núm. 407-FZ, de 8 de diciembre de 2020, se modificó el capítulo</w:t>
      </w:r>
      <w:r w:rsidR="0036727D">
        <w:rPr>
          <w:lang w:val="es-ES_tradnl"/>
        </w:rPr>
        <w:t> </w:t>
      </w:r>
      <w:r w:rsidRPr="00625C2D">
        <w:rPr>
          <w:lang w:val="es-ES_tradnl"/>
        </w:rPr>
        <w:t>49.1 del Código del Trabajo en lo que respecta a la regulación del trabajo a distancia y la posibilidad de implementar temporalmente la modalidad de trabajo a distancia por iniciativa del empleador en casos excepcionales, modificación que entró en vigor el 1 de enero de 2021 y amplió la posibilidad de implementar el trabajo a distancia de forma permanente o temporal (trabajar a distancia de forma ininterrumpida hasta un máximo de seis meses o combinar el trabajo a distancia con el trabajo presencial en el lugar de trabajo, modalidad que puede ser implementada por el empleador en casos excepcionales). Para muchas empresas, el uso de nuevas modalidades de trabajo puede convertirse en un elemento importante de su estrategia de operaciones para reducir la tasa de desempleo entre las personas que tienen dificultades para competir en igualdad de condiciones en el mercado laboral, como las mujeres con niños pequeños.</w:t>
      </w:r>
    </w:p>
    <w:p w14:paraId="33EA24D4" w14:textId="77777777" w:rsidR="00625C2D" w:rsidRPr="00625C2D" w:rsidRDefault="00625C2D" w:rsidP="00625C2D">
      <w:pPr>
        <w:pStyle w:val="SingleTxtG"/>
        <w:rPr>
          <w:lang w:val="es-ES_tradnl"/>
        </w:rPr>
      </w:pPr>
      <w:r w:rsidRPr="00625C2D">
        <w:rPr>
          <w:lang w:val="es-ES_tradnl"/>
        </w:rPr>
        <w:t>82.</w:t>
      </w:r>
      <w:r w:rsidRPr="00625C2D">
        <w:rPr>
          <w:lang w:val="es-ES_tradnl"/>
        </w:rPr>
        <w:tab/>
        <w:t>Con el fin de dar a conocer mejor los derechos laborales entre los trabajadores, las inspecciones de trabajo estatales de las entidades constitutivas de la Federación de Rusia llevan a cabo actividades de información y asesoramiento para explicar las disposiciones de la legislación laboral, incluidas las destinadas a prevenir la discriminación en el ámbito laboral, el trabajo forzoso y otras formas de coacción, así como a sensibilizar a la población sobre los derechos laborales y su protección.</w:t>
      </w:r>
    </w:p>
    <w:p w14:paraId="3893A212" w14:textId="77777777" w:rsidR="00625C2D" w:rsidRPr="00625C2D" w:rsidRDefault="00625C2D" w:rsidP="00625C2D">
      <w:pPr>
        <w:pStyle w:val="SingleTxtG"/>
        <w:rPr>
          <w:lang w:val="es-ES_tradnl"/>
        </w:rPr>
      </w:pPr>
      <w:r w:rsidRPr="00625C2D">
        <w:rPr>
          <w:lang w:val="es-ES_tradnl"/>
        </w:rPr>
        <w:t>83.</w:t>
      </w:r>
      <w:r w:rsidRPr="00625C2D">
        <w:rPr>
          <w:lang w:val="es-ES_tradnl"/>
        </w:rPr>
        <w:tab/>
        <w:t>La cesión ilegal de trabajadores está prohibida por el artículo 56.1 del Código del Trabajo. Las particularidades que regulan el empleo de los trabajadores cedidos temporalmente por su empleador a otras personas físicas o jurídicas en virtud de un acuerdo de cesión de trabajadores se establecen en el capítulo 53.1 del Código del Trabajo.</w:t>
      </w:r>
    </w:p>
    <w:p w14:paraId="12BD6A34" w14:textId="77777777" w:rsidR="00625C2D" w:rsidRPr="00625C2D" w:rsidRDefault="00625C2D" w:rsidP="00625C2D">
      <w:pPr>
        <w:pStyle w:val="SingleTxtG"/>
        <w:rPr>
          <w:lang w:val="es-ES_tradnl"/>
        </w:rPr>
      </w:pPr>
      <w:r w:rsidRPr="00625C2D">
        <w:rPr>
          <w:lang w:val="es-ES_tradnl"/>
        </w:rPr>
        <w:t>84.</w:t>
      </w:r>
      <w:r w:rsidRPr="00625C2D">
        <w:rPr>
          <w:lang w:val="es-ES_tradnl"/>
        </w:rPr>
        <w:tab/>
        <w:t>Para evitar que se cometan delitos relacionados con la trata de personas, incluida la trata de mujeres, se han seguido llevando a cabo actividades y operaciones preventivas con carácter anual. En el marco del Programa Intergubernamental de Medidas Conjuntas de Lucha contra la Delincuencia (2019-2023) se han adoptado medidas coordinadas para combatir la actividad delictiva. El Ministerio del Interior vela por que los medios de comunicación departamentales den difusión a esas actividades con el fin de fomentar una actitud de tolerancia cero frente a la explotación sexual de las mujeres y la trata de personas.</w:t>
      </w:r>
    </w:p>
    <w:p w14:paraId="07A00251" w14:textId="12749A03" w:rsidR="00625C2D" w:rsidRPr="00625C2D" w:rsidRDefault="00625C2D" w:rsidP="00625C2D">
      <w:pPr>
        <w:pStyle w:val="SingleTxtG"/>
        <w:rPr>
          <w:lang w:val="es-ES_tradnl"/>
        </w:rPr>
      </w:pPr>
      <w:r w:rsidRPr="00625C2D">
        <w:rPr>
          <w:lang w:val="es-ES_tradnl"/>
        </w:rPr>
        <w:t>85.</w:t>
      </w:r>
      <w:r w:rsidRPr="00625C2D">
        <w:rPr>
          <w:lang w:val="es-ES_tradnl"/>
        </w:rPr>
        <w:tab/>
        <w:t>En la actualidad hay 47 sindicatos activos en la Federación de Rusia con un total de</w:t>
      </w:r>
      <w:r w:rsidR="00DB7D3D">
        <w:rPr>
          <w:lang w:val="es-ES_tradnl"/>
        </w:rPr>
        <w:t> </w:t>
      </w:r>
      <w:r w:rsidRPr="00625C2D">
        <w:rPr>
          <w:lang w:val="es-ES_tradnl"/>
        </w:rPr>
        <w:t>21 millones de afiliados. El 48</w:t>
      </w:r>
      <w:r w:rsidR="00DB7D3D">
        <w:rPr>
          <w:lang w:val="es-ES_tradnl"/>
        </w:rPr>
        <w:t xml:space="preserve"> </w:t>
      </w:r>
      <w:r w:rsidRPr="00625C2D">
        <w:rPr>
          <w:lang w:val="es-ES_tradnl"/>
        </w:rPr>
        <w:t>% de los trabajadores están cubiertos por un convenio colectivo.</w:t>
      </w:r>
    </w:p>
    <w:p w14:paraId="2085A476" w14:textId="77777777" w:rsidR="00625C2D" w:rsidRPr="00625C2D" w:rsidRDefault="00625C2D" w:rsidP="00625C2D">
      <w:pPr>
        <w:pStyle w:val="SingleTxtG"/>
        <w:spacing w:after="130"/>
        <w:rPr>
          <w:lang w:val="es-ES_tradnl"/>
        </w:rPr>
      </w:pPr>
      <w:r w:rsidRPr="00625C2D">
        <w:rPr>
          <w:lang w:val="es-ES_tradnl"/>
        </w:rPr>
        <w:lastRenderedPageBreak/>
        <w:t>86.</w:t>
      </w:r>
      <w:r w:rsidRPr="00625C2D">
        <w:rPr>
          <w:lang w:val="es-ES_tradnl"/>
        </w:rPr>
        <w:tab/>
        <w:t>Los artículos 401 a 408 del Código del Trabajo contienen disposiciones sobre cómo se deben resolver los conflictos laborales colectivos. En el artículo 409 del Código del Trabajo se reconoce el derecho de los trabajadores a declararse en huelga como medio para resolver un conflicto colectivo. Si mediante un procedimiento de conciliación no se ha resuelto un conflicto laboral colectivo (art. 406) o si el o los empleadores o la patronal incumplen lo pactado por ambas partes en el convenio colectivo en el marco de la resolución de un conflicto (art. 408) o no acatan el laudo arbitral, los trabajadores o sus representantes tienen derecho a organizar una huelga, excepto en los casos en que, según lo dispuesto en las partes primera y segunda del artículo 413 del Código del Trabajo, no esté permitido organizar una huelga con fines de resolución de un conflicto laboral colectivo.</w:t>
      </w:r>
    </w:p>
    <w:p w14:paraId="4202FDD6" w14:textId="77777777" w:rsidR="00625C2D" w:rsidRPr="00625C2D" w:rsidRDefault="00625C2D" w:rsidP="00625C2D">
      <w:pPr>
        <w:pStyle w:val="SingleTxtG"/>
        <w:spacing w:after="130"/>
        <w:rPr>
          <w:lang w:val="es-ES_tradnl"/>
        </w:rPr>
      </w:pPr>
      <w:r w:rsidRPr="00625C2D">
        <w:rPr>
          <w:lang w:val="es-ES_tradnl"/>
        </w:rPr>
        <w:t>87.</w:t>
      </w:r>
      <w:r w:rsidRPr="00625C2D">
        <w:rPr>
          <w:lang w:val="es-ES_tradnl"/>
        </w:rPr>
        <w:tab/>
        <w:t>La participación en una huelga es voluntaria. Nadie puede ser obligado a participar, o a abstenerse de participar, en una huelga. Toda persona que obligue a los trabajadores a participar, o a abstenerse de participar, en una huelga será sancionada por la vía disciplinaria, contencioso-administrativa o penal, de conformidad con el procedimiento establecido por el Código del Trabajo y otras leyes federales. La patronal no puede organizar huelgas ni participar en ellas.</w:t>
      </w:r>
    </w:p>
    <w:p w14:paraId="07D0D2B6" w14:textId="77777777" w:rsidR="00625C2D" w:rsidRPr="00625C2D" w:rsidRDefault="00625C2D" w:rsidP="00625C2D">
      <w:pPr>
        <w:pStyle w:val="SingleTxtG"/>
        <w:spacing w:after="130"/>
        <w:rPr>
          <w:lang w:val="es-ES_tradnl"/>
        </w:rPr>
      </w:pPr>
      <w:r w:rsidRPr="00625C2D">
        <w:rPr>
          <w:lang w:val="es-ES_tradnl"/>
        </w:rPr>
        <w:t>88.</w:t>
      </w:r>
      <w:r w:rsidRPr="00625C2D">
        <w:rPr>
          <w:lang w:val="es-ES_tradnl"/>
        </w:rPr>
        <w:tab/>
        <w:t>Las cotizaciones al Fondo de Pensiones y de Seguridad Social corren exclusivamente por cuenta de los aseguradores, esto es, los empleadores o los clientes de contratos por obra o servicio. Las cotizaciones se abonan con arreglo a unas normas unificadas que determinan su cuantía de acuerdo con unas tarifas diferenciadas por categoría de riesgo profesional y en función del tipo principal de actividad económica ejercida por el asegurador.</w:t>
      </w:r>
    </w:p>
    <w:p w14:paraId="71304D08" w14:textId="77777777" w:rsidR="00625C2D" w:rsidRPr="00625C2D" w:rsidRDefault="00625C2D" w:rsidP="00625C2D">
      <w:pPr>
        <w:pStyle w:val="SingleTxtG"/>
        <w:spacing w:after="130"/>
        <w:rPr>
          <w:lang w:val="es-ES_tradnl"/>
        </w:rPr>
      </w:pPr>
      <w:r w:rsidRPr="00625C2D">
        <w:rPr>
          <w:lang w:val="es-ES_tradnl"/>
        </w:rPr>
        <w:t>89.</w:t>
      </w:r>
      <w:r w:rsidRPr="00625C2D">
        <w:rPr>
          <w:lang w:val="es-ES_tradnl"/>
        </w:rPr>
        <w:tab/>
        <w:t>Según lo dispuesto en la Normativa para la atribución de una categoría de riesgo profesional a los distintos tipos de actividades económicas, aprobada mediante la Resolución núm. 713 del Gobierno, de 1 de diciembre de 2005, el proceso de atribución de las distintas categorías de riesgo profesional a los diferentes tipos de actividades económicas se lleva a cabo con carácter anual en función del valor del indicador integral de riesgo profesional, que tiene en cuenta la incidencia de accidentes del trabajo y enfermedades profesionales, así como los gastos en concepto de seguro imputables al asegurador por cada tipo de actividad económica.</w:t>
      </w:r>
    </w:p>
    <w:p w14:paraId="65081F98" w14:textId="77777777" w:rsidR="00625C2D" w:rsidRPr="00625C2D" w:rsidRDefault="00625C2D" w:rsidP="00625C2D">
      <w:pPr>
        <w:pStyle w:val="SingleTxtG"/>
        <w:spacing w:after="130"/>
        <w:rPr>
          <w:lang w:val="es-ES_tradnl"/>
        </w:rPr>
      </w:pPr>
      <w:r w:rsidRPr="00625C2D">
        <w:rPr>
          <w:lang w:val="es-ES_tradnl"/>
        </w:rPr>
        <w:t>90.</w:t>
      </w:r>
      <w:r w:rsidRPr="00625C2D">
        <w:rPr>
          <w:lang w:val="es-ES_tradnl"/>
        </w:rPr>
        <w:tab/>
        <w:t>Las prestaciones que se pagan a los asegurados se financian con cargo al presupuesto del Fondo de Pensiones y de Seguridad Social de la Federación de Rusia, constituido mediante las cotizaciones abonadas por los aseguradores (los empleadores o los clientes de contratos por obra o servicio) según la cuantía establecida en función del salario de los asegurados (los trabajadores). Las personas que realizan una actividad laboral en virtud de un contrato de trabajo o un contrato de obra y servicio no tienen que pagar las cotizaciones al seguro social obligatorio de incapacidad laboral y maternidad.</w:t>
      </w:r>
    </w:p>
    <w:p w14:paraId="03B0F572" w14:textId="77777777" w:rsidR="00625C2D" w:rsidRPr="00625C2D" w:rsidRDefault="00625C2D" w:rsidP="00625C2D">
      <w:pPr>
        <w:pStyle w:val="SingleTxtG"/>
        <w:spacing w:after="130"/>
        <w:rPr>
          <w:lang w:val="es-ES_tradnl"/>
        </w:rPr>
      </w:pPr>
      <w:r w:rsidRPr="00625C2D">
        <w:rPr>
          <w:lang w:val="es-ES_tradnl"/>
        </w:rPr>
        <w:t>91.</w:t>
      </w:r>
      <w:r w:rsidRPr="00625C2D">
        <w:rPr>
          <w:lang w:val="es-ES_tradnl"/>
        </w:rPr>
        <w:tab/>
        <w:t>Las cuantías de la cotizaciones se determinan en función del volumen de las obligaciones de pago de prestaciones a los asegurados según las cuantías establecidas por la legislación de la Federación de Rusia.</w:t>
      </w:r>
    </w:p>
    <w:p w14:paraId="36C4C71E" w14:textId="77777777" w:rsidR="00625C2D" w:rsidRPr="00625C2D" w:rsidRDefault="00625C2D" w:rsidP="00625C2D">
      <w:pPr>
        <w:pStyle w:val="SingleTxtG"/>
        <w:spacing w:after="130"/>
        <w:rPr>
          <w:lang w:val="es-ES_tradnl"/>
        </w:rPr>
      </w:pPr>
      <w:r w:rsidRPr="00625C2D">
        <w:rPr>
          <w:lang w:val="es-ES_tradnl"/>
        </w:rPr>
        <w:t>92.</w:t>
      </w:r>
      <w:r w:rsidRPr="00625C2D">
        <w:rPr>
          <w:lang w:val="es-ES_tradnl"/>
        </w:rPr>
        <w:tab/>
        <w:t>Las personas que realizan una actividad laboral en virtud de un contrato de obra y servicio tenían derecho a percibir prestaciones del seguro social obligatorio de incapacidad laboral y maternidad en 2024 siempre que en 2023 se hubiera cotizado por ellas a dicho seguro una cuantía igual o superior a 5.652,2 rublos (16.242 rublos (la cuantía del salario mínimo fijada para 2023) × 2,9 % × 12).</w:t>
      </w:r>
    </w:p>
    <w:p w14:paraId="3617A649" w14:textId="20AD53BB" w:rsidR="00625C2D" w:rsidRPr="00625C2D" w:rsidRDefault="00625C2D" w:rsidP="00625C2D">
      <w:pPr>
        <w:pStyle w:val="SingleTxtG"/>
        <w:spacing w:after="130"/>
        <w:rPr>
          <w:lang w:val="es-ES_tradnl"/>
        </w:rPr>
      </w:pPr>
      <w:r w:rsidRPr="00625C2D">
        <w:rPr>
          <w:lang w:val="es-ES_tradnl"/>
        </w:rPr>
        <w:t>93.</w:t>
      </w:r>
      <w:r w:rsidRPr="00625C2D">
        <w:rPr>
          <w:lang w:val="es-ES_tradnl"/>
        </w:rPr>
        <w:tab/>
        <w:t>El 100</w:t>
      </w:r>
      <w:r w:rsidR="00932F60">
        <w:rPr>
          <w:lang w:val="es-ES_tradnl"/>
        </w:rPr>
        <w:t xml:space="preserve"> </w:t>
      </w:r>
      <w:r w:rsidRPr="00625C2D">
        <w:rPr>
          <w:lang w:val="es-ES_tradnl"/>
        </w:rPr>
        <w:t>% de los nacionales rusos en activo están cubiertos por el seguro social obligatorio de incapacidad laboral y maternidad.</w:t>
      </w:r>
    </w:p>
    <w:p w14:paraId="445316EF" w14:textId="77777777" w:rsidR="00625C2D" w:rsidRPr="00625C2D" w:rsidRDefault="00625C2D" w:rsidP="00625C2D">
      <w:pPr>
        <w:pStyle w:val="SingleTxtG"/>
        <w:spacing w:after="130"/>
        <w:rPr>
          <w:lang w:val="es-ES_tradnl"/>
        </w:rPr>
      </w:pPr>
      <w:r w:rsidRPr="00625C2D">
        <w:rPr>
          <w:lang w:val="es-ES_tradnl"/>
        </w:rPr>
        <w:t>94.</w:t>
      </w:r>
      <w:r w:rsidRPr="00625C2D">
        <w:rPr>
          <w:lang w:val="es-ES_tradnl"/>
        </w:rPr>
        <w:tab/>
        <w:t>Los ciudadanos extranjeros y los apátridas con residencia temporal en la Federación de Rusia (a excepción de los trabajadores altamente cualificados con arreglo a lo dispuesto en la Ley Federal núm. 115-FZ) tienen derecho a percibir las prestaciones por incapacidad temporal siempre que sus empleadores hayan abonado las cotizaciones al seguro por ellos durante al menos los seis meses anteriores al mes en que ocurra el suceso que dé lugar a las prestaciones.</w:t>
      </w:r>
    </w:p>
    <w:p w14:paraId="42A3B58D" w14:textId="77777777" w:rsidR="00625C2D" w:rsidRPr="00625C2D" w:rsidRDefault="00625C2D" w:rsidP="00625C2D">
      <w:pPr>
        <w:pStyle w:val="SingleTxtG"/>
        <w:keepNext/>
        <w:keepLines/>
        <w:rPr>
          <w:lang w:val="es-ES_tradnl"/>
        </w:rPr>
      </w:pPr>
      <w:r w:rsidRPr="00625C2D">
        <w:rPr>
          <w:lang w:val="es-ES_tradnl"/>
        </w:rPr>
        <w:lastRenderedPageBreak/>
        <w:t>95.</w:t>
      </w:r>
      <w:r w:rsidRPr="00625C2D">
        <w:rPr>
          <w:lang w:val="es-ES_tradnl"/>
        </w:rPr>
        <w:tab/>
        <w:t>Las personas que hayan obtenido un certificado de asilo temporal son consideradas ciudadanos extranjeros o apátridas con residencia temporal en la Federación de Rusia y pueden percibir prestaciones por incapacidad temporal siempre que se cumplan las condiciones relativas al pago de las cotizaciones al seguro.</w:t>
      </w:r>
    </w:p>
    <w:p w14:paraId="1D78BD30" w14:textId="77777777" w:rsidR="00625C2D" w:rsidRPr="00625C2D" w:rsidRDefault="00625C2D" w:rsidP="00625C2D">
      <w:pPr>
        <w:pStyle w:val="SingleTxtG"/>
        <w:rPr>
          <w:lang w:val="es-ES_tradnl"/>
        </w:rPr>
      </w:pPr>
      <w:r w:rsidRPr="00625C2D">
        <w:rPr>
          <w:lang w:val="es-ES_tradnl"/>
        </w:rPr>
        <w:t>96.</w:t>
      </w:r>
      <w:r w:rsidRPr="00625C2D">
        <w:rPr>
          <w:lang w:val="es-ES_tradnl"/>
        </w:rPr>
        <w:tab/>
        <w:t>En la Federación de Rusia existe una red de organizaciones que prestan servicios sociales a los ciudadanos (familias con niños, mujeres y menores de edad), incluidas las víctimas de violencia y maltrato. En las entidades constitutivas de la Federación de Rusia hay unidades y centros de crisis para mujeres y niños que han sufrido violencia familiar, física y psicológica. En esas unidades y centros de crisis, los servicios sociales pueden prestarse en régimen residencial. El sistema de servicios sociales incluye centros de alojamiento temporal (hogares sociales, albergues, etc.).</w:t>
      </w:r>
    </w:p>
    <w:p w14:paraId="3BFEA18C" w14:textId="26CC6BD1" w:rsidR="00625C2D" w:rsidRPr="00625C2D" w:rsidRDefault="00625C2D" w:rsidP="00625C2D">
      <w:pPr>
        <w:pStyle w:val="SingleTxtG"/>
        <w:rPr>
          <w:lang w:val="es-ES_tradnl"/>
        </w:rPr>
      </w:pPr>
      <w:r w:rsidRPr="00625C2D">
        <w:rPr>
          <w:lang w:val="es-ES_tradnl"/>
        </w:rPr>
        <w:t>97.</w:t>
      </w:r>
      <w:r w:rsidRPr="00625C2D">
        <w:rPr>
          <w:lang w:val="es-ES_tradnl"/>
        </w:rPr>
        <w:tab/>
        <w:t xml:space="preserve">Según la Ley Federal núm. 442-FZ de Fundamentos de los Servicios Sociales para los Ciudadanos en la Federación de Rusia, de 28 de diciembre de 2013, la existencia de conflictos intrafamiliares, entre otras cosas con personas drogodependientes o con alcoholismo, adictas al juego o con trastornos mentales, o de violencia doméstica se considera una circunstancia que permite reconocer a un ciudadano la condición de </w:t>
      </w:r>
      <w:r w:rsidR="00680C36">
        <w:rPr>
          <w:lang w:val="es-ES_tradnl"/>
        </w:rPr>
        <w:t>“</w:t>
      </w:r>
      <w:r w:rsidRPr="00625C2D">
        <w:rPr>
          <w:lang w:val="es-ES_tradnl"/>
        </w:rPr>
        <w:t>persona que requiere protección</w:t>
      </w:r>
      <w:r w:rsidR="00680C36">
        <w:rPr>
          <w:lang w:val="es-ES_tradnl"/>
        </w:rPr>
        <w:t>”</w:t>
      </w:r>
      <w:r w:rsidRPr="00625C2D">
        <w:rPr>
          <w:lang w:val="es-ES_tradnl"/>
        </w:rPr>
        <w:t>.</w:t>
      </w:r>
    </w:p>
    <w:p w14:paraId="328839CC" w14:textId="108CC461" w:rsidR="00625C2D" w:rsidRPr="00625C2D" w:rsidRDefault="00625C2D" w:rsidP="00625C2D">
      <w:pPr>
        <w:pStyle w:val="SingleTxtG"/>
        <w:rPr>
          <w:lang w:val="es-ES_tradnl"/>
        </w:rPr>
      </w:pPr>
      <w:r w:rsidRPr="00625C2D">
        <w:rPr>
          <w:lang w:val="es-ES_tradnl"/>
        </w:rPr>
        <w:t>98.</w:t>
      </w:r>
      <w:r w:rsidRPr="00625C2D">
        <w:rPr>
          <w:lang w:val="es-ES_tradnl"/>
        </w:rPr>
        <w:tab/>
        <w:t>Según el formulario de información estadística núm. 6 (Información sobre centros de servicios sociales con atención semiresidencial y organizaciones que prestan servicios sociales a domicilio), a 1 de enero de 2023, el número de centros de crisis y unidades de ayuda a mujeres que prestaban servicios con atención semiresidencial ascendía a 66 (62</w:t>
      </w:r>
      <w:r w:rsidR="00932F60">
        <w:rPr>
          <w:lang w:val="es-ES_tradnl"/>
        </w:rPr>
        <w:t> </w:t>
      </w:r>
      <w:r w:rsidRPr="00625C2D">
        <w:rPr>
          <w:lang w:val="es-ES_tradnl"/>
        </w:rPr>
        <w:t>públicos y 4 privados). En 2022 se atendió en dichos centros a 23.989 personas, que recibieron un total de 496.489 servicios sociales.</w:t>
      </w:r>
    </w:p>
    <w:p w14:paraId="2F1E1AF5" w14:textId="77777777" w:rsidR="00625C2D" w:rsidRPr="00625C2D" w:rsidRDefault="00625C2D" w:rsidP="00625C2D">
      <w:pPr>
        <w:pStyle w:val="SingleTxtG"/>
        <w:rPr>
          <w:lang w:val="es-ES_tradnl"/>
        </w:rPr>
      </w:pPr>
      <w:r w:rsidRPr="00625C2D">
        <w:rPr>
          <w:lang w:val="es-ES_tradnl"/>
        </w:rPr>
        <w:t>99.</w:t>
      </w:r>
      <w:r w:rsidRPr="00625C2D">
        <w:rPr>
          <w:lang w:val="es-ES_tradnl"/>
        </w:rPr>
        <w:tab/>
        <w:t>Los principales motivos por los que se presta asistencia a mujeres y niños en las unidades y centros de crisis están relacionados con la violencia física y psicológica en la familia, el traslado forzoso de su lugar de residencia habitual a otro lugar, los conflictos intrafamiliares o divorcios, la pérdida de seres queridos o el hecho de que una mujer embarazada esté en situación de precariedad (por ejemplo, por ser menor de edad o mujer sola o correr el riesgo de abandonar al recién nacido).</w:t>
      </w:r>
    </w:p>
    <w:p w14:paraId="30FCE64C" w14:textId="77777777" w:rsidR="00625C2D" w:rsidRPr="00625C2D" w:rsidRDefault="00625C2D" w:rsidP="00625C2D">
      <w:pPr>
        <w:pStyle w:val="SingleTxtG"/>
        <w:rPr>
          <w:lang w:val="es-ES_tradnl"/>
        </w:rPr>
      </w:pPr>
      <w:r w:rsidRPr="00625C2D">
        <w:rPr>
          <w:lang w:val="es-ES_tradnl"/>
        </w:rPr>
        <w:t>100.</w:t>
      </w:r>
      <w:r w:rsidRPr="00625C2D">
        <w:rPr>
          <w:lang w:val="es-ES_tradnl"/>
        </w:rPr>
        <w:tab/>
        <w:t>Los centros de crisis y las unidades de ayuda se dedican principalmente a: prestar apoyo a mujeres para resolver problemas relacionados con el aprovechamiento de sus propias capacidades y sus recursos internos para superar situaciones de crisis; dar servicios de tutela social a mujeres que necesitan asistencia social, rehabilitación y apoyo; ofrecer un alojamiento temporal; mejorar la resistencia al estrés y los conocimientos de psicología, especialmente en el ámbito de la comunicación interpersonal, familiar y parental; ayudar a las mujeres a crear una atmósfera de comprensión y respeto mutuos en la familia y un microclima favorable, y a superar los conflictos y otras perturbaciones de las relaciones conyugales e intrafamiliares; prestar asistencia social y psicológica a las mujeres en materia de adaptación social a las cambiantes condiciones socioeconómicas; e impartir formación a mujeres sobre cómo reaccionar en situaciones de crisis.</w:t>
      </w:r>
    </w:p>
    <w:p w14:paraId="711BBB69" w14:textId="085B8089" w:rsidR="00625C2D" w:rsidRPr="00625C2D" w:rsidRDefault="00625C2D" w:rsidP="00625C2D">
      <w:pPr>
        <w:pStyle w:val="SingleTxtG"/>
        <w:rPr>
          <w:lang w:val="es-ES_tradnl"/>
        </w:rPr>
      </w:pPr>
      <w:r w:rsidRPr="00625C2D">
        <w:rPr>
          <w:lang w:val="es-ES_tradnl"/>
        </w:rPr>
        <w:t>101.</w:t>
      </w:r>
      <w:r w:rsidRPr="00625C2D">
        <w:rPr>
          <w:lang w:val="es-ES_tradnl"/>
        </w:rPr>
        <w:tab/>
        <w:t>Los centros y unidades de crisis ofrecen a todos los beneficiarios de servicios sociales</w:t>
      </w:r>
      <w:r w:rsidR="001C2CBE">
        <w:rPr>
          <w:lang w:val="es-ES_tradnl"/>
        </w:rPr>
        <w:t xml:space="preserve"> </w:t>
      </w:r>
      <w:r w:rsidRPr="00625C2D">
        <w:rPr>
          <w:lang w:val="es-ES_tradnl"/>
        </w:rPr>
        <w:t>asistencia social, servicios médicos, psicológicos, pedagógicos, laborales y jurídicos de carácter social y servicios sociales de urgencia (suministro gratuito de comidas calientes o lotes de comida, ropa, calzado y otros artículos de primera necesidad, ayuda para acceder a un alojamiento temporal o a una cama en un centro para pasar la noche), ayuda para la obtención de asistencia jurídica con fines de protección de los derechos e intereses legítimos</w:t>
      </w:r>
      <w:r w:rsidR="001C2CBE">
        <w:rPr>
          <w:lang w:val="es-ES_tradnl"/>
        </w:rPr>
        <w:t> </w:t>
      </w:r>
      <w:r w:rsidRPr="00625C2D">
        <w:rPr>
          <w:lang w:val="es-ES_tradnl"/>
        </w:rPr>
        <w:t>de los beneficiarios de servicios sociales, ayuda para la obtención de asistencia psicológica</w:t>
      </w:r>
      <w:r w:rsidR="001C2CBE">
        <w:rPr>
          <w:lang w:val="es-ES_tradnl"/>
        </w:rPr>
        <w:t xml:space="preserve"> </w:t>
      </w:r>
      <w:r w:rsidRPr="00625C2D">
        <w:rPr>
          <w:lang w:val="es-ES_tradnl"/>
        </w:rPr>
        <w:t>de urgencia con la participación de psicólogos y clérigos, asesoramiento sociopsicológico —entre otras cosas sobre las relaciones intrafamiliares— y asesoramiento psicológico confidencial (por ejemplo, a través de una línea telefónica de ayuda, asesoramiento sobre cuestiones relacionadas con intervenciones socioeducativas y con el derecho al disfrute de servicios sociales).</w:t>
      </w:r>
    </w:p>
    <w:p w14:paraId="4FF1A820" w14:textId="77777777" w:rsidR="00625C2D" w:rsidRPr="00625C2D" w:rsidRDefault="00625C2D" w:rsidP="00625C2D">
      <w:pPr>
        <w:pStyle w:val="SingleTxtG"/>
        <w:spacing w:after="130"/>
        <w:rPr>
          <w:lang w:val="es-ES_tradnl"/>
        </w:rPr>
      </w:pPr>
      <w:r w:rsidRPr="00625C2D">
        <w:rPr>
          <w:lang w:val="es-ES_tradnl"/>
        </w:rPr>
        <w:t>102.</w:t>
      </w:r>
      <w:r w:rsidRPr="00625C2D">
        <w:rPr>
          <w:lang w:val="es-ES_tradnl"/>
        </w:rPr>
        <w:tab/>
        <w:t xml:space="preserve">En la labor relacionada con familias en situación de crisis se emplean activamente técnicas multidisciplinarias, técnicas de enfoque sistémico, técnicas de enfoque integral, técnicas socioambientales, como el centro de recursos familiares; actividades para fomentar la cohesión familiar; tecnologías sociopsicológicas, como la terapia familiar de corta duración, el asesoramiento individual, el asesoramiento ante situaciones de crisis y </w:t>
      </w:r>
      <w:r w:rsidRPr="00625C2D">
        <w:rPr>
          <w:lang w:val="es-ES_tradnl"/>
        </w:rPr>
        <w:lastRenderedPageBreak/>
        <w:t>formaciones en grupo; y técnicas artísticas. La rehabilitación se basa en unos programas integrales desarrollados en cada institución.</w:t>
      </w:r>
    </w:p>
    <w:p w14:paraId="04CBAC92" w14:textId="77777777" w:rsidR="00625C2D" w:rsidRPr="00625C2D" w:rsidRDefault="00625C2D" w:rsidP="00625C2D">
      <w:pPr>
        <w:pStyle w:val="SingleTxtG"/>
        <w:spacing w:after="130"/>
        <w:rPr>
          <w:lang w:val="es-ES_tradnl"/>
        </w:rPr>
      </w:pPr>
      <w:r w:rsidRPr="00625C2D">
        <w:rPr>
          <w:lang w:val="es-ES_tradnl"/>
        </w:rPr>
        <w:t>103.</w:t>
      </w:r>
      <w:r w:rsidRPr="00625C2D">
        <w:rPr>
          <w:lang w:val="es-ES_tradnl"/>
        </w:rPr>
        <w:tab/>
        <w:t>A cada familia que solicita ayuda se le asigna un profesional que le ayuda a elaborar un programa individual de servicios sociales y se ocupa de la familia desde el momento en que surge el problema en cuestión hasta que está totalmente resuelto. En caso necesario, en el marco de la colaboración interdepartamental se pide ayuda a profesionales de los organismos y organizaciones competentes.</w:t>
      </w:r>
    </w:p>
    <w:p w14:paraId="14A80175" w14:textId="77777777" w:rsidR="00625C2D" w:rsidRPr="00625C2D" w:rsidRDefault="00625C2D" w:rsidP="00625C2D">
      <w:pPr>
        <w:pStyle w:val="SingleTxtG"/>
        <w:spacing w:after="130"/>
        <w:rPr>
          <w:lang w:val="es-ES_tradnl"/>
        </w:rPr>
      </w:pPr>
      <w:r w:rsidRPr="00625C2D">
        <w:rPr>
          <w:lang w:val="es-ES_tradnl"/>
        </w:rPr>
        <w:t>104.</w:t>
      </w:r>
      <w:r w:rsidRPr="00625C2D">
        <w:rPr>
          <w:lang w:val="es-ES_tradnl"/>
        </w:rPr>
        <w:tab/>
        <w:t>En los centros de crisis se da alojamiento temporal a las víctimas de la violencia en condiciones de seguridad con régimen residencial. El objetivo principal del proceso de rehabilitación es sacar a la mujer y a su hijo de la crisis o el estrés a los que se hayan visto sometidos como consecuencia de la violencia u otra situación precaria. Para ello, los centros de crisis ofrecen un conjunto de servicios sociales y psicológicos, alojamiento y manutención.</w:t>
      </w:r>
    </w:p>
    <w:p w14:paraId="0C4CA39F" w14:textId="3DCEBEEA" w:rsidR="00625C2D" w:rsidRPr="00625C2D" w:rsidRDefault="00625C2D" w:rsidP="00625C2D">
      <w:pPr>
        <w:pStyle w:val="SingleTxtG"/>
        <w:spacing w:after="130"/>
        <w:rPr>
          <w:lang w:val="es-ES_tradnl"/>
        </w:rPr>
      </w:pPr>
      <w:r w:rsidRPr="00625C2D">
        <w:rPr>
          <w:lang w:val="es-ES_tradnl"/>
        </w:rPr>
        <w:t>105.</w:t>
      </w:r>
      <w:r w:rsidRPr="00625C2D">
        <w:rPr>
          <w:lang w:val="es-ES_tradnl"/>
        </w:rPr>
        <w:tab/>
        <w:t xml:space="preserve">Según la práctica de las entidades constitutivas de la Federación de Rusia, a la hora de prestar asistencia a las víctimas de violencia doméstica y trabajar con el agresor, los profesionales de los centros de crisis utilizan técnicas de mediación, técnicas denominadas </w:t>
      </w:r>
      <w:r w:rsidR="00680C36">
        <w:rPr>
          <w:lang w:val="es-ES_tradnl"/>
        </w:rPr>
        <w:t>“</w:t>
      </w:r>
      <w:r w:rsidRPr="00625C2D">
        <w:rPr>
          <w:lang w:val="es-ES_tradnl"/>
        </w:rPr>
        <w:t>tratamiento de casos</w:t>
      </w:r>
      <w:r w:rsidR="00680C36">
        <w:rPr>
          <w:lang w:val="es-ES_tradnl"/>
        </w:rPr>
        <w:t>”</w:t>
      </w:r>
      <w:r w:rsidRPr="00625C2D">
        <w:rPr>
          <w:lang w:val="es-ES_tradnl"/>
        </w:rPr>
        <w:t xml:space="preserve"> y </w:t>
      </w:r>
      <w:r w:rsidR="00680C36">
        <w:rPr>
          <w:lang w:val="es-ES_tradnl"/>
        </w:rPr>
        <w:t>“</w:t>
      </w:r>
      <w:r w:rsidRPr="00625C2D">
        <w:rPr>
          <w:lang w:val="es-ES_tradnl"/>
        </w:rPr>
        <w:t>red de contactos</w:t>
      </w:r>
      <w:r w:rsidR="00680C36">
        <w:rPr>
          <w:lang w:val="es-ES_tradnl"/>
        </w:rPr>
        <w:t>”</w:t>
      </w:r>
      <w:r w:rsidRPr="00625C2D">
        <w:rPr>
          <w:lang w:val="es-ES_tradnl"/>
        </w:rPr>
        <w:t>, terapias artísticas, terapia con arena, psicoterapia corporal, técnicas de relajación y técnicas de respiración. Las mujeres reciben formación en materia de recuperación postraumática.</w:t>
      </w:r>
    </w:p>
    <w:p w14:paraId="732DD47D" w14:textId="77777777" w:rsidR="00625C2D" w:rsidRPr="00625C2D" w:rsidRDefault="00625C2D" w:rsidP="00625C2D">
      <w:pPr>
        <w:pStyle w:val="SingleTxtG"/>
        <w:spacing w:after="130"/>
        <w:rPr>
          <w:lang w:val="es-ES_tradnl"/>
        </w:rPr>
      </w:pPr>
      <w:r w:rsidRPr="00625C2D">
        <w:rPr>
          <w:lang w:val="es-ES_tradnl"/>
        </w:rPr>
        <w:t>106.</w:t>
      </w:r>
      <w:r w:rsidRPr="00625C2D">
        <w:rPr>
          <w:lang w:val="es-ES_tradnl"/>
        </w:rPr>
        <w:tab/>
        <w:t>Para medir la eficacia de los servicios prestados en los centros y unidades de crisis se emplean los siguientes indicadores: si se ha resuelto la situación de crisis de las mujeres con o sin hijos que han sufrido violencia física o psicológica, lo cual incluye el restablecimiento de la salud y el bienestar psicoemocional de las mujeres y los niños (si han mejorado su bienestar físico general y su autoestima y se han reducido sus niveles de ansiedad); si las mujeres y los niños pueden mudarse a un alojamiento seguro (comprando su propia vivienda con el uso de la prestación económica por nacimiento, alquilando una vivienda, mudándose al domicilio de un pariente o volviendo a su domicilio tras haberse reconciliado con su cónyuge); y si se ha mejorado la independencia económica de las mujeres (ayudándolas a encontrar un empleo o concediéndoles una pensión alimenticia).</w:t>
      </w:r>
    </w:p>
    <w:p w14:paraId="403DB56C" w14:textId="77777777" w:rsidR="00625C2D" w:rsidRPr="00625C2D" w:rsidRDefault="00625C2D" w:rsidP="00625C2D">
      <w:pPr>
        <w:pStyle w:val="SingleTxtG"/>
        <w:spacing w:after="130"/>
        <w:rPr>
          <w:lang w:val="es-ES_tradnl"/>
        </w:rPr>
      </w:pPr>
      <w:r w:rsidRPr="00625C2D">
        <w:rPr>
          <w:lang w:val="es-ES_tradnl"/>
        </w:rPr>
        <w:t>107.</w:t>
      </w:r>
      <w:r w:rsidRPr="00625C2D">
        <w:rPr>
          <w:lang w:val="es-ES_tradnl"/>
        </w:rPr>
        <w:tab/>
        <w:t>De conformidad con lo dispuesto en la Ley Federal núm. 442-FZ, el sistema de servicios sociales incluye centros en los que se ofrece alojamiento temporal (viviendas de emergencia, hogares sociales, albergues, etc.).</w:t>
      </w:r>
    </w:p>
    <w:p w14:paraId="1A65CD5F" w14:textId="77777777" w:rsidR="00625C2D" w:rsidRPr="00625C2D" w:rsidRDefault="00625C2D" w:rsidP="00625C2D">
      <w:pPr>
        <w:pStyle w:val="SingleTxtG"/>
        <w:spacing w:after="130"/>
        <w:rPr>
          <w:lang w:val="es-ES_tradnl"/>
        </w:rPr>
      </w:pPr>
      <w:r w:rsidRPr="00625C2D">
        <w:rPr>
          <w:lang w:val="es-ES_tradnl"/>
        </w:rPr>
        <w:t>108.</w:t>
      </w:r>
      <w:r w:rsidRPr="00625C2D">
        <w:rPr>
          <w:lang w:val="es-ES_tradnl"/>
        </w:rPr>
        <w:tab/>
        <w:t>A la hora de desempeñar sus actividades, las organizaciones de servicios sociales emplean las siguientes técnicas: atención psicológica en línea (padres e hijos reciben asesoramiento psicológico como respuesta ante situaciones problemáticas por distintos motivos); visitas de equipos móviles (con los que se realizan visitas, incluso a zonas remotas, en el marco de la labor de detección precoz de casos de familias en situación de vulnerabilidad y situaciones precarias y, en caso necesario, prestan asistencia integral de urgencia a familias con hijos); servicios de proximidad (con los que se llevan a cabo actividades a nivel local en el marco de la labor de detección precoz de casos de familias en situación de vulnerabilidad y situaciones precarias y, en caso necesario, prestan asistencia integral de urgencia a familias con hijos); espacios interactivos para fomentar el ocio (gimnasios, lugares para actividades de ocio creativas y útiles, etc.); espacios para actividades proactivas de padres e hijos (centros de orientación profesional, parques tecnológicos, espacios de acompañamiento a miembros de la familia que no están en activo, espacios abiertos para el trabajo por cuenta propia de los miembros de la familia, campos deportivos al aire libre, estudios de televisión infantiles y salas de realidad virtual); y actividades de asociaciones (asociaciones de padres y madres, grupos de autoayuda y ayuda mutua, escuelas de padres y madres, etc.).</w:t>
      </w:r>
    </w:p>
    <w:p w14:paraId="4E8486E2" w14:textId="73D96FC3" w:rsidR="00625C2D" w:rsidRPr="00625C2D" w:rsidRDefault="00625C2D" w:rsidP="00625C2D">
      <w:pPr>
        <w:pStyle w:val="SingleTxtG"/>
        <w:spacing w:after="130"/>
        <w:rPr>
          <w:lang w:val="es-ES_tradnl"/>
        </w:rPr>
      </w:pPr>
      <w:r w:rsidRPr="00625C2D">
        <w:rPr>
          <w:lang w:val="es-ES_tradnl"/>
        </w:rPr>
        <w:t>109.</w:t>
      </w:r>
      <w:r w:rsidRPr="00625C2D">
        <w:rPr>
          <w:lang w:val="es-ES_tradnl"/>
        </w:rPr>
        <w:tab/>
        <w:t xml:space="preserve">La lista modelo de servicios sociales aprobada por la Resolución 1236 del Gobierno, de 24 de noviembre de 2014, incluye </w:t>
      </w:r>
      <w:r w:rsidR="00680C36">
        <w:rPr>
          <w:lang w:val="es-ES_tradnl"/>
        </w:rPr>
        <w:t>“</w:t>
      </w:r>
      <w:r w:rsidRPr="00625C2D">
        <w:rPr>
          <w:lang w:val="es-ES_tradnl"/>
        </w:rPr>
        <w:t>servicios de cuidado temporal de niños</w:t>
      </w:r>
      <w:r w:rsidR="00680C36">
        <w:rPr>
          <w:lang w:val="es-ES_tradnl"/>
        </w:rPr>
        <w:t>”</w:t>
      </w:r>
      <w:r w:rsidRPr="00625C2D">
        <w:rPr>
          <w:lang w:val="es-ES_tradnl"/>
        </w:rPr>
        <w:t>, que, en caso necesario, pueden prestarse a domicilio.</w:t>
      </w:r>
    </w:p>
    <w:p w14:paraId="4D376FFB" w14:textId="77777777" w:rsidR="00625C2D" w:rsidRPr="00625C2D" w:rsidRDefault="00625C2D" w:rsidP="00625C2D">
      <w:pPr>
        <w:pStyle w:val="SingleTxtG"/>
        <w:keepNext/>
        <w:keepLines/>
        <w:rPr>
          <w:lang w:val="es-ES_tradnl"/>
        </w:rPr>
      </w:pPr>
      <w:r w:rsidRPr="00625C2D">
        <w:rPr>
          <w:lang w:val="es-ES_tradnl"/>
        </w:rPr>
        <w:lastRenderedPageBreak/>
        <w:t>110.</w:t>
      </w:r>
      <w:r w:rsidRPr="00625C2D">
        <w:rPr>
          <w:lang w:val="es-ES_tradnl"/>
        </w:rPr>
        <w:tab/>
        <w:t>Con el fin de ampliar el conjunto de servicios sociales que se prestan a las personas en situación de crisis, las organizaciones civiles y las organizaciones sin fines de lucro de orientación social pertinentes contribuyen activamente a nivel regional a la realización de estas actividades.</w:t>
      </w:r>
    </w:p>
    <w:p w14:paraId="62CFCEE4" w14:textId="77777777" w:rsidR="00625C2D" w:rsidRPr="00625C2D" w:rsidRDefault="00625C2D" w:rsidP="00625C2D">
      <w:pPr>
        <w:pStyle w:val="SingleTxtG"/>
        <w:rPr>
          <w:lang w:val="es-ES_tradnl"/>
        </w:rPr>
      </w:pPr>
      <w:r w:rsidRPr="00625C2D">
        <w:rPr>
          <w:lang w:val="es-ES_tradnl"/>
        </w:rPr>
        <w:t>111.</w:t>
      </w:r>
      <w:r w:rsidRPr="00625C2D">
        <w:rPr>
          <w:lang w:val="es-ES_tradnl"/>
        </w:rPr>
        <w:tab/>
        <w:t>En el marco de la ejecución de la Estrategia Nacional para la Mujer (2017-2022) se llevó a cabo una labor de prevención de las situaciones de vulnerabilidad social, incluidos casos de violencia contra las mujeres, labor que también se ha proseguido en el marco de la estrategia para el período 2023-2030.</w:t>
      </w:r>
    </w:p>
    <w:p w14:paraId="5940F172" w14:textId="4711ED4A" w:rsidR="00625C2D" w:rsidRPr="00625C2D" w:rsidRDefault="00625C2D" w:rsidP="00625C2D">
      <w:pPr>
        <w:pStyle w:val="SingleTxtG"/>
        <w:rPr>
          <w:lang w:val="es-ES_tradnl"/>
        </w:rPr>
      </w:pPr>
      <w:r w:rsidRPr="00625C2D">
        <w:rPr>
          <w:lang w:val="es-ES_tradnl"/>
        </w:rPr>
        <w:t>112.</w:t>
      </w:r>
      <w:r w:rsidRPr="00625C2D">
        <w:rPr>
          <w:lang w:val="es-ES_tradnl"/>
        </w:rPr>
        <w:tab/>
        <w:t>El grupo de trabajo interdepartamental para mejorar la legislación y la jurisprudencia en el ámbito de la prevención de la violencia doméstica y familiar, establecido por orden de la Presidenta del Consejo de la Federación de la Asamblea Federal, Valentina Matvienko, ha elaborado un proyecto de ley federal de prevención de la violencia doméstica y familiar en la Federación de Rusia.</w:t>
      </w:r>
    </w:p>
    <w:p w14:paraId="2B7B7C7B" w14:textId="77777777" w:rsidR="00625C2D" w:rsidRPr="00625C2D" w:rsidRDefault="00625C2D" w:rsidP="00625C2D">
      <w:pPr>
        <w:pStyle w:val="SingleTxtG"/>
        <w:rPr>
          <w:lang w:val="es-ES_tradnl"/>
        </w:rPr>
      </w:pPr>
      <w:r w:rsidRPr="00625C2D">
        <w:rPr>
          <w:lang w:val="es-ES_tradnl"/>
        </w:rPr>
        <w:t>113.</w:t>
      </w:r>
      <w:r w:rsidRPr="00625C2D">
        <w:rPr>
          <w:lang w:val="es-ES_tradnl"/>
        </w:rPr>
        <w:tab/>
        <w:t>En la Duma Estatal de la Asamblea Federal se está trabajando en un proyecto de ley federal de fundamentos de la protección de los ciudadanos contra actos violentos en el ámbito de las relaciones familiares y domésticas, así como en otros proyectos de ley federal conexos que prevén introducir modificaciones en el Código Penal y el Código de Infracciones Administrativas con vistas a endurecer las sanciones por actos ilícitos en el ámbito familiar y doméstico.</w:t>
      </w:r>
    </w:p>
    <w:p w14:paraId="3B633AE6" w14:textId="77777777" w:rsidR="00625C2D" w:rsidRPr="00625C2D" w:rsidRDefault="00625C2D" w:rsidP="00625C2D">
      <w:pPr>
        <w:pStyle w:val="SingleTxtG"/>
        <w:rPr>
          <w:lang w:val="es-ES_tradnl"/>
        </w:rPr>
      </w:pPr>
      <w:r w:rsidRPr="00625C2D">
        <w:rPr>
          <w:lang w:val="es-ES_tradnl"/>
        </w:rPr>
        <w:t>114.</w:t>
      </w:r>
      <w:r w:rsidRPr="00625C2D">
        <w:rPr>
          <w:lang w:val="es-ES_tradnl"/>
        </w:rPr>
        <w:tab/>
        <w:t>El Código Penal de la Federación de Rusia no recoge esta forma de violencia como delito independiente. Cuando existen indicios de delito, los actos relacionados con la violencia doméstica o familiar pueden calificarse, por ejemplo, con los artículos 105 (Asesinato), 109 (Homicidio involuntario), 111 (Lesiones intencionales graves), 112 (Lesiones intencionales de gravedad media), 115 (Lesiones intencionales leves), 116 (Malos tratos), 116.1 (Lesiones cometidas por una persona a la que se haya impuesto una sanción administrativa o que tenga antecedentes penales), 117 (Tratos crueles) y 119 (Amenaza de muerte o de lesiones graves) del Código Penal, lo cual queda confirmado por la práctica judicial.</w:t>
      </w:r>
    </w:p>
    <w:p w14:paraId="68D75694" w14:textId="77777777" w:rsidR="00625C2D" w:rsidRPr="00625C2D" w:rsidRDefault="00625C2D" w:rsidP="00625C2D">
      <w:pPr>
        <w:pStyle w:val="SingleTxtG"/>
        <w:rPr>
          <w:lang w:val="es-ES_tradnl"/>
        </w:rPr>
      </w:pPr>
      <w:r w:rsidRPr="00625C2D">
        <w:rPr>
          <w:lang w:val="es-ES_tradnl"/>
        </w:rPr>
        <w:t>115.</w:t>
      </w:r>
      <w:r w:rsidRPr="00625C2D">
        <w:rPr>
          <w:lang w:val="es-ES_tradnl"/>
        </w:rPr>
        <w:tab/>
        <w:t>Además, dependiendo de las circunstancias de su comisión, los actos de violencia doméstica pueden calificarse con los artículos 131 (Violación), 132 (Agresiones sexuales) y 133 (Coacción para realizar actos de naturaleza sexual) del Código Penal.</w:t>
      </w:r>
    </w:p>
    <w:p w14:paraId="2821617B" w14:textId="77777777" w:rsidR="00625C2D" w:rsidRPr="00625C2D" w:rsidRDefault="00625C2D" w:rsidP="00625C2D">
      <w:pPr>
        <w:pStyle w:val="SingleTxtG"/>
        <w:rPr>
          <w:lang w:val="es-ES_tradnl"/>
        </w:rPr>
      </w:pPr>
      <w:r w:rsidRPr="00625C2D">
        <w:rPr>
          <w:lang w:val="es-ES_tradnl"/>
        </w:rPr>
        <w:t>116.</w:t>
      </w:r>
      <w:r w:rsidRPr="00625C2D">
        <w:rPr>
          <w:lang w:val="es-ES_tradnl"/>
        </w:rPr>
        <w:tab/>
        <w:t>La comisión de cualquier delito contra una mujer a sabiendas de que está embarazada o contra una persona indefensa o desvalida o una persona dependiente del autor del delito se considerará circunstancia agravante y conllevará una responsabilidad penal agravada (art. 63, párr. 1 h), del Código Penal).</w:t>
      </w:r>
    </w:p>
    <w:p w14:paraId="23A56CE0" w14:textId="77777777" w:rsidR="00625C2D" w:rsidRPr="00625C2D" w:rsidRDefault="00625C2D" w:rsidP="00625C2D">
      <w:pPr>
        <w:pStyle w:val="SingleTxtG"/>
        <w:rPr>
          <w:lang w:val="es-ES_tradnl"/>
        </w:rPr>
      </w:pPr>
      <w:r w:rsidRPr="00625C2D">
        <w:rPr>
          <w:lang w:val="es-ES_tradnl"/>
        </w:rPr>
        <w:t>117.</w:t>
      </w:r>
      <w:r w:rsidRPr="00625C2D">
        <w:rPr>
          <w:lang w:val="es-ES_tradnl"/>
        </w:rPr>
        <w:tab/>
        <w:t>La Ley Federal núm. 182-FZ de Fundamentos del Sistema de Prevención de la Delincuencia en la Federación de Rusia, de 23 de junio de 2016, establece los fundamentos jurídicos y organizativos del sistema de prevención de la delincuencia. El artículo 20 de dicha ley federal prevé la posibilidad de apercibir a una persona para que deje de realizar una acción que esté favoreciendo la comisión de un delito o una infracción administrativa o de que ponga fin a una conducta antisocial prohibida siempre que no concurran los motivos suficientes para incoar un proceso penal o abrir un expediente sancionador en su contra.</w:t>
      </w:r>
    </w:p>
    <w:p w14:paraId="1C4E81E7" w14:textId="77777777" w:rsidR="00625C2D" w:rsidRPr="00625C2D" w:rsidRDefault="00625C2D" w:rsidP="00625C2D">
      <w:pPr>
        <w:pStyle w:val="SingleTxtG"/>
        <w:rPr>
          <w:lang w:val="es-ES_tradnl"/>
        </w:rPr>
      </w:pPr>
      <w:r w:rsidRPr="00625C2D">
        <w:rPr>
          <w:lang w:val="es-ES_tradnl"/>
        </w:rPr>
        <w:t>118.</w:t>
      </w:r>
      <w:r w:rsidRPr="00625C2D">
        <w:rPr>
          <w:lang w:val="es-ES_tradnl"/>
        </w:rPr>
        <w:tab/>
        <w:t>Se han seguido adoptando medidas para garantizar el control de la situación en los lugares de acogida y alojamiento de las personas evacuadas de las zonas fronterizas. Se está colaborando con los organismos competentes. En los centros móviles de acogida se atiende personalmente a los ciudadanos, ayudándolos a ejercer sus derechos, prestándoles la asistencia necesaria y ofreciéndoles aclaraciones sobre la legislación. A los recién llegados se les garantizan unas condiciones mínimas para que puedan vivir de manera adecuada, alimentos, atención médica y una ayuda económica puntual.</w:t>
      </w:r>
    </w:p>
    <w:p w14:paraId="0ADA3B0F" w14:textId="77777777" w:rsidR="00625C2D" w:rsidRPr="00625C2D" w:rsidRDefault="00625C2D" w:rsidP="00625C2D">
      <w:pPr>
        <w:pStyle w:val="SingleTxtG"/>
        <w:rPr>
          <w:lang w:val="es-ES_tradnl"/>
        </w:rPr>
      </w:pPr>
      <w:r w:rsidRPr="00625C2D">
        <w:rPr>
          <w:lang w:val="es-ES_tradnl"/>
        </w:rPr>
        <w:t>119.</w:t>
      </w:r>
      <w:r w:rsidRPr="00625C2D">
        <w:rPr>
          <w:lang w:val="es-ES_tradnl"/>
        </w:rPr>
        <w:tab/>
        <w:t xml:space="preserve">La Defensora de los Derechos Humanos de la Federación de Rusia puede recibir comunicaciones relativas a casos de violencia doméstica. En colaboración con las autoridades públicas regionales, la Defensoría explica a la persona que presenta la comunicación el procedimiento y las condiciones para acceder a servicios sociales en los centros de crisis. En algunas comunicaciones se solicita asesoramiento relacionado con casos de violencia doméstica. La Defensora de los Derechos Humanos y los miembros de plantilla </w:t>
      </w:r>
      <w:r w:rsidRPr="00625C2D">
        <w:rPr>
          <w:lang w:val="es-ES_tradnl"/>
        </w:rPr>
        <w:lastRenderedPageBreak/>
        <w:t>de la Defensoría realizan visitas a centros de crisis para ayudar a las víctimas de la violencia doméstica.</w:t>
      </w:r>
    </w:p>
    <w:p w14:paraId="71187481" w14:textId="5D1090EB" w:rsidR="00625C2D" w:rsidRPr="00625C2D" w:rsidRDefault="00625C2D" w:rsidP="00625C2D">
      <w:pPr>
        <w:pStyle w:val="SingleTxtG"/>
        <w:rPr>
          <w:lang w:val="es-ES_tradnl"/>
        </w:rPr>
      </w:pPr>
      <w:r w:rsidRPr="00625C2D">
        <w:rPr>
          <w:lang w:val="es-ES_tradnl"/>
        </w:rPr>
        <w:t>120.</w:t>
      </w:r>
      <w:r w:rsidRPr="00625C2D">
        <w:rPr>
          <w:lang w:val="es-ES_tradnl"/>
        </w:rPr>
        <w:tab/>
        <w:t>Desde 2022, la Defensora de los Derechos Humanos ha recibido más de 60</w:t>
      </w:r>
      <w:r w:rsidR="00376B12">
        <w:rPr>
          <w:lang w:val="es-ES_tradnl"/>
        </w:rPr>
        <w:t>  </w:t>
      </w:r>
      <w:r w:rsidRPr="00625C2D">
        <w:rPr>
          <w:lang w:val="es-ES_tradnl"/>
        </w:rPr>
        <w:t>comunicaciones relativas a la reunificación de menores con sus familiares o representantes legales y a la prestación de asistencia para viajar hasta el lugar de residencia habitual.</w:t>
      </w:r>
    </w:p>
    <w:p w14:paraId="523A72B2" w14:textId="77777777" w:rsidR="00625C2D" w:rsidRPr="00625C2D" w:rsidRDefault="00625C2D" w:rsidP="00625C2D">
      <w:pPr>
        <w:pStyle w:val="SingleTxtG"/>
        <w:rPr>
          <w:lang w:val="es-ES_tradnl"/>
        </w:rPr>
      </w:pPr>
      <w:r w:rsidRPr="00625C2D">
        <w:rPr>
          <w:lang w:val="es-ES_tradnl"/>
        </w:rPr>
        <w:t>121.</w:t>
      </w:r>
      <w:r w:rsidRPr="00625C2D">
        <w:rPr>
          <w:lang w:val="es-ES_tradnl"/>
        </w:rPr>
        <w:tab/>
        <w:t>La mayoría de los niños que han sido evacuados de la zona de la operación militar especial se fueron con sus familias, acompañados de sus padres, tutores o curadores. En algunos casos fueron alojados en centros de acogida temporal y en otros encontraron cobijo en casa de familiares o, cuando fue posible, en viviendas de alquiler. La labor destinada a velar por que los niños evacuados tengan un entorno adecuado para vivir se lleva a cabo, ante todo, a petición de estos y con su consentimiento, teniendo en cuenta las necesidades e intereses especiales de los niños de acuerdo con los requisitos de la legislación internacional y rusa.</w:t>
      </w:r>
    </w:p>
    <w:p w14:paraId="274EFDFE" w14:textId="77777777" w:rsidR="00625C2D" w:rsidRPr="00625C2D" w:rsidRDefault="00625C2D" w:rsidP="00625C2D">
      <w:pPr>
        <w:pStyle w:val="SingleTxtG"/>
        <w:rPr>
          <w:lang w:val="es-ES_tradnl"/>
        </w:rPr>
      </w:pPr>
      <w:r w:rsidRPr="00625C2D">
        <w:rPr>
          <w:lang w:val="es-ES_tradnl"/>
        </w:rPr>
        <w:t>122.</w:t>
      </w:r>
      <w:r w:rsidRPr="00625C2D">
        <w:rPr>
          <w:lang w:val="es-ES_tradnl"/>
        </w:rPr>
        <w:tab/>
        <w:t>Entre los evacuados también había niños de instituciones residenciales públicas para huérfanos y niños privados del cuidado parental cuyos representantes legales eran directores o empleados de estas instituciones. Se determinó que la mejor modalidad de acogimiento era la colocación de los niños en régimen de acogida temporal, teniendo en cuenta la posible reunificación de los menores con sus parientes consanguíneos, si se encontrara alguno. En los casos en que los padres o representantes legales manifiestan su deseo de recuperar a un menor, el asunto se trata inmediatamente. La parte rusa no ha impedido ni impide el mantenimiento de contactos o la comunicación entre los niños y sus familiares y personas cercanas, independientemente de su lugar de residencia, ni su reunificación. Muchos niños declaran no estar dispuestos a regresar, entre otras cosas porque no conocen a sus posibles tutores o no tienen relación con ellos.</w:t>
      </w:r>
    </w:p>
    <w:p w14:paraId="1C72BF42" w14:textId="5F94766A" w:rsidR="00625C2D" w:rsidRPr="00625C2D" w:rsidRDefault="00625C2D" w:rsidP="00625C2D">
      <w:pPr>
        <w:pStyle w:val="SingleTxtG"/>
        <w:rPr>
          <w:lang w:val="es-ES_tradnl"/>
        </w:rPr>
      </w:pPr>
      <w:r w:rsidRPr="00625C2D">
        <w:rPr>
          <w:lang w:val="es-ES_tradnl"/>
        </w:rPr>
        <w:t>123.</w:t>
      </w:r>
      <w:r w:rsidRPr="00625C2D">
        <w:rPr>
          <w:lang w:val="es-ES_tradnl"/>
        </w:rPr>
        <w:tab/>
        <w:t>A finales de 2023, en la Federación de Rusia se habían construido viviendas por un volumen total de 110,4 millones de m</w:t>
      </w:r>
      <w:r w:rsidRPr="00625C2D">
        <w:rPr>
          <w:vertAlign w:val="superscript"/>
          <w:lang w:val="es-ES_tradnl"/>
        </w:rPr>
        <w:t>2</w:t>
      </w:r>
      <w:r w:rsidRPr="00625C2D">
        <w:rPr>
          <w:lang w:val="es-ES_tradnl"/>
        </w:rPr>
        <w:t xml:space="preserve">, es decir, el 129,9 % de la meta fijada en el documento del proyecto federal titulado </w:t>
      </w:r>
      <w:r w:rsidR="00680C36">
        <w:rPr>
          <w:lang w:val="es-ES_tradnl"/>
        </w:rPr>
        <w:t>“</w:t>
      </w:r>
      <w:r w:rsidRPr="00625C2D">
        <w:rPr>
          <w:lang w:val="es-ES_tradnl"/>
        </w:rPr>
        <w:t>Vivienda</w:t>
      </w:r>
      <w:r w:rsidR="00680C36">
        <w:rPr>
          <w:lang w:val="es-ES_tradnl"/>
        </w:rPr>
        <w:t>”</w:t>
      </w:r>
      <w:r w:rsidRPr="00625C2D">
        <w:rPr>
          <w:lang w:val="es-ES_tradnl"/>
        </w:rPr>
        <w:t>, que era de 85,0 millones de m</w:t>
      </w:r>
      <w:r w:rsidRPr="00625C2D">
        <w:rPr>
          <w:vertAlign w:val="superscript"/>
          <w:lang w:val="es-ES_tradnl"/>
        </w:rPr>
        <w:t>2</w:t>
      </w:r>
      <w:r w:rsidRPr="00625C2D">
        <w:rPr>
          <w:lang w:val="es-ES_tradnl"/>
        </w:rPr>
        <w:t>.</w:t>
      </w:r>
    </w:p>
    <w:p w14:paraId="7920137A" w14:textId="6A3ACD54" w:rsidR="00625C2D" w:rsidRPr="00625C2D" w:rsidRDefault="00625C2D" w:rsidP="00625C2D">
      <w:pPr>
        <w:pStyle w:val="SingleTxtG"/>
        <w:rPr>
          <w:lang w:val="es-ES_tradnl"/>
        </w:rPr>
      </w:pPr>
      <w:r w:rsidRPr="00625C2D">
        <w:rPr>
          <w:lang w:val="es-ES_tradnl"/>
        </w:rPr>
        <w:t>124.</w:t>
      </w:r>
      <w:r w:rsidRPr="00625C2D">
        <w:rPr>
          <w:lang w:val="es-ES_tradnl"/>
        </w:rPr>
        <w:tab/>
        <w:t>A 31 de diciembre de 2023, 4.381.380 familias habían mejorado las condiciones de su vivienda (el 118,4</w:t>
      </w:r>
      <w:r w:rsidR="00376B12">
        <w:rPr>
          <w:lang w:val="es-ES_tradnl"/>
        </w:rPr>
        <w:t xml:space="preserve"> </w:t>
      </w:r>
      <w:r w:rsidRPr="00625C2D">
        <w:rPr>
          <w:lang w:val="es-ES_tradnl"/>
        </w:rPr>
        <w:t xml:space="preserve">% de la meta fijada en el documento del proyecto federal </w:t>
      </w:r>
      <w:r w:rsidR="00680C36">
        <w:rPr>
          <w:lang w:val="es-ES_tradnl"/>
        </w:rPr>
        <w:t>“</w:t>
      </w:r>
      <w:r w:rsidRPr="00625C2D">
        <w:rPr>
          <w:lang w:val="es-ES_tradnl"/>
        </w:rPr>
        <w:t>Vivienda</w:t>
      </w:r>
      <w:r w:rsidR="00680C36">
        <w:rPr>
          <w:lang w:val="es-ES_tradnl"/>
        </w:rPr>
        <w:t>”</w:t>
      </w:r>
      <w:r w:rsidRPr="00625C2D">
        <w:rPr>
          <w:lang w:val="es-ES_tradnl"/>
        </w:rPr>
        <w:t xml:space="preserve"> para 2023, a saber: 3,7 millones de familias), de las cuales:</w:t>
      </w:r>
    </w:p>
    <w:p w14:paraId="5E981A9E" w14:textId="01227B37" w:rsidR="00625C2D" w:rsidRPr="00625C2D" w:rsidRDefault="00625C2D" w:rsidP="00625C2D">
      <w:pPr>
        <w:pStyle w:val="Bullet1G"/>
        <w:rPr>
          <w:lang w:val="es-ES_tradnl"/>
        </w:rPr>
      </w:pPr>
      <w:r w:rsidRPr="00625C2D">
        <w:rPr>
          <w:lang w:val="es-ES_tradnl"/>
        </w:rPr>
        <w:t>50.620 familias (+42,0</w:t>
      </w:r>
      <w:r w:rsidR="00376B12">
        <w:rPr>
          <w:lang w:val="es-ES_tradnl"/>
        </w:rPr>
        <w:t xml:space="preserve"> </w:t>
      </w:r>
      <w:r w:rsidRPr="00625C2D">
        <w:rPr>
          <w:lang w:val="es-ES_tradnl"/>
        </w:rPr>
        <w:t>% con respecto a 2022) accedieron a una vivienda con contrato de alquiler social</w:t>
      </w:r>
      <w:r>
        <w:rPr>
          <w:lang w:val="es-ES_tradnl"/>
        </w:rPr>
        <w:t>.</w:t>
      </w:r>
    </w:p>
    <w:p w14:paraId="0C41FD70" w14:textId="295091F9" w:rsidR="00625C2D" w:rsidRPr="00625C2D" w:rsidRDefault="00625C2D" w:rsidP="00625C2D">
      <w:pPr>
        <w:pStyle w:val="Bullet1G"/>
        <w:rPr>
          <w:lang w:val="es-ES_tradnl"/>
        </w:rPr>
      </w:pPr>
      <w:r w:rsidRPr="00625C2D">
        <w:rPr>
          <w:lang w:val="es-ES_tradnl"/>
        </w:rPr>
        <w:t>3.358.120 familias (+22,0</w:t>
      </w:r>
      <w:r w:rsidR="00376B12">
        <w:rPr>
          <w:lang w:val="es-ES_tradnl"/>
        </w:rPr>
        <w:t xml:space="preserve"> </w:t>
      </w:r>
      <w:r w:rsidRPr="00625C2D">
        <w:rPr>
          <w:lang w:val="es-ES_tradnl"/>
        </w:rPr>
        <w:t>% con respecto a 2022) compraron una vivienda mediante un contrato de compraventa o registraron su derecho de propiedad en virtud de un contrato de asociación en participación inmobiliaria</w:t>
      </w:r>
      <w:r>
        <w:rPr>
          <w:lang w:val="es-ES_tradnl"/>
        </w:rPr>
        <w:t>.</w:t>
      </w:r>
    </w:p>
    <w:p w14:paraId="5AA46397" w14:textId="423BCC90" w:rsidR="00625C2D" w:rsidRPr="00625C2D" w:rsidRDefault="00625C2D" w:rsidP="00625C2D">
      <w:pPr>
        <w:pStyle w:val="Bullet1G"/>
        <w:rPr>
          <w:lang w:val="es-ES_tradnl"/>
        </w:rPr>
      </w:pPr>
      <w:r w:rsidRPr="00625C2D">
        <w:rPr>
          <w:lang w:val="es-ES_tradnl"/>
        </w:rPr>
        <w:t>35.410 familias (+38,1</w:t>
      </w:r>
      <w:r w:rsidR="00797EB9">
        <w:rPr>
          <w:lang w:val="es-ES_tradnl"/>
        </w:rPr>
        <w:t xml:space="preserve"> </w:t>
      </w:r>
      <w:r w:rsidRPr="00625C2D">
        <w:rPr>
          <w:lang w:val="es-ES_tradnl"/>
        </w:rPr>
        <w:t>% con respecto a 2022) fueron reubicadas del parque de viviendas de emergencia en el marco de la ejecución de programas regionales específicos con arreglo a la Ley Federal del Fondo de Ayuda para la Reforma de la Vivienda y los Servicios Públicos Conexos, sin contar con las familias que optaron por recibir una indemnización en efectivo en lugar de ser reubicadas del parque de viviendas de emergencia</w:t>
      </w:r>
      <w:r>
        <w:rPr>
          <w:lang w:val="es-ES_tradnl"/>
        </w:rPr>
        <w:t>.</w:t>
      </w:r>
    </w:p>
    <w:p w14:paraId="6F8D70A5" w14:textId="6ADA09F8" w:rsidR="00625C2D" w:rsidRPr="00625C2D" w:rsidRDefault="00625C2D" w:rsidP="00625C2D">
      <w:pPr>
        <w:pStyle w:val="Bullet1G"/>
        <w:rPr>
          <w:lang w:val="es-ES_tradnl"/>
        </w:rPr>
      </w:pPr>
      <w:r w:rsidRPr="00625C2D">
        <w:rPr>
          <w:lang w:val="es-ES_tradnl"/>
        </w:rPr>
        <w:t>496.340 familias (+0,7</w:t>
      </w:r>
      <w:r w:rsidR="00797EB9">
        <w:rPr>
          <w:lang w:val="es-ES_tradnl"/>
        </w:rPr>
        <w:t xml:space="preserve"> </w:t>
      </w:r>
      <w:r w:rsidRPr="00625C2D">
        <w:rPr>
          <w:lang w:val="es-ES_tradnl"/>
        </w:rPr>
        <w:t>% con respecto a 2022) mejoraron las condiciones de su vivienda por otros métodos, entre otras cosas mediante la realización de obras de renovación o el registro del derecho de propiedad previa presentación del justificante de pago de la totalidad de la cuota de contribución correspondiente a los miembros de una cooperativa de vivienda, inmobiliaria o de otra índole</w:t>
      </w:r>
      <w:r>
        <w:rPr>
          <w:lang w:val="es-ES_tradnl"/>
        </w:rPr>
        <w:t>.</w:t>
      </w:r>
    </w:p>
    <w:p w14:paraId="20274D26" w14:textId="037D671F" w:rsidR="00625C2D" w:rsidRPr="00625C2D" w:rsidRDefault="00625C2D" w:rsidP="00625C2D">
      <w:pPr>
        <w:pStyle w:val="Bullet1G"/>
        <w:rPr>
          <w:lang w:val="es-ES_tradnl"/>
        </w:rPr>
      </w:pPr>
      <w:r w:rsidRPr="00625C2D">
        <w:rPr>
          <w:lang w:val="es-ES_tradnl"/>
        </w:rPr>
        <w:t>9.370 familias (+6,2</w:t>
      </w:r>
      <w:r w:rsidR="00797EB9">
        <w:rPr>
          <w:lang w:val="es-ES_tradnl"/>
        </w:rPr>
        <w:t xml:space="preserve"> </w:t>
      </w:r>
      <w:r w:rsidRPr="00625C2D">
        <w:rPr>
          <w:lang w:val="es-ES_tradnl"/>
        </w:rPr>
        <w:t>% con respecto a 2022) firmaron contratos de alquiler de larga duración a precio de mercado (contratos de alquiler o arrendamiento de viviendas por un período de al menos un año)</w:t>
      </w:r>
      <w:r>
        <w:rPr>
          <w:lang w:val="es-ES_tradnl"/>
        </w:rPr>
        <w:t>.</w:t>
      </w:r>
    </w:p>
    <w:p w14:paraId="1EC7712A" w14:textId="2F2699E9" w:rsidR="00625C2D" w:rsidRPr="00625C2D" w:rsidRDefault="00625C2D" w:rsidP="00625C2D">
      <w:pPr>
        <w:pStyle w:val="Bullet1G"/>
        <w:rPr>
          <w:lang w:val="es-ES_tradnl"/>
        </w:rPr>
      </w:pPr>
      <w:r w:rsidRPr="00625C2D">
        <w:rPr>
          <w:lang w:val="es-ES_tradnl"/>
        </w:rPr>
        <w:t>431.520 familias (+7,5</w:t>
      </w:r>
      <w:r w:rsidR="00797EB9">
        <w:rPr>
          <w:lang w:val="es-ES_tradnl"/>
        </w:rPr>
        <w:t xml:space="preserve"> </w:t>
      </w:r>
      <w:r w:rsidRPr="00625C2D">
        <w:rPr>
          <w:lang w:val="es-ES_tradnl"/>
        </w:rPr>
        <w:t>% con respecto a 2022) se construyeron una vivienda individual utilizando fondos propios y prestados.</w:t>
      </w:r>
    </w:p>
    <w:p w14:paraId="644D213C" w14:textId="76EB5223" w:rsidR="00625C2D" w:rsidRPr="00625C2D" w:rsidRDefault="00625C2D" w:rsidP="00625C2D">
      <w:pPr>
        <w:pStyle w:val="SingleTxtG"/>
        <w:rPr>
          <w:lang w:val="es-ES_tradnl"/>
        </w:rPr>
      </w:pPr>
      <w:r w:rsidRPr="00625C2D">
        <w:rPr>
          <w:lang w:val="es-ES_tradnl"/>
        </w:rPr>
        <w:lastRenderedPageBreak/>
        <w:t>125.</w:t>
      </w:r>
      <w:r w:rsidRPr="00625C2D">
        <w:rPr>
          <w:lang w:val="es-ES_tradnl"/>
        </w:rPr>
        <w:tab/>
        <w:t>A finales de 2023, la superficie total de viviendas incorporadas en el marco de esta iniciativa de estímulo ascendía a 11,4492 millones de m</w:t>
      </w:r>
      <w:r w:rsidRPr="00625C2D">
        <w:rPr>
          <w:vertAlign w:val="superscript"/>
          <w:lang w:val="es-ES_tradnl"/>
        </w:rPr>
        <w:t>2</w:t>
      </w:r>
      <w:r w:rsidRPr="00625C2D">
        <w:rPr>
          <w:lang w:val="es-ES_tradnl"/>
        </w:rPr>
        <w:t xml:space="preserve">, es decir, el 104,6 % de la meta fijada en el documento del proyecto federal </w:t>
      </w:r>
      <w:r w:rsidR="00680C36">
        <w:rPr>
          <w:lang w:val="es-ES_tradnl"/>
        </w:rPr>
        <w:t>“</w:t>
      </w:r>
      <w:r w:rsidRPr="00625C2D">
        <w:rPr>
          <w:lang w:val="es-ES_tradnl"/>
        </w:rPr>
        <w:t>Vivienda</w:t>
      </w:r>
      <w:r w:rsidR="00680C36">
        <w:rPr>
          <w:lang w:val="es-ES_tradnl"/>
        </w:rPr>
        <w:t>”</w:t>
      </w:r>
      <w:r w:rsidRPr="00625C2D">
        <w:rPr>
          <w:lang w:val="es-ES_tradnl"/>
        </w:rPr>
        <w:t xml:space="preserve"> (10,9447 millones de m</w:t>
      </w:r>
      <w:r w:rsidRPr="00625C2D">
        <w:rPr>
          <w:vertAlign w:val="superscript"/>
          <w:lang w:val="es-ES_tradnl"/>
        </w:rPr>
        <w:t>2</w:t>
      </w:r>
      <w:r w:rsidRPr="00625C2D">
        <w:rPr>
          <w:lang w:val="es-ES_tradnl"/>
        </w:rPr>
        <w:t>).</w:t>
      </w:r>
    </w:p>
    <w:p w14:paraId="7E00F7D9" w14:textId="0D8ACA27" w:rsidR="00625C2D" w:rsidRPr="00625C2D" w:rsidRDefault="00625C2D" w:rsidP="00625C2D">
      <w:pPr>
        <w:pStyle w:val="SingleTxtG"/>
        <w:rPr>
          <w:lang w:val="es-ES_tradnl"/>
        </w:rPr>
      </w:pPr>
      <w:r w:rsidRPr="00625C2D">
        <w:rPr>
          <w:lang w:val="es-ES_tradnl"/>
        </w:rPr>
        <w:t>126.</w:t>
      </w:r>
      <w:r w:rsidRPr="00625C2D">
        <w:rPr>
          <w:lang w:val="es-ES_tradnl"/>
        </w:rPr>
        <w:tab/>
        <w:t>A 31 de diciembre de 2023 se habían llevado a cabo 32 actividades en el marco de la ejecución de los proyectos de construcción de infraestructura especificados en el artículo</w:t>
      </w:r>
      <w:r w:rsidR="00797EB9">
        <w:rPr>
          <w:lang w:val="es-ES_tradnl"/>
        </w:rPr>
        <w:t> </w:t>
      </w:r>
      <w:r w:rsidRPr="00625C2D">
        <w:rPr>
          <w:lang w:val="es-ES_tradnl"/>
        </w:rPr>
        <w:t>5.2</w:t>
      </w:r>
      <w:r w:rsidR="00797EB9">
        <w:rPr>
          <w:lang w:val="es-ES_tradnl"/>
        </w:rPr>
        <w:t> </w:t>
      </w:r>
      <w:r w:rsidRPr="00625C2D">
        <w:rPr>
          <w:lang w:val="es-ES_tradnl"/>
        </w:rPr>
        <w:t>del Código de Urbanismo, esto es, el 100</w:t>
      </w:r>
      <w:r w:rsidR="00797EB9">
        <w:rPr>
          <w:lang w:val="es-ES_tradnl"/>
        </w:rPr>
        <w:t xml:space="preserve"> </w:t>
      </w:r>
      <w:r w:rsidRPr="00625C2D">
        <w:rPr>
          <w:lang w:val="es-ES_tradnl"/>
        </w:rPr>
        <w:t xml:space="preserve">% de la meta fijada en el documento del proyecto federal </w:t>
      </w:r>
      <w:r w:rsidR="00680C36">
        <w:rPr>
          <w:lang w:val="es-ES_tradnl"/>
        </w:rPr>
        <w:t>“</w:t>
      </w:r>
      <w:r w:rsidRPr="00625C2D">
        <w:rPr>
          <w:lang w:val="es-ES_tradnl"/>
        </w:rPr>
        <w:t>Vivienda</w:t>
      </w:r>
      <w:r w:rsidR="00680C36">
        <w:rPr>
          <w:lang w:val="es-ES_tradnl"/>
        </w:rPr>
        <w:t>”</w:t>
      </w:r>
      <w:r w:rsidRPr="00625C2D">
        <w:rPr>
          <w:lang w:val="es-ES_tradnl"/>
        </w:rPr>
        <w:t xml:space="preserve"> (32 actividades).</w:t>
      </w:r>
    </w:p>
    <w:p w14:paraId="0631461B" w14:textId="644D9B8E" w:rsidR="00625C2D" w:rsidRPr="00625C2D" w:rsidRDefault="00625C2D" w:rsidP="00625C2D">
      <w:pPr>
        <w:pStyle w:val="SingleTxtG"/>
        <w:rPr>
          <w:lang w:val="es-ES_tradnl"/>
        </w:rPr>
      </w:pPr>
      <w:r w:rsidRPr="00625C2D">
        <w:rPr>
          <w:lang w:val="es-ES_tradnl"/>
        </w:rPr>
        <w:t>127.</w:t>
      </w:r>
      <w:r w:rsidRPr="00625C2D">
        <w:rPr>
          <w:lang w:val="es-ES_tradnl"/>
        </w:rPr>
        <w:tab/>
        <w:t xml:space="preserve">A 1 de enero de 2024 se habían acondicionado un total de 27.679 espacios públicos en el marco del proyecto federal titulado </w:t>
      </w:r>
      <w:r w:rsidR="00680C36">
        <w:rPr>
          <w:lang w:val="es-ES_tradnl"/>
        </w:rPr>
        <w:t>“</w:t>
      </w:r>
      <w:r w:rsidRPr="00625C2D">
        <w:rPr>
          <w:lang w:val="es-ES_tradnl"/>
        </w:rPr>
        <w:t>Creación de un entorno urbano favorable</w:t>
      </w:r>
      <w:r w:rsidR="00680C36">
        <w:rPr>
          <w:lang w:val="es-ES_tradnl"/>
        </w:rPr>
        <w:t>”</w:t>
      </w:r>
      <w:r w:rsidRPr="00625C2D">
        <w:rPr>
          <w:lang w:val="es-ES_tradnl"/>
        </w:rPr>
        <w:t xml:space="preserve"> desde</w:t>
      </w:r>
      <w:r w:rsidR="007E2BDD">
        <w:rPr>
          <w:lang w:val="es-ES_tradnl"/>
        </w:rPr>
        <w:t> </w:t>
      </w:r>
      <w:r w:rsidRPr="00625C2D">
        <w:rPr>
          <w:lang w:val="es-ES_tradnl"/>
        </w:rPr>
        <w:t>2019, esto es, el 104 % de la meta prevista para 2023 (26.706 espacios). También se acondicionaron 37.559 zonas comunitarias.</w:t>
      </w:r>
    </w:p>
    <w:p w14:paraId="2B5B4078" w14:textId="31711DD7" w:rsidR="00625C2D" w:rsidRPr="00625C2D" w:rsidRDefault="00625C2D" w:rsidP="00625C2D">
      <w:pPr>
        <w:pStyle w:val="SingleTxtG"/>
        <w:rPr>
          <w:lang w:val="es-ES_tradnl"/>
        </w:rPr>
      </w:pPr>
      <w:r w:rsidRPr="00625C2D">
        <w:rPr>
          <w:lang w:val="es-ES_tradnl"/>
        </w:rPr>
        <w:t>128.</w:t>
      </w:r>
      <w:r w:rsidRPr="00625C2D">
        <w:rPr>
          <w:lang w:val="es-ES_tradnl"/>
        </w:rPr>
        <w:tab/>
        <w:t>Asimismo, desde 2019 se ejecutó un total de al menos 694 proyectos de los ganadores del concurso nacional de proyectos para crear un entorno urbano favorable en ciudades pequeñas y asentamientos históricos, esto es, el 124</w:t>
      </w:r>
      <w:r w:rsidR="007E2BDD">
        <w:rPr>
          <w:lang w:val="es-ES_tradnl"/>
        </w:rPr>
        <w:t xml:space="preserve"> </w:t>
      </w:r>
      <w:r w:rsidRPr="00625C2D">
        <w:rPr>
          <w:lang w:val="es-ES_tradnl"/>
        </w:rPr>
        <w:t>% de la meta fijada para 2023 (560</w:t>
      </w:r>
      <w:r w:rsidR="007E2BDD">
        <w:rPr>
          <w:lang w:val="es-ES_tradnl"/>
        </w:rPr>
        <w:t> </w:t>
      </w:r>
      <w:r w:rsidRPr="00625C2D">
        <w:rPr>
          <w:lang w:val="es-ES_tradnl"/>
        </w:rPr>
        <w:t>proyectos).</w:t>
      </w:r>
    </w:p>
    <w:p w14:paraId="66C4FA15" w14:textId="22158A2D" w:rsidR="00625C2D" w:rsidRPr="00625C2D" w:rsidRDefault="00625C2D" w:rsidP="00625C2D">
      <w:pPr>
        <w:pStyle w:val="SingleTxtG"/>
        <w:rPr>
          <w:lang w:val="es-ES_tradnl"/>
        </w:rPr>
      </w:pPr>
      <w:r w:rsidRPr="00625C2D">
        <w:rPr>
          <w:lang w:val="es-ES_tradnl"/>
        </w:rPr>
        <w:t>129.</w:t>
      </w:r>
      <w:r w:rsidRPr="00625C2D">
        <w:rPr>
          <w:lang w:val="es-ES_tradnl"/>
        </w:rPr>
        <w:tab/>
        <w:t>Según datos recabados mediante la labor mensual de seguimiento, a 1 de enero de</w:t>
      </w:r>
      <w:r w:rsidR="007E2BDD">
        <w:rPr>
          <w:lang w:val="es-ES_tradnl"/>
        </w:rPr>
        <w:t> </w:t>
      </w:r>
      <w:r w:rsidRPr="00625C2D">
        <w:rPr>
          <w:lang w:val="es-ES_tradnl"/>
        </w:rPr>
        <w:t>2024 el índice medio de calidad del entorno urbano había aumentado un 17 % con respecto a 2019.</w:t>
      </w:r>
    </w:p>
    <w:p w14:paraId="2DBAE434" w14:textId="393246C5" w:rsidR="00625C2D" w:rsidRPr="00625C2D" w:rsidRDefault="00625C2D" w:rsidP="00625C2D">
      <w:pPr>
        <w:pStyle w:val="SingleTxtG"/>
        <w:rPr>
          <w:lang w:val="es-ES_tradnl"/>
        </w:rPr>
      </w:pPr>
      <w:r w:rsidRPr="00625C2D">
        <w:rPr>
          <w:lang w:val="es-ES_tradnl"/>
        </w:rPr>
        <w:t>130.</w:t>
      </w:r>
      <w:r w:rsidRPr="00625C2D">
        <w:rPr>
          <w:lang w:val="es-ES_tradnl"/>
        </w:rPr>
        <w:tab/>
        <w:t>A 1 de enero de 2024, el número de ciudades con un entorno favorable ascendía a 603</w:t>
      </w:r>
      <w:r w:rsidR="005D7525">
        <w:rPr>
          <w:lang w:val="es-ES_tradnl"/>
        </w:rPr>
        <w:t> </w:t>
      </w:r>
      <w:r w:rsidRPr="00625C2D">
        <w:rPr>
          <w:lang w:val="es-ES_tradnl"/>
        </w:rPr>
        <w:t>(el mismo valor que la meta) y la proporción de ciudades con un entorno favorable se situaba en el 54</w:t>
      </w:r>
      <w:r w:rsidR="005D7525">
        <w:rPr>
          <w:lang w:val="es-ES_tradnl"/>
        </w:rPr>
        <w:t xml:space="preserve"> </w:t>
      </w:r>
      <w:r w:rsidRPr="00625C2D">
        <w:rPr>
          <w:lang w:val="es-ES_tradnl"/>
        </w:rPr>
        <w:t>% (el mismo porcentaje que la meta).</w:t>
      </w:r>
    </w:p>
    <w:p w14:paraId="75D159EE" w14:textId="77777777" w:rsidR="00625C2D" w:rsidRPr="00625C2D" w:rsidRDefault="00625C2D" w:rsidP="00625C2D">
      <w:pPr>
        <w:pStyle w:val="SingleTxtG"/>
        <w:rPr>
          <w:lang w:val="es-ES_tradnl"/>
        </w:rPr>
      </w:pPr>
      <w:r w:rsidRPr="00625C2D">
        <w:rPr>
          <w:lang w:val="es-ES_tradnl"/>
        </w:rPr>
        <w:t>131.</w:t>
      </w:r>
      <w:r w:rsidRPr="00625C2D">
        <w:rPr>
          <w:lang w:val="es-ES_tradnl"/>
        </w:rPr>
        <w:tab/>
        <w:t>El valor previsto del índice de calidad del entorno urbano en la Federación de Rusia para 2023 era de 198 puntos.</w:t>
      </w:r>
    </w:p>
    <w:p w14:paraId="7B7404C1" w14:textId="437C0CA5" w:rsidR="00625C2D" w:rsidRPr="00625C2D" w:rsidRDefault="00625C2D" w:rsidP="00625C2D">
      <w:pPr>
        <w:pStyle w:val="SingleTxtG"/>
        <w:rPr>
          <w:lang w:val="es-ES_tradnl"/>
        </w:rPr>
      </w:pPr>
      <w:r w:rsidRPr="00625C2D">
        <w:rPr>
          <w:lang w:val="es-ES_tradnl"/>
        </w:rPr>
        <w:t>132.</w:t>
      </w:r>
      <w:r w:rsidRPr="00625C2D">
        <w:rPr>
          <w:lang w:val="es-ES_tradnl"/>
        </w:rPr>
        <w:tab/>
        <w:t>A 1 de enero de 2024, la proporción de ciudadanos que habían participado en la labor destinada a resolver cuestiones de desarrollo del entorno urbano con respecto al total de ciudadanos de 14 años o más que vivían en municipios en los que se estaban implementando proyectos para crear un entorno urbano confortable ascendía al 26,89</w:t>
      </w:r>
      <w:r w:rsidR="005D7525">
        <w:rPr>
          <w:lang w:val="es-ES_tradnl"/>
        </w:rPr>
        <w:t xml:space="preserve"> </w:t>
      </w:r>
      <w:r w:rsidRPr="00625C2D">
        <w:rPr>
          <w:lang w:val="es-ES_tradnl"/>
        </w:rPr>
        <w:t>% (frente al 10,5</w:t>
      </w:r>
      <w:r w:rsidR="005D7525">
        <w:rPr>
          <w:lang w:val="es-ES_tradnl"/>
        </w:rPr>
        <w:t xml:space="preserve"> </w:t>
      </w:r>
      <w:r w:rsidRPr="00625C2D">
        <w:rPr>
          <w:lang w:val="es-ES_tradnl"/>
        </w:rPr>
        <w:t>% en</w:t>
      </w:r>
      <w:r w:rsidR="005D7525">
        <w:rPr>
          <w:lang w:val="es-ES_tradnl"/>
        </w:rPr>
        <w:t> </w:t>
      </w:r>
      <w:r w:rsidRPr="00625C2D">
        <w:rPr>
          <w:lang w:val="es-ES_tradnl"/>
        </w:rPr>
        <w:t>2019).</w:t>
      </w:r>
    </w:p>
    <w:p w14:paraId="2CE765B6" w14:textId="0EE2147B" w:rsidR="00625C2D" w:rsidRPr="00625C2D" w:rsidRDefault="00625C2D" w:rsidP="00625C2D">
      <w:pPr>
        <w:pStyle w:val="SingleTxtG"/>
        <w:rPr>
          <w:lang w:val="es-ES_tradnl"/>
        </w:rPr>
      </w:pPr>
      <w:r w:rsidRPr="00625C2D">
        <w:rPr>
          <w:lang w:val="es-ES_tradnl"/>
        </w:rPr>
        <w:t>133.</w:t>
      </w:r>
      <w:r w:rsidRPr="00625C2D">
        <w:rPr>
          <w:lang w:val="es-ES_tradnl"/>
        </w:rPr>
        <w:tab/>
        <w:t>En 2023 se organizó el tercer referéndum nacional sobre la infraestructura que debía ser objeto de mejora, en el que participaron 14,2 millones de personas, cifra que superó la de</w:t>
      </w:r>
      <w:r w:rsidR="005D7525">
        <w:rPr>
          <w:lang w:val="es-ES_tradnl"/>
        </w:rPr>
        <w:t> </w:t>
      </w:r>
      <w:r w:rsidRPr="00625C2D">
        <w:rPr>
          <w:lang w:val="es-ES_tradnl"/>
        </w:rPr>
        <w:t>2022 (3,5 millones).</w:t>
      </w:r>
    </w:p>
    <w:p w14:paraId="4435CBDC" w14:textId="77777777" w:rsidR="00625C2D" w:rsidRPr="00625C2D" w:rsidRDefault="00625C2D" w:rsidP="00625C2D">
      <w:pPr>
        <w:pStyle w:val="SingleTxtG"/>
        <w:rPr>
          <w:lang w:val="es-ES_tradnl"/>
        </w:rPr>
      </w:pPr>
      <w:r w:rsidRPr="00625C2D">
        <w:rPr>
          <w:lang w:val="es-ES_tradnl"/>
        </w:rPr>
        <w:t>134.</w:t>
      </w:r>
      <w:r w:rsidRPr="00625C2D">
        <w:rPr>
          <w:lang w:val="es-ES_tradnl"/>
        </w:rPr>
        <w:tab/>
        <w:t>Desde 2019 se ejecutó un total de al menos 707 proyectos de los ganadores del concurso nacional de proyectos para crear un entorno urbano favorable en ciudades pequeñas y asentamientos históricos, esto es, el 85 % de la meta fijada para 2024 (832 proyectos).</w:t>
      </w:r>
    </w:p>
    <w:p w14:paraId="5EDAA178" w14:textId="19F31637" w:rsidR="00625C2D" w:rsidRPr="00625C2D" w:rsidRDefault="00625C2D" w:rsidP="00625C2D">
      <w:pPr>
        <w:pStyle w:val="SingleTxtG"/>
        <w:rPr>
          <w:lang w:val="es-ES_tradnl"/>
        </w:rPr>
      </w:pPr>
      <w:r w:rsidRPr="00625C2D">
        <w:rPr>
          <w:lang w:val="es-ES_tradnl"/>
        </w:rPr>
        <w:t>135.</w:t>
      </w:r>
      <w:r w:rsidRPr="00625C2D">
        <w:rPr>
          <w:lang w:val="es-ES_tradnl"/>
        </w:rPr>
        <w:tab/>
        <w:t>A finales de 2023, el valor del índice de calidad del entorno urbano en la Federación de Rusia era de 200 puntos (frente al valor previsto de 198 puntos), el número de ciudades con un entorno favorable ascendía a 759 (frente a la meta de 603 fijada para 2023) y la proporción de ciudades con un entorno favorable se situaba en el 68 % (frente a la meta prevista de 54</w:t>
      </w:r>
      <w:r w:rsidR="005D7525">
        <w:rPr>
          <w:lang w:val="es-ES_tradnl"/>
        </w:rPr>
        <w:t xml:space="preserve"> </w:t>
      </w:r>
      <w:r w:rsidRPr="00625C2D">
        <w:rPr>
          <w:lang w:val="es-ES_tradnl"/>
        </w:rPr>
        <w:t>%).</w:t>
      </w:r>
    </w:p>
    <w:p w14:paraId="04715DAD" w14:textId="0A0B5730" w:rsidR="00625C2D" w:rsidRPr="00625C2D" w:rsidRDefault="00625C2D" w:rsidP="00625C2D">
      <w:pPr>
        <w:pStyle w:val="SingleTxtG"/>
        <w:rPr>
          <w:lang w:val="es-ES_tradnl"/>
        </w:rPr>
      </w:pPr>
      <w:r w:rsidRPr="00625C2D">
        <w:rPr>
          <w:lang w:val="es-ES_tradnl"/>
        </w:rPr>
        <w:t>136.</w:t>
      </w:r>
      <w:r w:rsidRPr="00625C2D">
        <w:rPr>
          <w:lang w:val="es-ES_tradnl"/>
        </w:rPr>
        <w:tab/>
        <w:t xml:space="preserve">En el marco de la ejecución del proyecto federal titulado </w:t>
      </w:r>
      <w:r w:rsidR="00680C36">
        <w:rPr>
          <w:lang w:val="es-ES_tradnl"/>
        </w:rPr>
        <w:t>“</w:t>
      </w:r>
      <w:r w:rsidRPr="00625C2D">
        <w:rPr>
          <w:lang w:val="es-ES_tradnl"/>
        </w:rPr>
        <w:t>Agua limpia</w:t>
      </w:r>
      <w:r w:rsidR="00680C36">
        <w:rPr>
          <w:lang w:val="es-ES_tradnl"/>
        </w:rPr>
        <w:t>”</w:t>
      </w:r>
      <w:r w:rsidRPr="00625C2D">
        <w:rPr>
          <w:lang w:val="es-ES_tradnl"/>
        </w:rPr>
        <w:t>, a finales de</w:t>
      </w:r>
      <w:r w:rsidR="005D7525">
        <w:rPr>
          <w:lang w:val="es-ES_tradnl"/>
        </w:rPr>
        <w:t> </w:t>
      </w:r>
      <w:r w:rsidRPr="00625C2D">
        <w:rPr>
          <w:lang w:val="es-ES_tradnl"/>
        </w:rPr>
        <w:t>2023 se habían completado las obras de 1.183 instalaciones (72 en 2019, 100 en 2020, 259 en 2021, 363 en 2022 y 389 en 2023) y la proporción de la población del país abastecida</w:t>
      </w:r>
      <w:r w:rsidR="005D7525">
        <w:rPr>
          <w:lang w:val="es-ES_tradnl"/>
        </w:rPr>
        <w:t> </w:t>
      </w:r>
      <w:r w:rsidRPr="00625C2D">
        <w:rPr>
          <w:lang w:val="es-ES_tradnl"/>
        </w:rPr>
        <w:t>con agua potable de calidad procedente de sistemas centralizados de suministro de agua había</w:t>
      </w:r>
      <w:r w:rsidR="005D7525">
        <w:rPr>
          <w:lang w:val="es-ES_tradnl"/>
        </w:rPr>
        <w:t xml:space="preserve"> </w:t>
      </w:r>
      <w:r w:rsidRPr="00625C2D">
        <w:rPr>
          <w:lang w:val="es-ES_tradnl"/>
        </w:rPr>
        <w:t>aumentado del 85,5</w:t>
      </w:r>
      <w:r w:rsidR="005D7525">
        <w:rPr>
          <w:lang w:val="es-ES_tradnl"/>
        </w:rPr>
        <w:t xml:space="preserve"> </w:t>
      </w:r>
      <w:r w:rsidRPr="00625C2D">
        <w:rPr>
          <w:lang w:val="es-ES_tradnl"/>
        </w:rPr>
        <w:t>% al 88,56</w:t>
      </w:r>
      <w:r w:rsidR="005D7525">
        <w:rPr>
          <w:lang w:val="es-ES_tradnl"/>
        </w:rPr>
        <w:t xml:space="preserve"> </w:t>
      </w:r>
      <w:r w:rsidRPr="00625C2D">
        <w:rPr>
          <w:lang w:val="es-ES_tradnl"/>
        </w:rPr>
        <w:t>% (en el caso de la población urbana, del 92,7</w:t>
      </w:r>
      <w:r w:rsidR="005D7525">
        <w:rPr>
          <w:lang w:val="es-ES_tradnl"/>
        </w:rPr>
        <w:t> </w:t>
      </w:r>
      <w:r w:rsidRPr="00625C2D">
        <w:rPr>
          <w:lang w:val="es-ES_tradnl"/>
        </w:rPr>
        <w:t>% al 94,978</w:t>
      </w:r>
      <w:r w:rsidR="005D7525">
        <w:rPr>
          <w:lang w:val="es-ES_tradnl"/>
        </w:rPr>
        <w:t> </w:t>
      </w:r>
      <w:r w:rsidRPr="00625C2D">
        <w:rPr>
          <w:lang w:val="es-ES_tradnl"/>
        </w:rPr>
        <w:t>%).</w:t>
      </w:r>
    </w:p>
    <w:p w14:paraId="0C236A9A" w14:textId="3E5D1E28" w:rsidR="00625C2D" w:rsidRPr="00625C2D" w:rsidRDefault="00625C2D" w:rsidP="00625C2D">
      <w:pPr>
        <w:pStyle w:val="SingleTxtG"/>
        <w:rPr>
          <w:lang w:val="es-ES_tradnl"/>
        </w:rPr>
      </w:pPr>
      <w:r w:rsidRPr="00625C2D">
        <w:rPr>
          <w:lang w:val="es-ES_tradnl"/>
        </w:rPr>
        <w:t>137.</w:t>
      </w:r>
      <w:r w:rsidRPr="00625C2D">
        <w:rPr>
          <w:lang w:val="es-ES_tradnl"/>
        </w:rPr>
        <w:tab/>
        <w:t xml:space="preserve">En el marco del proyecto federal titulado </w:t>
      </w:r>
      <w:r w:rsidR="00680C36">
        <w:rPr>
          <w:lang w:val="es-ES_tradnl"/>
        </w:rPr>
        <w:t>“</w:t>
      </w:r>
      <w:r w:rsidRPr="00625C2D">
        <w:rPr>
          <w:lang w:val="es-ES_tradnl"/>
        </w:rPr>
        <w:t>Reducción sostenida del parque de viviendas inhabitables</w:t>
      </w:r>
      <w:r w:rsidR="00680C36">
        <w:rPr>
          <w:lang w:val="es-ES_tradnl"/>
        </w:rPr>
        <w:t>”</w:t>
      </w:r>
      <w:r w:rsidRPr="00625C2D">
        <w:rPr>
          <w:lang w:val="es-ES_tradnl"/>
        </w:rPr>
        <w:t xml:space="preserve"> adscrito al proyecto nacional </w:t>
      </w:r>
      <w:r w:rsidR="00680C36">
        <w:rPr>
          <w:lang w:val="es-ES_tradnl"/>
        </w:rPr>
        <w:t>“</w:t>
      </w:r>
      <w:r w:rsidRPr="00625C2D">
        <w:rPr>
          <w:lang w:val="es-ES_tradnl"/>
        </w:rPr>
        <w:t>Vivienda y entorno urbano</w:t>
      </w:r>
      <w:r w:rsidR="00680C36">
        <w:rPr>
          <w:lang w:val="es-ES_tradnl"/>
        </w:rPr>
        <w:t>”</w:t>
      </w:r>
      <w:r w:rsidRPr="00625C2D">
        <w:rPr>
          <w:lang w:val="es-ES_tradnl"/>
        </w:rPr>
        <w:t>, se prevé reubicar entre 2019 y 2024 a 560.830 personas de una superficie total de 9,97 millones de m</w:t>
      </w:r>
      <w:r w:rsidRPr="00625C2D">
        <w:rPr>
          <w:vertAlign w:val="superscript"/>
          <w:lang w:val="es-ES_tradnl"/>
        </w:rPr>
        <w:t>2</w:t>
      </w:r>
      <w:r w:rsidRPr="00625C2D">
        <w:rPr>
          <w:lang w:val="es-ES_tradnl"/>
        </w:rPr>
        <w:t xml:space="preserve"> del conjunto de viviendas calificadas de </w:t>
      </w:r>
      <w:r w:rsidR="00680C36">
        <w:rPr>
          <w:lang w:val="es-ES_tradnl"/>
        </w:rPr>
        <w:t>“</w:t>
      </w:r>
      <w:r w:rsidRPr="00625C2D">
        <w:rPr>
          <w:lang w:val="es-ES_tradnl"/>
        </w:rPr>
        <w:t>infraviviendas</w:t>
      </w:r>
      <w:r w:rsidR="00680C36">
        <w:rPr>
          <w:lang w:val="es-ES_tradnl"/>
        </w:rPr>
        <w:t>”</w:t>
      </w:r>
      <w:r w:rsidRPr="00625C2D">
        <w:rPr>
          <w:lang w:val="es-ES_tradnl"/>
        </w:rPr>
        <w:t xml:space="preserve"> a 1 de enero de 2017.</w:t>
      </w:r>
    </w:p>
    <w:p w14:paraId="45BD44A0" w14:textId="5CD0547B" w:rsidR="00625C2D" w:rsidRPr="00625C2D" w:rsidRDefault="00625C2D" w:rsidP="00625C2D">
      <w:pPr>
        <w:pStyle w:val="SingleTxtG"/>
        <w:keepNext/>
        <w:keepLines/>
        <w:rPr>
          <w:lang w:val="es-ES_tradnl"/>
        </w:rPr>
      </w:pPr>
      <w:r w:rsidRPr="00625C2D">
        <w:rPr>
          <w:lang w:val="es-ES_tradnl"/>
        </w:rPr>
        <w:lastRenderedPageBreak/>
        <w:t>138.</w:t>
      </w:r>
      <w:r w:rsidRPr="00625C2D">
        <w:rPr>
          <w:lang w:val="es-ES_tradnl"/>
        </w:rPr>
        <w:tab/>
        <w:t>En el marco de la ejecución del proyecto federal para el período comprendido entre</w:t>
      </w:r>
      <w:r w:rsidR="00F54B33">
        <w:rPr>
          <w:lang w:val="es-ES_tradnl"/>
        </w:rPr>
        <w:t> </w:t>
      </w:r>
      <w:r w:rsidRPr="00625C2D">
        <w:rPr>
          <w:lang w:val="es-ES_tradnl"/>
        </w:rPr>
        <w:t>2019 y 2023 (total acumulado incluyendo el nuevo programa):</w:t>
      </w:r>
    </w:p>
    <w:p w14:paraId="08FE8E30" w14:textId="7365269E" w:rsidR="00625C2D" w:rsidRPr="00625C2D" w:rsidRDefault="00625C2D" w:rsidP="00625C2D">
      <w:pPr>
        <w:pStyle w:val="Bullet1G"/>
        <w:rPr>
          <w:lang w:val="es-ES_tradnl"/>
        </w:rPr>
      </w:pPr>
      <w:r w:rsidRPr="00625C2D">
        <w:rPr>
          <w:lang w:val="es-ES_tradnl"/>
        </w:rPr>
        <w:t>Se reubicó a los habitantes de infraviviendas por una superficie total de 11,49 millones de m</w:t>
      </w:r>
      <w:r w:rsidRPr="00625C2D">
        <w:rPr>
          <w:vertAlign w:val="superscript"/>
          <w:lang w:val="es-ES_tradnl"/>
        </w:rPr>
        <w:t>2</w:t>
      </w:r>
      <w:r w:rsidRPr="00625C2D">
        <w:rPr>
          <w:lang w:val="es-ES_tradnl"/>
        </w:rPr>
        <w:t xml:space="preserve"> (esto es, el 115</w:t>
      </w:r>
      <w:r w:rsidR="00F54B33">
        <w:rPr>
          <w:lang w:val="es-ES_tradnl"/>
        </w:rPr>
        <w:t xml:space="preserve"> </w:t>
      </w:r>
      <w:r w:rsidRPr="00625C2D">
        <w:rPr>
          <w:lang w:val="es-ES_tradnl"/>
        </w:rPr>
        <w:t>% de la meta, que se había fijado en 9,97 millones de m</w:t>
      </w:r>
      <w:r w:rsidRPr="00625C2D">
        <w:rPr>
          <w:vertAlign w:val="superscript"/>
          <w:lang w:val="es-ES_tradnl"/>
        </w:rPr>
        <w:t>2</w:t>
      </w:r>
      <w:r w:rsidRPr="00625C2D">
        <w:rPr>
          <w:lang w:val="es-ES_tradnl"/>
        </w:rPr>
        <w:t>), incluidos 0,5 millones de m</w:t>
      </w:r>
      <w:r w:rsidRPr="00625C2D">
        <w:rPr>
          <w:vertAlign w:val="superscript"/>
          <w:lang w:val="es-ES_tradnl"/>
        </w:rPr>
        <w:t xml:space="preserve">2 </w:t>
      </w:r>
      <w:r w:rsidRPr="00625C2D">
        <w:rPr>
          <w:lang w:val="es-ES_tradnl"/>
        </w:rPr>
        <w:t>en el marco del nuevo programa</w:t>
      </w:r>
      <w:r>
        <w:rPr>
          <w:lang w:val="es-ES_tradnl"/>
        </w:rPr>
        <w:t>.</w:t>
      </w:r>
    </w:p>
    <w:p w14:paraId="28A175AC" w14:textId="7F740B77" w:rsidR="00625C2D" w:rsidRPr="00625C2D" w:rsidRDefault="00625C2D" w:rsidP="00625C2D">
      <w:pPr>
        <w:pStyle w:val="Bullet1G"/>
        <w:rPr>
          <w:lang w:val="es-ES_tradnl"/>
        </w:rPr>
      </w:pPr>
      <w:r w:rsidRPr="00625C2D">
        <w:rPr>
          <w:lang w:val="es-ES_tradnl"/>
        </w:rPr>
        <w:t>Se reubicó a 681.900 personas (esto es, el 122 % de la meta prevista, que se había fijado en 560.830 personas), incluidas 26.580 personas en el marco del nuevo programa.</w:t>
      </w:r>
    </w:p>
    <w:p w14:paraId="552BFDBB" w14:textId="77777777" w:rsidR="00625C2D" w:rsidRPr="00625C2D" w:rsidRDefault="00625C2D" w:rsidP="00625C2D">
      <w:pPr>
        <w:pStyle w:val="SingleTxtG"/>
        <w:rPr>
          <w:lang w:val="es-ES_tradnl"/>
        </w:rPr>
      </w:pPr>
      <w:r w:rsidRPr="00625C2D">
        <w:rPr>
          <w:lang w:val="es-ES_tradnl"/>
        </w:rPr>
        <w:t>139.</w:t>
      </w:r>
      <w:r w:rsidRPr="00625C2D">
        <w:rPr>
          <w:lang w:val="es-ES_tradnl"/>
        </w:rPr>
        <w:tab/>
        <w:t>De todas las entidades constitutivas de la Federación de Rusia, 32 han completado el programa de reasentamiento que habían iniciado y 14 (las ciudades de Sebastopol y San Petersburgo, las repúblicas de Karacháyevo-Cherkesia, Kabardino-Balkaria, Chechenia, Daguestán, Adigueya y Kalmykia, el territorio de Kamchatka y las provincias de Astracán, Vorónezh, Sajalín, Sarátov y Magadán) han puesto en marcha un nuevo programa.</w:t>
      </w:r>
    </w:p>
    <w:p w14:paraId="13B1DC42" w14:textId="77777777" w:rsidR="00625C2D" w:rsidRPr="00625C2D" w:rsidRDefault="00625C2D" w:rsidP="00625C2D">
      <w:pPr>
        <w:pStyle w:val="SingleTxtG"/>
        <w:rPr>
          <w:lang w:val="es-ES_tradnl"/>
        </w:rPr>
      </w:pPr>
      <w:r w:rsidRPr="00625C2D">
        <w:rPr>
          <w:lang w:val="es-ES_tradnl"/>
        </w:rPr>
        <w:t>140.</w:t>
      </w:r>
      <w:r w:rsidRPr="00625C2D">
        <w:rPr>
          <w:lang w:val="es-ES_tradnl"/>
        </w:rPr>
        <w:tab/>
        <w:t>Las autoridades estatales y los órganos de la administración autónoma local, en el marco de sus respectivas competencias, supervisan la existencia de infraestructuras de servicios públicos relacionados con la vivienda en las zonas con un elevado porcentaje de población gitana. Se ha colaborado con representantes de la población gitana para determinar a qué problemas se enfrentan en todos los ámbitos de la vida.</w:t>
      </w:r>
    </w:p>
    <w:p w14:paraId="295B83FA" w14:textId="77777777" w:rsidR="00625C2D" w:rsidRPr="00625C2D" w:rsidRDefault="00625C2D" w:rsidP="00625C2D">
      <w:pPr>
        <w:pStyle w:val="SingleTxtG"/>
        <w:rPr>
          <w:lang w:val="es-ES_tradnl"/>
        </w:rPr>
      </w:pPr>
      <w:r w:rsidRPr="00625C2D">
        <w:rPr>
          <w:lang w:val="es-ES_tradnl"/>
        </w:rPr>
        <w:t>141.</w:t>
      </w:r>
      <w:r w:rsidRPr="00625C2D">
        <w:rPr>
          <w:lang w:val="es-ES_tradnl"/>
        </w:rPr>
        <w:tab/>
        <w:t>La labor de supervisión llevada a cabo por los órganos ejecutivos de las entidades constitutivas de la Federación de Rusia en el marco de la aplicación del Plan Integral de Desarrollo Sociocultural de la Población Gitana en la Federación de Rusia reveló que la infraestructura social (centros educativos, culturales y de ocio, instalaciones deportivas y recreativas, centros médicos, comisarías de policía y otras infraestructuras de importancia social existentes) y la infraestructura de servicios públicos relacionados con la vivienda (suministro de electricidad, calefacción, gas y agua a nivel centralizado y alcantarillado) presentaban un nivel de desarrollo adecuado en las zonas con un elevado porcentaje de población gitana, y los sistemas de infraestructuras de dichos servicios públicos son sometidos a un mantenimiento preventivo.</w:t>
      </w:r>
    </w:p>
    <w:p w14:paraId="36E2E9E8" w14:textId="77777777" w:rsidR="00625C2D" w:rsidRPr="00625C2D" w:rsidRDefault="00625C2D" w:rsidP="00625C2D">
      <w:pPr>
        <w:pStyle w:val="SingleTxtG"/>
        <w:rPr>
          <w:lang w:val="es-ES_tradnl"/>
        </w:rPr>
      </w:pPr>
      <w:r w:rsidRPr="00625C2D">
        <w:rPr>
          <w:lang w:val="es-ES_tradnl"/>
        </w:rPr>
        <w:t>142.</w:t>
      </w:r>
      <w:r w:rsidRPr="00625C2D">
        <w:rPr>
          <w:lang w:val="es-ES_tradnl"/>
        </w:rPr>
        <w:tab/>
        <w:t>Entre 2023 y la primera mitad de 2024 se llevaron a cabo en la Federación de Rusia todas las intervenciones médicas planificadas con arreglo al programa de garantías estatales para la prestación gratuita de atención médica a los ciudadanos y los programas territoriales de garantías estatales, incluidos reconocimientos y controles médicos preventivos.</w:t>
      </w:r>
    </w:p>
    <w:p w14:paraId="3A344C30" w14:textId="310235B7" w:rsidR="00625C2D" w:rsidRPr="00625C2D" w:rsidRDefault="00625C2D" w:rsidP="00625C2D">
      <w:pPr>
        <w:pStyle w:val="SingleTxtG"/>
        <w:rPr>
          <w:lang w:val="es-ES_tradnl"/>
        </w:rPr>
      </w:pPr>
      <w:r w:rsidRPr="00625C2D">
        <w:rPr>
          <w:lang w:val="es-ES_tradnl"/>
        </w:rPr>
        <w:t>143.</w:t>
      </w:r>
      <w:r w:rsidRPr="00625C2D">
        <w:rPr>
          <w:lang w:val="es-ES_tradnl"/>
        </w:rPr>
        <w:tab/>
        <w:t xml:space="preserve">El proyecto federal titulado </w:t>
      </w:r>
      <w:r w:rsidR="00680C36">
        <w:rPr>
          <w:lang w:val="es-ES_tradnl"/>
        </w:rPr>
        <w:t>“</w:t>
      </w:r>
      <w:r w:rsidRPr="00625C2D">
        <w:rPr>
          <w:lang w:val="es-ES_tradnl"/>
        </w:rPr>
        <w:t>Desarrollo de la red de centros nacionales de investigación médica e implantación de tecnologías médicas innovadoras</w:t>
      </w:r>
      <w:r w:rsidR="00680C36">
        <w:rPr>
          <w:lang w:val="es-ES_tradnl"/>
        </w:rPr>
        <w:t>”</w:t>
      </w:r>
      <w:r w:rsidRPr="00625C2D">
        <w:rPr>
          <w:lang w:val="es-ES_tradnl"/>
        </w:rPr>
        <w:t xml:space="preserve">, que está adscrito al proyecto nacional </w:t>
      </w:r>
      <w:r w:rsidR="00680C36">
        <w:rPr>
          <w:lang w:val="es-ES_tradnl"/>
        </w:rPr>
        <w:t>“</w:t>
      </w:r>
      <w:r w:rsidRPr="00625C2D">
        <w:rPr>
          <w:lang w:val="es-ES_tradnl"/>
        </w:rPr>
        <w:t>Atención de la salud</w:t>
      </w:r>
      <w:r w:rsidR="00680C36">
        <w:rPr>
          <w:lang w:val="es-ES_tradnl"/>
        </w:rPr>
        <w:t>”</w:t>
      </w:r>
      <w:r w:rsidRPr="00625C2D">
        <w:rPr>
          <w:lang w:val="es-ES_tradnl"/>
        </w:rPr>
        <w:t xml:space="preserve">, prevé un aumento anual del indicador </w:t>
      </w:r>
      <w:r w:rsidR="00680C36">
        <w:rPr>
          <w:lang w:val="es-ES_tradnl"/>
        </w:rPr>
        <w:t>“</w:t>
      </w:r>
      <w:r w:rsidRPr="00625C2D">
        <w:rPr>
          <w:lang w:val="es-ES_tradnl"/>
        </w:rPr>
        <w:t>Incremento de los servicios de atención médica de alta tecnología en miles de operaciones al año</w:t>
      </w:r>
      <w:r w:rsidR="00680C36">
        <w:rPr>
          <w:lang w:val="es-ES_tradnl"/>
        </w:rPr>
        <w:t>”</w:t>
      </w:r>
      <w:r w:rsidRPr="00625C2D">
        <w:rPr>
          <w:lang w:val="es-ES_tradnl"/>
        </w:rPr>
        <w:t>.</w:t>
      </w:r>
    </w:p>
    <w:p w14:paraId="035B9E4A" w14:textId="77777777" w:rsidR="00625C2D" w:rsidRPr="00625C2D" w:rsidRDefault="00625C2D" w:rsidP="00625C2D">
      <w:pPr>
        <w:pStyle w:val="SingleTxtG"/>
        <w:rPr>
          <w:lang w:val="es-ES_tradnl"/>
        </w:rPr>
      </w:pPr>
      <w:r w:rsidRPr="00625C2D">
        <w:rPr>
          <w:lang w:val="es-ES_tradnl"/>
        </w:rPr>
        <w:t>144.</w:t>
      </w:r>
      <w:r w:rsidRPr="00625C2D">
        <w:rPr>
          <w:lang w:val="es-ES_tradnl"/>
        </w:rPr>
        <w:tab/>
        <w:t>En el contexto de la lucha contra la propagación de la COVID-19 se alcanzó el valor previsto para dicho indicador en el período 2020-2023, teniendo en cuenta la reasignación de los centros médicos federales y los centros médicos subordinados a las autoridades ejecutivas de las entidades constitutivas de la Federación de Rusia para prestar atención médica a los pacientes con COVID-19.</w:t>
      </w:r>
    </w:p>
    <w:p w14:paraId="6CD42FFB" w14:textId="77777777" w:rsidR="00625C2D" w:rsidRPr="00625C2D" w:rsidRDefault="00625C2D" w:rsidP="00625C2D">
      <w:pPr>
        <w:pStyle w:val="SingleTxtG"/>
        <w:rPr>
          <w:lang w:val="es-ES_tradnl"/>
        </w:rPr>
      </w:pPr>
      <w:r w:rsidRPr="00625C2D">
        <w:rPr>
          <w:lang w:val="es-ES_tradnl"/>
        </w:rPr>
        <w:t>145.</w:t>
      </w:r>
      <w:r w:rsidRPr="00625C2D">
        <w:rPr>
          <w:lang w:val="es-ES_tradnl"/>
        </w:rPr>
        <w:tab/>
        <w:t>Con el fin de garantizar una solución sistemática a los problemas de dotación de personal, el Ministerio de Salud está aplicando, en colaboración con las autoridades públicas regionales del poder ejecutivo, un conjunto de medidas en los principales ámbitos de la política en materia de recursos humanos: formación y captación de personal médico, contratación, retención y mejora de su desempeño.</w:t>
      </w:r>
    </w:p>
    <w:p w14:paraId="2341ABBE" w14:textId="4E1DD55E" w:rsidR="00625C2D" w:rsidRPr="00625C2D" w:rsidRDefault="00625C2D" w:rsidP="00625C2D">
      <w:pPr>
        <w:pStyle w:val="SingleTxtG"/>
        <w:rPr>
          <w:lang w:val="es-ES_tradnl"/>
        </w:rPr>
      </w:pPr>
      <w:r w:rsidRPr="00625C2D">
        <w:rPr>
          <w:lang w:val="es-ES_tradnl"/>
        </w:rPr>
        <w:t>146.</w:t>
      </w:r>
      <w:r w:rsidRPr="00625C2D">
        <w:rPr>
          <w:lang w:val="es-ES_tradnl"/>
        </w:rPr>
        <w:tab/>
        <w:t>El 1 de abril de 2024 entró en vigor la Ley Federal núm. 462-FZ, de 4 de agosto de</w:t>
      </w:r>
      <w:r w:rsidR="00113BC1">
        <w:rPr>
          <w:lang w:val="es-ES_tradnl"/>
        </w:rPr>
        <w:t> </w:t>
      </w:r>
      <w:r w:rsidRPr="00625C2D">
        <w:rPr>
          <w:lang w:val="es-ES_tradnl"/>
        </w:rPr>
        <w:t xml:space="preserve">2023, por la que se modifica la Ley Federal de Fundamentos de la Protección Sanitaria de los Ciudadanos de la Federación de Rusia, según la cual las personas que estén inscritas en programas de residencia médica en alguna de las especialidades del grupo ampliado de especialidades </w:t>
      </w:r>
      <w:r w:rsidR="00680C36">
        <w:rPr>
          <w:lang w:val="es-ES_tradnl"/>
        </w:rPr>
        <w:t>“</w:t>
      </w:r>
      <w:r w:rsidRPr="00625C2D">
        <w:rPr>
          <w:lang w:val="es-ES_tradnl"/>
        </w:rPr>
        <w:t>Medicina clínica</w:t>
      </w:r>
      <w:r w:rsidR="00680C36">
        <w:rPr>
          <w:lang w:val="es-ES_tradnl"/>
        </w:rPr>
        <w:t>”</w:t>
      </w:r>
      <w:r w:rsidRPr="00625C2D">
        <w:rPr>
          <w:lang w:val="es-ES_tradnl"/>
        </w:rPr>
        <w:t xml:space="preserve"> pueden ejercer la medicina como médicos residentes de acuerdo con el procedimiento y las condiciones que establezca el órgano federal competente del poder ejecutivo.</w:t>
      </w:r>
    </w:p>
    <w:p w14:paraId="29665FBB" w14:textId="56FA31EC" w:rsidR="00625C2D" w:rsidRPr="00625C2D" w:rsidRDefault="00625C2D" w:rsidP="00625C2D">
      <w:pPr>
        <w:pStyle w:val="SingleTxtG"/>
        <w:rPr>
          <w:lang w:val="es-ES_tradnl"/>
        </w:rPr>
      </w:pPr>
      <w:r w:rsidRPr="00625C2D">
        <w:rPr>
          <w:lang w:val="es-ES_tradnl"/>
        </w:rPr>
        <w:lastRenderedPageBreak/>
        <w:t>147.</w:t>
      </w:r>
      <w:r w:rsidRPr="00625C2D">
        <w:rPr>
          <w:lang w:val="es-ES_tradnl"/>
        </w:rPr>
        <w:tab/>
        <w:t xml:space="preserve">Como complemento a esta ley se aprobó la Orden núm. 716-n del Ministerio de Salud, de 25 de diciembre de 2023, por la que se aprueban el procedimiento y las condiciones de admisión de personas inscritas en programas de residencia médica en alguna de las especialidades del grupo ampliado de especialidades </w:t>
      </w:r>
      <w:r w:rsidR="00680C36">
        <w:rPr>
          <w:lang w:val="es-ES_tradnl"/>
        </w:rPr>
        <w:t>“</w:t>
      </w:r>
      <w:r w:rsidRPr="00625C2D">
        <w:rPr>
          <w:lang w:val="es-ES_tradnl"/>
        </w:rPr>
        <w:t>Medicina clínica</w:t>
      </w:r>
      <w:r w:rsidR="00680C36">
        <w:rPr>
          <w:lang w:val="es-ES_tradnl"/>
        </w:rPr>
        <w:t>”</w:t>
      </w:r>
      <w:r w:rsidRPr="00625C2D">
        <w:rPr>
          <w:lang w:val="es-ES_tradnl"/>
        </w:rPr>
        <w:t xml:space="preserve"> para ejercer la medicina como médicos residentes. La aplicación de estos instrumentos jurídicos y normativos permitirá que se incorporen cerca de 10.000 médicos residentes más.</w:t>
      </w:r>
    </w:p>
    <w:p w14:paraId="57735C41" w14:textId="01B87A79" w:rsidR="00625C2D" w:rsidRPr="00625C2D" w:rsidRDefault="00625C2D" w:rsidP="00625C2D">
      <w:pPr>
        <w:pStyle w:val="SingleTxtG"/>
        <w:rPr>
          <w:lang w:val="es-ES_tradnl"/>
        </w:rPr>
      </w:pPr>
      <w:r w:rsidRPr="00625C2D">
        <w:rPr>
          <w:lang w:val="es-ES_tradnl"/>
        </w:rPr>
        <w:t>148.</w:t>
      </w:r>
      <w:r w:rsidRPr="00625C2D">
        <w:rPr>
          <w:lang w:val="es-ES_tradnl"/>
        </w:rPr>
        <w:tab/>
        <w:t>Gracias a la adopción de un conjunto de medidas de política de recursos humanos, el número de médicos había aumentado en más de 7.500 personas a finales de 2023. A nivel desglosado, la evolución del número de puestos de trabajadores de la salud presenta el siguiente crecimiento: cardiólogos (+324), oncólogos (+697), terapeutas locales (+1</w:t>
      </w:r>
      <w:r w:rsidR="000735BB">
        <w:rPr>
          <w:lang w:val="es-ES_tradnl"/>
        </w:rPr>
        <w:t>.</w:t>
      </w:r>
      <w:r w:rsidRPr="00625C2D">
        <w:rPr>
          <w:lang w:val="es-ES_tradnl"/>
        </w:rPr>
        <w:t>301), pediatras locales (+651) y anestesistas-intensivistas (+668).</w:t>
      </w:r>
    </w:p>
    <w:p w14:paraId="7FA702D9" w14:textId="77777777" w:rsidR="00625C2D" w:rsidRPr="00625C2D" w:rsidRDefault="00625C2D" w:rsidP="00625C2D">
      <w:pPr>
        <w:pStyle w:val="SingleTxtG"/>
        <w:rPr>
          <w:lang w:val="es-ES_tradnl"/>
        </w:rPr>
      </w:pPr>
      <w:r w:rsidRPr="00625C2D">
        <w:rPr>
          <w:lang w:val="es-ES_tradnl"/>
        </w:rPr>
        <w:t>149.</w:t>
      </w:r>
      <w:r w:rsidRPr="00625C2D">
        <w:rPr>
          <w:lang w:val="es-ES_tradnl"/>
        </w:rPr>
        <w:tab/>
        <w:t>El Gobierno de la Federación de Rusia promulgó la Resolución núm. 593 relativa a las particularidades de la gestión de medicamentos de uso médico en caso de escasez o riesgo de escasez de medicamentos debido a la imposición de medidas restrictivas de carácter económico contra la Federación de Rusia, de 5 de abril de 2022.</w:t>
      </w:r>
    </w:p>
    <w:p w14:paraId="45254BD9" w14:textId="77777777" w:rsidR="00625C2D" w:rsidRPr="00625C2D" w:rsidRDefault="00625C2D" w:rsidP="00625C2D">
      <w:pPr>
        <w:pStyle w:val="SingleTxtG"/>
        <w:rPr>
          <w:lang w:val="es-ES_tradnl"/>
        </w:rPr>
      </w:pPr>
      <w:r w:rsidRPr="00625C2D">
        <w:rPr>
          <w:lang w:val="es-ES_tradnl"/>
        </w:rPr>
        <w:t>150.</w:t>
      </w:r>
      <w:r w:rsidRPr="00625C2D">
        <w:rPr>
          <w:lang w:val="es-ES_tradnl"/>
        </w:rPr>
        <w:tab/>
        <w:t>La Resolución núm. 593 regula el registro estatal simplificado y acelerado de medicamentos, la introducción de modificaciones en los documentos contenidos en el expediente de registro de una sustancia farmacéutica ya incluida en el registro estatal de medicamentos autorizados para la venta, la inclusión definitiva de medicamentos en el registro estatal y su retirada y la introducción en la circulación de un medicamento que, según la comisión interdepartamental, escasee o corra el riesgo de escasear debido a la imposición de medidas restrictivas unilaterales de carácter económico contra la Federación de Rusia.</w:t>
      </w:r>
    </w:p>
    <w:p w14:paraId="42DB97FA" w14:textId="77777777" w:rsidR="00625C2D" w:rsidRPr="00625C2D" w:rsidRDefault="00625C2D" w:rsidP="00625C2D">
      <w:pPr>
        <w:pStyle w:val="SingleTxtG"/>
        <w:rPr>
          <w:lang w:val="es-ES_tradnl"/>
        </w:rPr>
      </w:pPr>
      <w:r w:rsidRPr="00625C2D">
        <w:rPr>
          <w:lang w:val="es-ES_tradnl"/>
        </w:rPr>
        <w:t>151.</w:t>
      </w:r>
      <w:r w:rsidRPr="00625C2D">
        <w:rPr>
          <w:lang w:val="es-ES_tradnl"/>
        </w:rPr>
        <w:tab/>
        <w:t>Se están aplicando programas de sustitución de importaciones de medicamentos y productos sanitarios que no se fabrican en el país, y se está iniciando una innovadora labor de fabricación de productos demandados por el sistema sanitario ruso.</w:t>
      </w:r>
    </w:p>
    <w:p w14:paraId="7D622AFB" w14:textId="2765DCAF" w:rsidR="00625C2D" w:rsidRPr="00625C2D" w:rsidRDefault="00625C2D" w:rsidP="00625C2D">
      <w:pPr>
        <w:pStyle w:val="SingleTxtG"/>
        <w:rPr>
          <w:lang w:val="es-ES_tradnl"/>
        </w:rPr>
      </w:pPr>
      <w:r w:rsidRPr="00625C2D">
        <w:rPr>
          <w:lang w:val="es-ES_tradnl"/>
        </w:rPr>
        <w:t>152.</w:t>
      </w:r>
      <w:r w:rsidRPr="00625C2D">
        <w:rPr>
          <w:lang w:val="es-ES_tradnl"/>
        </w:rPr>
        <w:tab/>
        <w:t xml:space="preserve">Con el fin de implementar el proyecto federal titulado </w:t>
      </w:r>
      <w:r w:rsidR="00680C36">
        <w:rPr>
          <w:lang w:val="es-ES_tradnl"/>
        </w:rPr>
        <w:t>“</w:t>
      </w:r>
      <w:r w:rsidRPr="00625C2D">
        <w:rPr>
          <w:lang w:val="es-ES_tradnl"/>
        </w:rPr>
        <w:t>Ciencia médica para el ser humano</w:t>
      </w:r>
      <w:r w:rsidR="00680C36">
        <w:rPr>
          <w:lang w:val="es-ES_tradnl"/>
        </w:rPr>
        <w:t>”</w:t>
      </w:r>
      <w:r w:rsidRPr="00625C2D">
        <w:rPr>
          <w:lang w:val="es-ES_tradnl"/>
        </w:rPr>
        <w:t xml:space="preserve"> y acelerar la introducción de innovaciones nacionales en el ámbito de los medicamentos y los dispositivos médicos, en el seno de la institución pública federal denominada Centro Científico de Especialización en Dispositivos Médicos, adscrita al Ministerio de Salud, se abrió en 2022 el Centro de Transferencia de Tecnología Médica, que contribuye a la comercialización de las innovaciones y sus resultados, la búsqueda de asociados industriales y la identificación y concesión de protección jurídica a los resultados de la actividad intelectual obtenidos en el curso de la realización de investigaciones aplicadas en interés de la medicina y la salud pública.</w:t>
      </w:r>
    </w:p>
    <w:p w14:paraId="3A17E53B" w14:textId="77777777" w:rsidR="00625C2D" w:rsidRPr="00625C2D" w:rsidRDefault="00625C2D" w:rsidP="00625C2D">
      <w:pPr>
        <w:pStyle w:val="SingleTxtG"/>
        <w:rPr>
          <w:lang w:val="es-ES_tradnl"/>
        </w:rPr>
      </w:pPr>
      <w:r w:rsidRPr="00625C2D">
        <w:rPr>
          <w:lang w:val="es-ES_tradnl"/>
        </w:rPr>
        <w:t>153.</w:t>
      </w:r>
      <w:r w:rsidRPr="00625C2D">
        <w:rPr>
          <w:lang w:val="es-ES_tradnl"/>
        </w:rPr>
        <w:tab/>
        <w:t>El Centro de Transferencia es el único centro de este ámbito que presta un apoyo integral a la labor de innovación desde el origen de una idea hasta su producción y su uso con pacientes, y lleva un seguimiento de las patentes de innovaciones extranjeras para determinar la dirección de las investigaciones en el ámbito de los medicamentos y dispositivos médicos.</w:t>
      </w:r>
    </w:p>
    <w:p w14:paraId="41C1E0A0" w14:textId="411B060E" w:rsidR="00625C2D" w:rsidRPr="00625C2D" w:rsidRDefault="00625C2D" w:rsidP="00625C2D">
      <w:pPr>
        <w:pStyle w:val="SingleTxtG"/>
        <w:rPr>
          <w:lang w:val="es-ES_tradnl"/>
        </w:rPr>
      </w:pPr>
      <w:r w:rsidRPr="00625C2D">
        <w:rPr>
          <w:lang w:val="es-ES_tradnl"/>
        </w:rPr>
        <w:t>154.</w:t>
      </w:r>
      <w:r w:rsidRPr="00625C2D">
        <w:rPr>
          <w:lang w:val="es-ES_tradnl"/>
        </w:rPr>
        <w:tab/>
        <w:t>La Estrategia de la Política Estatal de Lucha contra las Drogas de la Federación de</w:t>
      </w:r>
      <w:r w:rsidR="000735BB">
        <w:rPr>
          <w:lang w:val="es-ES_tradnl"/>
        </w:rPr>
        <w:t xml:space="preserve"> </w:t>
      </w:r>
      <w:r w:rsidRPr="00625C2D">
        <w:rPr>
          <w:lang w:val="es-ES_tradnl"/>
        </w:rPr>
        <w:t>Rusia hasta 2030, aprobada por el Decreto Presidencial núm. 733 de 23 de noviembre de</w:t>
      </w:r>
      <w:r w:rsidR="000735BB">
        <w:rPr>
          <w:lang w:val="es-ES_tradnl"/>
        </w:rPr>
        <w:t> </w:t>
      </w:r>
      <w:r w:rsidRPr="00625C2D">
        <w:rPr>
          <w:lang w:val="es-ES_tradnl"/>
        </w:rPr>
        <w:t>2020, prevé una mejora de la administración pública y la legislación de la Federación de Rusia en relación con el tráfico de drogas, así como con la lucha contra su tráfico ilícito.</w:t>
      </w:r>
    </w:p>
    <w:p w14:paraId="45D32BF2" w14:textId="77777777" w:rsidR="00625C2D" w:rsidRPr="00625C2D" w:rsidRDefault="00625C2D" w:rsidP="00625C2D">
      <w:pPr>
        <w:pStyle w:val="SingleTxtG"/>
        <w:rPr>
          <w:lang w:val="es-ES_tradnl"/>
        </w:rPr>
      </w:pPr>
      <w:r w:rsidRPr="00625C2D">
        <w:rPr>
          <w:lang w:val="es-ES_tradnl"/>
        </w:rPr>
        <w:t>155.</w:t>
      </w:r>
      <w:r w:rsidRPr="00625C2D">
        <w:rPr>
          <w:lang w:val="es-ES_tradnl"/>
        </w:rPr>
        <w:tab/>
        <w:t>La Lista de Estupefacientes, Sustancias Sicotrópicas y sus Precursores Sujetos a Fiscalización en la Federación de Rusia figura en la Resolución núm. 681 del Gobierno, de 30 de junio de 1998.</w:t>
      </w:r>
    </w:p>
    <w:p w14:paraId="5149CA3D" w14:textId="77777777" w:rsidR="00625C2D" w:rsidRPr="00625C2D" w:rsidRDefault="00625C2D" w:rsidP="00625C2D">
      <w:pPr>
        <w:pStyle w:val="SingleTxtG"/>
        <w:rPr>
          <w:lang w:val="es-ES_tradnl"/>
        </w:rPr>
      </w:pPr>
      <w:r w:rsidRPr="00625C2D">
        <w:rPr>
          <w:lang w:val="es-ES_tradnl"/>
        </w:rPr>
        <w:t>156.</w:t>
      </w:r>
      <w:r w:rsidRPr="00625C2D">
        <w:rPr>
          <w:lang w:val="es-ES_tradnl"/>
        </w:rPr>
        <w:tab/>
        <w:t>Con el fin de reforzar el control sobre la circulación de medicamentos de uso médico que contienen estupefacientes, sustancias sicotrópicas y sus precursores, estos productos se incluyen en la lista de medicamentos de uso médico sujetos a un control específico y cuantitativo de conformidad con la Disposición relativa a la Inclusión de Medicamentos de Uso Médico en la Lista de Medicamentos de Uso Médico Sujetos a un Control Específico y Cuantitativo, aprobada mediante la Orden núm. 30-n del Ministerio de Salud, de 20 de enero de 2014.</w:t>
      </w:r>
    </w:p>
    <w:p w14:paraId="16E07282" w14:textId="77777777" w:rsidR="00625C2D" w:rsidRPr="00625C2D" w:rsidRDefault="00625C2D" w:rsidP="00625C2D">
      <w:pPr>
        <w:pStyle w:val="SingleTxtG"/>
        <w:keepNext/>
        <w:keepLines/>
        <w:rPr>
          <w:lang w:val="es-ES_tradnl"/>
        </w:rPr>
      </w:pPr>
      <w:r w:rsidRPr="00625C2D">
        <w:rPr>
          <w:lang w:val="es-ES_tradnl"/>
        </w:rPr>
        <w:lastRenderedPageBreak/>
        <w:t>157.</w:t>
      </w:r>
      <w:r w:rsidRPr="00625C2D">
        <w:rPr>
          <w:lang w:val="es-ES_tradnl"/>
        </w:rPr>
        <w:tab/>
        <w:t>En relación con las medidas adoptadas para prevenir la propagación de la COVID-19 y proteger la salud de los niños, el Ministerio de Educación comunicó a todas las regiones del país las recomendaciones del Servicio Federal de Supervisión de Protección de los Derechos del Consumidor y Bienestar Humano relativas al fortalecimiento de las medidas de control sanitario y epidemiológico en las guarderías, las escuelas y los centros de enseñanza secundaria profesional y educación complementaria. Todas las escuelas y centros de enseñanza superior cerraron sus puertas el 23 de marzo de 2020, y desde ese momento la educación se impartió a distancia.</w:t>
      </w:r>
    </w:p>
    <w:p w14:paraId="3B95B1BB" w14:textId="77777777" w:rsidR="00625C2D" w:rsidRPr="00625C2D" w:rsidRDefault="00625C2D" w:rsidP="00625C2D">
      <w:pPr>
        <w:pStyle w:val="SingleTxtG"/>
        <w:rPr>
          <w:lang w:val="es-ES_tradnl"/>
        </w:rPr>
      </w:pPr>
      <w:r w:rsidRPr="00625C2D">
        <w:rPr>
          <w:lang w:val="es-ES_tradnl"/>
        </w:rPr>
        <w:t>158.</w:t>
      </w:r>
      <w:r w:rsidRPr="00625C2D">
        <w:rPr>
          <w:lang w:val="es-ES_tradnl"/>
        </w:rPr>
        <w:tab/>
        <w:t>Durante el período en el que estuvieron en vigor las medidas restrictivas relacionadas con la propagación de la COVID-19, la Defensora de los Derechos Humanos de la Federación de Rusia recibió 120 comunicaciones procedentes del ámbito de la educación relativas al mantenimiento de unos procesos educativos adecuados en guarderías, escuelas y centros de enseñanza superior. Gracias a la asistencia de la Defensora, 3.000 estudiantes de enseñanza superior pudieron presentarse a sus exámenes a distancia, 49 estudiantes recibieron ayuda material o becas y se resolvieron los problemas relacionados con la determinación del procedimiento y el calendario para la organización de la Olimpiada Escolar Nacional, cuyos ganadores tienen ventaja a la hora de matricularse en centros de enseñanza superior.</w:t>
      </w:r>
    </w:p>
    <w:p w14:paraId="78D017DD" w14:textId="77777777" w:rsidR="00625C2D" w:rsidRPr="00625C2D" w:rsidRDefault="00625C2D" w:rsidP="00625C2D">
      <w:pPr>
        <w:pStyle w:val="SingleTxtG"/>
        <w:rPr>
          <w:lang w:val="es-ES_tradnl"/>
        </w:rPr>
      </w:pPr>
      <w:r w:rsidRPr="00625C2D">
        <w:rPr>
          <w:lang w:val="es-ES_tradnl"/>
        </w:rPr>
        <w:t>159.</w:t>
      </w:r>
      <w:r w:rsidRPr="00625C2D">
        <w:rPr>
          <w:lang w:val="es-ES_tradnl"/>
        </w:rPr>
        <w:tab/>
        <w:t>Los recursos relacionados con la garantía del acceso de los estudiantes no vacunados contra la COVID-19 a los centros de enseñanza superior para seguir cursando sus estudios en igualdad de condiciones con los estudiantes vacunados se resolvieron remitiéndolos a las fiscalías regionales y las autoridades ejecutivas, y las disposiciones sobre la vacunación preventiva obligatoria de los estudiantes se eliminaron de las normativas regionales.</w:t>
      </w:r>
    </w:p>
    <w:p w14:paraId="62307DAF" w14:textId="3011FBB2" w:rsidR="00625C2D" w:rsidRPr="00625C2D" w:rsidRDefault="00625C2D" w:rsidP="00625C2D">
      <w:pPr>
        <w:pStyle w:val="SingleTxtG"/>
        <w:rPr>
          <w:lang w:val="es-ES_tradnl"/>
        </w:rPr>
      </w:pPr>
      <w:r w:rsidRPr="00625C2D">
        <w:rPr>
          <w:lang w:val="es-ES_tradnl"/>
        </w:rPr>
        <w:t>160.</w:t>
      </w:r>
      <w:r w:rsidRPr="00625C2D">
        <w:rPr>
          <w:lang w:val="es-ES_tradnl"/>
        </w:rPr>
        <w:tab/>
        <w:t xml:space="preserve">En 2020, la Defensora de los Derechos Humanos elaboró y publicó un informe titulado </w:t>
      </w:r>
      <w:r w:rsidR="00680C36">
        <w:rPr>
          <w:lang w:val="es-ES_tradnl"/>
        </w:rPr>
        <w:t>“</w:t>
      </w:r>
      <w:r w:rsidRPr="00625C2D">
        <w:rPr>
          <w:lang w:val="es-ES_tradnl"/>
        </w:rPr>
        <w:t>Protección de los derechos humanos en el contexto de la propagación de la enfermedad por coronavirus</w:t>
      </w:r>
      <w:r w:rsidR="00680C36">
        <w:rPr>
          <w:lang w:val="es-ES_tradnl"/>
        </w:rPr>
        <w:t>”</w:t>
      </w:r>
      <w:r w:rsidRPr="00625C2D">
        <w:rPr>
          <w:lang w:val="es-ES_tradnl"/>
        </w:rPr>
        <w:t>, en el que se destacaban los problemas de acceso de los niños a la educación debido a las medidas restrictivas impuestas.</w:t>
      </w:r>
    </w:p>
    <w:p w14:paraId="79527AE9" w14:textId="77777777" w:rsidR="00625C2D" w:rsidRPr="00625C2D" w:rsidRDefault="00625C2D" w:rsidP="00625C2D">
      <w:pPr>
        <w:pStyle w:val="SingleTxtG"/>
        <w:rPr>
          <w:lang w:val="es-ES_tradnl"/>
        </w:rPr>
      </w:pPr>
      <w:r w:rsidRPr="00625C2D">
        <w:rPr>
          <w:lang w:val="es-ES_tradnl"/>
        </w:rPr>
        <w:t>161.</w:t>
      </w:r>
      <w:r w:rsidRPr="00625C2D">
        <w:rPr>
          <w:lang w:val="es-ES_tradnl"/>
        </w:rPr>
        <w:tab/>
        <w:t>Las recomendaciones formuladas en dicho informe por la Defensora a las autoridades públicas estaban relacionadas con la elaboración de medidas destinadas a proporcionar a los niños con discapacidad apoyo material y técnico para que pudieran estudiar a distancia y con la mejora de la metodología de enseñanza de las asignaturas escolares a los niños con discapacidad durante la transición a la modalidad a distancia.</w:t>
      </w:r>
    </w:p>
    <w:p w14:paraId="6C4242C4" w14:textId="77777777" w:rsidR="00625C2D" w:rsidRPr="00625C2D" w:rsidRDefault="00625C2D" w:rsidP="00625C2D">
      <w:pPr>
        <w:pStyle w:val="SingleTxtG"/>
        <w:rPr>
          <w:lang w:val="es-ES_tradnl"/>
        </w:rPr>
      </w:pPr>
      <w:r w:rsidRPr="00625C2D">
        <w:rPr>
          <w:lang w:val="es-ES_tradnl"/>
        </w:rPr>
        <w:t>162.</w:t>
      </w:r>
      <w:r w:rsidRPr="00625C2D">
        <w:rPr>
          <w:lang w:val="es-ES_tradnl"/>
        </w:rPr>
        <w:tab/>
        <w:t>El Ministerio de Educación y Ciencia, con la participación de representantes de la comunidad profesional de expertos y profesionales de las autoridades ejecutivas de las entidades constitutivas de la Federación de Rusia responsables de la administración pública en el ámbito de la educación, elaboró un plan de acción para mejorar los métodos de enseñanza para niños con discapacidad con 667 patologías diferentes durante la transición de los centros educativos a las modalidades de educación a distancia y para organizar programas de capacitación complementaria del profesorado.</w:t>
      </w:r>
    </w:p>
    <w:p w14:paraId="45083870" w14:textId="169E5996" w:rsidR="00625C2D" w:rsidRPr="00625C2D" w:rsidRDefault="00625C2D" w:rsidP="00625C2D">
      <w:pPr>
        <w:pStyle w:val="SingleTxtG"/>
        <w:rPr>
          <w:lang w:val="es-ES_tradnl"/>
        </w:rPr>
      </w:pPr>
      <w:r w:rsidRPr="00625C2D">
        <w:rPr>
          <w:lang w:val="es-ES_tradnl"/>
        </w:rPr>
        <w:t>163.</w:t>
      </w:r>
      <w:r w:rsidRPr="00625C2D">
        <w:rPr>
          <w:lang w:val="es-ES_tradnl"/>
        </w:rPr>
        <w:tab/>
        <w:t>El derecho de los niños de familias gitanas a cursar gratuitamente estudios de enseñanza primaria, básica y secundaria general se garantiza de conformidad con la legislación en materia de educación de la Federación de Rusia en igualdad de condiciones con los demás niños.</w:t>
      </w:r>
    </w:p>
    <w:p w14:paraId="6769F56E" w14:textId="53DF8225" w:rsidR="00625C2D" w:rsidRPr="00625C2D" w:rsidRDefault="00625C2D" w:rsidP="00625C2D">
      <w:pPr>
        <w:pStyle w:val="SingleTxtG"/>
        <w:rPr>
          <w:lang w:val="es-ES_tradnl"/>
        </w:rPr>
      </w:pPr>
      <w:r w:rsidRPr="00625C2D">
        <w:rPr>
          <w:lang w:val="es-ES_tradnl"/>
        </w:rPr>
        <w:t>164.</w:t>
      </w:r>
      <w:r w:rsidRPr="00625C2D">
        <w:rPr>
          <w:lang w:val="es-ES_tradnl"/>
        </w:rPr>
        <w:tab/>
        <w:t>En el curso académico 2023/24, el número total de niños de familias gitanas matriculados ascendía a 47.046: 28.092 en el nivel de primaria, 18.571 alumnos en el nivel de educación básica general y 383 en el nivel de enseñanza secundaria general.</w:t>
      </w:r>
    </w:p>
    <w:p w14:paraId="66F96782" w14:textId="77777777" w:rsidR="00625C2D" w:rsidRPr="00625C2D" w:rsidRDefault="00625C2D" w:rsidP="00625C2D">
      <w:pPr>
        <w:pStyle w:val="SingleTxtG"/>
        <w:rPr>
          <w:lang w:val="es-ES_tradnl"/>
        </w:rPr>
      </w:pPr>
      <w:r w:rsidRPr="00625C2D">
        <w:rPr>
          <w:lang w:val="es-ES_tradnl"/>
        </w:rPr>
        <w:t>165.</w:t>
      </w:r>
      <w:r w:rsidRPr="00625C2D">
        <w:rPr>
          <w:lang w:val="es-ES_tradnl"/>
        </w:rPr>
        <w:tab/>
        <w:t>Con el fin de fomentar la integración de los niños de familias romaníes en las entidades constitutivas de la Federación de Rusia, se están adoptando medidas adicionales para incluirlos en actividades educativas de su clase y de las escuelas para motivarlos a aprender y, en caso necesario, se lleva a cabo una labor preventiva individual con los alumnos que presentan problemas de comportamiento, aprendizaje o adaptación social.</w:t>
      </w:r>
    </w:p>
    <w:p w14:paraId="0904CB4F" w14:textId="580410C4" w:rsidR="00625C2D" w:rsidRPr="00625C2D" w:rsidRDefault="00625C2D" w:rsidP="00625C2D">
      <w:pPr>
        <w:pStyle w:val="SingleTxtG"/>
        <w:rPr>
          <w:lang w:val="es-ES_tradnl"/>
        </w:rPr>
      </w:pPr>
      <w:r w:rsidRPr="00625C2D">
        <w:rPr>
          <w:lang w:val="es-ES_tradnl"/>
        </w:rPr>
        <w:t>166.</w:t>
      </w:r>
      <w:r w:rsidRPr="00625C2D">
        <w:rPr>
          <w:lang w:val="es-ES_tradnl"/>
        </w:rPr>
        <w:tab/>
        <w:t>La Orden núm. 783 del Ministerio de Educación, de 25 de octubre de 2023, por la que se modifica la Orden núm. 373 del Ministerio de Educación, de 31 de julio de 2020, por la que se aprueba el Reglamento de Organización y Práctica de la Educación según los Planes</w:t>
      </w:r>
      <w:r w:rsidR="00793392">
        <w:rPr>
          <w:lang w:val="es-ES_tradnl"/>
        </w:rPr>
        <w:t> </w:t>
      </w:r>
      <w:r w:rsidRPr="00625C2D">
        <w:rPr>
          <w:lang w:val="es-ES_tradnl"/>
        </w:rPr>
        <w:t xml:space="preserve">de Estudios de la Enseñanza Preescolar estableció a nivel federal las particularidades de la organización y realización de la labor educativa en el marco de los programas de </w:t>
      </w:r>
      <w:r w:rsidRPr="00625C2D">
        <w:rPr>
          <w:lang w:val="es-ES_tradnl"/>
        </w:rPr>
        <w:lastRenderedPageBreak/>
        <w:t>educación preescolar para alumnos pertenecientes a pueblos indígenas minoritarios del Norte, Siberia y el Extremo Oriente de la Federación de Rusia con un modo de vida nómada y/o seminómada en los territorios en los que tradicionalmente residen o desempeñan su actividad económica.</w:t>
      </w:r>
    </w:p>
    <w:p w14:paraId="17F84A74" w14:textId="2F040599" w:rsidR="00625C2D" w:rsidRPr="00625C2D" w:rsidRDefault="00625C2D" w:rsidP="00625C2D">
      <w:pPr>
        <w:pStyle w:val="SingleTxtG"/>
        <w:rPr>
          <w:lang w:val="es-ES_tradnl"/>
        </w:rPr>
      </w:pPr>
      <w:r w:rsidRPr="00625C2D">
        <w:rPr>
          <w:lang w:val="es-ES_tradnl"/>
        </w:rPr>
        <w:t>167.</w:t>
      </w:r>
      <w:r w:rsidRPr="00625C2D">
        <w:rPr>
          <w:lang w:val="es-ES_tradnl"/>
        </w:rPr>
        <w:tab/>
        <w:t xml:space="preserve">En esa orden se define el concepto de </w:t>
      </w:r>
      <w:r w:rsidR="00680C36">
        <w:rPr>
          <w:lang w:val="es-ES_tradnl"/>
        </w:rPr>
        <w:t>“</w:t>
      </w:r>
      <w:r w:rsidRPr="00625C2D">
        <w:rPr>
          <w:lang w:val="es-ES_tradnl"/>
        </w:rPr>
        <w:t>grupos preescolares nómadas</w:t>
      </w:r>
      <w:r w:rsidR="00680C36">
        <w:rPr>
          <w:lang w:val="es-ES_tradnl"/>
        </w:rPr>
        <w:t>”</w:t>
      </w:r>
      <w:r w:rsidRPr="00625C2D">
        <w:rPr>
          <w:lang w:val="es-ES_tradnl"/>
        </w:rPr>
        <w:t>, que se introdujo con el fin de que, en los territorios en los que residen tradicionalmente los pueblos indígenas minoritarios del Norte, Siberia y el Extremo Oriente de la Federación de Rusia, los niños cuyos padres llevan un modo de vida nómada o seminómada pudiesen tener acceso a la educación preescolar.</w:t>
      </w:r>
    </w:p>
    <w:p w14:paraId="2B4CF2D3" w14:textId="77777777" w:rsidR="00625C2D" w:rsidRPr="00625C2D" w:rsidRDefault="00625C2D" w:rsidP="00625C2D">
      <w:pPr>
        <w:pStyle w:val="SingleTxtG"/>
        <w:rPr>
          <w:lang w:val="es-ES_tradnl"/>
        </w:rPr>
      </w:pPr>
      <w:r w:rsidRPr="00625C2D">
        <w:rPr>
          <w:lang w:val="es-ES_tradnl"/>
        </w:rPr>
        <w:t>168.</w:t>
      </w:r>
      <w:r w:rsidRPr="00625C2D">
        <w:rPr>
          <w:lang w:val="es-ES_tradnl"/>
        </w:rPr>
        <w:tab/>
        <w:t>En 2024, el Instituto para el Desarrollo, la Salud y la Adaptación del Niño, una institución científica estatal, ha elaborado unas orientaciones sobre la ejecución del programa educativo federal de enseñanza preescolar y la guarda y el cuidado de los niños en grupos preescolares nómadas adscritos a centros de educación preescolar.</w:t>
      </w:r>
    </w:p>
    <w:p w14:paraId="420C4259" w14:textId="77777777" w:rsidR="00625C2D" w:rsidRPr="00625C2D" w:rsidRDefault="00625C2D" w:rsidP="00625C2D">
      <w:pPr>
        <w:pStyle w:val="SingleTxtG"/>
        <w:rPr>
          <w:lang w:val="es-ES_tradnl"/>
        </w:rPr>
      </w:pPr>
      <w:r w:rsidRPr="00625C2D">
        <w:rPr>
          <w:lang w:val="es-ES_tradnl"/>
        </w:rPr>
        <w:t>169.</w:t>
      </w:r>
      <w:r w:rsidRPr="00625C2D">
        <w:rPr>
          <w:lang w:val="es-ES_tradnl"/>
        </w:rPr>
        <w:tab/>
        <w:t>En la Orden núm. 731 del Ministerio de Educación, de 29 de septiembre de 2023, por la que se modifica el Reglamento de Organización y Práctica de la Educación según los Planes de Estudios de la Enseñanza Primaria, Básica y Secundaria General, aprobado mediante la Orden núm. 115 del Ministerio de Educación, de 22 de marzo de 2021, se establecen las particularidades del acceso a la educación en los territorios en los que tradicionalmente residen o desempeñan su actividad económica los pueblos indígenas minoritarios del Norte, Siberia y el Extremo Oriente de la Federación de Rusia. La orden entró en vigor el 1 de septiembre de 2024 y es efectiva hasta el 1 de septiembre de 2027.</w:t>
      </w:r>
    </w:p>
    <w:p w14:paraId="6B5A24EC" w14:textId="638D5337" w:rsidR="00625C2D" w:rsidRPr="00625C2D" w:rsidRDefault="00625C2D" w:rsidP="00625C2D">
      <w:pPr>
        <w:pStyle w:val="SingleTxtG"/>
        <w:rPr>
          <w:lang w:val="es-ES_tradnl"/>
        </w:rPr>
      </w:pPr>
      <w:r w:rsidRPr="00625C2D">
        <w:rPr>
          <w:lang w:val="es-ES_tradnl"/>
        </w:rPr>
        <w:t>170.</w:t>
      </w:r>
      <w:r w:rsidRPr="00625C2D">
        <w:rPr>
          <w:lang w:val="es-ES_tradnl"/>
        </w:rPr>
        <w:tab/>
        <w:t>Según lo dispuesto en el artículo 14, párrafo 6, de la Ley Federal núm. 273 de Educación en la Federación de Rusia, de 29 de diciembre de 2012, las lenguas de enseñanza se determinan mediante los instrumentos normativos locales que dicte el centro que imparta la instrucción en el marco de los programas educativos que aplique, de conformidad con la legislación de la Federación de Rusia. La lengua de enseñanza y la lengua materna que se quiera estudiar de entre las lenguas maternas de los pueblos de la Federación de Rusia, incluidos el ruso como lengua materna y las lenguas oficiales de las repúblicas de la Federación de Rusia, están sujetas a la libre elección de los padres o representantes legales de los estudiantes menores de edad en el momento de la matrícula o transferencia con arreglo a los programas educativos de enseñanza primaria y básica general validados a nivel estatal.</w:t>
      </w:r>
    </w:p>
    <w:p w14:paraId="7C4774B5" w14:textId="77777777" w:rsidR="00625C2D" w:rsidRPr="00625C2D" w:rsidRDefault="00625C2D" w:rsidP="00625C2D">
      <w:pPr>
        <w:pStyle w:val="SingleTxtG"/>
        <w:rPr>
          <w:lang w:val="es-ES_tradnl"/>
        </w:rPr>
      </w:pPr>
      <w:r w:rsidRPr="00625C2D">
        <w:rPr>
          <w:lang w:val="es-ES_tradnl"/>
        </w:rPr>
        <w:t>171.</w:t>
      </w:r>
      <w:r w:rsidRPr="00625C2D">
        <w:rPr>
          <w:lang w:val="es-ES_tradnl"/>
        </w:rPr>
        <w:tab/>
        <w:t>Mediante las Órdenes núms. 370, 371 y 372 del Ministerio de Educación, de 18 de mayo de 2023, se aprobaron los programas educativos federales de enseñanza primaria, básica y secundaria general, que incluyen 66 programas de trabajo federales en 18 lenguas de los pueblos indígenas minoritarios del Norte, Siberia y el Extremo Oriente de la Federación de Rusia.</w:t>
      </w:r>
    </w:p>
    <w:p w14:paraId="5C553113" w14:textId="7E5E818F" w:rsidR="00625C2D" w:rsidRPr="00625C2D" w:rsidRDefault="00625C2D" w:rsidP="00625C2D">
      <w:pPr>
        <w:pStyle w:val="SingleTxtG"/>
        <w:rPr>
          <w:lang w:val="es-ES_tradnl"/>
        </w:rPr>
      </w:pPr>
      <w:r w:rsidRPr="00625C2D">
        <w:rPr>
          <w:lang w:val="es-ES_tradnl"/>
        </w:rPr>
        <w:t>172.</w:t>
      </w:r>
      <w:r w:rsidRPr="00625C2D">
        <w:rPr>
          <w:lang w:val="es-ES_tradnl"/>
        </w:rPr>
        <w:tab/>
        <w:t>La lista federal de libros de texto autorizados para impartir los programas de enseñanza primaria, básica y secundaria general validados a nivel estatal en centros educativos, que fue aprobada por la Orden núm. 858 del Ministerio de Educación y Ciencia, de 21 de septiembre de 2022, incluye 12 libros de texto en 3 lenguas de esos pueblos indígenas minoritarios y 8 libros de texto sobre literatura en 2 lenguas de esos pueblos.</w:t>
      </w:r>
    </w:p>
    <w:p w14:paraId="4B488057" w14:textId="77777777" w:rsidR="00625C2D" w:rsidRPr="00625C2D" w:rsidRDefault="00625C2D" w:rsidP="00625C2D">
      <w:pPr>
        <w:pStyle w:val="SingleTxtG"/>
        <w:rPr>
          <w:lang w:val="es-ES_tradnl"/>
        </w:rPr>
      </w:pPr>
      <w:r w:rsidRPr="00625C2D">
        <w:rPr>
          <w:lang w:val="es-ES_tradnl"/>
        </w:rPr>
        <w:t>173.</w:t>
      </w:r>
      <w:r w:rsidRPr="00625C2D">
        <w:rPr>
          <w:lang w:val="es-ES_tradnl"/>
        </w:rPr>
        <w:tab/>
        <w:t>El Instituto de los Pueblos del Norte, que depende de la Universidad Pedagógica Estatal Rusa Herzen, una institución educativa de educación superior estatal, está elaborando y validando nuevos programas educativos demandados por las regiones septentrionales de la Federación de Rusia. Se han elaborado programas educativos que están listos para su implementación en la rama 44.03.05 (Educación Pedagógica), en los perfiles de Educación Primaria y Enseñanza Complementaria de las Lenguas Maternas y la Literatura de los Pueblos Indígenas Minoritarios del Norte, Siberia y el Extremo Oriente; Enseñanza de las Lenguas Maternas y la Literatura de los Pueblos Indígenas Minoritarios del Norte, Siberia y el Extremo Oriente y Enseñanza del Chino como Lengua Extranjera; Educación Etnocultural y Educación Complementaria de los Niños.</w:t>
      </w:r>
    </w:p>
    <w:p w14:paraId="37706CA9" w14:textId="77777777" w:rsidR="00625C2D" w:rsidRPr="00625C2D" w:rsidRDefault="00625C2D" w:rsidP="00625C2D">
      <w:pPr>
        <w:pStyle w:val="SingleTxtG"/>
        <w:rPr>
          <w:lang w:val="es-ES_tradnl"/>
        </w:rPr>
      </w:pPr>
      <w:r w:rsidRPr="00625C2D">
        <w:rPr>
          <w:lang w:val="es-ES_tradnl"/>
        </w:rPr>
        <w:t>174.</w:t>
      </w:r>
      <w:r w:rsidRPr="00625C2D">
        <w:rPr>
          <w:lang w:val="es-ES_tradnl"/>
        </w:rPr>
        <w:tab/>
        <w:t xml:space="preserve">En 2024 se abrió el proceso de admisión a tres programas de grado: Lengua Materna y Literatura de los Pueblos Indígenas Minoritarios del Norte, Siberia y el Extremo Oriente y Lengua China; Educación Etnocultural y Educación Complementaria de los Niños; y Lengua </w:t>
      </w:r>
      <w:r w:rsidRPr="00625C2D">
        <w:rPr>
          <w:lang w:val="es-ES_tradnl"/>
        </w:rPr>
        <w:lastRenderedPageBreak/>
        <w:t>Materna y Literatura de los Pueblos Indígenas Minoritarios del Norte, Siberia y el Extremo Oriente y Lengua y Literatura Rusas.</w:t>
      </w:r>
    </w:p>
    <w:p w14:paraId="6F056E2D" w14:textId="76D8A75D" w:rsidR="00625C2D" w:rsidRPr="00625C2D" w:rsidRDefault="00625C2D" w:rsidP="00625C2D">
      <w:pPr>
        <w:pStyle w:val="SingleTxtG"/>
        <w:rPr>
          <w:lang w:val="es-ES_tradnl"/>
        </w:rPr>
      </w:pPr>
      <w:r w:rsidRPr="00625C2D">
        <w:rPr>
          <w:lang w:val="es-ES_tradnl"/>
        </w:rPr>
        <w:t>175.</w:t>
      </w:r>
      <w:r w:rsidRPr="00625C2D">
        <w:rPr>
          <w:lang w:val="es-ES_tradnl"/>
        </w:rPr>
        <w:tab/>
        <w:t xml:space="preserve">En 2023, los equipos académicos del Instituto de los Pueblos del Norte y del Instituto de Pedagogía ejecutaron el mandato estatal titulado </w:t>
      </w:r>
      <w:r w:rsidR="00680C36">
        <w:rPr>
          <w:lang w:val="es-ES_tradnl"/>
        </w:rPr>
        <w:t>“</w:t>
      </w:r>
      <w:r w:rsidRPr="00625C2D">
        <w:rPr>
          <w:lang w:val="es-ES_tradnl"/>
        </w:rPr>
        <w:t>Apoyo científico y metodológico para el desarrollo de contenidos y la elaboración de libros de texto para centros de estudios superiores sobre las lenguas maternas, el folclore, la literatura y la cultura de los pueblos indígenas minoritarios del Norte, Siberia y el Extremo Oriente</w:t>
      </w:r>
      <w:r w:rsidR="00680C36">
        <w:rPr>
          <w:lang w:val="es-ES_tradnl"/>
        </w:rPr>
        <w:t>”</w:t>
      </w:r>
      <w:r w:rsidRPr="00625C2D">
        <w:rPr>
          <w:lang w:val="es-ES_tradnl"/>
        </w:rPr>
        <w:t>. Los profesores de lenguas maternas de los pueblos indígenas minoritarios del Instituto de los Pueblos del Norte han publicado diccionarios y material didáctico para escuelas y centros de estudios superiores y han preparado proyectos de libros de texto para centros de estudios superiores en ocho lenguas.</w:t>
      </w:r>
    </w:p>
    <w:p w14:paraId="3E60ABEF" w14:textId="7948A355" w:rsidR="00625C2D" w:rsidRPr="00625C2D" w:rsidRDefault="00625C2D" w:rsidP="00625C2D">
      <w:pPr>
        <w:pStyle w:val="SingleTxtG"/>
        <w:rPr>
          <w:lang w:val="es-ES_tradnl"/>
        </w:rPr>
      </w:pPr>
      <w:r w:rsidRPr="00625C2D">
        <w:rPr>
          <w:lang w:val="es-ES_tradnl"/>
        </w:rPr>
        <w:t>176.</w:t>
      </w:r>
      <w:r w:rsidRPr="00625C2D">
        <w:rPr>
          <w:lang w:val="es-ES_tradnl"/>
        </w:rPr>
        <w:tab/>
        <w:t xml:space="preserve">Se está prestando apoyo a proyectos socioculturales destinados a crear las condiciones necesarias para que figuras profesionales de la cultura y las artes y la comunidad de aficionados puedan expresar su creatividad a través de los siguientes eventos: el Concurso Internacional Chaikovski, el Concurso Internacional Rachmaninov de Pianistas, Compositores y Directores de Orquesta, el Concurso Nacional de Música, el Concurso Internacional de Bailarines de Ballet, la exposición nacional titulada </w:t>
      </w:r>
      <w:r w:rsidR="00680C36">
        <w:rPr>
          <w:lang w:val="es-ES_tradnl"/>
        </w:rPr>
        <w:t>“</w:t>
      </w:r>
      <w:r w:rsidRPr="00625C2D">
        <w:rPr>
          <w:lang w:val="es-ES_tradnl"/>
        </w:rPr>
        <w:t>Jóvenes artistas de las regiones de Rusia</w:t>
      </w:r>
      <w:r w:rsidR="00680C36">
        <w:rPr>
          <w:lang w:val="es-ES_tradnl"/>
        </w:rPr>
        <w:t>”</w:t>
      </w:r>
      <w:r w:rsidRPr="00625C2D">
        <w:rPr>
          <w:lang w:val="es-ES_tradnl"/>
        </w:rPr>
        <w:t xml:space="preserve"> y los festivales internacionales de circo titulados </w:t>
      </w:r>
      <w:r w:rsidR="00680C36">
        <w:rPr>
          <w:lang w:val="es-ES_tradnl"/>
        </w:rPr>
        <w:t>“</w:t>
      </w:r>
      <w:r w:rsidRPr="00625C2D">
        <w:rPr>
          <w:lang w:val="es-ES_tradnl"/>
        </w:rPr>
        <w:t>Sin fronteras</w:t>
      </w:r>
      <w:r w:rsidR="00680C36">
        <w:rPr>
          <w:lang w:val="es-ES_tradnl"/>
        </w:rPr>
        <w:t>”</w:t>
      </w:r>
      <w:r w:rsidRPr="00625C2D">
        <w:rPr>
          <w:lang w:val="es-ES_tradnl"/>
        </w:rPr>
        <w:t xml:space="preserve"> y </w:t>
      </w:r>
      <w:r w:rsidR="00680C36">
        <w:rPr>
          <w:lang w:val="es-ES_tradnl"/>
        </w:rPr>
        <w:t>“</w:t>
      </w:r>
      <w:r w:rsidRPr="00625C2D">
        <w:rPr>
          <w:lang w:val="es-ES_tradnl"/>
        </w:rPr>
        <w:t>La princesa del circo</w:t>
      </w:r>
      <w:r w:rsidR="00680C36">
        <w:rPr>
          <w:lang w:val="es-ES_tradnl"/>
        </w:rPr>
        <w:t>”</w:t>
      </w:r>
      <w:r w:rsidRPr="00625C2D">
        <w:rPr>
          <w:lang w:val="es-ES_tradnl"/>
        </w:rPr>
        <w:t>. Asimismo, se están implementando programas de ayudas a proyectos creativos de arte popular.</w:t>
      </w:r>
    </w:p>
    <w:p w14:paraId="1DB0C5C5" w14:textId="77777777" w:rsidR="00625C2D" w:rsidRPr="00625C2D" w:rsidRDefault="00625C2D" w:rsidP="00625C2D">
      <w:pPr>
        <w:pStyle w:val="SingleTxtG"/>
        <w:rPr>
          <w:lang w:val="es-ES_tradnl"/>
        </w:rPr>
      </w:pPr>
      <w:r w:rsidRPr="00625C2D">
        <w:rPr>
          <w:lang w:val="es-ES_tradnl"/>
        </w:rPr>
        <w:t>177.</w:t>
      </w:r>
      <w:r w:rsidRPr="00625C2D">
        <w:rPr>
          <w:lang w:val="es-ES_tradnl"/>
        </w:rPr>
        <w:tab/>
        <w:t>La preservación de la diversidad etnocultural de los pueblos de Rusia, en particular los pueblos indígenas y minoritarios, forma parte de la política estatal en materia de cultura, que tiene por objeto hacer efectivos el derecho constitucional de toda persona a acceder a los bienes culturales y su deber constitucional de velar por la conservación del patrimonio histórico y cultural, así como los derechos de las comunidades étnicas de la Federación de Rusia a preservar y desarrollar su identidad cultural.</w:t>
      </w:r>
    </w:p>
    <w:p w14:paraId="219FD728" w14:textId="72AEE2EB" w:rsidR="00625C2D" w:rsidRPr="00625C2D" w:rsidRDefault="00625C2D" w:rsidP="00625C2D">
      <w:pPr>
        <w:pStyle w:val="SingleTxtG"/>
        <w:rPr>
          <w:lang w:val="es-ES_tradnl"/>
        </w:rPr>
      </w:pPr>
      <w:r w:rsidRPr="00625C2D">
        <w:rPr>
          <w:lang w:val="es-ES_tradnl"/>
        </w:rPr>
        <w:t>178.</w:t>
      </w:r>
      <w:r w:rsidRPr="00625C2D">
        <w:rPr>
          <w:lang w:val="es-ES_tradnl"/>
        </w:rPr>
        <w:tab/>
        <w:t>Hace más de 50 años que existe un sistema nacional de Casas y Centros de Creación Popular, dirigido por la Casa Estatal de Creación Popular de la Federación de Rusia V. D. Polenov, una institución que depende del Ministerio de Cultura. Las Casas y Centros Regionales de Creación Popular operan en todas las entidades constitutivas de la Federación de Rusia y colaboran directamente con los colectivos folclóricos locales, prestando especial atención a los pueblos indígenas minoritarios.</w:t>
      </w:r>
    </w:p>
    <w:p w14:paraId="0C0DE30A" w14:textId="77777777" w:rsidR="00625C2D" w:rsidRPr="00625C2D" w:rsidRDefault="00625C2D" w:rsidP="00625C2D">
      <w:pPr>
        <w:pStyle w:val="SingleTxtG"/>
        <w:rPr>
          <w:lang w:val="es-ES_tradnl"/>
        </w:rPr>
      </w:pPr>
      <w:r w:rsidRPr="00625C2D">
        <w:rPr>
          <w:lang w:val="es-ES_tradnl"/>
        </w:rPr>
        <w:t>179.</w:t>
      </w:r>
      <w:r w:rsidRPr="00625C2D">
        <w:rPr>
          <w:lang w:val="es-ES_tradnl"/>
        </w:rPr>
        <w:tab/>
        <w:t>El Comité Nacional para la Salvaguardia del Patrimonio Cultural Inmaterial, que está adscrito a la Casa Estatal de Creación Popular de la Federación de Rusia y desarrolla su actividad bajo los auspicios de la Comisión de la Federación de Rusia para la UNESCO, sigue desempeñando una labor activa.</w:t>
      </w:r>
    </w:p>
    <w:p w14:paraId="0BCBB161" w14:textId="317C69CA" w:rsidR="00625C2D" w:rsidRPr="00625C2D" w:rsidRDefault="00625C2D" w:rsidP="00625C2D">
      <w:pPr>
        <w:pStyle w:val="SingleTxtG"/>
        <w:rPr>
          <w:lang w:val="es-ES_tradnl"/>
        </w:rPr>
      </w:pPr>
      <w:r w:rsidRPr="00625C2D">
        <w:rPr>
          <w:lang w:val="es-ES_tradnl"/>
        </w:rPr>
        <w:t>180.</w:t>
      </w:r>
      <w:r w:rsidRPr="00625C2D">
        <w:rPr>
          <w:lang w:val="es-ES_tradnl"/>
        </w:rPr>
        <w:tab/>
        <w:t>La Ley Federal núm. 402-FZ del Patrimonio Etnocultural Inmaterial de la Federación</w:t>
      </w:r>
      <w:r w:rsidR="00C81620">
        <w:rPr>
          <w:lang w:val="es-ES_tradnl"/>
        </w:rPr>
        <w:t xml:space="preserve"> </w:t>
      </w:r>
      <w:r w:rsidRPr="00625C2D">
        <w:rPr>
          <w:lang w:val="es-ES_tradnl"/>
        </w:rPr>
        <w:t>de Rusia, de 20 de octubre de 2022, reconoce el patrimonio etnocultural inmaterial a nivel federal como parte integrante del patrimonio cultural de los pueblos de Rusia, establece los fundamentos para regular las cuestiones relativas a la identificación, el estudio, la preservación, la renovación y la promoción de los bienes etnoculturales inmateriales de la Federación de Rusia como parte del patrimonio cultural de los pueblos de Rusia y el conjunto de valores espirituales, morales y culturales transmitidos de generación en generación.</w:t>
      </w:r>
    </w:p>
    <w:p w14:paraId="2060994D" w14:textId="77777777" w:rsidR="00625C2D" w:rsidRPr="00625C2D" w:rsidRDefault="00625C2D" w:rsidP="00625C2D">
      <w:pPr>
        <w:pStyle w:val="SingleTxtG"/>
        <w:rPr>
          <w:lang w:val="es-ES_tradnl"/>
        </w:rPr>
      </w:pPr>
      <w:r w:rsidRPr="00625C2D">
        <w:rPr>
          <w:lang w:val="es-ES_tradnl"/>
        </w:rPr>
        <w:t>181.</w:t>
      </w:r>
      <w:r w:rsidRPr="00625C2D">
        <w:rPr>
          <w:lang w:val="es-ES_tradnl"/>
        </w:rPr>
        <w:tab/>
        <w:t>Mediante el Decreto Presidencial núm. 703, de 6 de diciembre de 2022, se aprobó una nueva versión de la Estrategia de la Política Estatal relativa a las Etnias hasta 2025, que tiene por objeto salvaguardar los intereses del Estado, la sociedad, el individuo y el ciudadano, reforzar la unidad estatal y la integridad de la Federación de Rusia, preservar la identidad etnocultural de los pueblos, salvaguardar los derechos y libertades constitucionales de los ciudadanos y armonizar los intereses de la sociedad civil y el Estado.</w:t>
      </w:r>
    </w:p>
    <w:p w14:paraId="34E5E841" w14:textId="5C5EAB0B" w:rsidR="00625C2D" w:rsidRPr="00625C2D" w:rsidRDefault="00625C2D" w:rsidP="00625C2D">
      <w:pPr>
        <w:pStyle w:val="SingleTxtG"/>
        <w:rPr>
          <w:lang w:val="es-ES_tradnl"/>
        </w:rPr>
      </w:pPr>
      <w:r w:rsidRPr="00625C2D">
        <w:rPr>
          <w:lang w:val="es-ES_tradnl"/>
        </w:rPr>
        <w:t>182.</w:t>
      </w:r>
      <w:r w:rsidRPr="00625C2D">
        <w:rPr>
          <w:lang w:val="es-ES_tradnl"/>
        </w:rPr>
        <w:tab/>
        <w:t xml:space="preserve">En lo que respecta a la ampliación del acceso a los recursos culturales en Internet, el proyecto más emblemático es el portal del patrimonio cultural y las tradiciones de los pueblos de Rusia </w:t>
      </w:r>
      <w:r w:rsidR="00680C36">
        <w:rPr>
          <w:lang w:val="es-ES_tradnl"/>
        </w:rPr>
        <w:t>“</w:t>
      </w:r>
      <w:r w:rsidRPr="00625C2D">
        <w:rPr>
          <w:lang w:val="es-ES_tradnl"/>
        </w:rPr>
        <w:t>culture.ru</w:t>
      </w:r>
      <w:r w:rsidR="00680C36">
        <w:rPr>
          <w:lang w:val="es-ES_tradnl"/>
        </w:rPr>
        <w:t>”</w:t>
      </w:r>
      <w:r w:rsidRPr="00625C2D">
        <w:rPr>
          <w:lang w:val="es-ES_tradnl"/>
        </w:rPr>
        <w:t>, que ya supera los 159 millones de visitas. Casi un tercio del total de visitantes del portal son niños.</w:t>
      </w:r>
    </w:p>
    <w:p w14:paraId="730BD1D0" w14:textId="14946088" w:rsidR="00625C2D" w:rsidRPr="00625C2D" w:rsidRDefault="00625C2D" w:rsidP="00C81620">
      <w:pPr>
        <w:pStyle w:val="SingleTxtG"/>
        <w:keepNext/>
        <w:keepLines/>
        <w:rPr>
          <w:lang w:val="es-ES_tradnl"/>
        </w:rPr>
      </w:pPr>
      <w:r w:rsidRPr="00625C2D">
        <w:rPr>
          <w:lang w:val="es-ES_tradnl"/>
        </w:rPr>
        <w:lastRenderedPageBreak/>
        <w:t>183.</w:t>
      </w:r>
      <w:r w:rsidRPr="00625C2D">
        <w:rPr>
          <w:lang w:val="es-ES_tradnl"/>
        </w:rPr>
        <w:tab/>
        <w:t xml:space="preserve">Desde 2012 se viene desarrollando el portal federal </w:t>
      </w:r>
      <w:r w:rsidR="00680C36">
        <w:rPr>
          <w:lang w:val="es-ES_tradnl"/>
        </w:rPr>
        <w:t>“</w:t>
      </w:r>
      <w:r w:rsidRPr="00625C2D">
        <w:rPr>
          <w:lang w:val="es-ES_tradnl"/>
        </w:rPr>
        <w:t>histrf.ru</w:t>
      </w:r>
      <w:r w:rsidR="00680C36">
        <w:rPr>
          <w:lang w:val="es-ES_tradnl"/>
        </w:rPr>
        <w:t>”</w:t>
      </w:r>
      <w:r w:rsidRPr="00625C2D">
        <w:rPr>
          <w:lang w:val="es-ES_tradnl"/>
        </w:rPr>
        <w:t>, que incluye material sobre diversos períodos de la historia universal y de la historia de Rusia, conferencias en formato de audio y video de destacados historiadores rusos y biografías de figuras históricas destacadas. El número de vistas anuales de este material asciende a 34 millones.</w:t>
      </w:r>
    </w:p>
    <w:p w14:paraId="277D0E5A" w14:textId="18314EA5" w:rsidR="00625C2D" w:rsidRPr="00625C2D" w:rsidRDefault="00625C2D" w:rsidP="00625C2D">
      <w:pPr>
        <w:pStyle w:val="SingleTxtG"/>
        <w:rPr>
          <w:lang w:val="es-ES_tradnl"/>
        </w:rPr>
      </w:pPr>
      <w:r w:rsidRPr="00625C2D">
        <w:rPr>
          <w:lang w:val="es-ES_tradnl"/>
        </w:rPr>
        <w:t>184.</w:t>
      </w:r>
      <w:r w:rsidRPr="00625C2D">
        <w:rPr>
          <w:lang w:val="es-ES_tradnl"/>
        </w:rPr>
        <w:tab/>
        <w:t xml:space="preserve">En 2015, la Sociedad Histórica Militar Rusa creó un portal interactivo de Internet con carácter patriótico titulado </w:t>
      </w:r>
      <w:r w:rsidR="00680C36">
        <w:rPr>
          <w:lang w:val="es-ES_tradnl"/>
        </w:rPr>
        <w:t>“</w:t>
      </w:r>
      <w:r w:rsidRPr="00625C2D">
        <w:rPr>
          <w:lang w:val="es-ES_tradnl"/>
        </w:rPr>
        <w:t>Lugar de memoria</w:t>
      </w:r>
      <w:r w:rsidR="00680C36">
        <w:rPr>
          <w:lang w:val="es-ES_tradnl"/>
        </w:rPr>
        <w:t>”</w:t>
      </w:r>
      <w:r w:rsidRPr="00625C2D">
        <w:rPr>
          <w:lang w:val="es-ES_tradnl"/>
        </w:rPr>
        <w:t>, que permite a cualquier usuario registrado colgar el nombre, la descripción y las coordenadas geográficas de un lugar conmemorativo, añadir una foto y dejar comentarios. El portal contiene información sobre más de 90.000</w:t>
      </w:r>
      <w:r w:rsidR="00C81620">
        <w:rPr>
          <w:lang w:val="es-ES_tradnl"/>
        </w:rPr>
        <w:t> </w:t>
      </w:r>
      <w:r w:rsidRPr="00625C2D">
        <w:rPr>
          <w:lang w:val="es-ES_tradnl"/>
        </w:rPr>
        <w:t>sitios de Rusia, países de la antigua Unión Soviética y otros países.</w:t>
      </w:r>
    </w:p>
    <w:p w14:paraId="039C5ADB" w14:textId="1AFC42C2" w:rsidR="00625C2D" w:rsidRPr="00625C2D" w:rsidRDefault="00625C2D" w:rsidP="00625C2D">
      <w:pPr>
        <w:pStyle w:val="SingleTxtG"/>
        <w:rPr>
          <w:lang w:val="es-ES_tradnl"/>
        </w:rPr>
      </w:pPr>
      <w:r w:rsidRPr="00625C2D">
        <w:rPr>
          <w:lang w:val="es-ES_tradnl"/>
        </w:rPr>
        <w:t>185.</w:t>
      </w:r>
      <w:r w:rsidRPr="00625C2D">
        <w:rPr>
          <w:lang w:val="es-ES_tradnl"/>
        </w:rPr>
        <w:tab/>
        <w:t>Entre 2023 y el primer semestre de 2024, en cumplimiento de la Instrucción núm.</w:t>
      </w:r>
      <w:r w:rsidR="00C81620">
        <w:rPr>
          <w:lang w:val="es-ES_tradnl"/>
        </w:rPr>
        <w:t> </w:t>
      </w:r>
      <w:r w:rsidRPr="00625C2D">
        <w:rPr>
          <w:lang w:val="es-ES_tradnl"/>
        </w:rPr>
        <w:t>Pr</w:t>
      </w:r>
      <w:r w:rsidR="00C81620">
        <w:rPr>
          <w:lang w:val="es-ES_tradnl"/>
        </w:rPr>
        <w:noBreakHyphen/>
      </w:r>
      <w:r w:rsidRPr="00625C2D">
        <w:rPr>
          <w:lang w:val="es-ES_tradnl"/>
        </w:rPr>
        <w:t>1033 del Presidente de la Federación, de 23 de mayo de 2023, la Fiscalía General llevó a cabo diversas actividades de comprobación de la legalidad de la celebración y ejecución de contratos para la reconstrucción, renovación y acondicionamiento de academias y escuelas de música, arte y baile. Se renovaron y se reabrieron instalaciones en las repúblicas de Kabardino-Balkaria, Karacháyevo-Cherkesia y Mordovia y las provincias de Múrmansk, Ryazán, Sarátov y Tomsk.</w:t>
      </w:r>
    </w:p>
    <w:p w14:paraId="205633F7" w14:textId="77777777" w:rsidR="00625C2D" w:rsidRPr="00625C2D" w:rsidRDefault="00625C2D" w:rsidP="00625C2D">
      <w:pPr>
        <w:pStyle w:val="SingleTxtG"/>
        <w:rPr>
          <w:lang w:val="es-ES_tradnl"/>
        </w:rPr>
      </w:pPr>
      <w:r w:rsidRPr="00625C2D">
        <w:rPr>
          <w:lang w:val="es-ES_tradnl"/>
        </w:rPr>
        <w:t>186.</w:t>
      </w:r>
      <w:r w:rsidRPr="00625C2D">
        <w:rPr>
          <w:lang w:val="es-ES_tradnl"/>
        </w:rPr>
        <w:tab/>
        <w:t>En 12 regiones se ha concluido la labor destinada a incorporar instrumentos y equipos musicales adquiridos con cargo al presupuesto, y se ha empezado a documentar con fotografías su inclusión en el registro para evitar que permanezcan sin usarse durante períodos prolongados.</w:t>
      </w:r>
    </w:p>
    <w:p w14:paraId="26144B3F" w14:textId="77777777" w:rsidR="00625C2D" w:rsidRPr="00625C2D" w:rsidRDefault="00625C2D" w:rsidP="00625C2D">
      <w:pPr>
        <w:pStyle w:val="SingleTxtG"/>
        <w:rPr>
          <w:lang w:val="es-ES_tradnl"/>
        </w:rPr>
      </w:pPr>
      <w:r w:rsidRPr="00625C2D">
        <w:rPr>
          <w:lang w:val="es-ES_tradnl"/>
        </w:rPr>
        <w:t>187.</w:t>
      </w:r>
      <w:r w:rsidRPr="00625C2D">
        <w:rPr>
          <w:lang w:val="es-ES_tradnl"/>
        </w:rPr>
        <w:tab/>
        <w:t>Los beneficiarios de transferencias interpresupuestarias han recibido aclaraciones sobre la presentación de solicitudes de renovación de las infraestructuras teniendo en cuenta las necesidades especiales de los niños con discapacidad. En este sentido, se presta atención a la accesibilidad de las escuelas de arte para niños con limitaciones funcionales.</w:t>
      </w:r>
    </w:p>
    <w:p w14:paraId="7397726C" w14:textId="5912120B" w:rsidR="00625C2D" w:rsidRPr="00625C2D" w:rsidRDefault="00625C2D" w:rsidP="00625C2D">
      <w:pPr>
        <w:pStyle w:val="SingleTxtG"/>
        <w:rPr>
          <w:lang w:val="es-ES_tradnl"/>
        </w:rPr>
      </w:pPr>
      <w:r w:rsidRPr="00625C2D">
        <w:rPr>
          <w:lang w:val="es-ES_tradnl"/>
        </w:rPr>
        <w:t>188.</w:t>
      </w:r>
      <w:r w:rsidRPr="00625C2D">
        <w:rPr>
          <w:lang w:val="es-ES_tradnl"/>
        </w:rPr>
        <w:tab/>
        <w:t xml:space="preserve">El proyecto federal titulado </w:t>
      </w:r>
      <w:r w:rsidR="00680C36">
        <w:rPr>
          <w:lang w:val="es-ES_tradnl"/>
        </w:rPr>
        <w:t>“</w:t>
      </w:r>
      <w:r w:rsidRPr="00625C2D">
        <w:rPr>
          <w:lang w:val="es-ES_tradnl"/>
        </w:rPr>
        <w:t>Infraestructura de la información</w:t>
      </w:r>
      <w:r w:rsidR="00680C36">
        <w:rPr>
          <w:lang w:val="es-ES_tradnl"/>
        </w:rPr>
        <w:t>”</w:t>
      </w:r>
      <w:r w:rsidRPr="00625C2D">
        <w:rPr>
          <w:lang w:val="es-ES_tradnl"/>
        </w:rPr>
        <w:t xml:space="preserve"> adscrito al programa nacional </w:t>
      </w:r>
      <w:r w:rsidR="00680C36">
        <w:rPr>
          <w:lang w:val="es-ES_tradnl"/>
        </w:rPr>
        <w:t>“</w:t>
      </w:r>
      <w:r w:rsidRPr="00625C2D">
        <w:rPr>
          <w:lang w:val="es-ES_tradnl"/>
        </w:rPr>
        <w:t>Economía digital de la Federación de Rusia</w:t>
      </w:r>
      <w:r w:rsidR="00680C36">
        <w:rPr>
          <w:lang w:val="es-ES_tradnl"/>
        </w:rPr>
        <w:t>”</w:t>
      </w:r>
      <w:r w:rsidRPr="00625C2D">
        <w:rPr>
          <w:lang w:val="es-ES_tradnl"/>
        </w:rPr>
        <w:t xml:space="preserve"> prevé la conexión de infraestructuras de interés social a la red de Internet y la prestación de servicios universales de telecomunicaciones. Con esto se pretende crear una infraestructura digital global que garantice la disponibilidad de unos servicios digitales modernos en todo el país, y cuya implantación tendrá un impacto importante en el desarrollo de la infraestructura de telecomunicaciones en las zonas rurales. En el marco de la prestación de servicios universales de telecomunicaciones en pequeños núcleos de población (de entre 100 y 500 habitantes), se ofrecen servicios de transmisión de datos en 11.661 núcleos de población del país (de entre</w:t>
      </w:r>
      <w:r w:rsidR="00C81620">
        <w:rPr>
          <w:lang w:val="es-ES_tradnl"/>
        </w:rPr>
        <w:t> </w:t>
      </w:r>
      <w:r w:rsidRPr="00625C2D">
        <w:rPr>
          <w:lang w:val="es-ES_tradnl"/>
        </w:rPr>
        <w:t>250 y 500 habitantes) mediante terminales de acceso.</w:t>
      </w:r>
    </w:p>
    <w:p w14:paraId="140D7E77" w14:textId="77777777" w:rsidR="00625C2D" w:rsidRPr="00625C2D" w:rsidRDefault="00625C2D" w:rsidP="00625C2D">
      <w:pPr>
        <w:pStyle w:val="SingleTxtG"/>
        <w:rPr>
          <w:lang w:val="es-ES_tradnl"/>
        </w:rPr>
      </w:pPr>
      <w:r w:rsidRPr="00625C2D">
        <w:rPr>
          <w:lang w:val="es-ES_tradnl"/>
        </w:rPr>
        <w:t>189.</w:t>
      </w:r>
      <w:r w:rsidRPr="00625C2D">
        <w:rPr>
          <w:lang w:val="es-ES_tradnl"/>
        </w:rPr>
        <w:tab/>
        <w:t>De este modo se creará una infraestructura central que permitirá establecer redes para la prestación de servicios por parte de los teleoperadores, como la transmisión de datos y el acceso a Internet para todas las personas jurídicas y hogares de los núcleos rurales de población en los que estén previstas la prestación de servicios universales de telecomunicaciones y la conexión de infraestructuras de interés social.</w:t>
      </w:r>
    </w:p>
    <w:p w14:paraId="64B95DFD" w14:textId="77777777" w:rsidR="00625C2D" w:rsidRPr="00625C2D" w:rsidRDefault="00625C2D" w:rsidP="00625C2D">
      <w:pPr>
        <w:pStyle w:val="SingleTxtG"/>
        <w:rPr>
          <w:u w:val="single"/>
          <w:lang w:val="es-ES_tradnl"/>
        </w:rPr>
      </w:pPr>
      <w:r w:rsidRPr="00625C2D">
        <w:rPr>
          <w:u w:val="single"/>
          <w:lang w:val="es-ES_tradnl"/>
        </w:rPr>
        <w:br w:type="page"/>
      </w:r>
    </w:p>
    <w:p w14:paraId="3657AD0B" w14:textId="5151E7D0" w:rsidR="00625C2D" w:rsidRPr="00625C2D" w:rsidRDefault="00625C2D" w:rsidP="00625C2D">
      <w:pPr>
        <w:pStyle w:val="HChG"/>
        <w:rPr>
          <w:lang w:val="es-ES_tradnl"/>
        </w:rPr>
      </w:pPr>
      <w:bookmarkStart w:id="0" w:name="_Toc176355571"/>
      <w:r w:rsidRPr="00625C2D">
        <w:rPr>
          <w:lang w:val="es-ES_tradnl"/>
        </w:rPr>
        <w:lastRenderedPageBreak/>
        <w:t>Anexo</w:t>
      </w:r>
      <w:bookmarkEnd w:id="0"/>
    </w:p>
    <w:p w14:paraId="5C965BAE" w14:textId="01870389" w:rsidR="00625C2D" w:rsidRPr="00625C2D" w:rsidRDefault="00625C2D" w:rsidP="00625C2D">
      <w:pPr>
        <w:pStyle w:val="HChG"/>
        <w:rPr>
          <w:lang w:val="es-ES_tradnl"/>
        </w:rPr>
      </w:pPr>
      <w:r>
        <w:rPr>
          <w:lang w:val="es-ES_tradnl"/>
        </w:rPr>
        <w:tab/>
      </w:r>
      <w:r w:rsidRPr="00625C2D">
        <w:rPr>
          <w:lang w:val="es-ES_tradnl"/>
        </w:rPr>
        <w:tab/>
        <w:t>Evolución de la relación entre la deuda pública</w:t>
      </w:r>
      <w:r>
        <w:rPr>
          <w:lang w:val="es-ES_tradnl"/>
        </w:rPr>
        <w:br/>
      </w:r>
      <w:r w:rsidRPr="00625C2D">
        <w:rPr>
          <w:lang w:val="es-ES_tradnl"/>
        </w:rPr>
        <w:t>y el producto interno bruto a lo largo de los últimos</w:t>
      </w:r>
      <w:r>
        <w:rPr>
          <w:lang w:val="es-ES_tradnl"/>
        </w:rPr>
        <w:br/>
      </w:r>
      <w:r w:rsidRPr="00625C2D">
        <w:rPr>
          <w:lang w:val="es-ES_tradnl"/>
        </w:rPr>
        <w:t>diez años</w:t>
      </w:r>
    </w:p>
    <w:tbl>
      <w:tblPr>
        <w:tblStyle w:val="Tablaconcuadrcula"/>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4A0" w:firstRow="1" w:lastRow="0" w:firstColumn="1" w:lastColumn="0" w:noHBand="0" w:noVBand="1"/>
      </w:tblPr>
      <w:tblGrid>
        <w:gridCol w:w="737"/>
        <w:gridCol w:w="737"/>
        <w:gridCol w:w="737"/>
        <w:gridCol w:w="737"/>
        <w:gridCol w:w="737"/>
        <w:gridCol w:w="737"/>
        <w:gridCol w:w="737"/>
        <w:gridCol w:w="737"/>
        <w:gridCol w:w="737"/>
        <w:gridCol w:w="737"/>
      </w:tblGrid>
      <w:tr w:rsidR="00625C2D" w:rsidRPr="00625C2D" w14:paraId="7C937593" w14:textId="77777777" w:rsidTr="00625C2D">
        <w:trPr>
          <w:trHeight w:val="240"/>
          <w:tblHeader/>
        </w:trPr>
        <w:tc>
          <w:tcPr>
            <w:tcW w:w="962" w:type="dxa"/>
            <w:shd w:val="clear" w:color="auto" w:fill="auto"/>
            <w:vAlign w:val="bottom"/>
          </w:tcPr>
          <w:p w14:paraId="0F481681" w14:textId="77777777" w:rsidR="00625C2D" w:rsidRPr="00625C2D" w:rsidRDefault="00625C2D" w:rsidP="00625C2D">
            <w:pPr>
              <w:pStyle w:val="SingleTxtG"/>
              <w:tabs>
                <w:tab w:val="clear" w:pos="1701"/>
                <w:tab w:val="clear" w:pos="2268"/>
                <w:tab w:val="clear" w:pos="2835"/>
              </w:tabs>
              <w:spacing w:before="80" w:after="80" w:line="200" w:lineRule="exact"/>
              <w:ind w:left="0" w:right="28"/>
              <w:jc w:val="right"/>
              <w:rPr>
                <w:i/>
                <w:sz w:val="16"/>
                <w:lang w:val="es-ES_tradnl"/>
              </w:rPr>
            </w:pPr>
            <w:r w:rsidRPr="00625C2D">
              <w:rPr>
                <w:i/>
                <w:iCs/>
                <w:sz w:val="16"/>
                <w:lang w:val="es-ES_tradnl"/>
              </w:rPr>
              <w:t>2014</w:t>
            </w:r>
          </w:p>
        </w:tc>
        <w:tc>
          <w:tcPr>
            <w:tcW w:w="962" w:type="dxa"/>
            <w:shd w:val="clear" w:color="auto" w:fill="auto"/>
            <w:vAlign w:val="bottom"/>
          </w:tcPr>
          <w:p w14:paraId="5B9402BE" w14:textId="77777777" w:rsidR="00625C2D" w:rsidRPr="00625C2D" w:rsidRDefault="00625C2D" w:rsidP="00625C2D">
            <w:pPr>
              <w:pStyle w:val="SingleTxtG"/>
              <w:tabs>
                <w:tab w:val="clear" w:pos="1701"/>
                <w:tab w:val="clear" w:pos="2268"/>
                <w:tab w:val="clear" w:pos="2835"/>
              </w:tabs>
              <w:spacing w:before="80" w:after="80" w:line="200" w:lineRule="exact"/>
              <w:ind w:left="113" w:right="28"/>
              <w:jc w:val="right"/>
              <w:rPr>
                <w:i/>
                <w:sz w:val="16"/>
                <w:lang w:val="es-ES_tradnl"/>
              </w:rPr>
            </w:pPr>
            <w:r w:rsidRPr="00625C2D">
              <w:rPr>
                <w:i/>
                <w:iCs/>
                <w:sz w:val="16"/>
                <w:lang w:val="es-ES_tradnl"/>
              </w:rPr>
              <w:t>2015</w:t>
            </w:r>
          </w:p>
        </w:tc>
        <w:tc>
          <w:tcPr>
            <w:tcW w:w="963" w:type="dxa"/>
            <w:shd w:val="clear" w:color="auto" w:fill="auto"/>
            <w:vAlign w:val="bottom"/>
          </w:tcPr>
          <w:p w14:paraId="583A0F7C" w14:textId="77777777" w:rsidR="00625C2D" w:rsidRPr="00625C2D" w:rsidRDefault="00625C2D" w:rsidP="00625C2D">
            <w:pPr>
              <w:pStyle w:val="SingleTxtG"/>
              <w:tabs>
                <w:tab w:val="clear" w:pos="1701"/>
                <w:tab w:val="clear" w:pos="2268"/>
                <w:tab w:val="clear" w:pos="2835"/>
              </w:tabs>
              <w:spacing w:before="80" w:after="80" w:line="200" w:lineRule="exact"/>
              <w:ind w:left="113" w:right="28"/>
              <w:jc w:val="right"/>
              <w:rPr>
                <w:i/>
                <w:sz w:val="16"/>
                <w:lang w:val="es-ES_tradnl"/>
              </w:rPr>
            </w:pPr>
            <w:r w:rsidRPr="00625C2D">
              <w:rPr>
                <w:i/>
                <w:iCs/>
                <w:sz w:val="16"/>
                <w:lang w:val="es-ES_tradnl"/>
              </w:rPr>
              <w:t>2016</w:t>
            </w:r>
          </w:p>
        </w:tc>
        <w:tc>
          <w:tcPr>
            <w:tcW w:w="963" w:type="dxa"/>
            <w:shd w:val="clear" w:color="auto" w:fill="auto"/>
            <w:vAlign w:val="bottom"/>
          </w:tcPr>
          <w:p w14:paraId="4670E76E" w14:textId="77777777" w:rsidR="00625C2D" w:rsidRPr="00625C2D" w:rsidRDefault="00625C2D" w:rsidP="00625C2D">
            <w:pPr>
              <w:pStyle w:val="SingleTxtG"/>
              <w:tabs>
                <w:tab w:val="clear" w:pos="1701"/>
                <w:tab w:val="clear" w:pos="2268"/>
                <w:tab w:val="clear" w:pos="2835"/>
              </w:tabs>
              <w:spacing w:before="80" w:after="80" w:line="200" w:lineRule="exact"/>
              <w:ind w:left="113" w:right="28"/>
              <w:jc w:val="right"/>
              <w:rPr>
                <w:i/>
                <w:sz w:val="16"/>
                <w:lang w:val="es-ES_tradnl"/>
              </w:rPr>
            </w:pPr>
            <w:r w:rsidRPr="00625C2D">
              <w:rPr>
                <w:i/>
                <w:iCs/>
                <w:sz w:val="16"/>
                <w:lang w:val="es-ES_tradnl"/>
              </w:rPr>
              <w:t>2017</w:t>
            </w:r>
          </w:p>
        </w:tc>
        <w:tc>
          <w:tcPr>
            <w:tcW w:w="963" w:type="dxa"/>
            <w:shd w:val="clear" w:color="auto" w:fill="auto"/>
            <w:vAlign w:val="bottom"/>
          </w:tcPr>
          <w:p w14:paraId="746B4990" w14:textId="77777777" w:rsidR="00625C2D" w:rsidRPr="00625C2D" w:rsidRDefault="00625C2D" w:rsidP="00625C2D">
            <w:pPr>
              <w:pStyle w:val="SingleTxtG"/>
              <w:tabs>
                <w:tab w:val="clear" w:pos="1701"/>
                <w:tab w:val="clear" w:pos="2268"/>
                <w:tab w:val="clear" w:pos="2835"/>
              </w:tabs>
              <w:spacing w:before="80" w:after="80" w:line="200" w:lineRule="exact"/>
              <w:ind w:left="113" w:right="28"/>
              <w:jc w:val="right"/>
              <w:rPr>
                <w:i/>
                <w:sz w:val="16"/>
                <w:lang w:val="es-ES_tradnl"/>
              </w:rPr>
            </w:pPr>
            <w:r w:rsidRPr="00625C2D">
              <w:rPr>
                <w:i/>
                <w:iCs/>
                <w:sz w:val="16"/>
                <w:lang w:val="es-ES_tradnl"/>
              </w:rPr>
              <w:t>2018</w:t>
            </w:r>
          </w:p>
        </w:tc>
        <w:tc>
          <w:tcPr>
            <w:tcW w:w="963" w:type="dxa"/>
            <w:shd w:val="clear" w:color="auto" w:fill="auto"/>
            <w:vAlign w:val="bottom"/>
          </w:tcPr>
          <w:p w14:paraId="52F21B03" w14:textId="77777777" w:rsidR="00625C2D" w:rsidRPr="00625C2D" w:rsidRDefault="00625C2D" w:rsidP="00625C2D">
            <w:pPr>
              <w:pStyle w:val="SingleTxtG"/>
              <w:tabs>
                <w:tab w:val="clear" w:pos="1701"/>
                <w:tab w:val="clear" w:pos="2268"/>
                <w:tab w:val="clear" w:pos="2835"/>
              </w:tabs>
              <w:spacing w:before="80" w:after="80" w:line="200" w:lineRule="exact"/>
              <w:ind w:left="113" w:right="28"/>
              <w:jc w:val="right"/>
              <w:rPr>
                <w:i/>
                <w:sz w:val="16"/>
                <w:lang w:val="es-ES_tradnl"/>
              </w:rPr>
            </w:pPr>
            <w:r w:rsidRPr="00625C2D">
              <w:rPr>
                <w:i/>
                <w:iCs/>
                <w:sz w:val="16"/>
                <w:lang w:val="es-ES_tradnl"/>
              </w:rPr>
              <w:t>2019</w:t>
            </w:r>
          </w:p>
        </w:tc>
        <w:tc>
          <w:tcPr>
            <w:tcW w:w="963" w:type="dxa"/>
            <w:shd w:val="clear" w:color="auto" w:fill="auto"/>
            <w:vAlign w:val="bottom"/>
          </w:tcPr>
          <w:p w14:paraId="2D032C1D" w14:textId="77777777" w:rsidR="00625C2D" w:rsidRPr="00625C2D" w:rsidRDefault="00625C2D" w:rsidP="00625C2D">
            <w:pPr>
              <w:pStyle w:val="SingleTxtG"/>
              <w:tabs>
                <w:tab w:val="clear" w:pos="1701"/>
                <w:tab w:val="clear" w:pos="2268"/>
                <w:tab w:val="clear" w:pos="2835"/>
              </w:tabs>
              <w:spacing w:before="80" w:after="80" w:line="200" w:lineRule="exact"/>
              <w:ind w:left="113" w:right="28"/>
              <w:jc w:val="right"/>
              <w:rPr>
                <w:i/>
                <w:sz w:val="16"/>
                <w:lang w:val="es-ES_tradnl"/>
              </w:rPr>
            </w:pPr>
            <w:r w:rsidRPr="00625C2D">
              <w:rPr>
                <w:i/>
                <w:iCs/>
                <w:sz w:val="16"/>
                <w:lang w:val="es-ES_tradnl"/>
              </w:rPr>
              <w:t>2020</w:t>
            </w:r>
          </w:p>
        </w:tc>
        <w:tc>
          <w:tcPr>
            <w:tcW w:w="963" w:type="dxa"/>
            <w:shd w:val="clear" w:color="auto" w:fill="auto"/>
            <w:vAlign w:val="bottom"/>
          </w:tcPr>
          <w:p w14:paraId="6DC02F32" w14:textId="77777777" w:rsidR="00625C2D" w:rsidRPr="00625C2D" w:rsidRDefault="00625C2D" w:rsidP="00625C2D">
            <w:pPr>
              <w:pStyle w:val="SingleTxtG"/>
              <w:tabs>
                <w:tab w:val="clear" w:pos="1701"/>
                <w:tab w:val="clear" w:pos="2268"/>
                <w:tab w:val="clear" w:pos="2835"/>
              </w:tabs>
              <w:spacing w:before="80" w:after="80" w:line="200" w:lineRule="exact"/>
              <w:ind w:left="113" w:right="28"/>
              <w:jc w:val="right"/>
              <w:rPr>
                <w:i/>
                <w:sz w:val="16"/>
                <w:lang w:val="es-ES_tradnl"/>
              </w:rPr>
            </w:pPr>
            <w:r w:rsidRPr="00625C2D">
              <w:rPr>
                <w:i/>
                <w:iCs/>
                <w:sz w:val="16"/>
                <w:lang w:val="es-ES_tradnl"/>
              </w:rPr>
              <w:t>2021</w:t>
            </w:r>
          </w:p>
        </w:tc>
        <w:tc>
          <w:tcPr>
            <w:tcW w:w="963" w:type="dxa"/>
            <w:shd w:val="clear" w:color="auto" w:fill="auto"/>
            <w:vAlign w:val="bottom"/>
          </w:tcPr>
          <w:p w14:paraId="00DF8921" w14:textId="77777777" w:rsidR="00625C2D" w:rsidRPr="00625C2D" w:rsidRDefault="00625C2D" w:rsidP="00625C2D">
            <w:pPr>
              <w:pStyle w:val="SingleTxtG"/>
              <w:tabs>
                <w:tab w:val="clear" w:pos="1701"/>
                <w:tab w:val="clear" w:pos="2268"/>
                <w:tab w:val="clear" w:pos="2835"/>
              </w:tabs>
              <w:spacing w:before="80" w:after="80" w:line="200" w:lineRule="exact"/>
              <w:ind w:left="113" w:right="28"/>
              <w:jc w:val="right"/>
              <w:rPr>
                <w:i/>
                <w:sz w:val="16"/>
                <w:lang w:val="es-ES_tradnl"/>
              </w:rPr>
            </w:pPr>
            <w:r w:rsidRPr="00625C2D">
              <w:rPr>
                <w:i/>
                <w:iCs/>
                <w:sz w:val="16"/>
                <w:lang w:val="es-ES_tradnl"/>
              </w:rPr>
              <w:t>2022</w:t>
            </w:r>
          </w:p>
        </w:tc>
        <w:tc>
          <w:tcPr>
            <w:tcW w:w="963" w:type="dxa"/>
            <w:shd w:val="clear" w:color="auto" w:fill="auto"/>
            <w:vAlign w:val="bottom"/>
          </w:tcPr>
          <w:p w14:paraId="1A9C6320" w14:textId="77777777" w:rsidR="00625C2D" w:rsidRPr="00625C2D" w:rsidRDefault="00625C2D" w:rsidP="00625C2D">
            <w:pPr>
              <w:pStyle w:val="SingleTxtG"/>
              <w:tabs>
                <w:tab w:val="clear" w:pos="1701"/>
                <w:tab w:val="clear" w:pos="2268"/>
                <w:tab w:val="clear" w:pos="2835"/>
              </w:tabs>
              <w:spacing w:before="80" w:after="80" w:line="200" w:lineRule="exact"/>
              <w:ind w:left="113" w:right="28"/>
              <w:jc w:val="right"/>
              <w:rPr>
                <w:i/>
                <w:sz w:val="16"/>
                <w:lang w:val="es-ES_tradnl"/>
              </w:rPr>
            </w:pPr>
            <w:r w:rsidRPr="00625C2D">
              <w:rPr>
                <w:i/>
                <w:iCs/>
                <w:sz w:val="16"/>
                <w:lang w:val="es-ES_tradnl"/>
              </w:rPr>
              <w:t>2023</w:t>
            </w:r>
          </w:p>
        </w:tc>
      </w:tr>
      <w:tr w:rsidR="00625C2D" w:rsidRPr="00625C2D" w14:paraId="108C34F0" w14:textId="77777777" w:rsidTr="00625C2D">
        <w:trPr>
          <w:trHeight w:val="240"/>
        </w:trPr>
        <w:tc>
          <w:tcPr>
            <w:tcW w:w="962" w:type="dxa"/>
            <w:shd w:val="clear" w:color="auto" w:fill="auto"/>
          </w:tcPr>
          <w:p w14:paraId="40128186" w14:textId="77777777" w:rsidR="00625C2D" w:rsidRPr="00625C2D" w:rsidRDefault="00625C2D" w:rsidP="00625C2D">
            <w:pPr>
              <w:pStyle w:val="SingleTxtG"/>
              <w:tabs>
                <w:tab w:val="clear" w:pos="1701"/>
                <w:tab w:val="clear" w:pos="2268"/>
                <w:tab w:val="clear" w:pos="2835"/>
              </w:tabs>
              <w:spacing w:before="40" w:after="40" w:line="220" w:lineRule="exact"/>
              <w:ind w:left="0" w:right="28"/>
              <w:jc w:val="right"/>
              <w:rPr>
                <w:sz w:val="18"/>
                <w:lang w:val="es-ES_tradnl"/>
              </w:rPr>
            </w:pPr>
            <w:r w:rsidRPr="00625C2D">
              <w:rPr>
                <w:sz w:val="18"/>
                <w:lang w:val="es-ES_tradnl"/>
              </w:rPr>
              <w:t>13,0</w:t>
            </w:r>
          </w:p>
        </w:tc>
        <w:tc>
          <w:tcPr>
            <w:tcW w:w="962" w:type="dxa"/>
            <w:shd w:val="clear" w:color="auto" w:fill="auto"/>
            <w:vAlign w:val="bottom"/>
          </w:tcPr>
          <w:p w14:paraId="20FFD051" w14:textId="77777777" w:rsidR="00625C2D" w:rsidRPr="00625C2D" w:rsidRDefault="00625C2D" w:rsidP="00625C2D">
            <w:pPr>
              <w:pStyle w:val="SingleTxtG"/>
              <w:tabs>
                <w:tab w:val="clear" w:pos="1701"/>
                <w:tab w:val="clear" w:pos="2268"/>
                <w:tab w:val="clear" w:pos="2835"/>
              </w:tabs>
              <w:spacing w:before="40" w:after="40" w:line="220" w:lineRule="exact"/>
              <w:ind w:left="113" w:right="28"/>
              <w:jc w:val="right"/>
              <w:rPr>
                <w:sz w:val="18"/>
                <w:lang w:val="es-ES_tradnl"/>
              </w:rPr>
            </w:pPr>
            <w:r w:rsidRPr="00625C2D">
              <w:rPr>
                <w:sz w:val="18"/>
                <w:lang w:val="es-ES_tradnl"/>
              </w:rPr>
              <w:t>13,2</w:t>
            </w:r>
          </w:p>
        </w:tc>
        <w:tc>
          <w:tcPr>
            <w:tcW w:w="963" w:type="dxa"/>
            <w:shd w:val="clear" w:color="auto" w:fill="auto"/>
            <w:vAlign w:val="bottom"/>
          </w:tcPr>
          <w:p w14:paraId="10E776B7" w14:textId="77777777" w:rsidR="00625C2D" w:rsidRPr="00625C2D" w:rsidRDefault="00625C2D" w:rsidP="00625C2D">
            <w:pPr>
              <w:pStyle w:val="SingleTxtG"/>
              <w:tabs>
                <w:tab w:val="clear" w:pos="1701"/>
                <w:tab w:val="clear" w:pos="2268"/>
                <w:tab w:val="clear" w:pos="2835"/>
              </w:tabs>
              <w:spacing w:before="40" w:after="40" w:line="220" w:lineRule="exact"/>
              <w:ind w:left="113" w:right="28"/>
              <w:jc w:val="right"/>
              <w:rPr>
                <w:sz w:val="18"/>
                <w:lang w:val="es-ES_tradnl"/>
              </w:rPr>
            </w:pPr>
            <w:r w:rsidRPr="00625C2D">
              <w:rPr>
                <w:sz w:val="18"/>
                <w:lang w:val="es-ES_tradnl"/>
              </w:rPr>
              <w:t>13,0</w:t>
            </w:r>
          </w:p>
        </w:tc>
        <w:tc>
          <w:tcPr>
            <w:tcW w:w="963" w:type="dxa"/>
            <w:shd w:val="clear" w:color="auto" w:fill="auto"/>
            <w:vAlign w:val="bottom"/>
          </w:tcPr>
          <w:p w14:paraId="1AC2024E" w14:textId="77777777" w:rsidR="00625C2D" w:rsidRPr="00625C2D" w:rsidRDefault="00625C2D" w:rsidP="00625C2D">
            <w:pPr>
              <w:pStyle w:val="SingleTxtG"/>
              <w:tabs>
                <w:tab w:val="clear" w:pos="1701"/>
                <w:tab w:val="clear" w:pos="2268"/>
                <w:tab w:val="clear" w:pos="2835"/>
              </w:tabs>
              <w:spacing w:before="40" w:after="40" w:line="220" w:lineRule="exact"/>
              <w:ind w:left="113" w:right="28"/>
              <w:jc w:val="right"/>
              <w:rPr>
                <w:sz w:val="18"/>
                <w:lang w:val="es-ES_tradnl"/>
              </w:rPr>
            </w:pPr>
            <w:r w:rsidRPr="00625C2D">
              <w:rPr>
                <w:sz w:val="18"/>
                <w:lang w:val="es-ES_tradnl"/>
              </w:rPr>
              <w:t>12,6</w:t>
            </w:r>
          </w:p>
        </w:tc>
        <w:tc>
          <w:tcPr>
            <w:tcW w:w="963" w:type="dxa"/>
            <w:shd w:val="clear" w:color="auto" w:fill="auto"/>
            <w:vAlign w:val="bottom"/>
          </w:tcPr>
          <w:p w14:paraId="1FDF2A2D" w14:textId="77777777" w:rsidR="00625C2D" w:rsidRPr="00625C2D" w:rsidRDefault="00625C2D" w:rsidP="00625C2D">
            <w:pPr>
              <w:pStyle w:val="SingleTxtG"/>
              <w:tabs>
                <w:tab w:val="clear" w:pos="1701"/>
                <w:tab w:val="clear" w:pos="2268"/>
                <w:tab w:val="clear" w:pos="2835"/>
              </w:tabs>
              <w:spacing w:before="40" w:after="40" w:line="220" w:lineRule="exact"/>
              <w:ind w:left="113" w:right="28"/>
              <w:jc w:val="right"/>
              <w:rPr>
                <w:sz w:val="18"/>
                <w:lang w:val="es-ES_tradnl"/>
              </w:rPr>
            </w:pPr>
            <w:r w:rsidRPr="00625C2D">
              <w:rPr>
                <w:sz w:val="18"/>
                <w:lang w:val="es-ES_tradnl"/>
              </w:rPr>
              <w:t>12,1</w:t>
            </w:r>
          </w:p>
        </w:tc>
        <w:tc>
          <w:tcPr>
            <w:tcW w:w="963" w:type="dxa"/>
            <w:shd w:val="clear" w:color="auto" w:fill="auto"/>
            <w:vAlign w:val="bottom"/>
          </w:tcPr>
          <w:p w14:paraId="4F61D0E5" w14:textId="77777777" w:rsidR="00625C2D" w:rsidRPr="00625C2D" w:rsidRDefault="00625C2D" w:rsidP="00625C2D">
            <w:pPr>
              <w:pStyle w:val="SingleTxtG"/>
              <w:tabs>
                <w:tab w:val="clear" w:pos="1701"/>
                <w:tab w:val="clear" w:pos="2268"/>
                <w:tab w:val="clear" w:pos="2835"/>
              </w:tabs>
              <w:spacing w:before="40" w:after="40" w:line="220" w:lineRule="exact"/>
              <w:ind w:left="113" w:right="28"/>
              <w:jc w:val="right"/>
              <w:rPr>
                <w:sz w:val="18"/>
                <w:lang w:val="es-ES_tradnl"/>
              </w:rPr>
            </w:pPr>
            <w:r w:rsidRPr="00625C2D">
              <w:rPr>
                <w:sz w:val="18"/>
                <w:lang w:val="es-ES_tradnl"/>
              </w:rPr>
              <w:t>12,4</w:t>
            </w:r>
          </w:p>
        </w:tc>
        <w:tc>
          <w:tcPr>
            <w:tcW w:w="963" w:type="dxa"/>
            <w:shd w:val="clear" w:color="auto" w:fill="auto"/>
            <w:vAlign w:val="bottom"/>
          </w:tcPr>
          <w:p w14:paraId="7697C525" w14:textId="77777777" w:rsidR="00625C2D" w:rsidRPr="00625C2D" w:rsidRDefault="00625C2D" w:rsidP="00625C2D">
            <w:pPr>
              <w:pStyle w:val="SingleTxtG"/>
              <w:tabs>
                <w:tab w:val="clear" w:pos="1701"/>
                <w:tab w:val="clear" w:pos="2268"/>
                <w:tab w:val="clear" w:pos="2835"/>
              </w:tabs>
              <w:spacing w:before="40" w:after="40" w:line="220" w:lineRule="exact"/>
              <w:ind w:left="113" w:right="28"/>
              <w:jc w:val="right"/>
              <w:rPr>
                <w:sz w:val="18"/>
                <w:lang w:val="es-ES_tradnl"/>
              </w:rPr>
            </w:pPr>
            <w:r w:rsidRPr="00625C2D">
              <w:rPr>
                <w:sz w:val="18"/>
                <w:lang w:val="es-ES_tradnl"/>
              </w:rPr>
              <w:t>17,6</w:t>
            </w:r>
          </w:p>
        </w:tc>
        <w:tc>
          <w:tcPr>
            <w:tcW w:w="963" w:type="dxa"/>
            <w:shd w:val="clear" w:color="auto" w:fill="auto"/>
            <w:vAlign w:val="bottom"/>
          </w:tcPr>
          <w:p w14:paraId="3773021F" w14:textId="77777777" w:rsidR="00625C2D" w:rsidRPr="00625C2D" w:rsidRDefault="00625C2D" w:rsidP="00625C2D">
            <w:pPr>
              <w:pStyle w:val="SingleTxtG"/>
              <w:tabs>
                <w:tab w:val="clear" w:pos="1701"/>
                <w:tab w:val="clear" w:pos="2268"/>
                <w:tab w:val="clear" w:pos="2835"/>
              </w:tabs>
              <w:spacing w:before="40" w:after="40" w:line="220" w:lineRule="exact"/>
              <w:ind w:left="113" w:right="28"/>
              <w:jc w:val="right"/>
              <w:rPr>
                <w:sz w:val="18"/>
                <w:lang w:val="es-ES_tradnl"/>
              </w:rPr>
            </w:pPr>
            <w:r w:rsidRPr="00625C2D">
              <w:rPr>
                <w:sz w:val="18"/>
                <w:lang w:val="es-ES_tradnl"/>
              </w:rPr>
              <w:t>15,4</w:t>
            </w:r>
          </w:p>
        </w:tc>
        <w:tc>
          <w:tcPr>
            <w:tcW w:w="963" w:type="dxa"/>
            <w:shd w:val="clear" w:color="auto" w:fill="auto"/>
            <w:vAlign w:val="bottom"/>
          </w:tcPr>
          <w:p w14:paraId="52252578" w14:textId="77777777" w:rsidR="00625C2D" w:rsidRPr="00625C2D" w:rsidRDefault="00625C2D" w:rsidP="00625C2D">
            <w:pPr>
              <w:pStyle w:val="SingleTxtG"/>
              <w:tabs>
                <w:tab w:val="clear" w:pos="1701"/>
                <w:tab w:val="clear" w:pos="2268"/>
                <w:tab w:val="clear" w:pos="2835"/>
              </w:tabs>
              <w:spacing w:before="40" w:after="40" w:line="220" w:lineRule="exact"/>
              <w:ind w:left="113" w:right="28"/>
              <w:jc w:val="right"/>
              <w:rPr>
                <w:sz w:val="18"/>
                <w:lang w:val="es-ES_tradnl"/>
              </w:rPr>
            </w:pPr>
            <w:r w:rsidRPr="00625C2D">
              <w:rPr>
                <w:sz w:val="18"/>
                <w:lang w:val="es-ES_tradnl"/>
              </w:rPr>
              <w:t>14,7</w:t>
            </w:r>
          </w:p>
        </w:tc>
        <w:tc>
          <w:tcPr>
            <w:tcW w:w="963" w:type="dxa"/>
            <w:shd w:val="clear" w:color="auto" w:fill="auto"/>
            <w:vAlign w:val="bottom"/>
          </w:tcPr>
          <w:p w14:paraId="761B4DFF" w14:textId="77777777" w:rsidR="00625C2D" w:rsidRPr="00625C2D" w:rsidRDefault="00625C2D" w:rsidP="00625C2D">
            <w:pPr>
              <w:pStyle w:val="SingleTxtG"/>
              <w:tabs>
                <w:tab w:val="clear" w:pos="1701"/>
                <w:tab w:val="clear" w:pos="2268"/>
                <w:tab w:val="clear" w:pos="2835"/>
              </w:tabs>
              <w:spacing w:before="40" w:after="40" w:line="220" w:lineRule="exact"/>
              <w:ind w:left="113" w:right="28"/>
              <w:jc w:val="right"/>
              <w:rPr>
                <w:sz w:val="18"/>
                <w:lang w:val="es-ES_tradnl"/>
              </w:rPr>
            </w:pPr>
            <w:r w:rsidRPr="00625C2D">
              <w:rPr>
                <w:sz w:val="18"/>
                <w:lang w:val="es-ES_tradnl"/>
              </w:rPr>
              <w:t>14,9</w:t>
            </w:r>
          </w:p>
        </w:tc>
      </w:tr>
    </w:tbl>
    <w:p w14:paraId="687DDE6F" w14:textId="04B2902E" w:rsidR="00625C2D" w:rsidRPr="00625C2D" w:rsidRDefault="00625C2D" w:rsidP="00625C2D">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625C2D" w:rsidRPr="00625C2D" w:rsidSect="00625C2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691023" w14:textId="77777777" w:rsidR="00192A02" w:rsidRPr="00093664" w:rsidRDefault="00192A02" w:rsidP="00093664">
      <w:pPr>
        <w:pStyle w:val="Piedepgina"/>
      </w:pPr>
    </w:p>
  </w:endnote>
  <w:endnote w:type="continuationSeparator" w:id="0">
    <w:p w14:paraId="3247791D" w14:textId="77777777" w:rsidR="00192A02" w:rsidRPr="00093664" w:rsidRDefault="00192A02"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D4308" w14:textId="27312DE0" w:rsidR="00625C2D" w:rsidRPr="00625C2D" w:rsidRDefault="00625C2D" w:rsidP="00625C2D">
    <w:pPr>
      <w:pStyle w:val="Piedepgina"/>
      <w:tabs>
        <w:tab w:val="right" w:pos="9638"/>
      </w:tabs>
    </w:pPr>
    <w:r w:rsidRPr="00625C2D">
      <w:rPr>
        <w:b/>
        <w:sz w:val="18"/>
      </w:rPr>
      <w:fldChar w:fldCharType="begin"/>
    </w:r>
    <w:r w:rsidRPr="00625C2D">
      <w:rPr>
        <w:b/>
        <w:sz w:val="18"/>
      </w:rPr>
      <w:instrText xml:space="preserve"> PAGE  \* MERGEFORMAT </w:instrText>
    </w:r>
    <w:r w:rsidRPr="00625C2D">
      <w:rPr>
        <w:b/>
        <w:sz w:val="18"/>
      </w:rPr>
      <w:fldChar w:fldCharType="separate"/>
    </w:r>
    <w:r w:rsidRPr="00625C2D">
      <w:rPr>
        <w:b/>
        <w:noProof/>
        <w:sz w:val="18"/>
      </w:rPr>
      <w:t>2</w:t>
    </w:r>
    <w:r w:rsidRPr="00625C2D">
      <w:rPr>
        <w:b/>
        <w:sz w:val="18"/>
      </w:rPr>
      <w:fldChar w:fldCharType="end"/>
    </w:r>
    <w:r>
      <w:rPr>
        <w:b/>
        <w:sz w:val="18"/>
      </w:rPr>
      <w:tab/>
    </w:r>
    <w:r>
      <w:t>GE.24-21596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0895B" w14:textId="69179F0A" w:rsidR="00625C2D" w:rsidRPr="00625C2D" w:rsidRDefault="00625C2D" w:rsidP="00625C2D">
    <w:pPr>
      <w:pStyle w:val="Piedepgina"/>
      <w:tabs>
        <w:tab w:val="right" w:pos="9638"/>
      </w:tabs>
      <w:rPr>
        <w:b/>
        <w:sz w:val="18"/>
      </w:rPr>
    </w:pPr>
    <w:r>
      <w:t>GE.24-21596</w:t>
    </w:r>
    <w:r>
      <w:tab/>
    </w:r>
    <w:r w:rsidRPr="00625C2D">
      <w:rPr>
        <w:b/>
        <w:sz w:val="18"/>
      </w:rPr>
      <w:fldChar w:fldCharType="begin"/>
    </w:r>
    <w:r w:rsidRPr="00625C2D">
      <w:rPr>
        <w:b/>
        <w:sz w:val="18"/>
      </w:rPr>
      <w:instrText xml:space="preserve"> PAGE  \* MERGEFORMAT </w:instrText>
    </w:r>
    <w:r w:rsidRPr="00625C2D">
      <w:rPr>
        <w:b/>
        <w:sz w:val="18"/>
      </w:rPr>
      <w:fldChar w:fldCharType="separate"/>
    </w:r>
    <w:r w:rsidRPr="00625C2D">
      <w:rPr>
        <w:b/>
        <w:noProof/>
        <w:sz w:val="18"/>
      </w:rPr>
      <w:t>3</w:t>
    </w:r>
    <w:r w:rsidRPr="00625C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E7325" w14:textId="624B019A" w:rsidR="005016AF" w:rsidRPr="00625C2D" w:rsidRDefault="00625C2D" w:rsidP="00625C2D">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0143B1AF" wp14:editId="2991B92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24-21596  (S)</w:t>
    </w:r>
    <w:r>
      <w:rPr>
        <w:noProof/>
        <w:sz w:val="20"/>
      </w:rPr>
      <w:drawing>
        <wp:anchor distT="0" distB="0" distL="114300" distR="114300" simplePos="0" relativeHeight="251658752" behindDoc="0" locked="0" layoutInCell="1" allowOverlap="1" wp14:anchorId="45F7D9E6" wp14:editId="4B1FF95A">
          <wp:simplePos x="0" y="0"/>
          <wp:positionH relativeFrom="margin">
            <wp:posOffset>5489575</wp:posOffset>
          </wp:positionH>
          <wp:positionV relativeFrom="margin">
            <wp:posOffset>8891905</wp:posOffset>
          </wp:positionV>
          <wp:extent cx="628650" cy="628650"/>
          <wp:effectExtent l="0" t="0" r="0" b="0"/>
          <wp:wrapNone/>
          <wp:docPr id="13200204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050625    100625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0CF0E1" w14:textId="77777777" w:rsidR="00192A02" w:rsidRPr="001075E9" w:rsidRDefault="00192A02" w:rsidP="001075E9">
      <w:pPr>
        <w:tabs>
          <w:tab w:val="right" w:pos="2155"/>
        </w:tabs>
        <w:spacing w:after="80" w:line="240" w:lineRule="auto"/>
        <w:ind w:left="680"/>
        <w:rPr>
          <w:u w:val="single"/>
        </w:rPr>
      </w:pPr>
      <w:r>
        <w:rPr>
          <w:u w:val="single"/>
        </w:rPr>
        <w:tab/>
      </w:r>
    </w:p>
  </w:footnote>
  <w:footnote w:type="continuationSeparator" w:id="0">
    <w:p w14:paraId="729E546B" w14:textId="77777777" w:rsidR="00192A02" w:rsidRDefault="00192A02" w:rsidP="00093664">
      <w:pPr>
        <w:tabs>
          <w:tab w:val="right" w:pos="2155"/>
        </w:tabs>
        <w:spacing w:after="80" w:line="240" w:lineRule="auto"/>
        <w:ind w:left="680"/>
        <w:rPr>
          <w:u w:val="single"/>
        </w:rPr>
      </w:pPr>
      <w:r>
        <w:rPr>
          <w:u w:val="single"/>
        </w:rPr>
        <w:tab/>
      </w:r>
    </w:p>
  </w:footnote>
  <w:footnote w:id="1">
    <w:p w14:paraId="6675A056" w14:textId="694E0375" w:rsidR="00625C2D" w:rsidRPr="00625C2D" w:rsidRDefault="00625C2D" w:rsidP="00625C2D">
      <w:pPr>
        <w:pStyle w:val="Textonotapie"/>
        <w:rPr>
          <w:sz w:val="20"/>
        </w:rPr>
      </w:pPr>
      <w:r>
        <w:tab/>
      </w:r>
      <w:r w:rsidRPr="00625C2D">
        <w:rPr>
          <w:rStyle w:val="Refdenotaalpie"/>
          <w:sz w:val="20"/>
          <w:vertAlign w:val="baseline"/>
        </w:rPr>
        <w:t>*</w:t>
      </w:r>
      <w:r w:rsidRPr="00625C2D">
        <w:rPr>
          <w:rStyle w:val="Refdenotaalpie"/>
          <w:vertAlign w:val="baseline"/>
        </w:rPr>
        <w:tab/>
      </w:r>
      <w:r w:rsidRPr="00625C2D">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E5C1C" w14:textId="42FC08D5" w:rsidR="00625C2D" w:rsidRPr="00625C2D" w:rsidRDefault="008B0E07">
    <w:pPr>
      <w:pStyle w:val="Encabezado"/>
    </w:pPr>
    <w:r>
      <w:fldChar w:fldCharType="begin"/>
    </w:r>
    <w:r>
      <w:instrText xml:space="preserve"> TITLE  \* MERGEFORMAT </w:instrText>
    </w:r>
    <w:r>
      <w:fldChar w:fldCharType="separate"/>
    </w:r>
    <w:r w:rsidR="00FD016D">
      <w:t>E/</w:t>
    </w:r>
    <w:proofErr w:type="spellStart"/>
    <w:r w:rsidR="00FD016D">
      <w:t>C.12</w:t>
    </w:r>
    <w:proofErr w:type="spellEnd"/>
    <w:r w:rsidR="00FD016D">
      <w:t>/RUS/</w:t>
    </w:r>
    <w:proofErr w:type="spellStart"/>
    <w:r w:rsidR="00FD016D">
      <w:t>RQ</w:t>
    </w:r>
    <w:proofErr w:type="spellEnd"/>
    <w:r w:rsidR="00FD016D">
      <w:t>/7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5A82D" w14:textId="40F3D3EE" w:rsidR="00625C2D" w:rsidRPr="00625C2D" w:rsidRDefault="008B0E07" w:rsidP="00625C2D">
    <w:pPr>
      <w:pStyle w:val="Encabezado"/>
      <w:jc w:val="right"/>
    </w:pPr>
    <w:r>
      <w:fldChar w:fldCharType="begin"/>
    </w:r>
    <w:r>
      <w:instrText xml:space="preserve"> TITLE  \* MERGEFORMAT </w:instrText>
    </w:r>
    <w:r>
      <w:fldChar w:fldCharType="separate"/>
    </w:r>
    <w:r w:rsidR="00FD016D">
      <w:t>E/</w:t>
    </w:r>
    <w:proofErr w:type="spellStart"/>
    <w:r w:rsidR="00FD016D">
      <w:t>C.12</w:t>
    </w:r>
    <w:proofErr w:type="spellEnd"/>
    <w:r w:rsidR="00FD016D">
      <w:t>/RUS/</w:t>
    </w:r>
    <w:proofErr w:type="spellStart"/>
    <w:r w:rsidR="00FD016D">
      <w:t>RQ</w:t>
    </w:r>
    <w:proofErr w:type="spellEnd"/>
    <w:r w:rsidR="00FD016D">
      <w:t>/7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72994103">
    <w:abstractNumId w:val="14"/>
  </w:num>
  <w:num w:numId="2" w16cid:durableId="2118209189">
    <w:abstractNumId w:val="11"/>
  </w:num>
  <w:num w:numId="3" w16cid:durableId="2072996781">
    <w:abstractNumId w:val="16"/>
  </w:num>
  <w:num w:numId="4" w16cid:durableId="1195656273">
    <w:abstractNumId w:val="15"/>
  </w:num>
  <w:num w:numId="5" w16cid:durableId="1661617439">
    <w:abstractNumId w:val="13"/>
  </w:num>
  <w:num w:numId="6" w16cid:durableId="695934841">
    <w:abstractNumId w:val="8"/>
  </w:num>
  <w:num w:numId="7" w16cid:durableId="217480415">
    <w:abstractNumId w:val="3"/>
  </w:num>
  <w:num w:numId="8" w16cid:durableId="1464157183">
    <w:abstractNumId w:val="2"/>
  </w:num>
  <w:num w:numId="9" w16cid:durableId="213079349">
    <w:abstractNumId w:val="1"/>
  </w:num>
  <w:num w:numId="10" w16cid:durableId="2015106073">
    <w:abstractNumId w:val="0"/>
  </w:num>
  <w:num w:numId="11" w16cid:durableId="161167377">
    <w:abstractNumId w:val="9"/>
  </w:num>
  <w:num w:numId="12" w16cid:durableId="1565874053">
    <w:abstractNumId w:val="7"/>
  </w:num>
  <w:num w:numId="13" w16cid:durableId="1082684275">
    <w:abstractNumId w:val="6"/>
  </w:num>
  <w:num w:numId="14" w16cid:durableId="1272739787">
    <w:abstractNumId w:val="5"/>
  </w:num>
  <w:num w:numId="15" w16cid:durableId="1029451961">
    <w:abstractNumId w:val="4"/>
  </w:num>
  <w:num w:numId="16" w16cid:durableId="106967819">
    <w:abstractNumId w:val="10"/>
  </w:num>
  <w:num w:numId="17" w16cid:durableId="697003109">
    <w:abstractNumId w:val="14"/>
  </w:num>
  <w:num w:numId="18" w16cid:durableId="1940290187">
    <w:abstractNumId w:val="11"/>
  </w:num>
  <w:num w:numId="19" w16cid:durableId="1191722930">
    <w:abstractNumId w:val="10"/>
  </w:num>
  <w:num w:numId="20" w16cid:durableId="1370494075">
    <w:abstractNumId w:val="16"/>
  </w:num>
  <w:num w:numId="21" w16cid:durableId="667756893">
    <w:abstractNumId w:val="15"/>
  </w:num>
  <w:num w:numId="22" w16cid:durableId="1298222453">
    <w:abstractNumId w:val="12"/>
  </w:num>
  <w:num w:numId="23" w16cid:durableId="517696228">
    <w:abstractNumId w:val="12"/>
  </w:num>
  <w:num w:numId="24" w16cid:durableId="1609392858">
    <w:abstractNumId w:val="13"/>
  </w:num>
  <w:num w:numId="25" w16cid:durableId="174737052">
    <w:abstractNumId w:val="9"/>
  </w:num>
  <w:num w:numId="26" w16cid:durableId="1055737448">
    <w:abstractNumId w:val="7"/>
  </w:num>
  <w:num w:numId="27" w16cid:durableId="944650728">
    <w:abstractNumId w:val="6"/>
  </w:num>
  <w:num w:numId="28" w16cid:durableId="1282224869">
    <w:abstractNumId w:val="5"/>
  </w:num>
  <w:num w:numId="29" w16cid:durableId="1097755280">
    <w:abstractNumId w:val="4"/>
  </w:num>
  <w:num w:numId="30" w16cid:durableId="1239947683">
    <w:abstractNumId w:val="8"/>
  </w:num>
  <w:num w:numId="31" w16cid:durableId="1189443709">
    <w:abstractNumId w:val="3"/>
  </w:num>
  <w:num w:numId="32" w16cid:durableId="1429934028">
    <w:abstractNumId w:val="2"/>
  </w:num>
  <w:num w:numId="33" w16cid:durableId="1199510507">
    <w:abstractNumId w:val="1"/>
  </w:num>
  <w:num w:numId="34" w16cid:durableId="25776193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A02"/>
    <w:rsid w:val="00010F3B"/>
    <w:rsid w:val="00032D03"/>
    <w:rsid w:val="00060246"/>
    <w:rsid w:val="00063DA4"/>
    <w:rsid w:val="000735BB"/>
    <w:rsid w:val="0008650D"/>
    <w:rsid w:val="00093664"/>
    <w:rsid w:val="000B57E7"/>
    <w:rsid w:val="000C0D06"/>
    <w:rsid w:val="000D359E"/>
    <w:rsid w:val="000F09DF"/>
    <w:rsid w:val="000F61B2"/>
    <w:rsid w:val="001075E9"/>
    <w:rsid w:val="00113BC1"/>
    <w:rsid w:val="00130676"/>
    <w:rsid w:val="00143FE5"/>
    <w:rsid w:val="00180183"/>
    <w:rsid w:val="00192A02"/>
    <w:rsid w:val="00196389"/>
    <w:rsid w:val="001C2CBE"/>
    <w:rsid w:val="001C7A89"/>
    <w:rsid w:val="001F3EC3"/>
    <w:rsid w:val="00205748"/>
    <w:rsid w:val="002967E3"/>
    <w:rsid w:val="002A2EFC"/>
    <w:rsid w:val="002D16F0"/>
    <w:rsid w:val="002D18E3"/>
    <w:rsid w:val="002D5AAC"/>
    <w:rsid w:val="002E5300"/>
    <w:rsid w:val="00301299"/>
    <w:rsid w:val="00313431"/>
    <w:rsid w:val="00322004"/>
    <w:rsid w:val="003402C2"/>
    <w:rsid w:val="003538EB"/>
    <w:rsid w:val="00356D3C"/>
    <w:rsid w:val="0036727D"/>
    <w:rsid w:val="00376B12"/>
    <w:rsid w:val="003770A4"/>
    <w:rsid w:val="00381C24"/>
    <w:rsid w:val="003958D0"/>
    <w:rsid w:val="003C0339"/>
    <w:rsid w:val="003C48D5"/>
    <w:rsid w:val="003D064D"/>
    <w:rsid w:val="0041031F"/>
    <w:rsid w:val="00454E07"/>
    <w:rsid w:val="004B19F2"/>
    <w:rsid w:val="004D527D"/>
    <w:rsid w:val="004F684C"/>
    <w:rsid w:val="0050108D"/>
    <w:rsid w:val="005016AF"/>
    <w:rsid w:val="005076AF"/>
    <w:rsid w:val="0052159C"/>
    <w:rsid w:val="00560BD1"/>
    <w:rsid w:val="00572E19"/>
    <w:rsid w:val="00581F67"/>
    <w:rsid w:val="00584027"/>
    <w:rsid w:val="005D7525"/>
    <w:rsid w:val="005F0B42"/>
    <w:rsid w:val="00625C2D"/>
    <w:rsid w:val="00632A31"/>
    <w:rsid w:val="0064421C"/>
    <w:rsid w:val="00680C36"/>
    <w:rsid w:val="00696E37"/>
    <w:rsid w:val="006E27AD"/>
    <w:rsid w:val="006F35EE"/>
    <w:rsid w:val="006F4E51"/>
    <w:rsid w:val="00710CF8"/>
    <w:rsid w:val="00716C6F"/>
    <w:rsid w:val="007464CC"/>
    <w:rsid w:val="00793392"/>
    <w:rsid w:val="00797EB9"/>
    <w:rsid w:val="007D6339"/>
    <w:rsid w:val="007E2BDD"/>
    <w:rsid w:val="00802199"/>
    <w:rsid w:val="00830923"/>
    <w:rsid w:val="00834B71"/>
    <w:rsid w:val="0086445C"/>
    <w:rsid w:val="00893E0F"/>
    <w:rsid w:val="008A08D7"/>
    <w:rsid w:val="008B0E07"/>
    <w:rsid w:val="008D0674"/>
    <w:rsid w:val="00906890"/>
    <w:rsid w:val="009179A3"/>
    <w:rsid w:val="00932F60"/>
    <w:rsid w:val="00951972"/>
    <w:rsid w:val="00987051"/>
    <w:rsid w:val="009E78C4"/>
    <w:rsid w:val="00A00CB2"/>
    <w:rsid w:val="00A500CE"/>
    <w:rsid w:val="00A645FF"/>
    <w:rsid w:val="00A917B3"/>
    <w:rsid w:val="00AB4B51"/>
    <w:rsid w:val="00AB4EB2"/>
    <w:rsid w:val="00AC58DC"/>
    <w:rsid w:val="00AF0918"/>
    <w:rsid w:val="00B00ED8"/>
    <w:rsid w:val="00B05775"/>
    <w:rsid w:val="00B10CC7"/>
    <w:rsid w:val="00B611D4"/>
    <w:rsid w:val="00B62458"/>
    <w:rsid w:val="00B6350A"/>
    <w:rsid w:val="00B771DD"/>
    <w:rsid w:val="00B82270"/>
    <w:rsid w:val="00BC161C"/>
    <w:rsid w:val="00BD33EE"/>
    <w:rsid w:val="00C377E3"/>
    <w:rsid w:val="00C60F0C"/>
    <w:rsid w:val="00C643B4"/>
    <w:rsid w:val="00C805C9"/>
    <w:rsid w:val="00C81620"/>
    <w:rsid w:val="00CA1679"/>
    <w:rsid w:val="00CD7A47"/>
    <w:rsid w:val="00CE34F5"/>
    <w:rsid w:val="00CF7088"/>
    <w:rsid w:val="00D738F9"/>
    <w:rsid w:val="00D759B3"/>
    <w:rsid w:val="00D90138"/>
    <w:rsid w:val="00D97076"/>
    <w:rsid w:val="00DB7D3D"/>
    <w:rsid w:val="00DC6544"/>
    <w:rsid w:val="00E3587C"/>
    <w:rsid w:val="00E73F76"/>
    <w:rsid w:val="00EA7F90"/>
    <w:rsid w:val="00EF1360"/>
    <w:rsid w:val="00EF3220"/>
    <w:rsid w:val="00F26228"/>
    <w:rsid w:val="00F33585"/>
    <w:rsid w:val="00F54B33"/>
    <w:rsid w:val="00FB6CD8"/>
    <w:rsid w:val="00FD016D"/>
    <w:rsid w:val="00FD2EF7"/>
    <w:rsid w:val="00FE2FB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857501"/>
  <w15:docId w15:val="{BFC8F17C-D1F6-4FC8-90DA-1D034398E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192A02"/>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45F570-158A-4CD3-9C3B-98333AF74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24</Pages>
  <Words>15233</Words>
  <Characters>80588</Characters>
  <Application>Microsoft Office Word</Application>
  <DocSecurity>0</DocSecurity>
  <Lines>1221</Lines>
  <Paragraphs>283</Paragraphs>
  <ScaleCrop>false</ScaleCrop>
  <HeadingPairs>
    <vt:vector size="2" baseType="variant">
      <vt:variant>
        <vt:lpstr>Título</vt:lpstr>
      </vt:variant>
      <vt:variant>
        <vt:i4>1</vt:i4>
      </vt:variant>
    </vt:vector>
  </HeadingPairs>
  <TitlesOfParts>
    <vt:vector size="1" baseType="lpstr">
      <vt:lpstr>E/C.12/RUS/RQ/7</vt:lpstr>
    </vt:vector>
  </TitlesOfParts>
  <Company/>
  <LinksUpToDate>false</LinksUpToDate>
  <CharactersWithSpaces>95538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E/C.12/RUS/RQ/7</dc:title>
  <dc:subject/>
  <dc:creator>Angel ANGEL-MORENO-TORRES</dc:creator>
  <cp:keywords/>
  <cp:lastModifiedBy>Angel Moreno Torres</cp:lastModifiedBy>
  <cp:revision>3</cp:revision>
  <cp:lastPrinted>2025-06-10T14:28:00Z</cp:lastPrinted>
  <dcterms:created xsi:type="dcterms:W3CDTF">2025-06-10T14:28:00Z</dcterms:created>
  <dcterms:modified xsi:type="dcterms:W3CDTF">2025-06-10T14:29:00Z</dcterms:modified>
</cp:coreProperties>
</file>