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BC547AD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99CA18" w14:textId="77777777" w:rsidR="002D5AAC" w:rsidRDefault="002D5AAC" w:rsidP="003D6EE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8EAC9E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25115FD" w14:textId="08E2D792" w:rsidR="002D5AAC" w:rsidRDefault="003D6EE6" w:rsidP="003D6EE6">
            <w:pPr>
              <w:jc w:val="right"/>
            </w:pPr>
            <w:r w:rsidRPr="003D6EE6">
              <w:rPr>
                <w:sz w:val="40"/>
              </w:rPr>
              <w:t>CRC</w:t>
            </w:r>
            <w:r w:rsidRPr="003D6EE6">
              <w:t>/C/PHL/CO/5-6</w:t>
            </w:r>
          </w:p>
        </w:tc>
      </w:tr>
      <w:tr w:rsidR="002D5AAC" w:rsidRPr="00157ECC" w14:paraId="543E6447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A5B9D9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042A311" wp14:editId="57769B1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7B9EA0C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FBF195A" w14:textId="7E50AC20" w:rsidR="002D5AAC" w:rsidRDefault="003D6EE6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3D6EE6">
              <w:rPr>
                <w:rFonts w:eastAsia="SimSun" w:cs="Times New Roman"/>
                <w:szCs w:val="20"/>
                <w:lang w:val="en-GB" w:eastAsia="zh-CN"/>
              </w:rPr>
              <w:t>General</w:t>
            </w:r>
          </w:p>
          <w:p w14:paraId="6F47E563" w14:textId="5890B9B4" w:rsidR="003D6EE6" w:rsidRDefault="003D6EE6" w:rsidP="003D6EE6">
            <w:pPr>
              <w:spacing w:line="240" w:lineRule="exact"/>
              <w:rPr>
                <w:lang w:val="en-US"/>
              </w:rPr>
            </w:pPr>
            <w:r w:rsidRPr="003D6EE6">
              <w:rPr>
                <w:rFonts w:eastAsia="SimSun" w:cs="Times New Roman"/>
                <w:szCs w:val="20"/>
                <w:lang w:val="en-GB" w:eastAsia="zh-CN"/>
              </w:rPr>
              <w:t>26 October 2022</w:t>
            </w:r>
          </w:p>
          <w:p w14:paraId="47BD67BC" w14:textId="77777777" w:rsidR="003D6EE6" w:rsidRDefault="003D6EE6" w:rsidP="003D6E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254A4AE" w14:textId="75C039BD" w:rsidR="003D6EE6" w:rsidRPr="00B937DF" w:rsidRDefault="003D6EE6" w:rsidP="003D6EE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3D6EE6">
              <w:rPr>
                <w:rFonts w:eastAsia="SimSun" w:cs="Times New Roman"/>
                <w:szCs w:val="20"/>
                <w:lang w:val="en-GB" w:eastAsia="zh-CN"/>
              </w:rPr>
              <w:t>English</w:t>
            </w:r>
          </w:p>
        </w:tc>
      </w:tr>
    </w:tbl>
    <w:p w14:paraId="514FBBD2" w14:textId="77777777" w:rsidR="003D6EE6" w:rsidRPr="003D6EE6" w:rsidRDefault="003D6EE6" w:rsidP="003D6EE6">
      <w:pPr>
        <w:spacing w:before="120"/>
        <w:rPr>
          <w:rFonts w:eastAsia="SimSun" w:cs="Times New Roman"/>
          <w:b/>
          <w:sz w:val="24"/>
          <w:szCs w:val="24"/>
          <w:lang w:eastAsia="zh-CN"/>
        </w:rPr>
      </w:pPr>
      <w:r w:rsidRPr="003D6EE6">
        <w:rPr>
          <w:rFonts w:eastAsia="SimSun" w:cs="Times New Roman"/>
          <w:b/>
          <w:bCs/>
          <w:sz w:val="24"/>
          <w:szCs w:val="24"/>
          <w:lang w:eastAsia="zh-CN"/>
        </w:rPr>
        <w:t>Комитет по правам ребенка</w:t>
      </w:r>
    </w:p>
    <w:p w14:paraId="7AE5453F" w14:textId="51A58F00" w:rsidR="003D6EE6" w:rsidRPr="003D6EE6" w:rsidRDefault="003D6EE6" w:rsidP="003D6EE6">
      <w:pPr>
        <w:pStyle w:val="HCh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Заключительные замечания по объединенным пятому</w:t>
      </w:r>
      <w:r>
        <w:rPr>
          <w:rFonts w:eastAsia="SimSun"/>
        </w:rPr>
        <w:br/>
      </w:r>
      <w:r w:rsidRPr="003D6EE6">
        <w:rPr>
          <w:rFonts w:eastAsia="SimSun"/>
        </w:rPr>
        <w:t>и шестому периодическим докладам Филиппин</w:t>
      </w:r>
      <w:r w:rsidRPr="003D6EE6">
        <w:rPr>
          <w:rFonts w:eastAsia="SimSun"/>
          <w:b w:val="0"/>
          <w:bCs/>
          <w:position w:val="6"/>
          <w:sz w:val="20"/>
        </w:rPr>
        <w:footnoteReference w:customMarkFollows="1" w:id="1"/>
        <w:t>*</w:t>
      </w:r>
    </w:p>
    <w:p w14:paraId="489E798C" w14:textId="192908DA" w:rsidR="003D6EE6" w:rsidRPr="003D6EE6" w:rsidRDefault="003D6EE6" w:rsidP="003D6EE6">
      <w:pPr>
        <w:pStyle w:val="HChG"/>
        <w:rPr>
          <w:rFonts w:eastAsia="SimSun"/>
        </w:rPr>
      </w:pPr>
      <w:r>
        <w:rPr>
          <w:rFonts w:eastAsia="SimSun"/>
        </w:rPr>
        <w:tab/>
      </w:r>
      <w:r w:rsidRPr="003D6EE6">
        <w:rPr>
          <w:rFonts w:eastAsia="SimSun"/>
        </w:rPr>
        <w:t>I.</w:t>
      </w:r>
      <w:r w:rsidRPr="003D6EE6">
        <w:rPr>
          <w:rFonts w:eastAsia="SimSun"/>
        </w:rPr>
        <w:tab/>
        <w:t>Введение</w:t>
      </w:r>
    </w:p>
    <w:p w14:paraId="02A9CCD9" w14:textId="56152CF6" w:rsidR="003D6EE6" w:rsidRPr="0062735D" w:rsidRDefault="003D6EE6" w:rsidP="003D6EE6">
      <w:pPr>
        <w:pStyle w:val="SingleTxtG"/>
        <w:rPr>
          <w:rFonts w:eastAsia="SimSun"/>
          <w:lang w:eastAsia="zh-CN"/>
        </w:rPr>
      </w:pPr>
      <w:r w:rsidRPr="0062735D">
        <w:rPr>
          <w:rFonts w:eastAsia="SimSun"/>
          <w:lang w:eastAsia="zh-CN"/>
        </w:rPr>
        <w:t>1.</w:t>
      </w:r>
      <w:r w:rsidRPr="0062735D">
        <w:rPr>
          <w:rFonts w:eastAsia="SimSun"/>
          <w:lang w:eastAsia="zh-CN"/>
        </w:rPr>
        <w:tab/>
        <w:t>Комитет рассмотрел объединенные пятый и шестой периодические доклады Филиппин</w:t>
      </w:r>
      <w:r w:rsidRPr="0062735D">
        <w:rPr>
          <w:rFonts w:eastAsia="SimSun"/>
          <w:sz w:val="18"/>
          <w:vertAlign w:val="superscript"/>
          <w:lang w:eastAsia="zh-CN"/>
        </w:rPr>
        <w:footnoteReference w:id="2"/>
      </w:r>
      <w:r w:rsidRPr="0062735D">
        <w:rPr>
          <w:rFonts w:eastAsia="SimSun"/>
          <w:lang w:eastAsia="zh-CN"/>
        </w:rPr>
        <w:t xml:space="preserve"> на своих 2652-м и 2653-м заседаниях</w:t>
      </w:r>
      <w:r w:rsidRPr="0062735D">
        <w:rPr>
          <w:rFonts w:eastAsia="SimSun"/>
          <w:sz w:val="18"/>
          <w:vertAlign w:val="superscript"/>
          <w:lang w:eastAsia="zh-CN"/>
        </w:rPr>
        <w:footnoteReference w:id="3"/>
      </w:r>
      <w:r w:rsidR="00C174B9">
        <w:rPr>
          <w:rFonts w:eastAsia="SimSun"/>
          <w:lang w:eastAsia="zh-CN"/>
        </w:rPr>
        <w:t>,</w:t>
      </w:r>
      <w:r w:rsidRPr="0062735D">
        <w:rPr>
          <w:rFonts w:eastAsia="SimSun"/>
          <w:lang w:eastAsia="zh-CN"/>
        </w:rPr>
        <w:t xml:space="preserve"> состоявшихся 13 и 14 сентября</w:t>
      </w:r>
      <w:r w:rsidR="0062735D" w:rsidRPr="0062735D">
        <w:rPr>
          <w:rFonts w:eastAsia="SimSun"/>
          <w:lang w:eastAsia="zh-CN"/>
        </w:rPr>
        <w:br/>
      </w:r>
      <w:r w:rsidRPr="0062735D">
        <w:rPr>
          <w:rFonts w:eastAsia="SimSun"/>
          <w:lang w:eastAsia="zh-CN"/>
        </w:rPr>
        <w:t>2022 года, и принял настоящие заключительные замечания на своем 2668-м заседании, состоявшемся 23 сентября 2022 года.</w:t>
      </w:r>
    </w:p>
    <w:p w14:paraId="47246444" w14:textId="1FAF8025" w:rsidR="003D6EE6" w:rsidRPr="0062735D" w:rsidRDefault="003D6EE6" w:rsidP="003D6EE6">
      <w:pPr>
        <w:pStyle w:val="SingleTxtG"/>
        <w:rPr>
          <w:rFonts w:eastAsia="SimSun"/>
          <w:lang w:eastAsia="zh-CN"/>
        </w:rPr>
      </w:pPr>
      <w:r w:rsidRPr="0062735D">
        <w:rPr>
          <w:rFonts w:eastAsia="SimSun"/>
          <w:lang w:eastAsia="zh-CN"/>
        </w:rPr>
        <w:t>2.</w:t>
      </w:r>
      <w:r w:rsidRPr="0062735D">
        <w:rPr>
          <w:rFonts w:eastAsia="SimSun"/>
          <w:lang w:eastAsia="zh-CN"/>
        </w:rPr>
        <w:tab/>
        <w:t>Комитет приветствует представление пятого и шестого периодических докладов государства-участника и письменных ответов на перечень вопросов</w:t>
      </w:r>
      <w:r w:rsidRPr="0062735D">
        <w:rPr>
          <w:rFonts w:eastAsia="SimSun"/>
          <w:sz w:val="18"/>
          <w:vertAlign w:val="superscript"/>
          <w:lang w:eastAsia="zh-CN"/>
        </w:rPr>
        <w:footnoteReference w:id="4"/>
      </w:r>
      <w:r w:rsidRPr="0062735D">
        <w:rPr>
          <w:rFonts w:eastAsia="SimSun"/>
          <w:lang w:eastAsia="zh-CN"/>
        </w:rP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высокопоставленной и многопрофильной делегацией государства-участника.</w:t>
      </w:r>
    </w:p>
    <w:p w14:paraId="5A2770D3" w14:textId="5C8BC417" w:rsidR="003D6EE6" w:rsidRPr="003D6EE6" w:rsidRDefault="003D6EE6" w:rsidP="003D6EE6">
      <w:pPr>
        <w:pStyle w:val="HChG"/>
        <w:rPr>
          <w:rFonts w:eastAsia="SimSun"/>
        </w:rPr>
      </w:pPr>
      <w:r>
        <w:rPr>
          <w:rFonts w:eastAsia="SimSun"/>
        </w:rPr>
        <w:tab/>
      </w:r>
      <w:r w:rsidRPr="003D6EE6">
        <w:rPr>
          <w:rFonts w:eastAsia="SimSun"/>
        </w:rPr>
        <w:t>II.</w:t>
      </w:r>
      <w:r w:rsidRPr="003D6EE6">
        <w:rPr>
          <w:rFonts w:eastAsia="SimSun"/>
        </w:rPr>
        <w:tab/>
        <w:t>Последующие меры, принятые государством-участником, и достигнутый им прогресс</w:t>
      </w:r>
    </w:p>
    <w:p w14:paraId="3620439E" w14:textId="5E18EE35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3.</w:t>
      </w:r>
      <w:r w:rsidRPr="003D6EE6">
        <w:rPr>
          <w:rFonts w:eastAsia="SimSun" w:cs="Times New Roman"/>
          <w:szCs w:val="20"/>
          <w:lang w:eastAsia="zh-CN"/>
        </w:rPr>
        <w:tab/>
        <w:t>Комитет приветствует присоединение государства-участника к Конвенции о сокращении безгражданства в 2022 году, к Конвенции о гражданско-правовых аспектах международного похищения детей в 2016 году и к Факультативному протоколу к Конвенции против пыток и других жестоких, бесчеловечных или унижающих достоинство видов обращения и наказания в 2012 году, ратификацию</w:t>
      </w:r>
      <w:r w:rsidR="00C174B9">
        <w:rPr>
          <w:rFonts w:eastAsia="SimSun" w:cs="Times New Roman"/>
          <w:szCs w:val="20"/>
          <w:lang w:eastAsia="zh-CN"/>
        </w:rPr>
        <w:br/>
      </w:r>
      <w:r w:rsidRPr="003D6EE6">
        <w:rPr>
          <w:rFonts w:eastAsia="SimSun" w:cs="Times New Roman"/>
          <w:szCs w:val="20"/>
          <w:lang w:eastAsia="zh-CN"/>
        </w:rPr>
        <w:t>им Конвенции о статусе апатридов в 2011 году и принятие им различных законов о защите детей, включая положения, повышающие возраст для статутного изнасилования</w:t>
      </w:r>
      <w:r w:rsidR="00C174B9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szCs w:val="20"/>
          <w:lang w:eastAsia="zh-CN"/>
        </w:rPr>
        <w:t>до 16 лет и запрещающие сексуальную эксплуатацию и надругательства в режиме онлайн, а также расширенный Закон о борьбе с торговлей людьми от 2022 года (Республиканский закон № 11862).</w:t>
      </w:r>
    </w:p>
    <w:p w14:paraId="0ECECCA2" w14:textId="74A94AAF" w:rsidR="003D6EE6" w:rsidRPr="003D6EE6" w:rsidRDefault="003D6EE6" w:rsidP="003D6EE6">
      <w:pPr>
        <w:pStyle w:val="HChG"/>
        <w:rPr>
          <w:rFonts w:eastAsia="SimSun"/>
        </w:rPr>
      </w:pPr>
      <w:r>
        <w:rPr>
          <w:rFonts w:eastAsia="SimSun"/>
        </w:rPr>
        <w:tab/>
      </w:r>
      <w:r w:rsidRPr="003D6EE6">
        <w:rPr>
          <w:rFonts w:eastAsia="SimSun"/>
        </w:rPr>
        <w:t>III.</w:t>
      </w: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Основные проблемы, вызывающие обеспокоенность,</w:t>
      </w:r>
      <w:r>
        <w:rPr>
          <w:rFonts w:eastAsia="SimSun"/>
        </w:rPr>
        <w:br/>
      </w:r>
      <w:r w:rsidRPr="003D6EE6">
        <w:rPr>
          <w:rFonts w:eastAsia="SimSun"/>
        </w:rPr>
        <w:t>и рекомендации</w:t>
      </w:r>
    </w:p>
    <w:p w14:paraId="2E8D1A3A" w14:textId="7EC45106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4.</w:t>
      </w:r>
      <w:r w:rsidRPr="003D6EE6">
        <w:rPr>
          <w:rFonts w:eastAsia="SimSun" w:cs="Times New Roman"/>
          <w:szCs w:val="20"/>
          <w:lang w:eastAsia="zh-CN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</w:t>
      </w:r>
      <w:r w:rsidRPr="003D6EE6">
        <w:rPr>
          <w:rFonts w:eastAsia="SimSun" w:cs="Times New Roman"/>
          <w:szCs w:val="20"/>
          <w:lang w:eastAsia="zh-CN"/>
        </w:rPr>
        <w:lastRenderedPageBreak/>
        <w:t>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срочные меры:</w:t>
      </w:r>
      <w:r w:rsidR="00C174B9">
        <w:rPr>
          <w:rFonts w:eastAsia="SimSun" w:cs="Times New Roman"/>
          <w:szCs w:val="20"/>
          <w:lang w:eastAsia="zh-CN"/>
        </w:rPr>
        <w:br/>
      </w:r>
      <w:r w:rsidRPr="003D6EE6">
        <w:rPr>
          <w:rFonts w:eastAsia="SimSun" w:cs="Times New Roman"/>
          <w:szCs w:val="20"/>
          <w:lang w:eastAsia="zh-CN"/>
        </w:rPr>
        <w:t>право на жизнь, выживание и развитие (п. 17); регистрация рождения,</w:t>
      </w:r>
      <w:r w:rsidR="00C174B9">
        <w:rPr>
          <w:rFonts w:eastAsia="SimSun" w:cs="Times New Roman"/>
          <w:szCs w:val="20"/>
          <w:lang w:eastAsia="zh-CN"/>
        </w:rPr>
        <w:br/>
      </w:r>
      <w:r w:rsidRPr="003D6EE6">
        <w:rPr>
          <w:rFonts w:eastAsia="SimSun" w:cs="Times New Roman"/>
          <w:szCs w:val="20"/>
          <w:lang w:eastAsia="zh-CN"/>
        </w:rPr>
        <w:t>имя и гражданство (п. 20); насилие в отношении детей (п. 23); дети, лишенные семейного окружения (п. 26); дети с инвалидностью (п. 30); и образование (п. 35).</w:t>
      </w:r>
    </w:p>
    <w:p w14:paraId="7633DF76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5.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Он настоятельно призывает государство-участник обеспечить конструктивное участие детей в разработке и реализации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3F109B24" w14:textId="49486D21" w:rsidR="003D6EE6" w:rsidRPr="003D6EE6" w:rsidRDefault="003D6EE6" w:rsidP="003D6EE6">
      <w:pPr>
        <w:pStyle w:val="H1G"/>
        <w:rPr>
          <w:rFonts w:eastAsia="SimSun"/>
        </w:rPr>
      </w:pPr>
      <w:r>
        <w:rPr>
          <w:rFonts w:eastAsia="SimSun"/>
        </w:rPr>
        <w:tab/>
      </w:r>
      <w:r w:rsidRPr="003D6EE6">
        <w:rPr>
          <w:rFonts w:eastAsia="SimSun"/>
        </w:rPr>
        <w:t>A.</w:t>
      </w:r>
      <w:r w:rsidRPr="003D6EE6">
        <w:rPr>
          <w:rFonts w:eastAsia="SimSun"/>
        </w:rPr>
        <w:tab/>
        <w:t>Общие меры по осуществлению (ст. 4, 42 и 44 (6))</w:t>
      </w:r>
    </w:p>
    <w:p w14:paraId="7B1C95DB" w14:textId="77777777" w:rsidR="003D6EE6" w:rsidRPr="003D6EE6" w:rsidRDefault="003D6EE6" w:rsidP="003D6EE6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outlineLvl w:val="3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b/>
          <w:szCs w:val="20"/>
          <w:lang w:eastAsia="zh-CN"/>
        </w:rPr>
        <w:tab/>
      </w:r>
      <w:r w:rsidRPr="003D6EE6">
        <w:rPr>
          <w:rFonts w:eastAsia="SimSun" w:cs="Times New Roman"/>
          <w:b/>
          <w:szCs w:val="20"/>
          <w:lang w:eastAsia="zh-CN"/>
        </w:rPr>
        <w:tab/>
      </w:r>
      <w:r w:rsidRPr="003D6EE6">
        <w:rPr>
          <w:rFonts w:eastAsia="SimSun" w:cs="Times New Roman"/>
          <w:b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Законодательство</w:t>
      </w:r>
    </w:p>
    <w:p w14:paraId="12ADF456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6.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обеспечить эффективное применение Закона о специальной защите детей от жестокого обращения, эксплуатации и дискриминации (Республиканский закон № 7610) и другого законодательства, касающегося детей, и привести свое законодательство в полное соответствие с Конвенцией и факультативными протоколами к ней, в том числе путем ускорения принятия законопроектов о предупреждении подростковой беременности, запрете дискриминации и телесных наказаний и поощрении позитивного воспитания детей.</w:t>
      </w:r>
    </w:p>
    <w:p w14:paraId="368351CC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Комплексная политика и стратегия</w:t>
      </w:r>
    </w:p>
    <w:p w14:paraId="66E5CEAE" w14:textId="1EE6CC6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7.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Комитет, приветствуя принятие третьего Национального плана действий в интересах детей (2017</w:t>
      </w:r>
      <w:r w:rsidR="00C174B9" w:rsidRPr="00C174B9">
        <w:rPr>
          <w:rFonts w:eastAsia="SimSun" w:cs="Times New Roman"/>
          <w:b/>
          <w:bCs/>
          <w:szCs w:val="20"/>
          <w:lang w:eastAsia="zh-CN"/>
        </w:rPr>
        <w:t>‒</w:t>
      </w:r>
      <w:r w:rsidRPr="003D6EE6">
        <w:rPr>
          <w:rFonts w:eastAsia="SimSun" w:cs="Times New Roman"/>
          <w:b/>
          <w:bCs/>
          <w:szCs w:val="20"/>
          <w:lang w:eastAsia="zh-CN"/>
        </w:rPr>
        <w:t>2022 годы) для реализации Национальных стратегических рамок разработки плана в интересах детей (2000</w:t>
      </w:r>
      <w:r w:rsidR="00C174B9" w:rsidRPr="00C174B9">
        <w:rPr>
          <w:rFonts w:eastAsia="SimSun" w:cs="Times New Roman"/>
          <w:b/>
          <w:bCs/>
          <w:szCs w:val="20"/>
          <w:lang w:eastAsia="zh-CN"/>
        </w:rPr>
        <w:t>‒</w:t>
      </w:r>
      <w:r w:rsidRPr="003D6EE6">
        <w:rPr>
          <w:rFonts w:eastAsia="SimSun" w:cs="Times New Roman"/>
          <w:b/>
          <w:bCs/>
          <w:szCs w:val="20"/>
          <w:lang w:eastAsia="zh-CN"/>
        </w:rPr>
        <w:t>2025 годы), рекомендует государству-участнику усилить координацию, мониторинг и оценку Плана, а также выделение ресурсов на его реализацию, чтобы устранить выявленные недостатки и обеспечить его эффективное осуществление на всех уровнях, в том числе на местном уровне, и принять последующий национальный план действий по истечении срока его действия.</w:t>
      </w:r>
    </w:p>
    <w:p w14:paraId="1936E5AB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Координация</w:t>
      </w:r>
    </w:p>
    <w:p w14:paraId="6A159FA5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8.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Комитет, отмечая инициативу по преобразованию Совета по благополучию детей в Филиппинскую комиссию по делам детей при Канцелярии президента, настоятельно призывает государство-участник:</w:t>
      </w:r>
      <w:bookmarkStart w:id="0" w:name="_Hlk117181031"/>
      <w:bookmarkEnd w:id="0"/>
    </w:p>
    <w:p w14:paraId="5A9A6491" w14:textId="11AD204C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наличие у Филиппинской комиссии по делам детей эффективных полномочий, достаточных ресурсов и четкого мандата для координации всей деятельности по выполнению Конвенции;</w:t>
      </w:r>
    </w:p>
    <w:p w14:paraId="7010F088" w14:textId="39BCBE6E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решить проблему дублирования мандатов межведомственных советов;</w:t>
      </w:r>
    </w:p>
    <w:p w14:paraId="54E873C9" w14:textId="5B136240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охват и действенную работу местных и региональных советов и подкомитетов по защите детей.</w:t>
      </w:r>
    </w:p>
    <w:p w14:paraId="74AED2E3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Распределение ресурсов</w:t>
      </w:r>
    </w:p>
    <w:p w14:paraId="71DD4BBE" w14:textId="30CAE642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9.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Отмечая увеличение бюджетных ассигнований, связанных с детьми,</w:t>
      </w:r>
      <w:r w:rsidR="00C174B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и создание системы бюджетного учета для детей, Комитет напоминает о своем </w:t>
      </w:r>
      <w:r w:rsidRPr="003D6EE6">
        <w:rPr>
          <w:rFonts w:eastAsia="SimSun" w:cs="Times New Roman"/>
          <w:b/>
          <w:bCs/>
          <w:szCs w:val="20"/>
          <w:lang w:eastAsia="zh-CN"/>
        </w:rPr>
        <w:lastRenderedPageBreak/>
        <w:t>замечании общего порядка № 19 (2016) и настоятельно призывает государство-участник:</w:t>
      </w:r>
    </w:p>
    <w:p w14:paraId="51AFACD6" w14:textId="7A8F5CE2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a</w:t>
      </w:r>
      <w:r w:rsidRPr="003D6EE6">
        <w:rPr>
          <w:rFonts w:eastAsia="SimSun" w:cs="Times New Roman"/>
          <w:szCs w:val="20"/>
          <w:lang w:eastAsia="zh-CN"/>
        </w:rPr>
        <w:t>)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добиться учета прав ребенка при составлении бюджета путем обеспечения прозрачных и партисипативных процессов составления бюджета, доступных для детей и всех заинтересованных сторон, создания системы отслеживания для оценки распределения ресурсов и обеспечения защиты таких бюджетов во время кризиса, стихийных бедствий или национальных чрезвычайных ситуаций;</w:t>
      </w:r>
    </w:p>
    <w:p w14:paraId="5B866E79" w14:textId="22DF62EB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b</w:t>
      </w:r>
      <w:r w:rsidRPr="003D6EE6">
        <w:rPr>
          <w:rFonts w:eastAsia="SimSun" w:cs="Times New Roman"/>
          <w:szCs w:val="20"/>
          <w:lang w:eastAsia="zh-CN"/>
        </w:rPr>
        <w:t>)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активизировать усилия по борьбе с коррупцией на всех уровнях, в том числе путем восстановления и обеспечения ресурсами независимого антикоррупционного механизма.</w:t>
      </w:r>
    </w:p>
    <w:p w14:paraId="4F4904E7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Сбор данных</w:t>
      </w:r>
    </w:p>
    <w:p w14:paraId="3F4DEFCE" w14:textId="2EDBCE81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10.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Комитет, приветствуя разработку согласованной системы мониторинга и оценки осуществления Конвенции, рекомендует государству-участнику расширить свою систему сбора и анализа данных и сделать ее общедоступной, чтобы включить дезагрегированные данные о детях с особыми потребностями в защите, включая девочек, детей с ВИЧ, детей, принадлежащих к группам коренных народов, детей с инвалидностью, детей, находящихся в системе альтернативного ухода, беспризорных детей, жертв детского труда, детей, пострадавших от стихийных бедствий, изменения климата и вооруженных конфликтов, детей, находящихся в конфликте с законом, и детей </w:t>
      </w:r>
      <w:r w:rsidR="00C174B9" w:rsidRPr="00C174B9">
        <w:rPr>
          <w:rFonts w:eastAsia="SimSun" w:cs="Times New Roman"/>
          <w:b/>
          <w:bCs/>
          <w:szCs w:val="20"/>
          <w:lang w:eastAsia="zh-CN"/>
        </w:rPr>
        <w:t>‒‒</w:t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 жертв насилия.</w:t>
      </w:r>
    </w:p>
    <w:p w14:paraId="2BF57C2B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Независимый мониторинг</w:t>
      </w:r>
    </w:p>
    <w:p w14:paraId="03A9384B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11.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призывает государство-участник оперативно принять устав Комиссии по правам человека Филиппин и выделить надлежащие людские и финансовые ресурсы ее Центру по правам ребенка, чтобы он мог эффективно выполнять свой мандат.</w:t>
      </w:r>
    </w:p>
    <w:p w14:paraId="0DE15158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Сотрудничество с гражданским обществом</w:t>
      </w:r>
    </w:p>
    <w:p w14:paraId="17FA4402" w14:textId="2BF550A0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12.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далее укреплять участие неправительственных организаций, групп по защите прав детей и детей- правозащитников в решении вопросов, связанных с правами детей, в том числе на местном уровне, и в разработке, мониторинге и оценке законов, политики и программ, касающихся детей, а также отчетности перед Комитетом,</w:t>
      </w:r>
      <w:r w:rsidR="00C174B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и соответствующим образом пересмотреть свою политику и нормативные акты.</w:t>
      </w:r>
    </w:p>
    <w:p w14:paraId="770FCC8D" w14:textId="6B54591E" w:rsidR="003D6EE6" w:rsidRPr="003D6EE6" w:rsidRDefault="003D6EE6" w:rsidP="003D6EE6">
      <w:pPr>
        <w:pStyle w:val="H1G"/>
        <w:rPr>
          <w:rFonts w:eastAsia="SimSun"/>
        </w:rPr>
      </w:pPr>
      <w:r>
        <w:rPr>
          <w:rFonts w:eastAsia="SimSun"/>
        </w:rPr>
        <w:tab/>
      </w:r>
      <w:r w:rsidRPr="003D6EE6">
        <w:rPr>
          <w:rFonts w:eastAsia="SimSun"/>
        </w:rPr>
        <w:t>B.</w:t>
      </w:r>
      <w:r w:rsidRPr="003D6EE6">
        <w:rPr>
          <w:rFonts w:eastAsia="SimSun"/>
        </w:rPr>
        <w:tab/>
        <w:t>Определение понятия «ребенок» (ст. 1)</w:t>
      </w:r>
    </w:p>
    <w:p w14:paraId="34273688" w14:textId="3D8D980B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13.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Комитет, приветствуя принятие Республиканского закона № 11596</w:t>
      </w:r>
      <w:r w:rsidR="00C174B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от 2021 года, запрещающего поощрение и торжественное оформление детских браков и сожительство с ребенком, настоятельно призывает государство-участник обеспечить выполнение и мониторинг этого закона на всей территории страны, в том числе в мусульманских общинах и общинах коренных народов.</w:t>
      </w:r>
    </w:p>
    <w:p w14:paraId="5F63DC3E" w14:textId="4CE09E71" w:rsidR="003D6EE6" w:rsidRPr="003D6EE6" w:rsidRDefault="003D6EE6" w:rsidP="003D6EE6">
      <w:pPr>
        <w:pStyle w:val="H1G"/>
        <w:rPr>
          <w:rFonts w:eastAsia="SimSun"/>
        </w:rPr>
      </w:pPr>
      <w:r>
        <w:rPr>
          <w:rFonts w:eastAsia="SimSun"/>
        </w:rPr>
        <w:tab/>
      </w:r>
      <w:r w:rsidRPr="003D6EE6">
        <w:rPr>
          <w:rFonts w:eastAsia="SimSun"/>
        </w:rPr>
        <w:t>C.</w:t>
      </w:r>
      <w:r w:rsidRPr="003D6EE6">
        <w:rPr>
          <w:rFonts w:eastAsia="SimSun"/>
        </w:rPr>
        <w:tab/>
        <w:t>Общие принципы (ст. 2, 3, 6 и 12)</w:t>
      </w:r>
    </w:p>
    <w:p w14:paraId="15051263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Недискриминация</w:t>
      </w:r>
    </w:p>
    <w:p w14:paraId="7E9F2DF6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14.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Отмечая программу по разнообразию и инклюзии и работу специального межведомственного комитета, Комитет рекомендует государству-участнику:</w:t>
      </w:r>
    </w:p>
    <w:p w14:paraId="3BB339F1" w14:textId="2976B1E4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a</w:t>
      </w:r>
      <w:r w:rsidRPr="003D6EE6">
        <w:rPr>
          <w:rFonts w:eastAsia="SimSun" w:cs="Times New Roman"/>
          <w:szCs w:val="20"/>
          <w:lang w:eastAsia="zh-CN"/>
        </w:rPr>
        <w:t>)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укрепить</w:t>
      </w:r>
      <w:r>
        <w:rPr>
          <w:rFonts w:eastAsia="SimSun" w:cs="Times New Roman"/>
          <w:b/>
          <w:bCs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усилия по борьбе с дискриминационным отношением и обеспечить доступ к здравоохранению, образованию и базовым услугам для девочек, детей, живущих в бедности, детей, рожденных от неженатых пар, </w:t>
      </w:r>
      <w:r w:rsidRPr="003D6EE6">
        <w:rPr>
          <w:rFonts w:eastAsia="SimSun" w:cs="Times New Roman"/>
          <w:b/>
          <w:bCs/>
          <w:szCs w:val="20"/>
          <w:lang w:eastAsia="zh-CN"/>
        </w:rPr>
        <w:lastRenderedPageBreak/>
        <w:t>беспризорных детей, лесбиянок, геев, бисексуалов и трансгендеров, детей, принадлежащих к группам коренных народов, детей, живущих в сельских районах и районах, затронутых конфликтами, детей, находящихся в конфликте с законом, и других детей, находящихся в уязвимом положении;</w:t>
      </w:r>
    </w:p>
    <w:p w14:paraId="65C2AAE4" w14:textId="6E77752E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расследование и судебное преследование по факту всех случаев дискриминации в отношении детей, а также привлечение к ответственности виновных, включая, в соответствующих случаях, школьный персонал.</w:t>
      </w:r>
    </w:p>
    <w:p w14:paraId="7822CC95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Наилучшие интересы ребенка</w:t>
      </w:r>
    </w:p>
    <w:p w14:paraId="6A0F7593" w14:textId="5BFB6698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15.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14</w:t>
      </w:r>
      <w:r w:rsidR="00C174B9">
        <w:rPr>
          <w:rFonts w:eastAsia="SimSun" w:cs="Times New Roman"/>
          <w:b/>
          <w:bCs/>
          <w:szCs w:val="20"/>
          <w:lang w:eastAsia="zh-CN"/>
        </w:rPr>
        <w:t> </w:t>
      </w:r>
      <w:r w:rsidRPr="003D6EE6">
        <w:rPr>
          <w:rFonts w:eastAsia="SimSun" w:cs="Times New Roman"/>
          <w:b/>
          <w:bCs/>
          <w:szCs w:val="20"/>
          <w:lang w:eastAsia="zh-CN"/>
        </w:rPr>
        <w:t>(2013), Комитет рекомендует государству-участнику:</w:t>
      </w:r>
    </w:p>
    <w:p w14:paraId="6E1E7592" w14:textId="569BAD8F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продолжать последовательно толковать и применять право ребенка на уделение первоочередного внимания наилучшему обеспечению его интересов в административной и судебной практике, решениях, стратегиях, программах и проектах, имеющих отношение к детям;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219154D5" w14:textId="63621AD6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продолжать разрабатывать и внедрить процедуры и критерии и обеспечить систематическую подготовку и предоставление руководящих указаний для всех соответствующих специалистов по оценке и определению наилучших интересов ребенка в каждой из охватываемых Конвенцией областей и по уделению этому принципу должного внимания как первоочередному соображению.</w:t>
      </w:r>
    </w:p>
    <w:p w14:paraId="5F702D58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Право на жизнь, выживание и развитие</w:t>
      </w:r>
    </w:p>
    <w:p w14:paraId="6D886B1F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16.</w:t>
      </w:r>
      <w:r w:rsidRPr="003D6EE6">
        <w:rPr>
          <w:rFonts w:eastAsia="SimSun" w:cs="Times New Roman"/>
          <w:szCs w:val="20"/>
          <w:lang w:eastAsia="zh-CN"/>
        </w:rPr>
        <w:tab/>
        <w:t>Глубокую обеспокоенность Комитета по-прежнему вызывают:</w:t>
      </w:r>
    </w:p>
    <w:p w14:paraId="25828285" w14:textId="602EF9B8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a)</w:t>
      </w:r>
      <w:r w:rsidR="003D6EE6" w:rsidRPr="003D6EE6">
        <w:rPr>
          <w:rFonts w:eastAsia="SimSun" w:cs="Times New Roman"/>
          <w:szCs w:val="20"/>
          <w:lang w:eastAsia="zh-CN"/>
        </w:rPr>
        <w:tab/>
        <w:t>грубые нарушения в отношении детей, такие как убийства и нанесение увечий, вербовка и использование детей вооруженными силами и вооруженными группами, сексуальное насилие в отношении детей, задержание детей и нападения на школы и больницы в районах, затронутых конфликтом, особенно в Минданао;</w:t>
      </w:r>
    </w:p>
    <w:p w14:paraId="1AD5DE58" w14:textId="66696525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b)</w:t>
      </w:r>
      <w:r w:rsidR="003D6EE6" w:rsidRPr="003D6EE6">
        <w:rPr>
          <w:rFonts w:eastAsia="SimSun" w:cs="Times New Roman"/>
          <w:szCs w:val="20"/>
          <w:lang w:eastAsia="zh-CN"/>
        </w:rPr>
        <w:tab/>
        <w:t>большое количество внесудебных казней и другие негативные последствия для детей кампании против незаконных наркотиков с 2016 года,</w:t>
      </w:r>
      <w:r>
        <w:rPr>
          <w:rFonts w:eastAsia="SimSun" w:cs="Times New Roman"/>
          <w:szCs w:val="20"/>
          <w:lang w:eastAsia="zh-CN"/>
        </w:rPr>
        <w:br/>
      </w:r>
      <w:r w:rsidR="003D6EE6" w:rsidRPr="003D6EE6">
        <w:rPr>
          <w:rFonts w:eastAsia="SimSun" w:cs="Times New Roman"/>
          <w:szCs w:val="20"/>
          <w:lang w:eastAsia="zh-CN"/>
        </w:rPr>
        <w:t>в частности потеря родителей, бедность, психологические травмы, увеличение отсева из школ, дискриминация и издевательства, в свете отсутствия ответственности и помощи детям-жертвам и свидетелям;</w:t>
      </w:r>
    </w:p>
    <w:p w14:paraId="19BF8806" w14:textId="745A1DFF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c)</w:t>
      </w:r>
      <w:r w:rsidR="003D6EE6" w:rsidRPr="003D6EE6">
        <w:rPr>
          <w:rFonts w:eastAsia="SimSun" w:cs="Times New Roman"/>
          <w:szCs w:val="20"/>
          <w:lang w:eastAsia="zh-CN"/>
        </w:rPr>
        <w:tab/>
        <w:t>бедность, которая затрагивает большое количество детей, особенно в Минданао.</w:t>
      </w:r>
    </w:p>
    <w:p w14:paraId="63D20E8B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17.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0C84C576" w14:textId="22D48861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защиту права детей на жизнь, выживание и развитие путем, в частности, принятия всех необходимых мер для предотвращения серьезных нарушений в отношении детей, поощрения сообщений, особенно со стороны жертв, тщательного расследования таких сообщений, привлечения виновных к ответственности, обеспечения того, чтобы вооруженные силы и силы безопасности полностью соблюдали права детей, и укрепления потенциала социальных работников и других субъектов для оказания поддержки и услуг детям-жертвам;</w:t>
      </w:r>
    </w:p>
    <w:p w14:paraId="5C9806F9" w14:textId="0E670FC4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оказывать специализированную помощь детям-жертвам и свидетелям в контексте кампании против незаконных наркотиков, включая медицинское обслуживание, психологическую поддержку, восстановление и интеграцию, адекватную поддержку семьи и доходов, а также помещение под опеку, предпочтительно семейную, в случае потери родителей;</w:t>
      </w:r>
    </w:p>
    <w:p w14:paraId="4F5066C2" w14:textId="4E80B13A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 xml:space="preserve">поддерживать непрерывное обучение и возвращение детей в школу, а также бороться с издевательствами и дискриминацией, в том числе путем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lastRenderedPageBreak/>
        <w:t>проведения кампаний по повышению осведомленности о последствиях кампании по противодействию наркотикам;</w:t>
      </w:r>
    </w:p>
    <w:p w14:paraId="5A82F452" w14:textId="3A1BDC8E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разработать и реализовать стратегию сокращения бедности и план действий в интересах детей при их участии и обеспечить, чтобы дети и их семьи, живущие в бедности, получали адекватную финансовую поддержку и бесплатные, доступные услуги без дискриминации.</w:t>
      </w:r>
    </w:p>
    <w:p w14:paraId="6CE3D171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Уважение взглядов ребенка</w:t>
      </w:r>
    </w:p>
    <w:p w14:paraId="7AE6CC37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18.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создание института аудита местного управления, дружественного к ребенку, Комитет рекомендует государству-участнику:</w:t>
      </w:r>
    </w:p>
    <w:p w14:paraId="0335570A" w14:textId="3F69ADB3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эффективную реализацию Национальных рамок участия детей, поощрять и облегчать конструктивное участие всех детей в жизни семьи, общин и школ, в том числе в Санггунианг Кабатаан (местные молодежные советы), а также в судебных, административных и других процедурах и решении экологических вопросов;</w:t>
      </w:r>
    </w:p>
    <w:p w14:paraId="3058D441" w14:textId="543983FF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3"/>
        <w:jc w:val="both"/>
        <w:rPr>
          <w:rFonts w:eastAsia="SimSun" w:cs="Times New Roman"/>
          <w:b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чтобы Антитеррористический закон 2020 года (Республиканский закон № 11479) не использовался для подавления права на свободу выражения мнений и собраний.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5AD38F3D" w14:textId="6BD269DE" w:rsidR="003D6EE6" w:rsidRPr="003D6EE6" w:rsidRDefault="00C174B9" w:rsidP="00C174B9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D.</w:t>
      </w:r>
      <w:r w:rsidR="003D6EE6" w:rsidRPr="003D6EE6">
        <w:rPr>
          <w:rFonts w:eastAsia="SimSun"/>
        </w:rPr>
        <w:tab/>
        <w:t>Гражданские права и свободы (ст. 7–8 и 13–17)</w:t>
      </w:r>
    </w:p>
    <w:p w14:paraId="012B0EE6" w14:textId="77777777" w:rsidR="003D6EE6" w:rsidRPr="003D6EE6" w:rsidRDefault="003D6EE6" w:rsidP="00C174B9">
      <w:pPr>
        <w:pStyle w:val="H23G"/>
        <w:rPr>
          <w:rFonts w:eastAsia="SimSun"/>
          <w:i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Регистрация рождения, имя и гражданство</w:t>
      </w:r>
    </w:p>
    <w:p w14:paraId="6BE74B12" w14:textId="149CCAAA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19.</w:t>
      </w:r>
      <w:r w:rsidRPr="003D6EE6">
        <w:rPr>
          <w:rFonts w:eastAsia="SimSun" w:cs="Times New Roman"/>
          <w:szCs w:val="20"/>
          <w:lang w:eastAsia="zh-CN"/>
        </w:rPr>
        <w:tab/>
        <w:t>Комитет приветствует начало реализации Национального плана действий по ликвидации безгражданства (2017</w:t>
      </w:r>
      <w:r w:rsidR="00C174B9" w:rsidRPr="00C174B9">
        <w:rPr>
          <w:rFonts w:eastAsia="SimSun" w:cs="Times New Roman"/>
          <w:szCs w:val="20"/>
          <w:lang w:eastAsia="zh-CN"/>
        </w:rPr>
        <w:t>‒</w:t>
      </w:r>
      <w:r w:rsidRPr="003D6EE6">
        <w:rPr>
          <w:rFonts w:eastAsia="SimSun" w:cs="Times New Roman"/>
          <w:szCs w:val="20"/>
          <w:lang w:eastAsia="zh-CN"/>
        </w:rPr>
        <w:t>2024 годы), принятие в 2012 году Правил, устанавливающих процедуру определения статуса беженцев и лиц без гражданства,</w:t>
      </w:r>
      <w:r w:rsidR="00C174B9">
        <w:rPr>
          <w:rFonts w:eastAsia="SimSun" w:cs="Times New Roman"/>
          <w:szCs w:val="20"/>
          <w:lang w:eastAsia="zh-CN"/>
        </w:rPr>
        <w:br/>
      </w:r>
      <w:r w:rsidRPr="003D6EE6">
        <w:rPr>
          <w:rFonts w:eastAsia="SimSun" w:cs="Times New Roman"/>
          <w:szCs w:val="20"/>
          <w:lang w:eastAsia="zh-CN"/>
        </w:rPr>
        <w:t>и утверждение Верховным судом 15 февраля 2022 года Правила упрощенной натурализации беженцев и лиц без гражданства (AM № 21-07-22). Однако Комитет серьезно обеспокоен тем, что большое количество детей, особенно мусульманских детей, детей, принадлежащих к группам коренных народов, детей индонезийского и японского происхождения и филиппинских детей зарубежных рабочих-мигрантов, остаются незарегистрированными, что может привести к безгражданству и лишению права на имя и гражданство и доступа к основным услугам.</w:t>
      </w:r>
    </w:p>
    <w:p w14:paraId="2337D040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20.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2F3CFD0B" w14:textId="5E178FD5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 кратчайшие сроки создать эффективную, доступную и бесплатную систему регистрации рождений и механизм поощрения и обеспечения поздней регистрации без взимания платы, уделяя особое внимание детям в уязвимых ситуациях;</w:t>
      </w:r>
    </w:p>
    <w:p w14:paraId="51C46803" w14:textId="48F5C16F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выдачу свидетельств о рождении и доступ к основным услугам;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76D70CD5" w14:textId="170A9E1D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сбор и анализ данных о детях, которым грозит безгражданство, и обеспечить доступ к услугам первой необходимости;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33144E1A" w14:textId="0D606966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защиту от безгражданства, в том числе путем принятия законопроекта о регистрации актов гражданского состояния и статистике естественного движения населения и сенатского законопроекта № 379 о защите беженцев и лиц без гражданства, а также путем реализации Национального плана действий по ликвидации безгражданства.</w:t>
      </w:r>
    </w:p>
    <w:p w14:paraId="2D0505B3" w14:textId="31D33A8B" w:rsidR="003D6EE6" w:rsidRPr="003D6EE6" w:rsidRDefault="00C174B9" w:rsidP="00C174B9">
      <w:pPr>
        <w:pStyle w:val="H1G"/>
        <w:rPr>
          <w:rFonts w:eastAsia="SimSun"/>
        </w:rPr>
      </w:pPr>
      <w:r>
        <w:rPr>
          <w:rFonts w:eastAsia="SimSun"/>
        </w:rPr>
        <w:lastRenderedPageBreak/>
        <w:tab/>
      </w:r>
      <w:r w:rsidR="003D6EE6" w:rsidRPr="003D6EE6">
        <w:rPr>
          <w:rFonts w:eastAsia="SimSun"/>
        </w:rPr>
        <w:t>E.</w:t>
      </w:r>
      <w:r w:rsidR="003D6EE6" w:rsidRPr="003D6EE6">
        <w:rPr>
          <w:rFonts w:eastAsia="SimSun"/>
        </w:rPr>
        <w:tab/>
        <w:t>Насилие в отношении детей (ст. 19, 24 (3), 28 (2), 34, 37 a) и 39)</w:t>
      </w:r>
    </w:p>
    <w:p w14:paraId="34B87E18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Пытки и другие жестокие, бесчеловечные или унижающие достоинство виды обращения и наказания</w:t>
      </w:r>
    </w:p>
    <w:p w14:paraId="24CA1EEF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21.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принятие Закона о борьбе с пытками 2009 года (Республиканский закон № 9745) и Закона о борьбе с насильственными или недобровольными исчезновениями 2012 года (Республиканский закон № 10353), а также создание межведомственного комитета, которому поручено расследование, судебное преследование и представление информации по факту таких случаев, Комитет по-прежнему обеспокоен отсутствием данных о случаях пыток и других жестоких, бесчеловечных или унижающих достоинство видов обращения с детьми.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791183D9" w14:textId="6773B2D3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соблюдение запрета пыток и обеспечить, чтобы заявления о пытках и другом жестоком, бесчеловечном или унижающем достоинство обращении или наказании детей должным образом расследовались, чтобы виновные были наказаны соразмерно тяжести их деяний и чтобы дети- жертвы получали адекватные средства правовой защиты и поддержку;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2FFC118C" w14:textId="5CA03CF1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чтобы дети имели доступ к конфиденциальным и дружественным к ребенку механизмам подачи жалоб для сообщения о всех таких случаях в детских центрах содержания под стражей, учреждениях альтернативного ухода и учреждениях для детей, ищущих убежище, беженцев и мигрантов;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7439E91E" w14:textId="0A4EBFCC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создание национального превентивного механизма и его способность контролировать все учреждения, где содержатся дети, а также предоставить ему достаточные людские, технические и финансовые ресурсы.</w:t>
      </w:r>
    </w:p>
    <w:p w14:paraId="6CB12C1E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Насилие в отношении детей</w:t>
      </w:r>
    </w:p>
    <w:p w14:paraId="63F65D6D" w14:textId="3EDC6E74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22.</w:t>
      </w:r>
      <w:r w:rsidRPr="003D6EE6">
        <w:rPr>
          <w:rFonts w:eastAsia="SimSun" w:cs="Times New Roman"/>
          <w:szCs w:val="20"/>
          <w:lang w:eastAsia="zh-CN"/>
        </w:rPr>
        <w:tab/>
        <w:t>Комитет отмечает принятие Закона о борьбе с издевательствами 2013 года (Республиканский закон № 10627), Республиканского закона № 11930, запрещающего сексуальное насилие или эксплуатацию детей в режиме онлайн, Филиппинского плана действий по прекращению насилия в отношении детей (2017</w:t>
      </w:r>
      <w:r w:rsidR="00C174B9" w:rsidRPr="00C174B9">
        <w:rPr>
          <w:rFonts w:eastAsia="SimSun" w:cs="Times New Roman"/>
          <w:szCs w:val="20"/>
          <w:lang w:eastAsia="zh-CN"/>
        </w:rPr>
        <w:t>‒</w:t>
      </w:r>
      <w:r w:rsidRPr="003D6EE6">
        <w:rPr>
          <w:rFonts w:eastAsia="SimSun" w:cs="Times New Roman"/>
          <w:szCs w:val="20"/>
          <w:lang w:eastAsia="zh-CN"/>
        </w:rPr>
        <w:t>2022 годы), Политики защиты детей в режиме онлайн Департамента информационно-коммуникационных технологий и Политики защиты детей (Приказ Департамента образования № 40,</w:t>
      </w:r>
      <w:r w:rsidR="00C174B9">
        <w:rPr>
          <w:rFonts w:eastAsia="SimSun" w:cs="Times New Roman"/>
          <w:szCs w:val="20"/>
          <w:lang w:eastAsia="zh-CN"/>
        </w:rPr>
        <w:br/>
      </w:r>
      <w:r w:rsidRPr="003D6EE6">
        <w:rPr>
          <w:rFonts w:eastAsia="SimSun" w:cs="Times New Roman"/>
          <w:szCs w:val="20"/>
          <w:lang w:eastAsia="zh-CN"/>
        </w:rPr>
        <w:t>с. 2012), направленных на мониторинг и смягчение случаев насилия в отношении детей, а также других мер, принятых в этой связи. Вместе с тем обеспокоенность Комитета вызывают:</w:t>
      </w:r>
    </w:p>
    <w:p w14:paraId="7D6B1967" w14:textId="29861E80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szCs w:val="20"/>
          <w:lang w:eastAsia="zh-CN"/>
        </w:rPr>
        <w:t>a)</w:t>
      </w:r>
      <w:r w:rsidRPr="003D6EE6">
        <w:rPr>
          <w:rFonts w:eastAsia="SimSun" w:cs="Times New Roman"/>
          <w:szCs w:val="20"/>
          <w:lang w:eastAsia="zh-CN"/>
        </w:rPr>
        <w:tab/>
        <w:t>высокая распространенность всех форм насилия в отношении детей, включая телесные наказания, издевательства и жестокое обращение в школах, домашнее и сексуальное насилие и эксплуатацию, особенно онлайн;</w:t>
      </w:r>
    </w:p>
    <w:p w14:paraId="10BA7976" w14:textId="194CDD7C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szCs w:val="20"/>
          <w:lang w:eastAsia="zh-CN"/>
        </w:rPr>
        <w:t>b)</w:t>
      </w:r>
      <w:r w:rsidRPr="003D6EE6">
        <w:rPr>
          <w:rFonts w:eastAsia="SimSun" w:cs="Times New Roman"/>
          <w:szCs w:val="20"/>
          <w:lang w:eastAsia="zh-CN"/>
        </w:rPr>
        <w:tab/>
        <w:t>рост сексуального насилия и эксплуатации детей онлайн, особенно в контексте пандемии коронавирусного заболевания (COVID-19), и отсутствие усилий по борьбе с этим явлением;</w:t>
      </w:r>
    </w:p>
    <w:p w14:paraId="5CD24CDA" w14:textId="166B4DBF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szCs w:val="20"/>
          <w:lang w:eastAsia="zh-CN"/>
        </w:rPr>
        <w:t>c)</w:t>
      </w:r>
      <w:r w:rsidRPr="003D6EE6">
        <w:rPr>
          <w:rFonts w:eastAsia="SimSun" w:cs="Times New Roman"/>
          <w:szCs w:val="20"/>
          <w:lang w:eastAsia="zh-CN"/>
        </w:rPr>
        <w:tab/>
        <w:t xml:space="preserve">невозможность запретить все формы насилия в отношении детей, включая телесные наказания; </w:t>
      </w:r>
    </w:p>
    <w:p w14:paraId="0ADB2EC0" w14:textId="34D98E60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szCs w:val="20"/>
          <w:lang w:eastAsia="zh-CN"/>
        </w:rPr>
        <w:t>d)</w:t>
      </w:r>
      <w:r w:rsidRPr="003D6EE6">
        <w:rPr>
          <w:rFonts w:eastAsia="SimSun" w:cs="Times New Roman"/>
          <w:szCs w:val="20"/>
          <w:lang w:eastAsia="zh-CN"/>
        </w:rPr>
        <w:tab/>
        <w:t>отсутствие реализации, мониторинга и оценки Филиппинского плана действий по прекращению насилия в отношении детей;</w:t>
      </w:r>
    </w:p>
    <w:p w14:paraId="159D3047" w14:textId="640A25B3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szCs w:val="20"/>
          <w:lang w:eastAsia="zh-CN"/>
        </w:rPr>
        <w:t>e)</w:t>
      </w:r>
      <w:r w:rsidRPr="003D6EE6">
        <w:rPr>
          <w:rFonts w:eastAsia="SimSun" w:cs="Times New Roman"/>
          <w:szCs w:val="20"/>
          <w:lang w:eastAsia="zh-CN"/>
        </w:rPr>
        <w:tab/>
        <w:t xml:space="preserve">небольшая доля случаев сексуальной эксплуатации детей и сексуальных надругательств над ними, которые повлекли за собой сообщение о них, вмешательство в них, их расследование и уголовное преследование и осуждение за них; </w:t>
      </w:r>
    </w:p>
    <w:p w14:paraId="4A51D3EE" w14:textId="1937D8C9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szCs w:val="20"/>
          <w:lang w:eastAsia="zh-CN"/>
        </w:rPr>
        <w:t>f)</w:t>
      </w:r>
      <w:r w:rsidRPr="003D6EE6">
        <w:rPr>
          <w:rFonts w:eastAsia="SimSun" w:cs="Times New Roman"/>
          <w:szCs w:val="20"/>
          <w:lang w:eastAsia="zh-CN"/>
        </w:rPr>
        <w:tab/>
        <w:t>отсутствие расследования случаев предполагаемого сексуального насилия над детьми со стороны военнослужащих из Филиппин в миссиях Организации Объединенных Наций;</w:t>
      </w:r>
    </w:p>
    <w:p w14:paraId="403C3DE2" w14:textId="0E845DAE" w:rsidR="003D6EE6" w:rsidRPr="003D6EE6" w:rsidRDefault="003D6EE6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lastRenderedPageBreak/>
        <w:tab/>
      </w:r>
      <w:r w:rsidRPr="003D6EE6">
        <w:rPr>
          <w:rFonts w:eastAsia="SimSun" w:cs="Times New Roman"/>
          <w:szCs w:val="20"/>
          <w:lang w:eastAsia="zh-CN"/>
        </w:rPr>
        <w:t>g)</w:t>
      </w:r>
      <w:r w:rsidRPr="003D6EE6">
        <w:rPr>
          <w:rFonts w:eastAsia="SimSun" w:cs="Times New Roman"/>
          <w:szCs w:val="20"/>
          <w:lang w:eastAsia="zh-CN"/>
        </w:rPr>
        <w:tab/>
        <w:t>отсутствие специализированных услуг и доступа к школам и внешкольным занятиям для детей, ставших жертвами жестокого обращения.</w:t>
      </w:r>
    </w:p>
    <w:p w14:paraId="621EDA92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23.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Ссылаясь на свои замечания общего порядка № 8 (2006) и № 13 (2011), Комитет настоятельно призывает государство-участник:</w:t>
      </w:r>
    </w:p>
    <w:p w14:paraId="54B3FA37" w14:textId="070A9AB4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разработать всеобъемлющую стратегию предупреждения и пресечения всех форм насилия в отношении детей;</w:t>
      </w:r>
    </w:p>
    <w:p w14:paraId="1792EE65" w14:textId="03F46724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принять, осуществлять и контролировать законодательство с целью запрета всех форм насилия в отношении детей, включая законопроект № 682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 запрете телесных наказаний;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поощрять позитивные, ненасильственные и основанные на участии детей формы воспитания и поддержания дисциплины,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 том числе с помощью кампаний по повышению осведомленности;</w:t>
      </w:r>
    </w:p>
    <w:p w14:paraId="7AD04712" w14:textId="1FF31BFE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в том числе путем выделения достаточных людских, финансовых и технических ресурсов, чтобы Филиппинский план действий по прекращению насилия в отношении детей и план последующих действий по его реализации осуществлялись во всех частях страны и регулярно и систематически контролировались и оценивались;</w:t>
      </w:r>
    </w:p>
    <w:p w14:paraId="23436817" w14:textId="78BCAA63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создать механизмы, процедуры и руководящие принципы, включая межведомственную и дружественную к ребенку инфраструктуру,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для обеспечения и поощрения обязательного информирования и межведомственного вмешательства во всех случаях насилия, сексуальной эксплуатации и злоупотреблений в отношении детей, а также усилить подготовку учителей и медицинских работников для предотвращения, выявления и устранения различных форм насилия и злоупотреблений, выявления и направления в соответствующие службы жертв;</w:t>
      </w:r>
    </w:p>
    <w:p w14:paraId="6BFCF938" w14:textId="06739665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детям доступ к конфиденциальным и удобным для детей механизмам подачи жалоб, включая «телефоны доверия», для сообщения обо всех формах насилия и жестокого обращения и поощрять детей к их использованию;</w:t>
      </w:r>
    </w:p>
    <w:p w14:paraId="62F1C264" w14:textId="1B5D6780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чтобы по факту всех случаев насилия в отношении детей оперативно проводились расследования и преследование в судебном порядке с применением дружественного к ребенку и многосекторального подхода, а также чтобы показания детей без промедления записывались аудиовизуально и допускались в качестве доказательств в ходе судебных разбирательств;</w:t>
      </w:r>
    </w:p>
    <w:p w14:paraId="6FBB69A4" w14:textId="695865ED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g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осуществлять расследование и судебное преследование по факту случаев сексуального насилия над детьми со стороны военнослужащих из Филиппин, участвовавших в работе Миссии Организации Объединенных Наций в Либерии и Миссии Организации Объединенных Наций по стабилизации в Гаити, привлечение виновных к ответственности и рассмотрение исков об установлении отцовства и взыскании алиментов на детей;</w:t>
      </w:r>
    </w:p>
    <w:p w14:paraId="03D0A753" w14:textId="78E1923F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h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предоставлять специализированные услуги, учитывающие интересы ребенка и гендерные особенности, и доступ к информации о компенсации для детей, ставших жертвами насилия, включая психосоциальные услуги, приюты и услуги по последующему уходу для обеспечения их восстановления и реинтеграции;</w:t>
      </w:r>
    </w:p>
    <w:p w14:paraId="76AFE09C" w14:textId="7F1B4CC0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i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доступ к школьным и внешкольным занятиям для детей, ставших жертвами насилия, надлежащим образом рассматривать случаи дискриминации среди школьного персонала и собирать данные об уровне отсева из школ среди детей в таких ситуациях;</w:t>
      </w:r>
    </w:p>
    <w:p w14:paraId="5448A91F" w14:textId="00B46584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j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 xml:space="preserve">решать проблемы стигматизации, виктимизации и запугивания детей-жертв насилия, в том числе путем проведения информационно-просветительских мероприятий, ориентированных на учителей, медицинских работников и других специалистов, и регулярного обучения судей, адвокатов, прокуроров, сотрудников полиции и других профессиональных групп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lastRenderedPageBreak/>
        <w:t>стандартизированным и учитывающим гендерные и детские особенности процедурам работы с детьми-жертвами и свидетелями.</w:t>
      </w:r>
    </w:p>
    <w:p w14:paraId="028CEC32" w14:textId="7EC109E1" w:rsidR="003D6EE6" w:rsidRPr="003D6EE6" w:rsidRDefault="00C174B9" w:rsidP="00C174B9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F.</w:t>
      </w:r>
      <w:r w:rsidR="003D6EE6" w:rsidRPr="003D6EE6">
        <w:rPr>
          <w:rFonts w:eastAsia="SimSun"/>
        </w:rPr>
        <w:tab/>
        <w:t>Семейное окружение и альтернативный уход (ст. 5, 9–11, 18 (1)–(2), 20–21, 25 и 27 (4))</w:t>
      </w:r>
    </w:p>
    <w:p w14:paraId="734DFD26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Семейное окружение</w:t>
      </w:r>
    </w:p>
    <w:p w14:paraId="11F5837C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24.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Вновь выражая свою озабоченность по поводу большого числа детей, оставленных родителями-мигрантами, что делает их уязвимыми для насилия или эксплуатации и отсева из школы, среди прочих рисков, Комитет повторяет свои рекомендации государству-участнику:</w:t>
      </w:r>
    </w:p>
    <w:p w14:paraId="12C1ED03" w14:textId="09D3C73B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провести комплексное исследование положения детей из семей мигрантов;</w:t>
      </w:r>
    </w:p>
    <w:p w14:paraId="34AE5213" w14:textId="1C8EC640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сбор и анализ дезагрегированных данных в этом отношении и ввести в действие Общую правительственную информационную систему по миграции;</w:t>
      </w:r>
    </w:p>
    <w:p w14:paraId="1E8F6F68" w14:textId="2C585859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объединить существующие программы и инициативы, включая межведомственный меморандум о взаимопонимании, программы поддержки развития семьи, семейные кружки и справочные службы для филиппинских рабочих за рубежом, в рамках комплексной стратегии для решения проблемы фрагментации мероприятий и обеспечения защиты и реализации прав оставленных детей;</w:t>
      </w:r>
    </w:p>
    <w:p w14:paraId="7FB1ADB6" w14:textId="544212AA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продолжать решать проблему влияния эмиграции на благополучие оставленных детей и содействовать переселению, реинтеграции и воссоединению семей возвращающихся трудящихся-мигрантов.</w:t>
      </w:r>
    </w:p>
    <w:p w14:paraId="5E622384" w14:textId="77777777" w:rsidR="003D6EE6" w:rsidRPr="003D6EE6" w:rsidRDefault="003D6EE6" w:rsidP="00C174B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 xml:space="preserve">Дети, лишенные семейного окружения </w:t>
      </w:r>
    </w:p>
    <w:p w14:paraId="75F9574A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25.</w:t>
      </w:r>
      <w:r w:rsidRPr="003D6EE6">
        <w:rPr>
          <w:rFonts w:eastAsia="SimSun" w:cs="Times New Roman"/>
          <w:szCs w:val="20"/>
          <w:lang w:eastAsia="zh-CN"/>
        </w:rPr>
        <w:tab/>
        <w:t>Приветствуя принятие Закона о патронатном воспитании 2012 года (Республиканский закон № 10165), Комитет обеспокоен:</w:t>
      </w:r>
    </w:p>
    <w:p w14:paraId="7996B800" w14:textId="7A82B35F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a)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отсутствием информации о количестве и положении детей, проживающих в учреждениях, включая детей с инвалидностью, причинах их помещения и планах деинституционализации, а также о детях, выходящих из</w:t>
      </w:r>
      <w:r>
        <w:rPr>
          <w:rFonts w:eastAsia="SimSun" w:cs="Times New Roman"/>
          <w:szCs w:val="20"/>
          <w:lang w:eastAsia="zh-CN"/>
        </w:rPr>
        <w:t>-</w:t>
      </w:r>
      <w:r w:rsidR="003D6EE6" w:rsidRPr="003D6EE6">
        <w:rPr>
          <w:rFonts w:eastAsia="SimSun" w:cs="Times New Roman"/>
          <w:szCs w:val="20"/>
          <w:lang w:eastAsia="zh-CN"/>
        </w:rPr>
        <w:t>под опеки;</w:t>
      </w:r>
    </w:p>
    <w:p w14:paraId="261DDD99" w14:textId="308320FF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b)</w:t>
      </w:r>
      <w:r w:rsidR="003D6EE6" w:rsidRPr="003D6EE6">
        <w:rPr>
          <w:rFonts w:eastAsia="SimSun" w:cs="Times New Roman"/>
          <w:szCs w:val="20"/>
          <w:lang w:eastAsia="zh-CN"/>
        </w:rPr>
        <w:tab/>
        <w:t>невыполнением Закона о патронатном воспитании, особенно на местном уровне, и нехваткой приемных родителей, специально для ухода за подростками и детьми с особыми потребностями;</w:t>
      </w:r>
    </w:p>
    <w:p w14:paraId="62CB0B53" w14:textId="31959F8B" w:rsidR="003D6EE6" w:rsidRPr="003D6EE6" w:rsidRDefault="00C174B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c)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отсутствием стандартов качества ухода и контроля за помещением на воспитание.</w:t>
      </w:r>
    </w:p>
    <w:p w14:paraId="227E59B4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26.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Ссылаясь на Руководящие указания по альтернативному уходу за детьми, Комитет рекомендует государству-участнику:</w:t>
      </w:r>
    </w:p>
    <w:p w14:paraId="64440D1B" w14:textId="3D0220DE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выявлять и поддерживать семьи, находящиеся в уязвимом положении, с целью предотвращения разлучения семей, и обеспечить, чтобы дети разлучались со своей семьей только в том случае, если это отвечает их наилучшим интересам и после всесторонней оценки их положения, и чтобы бедность и инвалидность никогда не были единственным основанием для разлучения семей;</w:t>
      </w:r>
    </w:p>
    <w:p w14:paraId="21B79FEC" w14:textId="15B3AE15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собрать данные о детях, находящихся в системе альтернативного ухода, в том числе в частных учреждениях и в приемных семьях, и разработать стратегию деинституционализации и план действий, включая системную трансформацию систем ухода за детьми, социального обеспечения и защиты, и выделить адекватные ресурсы для их реализации;</w:t>
      </w:r>
    </w:p>
    <w:p w14:paraId="1C7EF5C8" w14:textId="292A0F68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достаточные альтернативные варианты ухода за детьми, которые не могут оставаться в своих семьях, на базе семьи и общины, в том числе путем выделения достаточных финансовых ресурсов для передачи детей на воспитание, а также усыновления/удочерения и содействия воссоединению детей с их семьями, когда это возможно;</w:t>
      </w:r>
    </w:p>
    <w:p w14:paraId="4DA7B35A" w14:textId="4D9DCFF6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повышать осведомленность общественности о Законе о патронатном воспитании и контролировать его выполнение, а также поощрять и укреплять потенциал приемной семьи, в том числе путем проведения национальной кампании по набору приемных родителей и обеспечения регулярного и адекватного обучения для них до и во время передачи детей на воспитание, особенно по вопросам передачи на воспитание детей с особыми потребностями, детей-жертв эксплуатации и жестокого обращения, подростков и детей, находящихся в конфликте с законом;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3598584A" w14:textId="3A3FFFA3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установить стандарты качества для всех условий альтернативного ухода, обеспечить регулярное, периодическое и предметное рассмотрение вопроса о помещении детей в институциональные и семейные детские учреждения и контролировать качество ухода в них, в том числе путем предоставления доступных каналов для сообщения, мониторинга и устранения случаев жестокого обращения с детьми;</w:t>
      </w:r>
    </w:p>
    <w:p w14:paraId="307FEB7F" w14:textId="443EDFF0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обеспечивать достаточную поддержку детям, выходящим из системы ухода, и развивать услуги с опорой на местные сообщества с тем, чтобы помочь им начать самостоятельную жизнь.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367A2E18" w14:textId="77777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Усыновление/удочерение</w:t>
      </w:r>
    </w:p>
    <w:p w14:paraId="08472916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27.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Комитет, отмечая принятие в 2019 году Закона о ректификации симулированного рождения (Республиканский закон № 11222), рекомендует государству-участнику:</w:t>
      </w:r>
    </w:p>
    <w:p w14:paraId="2CFFE6B8" w14:textId="2DA0EA65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продолжать усиливать меры по выявлению, предотвращению и пресечению «симулированных рождений» и привлекать к ответственности лиц, виновных в мошеннической регистрации рождений;</w:t>
      </w:r>
    </w:p>
    <w:p w14:paraId="7042DD62" w14:textId="52FB1866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чтобы наилучшие интересы ребенка были первостепенным соображением в процедурах усыновления/удочерения;</w:t>
      </w:r>
    </w:p>
    <w:p w14:paraId="5033EFD0" w14:textId="222553C5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принять меры, включая повышение осведомленности, для поощрения усыновления/удочерения внутри страны в соответствии с принципом субсидиарности и обеспечить, чтобы процедуры международного усыновления соответствовали Конвенции и Конвенции о защите детей и сотрудничестве в области межгосударственного усыновления/удочерения и чтобы дети в процессе усыновления /удочерения были защищены от рисков частных договоренностей, продажи, торговли людьми и злоупотреблений;</w:t>
      </w:r>
    </w:p>
    <w:p w14:paraId="7383D819" w14:textId="71A88624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разработать и внедрить руководящие принципы для последовательной и объективной оценки пригодности детей для усыновления/</w:t>
      </w:r>
      <w:r w:rsidR="001E1CE1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удочерения внутри страны и за рубежом, а также обеспечить прозрачность и адекватную продолжительность процедур усыновления/удочерения;</w:t>
      </w:r>
    </w:p>
    <w:p w14:paraId="2406399C" w14:textId="21595416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контроль и предоставление услуг после усыновления/ удочерения;</w:t>
      </w:r>
    </w:p>
    <w:p w14:paraId="1DDCD956" w14:textId="4871D0EE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сбор и анализ дезагрегированных данных по усыновляемым/удочеряемым детям и детям, усыновленным/удочеренным внутри страны и за рубежом.</w:t>
      </w:r>
    </w:p>
    <w:p w14:paraId="3C8A6C8B" w14:textId="77777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Дети лиц, лишенных свободы</w:t>
      </w:r>
    </w:p>
    <w:p w14:paraId="2572E218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28.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Комитет рекомендует государству-участнику продолжить разработку политики и программ по поддержке детей, родители которых находятся в заключении, и обеспечить их права на свидания, в том числе путем </w:t>
      </w:r>
      <w:r w:rsidRPr="003D6EE6">
        <w:rPr>
          <w:rFonts w:eastAsia="SimSun" w:cs="Times New Roman"/>
          <w:b/>
          <w:bCs/>
          <w:szCs w:val="20"/>
          <w:lang w:eastAsia="zh-CN"/>
        </w:rPr>
        <w:lastRenderedPageBreak/>
        <w:t>предоставления адекватных и удобных для детей помещений для личных свиданий.</w:t>
      </w:r>
    </w:p>
    <w:p w14:paraId="43588524" w14:textId="26CB3C05" w:rsidR="003D6EE6" w:rsidRPr="003D6EE6" w:rsidRDefault="00E1542E" w:rsidP="00E1542E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G.</w:t>
      </w:r>
      <w:r w:rsidR="003D6EE6" w:rsidRPr="003D6EE6">
        <w:rPr>
          <w:rFonts w:eastAsia="SimSun"/>
        </w:rPr>
        <w:tab/>
        <w:t xml:space="preserve">Дети с инвалидностью (ст. 23) </w:t>
      </w:r>
    </w:p>
    <w:p w14:paraId="35F8886D" w14:textId="31F632B6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29.</w:t>
      </w:r>
      <w:r w:rsidRPr="003D6EE6">
        <w:rPr>
          <w:rFonts w:eastAsia="SimSun" w:cs="Times New Roman"/>
          <w:szCs w:val="20"/>
          <w:lang w:eastAsia="zh-CN"/>
        </w:rPr>
        <w:tab/>
        <w:t>Комитет приветствует принятие Национального стратегического плана в отношении детей с инвалидностью (2018–2022</w:t>
      </w:r>
      <w:r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szCs w:val="20"/>
          <w:lang w:eastAsia="zh-CN"/>
        </w:rPr>
        <w:t>годы). Вместе с тем обеспокоенность Комитета вызывают:</w:t>
      </w:r>
    </w:p>
    <w:p w14:paraId="1A9688FA" w14:textId="5DCA4330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a)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информации о результатах реализации стратегического плана и о какой-либо стратегии деинституционализации;</w:t>
      </w:r>
    </w:p>
    <w:p w14:paraId="1C11AE52" w14:textId="33806B32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b)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единого определения инвалидности и классификации инвалидности;</w:t>
      </w:r>
    </w:p>
    <w:p w14:paraId="6D594EE9" w14:textId="609D2013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c)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дезагрегированных данных о детях с инвалидностью;</w:t>
      </w:r>
    </w:p>
    <w:p w14:paraId="163539A8" w14:textId="1A531409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d)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социальных и общественных услуг и поддержки семьи, позволяющих родителям заботиться о своих детях;</w:t>
      </w:r>
    </w:p>
    <w:p w14:paraId="12F1A2FF" w14:textId="30FDC4E3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e)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доступа к качественному медицинскому обслуживанию,</w:t>
      </w:r>
      <w:r>
        <w:rPr>
          <w:rFonts w:eastAsia="SimSun" w:cs="Times New Roman"/>
          <w:szCs w:val="20"/>
          <w:lang w:eastAsia="zh-CN"/>
        </w:rPr>
        <w:br/>
      </w:r>
      <w:r w:rsidR="003D6EE6" w:rsidRPr="003D6EE6">
        <w:rPr>
          <w:rFonts w:eastAsia="SimSun" w:cs="Times New Roman"/>
          <w:szCs w:val="20"/>
          <w:lang w:eastAsia="zh-CN"/>
        </w:rPr>
        <w:t>а также нехватка опытных педиатров, разбирающихся в вопросах инвалидности;</w:t>
      </w:r>
    </w:p>
    <w:p w14:paraId="5B06D69E" w14:textId="139D4C2C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f)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четкого плана действий по инклюзивному образованию</w:t>
      </w:r>
      <w:r>
        <w:rPr>
          <w:rFonts w:eastAsia="SimSun" w:cs="Times New Roman"/>
          <w:szCs w:val="20"/>
          <w:lang w:eastAsia="zh-CN"/>
        </w:rPr>
        <w:br/>
      </w:r>
      <w:r w:rsidR="003D6EE6" w:rsidRPr="003D6EE6">
        <w:rPr>
          <w:rFonts w:eastAsia="SimSun" w:cs="Times New Roman"/>
          <w:szCs w:val="20"/>
          <w:lang w:eastAsia="zh-CN"/>
        </w:rPr>
        <w:t>и сегрегация детей с инвалидностью в рамках специальных образовательных центров, а также требование дорогостоящего медицинского обследования для доступа</w:t>
      </w:r>
      <w:r>
        <w:rPr>
          <w:rFonts w:eastAsia="SimSun" w:cs="Times New Roman"/>
          <w:szCs w:val="20"/>
          <w:lang w:eastAsia="zh-CN"/>
        </w:rPr>
        <w:br/>
      </w:r>
      <w:r w:rsidR="003D6EE6" w:rsidRPr="003D6EE6">
        <w:rPr>
          <w:rFonts w:eastAsia="SimSun" w:cs="Times New Roman"/>
          <w:szCs w:val="20"/>
          <w:lang w:eastAsia="zh-CN"/>
        </w:rPr>
        <w:t>в общеобразовательную школу;</w:t>
      </w:r>
    </w:p>
    <w:p w14:paraId="30645E44" w14:textId="4E2E2E9A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g)</w:t>
      </w:r>
      <w:r w:rsidR="003D6EE6" w:rsidRPr="003D6EE6">
        <w:rPr>
          <w:rFonts w:eastAsia="SimSun" w:cs="Times New Roman"/>
          <w:szCs w:val="20"/>
          <w:lang w:eastAsia="zh-CN"/>
        </w:rPr>
        <w:tab/>
        <w:t>негативные взгляды и дискриминация в отношении детей с инвалидностью, которые затрудняют доступ к поддержке семьи, образованию, социальным услугам и участию в решении касающихся их вопросов;</w:t>
      </w:r>
    </w:p>
    <w:p w14:paraId="15811BA4" w14:textId="5CBEAF2C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h)</w:t>
      </w:r>
      <w:r w:rsidR="003D6EE6" w:rsidRPr="003D6EE6">
        <w:rPr>
          <w:rFonts w:eastAsia="SimSun" w:cs="Times New Roman"/>
          <w:szCs w:val="20"/>
          <w:lang w:eastAsia="zh-CN"/>
        </w:rPr>
        <w:tab/>
        <w:t>случаи насилия и сексуального надругательства над детьми с инвалидностью и отсутствие у них доступа к правосудию, в том числе из-за нехватки переводчиков жестового языка и неверных представлений об инвалидности.</w:t>
      </w:r>
    </w:p>
    <w:p w14:paraId="150E1A41" w14:textId="25C41B15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30.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</w:t>
      </w:r>
      <w:r w:rsidR="00E1542E">
        <w:rPr>
          <w:rFonts w:eastAsia="SimSun" w:cs="Times New Roman"/>
          <w:b/>
          <w:bCs/>
          <w:szCs w:val="20"/>
          <w:lang w:eastAsia="zh-CN"/>
        </w:rPr>
        <w:t> </w:t>
      </w:r>
      <w:r w:rsidRPr="003D6EE6">
        <w:rPr>
          <w:rFonts w:eastAsia="SimSun" w:cs="Times New Roman"/>
          <w:b/>
          <w:bCs/>
          <w:szCs w:val="20"/>
          <w:lang w:eastAsia="zh-CN"/>
        </w:rPr>
        <w:t>9</w:t>
      </w:r>
      <w:r w:rsidR="00E1542E">
        <w:rPr>
          <w:rFonts w:eastAsia="SimSun" w:cs="Times New Roman"/>
          <w:b/>
          <w:bCs/>
          <w:szCs w:val="20"/>
          <w:lang w:eastAsia="zh-CN"/>
        </w:rPr>
        <w:t> </w:t>
      </w:r>
      <w:r w:rsidRPr="003D6EE6">
        <w:rPr>
          <w:rFonts w:eastAsia="SimSun" w:cs="Times New Roman"/>
          <w:b/>
          <w:bCs/>
          <w:szCs w:val="20"/>
          <w:lang w:eastAsia="zh-CN"/>
        </w:rPr>
        <w:t>(2006), Комитет настоятельно призывает государство-участник принять правозащитный подход к инвалидности и:</w:t>
      </w:r>
    </w:p>
    <w:p w14:paraId="5911E184" w14:textId="63543EFE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на основе оценки Национального стратегического плана по делам детей с инвалидностью разработать комплексную стратегию по инклюзии детей с инвалидностью на всех уровнях;</w:t>
      </w:r>
    </w:p>
    <w:p w14:paraId="1E055DBF" w14:textId="610A41C9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принять единое определение инвалидности и классификацию инвалидности в соответствии с Конвенцией о правах инвалидов, а также оперативно принять законопроект, устанавливающий услуги и программы для учащихся с инвалидностью;</w:t>
      </w:r>
    </w:p>
    <w:p w14:paraId="4EEA253A" w14:textId="618AA30B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организовать сбор дезагрегированных данных о детях с инвалидностью и разработать эффективную и согласованную систему оценки инвалидности с целью облегчения доступа детей со всеми видами инвалидности к доступным услугам, включая образование и здравоохранение, социальную защиту и поддержку, и информировать о своей политике и программах;</w:t>
      </w:r>
    </w:p>
    <w:p w14:paraId="07A30ECC" w14:textId="1E9DD3D6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поддержку родителей детей с инвалидностью и обеспечить право этих детей расти в своей семейной среде, в том числе путем повышения доступности услуг по раннему уходу, сестринскому уходу на дому и помощи, предоставления своевременной и адекватной социально-экономической поддержки всем детям с инвалидностью и улучшения информационно-разъяснительной работы с родителями об имеющихся услугах;</w:t>
      </w:r>
    </w:p>
    <w:p w14:paraId="157B4ABB" w14:textId="27D46F5E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 xml:space="preserve">обеспечить доступ к своевременному и недорогому медицинскому обслуживанию, в том числе путем организации программ раннего выявления, вмешательства и реабилитации, создания сети общинных и амбулаторных служб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lastRenderedPageBreak/>
        <w:t>здравоохранения, а также подготовки и обеспечения достаточного количества медицинского персонала, включая педиатров и других соответствующих медицинских специалистов, на национальном, региональном и местном уровнях;</w:t>
      </w:r>
    </w:p>
    <w:p w14:paraId="35EE9843" w14:textId="32018013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разработать и незамедлительно реализовать национальный план действий по инклюзивному образованию и обеспечить, чтобы все дети с инвалидностью имели доступ к инклюзивному образованию в общеобразовательных школах и чтобы школы были оснащены подготовленными преподавателями, доступной инфраструктурой и учебными материалами, адаптированными к потребностям детей с инвалидностью;</w:t>
      </w:r>
    </w:p>
    <w:p w14:paraId="1D542240" w14:textId="5CD83C40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g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проводить информационно-просветительские кампании для борьбы со стигматизацией и продвижения позитивного образа детей с инвалидностью как правообладателей;</w:t>
      </w:r>
    </w:p>
    <w:p w14:paraId="3FB2B7E8" w14:textId="7230CF81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h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обеспечивать и поощрять возможности для детей с инвалидностью выражать свое мнение по затрагивающим их вопросам, в том числе в школе,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добиваться учета их мнения;</w:t>
      </w:r>
    </w:p>
    <w:p w14:paraId="46462422" w14:textId="15AE85EB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i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срочно осуществлять расследование и преследование в судебном порядке по факту случаев насилия и сексуального надругательства над детьми с инвалидностью и обеспечить жертвам доступ к удобным для детей каналам сообщений, возмещению ущерба, бесплатной помощи переводчиков, в том числе на жестовом языке , а также обеспечить, чтобы все уголовные разбирательства, связанные с сексуальными преступлениями против детей с инвалидностью, проводились беспристрастно и справедливо, без предрассудков и стереотипных представлений относительно гендера, возраста и инвалидности жертвы.</w:t>
      </w:r>
    </w:p>
    <w:p w14:paraId="0BE518ED" w14:textId="32C3048B" w:rsidR="003D6EE6" w:rsidRPr="003D6EE6" w:rsidRDefault="00E1542E" w:rsidP="00E1542E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H.</w:t>
      </w:r>
      <w:r w:rsidR="003D6EE6" w:rsidRPr="003D6EE6">
        <w:rPr>
          <w:rFonts w:eastAsia="SimSun"/>
        </w:rPr>
        <w:tab/>
        <w:t>Базовое медицинское обслуживание и социальное обеспечение</w:t>
      </w:r>
      <w:r>
        <w:rPr>
          <w:rFonts w:eastAsia="SimSun"/>
        </w:rPr>
        <w:br/>
      </w:r>
      <w:r w:rsidR="003D6EE6" w:rsidRPr="003D6EE6">
        <w:rPr>
          <w:rFonts w:eastAsia="SimSun"/>
        </w:rPr>
        <w:t>(ст. 6, 18 (3), 24, 26, 27 (1–3) и 33)</w:t>
      </w:r>
    </w:p>
    <w:p w14:paraId="6EF9F723" w14:textId="77777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Охрана здоровья и медицинское обслуживание</w:t>
      </w:r>
    </w:p>
    <w:p w14:paraId="068AFF04" w14:textId="463569E8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31.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реализацию высокоэффективных прорывных</w:t>
      </w:r>
      <w:r w:rsidR="00E1542E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мероприятий (Hi-5), направленных на снижение уровня младенческой, детской и материнской смертности, остановку эпидемии ВИЧ/СПИДа и расширение сетей здравоохранения в бедных сообществах, Комитет по-прежнему обеспокоен показателями неонатальной, младенческой смертности и смертности среди детей в возрасте до 5 лет, а также</w:t>
      </w:r>
      <w:r>
        <w:rPr>
          <w:rFonts w:eastAsia="SimSun" w:cs="Times New Roman"/>
          <w:b/>
          <w:bCs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материнской смертности и детского голода.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1D65F553" w14:textId="00235F6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продолжать усилия по дальнейшему снижению показателей неонатальной, младенческой смертности, смертности среди детей в возрасте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 xml:space="preserve">до </w:t>
      </w:r>
      <w:r>
        <w:rPr>
          <w:rFonts w:eastAsia="SimSun" w:cs="Times New Roman"/>
          <w:b/>
          <w:bCs/>
          <w:szCs w:val="20"/>
          <w:lang w:eastAsia="zh-CN"/>
        </w:rPr>
        <w:t>пяти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 xml:space="preserve"> лет и материнской смертности, в том числе путем улучшения доступа к дородовым и послеродовым услугам и учреждениям, особенно в сельских и отдаленных районах и на Минданао, а также по искоренению передачи ВИЧ от матери ребенку;</w:t>
      </w:r>
    </w:p>
    <w:p w14:paraId="6B8145D2" w14:textId="681081A8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облегчить доступ к службам записи актов гражданского состояния в случаях смерти новорожденных и мертворождения;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59606CDE" w14:textId="5C4AF88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чтобы все дети имели доступ к качественному медицинскому обслуживанию, в том числе путем выделения достаточных ресурсов на здравоохранение, расширения охвата медицинским страхованием и обеспечения наличия достаточного количества квалифицированного медицинского персонала во всех частях страны;</w:t>
      </w:r>
    </w:p>
    <w:p w14:paraId="633D69EC" w14:textId="0D2B6989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 xml:space="preserve">усилить охват иммунизацией, в том числе путем реализации Закона об обязательной иммунизации для охраны </w:t>
      </w:r>
      <w:r>
        <w:rPr>
          <w:rFonts w:eastAsia="SimSun" w:cs="Times New Roman"/>
          <w:b/>
          <w:bCs/>
          <w:szCs w:val="20"/>
          <w:lang w:eastAsia="zh-CN"/>
        </w:rPr>
        <w:t>з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доровья младенцев и детей 2011 года (Республиканский закон № 10152) и повышения осведомленности родителей о преимуществах вакцинации;</w:t>
      </w:r>
    </w:p>
    <w:p w14:paraId="46156471" w14:textId="5B502AF4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меры по борьбе с голодом и недоеданием среди детей, в том числе путем обеспечения доступа к квалифицированным специалистам по охране здоровья детей и программам питания в сельских, отдаленных и затронутых конфликтами районах, а также поощрения, сохранения и поддержки грудного вскармливания.</w:t>
      </w:r>
    </w:p>
    <w:p w14:paraId="3DBB177F" w14:textId="77777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Здоровье подростков</w:t>
      </w:r>
    </w:p>
    <w:p w14:paraId="4D8131D0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32.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принятие Закона о психическом здоровье (Республиканский закон № 11036) в 2018 году, реализацию Программы здоровья и развития подростков и введение полового воспитания в школах, Комитет рекомендует государству-участнику:</w:t>
      </w:r>
    </w:p>
    <w:p w14:paraId="7060C7C2" w14:textId="37CBAAF5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разработать и внедрить комплексную политику в области психического здоровья детей и подростков;</w:t>
      </w:r>
    </w:p>
    <w:p w14:paraId="4BDC5D74" w14:textId="2A2C5BB6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работу по выявлению и направлению в соответствующие службы детей, нуждающихся в поддержке психического здоровья, в частности подростков, детей, чьи родители стали жертвами внесудебных казней, и на местном уровне с целью предотвращения и решения проблем психического здоровья, включая те, которые способствуют суицидальному поведению, и воздействия пандемии COVID-19;</w:t>
      </w:r>
    </w:p>
    <w:p w14:paraId="5FFA0E45" w14:textId="02C72F30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увеличить наличие и доступность детских психиатров и детских психологов и создать достаточное количество центров психического здоровья, дружественных к детям, особенно в барангаях, и принять меры для предоставления этих услуг без стигматизации;</w:t>
      </w:r>
    </w:p>
    <w:p w14:paraId="170252D2" w14:textId="2E69E9CA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повышать осведомленность детей и родителей о туберкулезе, в том числе с помощью информационных кампаний;</w:t>
      </w:r>
    </w:p>
    <w:p w14:paraId="4F300F64" w14:textId="303AC610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принять комплексную политику в области сексуального и репродуктивного здоровья для подростков и обеспечить образование в области сексуального и репродуктивного здоровья в школе, уделяя особое внимание профилактике ранней беременности, инфекций, передающихся половым путем, и ВИЧ/СПИДа, а также сексуальной ориентации и гендерной идентичности;</w:t>
      </w:r>
    </w:p>
    <w:p w14:paraId="01CB45A6" w14:textId="5A6049F9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подросткам доступ к современным средствам контрацепции, конфиденциальному тестированию и лечению ВИЧ без согласия родителей, а также соответствующим образом пересмотреть Закон об ответственном родительстве и репродуктивном здоровье 2012</w:t>
      </w:r>
      <w:r>
        <w:rPr>
          <w:rFonts w:eastAsia="SimSun" w:cs="Times New Roman"/>
          <w:b/>
          <w:bCs/>
          <w:szCs w:val="20"/>
          <w:lang w:eastAsia="zh-CN"/>
        </w:rPr>
        <w:t> 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года (Республиканский закон № 10354);</w:t>
      </w:r>
    </w:p>
    <w:p w14:paraId="6E3BAE5E" w14:textId="3B02C4C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g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легализовать аборт и обеспечить доступ к безопасным абортам и уходу после аборта для девочек-подростков, гарантируя при этом внимательное отношение к их мнениям и их учет в процессе принятия решений, а также разработать и внедрить политику по защите прав беременных подростков;</w:t>
      </w:r>
    </w:p>
    <w:p w14:paraId="029D4DC8" w14:textId="7444C329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h)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ab/>
        <w:t>далее укреплять альтернативные решения по борьбе с наркоманией среди детей и подростков, в частности, путем предоставления детям и подросткам точной и объективной информации и обучения жизненным навыкам по профилактике злоупотребления психоактивными веществами, а также разрабатывать доступные и ориентированные на молодежь методы лечения наркозависимости.</w:t>
      </w:r>
    </w:p>
    <w:p w14:paraId="67BD9EFC" w14:textId="77777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Здоровье окружающей среды</w:t>
      </w:r>
    </w:p>
    <w:p w14:paraId="708925A1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33.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ратификацию в 2017 году Парижского соглашения об изменении климата, принятие в 2016 году Комплексной чрезвычайной программы для детей, работу Комиссии по правам человека Филиппин в отношении расследования в связи с деятельностью крупных углеродных компаний и просвещение по вопросам здоровья окружающей среды в школе, Комитет рекомендует государству-участнику: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</w:p>
    <w:p w14:paraId="58757A89" w14:textId="503195BE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выполнение программы чрезвычайных мер;</w:t>
      </w:r>
    </w:p>
    <w:p w14:paraId="2DEACD16" w14:textId="7FF6ED3B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продолжить борьбу с негативным воздействием загрязнения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деградации окружающей среды и улучшить доступ к безопасной питьевой воде и санитарным удобствам, принимая во внимание потребности и уязвимость детей;</w:t>
      </w:r>
    </w:p>
    <w:p w14:paraId="23CA8D60" w14:textId="58B3324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выполнить рекомендации Комиссии по правам человека Филиппин в отношении расследования в связи с деятельностью крупных углеродных компаний;</w:t>
      </w:r>
    </w:p>
    <w:p w14:paraId="2C9E612F" w14:textId="6D9D9274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учитывать мнения детей в своих планах по смягчению последствий и адаптации.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53032296" w14:textId="2F0136A5" w:rsidR="003D6EE6" w:rsidRPr="003D6EE6" w:rsidRDefault="00E1542E" w:rsidP="00E1542E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I.</w:t>
      </w:r>
      <w:r w:rsidR="003D6EE6" w:rsidRPr="003D6EE6">
        <w:rPr>
          <w:rFonts w:eastAsia="SimSun"/>
        </w:rPr>
        <w:tab/>
        <w:t>Образование, досуг и культурная деятельность (ст. 28–31)</w:t>
      </w:r>
    </w:p>
    <w:p w14:paraId="3A52BE84" w14:textId="77777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Образование</w:t>
      </w:r>
    </w:p>
    <w:p w14:paraId="1363A89F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34.</w:t>
      </w:r>
      <w:r w:rsidRPr="003D6EE6">
        <w:rPr>
          <w:rFonts w:eastAsia="SimSun" w:cs="Times New Roman"/>
          <w:szCs w:val="20"/>
          <w:lang w:eastAsia="zh-CN"/>
        </w:rPr>
        <w:tab/>
        <w:t>Комитет приветствует создание и расширение системы дошкольного образования, увеличение продолжительности обязательного образования до 12 лет, реформу школьной учебной программы, разработку альтернативных форм обучения, позволяющих обеспечить доступ к среднему и профессиональному образованию для учащихся старше 12 лет, не посещающих школу, и другие меры, принятые для улучшения доступа к образованию, что привело к увеличению числа учащихся, посещающих школу и заканчивающих ее, и снижению уровня отсева учащихся. Вместе с тем обеспокоенность Комитета вызывают:</w:t>
      </w:r>
    </w:p>
    <w:p w14:paraId="714886FE" w14:textId="494A295A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a)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доступа к качественному образованию на всех уровнях для детей с инвалидностью, детей, принадлежащих к группам коренных народов, детей из экономически неблагополучных семей, беспризорных детей и детей, живущих с ВИЧ;</w:t>
      </w:r>
    </w:p>
    <w:p w14:paraId="066FB710" w14:textId="1A016EF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b)</w:t>
      </w:r>
      <w:r w:rsidR="003D6EE6" w:rsidRPr="003D6EE6">
        <w:rPr>
          <w:rFonts w:eastAsia="SimSun" w:cs="Times New Roman"/>
          <w:szCs w:val="20"/>
          <w:lang w:eastAsia="zh-CN"/>
        </w:rPr>
        <w:tab/>
        <w:t xml:space="preserve">уровень отсева из школ, поскольку 9 </w:t>
      </w:r>
      <w:r>
        <w:rPr>
          <w:rFonts w:eastAsia="SimSun" w:cs="Times New Roman"/>
          <w:szCs w:val="20"/>
          <w:lang w:eastAsia="zh-CN"/>
        </w:rPr>
        <w:t>%</w:t>
      </w:r>
      <w:r w:rsidR="003D6EE6" w:rsidRPr="003D6EE6">
        <w:rPr>
          <w:rFonts w:eastAsia="SimSun" w:cs="Times New Roman"/>
          <w:szCs w:val="20"/>
          <w:lang w:eastAsia="zh-CN"/>
        </w:rPr>
        <w:t xml:space="preserve"> детей, особенно девочек,</w:t>
      </w:r>
      <w:r>
        <w:rPr>
          <w:rFonts w:eastAsia="SimSun" w:cs="Times New Roman"/>
          <w:szCs w:val="20"/>
          <w:lang w:eastAsia="zh-CN"/>
        </w:rPr>
        <w:br/>
      </w:r>
      <w:r w:rsidR="003D6EE6" w:rsidRPr="003D6EE6">
        <w:rPr>
          <w:rFonts w:eastAsia="SimSun" w:cs="Times New Roman"/>
          <w:szCs w:val="20"/>
          <w:lang w:eastAsia="zh-CN"/>
        </w:rPr>
        <w:t>не посещают школу, в том числе по причине замужества, беременности, инвалидности, отсутствия интереса или высокой стоимости обучения;</w:t>
      </w:r>
    </w:p>
    <w:p w14:paraId="06CE8CCD" w14:textId="65081A4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c)</w:t>
      </w:r>
      <w:r w:rsidR="003D6EE6" w:rsidRPr="003D6EE6">
        <w:rPr>
          <w:rFonts w:eastAsia="SimSun" w:cs="Times New Roman"/>
          <w:szCs w:val="20"/>
          <w:lang w:eastAsia="zh-CN"/>
        </w:rPr>
        <w:tab/>
        <w:t>проблемы, связанные с проведением реформы учебных программ и набором учащихся в старшие классы, нехватка подготовленных учителей, школьных материалов и принадлежностей, неадекватная инфраструктура и отсутствие транспорта, особенно в сельских и отдаленных районах, и их влияние на качество образования;</w:t>
      </w:r>
    </w:p>
    <w:p w14:paraId="3CFC397D" w14:textId="0E49CA4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d)</w:t>
      </w:r>
      <w:r w:rsidR="003D6EE6" w:rsidRPr="003D6EE6">
        <w:rPr>
          <w:rFonts w:eastAsia="SimSun" w:cs="Times New Roman"/>
          <w:szCs w:val="20"/>
          <w:lang w:eastAsia="zh-CN"/>
        </w:rPr>
        <w:tab/>
        <w:t>нарушение школьного образования во время стихийных бедствий, чрезвычайных ситуаций, включая пандемию COVID-19, и вооруженных конфликтов, а также использование школ в военных целях во время вооруженных конфликтов на юге Филиппин, в Минданао</w:t>
      </w:r>
      <w:r>
        <w:rPr>
          <w:rFonts w:eastAsia="SimSun" w:cs="Times New Roman"/>
          <w:szCs w:val="20"/>
          <w:lang w:eastAsia="zh-CN"/>
        </w:rPr>
        <w:t>,</w:t>
      </w:r>
      <w:r w:rsidR="003D6EE6" w:rsidRPr="003D6EE6">
        <w:rPr>
          <w:rFonts w:eastAsia="SimSun" w:cs="Times New Roman"/>
          <w:szCs w:val="20"/>
          <w:lang w:eastAsia="zh-CN"/>
        </w:rPr>
        <w:t xml:space="preserve"> и в Марави в частности;</w:t>
      </w:r>
    </w:p>
    <w:p w14:paraId="33363FE9" w14:textId="48BB020B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szCs w:val="20"/>
          <w:lang w:eastAsia="zh-CN"/>
        </w:rPr>
        <w:t>e)</w:t>
      </w:r>
      <w:r w:rsidR="003D6EE6" w:rsidRPr="003D6EE6">
        <w:rPr>
          <w:rFonts w:eastAsia="SimSun" w:cs="Times New Roman"/>
          <w:szCs w:val="20"/>
          <w:lang w:eastAsia="zh-CN"/>
        </w:rPr>
        <w:tab/>
        <w:t>отсутствие возможностей для отдыха и игр.</w:t>
      </w:r>
    </w:p>
    <w:p w14:paraId="433E9CC5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35.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государству-участнику:</w:t>
      </w:r>
    </w:p>
    <w:p w14:paraId="54110436" w14:textId="48EAC851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доступ к качественному дошкольному, начальному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среднему образованию для детей с инвалидностью, детей, принадлежащих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к группам коренных народов, детей из экономически неблагополучных семей, беспризорных детей, детей, живущих с ВИЧ, и других детей, находящихся в уязвимом положении;</w:t>
      </w:r>
    </w:p>
    <w:p w14:paraId="2BDB72DF" w14:textId="4C7D821D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продолжать принимать целенаправленные меры по устранению показателей и причин отсева из школ, уделяя особое внимание девочкам, обеспечить, чтобы все дети, включая беременных подростков и матерей-подростков, оставались в школе и заканчивали ее, в том числе путем выделения адекватных ресурсов и индивидуальной поддержки в этом отношении,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поддерживать переход детей в среднюю школу, в том числе путем расширения охвата программы «Открытая средняя школа» и альтернативных форм обучения во всех частях страны и среди детей в возрасте до 12 лет, а также мониторинга их реализации;</w:t>
      </w:r>
    </w:p>
    <w:p w14:paraId="1CD29407" w14:textId="7E885CCF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 xml:space="preserve">повышать качество образования и продолжать реформу школьных учебных программ, поощряя и поддерживая переход в старшие классы (программа </w:t>
      </w:r>
      <w:r>
        <w:rPr>
          <w:rFonts w:eastAsia="SimSun" w:cs="Times New Roman"/>
          <w:b/>
          <w:bCs/>
          <w:szCs w:val="20"/>
          <w:lang w:eastAsia="zh-CN"/>
        </w:rPr>
        <w:t>«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К-12</w:t>
      </w:r>
      <w:r>
        <w:rPr>
          <w:rFonts w:eastAsia="SimSun" w:cs="Times New Roman"/>
          <w:b/>
          <w:bCs/>
          <w:szCs w:val="20"/>
          <w:lang w:eastAsia="zh-CN"/>
        </w:rPr>
        <w:t>»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), сокращая размеры классов, обеспечивая надлежащие школьные материалы и принадлежности и создавая стимулы для обучения;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включить права человека и Конвенцию в школьную программу и подготовку учителей;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наличие достаточного количества квалифицированных учителей и обеспечить их высококачественную дослужебную подготовку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обучение без отрыва от работы;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обеспечить, чтобы школы были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оснащены образовательными технологиями и безопасно доступны для всех,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 том числе путем предоставления школьного транспорта, водоснабжения, электроснабжения и санитарных удобств во всех школах;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5585A12A" w14:textId="505D7645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принять политику по смягчению последствий стихийных бедствий, чрезвычайных ситуаций и вооруженных конфликтов для школьного образования и обеспечить, чтобы школы не использовались в военных целях, в том числе путем тщательного выполнения Закона о специальной защите детей в ситуациях вооруженного конфликта (Республиканский закон № 11188) и Рамок национальной политики в отношении учащихся и школ как зон мира (Приказ Министерства образования № 32, с. 2019);</w:t>
      </w:r>
    </w:p>
    <w:p w14:paraId="0284B32F" w14:textId="2C8F25AF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устранить неравенство, порожденное кризисом пандемии COVID-19, в том числе путем обеспечения готовности к любым будущим кризисам, включая наличие компьютерного оборудования и достаточного доступа в Интернет, уделяя особое внимание детям в уязвимых ситуациях;</w:t>
      </w:r>
    </w:p>
    <w:p w14:paraId="37DACD45" w14:textId="0AA584A4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выделять достаточные финансовые, людские и технические ресурсы для расширения охвата, потенциала и мониторинга дошкольного образования, включая центры развития и детские сады, и обеспечения доступа к нему, в том числе в сельских и отдаленных районах, уделяя особое внимание детям с инвалидностью и детям из экономически неблагополучных семей;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60019693" w14:textId="0ADE47CC" w:rsidR="003D6EE6" w:rsidRPr="003D6EE6" w:rsidRDefault="00E1542E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g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право всех детей на досуг и игры и обеспечить доступные и безопасные публичные игровые пространства на открытом воздухе.</w:t>
      </w:r>
    </w:p>
    <w:p w14:paraId="37FA7353" w14:textId="63E12CE0" w:rsidR="003D6EE6" w:rsidRPr="003D6EE6" w:rsidRDefault="00E1542E" w:rsidP="00E1542E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J.</w:t>
      </w:r>
      <w:r w:rsidR="003D6EE6" w:rsidRPr="003D6EE6">
        <w:rPr>
          <w:rFonts w:eastAsia="SimSun"/>
        </w:rPr>
        <w:tab/>
        <w:t>Особые меры защиты (ст. 22, 30, 32–33, 35–36, 37 b)–d) и 38–40)</w:t>
      </w:r>
    </w:p>
    <w:p w14:paraId="1E26FC8A" w14:textId="0E5D6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Дети — просители убежища и дети</w:t>
      </w:r>
      <w:r w:rsidR="00E1542E">
        <w:rPr>
          <w:rFonts w:eastAsia="SimSun"/>
        </w:rPr>
        <w:t>-</w:t>
      </w:r>
      <w:r w:rsidRPr="003D6EE6">
        <w:rPr>
          <w:rFonts w:eastAsia="SimSun"/>
        </w:rPr>
        <w:t xml:space="preserve">беженцы </w:t>
      </w:r>
    </w:p>
    <w:p w14:paraId="58B2F540" w14:textId="049BCF42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36.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Комитет признает усилия, предпринятые судебными органами Филиппин по формулированию правил, касающихся процессов приема, ухода и регуляризации для детей </w:t>
      </w:r>
      <w:r w:rsidR="00E1542E" w:rsidRPr="00E1542E">
        <w:rPr>
          <w:rFonts w:eastAsia="SimSun" w:cs="Times New Roman"/>
          <w:b/>
          <w:bCs/>
          <w:szCs w:val="20"/>
          <w:lang w:eastAsia="zh-CN"/>
        </w:rPr>
        <w:t>‒‒</w:t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 просителей убежища и детей-беженцев, и призывает государство-участник представить в своем следующем периодическом докладе дополнительную информацию об осуществлении их прав по Конвенции</w:t>
      </w:r>
      <w:r w:rsidR="00E1542E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в разбивке по возрасту, полу, гражданству, инвалидности и месту жительства, </w:t>
      </w:r>
      <w:r w:rsidR="00E1542E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 также разработать законодательство и нормативные акты для удовлетворения потребностей детей-беженцев и детей</w:t>
      </w:r>
      <w:r w:rsidR="00E1542E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="00E1542E" w:rsidRPr="00E1542E">
        <w:rPr>
          <w:rFonts w:eastAsia="SimSun" w:cs="Times New Roman"/>
          <w:b/>
          <w:bCs/>
          <w:szCs w:val="20"/>
          <w:lang w:eastAsia="zh-CN"/>
        </w:rPr>
        <w:t>‒‒</w:t>
      </w:r>
      <w:r w:rsidR="00E1542E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просителей убежища и детей с неурегулированным статусом, включая несопровождаемых и разлученных детей, как это было рекомендовано ранее.</w:t>
      </w:r>
    </w:p>
    <w:p w14:paraId="64777E27" w14:textId="77777777" w:rsidR="003D6EE6" w:rsidRPr="003D6EE6" w:rsidRDefault="003D6EE6" w:rsidP="00E1542E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Дети из числа меньшинств и коренных народов</w:t>
      </w:r>
    </w:p>
    <w:p w14:paraId="572F7934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37.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С озабоченностью отмечая, что дети составляют треть перемещенных лиц в результате конфликтов, в частности, на Минданао и в Марави, Комитет рекомендует государству-участнику:</w:t>
      </w:r>
    </w:p>
    <w:p w14:paraId="5349B454" w14:textId="62ABD0CD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собирать данные о детях, принадлежащих к группам коренных народов, и обеспечивать их защиту;</w:t>
      </w:r>
    </w:p>
    <w:p w14:paraId="4D97DEB2" w14:textId="77FA3016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выделить достаточные финансовые и людские ресурсы для реализации Закона о правах коренных народов 1997 года (Республиканский закон № 8371);</w:t>
      </w:r>
    </w:p>
    <w:p w14:paraId="564726E2" w14:textId="5413B9CC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lastRenderedPageBreak/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предотвращать и бороться с перемещением детей и вербовкой детей в вооруженные силы и вооруженные группы, а также обеспечивать эффективное осуществление Республиканского закона № 11596 от 2021 года, запрещающего практику детских браков.</w:t>
      </w:r>
    </w:p>
    <w:p w14:paraId="02AB8C3D" w14:textId="77777777" w:rsidR="003D6EE6" w:rsidRPr="003D6EE6" w:rsidRDefault="003D6EE6" w:rsidP="00D7240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Экономическая эксплуатация, включая детский труд</w:t>
      </w:r>
    </w:p>
    <w:p w14:paraId="0A2FB55D" w14:textId="218176D0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38.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ратификацию в 2012 году Конвенции Международной организации труда о домашних работниках 2011 года (№</w:t>
      </w:r>
      <w:r w:rsidR="00D72409">
        <w:rPr>
          <w:rFonts w:eastAsia="SimSun" w:cs="Times New Roman"/>
          <w:b/>
          <w:bCs/>
          <w:szCs w:val="20"/>
          <w:lang w:eastAsia="zh-CN"/>
        </w:rPr>
        <w:t> </w:t>
      </w:r>
      <w:r w:rsidRPr="003D6EE6">
        <w:rPr>
          <w:rFonts w:eastAsia="SimSun" w:cs="Times New Roman"/>
          <w:b/>
          <w:bCs/>
          <w:szCs w:val="20"/>
          <w:lang w:eastAsia="zh-CN"/>
        </w:rPr>
        <w:t>189) и отмечая Филиппинскую программу по борьбе с детским трудом, Комитет обеспокоен очень большим числом детей, подвергающихся детскому труду, в том числе в опасных условиях, а также согласием детей и их родителей с детским трудом.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634D62EA" w14:textId="7EB7D2D7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выделять адекватные людские, финансовые и технические ресурсы для эффективного применения законодательства против детского труда и устранения коренных причин этого явления;</w:t>
      </w:r>
    </w:p>
    <w:p w14:paraId="2AD88956" w14:textId="6D2074AB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проводить информационно-просветительскую работу о негативных последствиях детского труда для детей;</w:t>
      </w:r>
    </w:p>
    <w:p w14:paraId="501966BB" w14:textId="60E61721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трудовые инспекции и обучение следователей, особенно в горнодобывающем, сельскохозяйственном и неформальном секторах экономики, а также в отношении касамбахай (домашние работники), и обеспечить применение санкций в случае нарушения законодательства;</w:t>
      </w:r>
    </w:p>
    <w:p w14:paraId="79870080" w14:textId="0EC2C401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активизировать усилия по выводу детей из сферы детского труда и усилить реинтеграцию и доступ к образованию.</w:t>
      </w:r>
    </w:p>
    <w:p w14:paraId="4B2B3645" w14:textId="77777777" w:rsidR="003D6EE6" w:rsidRPr="003D6EE6" w:rsidRDefault="003D6EE6" w:rsidP="00D7240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Беспризорные дети</w:t>
      </w:r>
    </w:p>
    <w:p w14:paraId="53CDD400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39.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Отмечая запуск в 2015 году Комплексной программы для детей и семей, подверженных риску оказаться на улице, и придание нового импульса в 2017 году Национальной сети по делам беспризорных детей, Комитет по-прежнему обеспокоен большим количеством беспризорных детей.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Ссылаясь на свое замечание общего порядка № 21 (2017), Комитет рекомендует государству-участнику:</w:t>
      </w:r>
    </w:p>
    <w:p w14:paraId="1A4AE329" w14:textId="03FE68E2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выделить достаточные ресурсы для улучшения сбора и анализа данных о беспризорных детях и на основе этого анализа и при участии детей разработать комплексную стратегию по устранению коренных причин этого явления с целью его предотвращения, защиты беспризорных детей, обеспечения их восстановления и социальной реинтеграции, а также поддержки их воссоединения с семьями, когда это отвечает их наилучшим интересам;</w:t>
      </w:r>
    </w:p>
    <w:p w14:paraId="45F96998" w14:textId="520A61D2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меры по обеспечению того, чтобы беспризорные дети не подвергались аресту или задержанию за некриминальные действия или статусные правонарушения, в том числе в связи с нарушением комендантского часа;</w:t>
      </w:r>
    </w:p>
    <w:p w14:paraId="0C54D3EC" w14:textId="73579D34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создать механизм мониторинга и контроля за детьми, вызволенными с улицы, и обеспечить доступ к механизмам подачи жалоб;</w:t>
      </w:r>
    </w:p>
    <w:p w14:paraId="2D52C732" w14:textId="0336C257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улучшить жилищные условия и обеспечить доступ к адекватным образовательным и психосоциальным услугам.</w:t>
      </w:r>
    </w:p>
    <w:p w14:paraId="5BB0A76C" w14:textId="77777777" w:rsidR="003D6EE6" w:rsidRPr="003D6EE6" w:rsidRDefault="003D6EE6" w:rsidP="00D7240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Торговля, контрабанда и похищение детей</w:t>
      </w:r>
    </w:p>
    <w:p w14:paraId="2313C768" w14:textId="61002039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40.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последовательные усилия государства-участника по ликвидации торговли людьми, включая расширенный Закон о борьбе с торговлей людьми от 2012 года (Республиканский закон № 10364), Национальный стратегический план действий по борьбе с торговлей людьми (2017</w:t>
      </w:r>
      <w:r w:rsidR="00D72409" w:rsidRPr="00D72409">
        <w:rPr>
          <w:rFonts w:eastAsia="SimSun" w:cs="Times New Roman"/>
          <w:b/>
          <w:bCs/>
          <w:szCs w:val="20"/>
          <w:lang w:eastAsia="zh-CN"/>
        </w:rPr>
        <w:t>‒</w:t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2021 годы), создание центра кибермониторинга торговли людьми и запуск горячей линии, Комитет по-прежнему обеспокоен широко распространенной </w:t>
      </w:r>
      <w:r w:rsidRPr="003D6EE6">
        <w:rPr>
          <w:rFonts w:eastAsia="SimSun" w:cs="Times New Roman"/>
          <w:b/>
          <w:bCs/>
          <w:szCs w:val="20"/>
          <w:lang w:eastAsia="zh-CN"/>
        </w:rPr>
        <w:lastRenderedPageBreak/>
        <w:t>торговлей детьми, которая, по сообщениям, усилилась во время пандемии COVID-19.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48D5AD35" w14:textId="6388B68A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систематический сбор и оценку данных о детях, ставших жертвами любой формы торговли людьми;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4862AE95" w14:textId="64037E86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предоставить адекватные ресурсы для обеспечения эффективной реализации, мониторинга и оценки обновленного плана действий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(2023–2027</w:t>
      </w:r>
      <w:r w:rsidR="003D6EE6">
        <w:rPr>
          <w:rFonts w:eastAsia="SimSun" w:cs="Times New Roman"/>
          <w:b/>
          <w:bCs/>
          <w:szCs w:val="20"/>
          <w:lang w:eastAsia="zh-CN"/>
        </w:rPr>
        <w:t xml:space="preserve"> </w:t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годы);</w:t>
      </w:r>
    </w:p>
    <w:p w14:paraId="0CD06C4A" w14:textId="7519C274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работу с целью эффективно расследовать случаи торговли детьми и преследовать правонарушителей в уголовном порядке и обеспечить назначение соответствующих мер наказания виновным, в том числе за причастность должностных лиц;</w:t>
      </w:r>
    </w:p>
    <w:p w14:paraId="32D70469" w14:textId="035ED1B9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укреплять потенциал трудовых инспекторов, сотрудников правоохранительных органов, прокуроров и судей для выявления, оценки и направления в соответствующие службы детей, ставших жертвами торговли людьми;</w:t>
      </w:r>
    </w:p>
    <w:p w14:paraId="7DD10C74" w14:textId="67A051BD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выделять адекватные ресурсы для обеспечения того, чтобы дети, ставшие жертвами торговли людьми, имели доступ к специализированным услугам и компенсации;</w:t>
      </w:r>
    </w:p>
    <w:p w14:paraId="57D7B5F3" w14:textId="28AD69F7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информационно-просветительскую деятельность по предотвращению торговли людьми, уделяя особое внимание зонам риска,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донести до родителей и детей опасность торговли людьми.</w:t>
      </w:r>
    </w:p>
    <w:p w14:paraId="096C1634" w14:textId="77777777" w:rsidR="003D6EE6" w:rsidRPr="003D6EE6" w:rsidRDefault="003D6EE6" w:rsidP="00D7240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Отправление правосудия в отношении детей</w:t>
      </w:r>
    </w:p>
    <w:p w14:paraId="129C8416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41.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Приветствуя усилия государства-участника по сохранению возраста наступления уголовной ответственности на уровне 15 лет и поощрению практики выведения несовершеннолетних правонарушителей из системы уголовного правосудия, Комитет напоминает о своем замечании общего порядка № 24 (2019) и рекомендует государству-участнику:</w:t>
      </w:r>
    </w:p>
    <w:p w14:paraId="19840681" w14:textId="574BBC25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выполнение Закона о ювенальной юстиции и благополучии 2006 года с поправками, внесенными в 2012 году Республиканским законом № 10630, при координации действий соответствующих органов власти, в том числе путем обеспечения достаточного количества социальных работников и постоянного наращивания потенциала соответствующих специалистов в системе детского правосудия;</w:t>
      </w:r>
    </w:p>
    <w:p w14:paraId="78FA336A" w14:textId="0F7DB841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сбор и анализ дезагрегированных данных о детях в системе детского правосудия с целью информационного обеспечения своей политики;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31935E52" w14:textId="65123CCD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соблюдение процессуальных гарантий, включая доступ к материалам дела и предоставление юридической помощи, для всех детей, в том числе арестованных по обвинению в хранении наркотиков;</w:t>
      </w:r>
    </w:p>
    <w:p w14:paraId="7D965085" w14:textId="07B35E3E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соблюдение презумпции несовершеннолетия;</w:t>
      </w:r>
    </w:p>
    <w:p w14:paraId="0A9BEB44" w14:textId="0015A6A5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продолжать содействовать выведению детей, обвиняемых в уголовных преступлениях, из системы уголовного правосудия, начиная с самой ранней возможности после того, как ребенок вступил в контакт с системой;</w:t>
      </w:r>
    </w:p>
    <w:p w14:paraId="1A9D4761" w14:textId="6D737DE7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чтобы содержание под стражей никогда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не использовалось для статусных правонарушений;</w:t>
      </w:r>
    </w:p>
    <w:p w14:paraId="1EC80625" w14:textId="170042F6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g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 тех немногих ситуациях, когда лишение свободы используется в качестве крайней меры, обеспечить, чтобы оно назначалось на как можно более короткий срок и пересматривалось на регулярной основе с целью его отмены, чтобы дети-правонарушители содержались отдельно от жертв и взрослых правонарушителей, чтобы условия содержания соответствовали международным стандартам и чтобы все места содержания под стражей подвергались постоянному независимому мониторингу.</w:t>
      </w:r>
    </w:p>
    <w:p w14:paraId="7AA06BDD" w14:textId="3EAEBA20" w:rsidR="003D6EE6" w:rsidRPr="003D6EE6" w:rsidRDefault="0062735D" w:rsidP="0062735D">
      <w:pPr>
        <w:pStyle w:val="H1G"/>
        <w:rPr>
          <w:rFonts w:eastAsia="SimSun"/>
        </w:rPr>
      </w:pPr>
      <w:r>
        <w:rPr>
          <w:rFonts w:eastAsia="SimSun"/>
        </w:rPr>
        <w:lastRenderedPageBreak/>
        <w:tab/>
      </w:r>
      <w:r w:rsidR="003D6EE6" w:rsidRPr="003D6EE6">
        <w:rPr>
          <w:rFonts w:eastAsia="SimSun"/>
        </w:rPr>
        <w:t>K.</w:t>
      </w:r>
      <w:r w:rsidR="003D6EE6" w:rsidRPr="003D6EE6">
        <w:rPr>
          <w:rFonts w:eastAsia="SimSun"/>
        </w:rPr>
        <w:tab/>
        <w:t>Последующие меры в связи с предыдущими заключительными замечаниями и рекомендациями Комитета по осуществлению факультативных протоколов к Конвенции</w:t>
      </w:r>
    </w:p>
    <w:p w14:paraId="775706DA" w14:textId="77777777" w:rsidR="003D6EE6" w:rsidRPr="003D6EE6" w:rsidRDefault="003D6EE6" w:rsidP="00D7240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Факультативный протокол, касающийся торговли детьми, детской проституции и детской порнографии</w:t>
      </w:r>
    </w:p>
    <w:p w14:paraId="60AEC5EA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42.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приветствует принятие Закона о борьбе с детской порнографией 2009 года (Республиканский закон № 9775), начало кампании #StopChildPornPh и запуск горячей линии eProtectKids для сообщений о сексуальном насилии над детьми и материалах в режиме онлайн.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2BEB916D" w14:textId="375FF142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четко определить и криминализировать все правонарушения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в соответствии со статьями 2 и 3 Факультативного протокола;</w:t>
      </w:r>
    </w:p>
    <w:p w14:paraId="0736E043" w14:textId="6D400DD1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активизировать усилия по искоренению коммерческого секса,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а также терпимости и поощрения сексуальной эксплуатации детей;</w:t>
      </w:r>
      <w:r w:rsidR="003D6EE6" w:rsidRPr="003D6EE6">
        <w:rPr>
          <w:rFonts w:eastAsia="SimSun" w:cs="Times New Roman"/>
          <w:szCs w:val="20"/>
          <w:lang w:eastAsia="zh-CN"/>
        </w:rPr>
        <w:t xml:space="preserve"> </w:t>
      </w:r>
    </w:p>
    <w:p w14:paraId="5F461FC3" w14:textId="21E9A948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регулирование и мониторинг индустрии туризма и онлайн-среды;</w:t>
      </w:r>
    </w:p>
    <w:p w14:paraId="203D693D" w14:textId="06962056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выявление, расследование, судебное преследование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наказание по делам, подпадающим под действие Факультативного протокола;</w:t>
      </w:r>
    </w:p>
    <w:p w14:paraId="6EFB0420" w14:textId="486326AF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 установление и применение уголовной ответственности юридических лиц и экстерриториальной юрисдикции;</w:t>
      </w:r>
    </w:p>
    <w:p w14:paraId="2EDA3DF5" w14:textId="0E8ABD4B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f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защиту прав детей-жертв и свидетелей в ходе судебных разбирательств и предоставить адекватные услуги для обеспечения их восстановления и интеграции.</w:t>
      </w:r>
    </w:p>
    <w:p w14:paraId="05879D13" w14:textId="77777777" w:rsidR="003D6EE6" w:rsidRPr="003D6EE6" w:rsidRDefault="003D6EE6" w:rsidP="00D72409">
      <w:pPr>
        <w:pStyle w:val="H23G"/>
        <w:rPr>
          <w:rFonts w:eastAsia="SimSun"/>
        </w:rPr>
      </w:pPr>
      <w:r w:rsidRPr="003D6EE6">
        <w:rPr>
          <w:rFonts w:eastAsia="SimSun"/>
        </w:rPr>
        <w:tab/>
      </w:r>
      <w:r w:rsidRPr="003D6EE6">
        <w:rPr>
          <w:rFonts w:eastAsia="SimSun"/>
        </w:rPr>
        <w:tab/>
        <w:t>Факультативный протокол, касающийся участия детей в вооруженных конфликтах</w:t>
      </w:r>
    </w:p>
    <w:p w14:paraId="3EA196CD" w14:textId="77777777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43.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приветствует улучшение ситуации с детьми в вооруженных конфликтах в государстве-участнике и принятие в 2019 году Закона о специальной защите детей в ситуациях вооруженных конфликтов.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Однако Комитет обеспокоен тем, что дети продолжают страдать от конфликтов между правительством и вооруженными военными группами, преимущественно в регионе Минданао, и что многие дети были задержаны за предполагаемую связь с такими группами.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настоятельно призывает государство-участник:</w:t>
      </w:r>
    </w:p>
    <w:p w14:paraId="58231974" w14:textId="24A03DEB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a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предотвращать вербовку и использование детей вооруженными силами и вооруженными группами, расследовать и преследовать такие случаи и привлекать виновных к ответственности;</w:t>
      </w:r>
    </w:p>
    <w:p w14:paraId="55944EF5" w14:textId="32742DA0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b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обеспечить, чтобы дети не подвергались уголовному преследованию за вербовку или использование в военных действиях и чтобы они не содержались в военных лагерях;</w:t>
      </w:r>
    </w:p>
    <w:p w14:paraId="35A5E259" w14:textId="66043522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c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усилить меры, направленные на демобилизацию, физическое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психологическое восстановление и социальную реинтеграцию детей в районах, затронутых конфликтом, включая меры по решению проблем перемещения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задержания, предотвращению повторной вербовки в вооруженные группы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повторной связи с ними, а также обеспечению доступа к социальным</w:t>
      </w:r>
      <w:r>
        <w:rPr>
          <w:rFonts w:eastAsia="SimSun" w:cs="Times New Roman"/>
          <w:b/>
          <w:bCs/>
          <w:szCs w:val="20"/>
          <w:lang w:eastAsia="zh-CN"/>
        </w:rPr>
        <w:br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и медицинским услугам, образованию и развитию;</w:t>
      </w:r>
    </w:p>
    <w:p w14:paraId="37E945E7" w14:textId="6024A1A4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d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облегчить доступ в районы, затронутые конфликтом, субъектам, занимающимся защитой детей, для мониторинга и отчетности;</w:t>
      </w:r>
    </w:p>
    <w:p w14:paraId="0B2B7308" w14:textId="7859EC96" w:rsidR="003D6EE6" w:rsidRPr="003D6EE6" w:rsidRDefault="00D72409" w:rsidP="003D6EE6">
      <w:pPr>
        <w:tabs>
          <w:tab w:val="left" w:pos="1701"/>
          <w:tab w:val="left" w:pos="2268"/>
        </w:tabs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>
        <w:rPr>
          <w:rFonts w:eastAsia="SimSun" w:cs="Times New Roman"/>
          <w:b/>
          <w:bCs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e</w:t>
      </w:r>
      <w:r w:rsidR="003D6EE6" w:rsidRPr="003D6EE6">
        <w:rPr>
          <w:rFonts w:eastAsia="SimSun" w:cs="Times New Roman"/>
          <w:szCs w:val="20"/>
          <w:lang w:eastAsia="zh-CN"/>
        </w:rPr>
        <w:t>)</w:t>
      </w:r>
      <w:r w:rsidR="003D6EE6" w:rsidRPr="003D6EE6">
        <w:rPr>
          <w:rFonts w:eastAsia="SimSun" w:cs="Times New Roman"/>
          <w:szCs w:val="20"/>
          <w:lang w:eastAsia="zh-CN"/>
        </w:rPr>
        <w:tab/>
      </w:r>
      <w:r w:rsidR="003D6EE6" w:rsidRPr="003D6EE6">
        <w:rPr>
          <w:rFonts w:eastAsia="SimSun" w:cs="Times New Roman"/>
          <w:b/>
          <w:bCs/>
          <w:szCs w:val="20"/>
          <w:lang w:eastAsia="zh-CN"/>
        </w:rPr>
        <w:t>осуществлять Конвенцию о запрещении применения, накопления запасов, производства и передачи противопехотных мин и об их уничтожении.</w:t>
      </w:r>
    </w:p>
    <w:p w14:paraId="1CE8B1A8" w14:textId="26E66EF6" w:rsidR="003D6EE6" w:rsidRPr="003D6EE6" w:rsidRDefault="0062735D" w:rsidP="0062735D">
      <w:pPr>
        <w:pStyle w:val="H1G"/>
        <w:rPr>
          <w:rFonts w:eastAsia="SimSun"/>
        </w:rPr>
      </w:pPr>
      <w:r>
        <w:rPr>
          <w:rFonts w:eastAsia="SimSun"/>
        </w:rPr>
        <w:lastRenderedPageBreak/>
        <w:tab/>
      </w:r>
      <w:r w:rsidR="003D6EE6" w:rsidRPr="003D6EE6">
        <w:rPr>
          <w:rFonts w:eastAsia="SimSun"/>
        </w:rPr>
        <w:t>L.</w:t>
      </w:r>
      <w:r w:rsidR="003D6EE6" w:rsidRPr="003D6EE6">
        <w:rPr>
          <w:rFonts w:eastAsia="SimSun"/>
        </w:rPr>
        <w:tab/>
        <w:t xml:space="preserve">Ратификация Факультативного протокола, касающегося процедуры сообщений </w:t>
      </w:r>
    </w:p>
    <w:p w14:paraId="25F432E7" w14:textId="713B9F44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44.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протокол, касающийся процедуры сообщений</w:t>
      </w:r>
      <w:r w:rsidRPr="003D6EE6">
        <w:rPr>
          <w:rFonts w:eastAsia="SimSun" w:cs="Times New Roman"/>
          <w:szCs w:val="20"/>
          <w:lang w:eastAsia="zh-CN"/>
        </w:rPr>
        <w:t>.</w:t>
      </w:r>
    </w:p>
    <w:p w14:paraId="24519C97" w14:textId="58DD9C80" w:rsidR="003D6EE6" w:rsidRPr="003D6EE6" w:rsidRDefault="0062735D" w:rsidP="0062735D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M.</w:t>
      </w:r>
      <w:r w:rsidR="003D6EE6" w:rsidRPr="003D6EE6">
        <w:rPr>
          <w:rFonts w:eastAsia="SimSun"/>
        </w:rPr>
        <w:tab/>
        <w:t>Ратификация международных договоров по правам человека</w:t>
      </w:r>
    </w:p>
    <w:p w14:paraId="69F10A12" w14:textId="7F7A5B38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u w:val="single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45.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государству-участнику, с тем чтобы еще больше укреплять осуществление прав детей, рассмотреть возможность ратификации Международной конвенции для защиты всех лиц от насильственных исчезновений.</w:t>
      </w:r>
    </w:p>
    <w:p w14:paraId="5F1C3DBD" w14:textId="09222F39" w:rsidR="003D6EE6" w:rsidRPr="003D6EE6" w:rsidRDefault="0062735D" w:rsidP="0062735D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N.</w:t>
      </w:r>
      <w:r w:rsidR="003D6EE6" w:rsidRPr="003D6EE6">
        <w:rPr>
          <w:rFonts w:eastAsia="SimSun"/>
        </w:rPr>
        <w:tab/>
        <w:t>Сотрудничество с региональными органами</w:t>
      </w:r>
    </w:p>
    <w:p w14:paraId="59795666" w14:textId="140A786B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46.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сотрудничать, среди прочего, с Комиссией Ассоциации государств Юго-Восточной Азии по поощрению и защите прав женщин и детей.</w:t>
      </w:r>
    </w:p>
    <w:p w14:paraId="1EF45F9F" w14:textId="683A76B6" w:rsidR="003D6EE6" w:rsidRPr="003D6EE6" w:rsidRDefault="0062735D" w:rsidP="0062735D">
      <w:pPr>
        <w:pStyle w:val="HChG"/>
        <w:rPr>
          <w:rFonts w:eastAsia="SimSun"/>
        </w:rPr>
      </w:pPr>
      <w:r>
        <w:rPr>
          <w:rFonts w:eastAsia="SimSun"/>
          <w:bCs/>
        </w:rPr>
        <w:tab/>
      </w:r>
      <w:r w:rsidR="003D6EE6" w:rsidRPr="003D6EE6">
        <w:rPr>
          <w:rFonts w:eastAsia="SimSun"/>
          <w:bCs/>
        </w:rPr>
        <w:t>IV.</w:t>
      </w:r>
      <w:r w:rsidR="003D6EE6" w:rsidRPr="003D6EE6">
        <w:rPr>
          <w:rFonts w:eastAsia="SimSun"/>
        </w:rPr>
        <w:tab/>
        <w:t>Меры по осуществлению и представление докладов</w:t>
      </w:r>
    </w:p>
    <w:p w14:paraId="20052510" w14:textId="0B53A2B9" w:rsidR="003D6EE6" w:rsidRPr="003D6EE6" w:rsidRDefault="0062735D" w:rsidP="0062735D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A.</w:t>
      </w:r>
      <w:r w:rsidR="003D6EE6" w:rsidRPr="003D6EE6">
        <w:rPr>
          <w:rFonts w:eastAsia="SimSun"/>
        </w:rPr>
        <w:tab/>
        <w:t>Последующая деятельность и распространение информации</w:t>
      </w:r>
    </w:p>
    <w:p w14:paraId="006BA98A" w14:textId="2DF37D50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47.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</w:t>
      </w:r>
      <w:r w:rsidR="00D7240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в настоящих заключительных замечаниях, и распространения их среди детей,</w:t>
      </w:r>
      <w:r w:rsidR="00D7240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в том числе наиболее обездоленных, в понятной для детей форме и обеспечения их широкой доступности.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</w:p>
    <w:p w14:paraId="3D53B4A0" w14:textId="6E646EF4" w:rsidR="003D6EE6" w:rsidRPr="003D6EE6" w:rsidRDefault="0062735D" w:rsidP="0062735D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B.</w:t>
      </w:r>
      <w:r w:rsidR="003D6EE6" w:rsidRPr="003D6EE6">
        <w:rPr>
          <w:rFonts w:eastAsia="SimSun"/>
        </w:rPr>
        <w:tab/>
      </w:r>
      <w:r w:rsidR="003D6EE6" w:rsidRPr="003D6EE6">
        <w:rPr>
          <w:rFonts w:eastAsia="SimSun"/>
        </w:rPr>
        <w:tab/>
        <w:t>Национальный механизм представления докладов и последующей деятельности</w:t>
      </w:r>
    </w:p>
    <w:p w14:paraId="4F453F62" w14:textId="619F742B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48.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рекомендует государству-участнику укрепить</w:t>
      </w:r>
      <w:r w:rsidR="00D7240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свой национальный механизм представления докладов и последующей деятельности </w:t>
      </w:r>
      <w:r w:rsidR="00D72409" w:rsidRPr="00D72409">
        <w:rPr>
          <w:rFonts w:eastAsia="SimSun" w:cs="Times New Roman"/>
          <w:b/>
          <w:bCs/>
          <w:szCs w:val="20"/>
          <w:lang w:eastAsia="zh-CN"/>
        </w:rPr>
        <w:t>‒‒</w:t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 Секретариат Президентского комитета по правам человека </w:t>
      </w:r>
      <w:r w:rsidR="00D72409" w:rsidRPr="00D72409">
        <w:rPr>
          <w:rFonts w:eastAsia="SimSun" w:cs="Times New Roman"/>
          <w:b/>
          <w:bCs/>
          <w:szCs w:val="20"/>
          <w:lang w:eastAsia="zh-CN"/>
        </w:rPr>
        <w:t>‒‒</w:t>
      </w:r>
      <w:r w:rsidR="00D7240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и обеспечить наличие у него мандата и достаточных кадровых, технических и финансовых ресурсов для координации и подготовки докладов международным и региональным механизмам по правам человека и взаимодействия с ними,</w:t>
      </w:r>
      <w:r w:rsidR="00D7240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а также для координации и отслеживания национальных последующих действий и выполнения договорных обязательств и рекомендаций и решений,</w:t>
      </w:r>
      <w:r>
        <w:rPr>
          <w:rFonts w:eastAsia="SimSun" w:cs="Times New Roman"/>
          <w:b/>
          <w:bCs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исходящих от таких механизмов.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подчеркивает, что Секретариат Президентского комитета по правам человека должен получать адекватную и постоянную поддержку со стороны специально выделенных сотрудников и иметь возможность проводить систематические консультации с Комиссией по правам человека Филиппин и гражданским обществом.</w:t>
      </w:r>
    </w:p>
    <w:p w14:paraId="2E9D6F11" w14:textId="0A40B5D4" w:rsidR="003D6EE6" w:rsidRPr="00E4412E" w:rsidRDefault="0062735D" w:rsidP="0062735D">
      <w:pPr>
        <w:pStyle w:val="H1G"/>
        <w:rPr>
          <w:rFonts w:eastAsia="SimSun"/>
        </w:rPr>
      </w:pPr>
      <w:r>
        <w:rPr>
          <w:rFonts w:eastAsia="SimSun"/>
        </w:rPr>
        <w:tab/>
      </w:r>
      <w:r w:rsidR="003D6EE6" w:rsidRPr="003D6EE6">
        <w:rPr>
          <w:rFonts w:eastAsia="SimSun"/>
        </w:rPr>
        <w:t>C.</w:t>
      </w:r>
      <w:r w:rsidR="003D6EE6" w:rsidRPr="003D6EE6">
        <w:rPr>
          <w:rFonts w:eastAsia="SimSun"/>
        </w:rPr>
        <w:tab/>
        <w:t>Следующий доклад</w:t>
      </w:r>
    </w:p>
    <w:p w14:paraId="68BA9832" w14:textId="2E1B59D4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b/>
          <w:bCs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49.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Комитет предлагает государству-участнику представить свои объединенные седьмой и восьмой периодические доклады к 19 сентября 2027 года и включить в них информацию о последующей деятельности по осуществлению </w:t>
      </w:r>
      <w:r w:rsidRPr="003D6EE6">
        <w:rPr>
          <w:rFonts w:eastAsia="SimSun" w:cs="Times New Roman"/>
          <w:b/>
          <w:bCs/>
          <w:szCs w:val="20"/>
          <w:lang w:eastAsia="zh-CN"/>
        </w:rPr>
        <w:lastRenderedPageBreak/>
        <w:t>настоящих заключительных замечаний.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Pr="003D6EE6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5"/>
      </w:r>
      <w:r w:rsidR="0062735D">
        <w:rPr>
          <w:rFonts w:eastAsia="SimSun" w:cs="Times New Roman"/>
          <w:b/>
          <w:bCs/>
          <w:szCs w:val="20"/>
          <w:lang w:eastAsia="zh-CN"/>
        </w:rPr>
        <w:t xml:space="preserve">, </w:t>
      </w:r>
      <w:r w:rsidRPr="003D6EE6">
        <w:rPr>
          <w:rFonts w:eastAsia="SimSun" w:cs="Times New Roman"/>
          <w:b/>
          <w:bCs/>
          <w:szCs w:val="20"/>
          <w:lang w:eastAsia="zh-CN"/>
        </w:rPr>
        <w:t>а его объем не должен превышать</w:t>
      </w:r>
      <w:r w:rsidR="000C762F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21</w:t>
      </w:r>
      <w:r w:rsidR="00D72409">
        <w:rPr>
          <w:rFonts w:eastAsia="SimSun" w:cs="Times New Roman"/>
          <w:b/>
          <w:bCs/>
          <w:szCs w:val="20"/>
          <w:lang w:eastAsia="zh-CN"/>
        </w:rPr>
        <w:t> </w:t>
      </w:r>
      <w:r w:rsidRPr="003D6EE6">
        <w:rPr>
          <w:rFonts w:eastAsia="SimSun" w:cs="Times New Roman"/>
          <w:b/>
          <w:bCs/>
          <w:szCs w:val="20"/>
          <w:lang w:eastAsia="zh-CN"/>
        </w:rPr>
        <w:t>200 слов</w:t>
      </w:r>
      <w:r w:rsidRPr="003D6EE6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6"/>
      </w:r>
      <w:r w:rsidR="00D72409">
        <w:rPr>
          <w:rFonts w:eastAsia="SimSun" w:cs="Times New Roman"/>
          <w:b/>
          <w:bCs/>
          <w:szCs w:val="20"/>
          <w:lang w:eastAsia="zh-CN"/>
        </w:rPr>
        <w:t>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 w:rsidRPr="003D6EE6">
        <w:rPr>
          <w:rFonts w:eastAsia="SimSun" w:cs="Times New Roman"/>
          <w:szCs w:val="20"/>
          <w:lang w:eastAsia="zh-CN"/>
        </w:rPr>
        <w:t xml:space="preserve"> </w:t>
      </w:r>
      <w:r w:rsidRPr="003D6EE6">
        <w:rPr>
          <w:rFonts w:eastAsia="SimSun" w:cs="Times New Roman"/>
          <w:b/>
          <w:bCs/>
          <w:szCs w:val="20"/>
          <w:lang w:eastAsia="zh-CN"/>
        </w:rPr>
        <w:t>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596D98C5" w14:textId="21512FBD" w:rsidR="003D6EE6" w:rsidRPr="003D6EE6" w:rsidRDefault="003D6EE6" w:rsidP="003D6EE6">
      <w:pPr>
        <w:tabs>
          <w:tab w:val="left" w:pos="1701"/>
          <w:tab w:val="left" w:pos="2268"/>
          <w:tab w:val="left" w:pos="2835"/>
        </w:tabs>
        <w:kinsoku w:val="0"/>
        <w:overflowPunct w:val="0"/>
        <w:autoSpaceDE w:val="0"/>
        <w:autoSpaceDN w:val="0"/>
        <w:adjustRightInd w:val="0"/>
        <w:snapToGrid w:val="0"/>
        <w:spacing w:after="120"/>
        <w:ind w:left="1134" w:right="1134"/>
        <w:jc w:val="both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lang w:eastAsia="zh-CN"/>
        </w:rPr>
        <w:t>50.</w:t>
      </w:r>
      <w:r w:rsidRPr="003D6EE6">
        <w:rPr>
          <w:rFonts w:eastAsia="SimSun" w:cs="Times New Roman"/>
          <w:szCs w:val="20"/>
          <w:lang w:eastAsia="zh-CN"/>
        </w:rPr>
        <w:tab/>
      </w:r>
      <w:r w:rsidRPr="003D6EE6">
        <w:rPr>
          <w:rFonts w:eastAsia="SimSun" w:cs="Times New Roman"/>
          <w:b/>
          <w:bCs/>
          <w:szCs w:val="20"/>
          <w:lang w:eastAsia="zh-CN"/>
        </w:rPr>
        <w:t>Комитет также предлагает государству-участнику представить обновленный базовый документ, не превышающий по объему 42</w:t>
      </w:r>
      <w:r w:rsidR="00D72409">
        <w:rPr>
          <w:rFonts w:eastAsia="SimSun" w:cs="Times New Roman"/>
          <w:b/>
          <w:bCs/>
          <w:szCs w:val="20"/>
          <w:lang w:eastAsia="zh-CN"/>
        </w:rPr>
        <w:t> </w:t>
      </w:r>
      <w:r w:rsidRPr="003D6EE6">
        <w:rPr>
          <w:rFonts w:eastAsia="SimSun" w:cs="Times New Roman"/>
          <w:b/>
          <w:bCs/>
          <w:szCs w:val="20"/>
          <w:lang w:eastAsia="zh-CN"/>
        </w:rPr>
        <w:t>400 слов,</w:t>
      </w:r>
      <w:r w:rsidR="00D72409">
        <w:rPr>
          <w:rFonts w:eastAsia="SimSun" w:cs="Times New Roman"/>
          <w:b/>
          <w:bCs/>
          <w:szCs w:val="20"/>
          <w:lang w:eastAsia="zh-CN"/>
        </w:rPr>
        <w:br/>
      </w:r>
      <w:r w:rsidRPr="003D6EE6">
        <w:rPr>
          <w:rFonts w:eastAsia="SimSun" w:cs="Times New Roman"/>
          <w:b/>
          <w:bCs/>
          <w:szCs w:val="20"/>
          <w:lang w:eastAsia="zh-CN"/>
        </w:rPr>
        <w:t>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</w:t>
      </w:r>
      <w:r w:rsidRPr="003D6EE6">
        <w:rPr>
          <w:rFonts w:eastAsia="SimSun" w:cs="Times New Roman"/>
          <w:sz w:val="18"/>
          <w:szCs w:val="20"/>
          <w:vertAlign w:val="superscript"/>
          <w:lang w:eastAsia="zh-CN"/>
        </w:rPr>
        <w:footnoteReference w:id="7"/>
      </w:r>
      <w:r w:rsidRPr="003D6EE6">
        <w:rPr>
          <w:rFonts w:eastAsia="SimSun" w:cs="Times New Roman"/>
          <w:b/>
          <w:bCs/>
          <w:szCs w:val="20"/>
          <w:lang w:eastAsia="zh-CN"/>
        </w:rPr>
        <w:t xml:space="preserve"> и пункте 16 резолюции 68/268 Генеральной Ассамблеи.</w:t>
      </w:r>
    </w:p>
    <w:p w14:paraId="5C8A98E7" w14:textId="77777777" w:rsidR="003D6EE6" w:rsidRPr="003D6EE6" w:rsidRDefault="003D6EE6" w:rsidP="003D6EE6">
      <w:pPr>
        <w:spacing w:before="240"/>
        <w:jc w:val="center"/>
        <w:rPr>
          <w:rFonts w:eastAsia="SimSun" w:cs="Times New Roman"/>
          <w:szCs w:val="20"/>
          <w:lang w:eastAsia="zh-CN"/>
        </w:rPr>
      </w:pPr>
      <w:r w:rsidRPr="003D6EE6">
        <w:rPr>
          <w:rFonts w:eastAsia="SimSun" w:cs="Times New Roman"/>
          <w:szCs w:val="20"/>
          <w:u w:val="single"/>
          <w:lang w:eastAsia="zh-CN"/>
        </w:rPr>
        <w:tab/>
      </w:r>
      <w:r w:rsidRPr="003D6EE6">
        <w:rPr>
          <w:rFonts w:eastAsia="SimSun" w:cs="Times New Roman"/>
          <w:szCs w:val="20"/>
          <w:u w:val="single"/>
          <w:lang w:eastAsia="zh-CN"/>
        </w:rPr>
        <w:tab/>
      </w:r>
      <w:r w:rsidRPr="003D6EE6">
        <w:rPr>
          <w:rFonts w:eastAsia="SimSun" w:cs="Times New Roman"/>
          <w:szCs w:val="20"/>
          <w:u w:val="single"/>
          <w:lang w:eastAsia="zh-CN"/>
        </w:rPr>
        <w:tab/>
      </w:r>
    </w:p>
    <w:sectPr w:rsidR="003D6EE6" w:rsidRPr="003D6EE6" w:rsidSect="003D6EE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5E02E" w14:textId="77777777" w:rsidR="00DD008A" w:rsidRPr="00A312BC" w:rsidRDefault="00DD008A" w:rsidP="00A312BC"/>
  </w:endnote>
  <w:endnote w:type="continuationSeparator" w:id="0">
    <w:p w14:paraId="0AB565E3" w14:textId="77777777" w:rsidR="00DD008A" w:rsidRPr="00A312BC" w:rsidRDefault="00DD008A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C92CCD" w14:textId="26EE9366" w:rsidR="003D6EE6" w:rsidRPr="003D6EE6" w:rsidRDefault="003D6EE6">
    <w:pPr>
      <w:pStyle w:val="a8"/>
    </w:pPr>
    <w:r w:rsidRPr="003D6EE6">
      <w:rPr>
        <w:b/>
        <w:sz w:val="18"/>
      </w:rPr>
      <w:fldChar w:fldCharType="begin"/>
    </w:r>
    <w:r w:rsidRPr="003D6EE6">
      <w:rPr>
        <w:b/>
        <w:sz w:val="18"/>
      </w:rPr>
      <w:instrText xml:space="preserve"> PAGE  \* MERGEFORMAT </w:instrText>
    </w:r>
    <w:r w:rsidRPr="003D6EE6">
      <w:rPr>
        <w:b/>
        <w:sz w:val="18"/>
      </w:rPr>
      <w:fldChar w:fldCharType="separate"/>
    </w:r>
    <w:r w:rsidRPr="003D6EE6">
      <w:rPr>
        <w:b/>
        <w:noProof/>
        <w:sz w:val="18"/>
      </w:rPr>
      <w:t>2</w:t>
    </w:r>
    <w:r w:rsidRPr="003D6EE6">
      <w:rPr>
        <w:b/>
        <w:sz w:val="18"/>
      </w:rPr>
      <w:fldChar w:fldCharType="end"/>
    </w:r>
    <w:r>
      <w:rPr>
        <w:b/>
        <w:sz w:val="18"/>
      </w:rPr>
      <w:tab/>
    </w:r>
    <w:r>
      <w:t>GE.22-17550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EAFFA" w14:textId="1454844A" w:rsidR="003D6EE6" w:rsidRPr="003D6EE6" w:rsidRDefault="003D6EE6" w:rsidP="003D6EE6">
    <w:pPr>
      <w:pStyle w:val="a8"/>
      <w:tabs>
        <w:tab w:val="clear" w:pos="9639"/>
        <w:tab w:val="right" w:pos="9638"/>
      </w:tabs>
      <w:rPr>
        <w:b/>
        <w:sz w:val="18"/>
      </w:rPr>
    </w:pPr>
    <w:r>
      <w:t>GE.22-17550</w:t>
    </w:r>
    <w:r>
      <w:tab/>
    </w:r>
    <w:r w:rsidRPr="003D6EE6">
      <w:rPr>
        <w:b/>
        <w:sz w:val="18"/>
      </w:rPr>
      <w:fldChar w:fldCharType="begin"/>
    </w:r>
    <w:r w:rsidRPr="003D6EE6">
      <w:rPr>
        <w:b/>
        <w:sz w:val="18"/>
      </w:rPr>
      <w:instrText xml:space="preserve"> PAGE  \* MERGEFORMAT </w:instrText>
    </w:r>
    <w:r w:rsidRPr="003D6EE6">
      <w:rPr>
        <w:b/>
        <w:sz w:val="18"/>
      </w:rPr>
      <w:fldChar w:fldCharType="separate"/>
    </w:r>
    <w:r w:rsidRPr="003D6EE6">
      <w:rPr>
        <w:b/>
        <w:noProof/>
        <w:sz w:val="18"/>
      </w:rPr>
      <w:t>3</w:t>
    </w:r>
    <w:r w:rsidRPr="003D6EE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30A2A" w14:textId="5D2B39A3" w:rsidR="00042B72" w:rsidRPr="003D6EE6" w:rsidRDefault="003D6EE6" w:rsidP="003D6EE6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DF0549C" wp14:editId="2BAE883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22-17550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6B56032" wp14:editId="77FE095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131222  030323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7B77C" w14:textId="77777777" w:rsidR="00DD008A" w:rsidRPr="001075E9" w:rsidRDefault="00DD008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AB5477A" w14:textId="77777777" w:rsidR="00DD008A" w:rsidRDefault="00DD008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18BFDE" w14:textId="74837CB9" w:rsidR="003D6EE6" w:rsidRPr="003335B3" w:rsidRDefault="003D6EE6" w:rsidP="003D6EE6">
      <w:pPr>
        <w:pStyle w:val="ad"/>
      </w:pPr>
      <w:r>
        <w:tab/>
        <w:t>*</w:t>
      </w:r>
      <w:r>
        <w:tab/>
        <w:t xml:space="preserve">Приняты Комитетом на его девяносто первой сессии (29 августа </w:t>
      </w:r>
      <w:r w:rsidRPr="00B76E19">
        <w:t>‒‒</w:t>
      </w:r>
      <w:r>
        <w:t xml:space="preserve"> 23 сентября 2022 года).</w:t>
      </w:r>
    </w:p>
  </w:footnote>
  <w:footnote w:id="2">
    <w:p w14:paraId="6C857B57" w14:textId="5935C947" w:rsidR="003D6EE6" w:rsidRPr="003335B3" w:rsidRDefault="003D6EE6" w:rsidP="003D6EE6">
      <w:pPr>
        <w:pStyle w:val="ad"/>
      </w:pPr>
      <w:r>
        <w:tab/>
      </w:r>
      <w:r w:rsidRPr="0062735D">
        <w:rPr>
          <w:rStyle w:val="aa"/>
        </w:rPr>
        <w:footnoteRef/>
      </w:r>
      <w:r>
        <w:tab/>
      </w:r>
      <w:hyperlink r:id="rId1" w:history="1">
        <w:r w:rsidR="00FA033F" w:rsidRPr="00FA033F">
          <w:rPr>
            <w:rStyle w:val="af1"/>
            <w:lang w:val="en-GB"/>
          </w:rPr>
          <w:t>CRC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C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PHL</w:t>
        </w:r>
        <w:r w:rsidR="00FA033F" w:rsidRPr="00E4412E">
          <w:rPr>
            <w:rStyle w:val="af1"/>
          </w:rPr>
          <w:t>/5-6</w:t>
        </w:r>
      </w:hyperlink>
      <w:r>
        <w:t>.</w:t>
      </w:r>
    </w:p>
  </w:footnote>
  <w:footnote w:id="3">
    <w:p w14:paraId="57D9B4B0" w14:textId="61F6001E" w:rsidR="003D6EE6" w:rsidRPr="00E4412E" w:rsidRDefault="003D6EE6" w:rsidP="003D6EE6">
      <w:pPr>
        <w:pStyle w:val="ad"/>
      </w:pPr>
      <w:r>
        <w:tab/>
      </w:r>
      <w:r w:rsidRPr="0062735D">
        <w:rPr>
          <w:rStyle w:val="aa"/>
        </w:rPr>
        <w:footnoteRef/>
      </w:r>
      <w:r>
        <w:tab/>
        <w:t xml:space="preserve">См. </w:t>
      </w:r>
      <w:hyperlink r:id="rId2" w:history="1">
        <w:r w:rsidRPr="003D6EE6">
          <w:rPr>
            <w:rStyle w:val="af1"/>
            <w:lang w:val="en-US"/>
          </w:rPr>
          <w:t>CRC</w:t>
        </w:r>
        <w:r w:rsidRPr="00E4412E">
          <w:rPr>
            <w:rStyle w:val="af1"/>
          </w:rPr>
          <w:t>/</w:t>
        </w:r>
        <w:r w:rsidRPr="003D6EE6">
          <w:rPr>
            <w:rStyle w:val="af1"/>
            <w:lang w:val="en-US"/>
          </w:rPr>
          <w:t>C</w:t>
        </w:r>
        <w:r w:rsidRPr="00E4412E">
          <w:rPr>
            <w:rStyle w:val="af1"/>
          </w:rPr>
          <w:t>/</w:t>
        </w:r>
        <w:r w:rsidRPr="003D6EE6">
          <w:rPr>
            <w:rStyle w:val="af1"/>
            <w:lang w:val="en-US"/>
          </w:rPr>
          <w:t>SR</w:t>
        </w:r>
        <w:r w:rsidRPr="00E4412E">
          <w:rPr>
            <w:rStyle w:val="af1"/>
          </w:rPr>
          <w:t>.2652</w:t>
        </w:r>
      </w:hyperlink>
      <w:r w:rsidRPr="00E4412E">
        <w:t xml:space="preserve"> </w:t>
      </w:r>
      <w:r>
        <w:t>и</w:t>
      </w:r>
      <w:r w:rsidRPr="00E4412E">
        <w:t xml:space="preserve"> </w:t>
      </w:r>
      <w:hyperlink r:id="rId3" w:history="1">
        <w:r w:rsidRPr="003D6EE6">
          <w:rPr>
            <w:rStyle w:val="af1"/>
            <w:lang w:val="en-US"/>
          </w:rPr>
          <w:t>CRC</w:t>
        </w:r>
        <w:r w:rsidRPr="00E4412E">
          <w:rPr>
            <w:rStyle w:val="af1"/>
          </w:rPr>
          <w:t>/</w:t>
        </w:r>
        <w:r w:rsidRPr="003D6EE6">
          <w:rPr>
            <w:rStyle w:val="af1"/>
            <w:lang w:val="en-US"/>
          </w:rPr>
          <w:t>C</w:t>
        </w:r>
        <w:r w:rsidRPr="00E4412E">
          <w:rPr>
            <w:rStyle w:val="af1"/>
          </w:rPr>
          <w:t>/</w:t>
        </w:r>
        <w:r w:rsidRPr="003D6EE6">
          <w:rPr>
            <w:rStyle w:val="af1"/>
            <w:lang w:val="en-US"/>
          </w:rPr>
          <w:t>SR</w:t>
        </w:r>
        <w:r w:rsidRPr="00E4412E">
          <w:rPr>
            <w:rStyle w:val="af1"/>
          </w:rPr>
          <w:t>.2653</w:t>
        </w:r>
      </w:hyperlink>
      <w:r w:rsidRPr="00E4412E">
        <w:t>.</w:t>
      </w:r>
    </w:p>
  </w:footnote>
  <w:footnote w:id="4">
    <w:p w14:paraId="55F595FC" w14:textId="75DC78BE" w:rsidR="003D6EE6" w:rsidRPr="00E4412E" w:rsidRDefault="003D6EE6" w:rsidP="003D6EE6">
      <w:pPr>
        <w:pStyle w:val="ad"/>
        <w:spacing w:after="240"/>
      </w:pPr>
      <w:r w:rsidRPr="00E4412E">
        <w:tab/>
      </w:r>
      <w:r w:rsidRPr="0062735D">
        <w:rPr>
          <w:rStyle w:val="aa"/>
        </w:rPr>
        <w:footnoteRef/>
      </w:r>
      <w:r w:rsidRPr="00E4412E">
        <w:tab/>
      </w:r>
      <w:hyperlink r:id="rId4" w:history="1">
        <w:r w:rsidR="00FA033F" w:rsidRPr="00FA033F">
          <w:rPr>
            <w:rStyle w:val="af1"/>
            <w:lang w:val="en-GB"/>
          </w:rPr>
          <w:t>CRC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C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PHL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RQ</w:t>
        </w:r>
        <w:r w:rsidR="00FA033F" w:rsidRPr="00E4412E">
          <w:rPr>
            <w:rStyle w:val="af1"/>
          </w:rPr>
          <w:t>/5-6</w:t>
        </w:r>
      </w:hyperlink>
      <w:r w:rsidRPr="00E4412E">
        <w:t xml:space="preserve"> </w:t>
      </w:r>
      <w:r>
        <w:t>и</w:t>
      </w:r>
      <w:r w:rsidRPr="00E4412E">
        <w:t xml:space="preserve"> </w:t>
      </w:r>
      <w:hyperlink r:id="rId5" w:history="1">
        <w:r w:rsidR="00FA033F" w:rsidRPr="00FA033F">
          <w:rPr>
            <w:rStyle w:val="af1"/>
            <w:lang w:val="en-GB"/>
          </w:rPr>
          <w:t>CRC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C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PHL</w:t>
        </w:r>
        <w:r w:rsidR="00FA033F" w:rsidRPr="00E4412E">
          <w:rPr>
            <w:rStyle w:val="af1"/>
          </w:rPr>
          <w:t>/</w:t>
        </w:r>
        <w:r w:rsidR="00FA033F" w:rsidRPr="00FA033F">
          <w:rPr>
            <w:rStyle w:val="af1"/>
            <w:lang w:val="en-GB"/>
          </w:rPr>
          <w:t>RQ</w:t>
        </w:r>
        <w:r w:rsidR="00FA033F" w:rsidRPr="00E4412E">
          <w:rPr>
            <w:rStyle w:val="af1"/>
          </w:rPr>
          <w:t>/5-6/</w:t>
        </w:r>
        <w:r w:rsidR="00FA033F" w:rsidRPr="00FA033F">
          <w:rPr>
            <w:rStyle w:val="af1"/>
            <w:lang w:val="en-GB"/>
          </w:rPr>
          <w:t>Corr</w:t>
        </w:r>
        <w:r w:rsidR="00FA033F" w:rsidRPr="00E4412E">
          <w:rPr>
            <w:rStyle w:val="af1"/>
          </w:rPr>
          <w:t>.1</w:t>
        </w:r>
      </w:hyperlink>
      <w:r w:rsidRPr="00E4412E">
        <w:t>.</w:t>
      </w:r>
    </w:p>
  </w:footnote>
  <w:footnote w:id="5">
    <w:p w14:paraId="4987BA6A" w14:textId="468707B4" w:rsidR="003D6EE6" w:rsidRPr="003335B3" w:rsidRDefault="003D6EE6" w:rsidP="003D6EE6">
      <w:pPr>
        <w:pStyle w:val="ad"/>
      </w:pPr>
      <w:r w:rsidRPr="00E4412E">
        <w:tab/>
      </w:r>
      <w:r w:rsidRPr="0062735D">
        <w:rPr>
          <w:rStyle w:val="aa"/>
        </w:rPr>
        <w:footnoteRef/>
      </w:r>
      <w:r>
        <w:tab/>
      </w:r>
      <w:hyperlink r:id="rId6" w:history="1">
        <w:r w:rsidRPr="003D6EE6">
          <w:rPr>
            <w:rStyle w:val="af1"/>
          </w:rPr>
          <w:t>CRC/C/58/Rev.3</w:t>
        </w:r>
      </w:hyperlink>
      <w:r>
        <w:t>.</w:t>
      </w:r>
    </w:p>
  </w:footnote>
  <w:footnote w:id="6">
    <w:p w14:paraId="7707547D" w14:textId="77777777" w:rsidR="003D6EE6" w:rsidRPr="003335B3" w:rsidRDefault="003D6EE6" w:rsidP="003D6EE6">
      <w:pPr>
        <w:pStyle w:val="ad"/>
      </w:pPr>
      <w:r>
        <w:tab/>
      </w:r>
      <w:r w:rsidRPr="0062735D">
        <w:rPr>
          <w:rStyle w:val="aa"/>
        </w:rPr>
        <w:footnoteRef/>
      </w:r>
      <w:r>
        <w:tab/>
        <w:t>Резолюция 68/268 Генеральной Ассамблеи, п. 16.</w:t>
      </w:r>
    </w:p>
  </w:footnote>
  <w:footnote w:id="7">
    <w:p w14:paraId="6F413366" w14:textId="2DB26A2D" w:rsidR="003D6EE6" w:rsidRPr="003D6EE6" w:rsidRDefault="003D6EE6" w:rsidP="003D6EE6">
      <w:pPr>
        <w:pStyle w:val="ad"/>
        <w:rPr>
          <w:lang w:val="en-US"/>
        </w:rPr>
      </w:pPr>
      <w:r>
        <w:tab/>
      </w:r>
      <w:r w:rsidRPr="0062735D">
        <w:rPr>
          <w:rStyle w:val="aa"/>
        </w:rPr>
        <w:footnoteRef/>
      </w:r>
      <w:r w:rsidRPr="003335B3">
        <w:rPr>
          <w:lang w:val="en-US"/>
        </w:rPr>
        <w:tab/>
      </w:r>
      <w:hyperlink r:id="rId7" w:history="1">
        <w:r w:rsidRPr="003D6EE6">
          <w:rPr>
            <w:rStyle w:val="af1"/>
            <w:lang w:val="en-US"/>
          </w:rPr>
          <w:t>HRI/GEN/2/Rev.6</w:t>
        </w:r>
      </w:hyperlink>
      <w:r w:rsidRPr="003335B3">
        <w:rPr>
          <w:lang w:val="en-US"/>
        </w:rPr>
        <w:t xml:space="preserve">, </w:t>
      </w:r>
      <w:r>
        <w:t>гл</w:t>
      </w:r>
      <w:r w:rsidRPr="003335B3">
        <w:rPr>
          <w:lang w:val="en-US"/>
        </w:rPr>
        <w:t>. 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3F28" w14:textId="268FB00F" w:rsidR="003D6EE6" w:rsidRPr="003D6EE6" w:rsidRDefault="00E653C5">
    <w:pPr>
      <w:pStyle w:val="a5"/>
    </w:pPr>
    <w:fldSimple w:instr=" TITLE  \* MERGEFORMAT ">
      <w:r>
        <w:t>CRC/C/PHL/CO/5-6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D9F95" w14:textId="55C6B330" w:rsidR="003D6EE6" w:rsidRPr="003D6EE6" w:rsidRDefault="00E653C5" w:rsidP="003D6EE6">
    <w:pPr>
      <w:pStyle w:val="a5"/>
      <w:jc w:val="right"/>
    </w:pPr>
    <w:fldSimple w:instr=" TITLE  \* MERGEFORMAT ">
      <w:r>
        <w:t>CRC/C/PHL/CO/5-6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82799984">
    <w:abstractNumId w:val="16"/>
  </w:num>
  <w:num w:numId="2" w16cid:durableId="854539369">
    <w:abstractNumId w:val="11"/>
  </w:num>
  <w:num w:numId="3" w16cid:durableId="45302636">
    <w:abstractNumId w:val="10"/>
  </w:num>
  <w:num w:numId="4" w16cid:durableId="1221869941">
    <w:abstractNumId w:val="17"/>
  </w:num>
  <w:num w:numId="5" w16cid:durableId="2086761812">
    <w:abstractNumId w:val="13"/>
  </w:num>
  <w:num w:numId="6" w16cid:durableId="1726876126">
    <w:abstractNumId w:val="8"/>
  </w:num>
  <w:num w:numId="7" w16cid:durableId="1837065223">
    <w:abstractNumId w:val="3"/>
  </w:num>
  <w:num w:numId="8" w16cid:durableId="1036272722">
    <w:abstractNumId w:val="2"/>
  </w:num>
  <w:num w:numId="9" w16cid:durableId="940531215">
    <w:abstractNumId w:val="1"/>
  </w:num>
  <w:num w:numId="10" w16cid:durableId="1874809014">
    <w:abstractNumId w:val="0"/>
  </w:num>
  <w:num w:numId="11" w16cid:durableId="716852522">
    <w:abstractNumId w:val="9"/>
  </w:num>
  <w:num w:numId="12" w16cid:durableId="1173105163">
    <w:abstractNumId w:val="7"/>
  </w:num>
  <w:num w:numId="13" w16cid:durableId="240531907">
    <w:abstractNumId w:val="6"/>
  </w:num>
  <w:num w:numId="14" w16cid:durableId="1403061562">
    <w:abstractNumId w:val="5"/>
  </w:num>
  <w:num w:numId="15" w16cid:durableId="147786920">
    <w:abstractNumId w:val="4"/>
  </w:num>
  <w:num w:numId="16" w16cid:durableId="1140344070">
    <w:abstractNumId w:val="15"/>
  </w:num>
  <w:num w:numId="17" w16cid:durableId="1107889833">
    <w:abstractNumId w:val="12"/>
  </w:num>
  <w:num w:numId="18" w16cid:durableId="759256618">
    <w:abstractNumId w:val="14"/>
  </w:num>
  <w:num w:numId="19" w16cid:durableId="747120535">
    <w:abstractNumId w:val="15"/>
  </w:num>
  <w:num w:numId="20" w16cid:durableId="849564710">
    <w:abstractNumId w:val="12"/>
  </w:num>
  <w:num w:numId="21" w16cid:durableId="10656823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08A"/>
    <w:rsid w:val="00033EE1"/>
    <w:rsid w:val="00042B72"/>
    <w:rsid w:val="000558BD"/>
    <w:rsid w:val="000B57E7"/>
    <w:rsid w:val="000B6373"/>
    <w:rsid w:val="000C762F"/>
    <w:rsid w:val="000F09DF"/>
    <w:rsid w:val="000F61B2"/>
    <w:rsid w:val="001050CF"/>
    <w:rsid w:val="001075E9"/>
    <w:rsid w:val="0011585E"/>
    <w:rsid w:val="0013005D"/>
    <w:rsid w:val="00157ECC"/>
    <w:rsid w:val="00180183"/>
    <w:rsid w:val="0018024D"/>
    <w:rsid w:val="0018649F"/>
    <w:rsid w:val="00196389"/>
    <w:rsid w:val="001B3EF6"/>
    <w:rsid w:val="001C7A89"/>
    <w:rsid w:val="001E1CE1"/>
    <w:rsid w:val="0021273F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D6EE6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4D93"/>
    <w:rsid w:val="005961C8"/>
    <w:rsid w:val="005D7914"/>
    <w:rsid w:val="005E2B41"/>
    <w:rsid w:val="005F0B42"/>
    <w:rsid w:val="00612B95"/>
    <w:rsid w:val="0062735D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09D4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174B9"/>
    <w:rsid w:val="00C45D65"/>
    <w:rsid w:val="00C60F0C"/>
    <w:rsid w:val="00C805C9"/>
    <w:rsid w:val="00C92939"/>
    <w:rsid w:val="00CA1679"/>
    <w:rsid w:val="00CB151C"/>
    <w:rsid w:val="00CE5A1A"/>
    <w:rsid w:val="00CF2823"/>
    <w:rsid w:val="00CF55F6"/>
    <w:rsid w:val="00D121D2"/>
    <w:rsid w:val="00D17078"/>
    <w:rsid w:val="00D33D63"/>
    <w:rsid w:val="00D53C43"/>
    <w:rsid w:val="00D72409"/>
    <w:rsid w:val="00D90028"/>
    <w:rsid w:val="00D90138"/>
    <w:rsid w:val="00DD008A"/>
    <w:rsid w:val="00DD78D1"/>
    <w:rsid w:val="00DE32CD"/>
    <w:rsid w:val="00DF71B9"/>
    <w:rsid w:val="00E1542E"/>
    <w:rsid w:val="00E4412E"/>
    <w:rsid w:val="00E653C5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A03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33EE14"/>
  <w15:docId w15:val="{457FA582-14E6-47A0-ADB0-57CD59D8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3D6E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SR.2653" TargetMode="External"/><Relationship Id="rId7" Type="http://schemas.openxmlformats.org/officeDocument/2006/relationships/hyperlink" Target="http://undocs.org/ru/HRI/GEN/2/Rev.6" TargetMode="External"/><Relationship Id="rId2" Type="http://schemas.openxmlformats.org/officeDocument/2006/relationships/hyperlink" Target="http://undocs.org/ru/CRC/C/SR.2652" TargetMode="External"/><Relationship Id="rId1" Type="http://schemas.openxmlformats.org/officeDocument/2006/relationships/hyperlink" Target="http://undocs.org/en/CRC/C/PHL/5-6" TargetMode="External"/><Relationship Id="rId6" Type="http://schemas.openxmlformats.org/officeDocument/2006/relationships/hyperlink" Target="http://undocs.org/ru/CRC/C/58/Rev.3" TargetMode="External"/><Relationship Id="rId5" Type="http://schemas.openxmlformats.org/officeDocument/2006/relationships/hyperlink" Target="http://undocs.org/en/CRC/C/PHL/RQ/5-6/Corr.1" TargetMode="External"/><Relationship Id="rId4" Type="http://schemas.openxmlformats.org/officeDocument/2006/relationships/hyperlink" Target="http://undocs.org/en/CRC/C/PHL/RQ/5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19</Pages>
  <Words>6850</Words>
  <Characters>46996</Characters>
  <Application>Microsoft Office Word</Application>
  <DocSecurity>0</DocSecurity>
  <Lines>903</Lines>
  <Paragraphs>289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CRC/C/PHL/CO/5-6</vt:lpstr>
      <vt:lpstr>A/</vt:lpstr>
      <vt:lpstr>A/</vt:lpstr>
    </vt:vector>
  </TitlesOfParts>
  <Company>DCM</Company>
  <LinksUpToDate>false</LinksUpToDate>
  <CharactersWithSpaces>53557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CRC/C/PHL/CO/5-6</dc:title>
  <dc:subject/>
  <dc:creator>Anna KISSELEVA</dc:creator>
  <cp:keywords/>
  <cp:lastModifiedBy>Anna Kisseleva</cp:lastModifiedBy>
  <cp:revision>4</cp:revision>
  <cp:lastPrinted>2023-03-03T08:29:00Z</cp:lastPrinted>
  <dcterms:created xsi:type="dcterms:W3CDTF">2023-03-03T08:29:00Z</dcterms:created>
  <dcterms:modified xsi:type="dcterms:W3CDTF">2023-03-03T08:31:00Z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