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42" w:rightFromText="142" w:vertAnchor="page" w:horzAnchor="page" w:tblpX="1135" w:tblpY="285"/>
        <w:tblOverlap w:val="never"/>
        <w:bidiVisual/>
        <w:tblW w:w="9639" w:type="dxa"/>
        <w:tblBorders>
          <w:top w:val="none" w:sz="0" w:space="0" w:color="auto"/>
          <w:left w:val="none" w:sz="0" w:space="0" w:color="auto"/>
          <w:right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4"/>
        <w:gridCol w:w="5104"/>
        <w:gridCol w:w="3261"/>
      </w:tblGrid>
      <w:tr w:rsidR="006B3E27" w:rsidRPr="00E654FB" w14:paraId="5BCC2025" w14:textId="77777777" w:rsidTr="001E45CF">
        <w:trPr>
          <w:trHeight w:hRule="exact" w:val="851"/>
        </w:trPr>
        <w:tc>
          <w:tcPr>
            <w:tcW w:w="1274" w:type="dxa"/>
            <w:tcBorders>
              <w:bottom w:val="single" w:sz="4" w:space="0" w:color="auto"/>
            </w:tcBorders>
          </w:tcPr>
          <w:p w14:paraId="555EC5CC" w14:textId="77777777" w:rsidR="00B116DD" w:rsidRPr="00E654FB" w:rsidRDefault="00B116DD" w:rsidP="00F37C78">
            <w:pPr>
              <w:kinsoku w:val="0"/>
              <w:overflowPunct w:val="0"/>
              <w:autoSpaceDE w:val="0"/>
              <w:autoSpaceDN w:val="0"/>
              <w:adjustRightInd w:val="0"/>
              <w:snapToGrid w:val="0"/>
              <w:spacing w:after="80" w:line="480" w:lineRule="exact"/>
              <w:jc w:val="left"/>
              <w:rPr>
                <w:szCs w:val="40"/>
              </w:rPr>
            </w:pPr>
          </w:p>
        </w:tc>
        <w:tc>
          <w:tcPr>
            <w:tcW w:w="5104" w:type="dxa"/>
            <w:tcBorders>
              <w:bottom w:val="single" w:sz="4" w:space="0" w:color="auto"/>
            </w:tcBorders>
            <w:vAlign w:val="bottom"/>
          </w:tcPr>
          <w:p w14:paraId="2FD6F515" w14:textId="77777777" w:rsidR="006B3E27" w:rsidRPr="00E654FB" w:rsidRDefault="006B3E27" w:rsidP="005540EB">
            <w:pPr>
              <w:spacing w:after="80" w:line="480" w:lineRule="exact"/>
              <w:ind w:left="57"/>
              <w:jc w:val="left"/>
              <w:rPr>
                <w:sz w:val="30"/>
                <w:szCs w:val="30"/>
                <w:rtl/>
              </w:rPr>
            </w:pPr>
            <w:r w:rsidRPr="00E654FB">
              <w:rPr>
                <w:rFonts w:hint="cs"/>
                <w:sz w:val="30"/>
                <w:szCs w:val="30"/>
                <w:rtl/>
              </w:rPr>
              <w:t>الأمم المتحدة</w:t>
            </w:r>
          </w:p>
        </w:tc>
        <w:tc>
          <w:tcPr>
            <w:tcW w:w="3261" w:type="dxa"/>
            <w:tcBorders>
              <w:bottom w:val="single" w:sz="4" w:space="0" w:color="auto"/>
            </w:tcBorders>
            <w:vAlign w:val="bottom"/>
          </w:tcPr>
          <w:p w14:paraId="6484F587" w14:textId="2A7F6D3D" w:rsidR="006B3E27" w:rsidRPr="00BE3281" w:rsidRDefault="00BE3281" w:rsidP="00BE3281">
            <w:pPr>
              <w:bidi w:val="0"/>
              <w:jc w:val="left"/>
            </w:pPr>
            <w:r w:rsidRPr="008A74E9">
              <w:rPr>
                <w:sz w:val="40"/>
              </w:rPr>
              <w:t>CMW</w:t>
            </w:r>
            <w:r w:rsidRPr="008A74E9">
              <w:t>/C/SLV/CO/3</w:t>
            </w:r>
          </w:p>
        </w:tc>
      </w:tr>
      <w:tr w:rsidR="006B3E27" w:rsidRPr="00E654FB" w14:paraId="18135BC3" w14:textId="77777777" w:rsidTr="001E45CF">
        <w:trPr>
          <w:trHeight w:hRule="exact" w:val="2554"/>
        </w:trPr>
        <w:tc>
          <w:tcPr>
            <w:tcW w:w="1274" w:type="dxa"/>
            <w:tcBorders>
              <w:top w:val="single" w:sz="4" w:space="0" w:color="auto"/>
              <w:bottom w:val="single" w:sz="12" w:space="0" w:color="auto"/>
            </w:tcBorders>
          </w:tcPr>
          <w:p w14:paraId="40FA1F0E" w14:textId="77777777" w:rsidR="006B3E27" w:rsidRPr="00E654FB" w:rsidRDefault="0059622A" w:rsidP="001E45CF">
            <w:pPr>
              <w:jc w:val="center"/>
              <w:rPr>
                <w:rtl/>
              </w:rPr>
            </w:pPr>
            <w:r w:rsidRPr="00E654FB">
              <w:rPr>
                <w:noProof/>
              </w:rPr>
              <w:drawing>
                <wp:inline distT="0" distB="0" distL="0" distR="0" wp14:anchorId="490DA07A" wp14:editId="2AD24169">
                  <wp:extent cx="630000" cy="612000"/>
                  <wp:effectExtent l="0" t="0" r="0" b="0"/>
                  <wp:docPr id="1" name="Picture 1" descr="شعار الأمم المتحدة"/>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8">
                            <a:extLst>
                              <a:ext uri="{28A0092B-C50C-407E-A947-70E740481C1C}">
                                <a14:useLocalDpi xmlns:a14="http://schemas.microsoft.com/office/drawing/2010/main" val="0"/>
                              </a:ext>
                            </a:extLst>
                          </a:blip>
                          <a:srcRect l="-52" t="-1387" r="-52" b="-1387"/>
                          <a:stretch/>
                        </pic:blipFill>
                        <pic:spPr bwMode="auto">
                          <a:xfrm>
                            <a:off x="0" y="0"/>
                            <a:ext cx="630000" cy="612000"/>
                          </a:xfrm>
                          <a:prstGeom prst="rect">
                            <a:avLst/>
                          </a:prstGeom>
                          <a:noFill/>
                          <a:ln>
                            <a:noFill/>
                          </a:ln>
                          <a:extLst>
                            <a:ext uri="{53640926-AAD7-44D8-BBD7-CCE9431645EC}">
                              <a14:shadowObscured xmlns:a14="http://schemas.microsoft.com/office/drawing/2010/main"/>
                            </a:ext>
                          </a:extLst>
                        </pic:spPr>
                      </pic:pic>
                    </a:graphicData>
                  </a:graphic>
                </wp:inline>
              </w:drawing>
            </w:r>
          </w:p>
        </w:tc>
        <w:tc>
          <w:tcPr>
            <w:tcW w:w="5104" w:type="dxa"/>
            <w:tcBorders>
              <w:top w:val="single" w:sz="4" w:space="0" w:color="auto"/>
              <w:bottom w:val="single" w:sz="12" w:space="0" w:color="auto"/>
            </w:tcBorders>
          </w:tcPr>
          <w:p w14:paraId="56864057" w14:textId="77777777" w:rsidR="006B3E27" w:rsidRPr="00E654FB" w:rsidRDefault="001E1CAD" w:rsidP="005540EB">
            <w:pPr>
              <w:spacing w:before="120" w:after="40" w:line="560" w:lineRule="exact"/>
              <w:ind w:left="57"/>
              <w:jc w:val="left"/>
              <w:rPr>
                <w:b/>
                <w:bCs/>
                <w:sz w:val="42"/>
                <w:szCs w:val="42"/>
                <w:rtl/>
              </w:rPr>
            </w:pPr>
            <w:r w:rsidRPr="00E654FB">
              <w:rPr>
                <w:rFonts w:hint="cs"/>
                <w:b/>
                <w:bCs/>
                <w:sz w:val="42"/>
                <w:szCs w:val="42"/>
                <w:rtl/>
              </w:rPr>
              <w:t>ا</w:t>
            </w:r>
            <w:r w:rsidR="00523BAE" w:rsidRPr="00E654FB">
              <w:rPr>
                <w:rFonts w:hint="cs"/>
                <w:b/>
                <w:bCs/>
                <w:sz w:val="42"/>
                <w:szCs w:val="42"/>
                <w:rtl/>
              </w:rPr>
              <w:t>لا</w:t>
            </w:r>
            <w:r w:rsidR="004A14A6" w:rsidRPr="00E654FB">
              <w:rPr>
                <w:rFonts w:hint="cs"/>
                <w:b/>
                <w:bCs/>
                <w:sz w:val="42"/>
                <w:szCs w:val="42"/>
                <w:rtl/>
              </w:rPr>
              <w:t>تفاقي</w:t>
            </w:r>
            <w:r w:rsidR="00523BAE" w:rsidRPr="00E654FB">
              <w:rPr>
                <w:rFonts w:hint="cs"/>
                <w:b/>
                <w:bCs/>
                <w:sz w:val="42"/>
                <w:szCs w:val="42"/>
                <w:rtl/>
              </w:rPr>
              <w:t>ـ</w:t>
            </w:r>
            <w:r w:rsidR="004A14A6" w:rsidRPr="00E654FB">
              <w:rPr>
                <w:rFonts w:hint="cs"/>
                <w:b/>
                <w:bCs/>
                <w:sz w:val="42"/>
                <w:szCs w:val="42"/>
                <w:rtl/>
              </w:rPr>
              <w:t xml:space="preserve">ة </w:t>
            </w:r>
            <w:r w:rsidR="00523BAE" w:rsidRPr="00E654FB">
              <w:rPr>
                <w:rFonts w:hint="cs"/>
                <w:b/>
                <w:bCs/>
                <w:sz w:val="42"/>
                <w:szCs w:val="42"/>
                <w:rtl/>
              </w:rPr>
              <w:t xml:space="preserve">الدوليـة </w:t>
            </w:r>
            <w:r w:rsidR="0045649E" w:rsidRPr="00E654FB">
              <w:rPr>
                <w:rFonts w:hint="cs"/>
                <w:b/>
                <w:bCs/>
                <w:sz w:val="42"/>
                <w:szCs w:val="42"/>
                <w:rtl/>
              </w:rPr>
              <w:t>لحماية حقوق جميع العمال المهاجرين وأفراد أسره</w:t>
            </w:r>
            <w:r w:rsidR="0086216C" w:rsidRPr="00E654FB">
              <w:rPr>
                <w:rFonts w:hint="cs"/>
                <w:b/>
                <w:bCs/>
                <w:sz w:val="42"/>
                <w:szCs w:val="42"/>
                <w:rtl/>
              </w:rPr>
              <w:t>م</w:t>
            </w:r>
          </w:p>
        </w:tc>
        <w:tc>
          <w:tcPr>
            <w:tcW w:w="3261" w:type="dxa"/>
            <w:tcBorders>
              <w:top w:val="single" w:sz="4" w:space="0" w:color="auto"/>
              <w:bottom w:val="single" w:sz="12" w:space="0" w:color="auto"/>
            </w:tcBorders>
          </w:tcPr>
          <w:p w14:paraId="218AABAE" w14:textId="291F42FE" w:rsidR="006B3E27" w:rsidRDefault="00BE3281" w:rsidP="00336B60">
            <w:pPr>
              <w:bidi w:val="0"/>
              <w:spacing w:before="240"/>
              <w:jc w:val="left"/>
            </w:pPr>
            <w:r>
              <w:t>Dist</w:t>
            </w:r>
            <w:r w:rsidR="008A74E9" w:rsidRPr="008A74E9">
              <w:t>r.:</w:t>
            </w:r>
            <w:r>
              <w:t xml:space="preserve"> </w:t>
            </w:r>
            <w:r w:rsidR="009064BB">
              <w:t>General</w:t>
            </w:r>
          </w:p>
          <w:p w14:paraId="048CA4F1" w14:textId="18D82D11" w:rsidR="00BE3281" w:rsidRDefault="009064BB" w:rsidP="00BE3281">
            <w:pPr>
              <w:bidi w:val="0"/>
              <w:spacing w:line="240" w:lineRule="exact"/>
              <w:jc w:val="left"/>
            </w:pPr>
            <w:r w:rsidRPr="00B5322B">
              <w:t>24 May 2023</w:t>
            </w:r>
          </w:p>
          <w:p w14:paraId="38927EBF" w14:textId="77777777" w:rsidR="00BE3281" w:rsidRDefault="00BE3281" w:rsidP="00BE3281">
            <w:pPr>
              <w:bidi w:val="0"/>
              <w:spacing w:line="240" w:lineRule="exact"/>
              <w:jc w:val="left"/>
            </w:pPr>
            <w:r>
              <w:t>Arabic</w:t>
            </w:r>
          </w:p>
          <w:p w14:paraId="775F24CA" w14:textId="6DE05A81" w:rsidR="00BE3281" w:rsidRPr="00BE3281" w:rsidRDefault="00BE3281" w:rsidP="00BE3281">
            <w:pPr>
              <w:bidi w:val="0"/>
              <w:spacing w:line="240" w:lineRule="exact"/>
              <w:jc w:val="left"/>
            </w:pPr>
            <w:r>
              <w:t>Origina</w:t>
            </w:r>
            <w:r w:rsidR="008A74E9" w:rsidRPr="008A74E9">
              <w:t xml:space="preserve">l: </w:t>
            </w:r>
            <w:r w:rsidR="009064BB">
              <w:t>Spanish</w:t>
            </w:r>
          </w:p>
        </w:tc>
      </w:tr>
    </w:tbl>
    <w:p w14:paraId="5A34A0DB" w14:textId="77777777" w:rsidR="00F90355" w:rsidRPr="0006537E" w:rsidRDefault="00F90355" w:rsidP="0006537E">
      <w:pPr>
        <w:spacing w:before="120" w:line="360" w:lineRule="exact"/>
        <w:textDirection w:val="tbRlV"/>
        <w:rPr>
          <w:rFonts w:cs="Times New Roman"/>
          <w:b/>
          <w:bCs/>
          <w:sz w:val="26"/>
          <w:szCs w:val="26"/>
          <w:rtl/>
          <w:lang w:val="ar-SA" w:eastAsia="zh-TW"/>
        </w:rPr>
      </w:pPr>
      <w:r w:rsidRPr="0006537E">
        <w:rPr>
          <w:b/>
          <w:bCs/>
          <w:sz w:val="26"/>
          <w:szCs w:val="26"/>
          <w:rtl/>
        </w:rPr>
        <w:t>اللجنة المعنية بحماية حقوق جميع العمال المهاجرين وأفراد أسرهم</w:t>
      </w:r>
    </w:p>
    <w:p w14:paraId="300BD1C5" w14:textId="77777777" w:rsidR="00F90355" w:rsidRPr="00A27387" w:rsidRDefault="00F90355" w:rsidP="0006537E">
      <w:pPr>
        <w:pStyle w:val="HChGA"/>
        <w:rPr>
          <w:rFonts w:cs="Times New Roman"/>
          <w:rtl/>
          <w:lang w:val="ar-SA" w:eastAsia="zh-TW"/>
        </w:rPr>
      </w:pPr>
      <w:r w:rsidRPr="00A27387">
        <w:rPr>
          <w:rtl/>
        </w:rPr>
        <w:tab/>
      </w:r>
      <w:r w:rsidRPr="00A27387">
        <w:rPr>
          <w:rtl/>
        </w:rPr>
        <w:tab/>
        <w:t>الملاحظات الختامية بشأن التقرير الدوري الثالث للسلفادور</w:t>
      </w:r>
      <w:r w:rsidRPr="00984A96">
        <w:rPr>
          <w:rtl/>
        </w:rPr>
        <w:footnoteReference w:customMarkFollows="1" w:id="1"/>
        <w:t>*</w:t>
      </w:r>
    </w:p>
    <w:p w14:paraId="2EABF12D" w14:textId="15F0CEB7" w:rsidR="008A74E9" w:rsidRPr="008A74E9" w:rsidRDefault="00F90355" w:rsidP="000720FC">
      <w:pPr>
        <w:pStyle w:val="SingleTxtGA"/>
        <w:rPr>
          <w:rtl/>
        </w:rPr>
      </w:pPr>
      <w:r w:rsidRPr="0006537E">
        <w:rPr>
          <w:rtl/>
        </w:rPr>
        <w:t>1</w:t>
      </w:r>
      <w:r>
        <w:rPr>
          <w:rFonts w:ascii="Simplified Arabic"/>
          <w:rtl/>
        </w:rPr>
        <w:t>-</w:t>
      </w:r>
      <w:r>
        <w:rPr>
          <w:rtl/>
        </w:rPr>
        <w:tab/>
      </w:r>
      <w:r w:rsidRPr="00A27387">
        <w:rPr>
          <w:rtl/>
        </w:rPr>
        <w:t>نظرت اللجنة في التقرير الدوري الثالث للسلفادور</w:t>
      </w:r>
      <w:r w:rsidR="008A74E9">
        <w:rPr>
          <w:rStyle w:val="FootnoteReference"/>
          <w:sz w:val="20"/>
          <w:szCs w:val="20"/>
          <w:rtl/>
        </w:rPr>
        <w:t>(</w:t>
      </w:r>
      <w:r w:rsidR="008A74E9" w:rsidRPr="00A27387">
        <w:rPr>
          <w:rStyle w:val="FootnoteReference"/>
          <w:sz w:val="20"/>
          <w:szCs w:val="20"/>
          <w:rtl/>
        </w:rPr>
        <w:footnoteReference w:id="2"/>
      </w:r>
      <w:r w:rsidR="0006537E">
        <w:rPr>
          <w:rStyle w:val="FootnoteReference"/>
          <w:sz w:val="20"/>
          <w:szCs w:val="20"/>
          <w:rtl/>
        </w:rPr>
        <w:t>)</w:t>
      </w:r>
      <w:r w:rsidRPr="00A27387">
        <w:rPr>
          <w:rtl/>
        </w:rPr>
        <w:t xml:space="preserve"> في جلساتها </w:t>
      </w:r>
      <w:r w:rsidRPr="0006537E">
        <w:rPr>
          <w:rtl/>
        </w:rPr>
        <w:t>520</w:t>
      </w:r>
      <w:r w:rsidRPr="00A27387">
        <w:rPr>
          <w:rtl/>
        </w:rPr>
        <w:t xml:space="preserve"> و</w:t>
      </w:r>
      <w:r w:rsidRPr="0006537E">
        <w:rPr>
          <w:rtl/>
        </w:rPr>
        <w:t>522</w:t>
      </w:r>
      <w:r w:rsidRPr="00A27387">
        <w:rPr>
          <w:rtl/>
        </w:rPr>
        <w:t xml:space="preserve"> و</w:t>
      </w:r>
      <w:r w:rsidRPr="0006537E">
        <w:rPr>
          <w:rtl/>
        </w:rPr>
        <w:t>524</w:t>
      </w:r>
      <w:r w:rsidRPr="00A27387">
        <w:rPr>
          <w:rtl/>
        </w:rPr>
        <w:t xml:space="preserve">، المعقودة في </w:t>
      </w:r>
      <w:r w:rsidRPr="0006537E">
        <w:rPr>
          <w:rtl/>
        </w:rPr>
        <w:t>30</w:t>
      </w:r>
      <w:r w:rsidRPr="00A27387">
        <w:rPr>
          <w:rtl/>
        </w:rPr>
        <w:t xml:space="preserve"> و</w:t>
      </w:r>
      <w:r w:rsidRPr="0006537E">
        <w:rPr>
          <w:rtl/>
        </w:rPr>
        <w:t>31</w:t>
      </w:r>
      <w:r w:rsidRPr="00A27387">
        <w:rPr>
          <w:rtl/>
        </w:rPr>
        <w:t xml:space="preserve"> آذار/مارس و</w:t>
      </w:r>
      <w:r w:rsidRPr="0006537E">
        <w:rPr>
          <w:rtl/>
        </w:rPr>
        <w:t>3</w:t>
      </w:r>
      <w:r w:rsidRPr="00A27387">
        <w:rPr>
          <w:rtl/>
        </w:rPr>
        <w:t xml:space="preserve"> نيسان/أبريل </w:t>
      </w:r>
      <w:r w:rsidRPr="0006537E">
        <w:rPr>
          <w:rtl/>
        </w:rPr>
        <w:t>2023</w:t>
      </w:r>
      <w:r w:rsidR="008A74E9">
        <w:rPr>
          <w:rStyle w:val="FootnoteReference"/>
          <w:sz w:val="20"/>
          <w:szCs w:val="20"/>
          <w:rtl/>
        </w:rPr>
        <w:t>(</w:t>
      </w:r>
      <w:r w:rsidR="008A74E9" w:rsidRPr="00A27387">
        <w:rPr>
          <w:rStyle w:val="FootnoteReference"/>
          <w:sz w:val="20"/>
          <w:szCs w:val="20"/>
          <w:rtl/>
        </w:rPr>
        <w:footnoteReference w:id="3"/>
      </w:r>
      <w:r w:rsidR="008A74E9" w:rsidRPr="008A74E9">
        <w:rPr>
          <w:rStyle w:val="FootnoteReference"/>
          <w:sz w:val="20"/>
          <w:szCs w:val="20"/>
          <w:rtl/>
        </w:rPr>
        <w:t>)</w:t>
      </w:r>
      <w:r w:rsidR="008A74E9" w:rsidRPr="008A74E9">
        <w:rPr>
          <w:rFonts w:hint="cs"/>
          <w:rtl/>
        </w:rPr>
        <w:t>،</w:t>
      </w:r>
      <w:r w:rsidR="008A74E9" w:rsidRPr="008A74E9">
        <w:rPr>
          <w:rtl/>
        </w:rPr>
        <w:t> </w:t>
      </w:r>
      <w:r w:rsidRPr="00A27387">
        <w:rPr>
          <w:rtl/>
        </w:rPr>
        <w:t>واعتمدت هذه الملاحظات الختامية في جلستها</w:t>
      </w:r>
      <w:r w:rsidR="00485773">
        <w:rPr>
          <w:rFonts w:hint="cs"/>
          <w:rtl/>
        </w:rPr>
        <w:t> </w:t>
      </w:r>
      <w:r w:rsidRPr="0006537E">
        <w:rPr>
          <w:rtl/>
        </w:rPr>
        <w:t>530</w:t>
      </w:r>
      <w:r w:rsidRPr="00A27387">
        <w:rPr>
          <w:rtl/>
        </w:rPr>
        <w:t xml:space="preserve">، المعقودة في </w:t>
      </w:r>
      <w:r w:rsidRPr="0006537E">
        <w:rPr>
          <w:rtl/>
        </w:rPr>
        <w:t>6</w:t>
      </w:r>
      <w:r w:rsidRPr="00A27387">
        <w:rPr>
          <w:rtl/>
        </w:rPr>
        <w:t xml:space="preserve"> نيسان/أبريل </w:t>
      </w:r>
      <w:r w:rsidRPr="0006537E">
        <w:rPr>
          <w:rtl/>
        </w:rPr>
        <w:t>2023</w:t>
      </w:r>
      <w:r w:rsidR="008A74E9">
        <w:rPr>
          <w:rStyle w:val="FootnoteReference"/>
          <w:sz w:val="20"/>
          <w:szCs w:val="20"/>
          <w:rtl/>
        </w:rPr>
        <w:t>(</w:t>
      </w:r>
      <w:r w:rsidR="008A74E9" w:rsidRPr="00A27387">
        <w:rPr>
          <w:rStyle w:val="FootnoteReference"/>
          <w:sz w:val="20"/>
          <w:szCs w:val="20"/>
          <w:rtl/>
        </w:rPr>
        <w:footnoteReference w:id="4"/>
      </w:r>
      <w:r w:rsidR="008A74E9" w:rsidRPr="008A74E9">
        <w:rPr>
          <w:rStyle w:val="FootnoteReference"/>
          <w:sz w:val="20"/>
          <w:szCs w:val="20"/>
          <w:rtl/>
        </w:rPr>
        <w:t>)</w:t>
      </w:r>
      <w:r w:rsidR="008A74E9" w:rsidRPr="008A74E9">
        <w:rPr>
          <w:rFonts w:hint="cs"/>
          <w:rtl/>
        </w:rPr>
        <w:t>.</w:t>
      </w:r>
    </w:p>
    <w:p w14:paraId="20BCB6AB" w14:textId="15500F3C" w:rsidR="00F90355" w:rsidRPr="0034126B" w:rsidRDefault="000720FC" w:rsidP="000720FC">
      <w:pPr>
        <w:pStyle w:val="H1GA"/>
        <w:rPr>
          <w:rFonts w:cs="Times New Roman"/>
          <w:rtl/>
          <w:lang w:val="ar-SA" w:eastAsia="zh-TW"/>
        </w:rPr>
      </w:pPr>
      <w:r>
        <w:rPr>
          <w:rtl/>
        </w:rPr>
        <w:tab/>
      </w:r>
      <w:r w:rsidR="00F90355" w:rsidRPr="0034126B">
        <w:rPr>
          <w:rtl/>
        </w:rPr>
        <w:t>ألف-</w:t>
      </w:r>
      <w:r w:rsidR="00F90355" w:rsidRPr="0034126B">
        <w:rPr>
          <w:rtl/>
        </w:rPr>
        <w:tab/>
        <w:t>مقدمة</w:t>
      </w:r>
    </w:p>
    <w:p w14:paraId="02B885D5" w14:textId="4E168F22" w:rsidR="00F90355" w:rsidRPr="00A27387" w:rsidRDefault="00F90355" w:rsidP="000720FC">
      <w:pPr>
        <w:pStyle w:val="SingleTxtGA"/>
        <w:rPr>
          <w:rFonts w:cs="Times New Roman"/>
          <w:rtl/>
          <w:lang w:val="ar-SA" w:eastAsia="zh-TW"/>
        </w:rPr>
      </w:pPr>
      <w:bookmarkStart w:id="0" w:name="_Hlk98746071"/>
      <w:r w:rsidRPr="0006537E">
        <w:rPr>
          <w:rtl/>
        </w:rPr>
        <w:t>2</w:t>
      </w:r>
      <w:r w:rsidRPr="00A27387">
        <w:rPr>
          <w:rFonts w:ascii="Simplified Arabic"/>
          <w:rtl/>
        </w:rPr>
        <w:t>-</w:t>
      </w:r>
      <w:r w:rsidRPr="00A27387">
        <w:rPr>
          <w:rtl/>
        </w:rPr>
        <w:tab/>
        <w:t>ترحب اللجنة بتقديم التقرير الدوري الثالث للدولة الطرف، الذي أُعدّ رداً على قائمة المسائل المحالة قبل تقديم التقرير</w:t>
      </w:r>
      <w:r w:rsidR="008A74E9">
        <w:rPr>
          <w:rStyle w:val="FootnoteReference"/>
          <w:sz w:val="20"/>
          <w:szCs w:val="20"/>
          <w:rtl/>
        </w:rPr>
        <w:t>(</w:t>
      </w:r>
      <w:r w:rsidR="008A74E9" w:rsidRPr="00A27387">
        <w:rPr>
          <w:rStyle w:val="FootnoteReference"/>
          <w:sz w:val="20"/>
          <w:szCs w:val="20"/>
          <w:rtl/>
        </w:rPr>
        <w:footnoteReference w:id="5"/>
      </w:r>
      <w:r w:rsidR="008A74E9" w:rsidRPr="008A74E9">
        <w:rPr>
          <w:rStyle w:val="FootnoteReference"/>
          <w:sz w:val="20"/>
          <w:szCs w:val="20"/>
          <w:rtl/>
        </w:rPr>
        <w:t>)</w:t>
      </w:r>
      <w:r w:rsidR="008A74E9" w:rsidRPr="008A74E9">
        <w:rPr>
          <w:rFonts w:hint="cs"/>
          <w:rtl/>
        </w:rPr>
        <w:t>،</w:t>
      </w:r>
      <w:r w:rsidR="008A74E9" w:rsidRPr="008A74E9">
        <w:rPr>
          <w:rtl/>
        </w:rPr>
        <w:t> </w:t>
      </w:r>
      <w:r w:rsidRPr="00A27387">
        <w:rPr>
          <w:rtl/>
        </w:rPr>
        <w:t>وكذلك بالمعلومات التكميلية التي قُدمت أثناء الحوار الذي دار مع الوفد، الذي ترأسته نائبة وزير ال</w:t>
      </w:r>
      <w:r>
        <w:rPr>
          <w:rtl/>
        </w:rPr>
        <w:t>مغتربين</w:t>
      </w:r>
      <w:r w:rsidRPr="00A27387">
        <w:rPr>
          <w:rtl/>
        </w:rPr>
        <w:t xml:space="preserve"> والتنقل البشري في وزارة الخارجية، سيندي مارييلا بورتال، وضمّ ممثلين لأمانة الشؤون القانونية لمكتب الرئاسة، ووزارة العمل والضمان الاجتماعي، والمديرية العامة لشؤون الهجرة والأجانب، ووزارة الشؤون الاقتصادية، ووزارة التعليم، ووزارة المالية، ووزارة العدل والأمن العام، ووزارة الثقافة، ووزارة الدفاع، ووزارة الصحة، والجمعية التشريعية، ومكتب المدعي العام للجمهورية، ومكتب المستشار العام للجمهورية، والشرطة المدنية الوطنية، والمجلس الوطني للطفولة المبكرة والطفولة والمراهقة، والمعهد السلفادوري للنهوض بالمرأة، ومديرية السجون، والمديرية الوطنية لاستعادة النسيج الاجتماعي، والمعهد السلفادوري للضمان الاجتماعي، والمعهد السلفادوري للتدريب المهني، ومعهد الإعلام، ومفتشية النظام المصرفي، والمحكمة العليا للانتخابات، والسجل الوطني، والسجل الوطني للأشخاص الطبيعيين، ونائب الممثل الدائم</w:t>
      </w:r>
      <w:r>
        <w:rPr>
          <w:rtl/>
        </w:rPr>
        <w:t xml:space="preserve"> للسلفادور</w:t>
      </w:r>
      <w:r w:rsidRPr="00A27387">
        <w:rPr>
          <w:rtl/>
        </w:rPr>
        <w:t xml:space="preserve"> والقائم بالأعمال بالنيابة لدى مكتب الأمم المتحدة والمنظمات الدولية الأخرى في جنيف، وكذلك ممثلي</w:t>
      </w:r>
      <w:r>
        <w:rPr>
          <w:rtl/>
        </w:rPr>
        <w:t>ن</w:t>
      </w:r>
      <w:r w:rsidRPr="00A27387">
        <w:rPr>
          <w:rtl/>
        </w:rPr>
        <w:t xml:space="preserve"> </w:t>
      </w:r>
      <w:r>
        <w:rPr>
          <w:rtl/>
        </w:rPr>
        <w:t>ل</w:t>
      </w:r>
      <w:r w:rsidRPr="00A27387">
        <w:rPr>
          <w:rtl/>
        </w:rPr>
        <w:t xml:space="preserve">لبعثة الدائمة. </w:t>
      </w:r>
    </w:p>
    <w:p w14:paraId="7BF2E955" w14:textId="77777777" w:rsidR="00F90355" w:rsidRPr="00A27387" w:rsidRDefault="00F90355" w:rsidP="000720FC">
      <w:pPr>
        <w:pStyle w:val="SingleTxtGA"/>
        <w:rPr>
          <w:rFonts w:cs="Times New Roman"/>
          <w:rtl/>
          <w:lang w:val="ar-SA" w:eastAsia="zh-TW"/>
        </w:rPr>
      </w:pPr>
      <w:r w:rsidRPr="0006537E">
        <w:rPr>
          <w:rtl/>
        </w:rPr>
        <w:t>3</w:t>
      </w:r>
      <w:r w:rsidRPr="00A27387">
        <w:rPr>
          <w:rFonts w:ascii="Simplified Arabic"/>
          <w:rtl/>
        </w:rPr>
        <w:t>-</w:t>
      </w:r>
      <w:r w:rsidRPr="00A27387">
        <w:rPr>
          <w:rtl/>
        </w:rPr>
        <w:tab/>
        <w:t xml:space="preserve">وتعرب اللجنة عن تقديرها للحوار الصريح والبنّاء الذي دار مع الوفد الرفيع المستوى عبر الإنترنت، وللمعلومات الوفيرة التي قدمها ممثلو الدولة الطرف والنهْج البنّاء </w:t>
      </w:r>
      <w:r>
        <w:rPr>
          <w:rtl/>
        </w:rPr>
        <w:t>المتبع في ا</w:t>
      </w:r>
      <w:r w:rsidRPr="00A27387">
        <w:rPr>
          <w:rtl/>
        </w:rPr>
        <w:t xml:space="preserve">لجلسات، </w:t>
      </w:r>
      <w:r>
        <w:rPr>
          <w:rtl/>
        </w:rPr>
        <w:t>ما</w:t>
      </w:r>
      <w:r w:rsidRPr="00A27387">
        <w:rPr>
          <w:rtl/>
        </w:rPr>
        <w:t xml:space="preserve"> أتاح فرصةً للتحليل والتفكير </w:t>
      </w:r>
      <w:r>
        <w:rPr>
          <w:rtl/>
        </w:rPr>
        <w:t>على نحو</w:t>
      </w:r>
      <w:r w:rsidRPr="00A27387">
        <w:rPr>
          <w:rtl/>
        </w:rPr>
        <w:t xml:space="preserve"> مشترك. وتعرب اللجنة أيضاً عن امتنانها لتقديم الردود والمعلومات التكميلية خلال الساعات الـ </w:t>
      </w:r>
      <w:r w:rsidRPr="0006537E">
        <w:rPr>
          <w:rtl/>
        </w:rPr>
        <w:t>24</w:t>
      </w:r>
      <w:r w:rsidRPr="00A27387">
        <w:rPr>
          <w:rtl/>
        </w:rPr>
        <w:t xml:space="preserve"> التالية للحوار.</w:t>
      </w:r>
    </w:p>
    <w:p w14:paraId="30EE617C" w14:textId="77777777" w:rsidR="00F90355" w:rsidRPr="00A27387" w:rsidRDefault="00F90355" w:rsidP="000720FC">
      <w:pPr>
        <w:pStyle w:val="SingleTxtGA"/>
        <w:rPr>
          <w:rFonts w:cs="Times New Roman"/>
          <w:rtl/>
          <w:lang w:val="ar-SA" w:eastAsia="zh-TW"/>
        </w:rPr>
      </w:pPr>
      <w:r w:rsidRPr="0006537E">
        <w:rPr>
          <w:rtl/>
        </w:rPr>
        <w:lastRenderedPageBreak/>
        <w:t>4</w:t>
      </w:r>
      <w:r w:rsidRPr="00A27387">
        <w:rPr>
          <w:rFonts w:ascii="Simplified Arabic"/>
          <w:rtl/>
        </w:rPr>
        <w:t>-</w:t>
      </w:r>
      <w:r w:rsidRPr="00A27387">
        <w:rPr>
          <w:rtl/>
        </w:rPr>
        <w:tab/>
        <w:t>وتسلّم اللجنة بأن السلفادور، باعتبارها بلد منشأ للعمال المهاجرين، بذلت جهوداً لحماية حقوق مواطنيها في الخارج، على الرغم من أن الدولة الطرف تواجه وضعاً معقداً بسبب تزايد تدفق المهاجرين إلى الخارج على مدى العقد الماضي. وتلاحظ اللجنة بقلق أن الدولة الطرف، باعتبارها بلد منشأ وعبور وعودة، لا تزال تواجه مشاكل عديدة متصلة بحماية حقوق العمال المهاجرين وأفراد أسرهم.</w:t>
      </w:r>
    </w:p>
    <w:bookmarkEnd w:id="0"/>
    <w:p w14:paraId="441EA957" w14:textId="53C722D7" w:rsidR="00F90355" w:rsidRPr="008125BE" w:rsidRDefault="000720FC" w:rsidP="000720FC">
      <w:pPr>
        <w:pStyle w:val="H1GA"/>
        <w:rPr>
          <w:rFonts w:cs="Times New Roman"/>
          <w:rtl/>
          <w:lang w:val="ar-SA" w:eastAsia="zh-TW"/>
        </w:rPr>
      </w:pPr>
      <w:r>
        <w:rPr>
          <w:rtl/>
        </w:rPr>
        <w:tab/>
      </w:r>
      <w:r w:rsidR="00F90355" w:rsidRPr="008125BE">
        <w:rPr>
          <w:rtl/>
        </w:rPr>
        <w:t>باء-</w:t>
      </w:r>
      <w:r w:rsidR="00F90355" w:rsidRPr="008125BE">
        <w:rPr>
          <w:rtl/>
        </w:rPr>
        <w:tab/>
        <w:t>الجوانب الإيجابية</w:t>
      </w:r>
    </w:p>
    <w:p w14:paraId="67533988" w14:textId="666BDA35" w:rsidR="00F90355" w:rsidRPr="00A27387" w:rsidRDefault="00F90355" w:rsidP="000720FC">
      <w:pPr>
        <w:pStyle w:val="SingleTxtGA"/>
        <w:rPr>
          <w:rFonts w:cs="Times New Roman"/>
          <w:rtl/>
          <w:lang w:val="ar-SA" w:eastAsia="zh-TW"/>
        </w:rPr>
      </w:pPr>
      <w:r w:rsidRPr="0006537E">
        <w:rPr>
          <w:rtl/>
        </w:rPr>
        <w:t>5</w:t>
      </w:r>
      <w:r w:rsidRPr="00A27387">
        <w:rPr>
          <w:rFonts w:ascii="Simplified Arabic"/>
          <w:rtl/>
        </w:rPr>
        <w:t>-</w:t>
      </w:r>
      <w:r w:rsidRPr="00A27387">
        <w:rPr>
          <w:rtl/>
        </w:rPr>
        <w:tab/>
        <w:t>ترحب اللجنة بجهود الدولة الطرف وتنفيذها تدابير ترمي إلى تعزيز وحماية حقوق العمال المهاجرين وأفراد أسرهم، لا سيما اعتماد قانون "النمو معاً" من أجل</w:t>
      </w:r>
      <w:r>
        <w:rPr>
          <w:rtl/>
        </w:rPr>
        <w:t xml:space="preserve"> توفير</w:t>
      </w:r>
      <w:r w:rsidRPr="00A27387">
        <w:rPr>
          <w:rtl/>
        </w:rPr>
        <w:t xml:space="preserve"> الحماية الشاملة للطفولة المبكرة والأطفال والمراهقين </w:t>
      </w:r>
      <w:r w:rsidRPr="00A27387">
        <w:rPr>
          <w:rFonts w:ascii="Simplified Arabic"/>
          <w:rtl/>
        </w:rPr>
        <w:t>(</w:t>
      </w:r>
      <w:r w:rsidRPr="0006537E">
        <w:rPr>
          <w:rtl/>
        </w:rPr>
        <w:t>202</w:t>
      </w:r>
      <w:r w:rsidR="008A74E9" w:rsidRPr="008A74E9">
        <w:rPr>
          <w:rtl/>
        </w:rPr>
        <w:t>3</w:t>
      </w:r>
      <w:r w:rsidR="008A74E9" w:rsidRPr="008A74E9">
        <w:rPr>
          <w:rFonts w:ascii="Simplified Arabic"/>
          <w:rtl/>
        </w:rPr>
        <w:t>)</w:t>
      </w:r>
      <w:r w:rsidR="008A74E9" w:rsidRPr="008A74E9">
        <w:rPr>
          <w:rtl/>
        </w:rPr>
        <w:t xml:space="preserve"> </w:t>
      </w:r>
      <w:r w:rsidRPr="00A27387">
        <w:rPr>
          <w:rtl/>
        </w:rPr>
        <w:t xml:space="preserve">والقانون الخاص لشؤون الهجرة والأجانب </w:t>
      </w:r>
      <w:r w:rsidRPr="00A27387">
        <w:rPr>
          <w:rFonts w:ascii="Simplified Arabic"/>
          <w:rtl/>
        </w:rPr>
        <w:t>(</w:t>
      </w:r>
      <w:r w:rsidRPr="0006537E">
        <w:rPr>
          <w:rtl/>
        </w:rPr>
        <w:t>201</w:t>
      </w:r>
      <w:r w:rsidR="008A74E9" w:rsidRPr="008A74E9">
        <w:rPr>
          <w:rtl/>
        </w:rPr>
        <w:t>9</w:t>
      </w:r>
      <w:r w:rsidR="008A74E9" w:rsidRPr="008A74E9">
        <w:rPr>
          <w:rFonts w:ascii="Simplified Arabic"/>
          <w:rtl/>
        </w:rPr>
        <w:t>)</w:t>
      </w:r>
      <w:r w:rsidR="008A74E9" w:rsidRPr="008A74E9">
        <w:rPr>
          <w:rtl/>
        </w:rPr>
        <w:t xml:space="preserve">. </w:t>
      </w:r>
      <w:r w:rsidRPr="00A27387">
        <w:rPr>
          <w:rtl/>
        </w:rPr>
        <w:t>وتحيط اللجنة علماً أيضاً بالآتي</w:t>
      </w:r>
      <w:r w:rsidRPr="00A27387">
        <w:rPr>
          <w:rFonts w:ascii="Simplified Arabic"/>
        </w:rPr>
        <w:t>:</w:t>
      </w:r>
      <w:r w:rsidRPr="00A27387">
        <w:rPr>
          <w:rtl/>
        </w:rPr>
        <w:t xml:space="preserve"> </w:t>
      </w:r>
    </w:p>
    <w:p w14:paraId="7ED308D1" w14:textId="19908772" w:rsidR="00F90355" w:rsidRPr="00A27387" w:rsidRDefault="000720FC" w:rsidP="000720FC">
      <w:pPr>
        <w:pStyle w:val="SingleTxtGA"/>
        <w:rPr>
          <w:rFonts w:cs="Times New Roman"/>
          <w:rtl/>
          <w:lang w:val="ar-SA" w:eastAsia="zh-TW"/>
        </w:rPr>
      </w:pPr>
      <w:r>
        <w:rPr>
          <w:rtl/>
        </w:rPr>
        <w:tab/>
      </w:r>
      <w:r w:rsidR="00F90355" w:rsidRPr="00A27387">
        <w:rPr>
          <w:rtl/>
        </w:rPr>
        <w:t>(أ)</w:t>
      </w:r>
      <w:r w:rsidR="00F90355" w:rsidRPr="00A27387">
        <w:rPr>
          <w:rtl/>
        </w:rPr>
        <w:tab/>
      </w:r>
      <w:r w:rsidR="00F90355">
        <w:rPr>
          <w:rtl/>
        </w:rPr>
        <w:t xml:space="preserve">اعتماد </w:t>
      </w:r>
      <w:r w:rsidR="00F90355" w:rsidRPr="00A27387">
        <w:rPr>
          <w:rtl/>
        </w:rPr>
        <w:t xml:space="preserve">برنامج إقامة الشراكات في مجال الهجرة لعام </w:t>
      </w:r>
      <w:r w:rsidR="00F90355" w:rsidRPr="0006537E">
        <w:rPr>
          <w:rtl/>
        </w:rPr>
        <w:t>2022</w:t>
      </w:r>
      <w:r w:rsidR="00F90355">
        <w:rPr>
          <w:rFonts w:ascii="Simplified Arabic"/>
          <w:rtl/>
        </w:rPr>
        <w:t>، الرامي</w:t>
      </w:r>
      <w:r w:rsidR="00F90355" w:rsidRPr="00A27387">
        <w:rPr>
          <w:rtl/>
        </w:rPr>
        <w:t xml:space="preserve"> </w:t>
      </w:r>
      <w:r w:rsidR="00F90355">
        <w:rPr>
          <w:rtl/>
        </w:rPr>
        <w:t xml:space="preserve">إلى </w:t>
      </w:r>
      <w:r w:rsidR="00F90355" w:rsidRPr="00A27387">
        <w:rPr>
          <w:rtl/>
        </w:rPr>
        <w:t>تنفيذ الاتفاق العالمي من أجل الهجرة الآمنة والمنظمة والنظامية؛</w:t>
      </w:r>
    </w:p>
    <w:p w14:paraId="01064825" w14:textId="58A8E51F" w:rsidR="00F90355" w:rsidRPr="00A27387" w:rsidRDefault="000720FC" w:rsidP="000720FC">
      <w:pPr>
        <w:pStyle w:val="SingleTxtGA"/>
        <w:rPr>
          <w:rFonts w:cs="Times New Roman"/>
          <w:rtl/>
          <w:lang w:val="ar-SA" w:eastAsia="zh-TW"/>
        </w:rPr>
      </w:pPr>
      <w:r>
        <w:rPr>
          <w:rtl/>
        </w:rPr>
        <w:tab/>
      </w:r>
      <w:r w:rsidR="00F90355" w:rsidRPr="00A27387">
        <w:rPr>
          <w:rtl/>
        </w:rPr>
        <w:t>(ب)</w:t>
      </w:r>
      <w:r w:rsidR="00F90355" w:rsidRPr="00A27387">
        <w:rPr>
          <w:rtl/>
        </w:rPr>
        <w:tab/>
        <w:t xml:space="preserve">اعتماد القانون الخاص لتوفير الرعاية والحماية الشاملتين للأشخاص في حالات النزوح القسري الداخلي، في عام </w:t>
      </w:r>
      <w:r w:rsidR="00F90355" w:rsidRPr="0006537E">
        <w:rPr>
          <w:rtl/>
        </w:rPr>
        <w:t>2020</w:t>
      </w:r>
      <w:r w:rsidR="00F90355" w:rsidRPr="00A27387">
        <w:rPr>
          <w:rtl/>
        </w:rPr>
        <w:t>؛</w:t>
      </w:r>
    </w:p>
    <w:p w14:paraId="690A5DA0" w14:textId="626AC5C1" w:rsidR="00F90355" w:rsidRPr="00A27387" w:rsidRDefault="000720FC" w:rsidP="000720FC">
      <w:pPr>
        <w:pStyle w:val="SingleTxtGA"/>
        <w:rPr>
          <w:rFonts w:cs="Times New Roman"/>
          <w:rtl/>
          <w:lang w:val="ar-SA" w:eastAsia="zh-TW"/>
        </w:rPr>
      </w:pPr>
      <w:r>
        <w:rPr>
          <w:rtl/>
        </w:rPr>
        <w:tab/>
      </w:r>
      <w:r w:rsidR="00F90355" w:rsidRPr="00A27387">
        <w:rPr>
          <w:rtl/>
        </w:rPr>
        <w:t>(ج)</w:t>
      </w:r>
      <w:r w:rsidR="00F90355" w:rsidRPr="00A27387">
        <w:rPr>
          <w:rtl/>
        </w:rPr>
        <w:tab/>
        <w:t xml:space="preserve">انضمام الدولة الطرف إلى الإطار الإقليمي الشامل للحماية والحلول من أجل تنفيذ إطار التعامل الشامل مع مسألة اللاجئين، واعتماد خطة عمل وطنية، في عام </w:t>
      </w:r>
      <w:r w:rsidR="00F90355" w:rsidRPr="0006537E">
        <w:rPr>
          <w:rtl/>
        </w:rPr>
        <w:t>2019</w:t>
      </w:r>
      <w:r w:rsidR="00F90355" w:rsidRPr="00A27387">
        <w:rPr>
          <w:rtl/>
        </w:rPr>
        <w:t>؛</w:t>
      </w:r>
    </w:p>
    <w:p w14:paraId="4DB6A714" w14:textId="353161BE" w:rsidR="00F90355" w:rsidRPr="00A27387" w:rsidRDefault="000720FC" w:rsidP="000720FC">
      <w:pPr>
        <w:pStyle w:val="SingleTxtGA"/>
        <w:rPr>
          <w:rFonts w:cs="Times New Roman"/>
          <w:rtl/>
          <w:lang w:val="ar-SA" w:eastAsia="zh-TW"/>
        </w:rPr>
      </w:pPr>
      <w:r>
        <w:rPr>
          <w:rtl/>
        </w:rPr>
        <w:tab/>
      </w:r>
      <w:r w:rsidR="00F90355" w:rsidRPr="00A27387">
        <w:rPr>
          <w:rtl/>
        </w:rPr>
        <w:t>(د)</w:t>
      </w:r>
      <w:r w:rsidR="00F90355" w:rsidRPr="00A27387">
        <w:rPr>
          <w:rtl/>
        </w:rPr>
        <w:tab/>
        <w:t xml:space="preserve">إنشاء مركز الرعاية الشاملة للمهاجرين، ووضع السياسة الوطنية لتوفير الحماية وسبل التنمية للمهاجرين السلفادوريين وأسرهم، واعتماد بروتوكول لحماية ورعاية الأطفال والمراهقين السلفادوريين المهاجرين، في عام </w:t>
      </w:r>
      <w:r w:rsidR="00F90355" w:rsidRPr="0006537E">
        <w:rPr>
          <w:rtl/>
        </w:rPr>
        <w:t>2017</w:t>
      </w:r>
      <w:r w:rsidR="00F90355" w:rsidRPr="00A27387">
        <w:rPr>
          <w:rtl/>
        </w:rPr>
        <w:t xml:space="preserve">؛ </w:t>
      </w:r>
    </w:p>
    <w:p w14:paraId="13E98F7A" w14:textId="39107569" w:rsidR="008A74E9" w:rsidRPr="008A74E9" w:rsidRDefault="000720FC" w:rsidP="000720FC">
      <w:pPr>
        <w:pStyle w:val="SingleTxtGA"/>
        <w:rPr>
          <w:rFonts w:cs="Times New Roman"/>
          <w:rtl/>
          <w:lang w:val="ar-SA" w:eastAsia="zh-TW"/>
        </w:rPr>
      </w:pPr>
      <w:r>
        <w:rPr>
          <w:rtl/>
        </w:rPr>
        <w:tab/>
      </w:r>
      <w:r w:rsidR="00F90355" w:rsidRPr="00A27387">
        <w:rPr>
          <w:rtl/>
        </w:rPr>
        <w:t>(هـ)</w:t>
      </w:r>
      <w:r w:rsidR="00F90355" w:rsidRPr="00A27387">
        <w:rPr>
          <w:rtl/>
        </w:rPr>
        <w:tab/>
        <w:t xml:space="preserve">اعتماد القانون الخاص لمكافحة الاتجار بالأشخاص، في عام </w:t>
      </w:r>
      <w:r w:rsidR="00F90355" w:rsidRPr="0006537E">
        <w:rPr>
          <w:rtl/>
        </w:rPr>
        <w:t>201</w:t>
      </w:r>
      <w:r w:rsidR="008A74E9" w:rsidRPr="008A74E9">
        <w:rPr>
          <w:rtl/>
        </w:rPr>
        <w:t>4.</w:t>
      </w:r>
    </w:p>
    <w:p w14:paraId="443AC943" w14:textId="0231F611" w:rsidR="00F90355" w:rsidRPr="00A27387" w:rsidRDefault="00F90355" w:rsidP="000720FC">
      <w:pPr>
        <w:pStyle w:val="SingleTxtGA"/>
        <w:rPr>
          <w:rFonts w:cs="Times New Roman"/>
          <w:rtl/>
          <w:lang w:val="ar-SA" w:eastAsia="zh-TW"/>
        </w:rPr>
      </w:pPr>
      <w:r w:rsidRPr="0006537E">
        <w:rPr>
          <w:rtl/>
        </w:rPr>
        <w:t>6</w:t>
      </w:r>
      <w:r w:rsidRPr="00A27387">
        <w:rPr>
          <w:rFonts w:ascii="Simplified Arabic"/>
          <w:rtl/>
        </w:rPr>
        <w:t>-</w:t>
      </w:r>
      <w:r w:rsidRPr="00A27387">
        <w:rPr>
          <w:rtl/>
        </w:rPr>
        <w:tab/>
        <w:t>وترحّب اللجنة أيضاً بالتصديق على الصكوك الدولية التالية لحقوق الإنسان وغيرها من الصكوك ذات الصلة:</w:t>
      </w:r>
    </w:p>
    <w:p w14:paraId="1E47D926" w14:textId="6E501595" w:rsidR="00F90355" w:rsidRPr="00A27387" w:rsidRDefault="000720FC" w:rsidP="000720FC">
      <w:pPr>
        <w:pStyle w:val="SingleTxtGA"/>
        <w:rPr>
          <w:rFonts w:cs="Times New Roman"/>
          <w:rtl/>
          <w:lang w:val="ar-SA" w:eastAsia="zh-TW"/>
        </w:rPr>
      </w:pPr>
      <w:r>
        <w:rPr>
          <w:rtl/>
        </w:rPr>
        <w:tab/>
      </w:r>
      <w:r w:rsidR="00F90355" w:rsidRPr="00A27387">
        <w:rPr>
          <w:rtl/>
        </w:rPr>
        <w:t>(أ)</w:t>
      </w:r>
      <w:r w:rsidR="00F90355" w:rsidRPr="00A27387">
        <w:rPr>
          <w:rtl/>
        </w:rPr>
        <w:tab/>
        <w:t xml:space="preserve">اتفاقية منظمة العمل الدولية بشأن المعايير الدنيا للضمان الاجتماعي، </w:t>
      </w:r>
      <w:r w:rsidR="00F90355" w:rsidRPr="0006537E">
        <w:rPr>
          <w:rtl/>
        </w:rPr>
        <w:t>1952</w:t>
      </w:r>
      <w:r w:rsidR="00F90355" w:rsidRPr="00A27387">
        <w:rPr>
          <w:rFonts w:ascii="Simplified Arabic"/>
          <w:rtl/>
        </w:rPr>
        <w:t xml:space="preserve"> (</w:t>
      </w:r>
      <w:r w:rsidR="00F90355" w:rsidRPr="00A27387">
        <w:rPr>
          <w:rtl/>
        </w:rPr>
        <w:t>رقم</w:t>
      </w:r>
      <w:r w:rsidR="00C15C82">
        <w:rPr>
          <w:rFonts w:hint="cs"/>
          <w:rtl/>
        </w:rPr>
        <w:t> </w:t>
      </w:r>
      <w:r w:rsidR="00F90355" w:rsidRPr="0006537E">
        <w:rPr>
          <w:rtl/>
        </w:rPr>
        <w:t>102</w:t>
      </w:r>
      <w:r w:rsidR="008A74E9" w:rsidRPr="008A74E9">
        <w:rPr>
          <w:rFonts w:ascii="Simplified Arabic"/>
          <w:rtl/>
        </w:rPr>
        <w:t>)</w:t>
      </w:r>
      <w:r w:rsidR="008A74E9" w:rsidRPr="008A74E9">
        <w:rPr>
          <w:rtl/>
        </w:rPr>
        <w:t xml:space="preserve">، </w:t>
      </w:r>
      <w:r w:rsidR="00F90355" w:rsidRPr="00A27387">
        <w:rPr>
          <w:rtl/>
        </w:rPr>
        <w:t>واتفاقية منظمة العمل الدولية بشأن بيئة العمل (تلوث الهواء والضوضاء والاهتزازات</w:t>
      </w:r>
      <w:r w:rsidR="008A74E9" w:rsidRPr="008A74E9">
        <w:rPr>
          <w:rtl/>
        </w:rPr>
        <w:t xml:space="preserve">)، </w:t>
      </w:r>
      <w:r w:rsidR="00F90355" w:rsidRPr="0006537E">
        <w:rPr>
          <w:rtl/>
        </w:rPr>
        <w:t>1977</w:t>
      </w:r>
      <w:r w:rsidR="00F90355" w:rsidRPr="00A27387">
        <w:rPr>
          <w:rFonts w:ascii="Simplified Arabic"/>
          <w:rtl/>
        </w:rPr>
        <w:t xml:space="preserve"> (</w:t>
      </w:r>
      <w:r w:rsidR="00F90355" w:rsidRPr="00A27387">
        <w:rPr>
          <w:rtl/>
        </w:rPr>
        <w:t xml:space="preserve">رقم </w:t>
      </w:r>
      <w:r w:rsidR="00F90355" w:rsidRPr="0006537E">
        <w:rPr>
          <w:rtl/>
        </w:rPr>
        <w:t>148</w:t>
      </w:r>
      <w:r w:rsidR="008A74E9" w:rsidRPr="008A74E9">
        <w:rPr>
          <w:rFonts w:ascii="Simplified Arabic"/>
          <w:rtl/>
        </w:rPr>
        <w:t>)</w:t>
      </w:r>
      <w:r w:rsidR="008A74E9" w:rsidRPr="008A74E9">
        <w:rPr>
          <w:rtl/>
        </w:rPr>
        <w:t xml:space="preserve">، </w:t>
      </w:r>
      <w:r w:rsidR="00F90355" w:rsidRPr="00A27387">
        <w:rPr>
          <w:rtl/>
        </w:rPr>
        <w:t xml:space="preserve">واتفاقية منظمة العمل الدولية بشأن المفاوضة الجماعية، </w:t>
      </w:r>
      <w:r w:rsidR="00F90355" w:rsidRPr="0006537E">
        <w:rPr>
          <w:rtl/>
        </w:rPr>
        <w:t>1981</w:t>
      </w:r>
      <w:r w:rsidR="00F90355" w:rsidRPr="00A27387">
        <w:rPr>
          <w:rFonts w:ascii="Simplified Arabic"/>
          <w:rtl/>
        </w:rPr>
        <w:t xml:space="preserve"> (</w:t>
      </w:r>
      <w:r w:rsidR="00F90355" w:rsidRPr="00A27387">
        <w:rPr>
          <w:rtl/>
        </w:rPr>
        <w:t xml:space="preserve">رقم </w:t>
      </w:r>
      <w:r w:rsidR="00F90355" w:rsidRPr="0006537E">
        <w:rPr>
          <w:rtl/>
        </w:rPr>
        <w:t>154</w:t>
      </w:r>
      <w:r w:rsidR="008A74E9" w:rsidRPr="008A74E9">
        <w:rPr>
          <w:rFonts w:ascii="Simplified Arabic"/>
          <w:rtl/>
        </w:rPr>
        <w:t>)</w:t>
      </w:r>
      <w:r w:rsidR="008A74E9" w:rsidRPr="008A74E9">
        <w:rPr>
          <w:rtl/>
        </w:rPr>
        <w:t xml:space="preserve">، </w:t>
      </w:r>
      <w:r w:rsidR="00F90355" w:rsidRPr="00A27387">
        <w:rPr>
          <w:rtl/>
        </w:rPr>
        <w:t xml:space="preserve">واتفاقية منظمة العمل الدولية بشأن حماية الأمومة، </w:t>
      </w:r>
      <w:r w:rsidR="00F90355" w:rsidRPr="0006537E">
        <w:rPr>
          <w:rtl/>
        </w:rPr>
        <w:t>2000</w:t>
      </w:r>
      <w:r w:rsidR="00F90355" w:rsidRPr="00A27387">
        <w:rPr>
          <w:rFonts w:ascii="Simplified Arabic"/>
          <w:rtl/>
        </w:rPr>
        <w:t xml:space="preserve"> (</w:t>
      </w:r>
      <w:r w:rsidR="00F90355" w:rsidRPr="00A27387">
        <w:rPr>
          <w:rtl/>
        </w:rPr>
        <w:t xml:space="preserve">رقم </w:t>
      </w:r>
      <w:r w:rsidR="00F90355" w:rsidRPr="0006537E">
        <w:rPr>
          <w:rtl/>
        </w:rPr>
        <w:t>183</w:t>
      </w:r>
      <w:r w:rsidR="008A74E9" w:rsidRPr="008A74E9">
        <w:rPr>
          <w:rFonts w:ascii="Simplified Arabic"/>
          <w:rtl/>
        </w:rPr>
        <w:t>)</w:t>
      </w:r>
      <w:r w:rsidR="008A74E9" w:rsidRPr="008A74E9">
        <w:rPr>
          <w:rtl/>
        </w:rPr>
        <w:t xml:space="preserve">، </w:t>
      </w:r>
      <w:r w:rsidR="00F90355" w:rsidRPr="00A27387">
        <w:rPr>
          <w:rtl/>
        </w:rPr>
        <w:t xml:space="preserve">واتفاقية منظمة العمل الدولية بشأن القضاء على العنف والتحرش في عالم العمل، </w:t>
      </w:r>
      <w:r w:rsidR="00F90355" w:rsidRPr="0006537E">
        <w:rPr>
          <w:rtl/>
        </w:rPr>
        <w:t>2019</w:t>
      </w:r>
      <w:r w:rsidR="00F90355" w:rsidRPr="00A27387">
        <w:rPr>
          <w:rFonts w:ascii="Simplified Arabic"/>
          <w:rtl/>
        </w:rPr>
        <w:t xml:space="preserve"> (</w:t>
      </w:r>
      <w:r w:rsidR="00F90355" w:rsidRPr="00A27387">
        <w:rPr>
          <w:rtl/>
        </w:rPr>
        <w:t xml:space="preserve">رقم </w:t>
      </w:r>
      <w:r w:rsidR="00F90355" w:rsidRPr="0006537E">
        <w:rPr>
          <w:rtl/>
        </w:rPr>
        <w:t>19</w:t>
      </w:r>
      <w:r w:rsidR="008A74E9" w:rsidRPr="008A74E9">
        <w:rPr>
          <w:rtl/>
        </w:rPr>
        <w:t>0</w:t>
      </w:r>
      <w:r w:rsidR="008A74E9" w:rsidRPr="008A74E9">
        <w:rPr>
          <w:rFonts w:ascii="Simplified Arabic"/>
          <w:rtl/>
        </w:rPr>
        <w:t>)</w:t>
      </w:r>
      <w:r w:rsidR="008A74E9" w:rsidRPr="008A74E9">
        <w:rPr>
          <w:rtl/>
        </w:rPr>
        <w:t xml:space="preserve">. </w:t>
      </w:r>
      <w:r w:rsidR="00F90355" w:rsidRPr="00A27387">
        <w:rPr>
          <w:rtl/>
        </w:rPr>
        <w:t>و</w:t>
      </w:r>
      <w:r w:rsidR="00F90355">
        <w:rPr>
          <w:rtl/>
        </w:rPr>
        <w:t>قد صدقت الدولة الطرف</w:t>
      </w:r>
      <w:r w:rsidR="00F90355" w:rsidRPr="00A27387">
        <w:rPr>
          <w:rtl/>
        </w:rPr>
        <w:t xml:space="preserve"> على </w:t>
      </w:r>
      <w:r w:rsidR="00F90355">
        <w:rPr>
          <w:rtl/>
        </w:rPr>
        <w:t>هذه</w:t>
      </w:r>
      <w:r w:rsidR="00F90355" w:rsidRPr="00A27387">
        <w:rPr>
          <w:rtl/>
        </w:rPr>
        <w:t xml:space="preserve"> الاتفاقيات جميعاً في عام </w:t>
      </w:r>
      <w:r w:rsidR="00F90355" w:rsidRPr="0006537E">
        <w:rPr>
          <w:rtl/>
        </w:rPr>
        <w:t>2022</w:t>
      </w:r>
      <w:r w:rsidR="00F90355" w:rsidRPr="00A27387">
        <w:rPr>
          <w:rtl/>
        </w:rPr>
        <w:t>؛</w:t>
      </w:r>
    </w:p>
    <w:p w14:paraId="4562370F" w14:textId="65F5AE46" w:rsidR="00F90355" w:rsidRPr="00A27387" w:rsidRDefault="000720FC" w:rsidP="000720FC">
      <w:pPr>
        <w:pStyle w:val="SingleTxtGA"/>
        <w:rPr>
          <w:rFonts w:cs="Times New Roman"/>
          <w:rtl/>
          <w:lang w:val="ar-SA" w:eastAsia="zh-TW"/>
        </w:rPr>
      </w:pPr>
      <w:r>
        <w:rPr>
          <w:rtl/>
        </w:rPr>
        <w:tab/>
      </w:r>
      <w:r w:rsidR="00F90355" w:rsidRPr="00A27387">
        <w:rPr>
          <w:rtl/>
        </w:rPr>
        <w:t>(ب)</w:t>
      </w:r>
      <w:r w:rsidR="00F90355" w:rsidRPr="00A27387">
        <w:rPr>
          <w:rtl/>
        </w:rPr>
        <w:tab/>
        <w:t>البروتوكول الاختياري لاتفاقية حقوق الطفل المتعلق بإجراء تقديم البلاغات، في عام</w:t>
      </w:r>
      <w:r>
        <w:rPr>
          <w:rFonts w:hint="cs"/>
          <w:rtl/>
        </w:rPr>
        <w:t> </w:t>
      </w:r>
      <w:r w:rsidR="00F90355" w:rsidRPr="0006537E">
        <w:rPr>
          <w:rtl/>
        </w:rPr>
        <w:t>2015</w:t>
      </w:r>
      <w:r w:rsidR="00F90355" w:rsidRPr="00A27387">
        <w:rPr>
          <w:rtl/>
        </w:rPr>
        <w:t xml:space="preserve">؛ </w:t>
      </w:r>
    </w:p>
    <w:p w14:paraId="63E71363" w14:textId="5A919D09" w:rsidR="00F90355" w:rsidRPr="00A27387" w:rsidRDefault="000720FC" w:rsidP="000720FC">
      <w:pPr>
        <w:pStyle w:val="SingleTxtGA"/>
        <w:rPr>
          <w:rFonts w:cs="Times New Roman"/>
          <w:rtl/>
          <w:lang w:val="ar-SA" w:eastAsia="zh-TW"/>
        </w:rPr>
      </w:pPr>
      <w:r>
        <w:rPr>
          <w:rtl/>
        </w:rPr>
        <w:tab/>
      </w:r>
      <w:r w:rsidR="00F90355" w:rsidRPr="00A27387">
        <w:rPr>
          <w:rtl/>
        </w:rPr>
        <w:t>(ج)</w:t>
      </w:r>
      <w:r w:rsidR="00F90355" w:rsidRPr="00A27387">
        <w:rPr>
          <w:rtl/>
        </w:rPr>
        <w:tab/>
        <w:t xml:space="preserve">نظام روما الأساسي للمحكمة الجنائية الدولية، في عام </w:t>
      </w:r>
      <w:r w:rsidR="00F90355" w:rsidRPr="0006537E">
        <w:rPr>
          <w:rtl/>
        </w:rPr>
        <w:t>2016</w:t>
      </w:r>
      <w:r w:rsidR="00F90355" w:rsidRPr="00A27387">
        <w:rPr>
          <w:rtl/>
        </w:rPr>
        <w:t>؛</w:t>
      </w:r>
    </w:p>
    <w:p w14:paraId="32DFAE1C" w14:textId="2518A08D" w:rsidR="00F90355" w:rsidRPr="00A27387" w:rsidRDefault="000720FC" w:rsidP="000720FC">
      <w:pPr>
        <w:pStyle w:val="SingleTxtGA"/>
        <w:rPr>
          <w:rFonts w:cs="Times New Roman"/>
          <w:rtl/>
          <w:lang w:val="ar-SA" w:eastAsia="zh-TW"/>
        </w:rPr>
      </w:pPr>
      <w:r>
        <w:rPr>
          <w:rtl/>
        </w:rPr>
        <w:tab/>
      </w:r>
      <w:r w:rsidR="00F90355" w:rsidRPr="00A27387">
        <w:rPr>
          <w:rtl/>
        </w:rPr>
        <w:t>(د)</w:t>
      </w:r>
      <w:r w:rsidR="00F90355" w:rsidRPr="00A27387">
        <w:rPr>
          <w:rtl/>
        </w:rPr>
        <w:tab/>
        <w:t xml:space="preserve">البروتوكول الاختياري الثاني الملحق بالعهد الدولي الخاص بالحقوق المدنية والسياسية، </w:t>
      </w:r>
      <w:r w:rsidR="00F90355">
        <w:rPr>
          <w:rtl/>
        </w:rPr>
        <w:t>و</w:t>
      </w:r>
      <w:r w:rsidR="00F90355" w:rsidRPr="00A27387">
        <w:rPr>
          <w:rtl/>
        </w:rPr>
        <w:t xml:space="preserve">الهادف إلى إلغاء عقوبة الإعدام، في عام </w:t>
      </w:r>
      <w:r w:rsidR="00F90355" w:rsidRPr="0006537E">
        <w:rPr>
          <w:rtl/>
        </w:rPr>
        <w:t>2014</w:t>
      </w:r>
      <w:r w:rsidR="00485773">
        <w:rPr>
          <w:rFonts w:hint="cs"/>
          <w:rtl/>
        </w:rPr>
        <w:t>.</w:t>
      </w:r>
    </w:p>
    <w:p w14:paraId="4A27264A" w14:textId="782139FD" w:rsidR="00F90355" w:rsidRPr="00A27387" w:rsidRDefault="00F90355" w:rsidP="000720FC">
      <w:pPr>
        <w:pStyle w:val="SingleTxtGA"/>
        <w:rPr>
          <w:rFonts w:eastAsia="Times New Roman" w:cs="Times New Roman"/>
          <w:rtl/>
          <w:lang w:val="ar-SA" w:eastAsia="zh-TW"/>
        </w:rPr>
      </w:pPr>
      <w:r w:rsidRPr="0006537E">
        <w:rPr>
          <w:rtl/>
        </w:rPr>
        <w:t>7</w:t>
      </w:r>
      <w:r w:rsidRPr="00A27387">
        <w:rPr>
          <w:rFonts w:ascii="Simplified Arabic"/>
          <w:rtl/>
        </w:rPr>
        <w:t>-</w:t>
      </w:r>
      <w:r w:rsidRPr="00A27387">
        <w:rPr>
          <w:rtl/>
        </w:rPr>
        <w:tab/>
        <w:t>وت</w:t>
      </w:r>
      <w:r>
        <w:rPr>
          <w:rtl/>
        </w:rPr>
        <w:t>نظر</w:t>
      </w:r>
      <w:r w:rsidR="0006537E">
        <w:rPr>
          <w:rtl/>
        </w:rPr>
        <w:t xml:space="preserve"> </w:t>
      </w:r>
      <w:r w:rsidRPr="00A27387">
        <w:rPr>
          <w:rtl/>
        </w:rPr>
        <w:t>اللجنة</w:t>
      </w:r>
      <w:r>
        <w:rPr>
          <w:rtl/>
        </w:rPr>
        <w:t xml:space="preserve"> بعين الاستحسان إلى</w:t>
      </w:r>
      <w:r w:rsidRPr="00A27387">
        <w:rPr>
          <w:rtl/>
        </w:rPr>
        <w:t xml:space="preserve"> تصويت الدولة الطرف لصالح الاتفاق العالمي من أجل الهجرة الآمنة والمنظمة والنظامية الذي اعتمدته الجمعية العامة في قرارها </w:t>
      </w:r>
      <w:r w:rsidRPr="0006537E">
        <w:rPr>
          <w:rtl/>
        </w:rPr>
        <w:t>73</w:t>
      </w:r>
      <w:r w:rsidRPr="00A27387">
        <w:rPr>
          <w:rFonts w:ascii="Simplified Arabic"/>
          <w:rtl/>
        </w:rPr>
        <w:t>/</w:t>
      </w:r>
      <w:r w:rsidRPr="0006537E">
        <w:rPr>
          <w:rtl/>
        </w:rPr>
        <w:t>195</w:t>
      </w:r>
      <w:r w:rsidRPr="00A27387">
        <w:rPr>
          <w:rtl/>
        </w:rPr>
        <w:t xml:space="preserve">، وتوصيها بأن تواصل </w:t>
      </w:r>
      <w:r w:rsidRPr="00A27387">
        <w:rPr>
          <w:rtl/>
        </w:rPr>
        <w:lastRenderedPageBreak/>
        <w:t>قيادة الجهود الرامية إلى تنفيذه، في إطار الالتزامات الدولية الواردة في الاتفاقية، بالنظر إلى أن كلا الصكين الدوليين يلتقيان في حماية حقوق العمال المهاجرين وأفراد أسرهم.</w:t>
      </w:r>
    </w:p>
    <w:p w14:paraId="5AF4AE9C" w14:textId="03B97727" w:rsidR="00F90355" w:rsidRPr="00662FEE" w:rsidRDefault="00F90355" w:rsidP="000720FC">
      <w:pPr>
        <w:pStyle w:val="SingleTxtGA"/>
        <w:rPr>
          <w:rFonts w:cs="Times New Roman"/>
          <w:rtl/>
          <w:lang w:val="ar-SA" w:eastAsia="zh-TW"/>
        </w:rPr>
      </w:pPr>
      <w:r w:rsidRPr="0006537E">
        <w:rPr>
          <w:rtl/>
        </w:rPr>
        <w:t>8</w:t>
      </w:r>
      <w:r w:rsidRPr="00662FEE">
        <w:rPr>
          <w:rFonts w:ascii="Simplified Arabic"/>
          <w:rtl/>
        </w:rPr>
        <w:t>-</w:t>
      </w:r>
      <w:r w:rsidRPr="00662FEE">
        <w:rPr>
          <w:rtl/>
        </w:rPr>
        <w:tab/>
        <w:t xml:space="preserve">وتلاحظ اللجنة </w:t>
      </w:r>
      <w:r>
        <w:rPr>
          <w:rtl/>
          <w:lang w:val="fr-CH"/>
        </w:rPr>
        <w:t>باستحسان</w:t>
      </w:r>
      <w:r w:rsidR="0006537E">
        <w:rPr>
          <w:rtl/>
          <w:lang w:val="fr-CH"/>
        </w:rPr>
        <w:t xml:space="preserve"> </w:t>
      </w:r>
      <w:r w:rsidRPr="00662FEE">
        <w:rPr>
          <w:rtl/>
        </w:rPr>
        <w:t xml:space="preserve">الدعوة التي وجهتها الدولة الطرف إلى الإجراءات الخاصة لمجلس حقوق الإنسان في عام </w:t>
      </w:r>
      <w:r w:rsidRPr="0006537E">
        <w:rPr>
          <w:rtl/>
        </w:rPr>
        <w:t>201</w:t>
      </w:r>
      <w:r w:rsidR="008A74E9" w:rsidRPr="008A74E9">
        <w:rPr>
          <w:rtl/>
        </w:rPr>
        <w:t xml:space="preserve">0. </w:t>
      </w:r>
      <w:r w:rsidRPr="00662FEE">
        <w:rPr>
          <w:rtl/>
        </w:rPr>
        <w:t>وترحب اللجنة بإفادة الوفد بأن الدولة الطرف تعتزم مواصلة تعزيز التعاون مع آليات الأمم المتحدة لحقوق الإنسان، بما فيها الإجراءات الخاصة.</w:t>
      </w:r>
    </w:p>
    <w:p w14:paraId="77DB8CAE" w14:textId="77777777" w:rsidR="00F90355" w:rsidRPr="00A27387" w:rsidRDefault="00F90355" w:rsidP="000720FC">
      <w:pPr>
        <w:pStyle w:val="SingleTxtGA"/>
        <w:rPr>
          <w:rFonts w:cs="Times New Roman"/>
          <w:rtl/>
          <w:lang w:val="ar-SA" w:eastAsia="zh-TW"/>
        </w:rPr>
      </w:pPr>
      <w:r w:rsidRPr="0006537E">
        <w:rPr>
          <w:rtl/>
        </w:rPr>
        <w:t>9</w:t>
      </w:r>
      <w:r w:rsidRPr="00A27387">
        <w:rPr>
          <w:rFonts w:ascii="Simplified Arabic"/>
          <w:rtl/>
        </w:rPr>
        <w:t>-</w:t>
      </w:r>
      <w:r w:rsidRPr="00A27387">
        <w:rPr>
          <w:rtl/>
        </w:rPr>
        <w:tab/>
        <w:t>وتود اللجنة أن تُسلط الضوء على إنشاء عدد من الهيئات الجماعية وعلى عملها، مثل المجالس والأفرقة العاملة واللجان، التي عملت بطريقة منسقة في إطار برامج ومشاريع مكرسة للمهاجرين، وتُقر اللجنة بجهود الدولة الطرف الرامية إلى تنسيق أنشطة جميع مؤسساتها من أجل ا</w:t>
      </w:r>
      <w:r>
        <w:rPr>
          <w:rtl/>
        </w:rPr>
        <w:t>لوفاء ب</w:t>
      </w:r>
      <w:r w:rsidRPr="00A27387">
        <w:rPr>
          <w:rtl/>
        </w:rPr>
        <w:t>التزاماتها بموجب الاتفاقية. وتُقر اللجنة أيضاً بمشاركة الدولة الطرف في عمليات الحوار الإقليمي الرامية إلى معالجة تدفقات الهجرة في أمريكا الجنوبية.</w:t>
      </w:r>
    </w:p>
    <w:p w14:paraId="3CB0F2A3" w14:textId="1D2BA1F4" w:rsidR="00F90355" w:rsidRPr="008125BE" w:rsidRDefault="000720FC" w:rsidP="000720FC">
      <w:pPr>
        <w:pStyle w:val="H1GA"/>
        <w:rPr>
          <w:rFonts w:cs="Times New Roman"/>
          <w:rtl/>
          <w:lang w:val="ar-SA" w:eastAsia="zh-TW"/>
        </w:rPr>
      </w:pPr>
      <w:r>
        <w:rPr>
          <w:rtl/>
        </w:rPr>
        <w:tab/>
      </w:r>
      <w:r w:rsidR="00F90355" w:rsidRPr="008125BE">
        <w:rPr>
          <w:rtl/>
        </w:rPr>
        <w:t>جيم-</w:t>
      </w:r>
      <w:r w:rsidR="00F90355" w:rsidRPr="008125BE">
        <w:rPr>
          <w:rtl/>
        </w:rPr>
        <w:tab/>
        <w:t xml:space="preserve">دواعي القلق الرئيسية والتوصيات </w:t>
      </w:r>
    </w:p>
    <w:p w14:paraId="6B5921C4" w14:textId="71A44FEB" w:rsidR="00F90355" w:rsidRPr="00A27387" w:rsidRDefault="000720FC" w:rsidP="000720FC">
      <w:pPr>
        <w:pStyle w:val="H23GA"/>
        <w:rPr>
          <w:rFonts w:cs="Times New Roman"/>
          <w:rtl/>
          <w:lang w:val="ar-SA" w:eastAsia="zh-TW"/>
        </w:rPr>
      </w:pPr>
      <w:r>
        <w:rPr>
          <w:rFonts w:ascii="Simplified Arabic"/>
          <w:rtl/>
        </w:rPr>
        <w:tab/>
      </w:r>
      <w:r w:rsidR="00F90355" w:rsidRPr="0006537E">
        <w:rPr>
          <w:rtl/>
        </w:rPr>
        <w:t>1</w:t>
      </w:r>
      <w:r w:rsidR="00F90355" w:rsidRPr="00A27387">
        <w:rPr>
          <w:rFonts w:ascii="Simplified Arabic"/>
          <w:rtl/>
        </w:rPr>
        <w:t>-</w:t>
      </w:r>
      <w:r w:rsidR="00F90355" w:rsidRPr="00A27387">
        <w:rPr>
          <w:rtl/>
        </w:rPr>
        <w:tab/>
        <w:t xml:space="preserve">تدابير التنفيذ العامة (المادتان </w:t>
      </w:r>
      <w:r w:rsidR="00F90355" w:rsidRPr="0006537E">
        <w:rPr>
          <w:rtl/>
        </w:rPr>
        <w:t>73</w:t>
      </w:r>
      <w:r w:rsidR="00F90355" w:rsidRPr="00A27387">
        <w:rPr>
          <w:rtl/>
        </w:rPr>
        <w:t xml:space="preserve"> و</w:t>
      </w:r>
      <w:r w:rsidR="00F90355" w:rsidRPr="0006537E">
        <w:rPr>
          <w:rtl/>
        </w:rPr>
        <w:t>8</w:t>
      </w:r>
      <w:r w:rsidR="008A74E9" w:rsidRPr="008A74E9">
        <w:rPr>
          <w:rtl/>
        </w:rPr>
        <w:t>4</w:t>
      </w:r>
      <w:r w:rsidR="008A74E9" w:rsidRPr="008A74E9">
        <w:rPr>
          <w:rFonts w:ascii="Simplified Arabic"/>
          <w:rtl/>
        </w:rPr>
        <w:t>)</w:t>
      </w:r>
      <w:r w:rsidR="008A74E9" w:rsidRPr="008A74E9">
        <w:rPr>
          <w:rtl/>
        </w:rPr>
        <w:t xml:space="preserve"> </w:t>
      </w:r>
    </w:p>
    <w:p w14:paraId="55715224" w14:textId="77777777" w:rsidR="00F90355" w:rsidRPr="00A27387" w:rsidRDefault="00F90355" w:rsidP="000720FC">
      <w:pPr>
        <w:pStyle w:val="H23GA"/>
        <w:rPr>
          <w:rFonts w:cs="Times New Roman"/>
          <w:rtl/>
          <w:lang w:val="ar-SA" w:eastAsia="zh-TW"/>
        </w:rPr>
      </w:pPr>
      <w:r w:rsidRPr="00A27387">
        <w:rPr>
          <w:rtl/>
        </w:rPr>
        <w:tab/>
      </w:r>
      <w:r w:rsidRPr="00A27387">
        <w:rPr>
          <w:rtl/>
        </w:rPr>
        <w:tab/>
        <w:t>السياق الحالي</w:t>
      </w:r>
    </w:p>
    <w:p w14:paraId="77690551" w14:textId="15B69386" w:rsidR="00F90355" w:rsidRPr="00A27387" w:rsidRDefault="00F90355" w:rsidP="000720FC">
      <w:pPr>
        <w:pStyle w:val="SingleTxtGA"/>
        <w:rPr>
          <w:rFonts w:cs="Times New Roman"/>
          <w:rtl/>
          <w:lang w:val="ar-SA" w:eastAsia="zh-TW"/>
        </w:rPr>
      </w:pPr>
      <w:r w:rsidRPr="0006537E">
        <w:rPr>
          <w:rtl/>
        </w:rPr>
        <w:t>10</w:t>
      </w:r>
      <w:r w:rsidRPr="00A27387">
        <w:rPr>
          <w:rFonts w:ascii="Simplified Arabic"/>
          <w:rtl/>
        </w:rPr>
        <w:t>-</w:t>
      </w:r>
      <w:r w:rsidRPr="00A27387">
        <w:rPr>
          <w:rtl/>
        </w:rPr>
        <w:tab/>
        <w:t>تلاحظ اللجنة بقلق أن حالة الطوارئ في السلفادور سارية منذ أكثر من عام، على نحو ما أشار إليه المتحدث باسم مفوضية الأمم المتحدة السامية لحقوق الإنسان</w:t>
      </w:r>
      <w:r w:rsidR="008A74E9">
        <w:rPr>
          <w:rStyle w:val="FootnoteReference"/>
          <w:sz w:val="20"/>
          <w:szCs w:val="20"/>
          <w:rtl/>
        </w:rPr>
        <w:t>(</w:t>
      </w:r>
      <w:r w:rsidR="008A74E9" w:rsidRPr="00A27387">
        <w:rPr>
          <w:rStyle w:val="FootnoteReference"/>
          <w:sz w:val="20"/>
          <w:szCs w:val="20"/>
          <w:rtl/>
        </w:rPr>
        <w:footnoteReference w:id="6"/>
      </w:r>
      <w:r w:rsidR="008A74E9" w:rsidRPr="008A74E9">
        <w:rPr>
          <w:rStyle w:val="FootnoteReference"/>
          <w:sz w:val="20"/>
          <w:szCs w:val="20"/>
          <w:rtl/>
        </w:rPr>
        <w:t>)</w:t>
      </w:r>
      <w:r w:rsidR="008A74E9" w:rsidRPr="008A74E9">
        <w:rPr>
          <w:rFonts w:hint="cs"/>
          <w:rtl/>
        </w:rPr>
        <w:t>.</w:t>
      </w:r>
      <w:r w:rsidR="008A74E9" w:rsidRPr="008A74E9">
        <w:rPr>
          <w:rtl/>
        </w:rPr>
        <w:t xml:space="preserve"> </w:t>
      </w:r>
      <w:r w:rsidRPr="00A27387">
        <w:rPr>
          <w:rtl/>
        </w:rPr>
        <w:t xml:space="preserve">وتدرك اللجنة التحديات الأمنية التي يفرضها عنف العصابات، وواجب الدولة الطرف فيما يخص ضمان الأمن في إقليمها. غير أن اللجنة تشعر بقلق بالغ بشأن الأثر الناجم عن أساليب تطبيق حالة الطوارئ على التمتع بحقوق الإنسان. ومما يثير القلق بوجه خاص إغلاق مساحات المشاركة والحوار على الصعيد الوطني، وفرض قيود عملية على عمل المدافعين عن حقوق الإنسان، وعلى ممارسة الاحتجاج الاجتماعي، فضلاً عن ظروف احتجاز الأشخاص المسلوبي الحرية. </w:t>
      </w:r>
    </w:p>
    <w:p w14:paraId="12FDF741" w14:textId="5DF543E5" w:rsidR="00F90355" w:rsidRPr="008B56F6" w:rsidRDefault="00F90355" w:rsidP="000720FC">
      <w:pPr>
        <w:pStyle w:val="SingleTxtGA"/>
        <w:rPr>
          <w:rFonts w:cs="Times New Roman"/>
          <w:b/>
          <w:bCs/>
          <w:rtl/>
          <w:lang w:val="ar-SA" w:eastAsia="zh-TW"/>
        </w:rPr>
      </w:pPr>
      <w:r w:rsidRPr="0006537E">
        <w:rPr>
          <w:rtl/>
        </w:rPr>
        <w:t>11</w:t>
      </w:r>
      <w:r w:rsidRPr="00A27387">
        <w:rPr>
          <w:rFonts w:ascii="Simplified Arabic"/>
          <w:rtl/>
        </w:rPr>
        <w:t>-</w:t>
      </w:r>
      <w:r w:rsidRPr="00A27387">
        <w:rPr>
          <w:rtl/>
        </w:rPr>
        <w:tab/>
      </w:r>
      <w:r w:rsidRPr="008B56F6">
        <w:rPr>
          <w:b/>
          <w:bCs/>
          <w:rtl/>
        </w:rPr>
        <w:t>إن اللجنة، إذ تشير إلى الملاحظات الختامية للجنة المعنية بالحقوق الاقتصادية والاجتماعية والثقافية</w:t>
      </w:r>
      <w:r w:rsidR="008A74E9">
        <w:rPr>
          <w:rStyle w:val="FootnoteReference"/>
          <w:b/>
          <w:bCs/>
          <w:sz w:val="20"/>
          <w:szCs w:val="20"/>
          <w:rtl/>
        </w:rPr>
        <w:t>(</w:t>
      </w:r>
      <w:r w:rsidR="008A74E9" w:rsidRPr="008B56F6">
        <w:rPr>
          <w:rStyle w:val="FootnoteReference"/>
          <w:b/>
          <w:bCs/>
          <w:sz w:val="20"/>
          <w:szCs w:val="20"/>
          <w:rtl/>
        </w:rPr>
        <w:footnoteReference w:id="7"/>
      </w:r>
      <w:r w:rsidR="008A74E9" w:rsidRPr="008A74E9">
        <w:rPr>
          <w:rStyle w:val="FootnoteReference"/>
          <w:b/>
          <w:bCs/>
          <w:sz w:val="20"/>
          <w:szCs w:val="20"/>
          <w:rtl/>
        </w:rPr>
        <w:t>)</w:t>
      </w:r>
      <w:r w:rsidR="008A74E9" w:rsidRPr="008A74E9">
        <w:rPr>
          <w:rFonts w:hint="cs"/>
          <w:b/>
          <w:bCs/>
          <w:rtl/>
        </w:rPr>
        <w:t>،</w:t>
      </w:r>
      <w:r w:rsidR="008A74E9" w:rsidRPr="008A74E9">
        <w:rPr>
          <w:b/>
          <w:bCs/>
          <w:rtl/>
        </w:rPr>
        <w:t> </w:t>
      </w:r>
      <w:r w:rsidRPr="008B56F6">
        <w:rPr>
          <w:b/>
          <w:bCs/>
          <w:rtl/>
        </w:rPr>
        <w:t>توصي الدولة الطرف بما يلي</w:t>
      </w:r>
      <w:r w:rsidRPr="008B56F6">
        <w:rPr>
          <w:rFonts w:ascii="Simplified Arabic"/>
          <w:b/>
          <w:bCs/>
        </w:rPr>
        <w:t>:</w:t>
      </w:r>
      <w:r w:rsidRPr="008B56F6">
        <w:rPr>
          <w:b/>
          <w:bCs/>
          <w:rtl/>
        </w:rPr>
        <w:t xml:space="preserve"> </w:t>
      </w:r>
    </w:p>
    <w:p w14:paraId="340331C9" w14:textId="07B792E0" w:rsidR="00F90355" w:rsidRPr="008B56F6" w:rsidRDefault="000720FC" w:rsidP="000720FC">
      <w:pPr>
        <w:pStyle w:val="SingleTxtGA"/>
        <w:rPr>
          <w:rFonts w:cs="Times New Roman"/>
          <w:b/>
          <w:bCs/>
          <w:rtl/>
          <w:lang w:val="ar-SA" w:eastAsia="zh-TW"/>
        </w:rPr>
      </w:pPr>
      <w:r>
        <w:rPr>
          <w:rFonts w:ascii="Simplified Arabic"/>
          <w:rtl/>
        </w:rPr>
        <w:tab/>
      </w:r>
      <w:r w:rsidR="00F90355" w:rsidRPr="0022627A">
        <w:rPr>
          <w:rFonts w:ascii="Simplified Arabic"/>
          <w:rtl/>
        </w:rPr>
        <w:t>(</w:t>
      </w:r>
      <w:r w:rsidR="00F90355" w:rsidRPr="0022627A">
        <w:rPr>
          <w:rtl/>
        </w:rPr>
        <w:t>أ)</w:t>
      </w:r>
      <w:r w:rsidR="00F90355" w:rsidRPr="008B56F6">
        <w:rPr>
          <w:b/>
          <w:bCs/>
          <w:rtl/>
        </w:rPr>
        <w:tab/>
        <w:t>كفالة ألا تحد التدابير الاستثنائية المتصلة بتعليق الحريات الأساسية والمحاكمة وفق الأصول القانونية والضمانات الإجرائية من التمتع بحقوق الإنسان، وألا تقيّد عمل المدافعين عن حقوق الإنسان؛</w:t>
      </w:r>
    </w:p>
    <w:p w14:paraId="7999B632" w14:textId="288A5DEA" w:rsidR="00F90355" w:rsidRPr="00622209" w:rsidRDefault="000720FC" w:rsidP="000720FC">
      <w:pPr>
        <w:pStyle w:val="SingleTxtGA"/>
        <w:rPr>
          <w:rFonts w:cs="Times New Roman"/>
          <w:b/>
          <w:bCs/>
          <w:rtl/>
          <w:lang w:val="ar-SA" w:eastAsia="zh-TW"/>
        </w:rPr>
      </w:pPr>
      <w:r>
        <w:rPr>
          <w:rFonts w:ascii="Simplified Arabic"/>
          <w:rtl/>
        </w:rPr>
        <w:tab/>
      </w:r>
      <w:r w:rsidR="00F90355" w:rsidRPr="00A27387">
        <w:rPr>
          <w:rFonts w:ascii="Simplified Arabic"/>
          <w:rtl/>
        </w:rPr>
        <w:t>(</w:t>
      </w:r>
      <w:r w:rsidR="00F90355" w:rsidRPr="00A27387">
        <w:rPr>
          <w:rtl/>
        </w:rPr>
        <w:t>ب)</w:t>
      </w:r>
      <w:r w:rsidR="00F90355" w:rsidRPr="00622209">
        <w:rPr>
          <w:b/>
          <w:bCs/>
          <w:rtl/>
        </w:rPr>
        <w:tab/>
        <w:t xml:space="preserve">ضمان الحق في تكوين الجمعيات والاحتجاج السلمي؛ </w:t>
      </w:r>
    </w:p>
    <w:p w14:paraId="18EF95A0" w14:textId="5F4198DF" w:rsidR="00F90355" w:rsidRPr="00622209" w:rsidRDefault="000720FC" w:rsidP="000720FC">
      <w:pPr>
        <w:pStyle w:val="SingleTxtGA"/>
        <w:rPr>
          <w:rFonts w:cs="Times New Roman"/>
          <w:b/>
          <w:bCs/>
          <w:rtl/>
          <w:lang w:val="ar-SA" w:eastAsia="zh-TW"/>
        </w:rPr>
      </w:pPr>
      <w:r>
        <w:rPr>
          <w:rFonts w:ascii="Simplified Arabic"/>
          <w:rtl/>
        </w:rPr>
        <w:tab/>
      </w:r>
      <w:r w:rsidR="00F90355" w:rsidRPr="00A27387">
        <w:rPr>
          <w:rFonts w:ascii="Simplified Arabic"/>
          <w:rtl/>
        </w:rPr>
        <w:t>(</w:t>
      </w:r>
      <w:r w:rsidR="00F90355" w:rsidRPr="00A27387">
        <w:rPr>
          <w:rtl/>
        </w:rPr>
        <w:t>ج)</w:t>
      </w:r>
      <w:r w:rsidR="00F90355" w:rsidRPr="00622209">
        <w:rPr>
          <w:b/>
          <w:bCs/>
          <w:rtl/>
        </w:rPr>
        <w:tab/>
        <w:t xml:space="preserve">إعادة مساحات المشاركة والحوار بطريقة مفتوحة وبنّاءة مع جميع الجهات صاحبة المصلحة على الصعيد الوطني، بما يشمل ممثلي المجتمع المدني والأوساط الأكاديمية والقطاع الخاص وممثلي الشعوب الأصلية وقادتها والمدافعين عن حقوق الإنسان؛ </w:t>
      </w:r>
    </w:p>
    <w:p w14:paraId="3A4BDF89" w14:textId="72928C0F" w:rsidR="00F90355" w:rsidRPr="00622209" w:rsidRDefault="000720FC" w:rsidP="000720FC">
      <w:pPr>
        <w:pStyle w:val="SingleTxtGA"/>
        <w:rPr>
          <w:rFonts w:cs="Times New Roman"/>
          <w:b/>
          <w:bCs/>
          <w:rtl/>
          <w:lang w:val="ar-SA" w:eastAsia="zh-TW"/>
        </w:rPr>
      </w:pPr>
      <w:r>
        <w:rPr>
          <w:rFonts w:ascii="Simplified Arabic"/>
          <w:rtl/>
        </w:rPr>
        <w:lastRenderedPageBreak/>
        <w:tab/>
      </w:r>
      <w:r w:rsidR="00F90355" w:rsidRPr="00A27387">
        <w:rPr>
          <w:rFonts w:ascii="Simplified Arabic"/>
          <w:rtl/>
        </w:rPr>
        <w:t>(</w:t>
      </w:r>
      <w:r w:rsidR="00F90355" w:rsidRPr="00A27387">
        <w:rPr>
          <w:rtl/>
        </w:rPr>
        <w:t>د)</w:t>
      </w:r>
      <w:r w:rsidR="00F90355" w:rsidRPr="00622209">
        <w:rPr>
          <w:b/>
          <w:bCs/>
          <w:rtl/>
        </w:rPr>
        <w:tab/>
        <w:t xml:space="preserve">كفالة توافُق إعلان حالات الطوارئ وتمديدها وطريقة تطبيقها مع مبادئ السريان المؤقت والتناسب والضرورة والمبادئ الأخرى المكرسة في المعايير الدولية لحقوق الإنسان وإخضاعها للمراجعة القضائية؛ </w:t>
      </w:r>
    </w:p>
    <w:p w14:paraId="0BCB5E65" w14:textId="7B140E9C" w:rsidR="00F90355" w:rsidRPr="00622209" w:rsidRDefault="000720FC" w:rsidP="000720FC">
      <w:pPr>
        <w:pStyle w:val="SingleTxtGA"/>
        <w:rPr>
          <w:rFonts w:cs="Times New Roman"/>
          <w:b/>
          <w:bCs/>
          <w:rtl/>
          <w:lang w:val="ar-SA" w:eastAsia="zh-TW"/>
        </w:rPr>
      </w:pPr>
      <w:r>
        <w:rPr>
          <w:rtl/>
        </w:rPr>
        <w:tab/>
      </w:r>
      <w:r w:rsidR="00F90355" w:rsidRPr="00A27387">
        <w:rPr>
          <w:rtl/>
        </w:rPr>
        <w:t>(هـ)</w:t>
      </w:r>
      <w:r w:rsidR="00F90355" w:rsidRPr="00A27387">
        <w:rPr>
          <w:rtl/>
        </w:rPr>
        <w:tab/>
      </w:r>
      <w:r w:rsidR="00F90355" w:rsidRPr="00622209">
        <w:rPr>
          <w:b/>
          <w:bCs/>
          <w:rtl/>
        </w:rPr>
        <w:t>كفالة قواعد الشرعية والإنسانية والكرامة والضمانات القضائية واحترام حقوق الإنسان في مراكز الاحتجاز والسجون أثناء حالة الطوارئ وبعدها.</w:t>
      </w:r>
    </w:p>
    <w:p w14:paraId="13F0F115" w14:textId="77777777" w:rsidR="00F90355" w:rsidRPr="00A27387" w:rsidRDefault="00F90355" w:rsidP="000720FC">
      <w:pPr>
        <w:pStyle w:val="H23GA"/>
        <w:rPr>
          <w:rFonts w:cs="Times New Roman"/>
          <w:rtl/>
          <w:lang w:val="ar-SA" w:eastAsia="zh-TW"/>
        </w:rPr>
      </w:pPr>
      <w:r w:rsidRPr="00A27387">
        <w:rPr>
          <w:rtl/>
        </w:rPr>
        <w:tab/>
      </w:r>
      <w:r w:rsidRPr="00A27387">
        <w:rPr>
          <w:rtl/>
        </w:rPr>
        <w:tab/>
        <w:t>التشريعات والتطبيق</w:t>
      </w:r>
    </w:p>
    <w:p w14:paraId="1D5D6270" w14:textId="2F2211DE" w:rsidR="00F90355" w:rsidRPr="00A27387" w:rsidRDefault="00F90355" w:rsidP="000720FC">
      <w:pPr>
        <w:pStyle w:val="SingleTxtGA"/>
        <w:rPr>
          <w:rFonts w:cs="Times New Roman"/>
          <w:rtl/>
          <w:lang w:val="ar-SA" w:eastAsia="zh-TW"/>
        </w:rPr>
      </w:pPr>
      <w:r w:rsidRPr="0006537E">
        <w:rPr>
          <w:rtl/>
        </w:rPr>
        <w:t>12</w:t>
      </w:r>
      <w:r w:rsidRPr="00A27387">
        <w:rPr>
          <w:rFonts w:ascii="Simplified Arabic"/>
          <w:rtl/>
        </w:rPr>
        <w:t>-</w:t>
      </w:r>
      <w:r w:rsidRPr="00A27387">
        <w:rPr>
          <w:rtl/>
        </w:rPr>
        <w:tab/>
        <w:t xml:space="preserve">تلاحظ اللجنة أن الدولة الطرف أحرزت تقدماً منذ عام </w:t>
      </w:r>
      <w:r w:rsidRPr="0006537E">
        <w:rPr>
          <w:rtl/>
        </w:rPr>
        <w:t>2022</w:t>
      </w:r>
      <w:r w:rsidRPr="00A27387">
        <w:rPr>
          <w:rtl/>
        </w:rPr>
        <w:t xml:space="preserve"> في صياغة القانون الخاص المتعلق بالتنقل البشري وخطة وطنية للهجرة. غير أن اللجنة يساورها القلق لعدم إ</w:t>
      </w:r>
      <w:r>
        <w:rPr>
          <w:rtl/>
        </w:rPr>
        <w:t>رساء</w:t>
      </w:r>
      <w:r w:rsidRPr="00A27387">
        <w:rPr>
          <w:rtl/>
        </w:rPr>
        <w:t xml:space="preserve"> عملية حوار وتبادل مع المجتمع المدني تسمح بعملية شفافة وتشاركية لوضع أي من هذين الصكين. وتكرر اللجنة أيضاً</w:t>
      </w:r>
      <w:r w:rsidR="00485773">
        <w:rPr>
          <w:rFonts w:hint="cs"/>
          <w:rtl/>
        </w:rPr>
        <w:t> </w:t>
      </w:r>
      <w:r w:rsidRPr="00A27387">
        <w:rPr>
          <w:rtl/>
        </w:rPr>
        <w:t xml:space="preserve">الإعراب عن قلقها لأن الدولة الطرف لم تسحب الإعلانات المقدَّمة فيما يتعلق بالمواد </w:t>
      </w:r>
      <w:r w:rsidRPr="0006537E">
        <w:rPr>
          <w:rtl/>
        </w:rPr>
        <w:t>32</w:t>
      </w:r>
      <w:r w:rsidRPr="00A27387">
        <w:rPr>
          <w:rtl/>
        </w:rPr>
        <w:t xml:space="preserve"> و</w:t>
      </w:r>
      <w:r w:rsidRPr="0006537E">
        <w:rPr>
          <w:rtl/>
        </w:rPr>
        <w:t>46</w:t>
      </w:r>
      <w:r w:rsidRPr="00A27387">
        <w:rPr>
          <w:rtl/>
        </w:rPr>
        <w:t xml:space="preserve"> و</w:t>
      </w:r>
      <w:r w:rsidRPr="0006537E">
        <w:rPr>
          <w:rtl/>
        </w:rPr>
        <w:t>47</w:t>
      </w:r>
      <w:r w:rsidRPr="00A27387">
        <w:rPr>
          <w:rtl/>
        </w:rPr>
        <w:t xml:space="preserve"> و</w:t>
      </w:r>
      <w:r w:rsidRPr="0006537E">
        <w:rPr>
          <w:rtl/>
        </w:rPr>
        <w:t>48</w:t>
      </w:r>
      <w:r w:rsidRPr="00A27387">
        <w:rPr>
          <w:rtl/>
        </w:rPr>
        <w:t xml:space="preserve"> و</w:t>
      </w:r>
      <w:r w:rsidRPr="0006537E">
        <w:rPr>
          <w:rtl/>
        </w:rPr>
        <w:t>61</w:t>
      </w:r>
      <w:r w:rsidRPr="00A27387">
        <w:rPr>
          <w:rFonts w:ascii="Simplified Arabic"/>
          <w:rtl/>
        </w:rPr>
        <w:t>(</w:t>
      </w:r>
      <w:r w:rsidR="008A74E9" w:rsidRPr="008A74E9">
        <w:rPr>
          <w:rtl/>
        </w:rPr>
        <w:t>4</w:t>
      </w:r>
      <w:r w:rsidR="008A74E9" w:rsidRPr="008A74E9">
        <w:rPr>
          <w:rFonts w:ascii="Simplified Arabic"/>
          <w:rtl/>
        </w:rPr>
        <w:t>)</w:t>
      </w:r>
      <w:r w:rsidR="008A74E9" w:rsidRPr="008A74E9">
        <w:rPr>
          <w:rtl/>
        </w:rPr>
        <w:t xml:space="preserve"> </w:t>
      </w:r>
      <w:r w:rsidRPr="00A27387">
        <w:rPr>
          <w:rtl/>
        </w:rPr>
        <w:t xml:space="preserve">من الاتفاقية، مما قد يعوق الإعمال الكامل لحقوق العمال المهاجرين المعترف بها في تلك الأحكام. </w:t>
      </w:r>
    </w:p>
    <w:p w14:paraId="329F4BBC" w14:textId="4C72271F" w:rsidR="008A74E9" w:rsidRPr="008A74E9" w:rsidRDefault="00F90355" w:rsidP="000720FC">
      <w:pPr>
        <w:pStyle w:val="SingleTxtGA"/>
        <w:rPr>
          <w:b/>
          <w:bCs/>
          <w:rtl/>
        </w:rPr>
      </w:pPr>
      <w:r w:rsidRPr="0006537E">
        <w:rPr>
          <w:rtl/>
        </w:rPr>
        <w:t>13</w:t>
      </w:r>
      <w:r w:rsidRPr="00A27387">
        <w:rPr>
          <w:rFonts w:ascii="Simplified Arabic"/>
          <w:rtl/>
        </w:rPr>
        <w:t>-</w:t>
      </w:r>
      <w:r w:rsidRPr="00A27387">
        <w:rPr>
          <w:rtl/>
        </w:rPr>
        <w:tab/>
      </w:r>
      <w:r w:rsidRPr="00622209">
        <w:rPr>
          <w:b/>
          <w:bCs/>
          <w:rtl/>
        </w:rPr>
        <w:t>توصي اللجنة الدولة الطرف بأن تكفل وجود مساحة للحوار والمشاركة الواسعة مع المجتمع المدني أثناء صياغة القانون الخاص المتعلق بالتنقل البشري والخطة الوطنية للهجرة، وأن يفي كلا الصكين بالمعايير الدولية، مع ضمان احترام أحكام الاتفاقية وتجنب الانتكاسات في الاعتراف بالحقوق المكرسة بالفعل في القوانين والأنظمة السارية. وتكرر اللجنة توصيتها الموجهة إلى الدولة الطرف باتخاذ التدابير اللازمة لسحب الإعلانات المتعلقة بالمواد 32 و46 و47 و48 و61</w:t>
      </w:r>
      <w:r w:rsidRPr="00622209">
        <w:rPr>
          <w:rFonts w:ascii="Simplified Arabic"/>
          <w:b/>
          <w:bCs/>
          <w:rtl/>
        </w:rPr>
        <w:t>(</w:t>
      </w:r>
      <w:r w:rsidR="008A74E9" w:rsidRPr="008A74E9">
        <w:rPr>
          <w:b/>
          <w:bCs/>
          <w:rtl/>
        </w:rPr>
        <w:t>4</w:t>
      </w:r>
      <w:r w:rsidR="008A74E9" w:rsidRPr="008A74E9">
        <w:rPr>
          <w:rFonts w:ascii="Simplified Arabic"/>
          <w:b/>
          <w:bCs/>
          <w:rtl/>
        </w:rPr>
        <w:t>)</w:t>
      </w:r>
      <w:r w:rsidR="008A74E9" w:rsidRPr="008A74E9">
        <w:rPr>
          <w:b/>
          <w:bCs/>
          <w:rtl/>
        </w:rPr>
        <w:t xml:space="preserve"> </w:t>
      </w:r>
      <w:r w:rsidRPr="00622209">
        <w:rPr>
          <w:b/>
          <w:bCs/>
          <w:rtl/>
        </w:rPr>
        <w:t>من الاتفاقية</w:t>
      </w:r>
      <w:r w:rsidR="008A74E9">
        <w:rPr>
          <w:rStyle w:val="FootnoteReference"/>
          <w:b/>
          <w:bCs/>
          <w:sz w:val="20"/>
          <w:szCs w:val="20"/>
          <w:rtl/>
        </w:rPr>
        <w:t>(</w:t>
      </w:r>
      <w:r w:rsidR="008A74E9" w:rsidRPr="00622209">
        <w:rPr>
          <w:rStyle w:val="FootnoteReference"/>
          <w:b/>
          <w:bCs/>
          <w:sz w:val="20"/>
          <w:szCs w:val="20"/>
          <w:rtl/>
        </w:rPr>
        <w:footnoteReference w:id="8"/>
      </w:r>
      <w:r w:rsidR="008A74E9" w:rsidRPr="008A74E9">
        <w:rPr>
          <w:rStyle w:val="FootnoteReference"/>
          <w:b/>
          <w:bCs/>
          <w:sz w:val="20"/>
          <w:szCs w:val="20"/>
          <w:rtl/>
        </w:rPr>
        <w:t>)</w:t>
      </w:r>
      <w:r w:rsidR="008A74E9" w:rsidRPr="008A74E9">
        <w:rPr>
          <w:rFonts w:hint="cs"/>
          <w:b/>
          <w:bCs/>
          <w:rtl/>
        </w:rPr>
        <w:t>.</w:t>
      </w:r>
    </w:p>
    <w:p w14:paraId="7236626E" w14:textId="242940A4" w:rsidR="00F90355" w:rsidRPr="00A27387" w:rsidRDefault="00F90355" w:rsidP="0055193B">
      <w:pPr>
        <w:pStyle w:val="H23GA"/>
        <w:rPr>
          <w:rFonts w:cs="Times New Roman"/>
          <w:rtl/>
          <w:lang w:val="ar-SA" w:eastAsia="zh-TW"/>
        </w:rPr>
      </w:pPr>
      <w:r w:rsidRPr="00A27387">
        <w:rPr>
          <w:rtl/>
        </w:rPr>
        <w:tab/>
      </w:r>
      <w:r w:rsidRPr="00A27387">
        <w:rPr>
          <w:rtl/>
        </w:rPr>
        <w:tab/>
        <w:t>الإعلانات والتحفظات</w:t>
      </w:r>
    </w:p>
    <w:p w14:paraId="2B6AF832" w14:textId="2B9E6AAF" w:rsidR="00F90355" w:rsidRPr="00622209" w:rsidRDefault="00F90355" w:rsidP="0055193B">
      <w:pPr>
        <w:pStyle w:val="SingleTxtGA"/>
        <w:rPr>
          <w:rFonts w:cs="Times New Roman"/>
          <w:b/>
          <w:bCs/>
          <w:rtl/>
          <w:lang w:val="ar-SA" w:eastAsia="zh-TW"/>
        </w:rPr>
      </w:pPr>
      <w:r w:rsidRPr="0006537E">
        <w:rPr>
          <w:rtl/>
        </w:rPr>
        <w:t>14</w:t>
      </w:r>
      <w:r w:rsidRPr="00A27387">
        <w:rPr>
          <w:rFonts w:ascii="Simplified Arabic"/>
          <w:rtl/>
        </w:rPr>
        <w:t>-</w:t>
      </w:r>
      <w:r w:rsidRPr="00A27387">
        <w:rPr>
          <w:rtl/>
        </w:rPr>
        <w:tab/>
      </w:r>
      <w:r w:rsidRPr="00622209">
        <w:rPr>
          <w:b/>
          <w:bCs/>
          <w:rtl/>
        </w:rPr>
        <w:t>توصي اللجنة بأن تتخذ الدولة الطرف التدابير اللازمة لسحب التحفظات المقدَّمة فيما يتعلق بالمادة 92</w:t>
      </w:r>
      <w:r w:rsidRPr="00622209">
        <w:rPr>
          <w:rFonts w:ascii="Simplified Arabic"/>
          <w:b/>
          <w:bCs/>
          <w:rtl/>
        </w:rPr>
        <w:t>(</w:t>
      </w:r>
      <w:r w:rsidR="008A74E9" w:rsidRPr="008A74E9">
        <w:rPr>
          <w:b/>
          <w:bCs/>
          <w:rtl/>
        </w:rPr>
        <w:t>1</w:t>
      </w:r>
      <w:r w:rsidR="008A74E9" w:rsidRPr="008A74E9">
        <w:rPr>
          <w:rFonts w:ascii="Simplified Arabic"/>
          <w:b/>
          <w:bCs/>
          <w:rtl/>
        </w:rPr>
        <w:t>)</w:t>
      </w:r>
      <w:r w:rsidR="008A74E9" w:rsidRPr="008A74E9">
        <w:rPr>
          <w:b/>
          <w:bCs/>
          <w:rtl/>
        </w:rPr>
        <w:t xml:space="preserve"> </w:t>
      </w:r>
      <w:r w:rsidRPr="00622209">
        <w:rPr>
          <w:b/>
          <w:bCs/>
          <w:rtl/>
        </w:rPr>
        <w:t xml:space="preserve">من الاتفاقية من أجل ضمان تمتع العمال المهاجرين تمتعاً كاملاً بالحقوق التي تكفلها الاتفاقية. </w:t>
      </w:r>
    </w:p>
    <w:p w14:paraId="41C04EBC" w14:textId="77777777" w:rsidR="00F90355" w:rsidRPr="00A27387" w:rsidRDefault="00F90355" w:rsidP="0055193B">
      <w:pPr>
        <w:pStyle w:val="H23GA"/>
        <w:rPr>
          <w:rFonts w:cs="Times New Roman"/>
          <w:rtl/>
          <w:lang w:val="ar-SA" w:eastAsia="zh-TW"/>
        </w:rPr>
      </w:pPr>
      <w:r w:rsidRPr="00A27387">
        <w:rPr>
          <w:rtl/>
        </w:rPr>
        <w:tab/>
      </w:r>
      <w:r w:rsidRPr="00A27387">
        <w:rPr>
          <w:rtl/>
        </w:rPr>
        <w:tab/>
        <w:t>التصديق على الصكوك ذات الصلة</w:t>
      </w:r>
    </w:p>
    <w:p w14:paraId="09996176" w14:textId="70764B11" w:rsidR="00F90355" w:rsidRPr="00A27387" w:rsidRDefault="00F90355" w:rsidP="0055193B">
      <w:pPr>
        <w:pStyle w:val="SingleTxtGA"/>
        <w:rPr>
          <w:rFonts w:cs="Times New Roman"/>
          <w:rtl/>
          <w:lang w:val="ar-SA" w:eastAsia="zh-TW"/>
        </w:rPr>
      </w:pPr>
      <w:r w:rsidRPr="0006537E">
        <w:rPr>
          <w:rtl/>
        </w:rPr>
        <w:t>15</w:t>
      </w:r>
      <w:r w:rsidRPr="00A27387">
        <w:rPr>
          <w:rFonts w:ascii="Simplified Arabic"/>
          <w:rtl/>
        </w:rPr>
        <w:t>-</w:t>
      </w:r>
      <w:r w:rsidRPr="00A27387">
        <w:rPr>
          <w:rtl/>
        </w:rPr>
        <w:tab/>
        <w:t xml:space="preserve">تلاحظ اللجنة أن الدولة الطرف صدَّقت على المعاهدات الأساسية لحقوق الإنسان، وكذلك على العديد من اتفاقيات منظمة العمل الدولية. غير أن اللجنة تلاحظ أن الدولة الطرف لم تصدّق بعد على الاتفاقية الدولية لحماية جميع الأشخاص من الاختفاء القسري؛ والبروتوكول الاختياري لاتفاقية مناهضة التعذيب وغيره من ضروب المعاملة أو العقوبة القاسية أو اللاإنسانية أو المهينة؛ واتفاقية منظمة العمل الدولية بشأن وكالات الاستخدام الخاصة، </w:t>
      </w:r>
      <w:r w:rsidRPr="0006537E">
        <w:rPr>
          <w:rtl/>
        </w:rPr>
        <w:t>1997</w:t>
      </w:r>
      <w:r w:rsidRPr="00A27387">
        <w:rPr>
          <w:rFonts w:ascii="Simplified Arabic"/>
          <w:rtl/>
        </w:rPr>
        <w:t xml:space="preserve"> (</w:t>
      </w:r>
      <w:r w:rsidRPr="00A27387">
        <w:rPr>
          <w:rtl/>
        </w:rPr>
        <w:t xml:space="preserve">رقم </w:t>
      </w:r>
      <w:r w:rsidRPr="0006537E">
        <w:rPr>
          <w:rtl/>
        </w:rPr>
        <w:t>181</w:t>
      </w:r>
      <w:r w:rsidR="008A74E9" w:rsidRPr="008A74E9">
        <w:rPr>
          <w:rFonts w:ascii="Simplified Arabic"/>
          <w:rtl/>
        </w:rPr>
        <w:t>)</w:t>
      </w:r>
      <w:r w:rsidR="008A74E9" w:rsidRPr="008A74E9">
        <w:rPr>
          <w:rtl/>
        </w:rPr>
        <w:t xml:space="preserve">، </w:t>
      </w:r>
      <w:r w:rsidRPr="00A27387">
        <w:rPr>
          <w:rtl/>
        </w:rPr>
        <w:t xml:space="preserve">واتفاقية منظمة العمل الدولية بشأن الإطار الترويجي للسلامة والصحة المهنيتين، </w:t>
      </w:r>
      <w:r w:rsidRPr="0006537E">
        <w:rPr>
          <w:rtl/>
        </w:rPr>
        <w:t>2006</w:t>
      </w:r>
      <w:r w:rsidRPr="00A27387">
        <w:rPr>
          <w:rFonts w:ascii="Simplified Arabic"/>
          <w:rtl/>
        </w:rPr>
        <w:t xml:space="preserve"> (</w:t>
      </w:r>
      <w:r w:rsidRPr="00A27387">
        <w:rPr>
          <w:rtl/>
        </w:rPr>
        <w:t xml:space="preserve">رقم </w:t>
      </w:r>
      <w:r w:rsidRPr="0006537E">
        <w:rPr>
          <w:rtl/>
        </w:rPr>
        <w:t>187</w:t>
      </w:r>
      <w:r w:rsidR="008A74E9" w:rsidRPr="008A74E9">
        <w:rPr>
          <w:rFonts w:ascii="Simplified Arabic"/>
          <w:rtl/>
        </w:rPr>
        <w:t>)</w:t>
      </w:r>
      <w:r w:rsidR="008A74E9" w:rsidRPr="008A74E9">
        <w:rPr>
          <w:rtl/>
        </w:rPr>
        <w:t xml:space="preserve">، </w:t>
      </w:r>
      <w:r w:rsidRPr="00A27387">
        <w:rPr>
          <w:rtl/>
        </w:rPr>
        <w:t xml:space="preserve">واتفاقية منظمة العمل الدولية بشأن العمال المنزليين، </w:t>
      </w:r>
      <w:r w:rsidRPr="0006537E">
        <w:rPr>
          <w:rtl/>
        </w:rPr>
        <w:t>2011</w:t>
      </w:r>
      <w:r w:rsidRPr="00A27387">
        <w:rPr>
          <w:rFonts w:ascii="Simplified Arabic"/>
          <w:rtl/>
        </w:rPr>
        <w:t xml:space="preserve"> (</w:t>
      </w:r>
      <w:r w:rsidRPr="00A27387">
        <w:rPr>
          <w:rtl/>
        </w:rPr>
        <w:t xml:space="preserve">رقم </w:t>
      </w:r>
      <w:r w:rsidRPr="0006537E">
        <w:rPr>
          <w:rtl/>
        </w:rPr>
        <w:t>189</w:t>
      </w:r>
      <w:r w:rsidR="008A74E9" w:rsidRPr="008A74E9">
        <w:rPr>
          <w:rFonts w:ascii="Simplified Arabic"/>
          <w:rtl/>
        </w:rPr>
        <w:t>)</w:t>
      </w:r>
      <w:r w:rsidR="008A74E9" w:rsidRPr="008A74E9">
        <w:rPr>
          <w:rtl/>
        </w:rPr>
        <w:t xml:space="preserve">، </w:t>
      </w:r>
      <w:r w:rsidRPr="00A27387">
        <w:rPr>
          <w:rtl/>
        </w:rPr>
        <w:t xml:space="preserve">وبروتوكول منظمة العمل الدولية الملحق باتفاقية العمل الجبري، </w:t>
      </w:r>
      <w:r w:rsidRPr="0006537E">
        <w:rPr>
          <w:rtl/>
        </w:rPr>
        <w:t>1930</w:t>
      </w:r>
      <w:r w:rsidRPr="00A27387">
        <w:rPr>
          <w:rFonts w:ascii="Simplified Arabic"/>
          <w:rtl/>
        </w:rPr>
        <w:t xml:space="preserve"> (</w:t>
      </w:r>
      <w:r w:rsidRPr="00A27387">
        <w:rPr>
          <w:rtl/>
        </w:rPr>
        <w:t xml:space="preserve">رقم </w:t>
      </w:r>
      <w:r w:rsidRPr="0006537E">
        <w:rPr>
          <w:rtl/>
        </w:rPr>
        <w:t>29</w:t>
      </w:r>
      <w:r w:rsidR="008A74E9" w:rsidRPr="008A74E9">
        <w:rPr>
          <w:rFonts w:ascii="Simplified Arabic"/>
          <w:rtl/>
        </w:rPr>
        <w:t>)</w:t>
      </w:r>
      <w:r w:rsidR="008A74E9" w:rsidRPr="008A74E9">
        <w:rPr>
          <w:rtl/>
        </w:rPr>
        <w:t xml:space="preserve">، </w:t>
      </w:r>
      <w:r w:rsidRPr="00A27387">
        <w:rPr>
          <w:rtl/>
        </w:rPr>
        <w:t>فضلاً عن اتفاقية مفوضية الأمم المتحدة السامية لشؤون اللاجئين المتعلقة بخفض حالات انعدام الجنسية.</w:t>
      </w:r>
      <w:bookmarkStart w:id="1" w:name="_Hlk131416796"/>
      <w:bookmarkEnd w:id="1"/>
    </w:p>
    <w:p w14:paraId="5C3C9334" w14:textId="276AB112" w:rsidR="00F90355" w:rsidRPr="00E13D0B" w:rsidRDefault="00F90355" w:rsidP="0055193B">
      <w:pPr>
        <w:pStyle w:val="SingleTxtGA"/>
        <w:rPr>
          <w:rFonts w:cs="Times New Roman"/>
          <w:b/>
          <w:bCs/>
          <w:rtl/>
          <w:lang w:val="ar-SA" w:eastAsia="zh-TW"/>
        </w:rPr>
      </w:pPr>
      <w:r w:rsidRPr="0006537E">
        <w:rPr>
          <w:rtl/>
        </w:rPr>
        <w:t>16</w:t>
      </w:r>
      <w:r w:rsidRPr="00A27387">
        <w:rPr>
          <w:rFonts w:ascii="Simplified Arabic"/>
          <w:rtl/>
        </w:rPr>
        <w:t>-</w:t>
      </w:r>
      <w:r w:rsidRPr="00A27387">
        <w:rPr>
          <w:rtl/>
        </w:rPr>
        <w:tab/>
      </w:r>
      <w:r w:rsidRPr="00E13D0B">
        <w:rPr>
          <w:b/>
          <w:bCs/>
          <w:rtl/>
        </w:rPr>
        <w:t xml:space="preserve">توصي اللجنة بأن تصدّق الدولة الطرف، على سبيل الأولوية، على الاتفاقية الدولية لحماية جميع الأشخاص من الاختفاء القسري؛ والبروتوكول الاختياري لاتفاقية مناهضة التعذيب وغيره من </w:t>
      </w:r>
      <w:r w:rsidRPr="00E13D0B">
        <w:rPr>
          <w:b/>
          <w:bCs/>
          <w:rtl/>
        </w:rPr>
        <w:lastRenderedPageBreak/>
        <w:t>ضروب المعاملة أو العقوبة القاسية أو اللاإنسانية أو المهينة؛ واتفاقية منظمة العمل الدولية بشأن وكالات الاستخدام الخاصة، 1997</w:t>
      </w:r>
      <w:r w:rsidRPr="00E13D0B">
        <w:rPr>
          <w:rFonts w:ascii="Simplified Arabic"/>
          <w:b/>
          <w:bCs/>
          <w:rtl/>
        </w:rPr>
        <w:t xml:space="preserve"> (</w:t>
      </w:r>
      <w:r w:rsidRPr="00E13D0B">
        <w:rPr>
          <w:b/>
          <w:bCs/>
          <w:rtl/>
        </w:rPr>
        <w:t>رقم 181</w:t>
      </w:r>
      <w:r w:rsidR="008A74E9" w:rsidRPr="008A74E9">
        <w:rPr>
          <w:rFonts w:ascii="Simplified Arabic"/>
          <w:b/>
          <w:bCs/>
          <w:rtl/>
        </w:rPr>
        <w:t>)</w:t>
      </w:r>
      <w:r w:rsidR="008A74E9" w:rsidRPr="008A74E9">
        <w:rPr>
          <w:b/>
          <w:bCs/>
          <w:rtl/>
        </w:rPr>
        <w:t xml:space="preserve">، </w:t>
      </w:r>
      <w:r w:rsidRPr="00E13D0B">
        <w:rPr>
          <w:b/>
          <w:bCs/>
          <w:rtl/>
        </w:rPr>
        <w:t>واتفاقية الإطار الترويجي للسلامة والصحة المهنيتين،</w:t>
      </w:r>
      <w:r w:rsidR="00485773">
        <w:rPr>
          <w:rFonts w:hint="cs"/>
          <w:b/>
          <w:bCs/>
          <w:rtl/>
        </w:rPr>
        <w:t> </w:t>
      </w:r>
      <w:r w:rsidRPr="00E13D0B">
        <w:rPr>
          <w:b/>
          <w:bCs/>
          <w:rtl/>
        </w:rPr>
        <w:t>2006</w:t>
      </w:r>
      <w:r w:rsidRPr="00E13D0B">
        <w:rPr>
          <w:rFonts w:ascii="Simplified Arabic"/>
          <w:b/>
          <w:bCs/>
          <w:rtl/>
        </w:rPr>
        <w:t xml:space="preserve"> (</w:t>
      </w:r>
      <w:r w:rsidRPr="00E13D0B">
        <w:rPr>
          <w:b/>
          <w:bCs/>
          <w:rtl/>
        </w:rPr>
        <w:t>رقم 187</w:t>
      </w:r>
      <w:r w:rsidR="008A74E9" w:rsidRPr="008A74E9">
        <w:rPr>
          <w:rFonts w:ascii="Simplified Arabic"/>
          <w:b/>
          <w:bCs/>
          <w:rtl/>
        </w:rPr>
        <w:t>)</w:t>
      </w:r>
      <w:r w:rsidR="008A74E9" w:rsidRPr="008A74E9">
        <w:rPr>
          <w:b/>
          <w:bCs/>
          <w:rtl/>
        </w:rPr>
        <w:t xml:space="preserve">، </w:t>
      </w:r>
      <w:r w:rsidRPr="00E13D0B">
        <w:rPr>
          <w:b/>
          <w:bCs/>
          <w:rtl/>
        </w:rPr>
        <w:t>واتفاقية العمال المنزليين، 2011</w:t>
      </w:r>
      <w:r w:rsidRPr="00E13D0B">
        <w:rPr>
          <w:rFonts w:ascii="Simplified Arabic"/>
          <w:b/>
          <w:bCs/>
          <w:rtl/>
        </w:rPr>
        <w:t xml:space="preserve"> (</w:t>
      </w:r>
      <w:r w:rsidRPr="00E13D0B">
        <w:rPr>
          <w:b/>
          <w:bCs/>
          <w:rtl/>
        </w:rPr>
        <w:t>رقم 189</w:t>
      </w:r>
      <w:r w:rsidR="008A74E9" w:rsidRPr="008A74E9">
        <w:rPr>
          <w:rFonts w:ascii="Simplified Arabic"/>
          <w:b/>
          <w:bCs/>
          <w:rtl/>
        </w:rPr>
        <w:t>)</w:t>
      </w:r>
      <w:r w:rsidR="008A74E9" w:rsidRPr="008A74E9">
        <w:rPr>
          <w:b/>
          <w:bCs/>
          <w:rtl/>
        </w:rPr>
        <w:t xml:space="preserve">، </w:t>
      </w:r>
      <w:r w:rsidRPr="00E13D0B">
        <w:rPr>
          <w:b/>
          <w:bCs/>
          <w:rtl/>
        </w:rPr>
        <w:t>والبروتوكول الملحق باتفاقية العمل الجبري، 1930</w:t>
      </w:r>
      <w:r w:rsidRPr="00E13D0B">
        <w:rPr>
          <w:rFonts w:ascii="Simplified Arabic"/>
          <w:b/>
          <w:bCs/>
          <w:rtl/>
        </w:rPr>
        <w:t xml:space="preserve"> (</w:t>
      </w:r>
      <w:r w:rsidRPr="00E13D0B">
        <w:rPr>
          <w:b/>
          <w:bCs/>
          <w:rtl/>
        </w:rPr>
        <w:t>رقم 29</w:t>
      </w:r>
      <w:r w:rsidR="008A74E9" w:rsidRPr="008A74E9">
        <w:rPr>
          <w:rFonts w:ascii="Simplified Arabic"/>
          <w:b/>
          <w:bCs/>
          <w:rtl/>
        </w:rPr>
        <w:t>)</w:t>
      </w:r>
      <w:r w:rsidR="008A74E9" w:rsidRPr="008A74E9">
        <w:rPr>
          <w:b/>
          <w:bCs/>
          <w:rtl/>
        </w:rPr>
        <w:t xml:space="preserve">؛ </w:t>
      </w:r>
      <w:r w:rsidRPr="00E13D0B">
        <w:rPr>
          <w:b/>
          <w:bCs/>
          <w:rtl/>
        </w:rPr>
        <w:t xml:space="preserve">والاتفاقية المتعلقة بخفض حالات انعدام الجنسية. </w:t>
      </w:r>
      <w:bookmarkStart w:id="2" w:name="_Hlk135745115"/>
      <w:bookmarkEnd w:id="2"/>
    </w:p>
    <w:p w14:paraId="1AE81998" w14:textId="77777777" w:rsidR="00F90355" w:rsidRPr="00485773" w:rsidRDefault="00F90355" w:rsidP="0055193B">
      <w:pPr>
        <w:pStyle w:val="H23GA"/>
        <w:rPr>
          <w:rtl/>
        </w:rPr>
      </w:pPr>
      <w:r w:rsidRPr="00485773">
        <w:rPr>
          <w:rtl/>
        </w:rPr>
        <w:tab/>
      </w:r>
      <w:r w:rsidRPr="00485773">
        <w:rPr>
          <w:rtl/>
        </w:rPr>
        <w:tab/>
        <w:t>جمع البيانات</w:t>
      </w:r>
    </w:p>
    <w:p w14:paraId="552A9EAE" w14:textId="77777777" w:rsidR="00F90355" w:rsidRPr="00A27387" w:rsidRDefault="00F90355" w:rsidP="0055193B">
      <w:pPr>
        <w:pStyle w:val="SingleTxtGA"/>
        <w:rPr>
          <w:rFonts w:cs="Times New Roman"/>
          <w:rtl/>
          <w:lang w:val="ar-SA" w:eastAsia="zh-TW"/>
        </w:rPr>
      </w:pPr>
      <w:r w:rsidRPr="0006537E">
        <w:rPr>
          <w:rtl/>
        </w:rPr>
        <w:t>17</w:t>
      </w:r>
      <w:r w:rsidRPr="00A27387">
        <w:rPr>
          <w:rFonts w:ascii="Simplified Arabic"/>
          <w:rtl/>
        </w:rPr>
        <w:t>-</w:t>
      </w:r>
      <w:r w:rsidRPr="00A27387">
        <w:rPr>
          <w:rtl/>
        </w:rPr>
        <w:tab/>
        <w:t xml:space="preserve">تلاحظ اللجنة أن الدولة الطرف تجمع وتنشر بيانات عن الهجرة كل ستة أشهر أو سنوياً، عن طريق مؤسسات مختلفة، وأنه لا يوجد نظام بيانات موحّد عن الهجرة قادر على توفير معلومات قائمة على الأدلة ومحدّثة في الوقت المناسب. وتلاحظ أيضاً عدم وجود بيانات كمية ونوعية تعكس عدد الأطفال غير المصحوبين، الذين اتُجر بهم و/أو تعرضوا للاستغلال في بلدان العبور أو </w:t>
      </w:r>
      <w:r>
        <w:rPr>
          <w:rtl/>
        </w:rPr>
        <w:t>في</w:t>
      </w:r>
      <w:r w:rsidRPr="00A27387">
        <w:rPr>
          <w:rtl/>
        </w:rPr>
        <w:t xml:space="preserve"> طريق الهجرة ثم عادوا بعد ذلك.</w:t>
      </w:r>
      <w:bookmarkStart w:id="3" w:name="_Hlk5180366"/>
    </w:p>
    <w:p w14:paraId="5F165778" w14:textId="77777777" w:rsidR="00F90355" w:rsidRPr="00E13D0B" w:rsidRDefault="00F90355" w:rsidP="0055193B">
      <w:pPr>
        <w:pStyle w:val="SingleTxtGA"/>
        <w:rPr>
          <w:rFonts w:cs="Times New Roman"/>
          <w:b/>
          <w:bCs/>
          <w:rtl/>
          <w:lang w:val="ar-SA" w:eastAsia="zh-TW"/>
        </w:rPr>
      </w:pPr>
      <w:r w:rsidRPr="0006537E">
        <w:rPr>
          <w:rtl/>
        </w:rPr>
        <w:t>18</w:t>
      </w:r>
      <w:r w:rsidRPr="00A27387">
        <w:rPr>
          <w:rFonts w:ascii="Simplified Arabic"/>
          <w:rtl/>
        </w:rPr>
        <w:t>-</w:t>
      </w:r>
      <w:r w:rsidRPr="00A27387">
        <w:rPr>
          <w:rtl/>
        </w:rPr>
        <w:tab/>
      </w:r>
      <w:r w:rsidRPr="00E13D0B">
        <w:rPr>
          <w:b/>
          <w:bCs/>
          <w:rtl/>
        </w:rPr>
        <w:t>توصي اللجنة الدولة الطرف بأن تقوم بما يلي، تماشياً مع الغاية 17</w:t>
      </w:r>
      <w:r w:rsidRPr="00E13D0B">
        <w:rPr>
          <w:rFonts w:ascii="Simplified Arabic"/>
          <w:b/>
          <w:bCs/>
          <w:rtl/>
        </w:rPr>
        <w:t>-</w:t>
      </w:r>
      <w:r w:rsidRPr="00E13D0B">
        <w:rPr>
          <w:b/>
          <w:bCs/>
          <w:rtl/>
        </w:rPr>
        <w:t>18 من أهداف التنمية المستدامة، وانطلاقاً من نهج قائم على حقوق الإنسان والمساواة بين الجنسين وعدم التمييز:</w:t>
      </w:r>
    </w:p>
    <w:p w14:paraId="772683C3" w14:textId="6343459F" w:rsidR="00F90355" w:rsidRPr="00E13D0B" w:rsidRDefault="0055193B" w:rsidP="0055193B">
      <w:pPr>
        <w:pStyle w:val="SingleTxtGA"/>
        <w:rPr>
          <w:rFonts w:cs="Times New Roman"/>
          <w:b/>
          <w:bCs/>
          <w:rtl/>
          <w:lang w:val="ar-SA" w:eastAsia="zh-TW"/>
        </w:rPr>
      </w:pPr>
      <w:r>
        <w:rPr>
          <w:rtl/>
        </w:rPr>
        <w:tab/>
      </w:r>
      <w:r w:rsidR="00F90355" w:rsidRPr="00A27387">
        <w:rPr>
          <w:rtl/>
        </w:rPr>
        <w:t>(أ)</w:t>
      </w:r>
      <w:r w:rsidR="00F90355" w:rsidRPr="00A27387">
        <w:rPr>
          <w:rtl/>
        </w:rPr>
        <w:tab/>
      </w:r>
      <w:r w:rsidR="00F90355" w:rsidRPr="00E13D0B">
        <w:rPr>
          <w:b/>
          <w:bCs/>
          <w:rtl/>
        </w:rPr>
        <w:t>إنشاء نظام وطني موحّد يجمع، على نحو منهجي وموثوق وفعال، بيانات عن حالة العمال المهاجرين في الدولة الطرف، ويوفر إحصاءات مصنفة عن المهاجرين الحائزين للوثائق اللازمة وغير الحائزين لها وأسرهم، وعن العمال المهاجرين العابرين، والمواطنين العاملين في الخارج، والمواطنين العائدين إلى البلد، وكذلك عن الأطفال الذين يهاجرون إلى الخارج، بمن فيهم الأطفال غير المصحوبين، وعن الباقين في الدولة الطرف من أزواج العمال المهاجرين وأطفالهم؛</w:t>
      </w:r>
    </w:p>
    <w:p w14:paraId="1B99C2A2" w14:textId="26D2D694" w:rsidR="00F90355" w:rsidRPr="00E13D0B" w:rsidRDefault="0055193B" w:rsidP="0055193B">
      <w:pPr>
        <w:pStyle w:val="SingleTxtGA"/>
        <w:rPr>
          <w:rFonts w:cs="Times New Roman"/>
          <w:b/>
          <w:bCs/>
          <w:rtl/>
          <w:lang w:val="ar-SA" w:eastAsia="zh-TW"/>
        </w:rPr>
      </w:pPr>
      <w:r>
        <w:rPr>
          <w:rFonts w:ascii="Simplified Arabic"/>
          <w:rtl/>
        </w:rPr>
        <w:tab/>
      </w:r>
      <w:r w:rsidR="00F90355" w:rsidRPr="00A27387">
        <w:rPr>
          <w:rFonts w:ascii="Simplified Arabic"/>
          <w:rtl/>
        </w:rPr>
        <w:t>(</w:t>
      </w:r>
      <w:r w:rsidR="00F90355" w:rsidRPr="00A27387">
        <w:rPr>
          <w:rtl/>
        </w:rPr>
        <w:t>ب)</w:t>
      </w:r>
      <w:r w:rsidR="00F90355" w:rsidRPr="00A27387">
        <w:rPr>
          <w:rtl/>
        </w:rPr>
        <w:tab/>
      </w:r>
      <w:r w:rsidR="00F90355" w:rsidRPr="00E13D0B">
        <w:rPr>
          <w:b/>
          <w:bCs/>
          <w:rtl/>
        </w:rPr>
        <w:t>ضمان حماية المعلومات الشخصية للعمال المهاجرين وأسرهم، لتجنب استخدام البيانات الشخصية لأغراض مراقبة الهجرة أو كأساس للتمييز في تقديم الخدمات العامة والخاصة.</w:t>
      </w:r>
    </w:p>
    <w:p w14:paraId="74CC7ED0" w14:textId="77777777" w:rsidR="00F90355" w:rsidRPr="00A27387" w:rsidRDefault="00F90355" w:rsidP="0055193B">
      <w:pPr>
        <w:pStyle w:val="H23GA"/>
        <w:rPr>
          <w:rFonts w:cs="Times New Roman"/>
          <w:rtl/>
          <w:lang w:val="ar-SA" w:eastAsia="zh-TW"/>
        </w:rPr>
      </w:pPr>
      <w:r w:rsidRPr="00A27387">
        <w:rPr>
          <w:rtl/>
        </w:rPr>
        <w:tab/>
      </w:r>
      <w:r w:rsidRPr="00A27387">
        <w:rPr>
          <w:rtl/>
        </w:rPr>
        <w:tab/>
        <w:t>الرصد المستقل</w:t>
      </w:r>
    </w:p>
    <w:p w14:paraId="6429FA14" w14:textId="77777777" w:rsidR="00F90355" w:rsidRPr="00A27387" w:rsidRDefault="00F90355" w:rsidP="0055193B">
      <w:pPr>
        <w:pStyle w:val="SingleTxtGA"/>
        <w:rPr>
          <w:rFonts w:cs="Times New Roman"/>
          <w:rtl/>
          <w:lang w:val="ar-SA" w:eastAsia="zh-TW"/>
        </w:rPr>
      </w:pPr>
      <w:r w:rsidRPr="0006537E">
        <w:rPr>
          <w:rtl/>
        </w:rPr>
        <w:t>19</w:t>
      </w:r>
      <w:r w:rsidRPr="00A27387">
        <w:rPr>
          <w:rFonts w:ascii="Simplified Arabic"/>
          <w:rtl/>
        </w:rPr>
        <w:t>-</w:t>
      </w:r>
      <w:r w:rsidRPr="00A27387">
        <w:rPr>
          <w:rtl/>
        </w:rPr>
        <w:tab/>
        <w:t>تلاحظ اللجنة بارتياح إنشاء مكتب الدفاع بالنيابة المسؤول عن الدفاع عن حقوق المهاجرين وضمان سلامة المواطنين. غير أن اللجنة تشعر بالقلق بشأن محدودية التعاون بين مكتب الدفاع عن حقوق الإنسان ومنظمات المجتمع المدني والمدافعين عن حقوق الإنسان، ولأن عملية التكليف والتعيين في مناصب صنع القرار في هذه المؤسسة ليست واضحة وشفافة وتشاركية وتنافسية.</w:t>
      </w:r>
    </w:p>
    <w:p w14:paraId="0381B2E6" w14:textId="0779C3BF" w:rsidR="008A74E9" w:rsidRPr="008A74E9" w:rsidRDefault="00F90355" w:rsidP="0055193B">
      <w:pPr>
        <w:pStyle w:val="SingleTxtGA"/>
        <w:rPr>
          <w:rFonts w:ascii="Times New Roman Bold" w:hAnsi="Times New Roman Bold" w:cs="Times New Roman" w:hint="eastAsia"/>
          <w:b/>
          <w:bCs/>
          <w:spacing w:val="-2"/>
          <w:rtl/>
          <w:lang w:val="ar-SA" w:eastAsia="zh-TW"/>
        </w:rPr>
      </w:pPr>
      <w:r w:rsidRPr="0006537E">
        <w:rPr>
          <w:rtl/>
        </w:rPr>
        <w:t>20</w:t>
      </w:r>
      <w:r w:rsidRPr="00A27387">
        <w:rPr>
          <w:rFonts w:ascii="Simplified Arabic"/>
          <w:rtl/>
        </w:rPr>
        <w:t>-</w:t>
      </w:r>
      <w:r w:rsidRPr="00A27387">
        <w:rPr>
          <w:rtl/>
        </w:rPr>
        <w:tab/>
      </w:r>
      <w:r w:rsidRPr="00E13D0B">
        <w:rPr>
          <w:b/>
          <w:bCs/>
          <w:rtl/>
        </w:rPr>
        <w:t xml:space="preserve">توصي اللجنة بتعزيز وتنظيم التعاون بين مكتب الدفاع عن حقوق الإنسان ومنظمات المجتمع المدني والمدافعين عن حقوق الإنسان، فضلاً عن إرساء عملية واضحة وشفافة وتشاركية وتنافسية، ينظمها القانون، للتكليف والتعيين في مناصب صنع القرار، من أجل تعزيز استقلالية المكتب </w:t>
      </w:r>
      <w:r w:rsidRPr="00E13D0B">
        <w:rPr>
          <w:rFonts w:ascii="Times New Roman Bold" w:hAnsi="Times New Roman Bold"/>
          <w:b/>
          <w:bCs/>
          <w:spacing w:val="-2"/>
          <w:rtl/>
        </w:rPr>
        <w:t>وأدائه، وفقاً للمبادئ المتعلقة بمركز المؤسسات الوطنية لتعزيز وحماية حقوق الإنسان (مبادئ باريس</w:t>
      </w:r>
      <w:r w:rsidR="008A74E9" w:rsidRPr="008A74E9">
        <w:rPr>
          <w:rFonts w:ascii="Times New Roman Bold" w:hAnsi="Times New Roman Bold"/>
          <w:b/>
          <w:bCs/>
          <w:spacing w:val="-2"/>
          <w:rtl/>
        </w:rPr>
        <w:t>).</w:t>
      </w:r>
    </w:p>
    <w:p w14:paraId="780ABD5E" w14:textId="21B8DBED" w:rsidR="00F90355" w:rsidRPr="00A27387" w:rsidRDefault="00F90355" w:rsidP="0055193B">
      <w:pPr>
        <w:pStyle w:val="H23GA"/>
        <w:rPr>
          <w:rFonts w:cs="Times New Roman"/>
          <w:rtl/>
          <w:lang w:val="ar-SA" w:eastAsia="zh-TW"/>
        </w:rPr>
      </w:pPr>
      <w:r w:rsidRPr="00A27387">
        <w:rPr>
          <w:rtl/>
        </w:rPr>
        <w:tab/>
      </w:r>
      <w:r w:rsidRPr="00A27387">
        <w:rPr>
          <w:rtl/>
        </w:rPr>
        <w:tab/>
        <w:t>التدريب في مجال الاتفاقية ونشر المعلومات المتعلقة بها</w:t>
      </w:r>
    </w:p>
    <w:p w14:paraId="4F0FAEB7" w14:textId="77777777" w:rsidR="00F90355" w:rsidRPr="00A27387" w:rsidRDefault="00F90355" w:rsidP="0055193B">
      <w:pPr>
        <w:pStyle w:val="SingleTxtGA"/>
        <w:rPr>
          <w:rFonts w:cs="Times New Roman"/>
          <w:rtl/>
          <w:lang w:val="ar-SA" w:eastAsia="zh-TW"/>
        </w:rPr>
      </w:pPr>
      <w:r w:rsidRPr="0006537E">
        <w:rPr>
          <w:rtl/>
        </w:rPr>
        <w:t>21</w:t>
      </w:r>
      <w:r w:rsidRPr="00A27387">
        <w:rPr>
          <w:rFonts w:ascii="Simplified Arabic"/>
          <w:rtl/>
        </w:rPr>
        <w:t>-</w:t>
      </w:r>
      <w:r w:rsidRPr="00A27387">
        <w:rPr>
          <w:rtl/>
        </w:rPr>
        <w:tab/>
        <w:t xml:space="preserve">تحيط اللجنة علماً بأنشطة التدريب الرامية إلى بناء قدرات الموظفين العموميين في مجال حقوق الإنسان. غير أنها تشعر بالقلق إزاء النقص في التدريب المتعلق بهذه الاتفاقيّة وفي التواصل بشأنها والتوعية بها داخل مؤسسات السلطة التنفيذية والسلطة القضائية، وسلطات المقاطعات والسلطات المحلية، وسلطات الحدود، وفي أوساط موظفي الشرطة وتفتيش العمل والخدمة الاجتماعية. </w:t>
      </w:r>
    </w:p>
    <w:p w14:paraId="27AE8E27" w14:textId="77777777" w:rsidR="00F90355" w:rsidRPr="00E13D0B" w:rsidRDefault="00F90355" w:rsidP="0055193B">
      <w:pPr>
        <w:pStyle w:val="SingleTxtGA"/>
        <w:rPr>
          <w:rFonts w:cs="Times New Roman"/>
          <w:b/>
          <w:bCs/>
          <w:rtl/>
          <w:lang w:val="ar-SA" w:eastAsia="zh-TW"/>
        </w:rPr>
      </w:pPr>
      <w:r w:rsidRPr="0006537E">
        <w:rPr>
          <w:rtl/>
        </w:rPr>
        <w:t>22</w:t>
      </w:r>
      <w:r w:rsidRPr="00A27387">
        <w:rPr>
          <w:rFonts w:ascii="Simplified Arabic"/>
          <w:rtl/>
        </w:rPr>
        <w:t>-</w:t>
      </w:r>
      <w:r w:rsidRPr="00A27387">
        <w:rPr>
          <w:rtl/>
        </w:rPr>
        <w:tab/>
      </w:r>
      <w:r w:rsidRPr="00E13D0B">
        <w:rPr>
          <w:b/>
          <w:bCs/>
          <w:rtl/>
        </w:rPr>
        <w:t>توصي اللجنة الدولة الطرف بما يلي:</w:t>
      </w:r>
    </w:p>
    <w:p w14:paraId="6E9048AE" w14:textId="765F220A" w:rsidR="00F90355" w:rsidRPr="00E13D0B" w:rsidRDefault="0055193B" w:rsidP="0055193B">
      <w:pPr>
        <w:pStyle w:val="SingleTxtGA"/>
        <w:rPr>
          <w:rFonts w:cs="Times New Roman"/>
          <w:b/>
          <w:bCs/>
          <w:rtl/>
          <w:lang w:val="ar-SA" w:eastAsia="zh-TW"/>
        </w:rPr>
      </w:pPr>
      <w:r>
        <w:rPr>
          <w:rFonts w:ascii="Simplified Arabic"/>
          <w:rtl/>
        </w:rPr>
        <w:lastRenderedPageBreak/>
        <w:tab/>
      </w:r>
      <w:r w:rsidR="00F90355" w:rsidRPr="00A27387">
        <w:rPr>
          <w:rFonts w:ascii="Simplified Arabic"/>
          <w:rtl/>
        </w:rPr>
        <w:t>(</w:t>
      </w:r>
      <w:r w:rsidR="00F90355" w:rsidRPr="00A27387">
        <w:rPr>
          <w:rtl/>
        </w:rPr>
        <w:t>أ)</w:t>
      </w:r>
      <w:r w:rsidR="00F90355" w:rsidRPr="00E13D0B">
        <w:rPr>
          <w:b/>
          <w:bCs/>
          <w:rtl/>
        </w:rPr>
        <w:tab/>
        <w:t>تعزيز وتوسيع نطاق برامج التثقيف والتدريب بشأن الحقوق المنصوص عليها في الاتفاقية لفائدة موظفي المؤسسات المسؤولين عن شؤون الهجرة، بمن فيهم الموظفون المكلفون بإنفاذ القانون، وسلطات الحدود، ومفتشو العمل، والقضاة، والمدّعون العامون، وسلطات المقاطعات، والسلطات المحلية؛</w:t>
      </w:r>
      <w:bookmarkStart w:id="4" w:name="_Hlk100230199"/>
      <w:bookmarkEnd w:id="4"/>
    </w:p>
    <w:p w14:paraId="3041253C" w14:textId="0351C30E" w:rsidR="00F90355" w:rsidRPr="00E13D0B" w:rsidRDefault="0055193B" w:rsidP="0055193B">
      <w:pPr>
        <w:pStyle w:val="SingleTxtGA"/>
        <w:rPr>
          <w:rFonts w:cs="Times New Roman"/>
          <w:b/>
          <w:bCs/>
          <w:rtl/>
          <w:lang w:val="ar-SA" w:eastAsia="zh-TW"/>
        </w:rPr>
      </w:pPr>
      <w:r>
        <w:rPr>
          <w:rFonts w:ascii="Simplified Arabic"/>
          <w:rtl/>
        </w:rPr>
        <w:tab/>
      </w:r>
      <w:r w:rsidR="00F90355" w:rsidRPr="00A27387">
        <w:rPr>
          <w:rFonts w:ascii="Simplified Arabic"/>
          <w:rtl/>
        </w:rPr>
        <w:t>(</w:t>
      </w:r>
      <w:r w:rsidR="00F90355" w:rsidRPr="00A27387">
        <w:rPr>
          <w:rtl/>
        </w:rPr>
        <w:t>ب)</w:t>
      </w:r>
      <w:r w:rsidR="00F90355" w:rsidRPr="00A27387">
        <w:rPr>
          <w:rtl/>
        </w:rPr>
        <w:tab/>
      </w:r>
      <w:r w:rsidR="00F90355" w:rsidRPr="00E13D0B">
        <w:rPr>
          <w:b/>
          <w:bCs/>
          <w:rtl/>
        </w:rPr>
        <w:t>استخدام آليات فعالة لتقييم أثر التدريب وضمان استناد محامي الدفاع إلى الاتفاقية والتعليقات العامة للجنة على نحو أكثر تواتراً في قضايا الاستئناف واستناد القضاة إليها عند إصدار</w:t>
      </w:r>
      <w:r w:rsidR="00485773">
        <w:rPr>
          <w:rFonts w:hint="cs"/>
          <w:b/>
          <w:bCs/>
          <w:rtl/>
        </w:rPr>
        <w:t> </w:t>
      </w:r>
      <w:r w:rsidR="00F90355" w:rsidRPr="00E13D0B">
        <w:rPr>
          <w:b/>
          <w:bCs/>
          <w:rtl/>
        </w:rPr>
        <w:t>الأحكام.</w:t>
      </w:r>
    </w:p>
    <w:p w14:paraId="4E3E4989" w14:textId="77777777" w:rsidR="00F90355" w:rsidRPr="00A27387" w:rsidRDefault="00F90355" w:rsidP="0055193B">
      <w:pPr>
        <w:pStyle w:val="H23GA"/>
        <w:rPr>
          <w:rFonts w:cs="Times New Roman"/>
          <w:rtl/>
          <w:lang w:val="ar-SA" w:eastAsia="zh-TW"/>
        </w:rPr>
      </w:pPr>
      <w:r w:rsidRPr="00A27387">
        <w:rPr>
          <w:rtl/>
        </w:rPr>
        <w:tab/>
      </w:r>
      <w:r w:rsidRPr="00A27387">
        <w:rPr>
          <w:rtl/>
        </w:rPr>
        <w:tab/>
        <w:t>مشاركة المجتمع المدني</w:t>
      </w:r>
    </w:p>
    <w:bookmarkEnd w:id="3"/>
    <w:p w14:paraId="4697E556" w14:textId="77777777" w:rsidR="00F90355" w:rsidRPr="00A27387" w:rsidRDefault="00F90355" w:rsidP="0055193B">
      <w:pPr>
        <w:pStyle w:val="SingleTxtGA"/>
        <w:rPr>
          <w:rFonts w:cs="Times New Roman"/>
          <w:rtl/>
          <w:lang w:val="ar-SA" w:eastAsia="zh-TW"/>
        </w:rPr>
      </w:pPr>
      <w:r w:rsidRPr="0006537E">
        <w:rPr>
          <w:rtl/>
        </w:rPr>
        <w:t>23</w:t>
      </w:r>
      <w:r w:rsidRPr="00A27387">
        <w:rPr>
          <w:rFonts w:ascii="Simplified Arabic"/>
          <w:rtl/>
        </w:rPr>
        <w:t>-</w:t>
      </w:r>
      <w:r w:rsidRPr="00A27387">
        <w:rPr>
          <w:rtl/>
        </w:rPr>
        <w:tab/>
        <w:t>تلاحظ اللجنة انخفاض مشاركة المجتمع المدني في تنفيذ الاتفاقية، بما في ذلك في عملية إعداد التقارير الوطنية للدولة الطرف، وكذلك محدودية الحوار والتنسيق بشأن القرارات والقوانين التي تمس العمال المهاجرين وأسرهم.</w:t>
      </w:r>
      <w:bookmarkStart w:id="5" w:name="_Hlk100230930"/>
      <w:bookmarkEnd w:id="5"/>
    </w:p>
    <w:p w14:paraId="4C45E28B" w14:textId="77777777" w:rsidR="00F90355" w:rsidRPr="00E13D0B" w:rsidRDefault="00F90355" w:rsidP="0055193B">
      <w:pPr>
        <w:pStyle w:val="SingleTxtGA"/>
        <w:rPr>
          <w:rFonts w:cs="Times New Roman"/>
          <w:b/>
          <w:bCs/>
          <w:rtl/>
          <w:lang w:val="ar-SA" w:eastAsia="zh-TW"/>
        </w:rPr>
      </w:pPr>
      <w:r w:rsidRPr="0006537E">
        <w:rPr>
          <w:rtl/>
        </w:rPr>
        <w:t>24</w:t>
      </w:r>
      <w:r w:rsidRPr="00A27387">
        <w:rPr>
          <w:rFonts w:ascii="Simplified Arabic"/>
          <w:rtl/>
        </w:rPr>
        <w:t>-</w:t>
      </w:r>
      <w:r w:rsidRPr="00A27387">
        <w:rPr>
          <w:rtl/>
        </w:rPr>
        <w:tab/>
      </w:r>
      <w:r w:rsidRPr="00E13D0B">
        <w:rPr>
          <w:b/>
          <w:bCs/>
          <w:rtl/>
        </w:rPr>
        <w:t>توصي اللجنة الدولة الطرف بأن تتخذ تدابير ملموسة، لا سيما عن طريق استعراض التشريعات ذات الصلة وتعديلها، من أجل تعزيز الحوار مع منظمات المجتمع المدني، بما فيها المنظمات التي تخدم المهاجرين والسلفادوريين في الشتات، لا سيما عند إعداد التقرير الوطني. وتوصَى الدولة الطرف أيضاً بضمان المشاركة الفعالة والمستقلة للمجتمع المدني في تنفيذ الاتفاقية والتوصيات الواردة في هذه الملاحظات الختامية وفي عملية رصدها.</w:t>
      </w:r>
    </w:p>
    <w:p w14:paraId="65D9E3ED" w14:textId="44205624" w:rsidR="008A74E9" w:rsidRPr="008A74E9" w:rsidRDefault="0055193B" w:rsidP="0055193B">
      <w:pPr>
        <w:pStyle w:val="H23GA"/>
        <w:rPr>
          <w:rFonts w:cs="Times New Roman"/>
          <w:rtl/>
          <w:lang w:val="ar-SA" w:eastAsia="zh-TW"/>
        </w:rPr>
      </w:pPr>
      <w:r>
        <w:rPr>
          <w:rFonts w:ascii="Simplified Arabic"/>
          <w:rtl/>
        </w:rPr>
        <w:tab/>
      </w:r>
      <w:r w:rsidR="00F90355" w:rsidRPr="0006537E">
        <w:rPr>
          <w:rtl/>
        </w:rPr>
        <w:t>2</w:t>
      </w:r>
      <w:r w:rsidR="00F90355" w:rsidRPr="00A27387">
        <w:rPr>
          <w:rFonts w:ascii="Simplified Arabic"/>
          <w:rtl/>
        </w:rPr>
        <w:t>-</w:t>
      </w:r>
      <w:r w:rsidR="00F90355" w:rsidRPr="00A27387">
        <w:rPr>
          <w:rtl/>
        </w:rPr>
        <w:tab/>
        <w:t xml:space="preserve">المبادئ العامة (المادتان </w:t>
      </w:r>
      <w:r w:rsidR="00F90355" w:rsidRPr="0006537E">
        <w:rPr>
          <w:rtl/>
        </w:rPr>
        <w:t>7</w:t>
      </w:r>
      <w:r w:rsidR="00F90355" w:rsidRPr="00A27387">
        <w:rPr>
          <w:rtl/>
        </w:rPr>
        <w:t xml:space="preserve"> و</w:t>
      </w:r>
      <w:r w:rsidR="00F90355" w:rsidRPr="0006537E">
        <w:rPr>
          <w:rtl/>
        </w:rPr>
        <w:t>8</w:t>
      </w:r>
      <w:r w:rsidR="008A74E9" w:rsidRPr="008A74E9">
        <w:rPr>
          <w:rtl/>
        </w:rPr>
        <w:t>3)</w:t>
      </w:r>
    </w:p>
    <w:p w14:paraId="0DD14934" w14:textId="7309EB1D" w:rsidR="00F90355" w:rsidRPr="00A27387" w:rsidRDefault="00F90355" w:rsidP="0055193B">
      <w:pPr>
        <w:pStyle w:val="H23GA"/>
        <w:rPr>
          <w:rFonts w:cs="Times New Roman"/>
          <w:rtl/>
          <w:lang w:val="ar-SA" w:eastAsia="zh-TW"/>
        </w:rPr>
      </w:pPr>
      <w:r w:rsidRPr="00A27387">
        <w:rPr>
          <w:rtl/>
        </w:rPr>
        <w:tab/>
      </w:r>
      <w:r w:rsidRPr="00A27387">
        <w:rPr>
          <w:rtl/>
        </w:rPr>
        <w:tab/>
        <w:t>عدم التمييز</w:t>
      </w:r>
    </w:p>
    <w:p w14:paraId="30F20AC9" w14:textId="164CE47E" w:rsidR="00F90355" w:rsidRPr="00A27387" w:rsidRDefault="00F90355" w:rsidP="0055193B">
      <w:pPr>
        <w:pStyle w:val="SingleTxtGA"/>
        <w:rPr>
          <w:rFonts w:cs="Times New Roman"/>
          <w:rtl/>
          <w:lang w:val="ar-SA" w:eastAsia="zh-TW"/>
        </w:rPr>
      </w:pPr>
      <w:r w:rsidRPr="0006537E">
        <w:rPr>
          <w:rtl/>
        </w:rPr>
        <w:t>25</w:t>
      </w:r>
      <w:r w:rsidRPr="00A27387">
        <w:rPr>
          <w:rFonts w:ascii="Simplified Arabic"/>
          <w:rtl/>
        </w:rPr>
        <w:t>-</w:t>
      </w:r>
      <w:r w:rsidRPr="00A27387">
        <w:rPr>
          <w:rtl/>
        </w:rPr>
        <w:tab/>
        <w:t xml:space="preserve">يساور اللجنة القلق لعدم وجود سياسات عامة أو استراتيجيات محددة لمكافحة الجرائم </w:t>
      </w:r>
      <w:r>
        <w:rPr>
          <w:rtl/>
        </w:rPr>
        <w:t xml:space="preserve">المرتكبة </w:t>
      </w:r>
      <w:r w:rsidRPr="00A27387">
        <w:rPr>
          <w:rtl/>
        </w:rPr>
        <w:t xml:space="preserve">بدافع الكراهية، والعنف، وكره الأجانب، والتمييز ضد العمال المهاجرين وأسرهم، ولمعاملة السكان المهاجرين معاملة مختلفة في الممارسة العملية على الرغم من وجود أحكام معينة في التشريعات تتعلق بتهيئة ظروف متساوية للسكان في الإقليم الوطني. وبالإضافة إلى ذلك، فعلى الرغم من أن المادة </w:t>
      </w:r>
      <w:r w:rsidRPr="0006537E">
        <w:rPr>
          <w:rtl/>
        </w:rPr>
        <w:t>18</w:t>
      </w:r>
      <w:r w:rsidRPr="00A27387">
        <w:rPr>
          <w:rtl/>
        </w:rPr>
        <w:t xml:space="preserve"> من القانون الخاص لشؤون الهجرة والأجانب تنص على أن الرعايا الأجانب يتمتعون، منذ لحظة دخولهم</w:t>
      </w:r>
      <w:r w:rsidR="00485773">
        <w:rPr>
          <w:rFonts w:hint="cs"/>
          <w:rtl/>
        </w:rPr>
        <w:t> </w:t>
      </w:r>
      <w:r w:rsidRPr="00A27387">
        <w:rPr>
          <w:rtl/>
        </w:rPr>
        <w:t xml:space="preserve">الإقليم الوطني، بالحقوق والضمانات نفسها التي يتمتع بها المواطنون، فإنها تنص على عدم الاعتراف بالحقوق المنصوص عليها كاستثناءات بموجب دستور الجمهورية والتشريعات الثانوية، لا سيما الحقوق السياسية. </w:t>
      </w:r>
    </w:p>
    <w:p w14:paraId="50949204" w14:textId="77777777" w:rsidR="00F90355" w:rsidRPr="00E13D0B" w:rsidRDefault="00F90355" w:rsidP="0055193B">
      <w:pPr>
        <w:pStyle w:val="SingleTxtGA"/>
        <w:rPr>
          <w:rFonts w:cs="Times New Roman"/>
          <w:b/>
          <w:bCs/>
          <w:rtl/>
          <w:lang w:val="ar-SA" w:eastAsia="zh-TW"/>
        </w:rPr>
      </w:pPr>
      <w:r w:rsidRPr="0006537E">
        <w:rPr>
          <w:rtl/>
        </w:rPr>
        <w:t>26</w:t>
      </w:r>
      <w:r w:rsidRPr="00A27387">
        <w:rPr>
          <w:rFonts w:ascii="Simplified Arabic"/>
          <w:rtl/>
        </w:rPr>
        <w:t>-</w:t>
      </w:r>
      <w:r w:rsidRPr="00A27387">
        <w:rPr>
          <w:rtl/>
        </w:rPr>
        <w:tab/>
      </w:r>
      <w:r w:rsidRPr="00E13D0B">
        <w:rPr>
          <w:b/>
          <w:bCs/>
          <w:rtl/>
        </w:rPr>
        <w:t>توصي اللجنة الدولة الطرف بما يلي:</w:t>
      </w:r>
    </w:p>
    <w:p w14:paraId="6EB28ADA" w14:textId="075819D3" w:rsidR="00F90355" w:rsidRPr="001F1C8E" w:rsidRDefault="0055193B" w:rsidP="00E13D0B">
      <w:pPr>
        <w:pStyle w:val="SingleTxtGA"/>
        <w:rPr>
          <w:rFonts w:cs="Times New Roman"/>
          <w:b/>
          <w:bCs/>
          <w:rtl/>
          <w:lang w:val="ar-SA" w:eastAsia="zh-TW"/>
        </w:rPr>
      </w:pPr>
      <w:r>
        <w:rPr>
          <w:rtl/>
        </w:rPr>
        <w:tab/>
      </w:r>
      <w:r w:rsidR="00F90355" w:rsidRPr="00A27387">
        <w:rPr>
          <w:rtl/>
        </w:rPr>
        <w:t>(أ)</w:t>
      </w:r>
      <w:r w:rsidR="00F90355" w:rsidRPr="001F1C8E">
        <w:rPr>
          <w:b/>
          <w:bCs/>
          <w:rtl/>
        </w:rPr>
        <w:tab/>
        <w:t>تكثيف جهودها الرامية إلى ضمان تمتع جميع العمال المهاجرين وأفراد أسرهم الموجودين في إقليمها أو الخاضعين لولايتها بالحقوق المعترف بها في الاتفاقية دون أي تمييز، وفقاً للمادة 7، وذلك بوسائل منها، على سبيل المثال، وضع استراتيجيات محددة لمكافحة الجرائم بدافع</w:t>
      </w:r>
      <w:r w:rsidR="00485773">
        <w:rPr>
          <w:rFonts w:hint="cs"/>
          <w:b/>
          <w:bCs/>
          <w:rtl/>
        </w:rPr>
        <w:t> </w:t>
      </w:r>
      <w:r w:rsidR="00F90355" w:rsidRPr="001F1C8E">
        <w:rPr>
          <w:b/>
          <w:bCs/>
          <w:rtl/>
        </w:rPr>
        <w:t>الكراهية، والعنف، وكره الأجانب، والتمييز ضد العمال المهاجرين وأسرهم، وعن طريق مواءمة الأطر التنظيمية السارية وتلك التي يجري وضعها حالياً، مثل القانون الخاص المتعلق بالتنقل البشري، مع الاتفاقية؛</w:t>
      </w:r>
    </w:p>
    <w:p w14:paraId="5285C082" w14:textId="33A3D94B" w:rsidR="00F90355" w:rsidRPr="001F1C8E" w:rsidRDefault="0055193B" w:rsidP="0055193B">
      <w:pPr>
        <w:pStyle w:val="SingleTxtGA"/>
        <w:rPr>
          <w:rFonts w:cs="Times New Roman"/>
          <w:b/>
          <w:bCs/>
          <w:rtl/>
          <w:lang w:val="ar-SA" w:eastAsia="zh-TW"/>
        </w:rPr>
      </w:pPr>
      <w:r>
        <w:rPr>
          <w:rFonts w:ascii="Simplified Arabic"/>
          <w:rtl/>
        </w:rPr>
        <w:tab/>
      </w:r>
      <w:r w:rsidR="00F90355" w:rsidRPr="00A27387">
        <w:rPr>
          <w:rFonts w:ascii="Simplified Arabic"/>
          <w:rtl/>
        </w:rPr>
        <w:t>(</w:t>
      </w:r>
      <w:r w:rsidR="00F90355" w:rsidRPr="00A27387">
        <w:rPr>
          <w:rtl/>
        </w:rPr>
        <w:t>ب)</w:t>
      </w:r>
      <w:r w:rsidR="00F90355" w:rsidRPr="001F1C8E">
        <w:rPr>
          <w:b/>
          <w:bCs/>
          <w:rtl/>
        </w:rPr>
        <w:tab/>
        <w:t xml:space="preserve">النظر في تعديل المادة 3 من الدستور بحيث تتضمن ضمانات صريحة للمساواة بين جميع الأشخاص وعدم التمييز بينهم على أساس العرق أو اللون أو الجنس أو اللغة أو الدين أو </w:t>
      </w:r>
      <w:r w:rsidR="00F90355" w:rsidRPr="001F1C8E">
        <w:rPr>
          <w:b/>
          <w:bCs/>
          <w:rtl/>
        </w:rPr>
        <w:lastRenderedPageBreak/>
        <w:t>الرأي السياسي أو غير السياسي أو الأصل القومي أو الاجتماعي أو الوضع المالي أو المولد أو أي وضع آخر.</w:t>
      </w:r>
    </w:p>
    <w:p w14:paraId="70372A0B" w14:textId="77777777" w:rsidR="00F90355" w:rsidRPr="00A27387" w:rsidRDefault="00F90355" w:rsidP="0055193B">
      <w:pPr>
        <w:pStyle w:val="H23GA"/>
        <w:rPr>
          <w:rFonts w:cs="Times New Roman"/>
          <w:rtl/>
          <w:lang w:val="ar-SA" w:eastAsia="zh-TW"/>
        </w:rPr>
      </w:pPr>
      <w:r w:rsidRPr="00A27387">
        <w:rPr>
          <w:rtl/>
        </w:rPr>
        <w:tab/>
      </w:r>
      <w:r w:rsidRPr="00A27387">
        <w:rPr>
          <w:rtl/>
        </w:rPr>
        <w:tab/>
        <w:t>الحق في سبيل انتصاف فعال وفي اللجوء إلى العدالة</w:t>
      </w:r>
    </w:p>
    <w:p w14:paraId="0F54DAA4" w14:textId="77777777" w:rsidR="00F90355" w:rsidRPr="00A27387" w:rsidRDefault="00F90355" w:rsidP="0055193B">
      <w:pPr>
        <w:pStyle w:val="SingleTxtGA"/>
        <w:rPr>
          <w:rFonts w:cs="Times New Roman"/>
          <w:rtl/>
          <w:lang w:val="ar-SA" w:eastAsia="zh-TW"/>
        </w:rPr>
      </w:pPr>
      <w:r w:rsidRPr="0006537E">
        <w:rPr>
          <w:rtl/>
        </w:rPr>
        <w:t>27</w:t>
      </w:r>
      <w:r w:rsidRPr="00A27387">
        <w:rPr>
          <w:rFonts w:ascii="Simplified Arabic"/>
          <w:rtl/>
        </w:rPr>
        <w:t>-</w:t>
      </w:r>
      <w:r w:rsidRPr="00A27387">
        <w:rPr>
          <w:rtl/>
        </w:rPr>
        <w:tab/>
        <w:t xml:space="preserve">تكرر اللجنة الإعراب عن قلقها بشأن محدودية إمكانية لجوء العمال المهاجرين إلى العدالة، بغض النظر عن وضعهم كمهاجرين، بسبب عدم </w:t>
      </w:r>
      <w:r>
        <w:rPr>
          <w:rtl/>
        </w:rPr>
        <w:t>إلمامهم</w:t>
      </w:r>
      <w:r w:rsidRPr="00A27387">
        <w:rPr>
          <w:rtl/>
        </w:rPr>
        <w:t xml:space="preserve"> بسبل الانتصاف الإدارية والقضائية المتاحة لهم لتقديم الشكاوى والحصول على</w:t>
      </w:r>
      <w:r>
        <w:rPr>
          <w:rtl/>
        </w:rPr>
        <w:t xml:space="preserve"> الجبر</w:t>
      </w:r>
      <w:r w:rsidRPr="00A27387">
        <w:rPr>
          <w:rtl/>
        </w:rPr>
        <w:t xml:space="preserve"> </w:t>
      </w:r>
      <w:r>
        <w:rPr>
          <w:rtl/>
        </w:rPr>
        <w:t>ال</w:t>
      </w:r>
      <w:r w:rsidRPr="00A27387">
        <w:rPr>
          <w:rtl/>
        </w:rPr>
        <w:t xml:space="preserve">فعال، وانعدام الثقة في السلطات الوطنية، لأن الحكومة منحت الشرطة المدنية الوطنية والقوات المسلحة سلطات أكبر، في ظل حالة الطوارئ، لاستخدام القوة ضد أفراد العصابات المشتبه فيهم، ومنحت السلطة القضائية مجالاً أكبر لاستهدافهم ومحاكمتهم بصفتهم مشتبهاً فيهم محتملين. </w:t>
      </w:r>
    </w:p>
    <w:p w14:paraId="455475C2" w14:textId="77777777" w:rsidR="00F90355" w:rsidRPr="00A07A42" w:rsidRDefault="00F90355" w:rsidP="0055193B">
      <w:pPr>
        <w:pStyle w:val="SingleTxtGA"/>
        <w:rPr>
          <w:rFonts w:cs="Times New Roman"/>
          <w:b/>
          <w:bCs/>
          <w:rtl/>
          <w:lang w:val="ar-SA" w:eastAsia="zh-TW"/>
        </w:rPr>
      </w:pPr>
      <w:r w:rsidRPr="0006537E">
        <w:rPr>
          <w:rtl/>
        </w:rPr>
        <w:t>28</w:t>
      </w:r>
      <w:r w:rsidRPr="00A27387">
        <w:rPr>
          <w:rFonts w:ascii="Simplified Arabic"/>
          <w:rtl/>
        </w:rPr>
        <w:t>-</w:t>
      </w:r>
      <w:r w:rsidRPr="00A27387">
        <w:rPr>
          <w:rtl/>
        </w:rPr>
        <w:tab/>
      </w:r>
      <w:r w:rsidRPr="00A07A42">
        <w:rPr>
          <w:b/>
          <w:bCs/>
          <w:rtl/>
        </w:rPr>
        <w:t>استناداً إلى المعايير التي وضعتها اللجنة، توصَى الدولة الطرف بما يلي</w:t>
      </w:r>
      <w:r w:rsidRPr="00A07A42">
        <w:rPr>
          <w:rFonts w:ascii="Simplified Arabic"/>
          <w:b/>
          <w:bCs/>
        </w:rPr>
        <w:t>:</w:t>
      </w:r>
      <w:r w:rsidRPr="00A07A42">
        <w:rPr>
          <w:b/>
          <w:bCs/>
          <w:rtl/>
        </w:rPr>
        <w:t xml:space="preserve"> </w:t>
      </w:r>
    </w:p>
    <w:p w14:paraId="54366572" w14:textId="2FD3E558" w:rsidR="00F90355" w:rsidRPr="00A07A42" w:rsidRDefault="0055193B" w:rsidP="0055193B">
      <w:pPr>
        <w:pStyle w:val="SingleTxtGA"/>
        <w:rPr>
          <w:rFonts w:cs="Times New Roman"/>
          <w:b/>
          <w:bCs/>
          <w:rtl/>
          <w:lang w:val="ar-SA" w:eastAsia="zh-TW"/>
        </w:rPr>
      </w:pPr>
      <w:r>
        <w:rPr>
          <w:rFonts w:ascii="Simplified Arabic"/>
          <w:rtl/>
        </w:rPr>
        <w:tab/>
      </w:r>
      <w:r w:rsidR="00F90355" w:rsidRPr="00A27387">
        <w:rPr>
          <w:rFonts w:ascii="Simplified Arabic"/>
          <w:rtl/>
        </w:rPr>
        <w:t>(</w:t>
      </w:r>
      <w:r w:rsidR="00F90355" w:rsidRPr="00A27387">
        <w:rPr>
          <w:rtl/>
        </w:rPr>
        <w:t>أ)</w:t>
      </w:r>
      <w:r w:rsidR="00F90355" w:rsidRPr="00A07A42">
        <w:rPr>
          <w:b/>
          <w:bCs/>
          <w:rtl/>
        </w:rPr>
        <w:tab/>
        <w:t xml:space="preserve">اتخاذ تدابير لتسهيل لجوء جميع العمال المهاجرين وأفراد أسرهم إلى العدالة، بوسائل منها إزالة العقبات التي تمنعهم من الإبلاغ عن الاعتداءات والانتهاكات؛ </w:t>
      </w:r>
    </w:p>
    <w:p w14:paraId="45DEBBAD" w14:textId="6F12254D" w:rsidR="00F90355" w:rsidRPr="00A07A42" w:rsidRDefault="0055193B" w:rsidP="0055193B">
      <w:pPr>
        <w:pStyle w:val="SingleTxtGA"/>
        <w:rPr>
          <w:rFonts w:cs="Times New Roman"/>
          <w:b/>
          <w:bCs/>
          <w:rtl/>
          <w:lang w:val="ar-SA" w:eastAsia="zh-TW"/>
        </w:rPr>
      </w:pPr>
      <w:r>
        <w:rPr>
          <w:rFonts w:ascii="Simplified Arabic"/>
          <w:rtl/>
        </w:rPr>
        <w:tab/>
      </w:r>
      <w:r w:rsidR="00F90355" w:rsidRPr="00A27387">
        <w:rPr>
          <w:rFonts w:ascii="Simplified Arabic"/>
          <w:rtl/>
        </w:rPr>
        <w:t>(</w:t>
      </w:r>
      <w:r w:rsidR="00F90355" w:rsidRPr="00A27387">
        <w:rPr>
          <w:rtl/>
        </w:rPr>
        <w:t>ب)</w:t>
      </w:r>
      <w:r w:rsidR="00F90355" w:rsidRPr="00A07A42">
        <w:rPr>
          <w:b/>
          <w:bCs/>
          <w:rtl/>
        </w:rPr>
        <w:tab/>
        <w:t xml:space="preserve">إطلاق حملات إعلامية بشأن سبل الانتصاف الإدارية والقضائية المتاحة لتقديم الشكاوى والحصول على الجبر؛ </w:t>
      </w:r>
    </w:p>
    <w:p w14:paraId="0CD2BFF5" w14:textId="262DEDFD" w:rsidR="00F90355" w:rsidRPr="00A07A42" w:rsidRDefault="0055193B" w:rsidP="0055193B">
      <w:pPr>
        <w:pStyle w:val="SingleTxtGA"/>
        <w:rPr>
          <w:rFonts w:cs="Times New Roman"/>
          <w:b/>
          <w:bCs/>
          <w:rtl/>
          <w:lang w:val="ar-SA" w:eastAsia="zh-TW"/>
        </w:rPr>
      </w:pPr>
      <w:r>
        <w:rPr>
          <w:rFonts w:ascii="Simplified Arabic"/>
          <w:rtl/>
        </w:rPr>
        <w:tab/>
      </w:r>
      <w:r w:rsidR="00F90355" w:rsidRPr="00A27387">
        <w:rPr>
          <w:rFonts w:ascii="Simplified Arabic"/>
          <w:rtl/>
        </w:rPr>
        <w:t>(</w:t>
      </w:r>
      <w:r w:rsidR="00F90355" w:rsidRPr="00A27387">
        <w:rPr>
          <w:rtl/>
        </w:rPr>
        <w:t>ج)</w:t>
      </w:r>
      <w:r w:rsidR="00F90355" w:rsidRPr="00A27387">
        <w:rPr>
          <w:rtl/>
        </w:rPr>
        <w:tab/>
      </w:r>
      <w:r w:rsidR="00F90355" w:rsidRPr="00A07A42">
        <w:rPr>
          <w:b/>
          <w:bCs/>
          <w:rtl/>
        </w:rPr>
        <w:t>تعزيز قدرات موظفي الخطوط الأمامية من أجل زيادة الثقة في السلطات المحلية وضمان لجوء العمال المهاجرين إلى العدالة بفعالية.</w:t>
      </w:r>
    </w:p>
    <w:p w14:paraId="0C1AC0E5" w14:textId="77777777" w:rsidR="00F90355" w:rsidRPr="00A27387" w:rsidRDefault="00F90355" w:rsidP="0055193B">
      <w:pPr>
        <w:pStyle w:val="SingleTxtGA"/>
        <w:rPr>
          <w:rFonts w:cs="Times New Roman"/>
          <w:rtl/>
          <w:lang w:val="ar-SA" w:eastAsia="zh-TW"/>
        </w:rPr>
      </w:pPr>
      <w:r w:rsidRPr="0006537E">
        <w:rPr>
          <w:rtl/>
        </w:rPr>
        <w:t>29</w:t>
      </w:r>
      <w:r w:rsidRPr="00A27387">
        <w:rPr>
          <w:rFonts w:ascii="Simplified Arabic"/>
          <w:rtl/>
        </w:rPr>
        <w:t>-</w:t>
      </w:r>
      <w:r w:rsidRPr="00A27387">
        <w:rPr>
          <w:rtl/>
        </w:rPr>
        <w:tab/>
        <w:t>ويساور اللجنة القلق إزاء المعلومات الواردة بشأن حالات المهاجرين المفقودين أو المتوفين أو ضحايا الجرائم في بلدان العبور أو المقصد. وتحيط اللجنة علماً بالمعلومات التي قدمتها الدولة الطرف بشأن التعاون مع جهات منها الفريق الأرجنتيني للأنثروبولوجيا الجنائية في إجراء عمليات البحث والتحقيق المتعلقة بهذه الحالات، ولكنها تأسف لعدم وجود معلومات كاملة عن النتائج الملموسة للتحقيقات المنجزة وعن متابعة حالة الضحايا وأقاربهم.</w:t>
      </w:r>
    </w:p>
    <w:p w14:paraId="7966CF14" w14:textId="77777777" w:rsidR="00F90355" w:rsidRPr="00A07A42" w:rsidRDefault="00F90355" w:rsidP="0055193B">
      <w:pPr>
        <w:pStyle w:val="SingleTxtGA"/>
        <w:rPr>
          <w:rFonts w:cs="Times New Roman"/>
          <w:b/>
          <w:bCs/>
          <w:rtl/>
          <w:lang w:val="ar-SA" w:eastAsia="zh-TW"/>
        </w:rPr>
      </w:pPr>
      <w:r w:rsidRPr="0006537E">
        <w:rPr>
          <w:rtl/>
        </w:rPr>
        <w:t>30</w:t>
      </w:r>
      <w:r w:rsidRPr="00A27387">
        <w:rPr>
          <w:rFonts w:ascii="Simplified Arabic"/>
          <w:rtl/>
        </w:rPr>
        <w:t>-</w:t>
      </w:r>
      <w:r w:rsidRPr="00A27387">
        <w:rPr>
          <w:rtl/>
        </w:rPr>
        <w:tab/>
      </w:r>
      <w:r w:rsidRPr="00A07A42">
        <w:rPr>
          <w:b/>
          <w:bCs/>
          <w:rtl/>
        </w:rPr>
        <w:t>تحث اللجنة الدولة الطرف على ما يلي:</w:t>
      </w:r>
    </w:p>
    <w:p w14:paraId="782333D0" w14:textId="4C355C46" w:rsidR="00F90355" w:rsidRPr="00A07A42" w:rsidRDefault="0055193B" w:rsidP="00A07A42">
      <w:pPr>
        <w:pStyle w:val="SingleTxtGA"/>
        <w:rPr>
          <w:rFonts w:cs="Times New Roman"/>
          <w:b/>
          <w:bCs/>
          <w:rtl/>
          <w:lang w:val="ar-SA" w:eastAsia="zh-TW"/>
        </w:rPr>
      </w:pPr>
      <w:r>
        <w:rPr>
          <w:rFonts w:ascii="Simplified Arabic"/>
          <w:rtl/>
        </w:rPr>
        <w:tab/>
      </w:r>
      <w:r w:rsidR="00F90355" w:rsidRPr="00A27387">
        <w:rPr>
          <w:rFonts w:ascii="Simplified Arabic"/>
          <w:rtl/>
        </w:rPr>
        <w:t>(</w:t>
      </w:r>
      <w:r w:rsidR="00F90355" w:rsidRPr="00A27387">
        <w:rPr>
          <w:rtl/>
        </w:rPr>
        <w:t>أ)</w:t>
      </w:r>
      <w:r w:rsidR="00F90355" w:rsidRPr="00A27387">
        <w:rPr>
          <w:rtl/>
        </w:rPr>
        <w:tab/>
      </w:r>
      <w:r w:rsidR="00F90355" w:rsidRPr="00A07A42">
        <w:rPr>
          <w:b/>
          <w:bCs/>
          <w:rtl/>
        </w:rPr>
        <w:t>تعزيز التدابير الرامية إلى ضمان لجوء المهاجرين وأفراد أسرهم إلى العدالة، بما في ذلك آليات العدالة عبر الوطنية، في حالات المهاجرين السلفادوريين الذين اختفوا أو ماتوا أو وقعوا ضحايا جرائم في بلدان العبور أو المقصد، وضمان حقهم في معرفة الحقيقة، وفي الحصول على</w:t>
      </w:r>
      <w:r w:rsidR="0006537E" w:rsidRPr="00A07A42">
        <w:rPr>
          <w:b/>
          <w:bCs/>
          <w:rtl/>
        </w:rPr>
        <w:t xml:space="preserve"> </w:t>
      </w:r>
      <w:r w:rsidR="00F90355" w:rsidRPr="00A07A42">
        <w:rPr>
          <w:b/>
          <w:bCs/>
          <w:rtl/>
        </w:rPr>
        <w:t>الجبر المناسب، في نهاية الأمر؛</w:t>
      </w:r>
    </w:p>
    <w:p w14:paraId="7987B502" w14:textId="033A7733" w:rsidR="00F90355" w:rsidRPr="00A07A42" w:rsidRDefault="0055193B" w:rsidP="0055193B">
      <w:pPr>
        <w:pStyle w:val="SingleTxtGA"/>
        <w:rPr>
          <w:rFonts w:cs="Times New Roman"/>
          <w:b/>
          <w:bCs/>
          <w:rtl/>
          <w:lang w:val="ar-SA" w:eastAsia="zh-TW"/>
        </w:rPr>
      </w:pPr>
      <w:r>
        <w:rPr>
          <w:rFonts w:ascii="Simplified Arabic"/>
          <w:rtl/>
        </w:rPr>
        <w:tab/>
      </w:r>
      <w:r w:rsidR="00F90355" w:rsidRPr="00A27387">
        <w:rPr>
          <w:rFonts w:ascii="Simplified Arabic"/>
          <w:rtl/>
        </w:rPr>
        <w:t>(</w:t>
      </w:r>
      <w:r w:rsidR="00F90355" w:rsidRPr="00A27387">
        <w:rPr>
          <w:rtl/>
        </w:rPr>
        <w:t>ب)</w:t>
      </w:r>
      <w:r w:rsidR="00F90355" w:rsidRPr="00A07A42">
        <w:rPr>
          <w:b/>
          <w:bCs/>
          <w:rtl/>
        </w:rPr>
        <w:tab/>
        <w:t>تعزيز التعاون الثنائي أو الإقليمي الذي يضمن حقوق المهاجرين في بلدان العبور</w:t>
      </w:r>
      <w:r w:rsidR="00485773">
        <w:rPr>
          <w:rFonts w:hint="cs"/>
          <w:b/>
          <w:bCs/>
          <w:rtl/>
        </w:rPr>
        <w:t> </w:t>
      </w:r>
      <w:r w:rsidR="00F90355" w:rsidRPr="00A07A42">
        <w:rPr>
          <w:b/>
          <w:bCs/>
          <w:rtl/>
        </w:rPr>
        <w:t xml:space="preserve">والمقصد. </w:t>
      </w:r>
    </w:p>
    <w:p w14:paraId="7F4883EB" w14:textId="1CF600E4" w:rsidR="008A74E9" w:rsidRPr="008A74E9" w:rsidRDefault="0055193B" w:rsidP="0055193B">
      <w:pPr>
        <w:pStyle w:val="H23GA"/>
        <w:rPr>
          <w:rFonts w:cs="Times New Roman"/>
          <w:rtl/>
          <w:lang w:val="ar-SA" w:eastAsia="zh-TW"/>
        </w:rPr>
      </w:pPr>
      <w:r>
        <w:rPr>
          <w:rFonts w:ascii="Simplified Arabic"/>
          <w:rtl/>
        </w:rPr>
        <w:tab/>
      </w:r>
      <w:r w:rsidR="00F90355" w:rsidRPr="0006537E">
        <w:rPr>
          <w:rtl/>
        </w:rPr>
        <w:t>3</w:t>
      </w:r>
      <w:r w:rsidR="00F90355" w:rsidRPr="00A27387">
        <w:rPr>
          <w:rFonts w:ascii="Simplified Arabic"/>
          <w:rtl/>
        </w:rPr>
        <w:t>-</w:t>
      </w:r>
      <w:r w:rsidR="00F90355" w:rsidRPr="00A27387">
        <w:rPr>
          <w:rtl/>
        </w:rPr>
        <w:tab/>
        <w:t>حقوق الإنسان لجميع العمّال المهاجرين وأفراد أسرهم (المواد</w:t>
      </w:r>
      <w:r w:rsidR="00F90355">
        <w:rPr>
          <w:rtl/>
        </w:rPr>
        <w:t xml:space="preserve"> من</w:t>
      </w:r>
      <w:r w:rsidR="00F90355" w:rsidRPr="00A27387">
        <w:rPr>
          <w:rtl/>
        </w:rPr>
        <w:t xml:space="preserve"> </w:t>
      </w:r>
      <w:r w:rsidR="00F90355" w:rsidRPr="0006537E">
        <w:rPr>
          <w:rtl/>
        </w:rPr>
        <w:t>8</w:t>
      </w:r>
      <w:r w:rsidR="00F90355">
        <w:rPr>
          <w:rFonts w:ascii="Simplified Arabic"/>
          <w:rtl/>
        </w:rPr>
        <w:t xml:space="preserve"> إلى </w:t>
      </w:r>
      <w:r w:rsidR="00F90355" w:rsidRPr="0006537E">
        <w:rPr>
          <w:rtl/>
        </w:rPr>
        <w:t>3</w:t>
      </w:r>
      <w:r w:rsidR="008A74E9" w:rsidRPr="008A74E9">
        <w:rPr>
          <w:rtl/>
        </w:rPr>
        <w:t>5</w:t>
      </w:r>
      <w:r w:rsidR="008A74E9" w:rsidRPr="008A74E9">
        <w:rPr>
          <w:rFonts w:ascii="Simplified Arabic"/>
          <w:rtl/>
        </w:rPr>
        <w:t>)</w:t>
      </w:r>
    </w:p>
    <w:p w14:paraId="10D9E56F" w14:textId="1BF9CCA1" w:rsidR="00F90355" w:rsidRPr="00A27387" w:rsidRDefault="00F90355" w:rsidP="0055193B">
      <w:pPr>
        <w:pStyle w:val="H23GA"/>
        <w:rPr>
          <w:rFonts w:cs="Times New Roman"/>
          <w:rtl/>
          <w:lang w:val="ar-SA" w:eastAsia="zh-TW"/>
        </w:rPr>
      </w:pPr>
      <w:r w:rsidRPr="00A27387">
        <w:rPr>
          <w:rtl/>
        </w:rPr>
        <w:tab/>
      </w:r>
      <w:r w:rsidRPr="00A27387">
        <w:rPr>
          <w:rtl/>
        </w:rPr>
        <w:tab/>
        <w:t>إدارة الحدود</w:t>
      </w:r>
    </w:p>
    <w:p w14:paraId="12438947" w14:textId="77777777" w:rsidR="00F90355" w:rsidRPr="00A27387" w:rsidRDefault="00F90355" w:rsidP="0055193B">
      <w:pPr>
        <w:pStyle w:val="SingleTxtGA"/>
        <w:rPr>
          <w:rFonts w:cs="Times New Roman"/>
          <w:rtl/>
          <w:lang w:val="ar-SA" w:eastAsia="zh-TW"/>
        </w:rPr>
      </w:pPr>
      <w:r w:rsidRPr="0006537E">
        <w:rPr>
          <w:rtl/>
        </w:rPr>
        <w:t>31</w:t>
      </w:r>
      <w:r w:rsidRPr="00A27387">
        <w:rPr>
          <w:rFonts w:ascii="Simplified Arabic"/>
          <w:rtl/>
        </w:rPr>
        <w:t>-</w:t>
      </w:r>
      <w:r w:rsidRPr="00A27387">
        <w:rPr>
          <w:rtl/>
        </w:rPr>
        <w:tab/>
        <w:t>تحيط اللجنة علماً بما بذلته الدولة الطرف من جهود واستثمارات وبما قطعته من التزامات من أجل تنفيذ مراقبة الهجرة داخل الإقليم الوطني، والمراقبة الفعالة لدخول المواطنين إلى البلد وخروجهم منه، والإذن بدخول الرعايا الأجانب وعبورهم وإقامتهم وخروجهم أو منعهم. بيد أنها تلاحظ بقلق أنه لا يزال هناك نقص كبير في تأهب موظفي الهجرة.</w:t>
      </w:r>
    </w:p>
    <w:p w14:paraId="43F613E0" w14:textId="77777777" w:rsidR="00F90355" w:rsidRPr="00A07A42" w:rsidRDefault="00F90355" w:rsidP="0055193B">
      <w:pPr>
        <w:pStyle w:val="SingleTxtGA"/>
        <w:rPr>
          <w:rFonts w:cs="Times New Roman"/>
          <w:b/>
          <w:bCs/>
          <w:rtl/>
          <w:lang w:val="ar-SA" w:eastAsia="zh-TW"/>
        </w:rPr>
      </w:pPr>
      <w:r w:rsidRPr="0006537E">
        <w:rPr>
          <w:rtl/>
        </w:rPr>
        <w:lastRenderedPageBreak/>
        <w:t>32</w:t>
      </w:r>
      <w:r w:rsidRPr="00A27387">
        <w:rPr>
          <w:rFonts w:ascii="Simplified Arabic"/>
          <w:rtl/>
        </w:rPr>
        <w:t>-</w:t>
      </w:r>
      <w:r w:rsidRPr="00A27387">
        <w:rPr>
          <w:rtl/>
        </w:rPr>
        <w:tab/>
      </w:r>
      <w:r w:rsidRPr="00A07A42">
        <w:rPr>
          <w:b/>
          <w:bCs/>
          <w:rtl/>
        </w:rPr>
        <w:t xml:space="preserve">وفقاً للمبادئ والخطوط التوجيهية الموصى بها فيما يتعلق بحقوق الإنسان على الحدود الدولية والصادرة عن مفوضية الأمم المتحدة السامية لحقوق الإنسان، وامتثالاً لمتطلبات الاتفاقية والمعايير المعمول بها، توصي اللجنة الدولة الطرف بأن تخصص موارد بشرية وتقنية ومالية كافية لتعزيز إدارة الحدود، مع ضمان ملاءمة الإجراءات واستعداد المرافق لتوفير استجابات قائمة على حقوق الإنسان للمهاجرين الذين يصلون إلى حدودها ويعبرون أراضيها، وبأن تتلقى سلطات الحدود تدريباً </w:t>
      </w:r>
      <w:r w:rsidRPr="00486412">
        <w:rPr>
          <w:rFonts w:ascii="Times New Roman Bold" w:hAnsi="Times New Roman Bold"/>
          <w:b/>
          <w:bCs/>
          <w:spacing w:val="-2"/>
          <w:rtl/>
        </w:rPr>
        <w:t>على القانون الدولي لحقوق الإنسان المتصل بعملها، بما في ذلك المنظور الجنساني، وأن تنفذه</w:t>
      </w:r>
      <w:r w:rsidRPr="00A07A42">
        <w:rPr>
          <w:b/>
          <w:bCs/>
          <w:rtl/>
        </w:rPr>
        <w:t xml:space="preserve"> بفعالية. </w:t>
      </w:r>
    </w:p>
    <w:p w14:paraId="52656339" w14:textId="77777777" w:rsidR="00F90355" w:rsidRPr="00A27387" w:rsidRDefault="00F90355" w:rsidP="0055193B">
      <w:pPr>
        <w:pStyle w:val="H23GA"/>
        <w:rPr>
          <w:rFonts w:cs="Times New Roman"/>
          <w:rtl/>
          <w:lang w:val="ar-SA" w:eastAsia="zh-TW"/>
        </w:rPr>
      </w:pPr>
      <w:r w:rsidRPr="00A27387">
        <w:rPr>
          <w:rtl/>
        </w:rPr>
        <w:tab/>
      </w:r>
      <w:r w:rsidRPr="00A27387">
        <w:rPr>
          <w:rtl/>
        </w:rPr>
        <w:tab/>
        <w:t xml:space="preserve">المساعدة القنصلية </w:t>
      </w:r>
    </w:p>
    <w:p w14:paraId="169C5C4C" w14:textId="77777777" w:rsidR="00F90355" w:rsidRPr="00A27387" w:rsidRDefault="00F90355" w:rsidP="0055193B">
      <w:pPr>
        <w:pStyle w:val="SingleTxtGA"/>
        <w:rPr>
          <w:rFonts w:cs="Times New Roman"/>
          <w:rtl/>
          <w:lang w:val="ar-SA" w:eastAsia="zh-TW"/>
        </w:rPr>
      </w:pPr>
      <w:r w:rsidRPr="0006537E">
        <w:rPr>
          <w:rtl/>
        </w:rPr>
        <w:t>33</w:t>
      </w:r>
      <w:r w:rsidRPr="00A27387">
        <w:rPr>
          <w:rFonts w:ascii="Simplified Arabic"/>
          <w:rtl/>
        </w:rPr>
        <w:t>-</w:t>
      </w:r>
      <w:r w:rsidRPr="00A27387">
        <w:rPr>
          <w:rtl/>
        </w:rPr>
        <w:tab/>
        <w:t>تلاحظ اللجنة التقدم المحرز في تحسين الخدمات القنصلية للدولة الطرف وتوسيع نطاقها من خلال إنشاء الدائرة القنصلية الافتراضية لمساعدة العمال المهاجرين العابرين و</w:t>
      </w:r>
      <w:r>
        <w:rPr>
          <w:rtl/>
        </w:rPr>
        <w:t xml:space="preserve">الموجودين </w:t>
      </w:r>
      <w:r w:rsidRPr="00A27387">
        <w:rPr>
          <w:rtl/>
        </w:rPr>
        <w:t>في بلد المقصد</w:t>
      </w:r>
      <w:r>
        <w:rPr>
          <w:rtl/>
        </w:rPr>
        <w:t xml:space="preserve"> </w:t>
      </w:r>
      <w:r w:rsidRPr="00A27387">
        <w:rPr>
          <w:rtl/>
        </w:rPr>
        <w:t>وحماية حقوق</w:t>
      </w:r>
      <w:r>
        <w:rPr>
          <w:rtl/>
        </w:rPr>
        <w:t>هم</w:t>
      </w:r>
      <w:r w:rsidRPr="00A27387">
        <w:rPr>
          <w:rtl/>
        </w:rPr>
        <w:t>. غير أن اللجنة تشعر بالقلق بشأن عدم وجود معلومات عن أثر هذه الدائرة القنصلية، وما إذا كانت الموارد البشرية والتقنية والمالية المتاحة لقنصليتي الدولة الطرف في المكسيك والولايات المتحدة الأمريكية كافية لتمكينهما من تزويد العمال المهاجرين بما يكفي من المساعدة والحماية.</w:t>
      </w:r>
    </w:p>
    <w:p w14:paraId="078D9A3E" w14:textId="77777777" w:rsidR="00F90355" w:rsidRPr="00486412" w:rsidRDefault="00F90355" w:rsidP="0055193B">
      <w:pPr>
        <w:pStyle w:val="SingleTxtGA"/>
        <w:rPr>
          <w:rFonts w:cs="Times New Roman"/>
          <w:b/>
          <w:bCs/>
          <w:rtl/>
          <w:lang w:val="ar-SA" w:eastAsia="zh-TW"/>
        </w:rPr>
      </w:pPr>
      <w:r w:rsidRPr="0006537E">
        <w:rPr>
          <w:rtl/>
        </w:rPr>
        <w:t>34</w:t>
      </w:r>
      <w:r w:rsidRPr="00A27387">
        <w:rPr>
          <w:rFonts w:ascii="Simplified Arabic"/>
          <w:rtl/>
        </w:rPr>
        <w:t>-</w:t>
      </w:r>
      <w:r w:rsidRPr="00A27387">
        <w:rPr>
          <w:rtl/>
        </w:rPr>
        <w:tab/>
      </w:r>
      <w:r w:rsidRPr="00486412">
        <w:rPr>
          <w:b/>
          <w:bCs/>
          <w:rtl/>
        </w:rPr>
        <w:t xml:space="preserve">تكرر اللجنة تأكيد ملاحظاتها الختامية السابقة، وتوصي بأن تتخذ الدولة الطرف الخطوات اللازمة لضمان تمكُّن دوائرها القنصلية من تلبية احتياجات العمال المهاجرين السلفادوريين وأفراد أسرهم تلبية فعالة من حيث حماية حقوقهم وتقديم المساعدة لهم. وينبغي أن تشمل تلك الخطوات تخصيص ما يكفي من الموارد البشرية والتمويل، ووضع برامج تدريب مستمر للموظفين القنصليين بشأن الاتفاقية وغيرها من معاهدات حقوق الإنسان. </w:t>
      </w:r>
    </w:p>
    <w:p w14:paraId="5E62ECB3" w14:textId="77777777" w:rsidR="00F90355" w:rsidRPr="00A27387" w:rsidRDefault="00F90355" w:rsidP="0055193B">
      <w:pPr>
        <w:pStyle w:val="H23GA"/>
        <w:rPr>
          <w:rFonts w:cs="Times New Roman"/>
          <w:rtl/>
          <w:lang w:val="ar-SA" w:eastAsia="zh-TW"/>
        </w:rPr>
      </w:pPr>
      <w:r w:rsidRPr="00A27387">
        <w:rPr>
          <w:rtl/>
        </w:rPr>
        <w:tab/>
      </w:r>
      <w:r w:rsidRPr="00A27387">
        <w:rPr>
          <w:rtl/>
        </w:rPr>
        <w:tab/>
        <w:t>الاحتجاز</w:t>
      </w:r>
    </w:p>
    <w:p w14:paraId="141F875D" w14:textId="77777777" w:rsidR="00F90355" w:rsidRPr="00A27387" w:rsidRDefault="00F90355" w:rsidP="0055193B">
      <w:pPr>
        <w:pStyle w:val="SingleTxtGA"/>
        <w:rPr>
          <w:rFonts w:cs="Times New Roman"/>
          <w:rtl/>
          <w:lang w:val="ar-SA" w:eastAsia="zh-TW"/>
        </w:rPr>
      </w:pPr>
      <w:r w:rsidRPr="0006537E">
        <w:rPr>
          <w:rtl/>
        </w:rPr>
        <w:t>35</w:t>
      </w:r>
      <w:r w:rsidRPr="00A27387">
        <w:rPr>
          <w:rFonts w:ascii="Simplified Arabic"/>
          <w:rtl/>
        </w:rPr>
        <w:t>-</w:t>
      </w:r>
      <w:r w:rsidRPr="00A27387">
        <w:rPr>
          <w:rtl/>
        </w:rPr>
        <w:tab/>
        <w:t>تحيط اللجنة علماً بالمعلومات التي قدمتها الدولة الطرف ومفادها أنه لا يوجد إجراء من قبيل احتجاز المهاجرين، وبالمعلومات المتعلقة بدور مركز الرعاية الشاملة للمهاجرين. بيد أن اللجنة تلاحظ بقلق أن التشريع</w:t>
      </w:r>
      <w:r>
        <w:rPr>
          <w:rtl/>
        </w:rPr>
        <w:t>ات</w:t>
      </w:r>
      <w:r w:rsidRPr="00A27387">
        <w:rPr>
          <w:rtl/>
        </w:rPr>
        <w:t xml:space="preserve"> </w:t>
      </w:r>
      <w:r>
        <w:rPr>
          <w:rtl/>
        </w:rPr>
        <w:t>ت</w:t>
      </w:r>
      <w:r w:rsidRPr="00A27387">
        <w:rPr>
          <w:rtl/>
        </w:rPr>
        <w:t xml:space="preserve">نص </w:t>
      </w:r>
      <w:r>
        <w:rPr>
          <w:rtl/>
        </w:rPr>
        <w:t>على "الاحتجاز الإداري"،</w:t>
      </w:r>
      <w:r w:rsidRPr="00A27387">
        <w:rPr>
          <w:rtl/>
        </w:rPr>
        <w:t xml:space="preserve"> ويساورها القلق أيضاً بشأن الظروف التي يُستخدم فيها</w:t>
      </w:r>
      <w:r>
        <w:rPr>
          <w:rtl/>
        </w:rPr>
        <w:t xml:space="preserve"> هذا</w:t>
      </w:r>
      <w:r w:rsidRPr="00A27387">
        <w:rPr>
          <w:rtl/>
        </w:rPr>
        <w:t xml:space="preserve"> التدبير ومدته.</w:t>
      </w:r>
      <w:bookmarkStart w:id="6" w:name="_Hlk146618264"/>
      <w:bookmarkEnd w:id="6"/>
    </w:p>
    <w:p w14:paraId="1898C9B0" w14:textId="24C20C24" w:rsidR="00F90355" w:rsidRPr="00486412" w:rsidRDefault="00F90355" w:rsidP="0055193B">
      <w:pPr>
        <w:pStyle w:val="SingleTxtGA"/>
        <w:rPr>
          <w:rFonts w:cs="Times New Roman"/>
          <w:b/>
          <w:bCs/>
          <w:rtl/>
          <w:lang w:val="ar-SA" w:eastAsia="zh-TW"/>
        </w:rPr>
      </w:pPr>
      <w:r w:rsidRPr="0006537E">
        <w:rPr>
          <w:rtl/>
        </w:rPr>
        <w:t>36</w:t>
      </w:r>
      <w:r w:rsidRPr="00A27387">
        <w:rPr>
          <w:rFonts w:ascii="Simplified Arabic"/>
          <w:rtl/>
        </w:rPr>
        <w:t>-</w:t>
      </w:r>
      <w:r w:rsidRPr="00A27387">
        <w:rPr>
          <w:rtl/>
        </w:rPr>
        <w:tab/>
      </w:r>
      <w:r w:rsidRPr="00486412">
        <w:rPr>
          <w:b/>
          <w:bCs/>
          <w:rtl/>
        </w:rPr>
        <w:t>تحث اللجنة الدولةَ الطرف، في ضوء تعليقها العام رقم 5</w:t>
      </w:r>
      <w:r w:rsidRPr="00486412">
        <w:rPr>
          <w:rFonts w:ascii="Simplified Arabic"/>
          <w:b/>
          <w:bCs/>
          <w:rtl/>
        </w:rPr>
        <w:t>(</w:t>
      </w:r>
      <w:r w:rsidRPr="00486412">
        <w:rPr>
          <w:b/>
          <w:bCs/>
          <w:rtl/>
        </w:rPr>
        <w:t>202</w:t>
      </w:r>
      <w:r w:rsidR="008A74E9" w:rsidRPr="008A74E9">
        <w:rPr>
          <w:b/>
          <w:bCs/>
          <w:rtl/>
        </w:rPr>
        <w:t>1</w:t>
      </w:r>
      <w:r w:rsidR="008A74E9" w:rsidRPr="008A74E9">
        <w:rPr>
          <w:rFonts w:ascii="Simplified Arabic"/>
          <w:b/>
          <w:bCs/>
          <w:rtl/>
        </w:rPr>
        <w:t>)</w:t>
      </w:r>
      <w:r w:rsidR="008A74E9" w:rsidRPr="008A74E9">
        <w:rPr>
          <w:b/>
          <w:bCs/>
          <w:rtl/>
        </w:rPr>
        <w:t xml:space="preserve"> </w:t>
      </w:r>
      <w:r w:rsidRPr="00486412">
        <w:rPr>
          <w:b/>
          <w:bCs/>
          <w:rtl/>
        </w:rPr>
        <w:t>بشأن حقوق المهاجرين في الحرية وعدم التعرض للاحتجاز التعسفي وعلاقتها بحقوق الإنسان الأخرى، على القيام بما يلي:</w:t>
      </w:r>
      <w:bookmarkStart w:id="7" w:name="_Hlk100230273"/>
    </w:p>
    <w:p w14:paraId="387E22AE" w14:textId="2FD27A0F" w:rsidR="00F90355" w:rsidRPr="00486412" w:rsidRDefault="0055193B" w:rsidP="0055193B">
      <w:pPr>
        <w:pStyle w:val="SingleTxtGA"/>
        <w:rPr>
          <w:rFonts w:cs="Times New Roman"/>
          <w:b/>
          <w:bCs/>
          <w:rtl/>
          <w:lang w:val="ar-SA" w:eastAsia="zh-TW"/>
        </w:rPr>
      </w:pPr>
      <w:r>
        <w:rPr>
          <w:rFonts w:ascii="Simplified Arabic"/>
          <w:rtl/>
        </w:rPr>
        <w:tab/>
      </w:r>
      <w:r w:rsidR="00F90355" w:rsidRPr="00A27387">
        <w:rPr>
          <w:rFonts w:ascii="Simplified Arabic"/>
          <w:rtl/>
        </w:rPr>
        <w:t>(</w:t>
      </w:r>
      <w:r w:rsidR="00F90355" w:rsidRPr="00A27387">
        <w:rPr>
          <w:rtl/>
        </w:rPr>
        <w:t>أ)</w:t>
      </w:r>
      <w:r w:rsidR="00F90355" w:rsidRPr="00A27387">
        <w:rPr>
          <w:rtl/>
        </w:rPr>
        <w:tab/>
      </w:r>
      <w:r w:rsidR="00F90355" w:rsidRPr="00486412">
        <w:rPr>
          <w:b/>
          <w:bCs/>
          <w:rtl/>
        </w:rPr>
        <w:t>ضمان حق المهاجرين في الحرية في سياق إجراءات الهجرة، واعتماد بدائل للاحتجاز الإداري - عند الاقتضاء - لصالح العمال المهاجرين وأفراد أسرهم في سياق إجراءات دخول البلد أو الترحيل أو الطرد من الإقليم الوطني؛</w:t>
      </w:r>
    </w:p>
    <w:p w14:paraId="5A053A76" w14:textId="38A15BEE" w:rsidR="00F90355" w:rsidRPr="00486412" w:rsidRDefault="0055193B" w:rsidP="0055193B">
      <w:pPr>
        <w:pStyle w:val="SingleTxtGA"/>
        <w:rPr>
          <w:rFonts w:cs="Times New Roman"/>
          <w:b/>
          <w:bCs/>
          <w:rtl/>
          <w:lang w:val="ar-SA" w:eastAsia="zh-TW"/>
        </w:rPr>
      </w:pPr>
      <w:r>
        <w:rPr>
          <w:rFonts w:ascii="Simplified Arabic"/>
          <w:rtl/>
        </w:rPr>
        <w:tab/>
      </w:r>
      <w:r w:rsidR="00F90355" w:rsidRPr="00A27387">
        <w:rPr>
          <w:rFonts w:ascii="Simplified Arabic"/>
          <w:rtl/>
        </w:rPr>
        <w:t>(</w:t>
      </w:r>
      <w:r w:rsidR="00F90355" w:rsidRPr="00A27387">
        <w:rPr>
          <w:rtl/>
        </w:rPr>
        <w:t>ب)</w:t>
      </w:r>
      <w:r w:rsidR="00F90355" w:rsidRPr="00A27387">
        <w:rPr>
          <w:rtl/>
        </w:rPr>
        <w:tab/>
      </w:r>
      <w:r w:rsidR="00F90355" w:rsidRPr="00486412">
        <w:rPr>
          <w:b/>
          <w:bCs/>
          <w:rtl/>
        </w:rPr>
        <w:t>ضمان ظروف ملائمة ولائقة في أماكن احتجاز المهاجرين، في حالة اللجوء إلى احتجازهم كحل أخير استثنائي، وأن يكون احتجازهم لأقصر مدة ممكنة، والفصل فعليا، عند الانطباق، بين المهاجرين المحتجزين إدارياً وأولئك الذين يخضعون لتحقيق جنائي.</w:t>
      </w:r>
      <w:bookmarkStart w:id="8" w:name="_Hlk146618420"/>
      <w:bookmarkEnd w:id="8"/>
    </w:p>
    <w:bookmarkEnd w:id="7"/>
    <w:p w14:paraId="15A0A520" w14:textId="77777777" w:rsidR="00F90355" w:rsidRPr="00A27387" w:rsidRDefault="00F90355" w:rsidP="0055193B">
      <w:pPr>
        <w:pStyle w:val="H23GA"/>
        <w:rPr>
          <w:rFonts w:cs="Times New Roman"/>
          <w:rtl/>
          <w:lang w:val="ar-SA" w:eastAsia="zh-TW"/>
        </w:rPr>
      </w:pPr>
      <w:r w:rsidRPr="00A27387">
        <w:rPr>
          <w:rtl/>
        </w:rPr>
        <w:tab/>
      </w:r>
      <w:r w:rsidRPr="00A27387">
        <w:rPr>
          <w:rtl/>
        </w:rPr>
        <w:tab/>
        <w:t>تحويل المهاجرين المداخيل والمدخرات في نهاية فترة إقامتهم</w:t>
      </w:r>
    </w:p>
    <w:p w14:paraId="4EEB7173" w14:textId="2EFA050C" w:rsidR="00F90355" w:rsidRPr="00A27387" w:rsidRDefault="00F90355" w:rsidP="0055193B">
      <w:pPr>
        <w:pStyle w:val="SingleTxtGA"/>
        <w:rPr>
          <w:rFonts w:cs="Times New Roman"/>
          <w:rtl/>
          <w:lang w:val="ar-SA" w:eastAsia="zh-TW"/>
        </w:rPr>
      </w:pPr>
      <w:r w:rsidRPr="0006537E">
        <w:rPr>
          <w:rtl/>
        </w:rPr>
        <w:t>37</w:t>
      </w:r>
      <w:r w:rsidRPr="00A27387">
        <w:rPr>
          <w:rFonts w:ascii="Simplified Arabic"/>
          <w:rtl/>
        </w:rPr>
        <w:t>-</w:t>
      </w:r>
      <w:r w:rsidRPr="00A27387">
        <w:rPr>
          <w:rtl/>
        </w:rPr>
        <w:tab/>
        <w:t xml:space="preserve">تحيط اللجنة علماً بتنفيذ نظام </w:t>
      </w:r>
      <w:r w:rsidRPr="00A27387">
        <w:rPr>
          <w:rFonts w:cs="Times New Roman"/>
          <w:rtl/>
        </w:rPr>
        <w:t xml:space="preserve">Transfer </w:t>
      </w:r>
      <w:r w:rsidRPr="0006537E">
        <w:rPr>
          <w:rtl/>
        </w:rPr>
        <w:t>365</w:t>
      </w:r>
      <w:r w:rsidRPr="00A27387">
        <w:rPr>
          <w:rtl/>
        </w:rPr>
        <w:t xml:space="preserve">، والاستراتيجية الوطنية للتثقيف المالي، والموافقة على قانون البيتكوين </w:t>
      </w:r>
      <w:r w:rsidRPr="00A27387">
        <w:rPr>
          <w:rFonts w:ascii="Simplified Arabic"/>
          <w:rtl/>
        </w:rPr>
        <w:t>(</w:t>
      </w:r>
      <w:r w:rsidRPr="0006537E">
        <w:rPr>
          <w:rtl/>
        </w:rPr>
        <w:t>2021</w:t>
      </w:r>
      <w:r w:rsidR="008A74E9" w:rsidRPr="008A74E9">
        <w:rPr>
          <w:rFonts w:ascii="Simplified Arabic"/>
          <w:rtl/>
        </w:rPr>
        <w:t>)</w:t>
      </w:r>
      <w:r w:rsidR="008A74E9" w:rsidRPr="008A74E9">
        <w:rPr>
          <w:rtl/>
        </w:rPr>
        <w:t xml:space="preserve">، </w:t>
      </w:r>
      <w:r w:rsidRPr="00A27387">
        <w:rPr>
          <w:rtl/>
        </w:rPr>
        <w:t xml:space="preserve">الذي ينص على استلام التحويلات </w:t>
      </w:r>
      <w:r>
        <w:rPr>
          <w:rtl/>
        </w:rPr>
        <w:t xml:space="preserve">من الخارج من خلال محفظة تشيفو </w:t>
      </w:r>
      <w:r w:rsidRPr="00F8233E">
        <w:rPr>
          <w:rFonts w:cs="Times New Roman"/>
          <w:rtl/>
        </w:rPr>
        <w:t>"</w:t>
      </w:r>
      <w:r w:rsidRPr="00A27387">
        <w:rPr>
          <w:rFonts w:cs="Times New Roman"/>
          <w:rtl/>
        </w:rPr>
        <w:t>Chivo</w:t>
      </w:r>
      <w:r>
        <w:rPr>
          <w:rFonts w:cs="Times New Roman"/>
          <w:rtl/>
        </w:rPr>
        <w:t>"</w:t>
      </w:r>
      <w:r w:rsidRPr="00A27387">
        <w:rPr>
          <w:rFonts w:cs="Times New Roman"/>
          <w:rtl/>
        </w:rPr>
        <w:t>.</w:t>
      </w:r>
      <w:r w:rsidRPr="00A27387">
        <w:rPr>
          <w:rtl/>
        </w:rPr>
        <w:t xml:space="preserve"> غير أن اللجنة تشعر بالقلق بشأن تكلفة خدمات</w:t>
      </w:r>
      <w:r>
        <w:rPr>
          <w:rtl/>
        </w:rPr>
        <w:t xml:space="preserve"> التحويل المالي</w:t>
      </w:r>
      <w:r w:rsidRPr="00A27387">
        <w:rPr>
          <w:rtl/>
        </w:rPr>
        <w:t xml:space="preserve"> المتاحة في البلد.</w:t>
      </w:r>
    </w:p>
    <w:p w14:paraId="396C24CA" w14:textId="77777777" w:rsidR="00F90355" w:rsidRPr="00486412" w:rsidRDefault="00F90355" w:rsidP="0055193B">
      <w:pPr>
        <w:pStyle w:val="SingleTxtGA"/>
        <w:rPr>
          <w:rFonts w:cs="Times New Roman"/>
          <w:b/>
          <w:bCs/>
          <w:rtl/>
          <w:lang w:val="ar-SA" w:eastAsia="zh-TW"/>
        </w:rPr>
      </w:pPr>
      <w:r w:rsidRPr="0006537E">
        <w:rPr>
          <w:rtl/>
        </w:rPr>
        <w:lastRenderedPageBreak/>
        <w:t>38</w:t>
      </w:r>
      <w:r w:rsidRPr="00A27387">
        <w:rPr>
          <w:rFonts w:ascii="Simplified Arabic"/>
          <w:rtl/>
        </w:rPr>
        <w:t>-</w:t>
      </w:r>
      <w:r w:rsidRPr="00A27387">
        <w:rPr>
          <w:rtl/>
        </w:rPr>
        <w:tab/>
      </w:r>
      <w:r w:rsidRPr="00486412">
        <w:rPr>
          <w:b/>
          <w:bCs/>
          <w:rtl/>
        </w:rPr>
        <w:t>توصي اللجنة الدولة الطرف بأن تواصل جهودها الرامية إلى تيسير تحويل العمال المهاجرين مداخيلهم ومدخراتهم، وبأن تعمل مع مقدمي خدمات تحويل الأموال الموجودين في البلد لجعل هذه الخدمات ميسورة التكلفة بصفة دائمة.</w:t>
      </w:r>
    </w:p>
    <w:p w14:paraId="04CC3553" w14:textId="77777777" w:rsidR="00F90355" w:rsidRPr="00A27387" w:rsidRDefault="00F90355" w:rsidP="0055193B">
      <w:pPr>
        <w:pStyle w:val="H23GA"/>
        <w:rPr>
          <w:rFonts w:cs="Times New Roman"/>
          <w:rtl/>
          <w:lang w:val="ar-SA" w:eastAsia="zh-TW"/>
        </w:rPr>
      </w:pPr>
      <w:r w:rsidRPr="00A27387">
        <w:rPr>
          <w:rtl/>
        </w:rPr>
        <w:tab/>
      </w:r>
      <w:r w:rsidRPr="00A27387">
        <w:rPr>
          <w:rtl/>
        </w:rPr>
        <w:tab/>
        <w:t>الحق في الحصول على المعلومات ونشرها</w:t>
      </w:r>
    </w:p>
    <w:p w14:paraId="29265FC2" w14:textId="77777777" w:rsidR="00F90355" w:rsidRPr="00A27387" w:rsidRDefault="00F90355" w:rsidP="0055193B">
      <w:pPr>
        <w:pStyle w:val="SingleTxtGA"/>
        <w:rPr>
          <w:rFonts w:cs="Times New Roman"/>
          <w:rtl/>
          <w:lang w:val="ar-SA" w:eastAsia="zh-TW"/>
        </w:rPr>
      </w:pPr>
      <w:r w:rsidRPr="0006537E">
        <w:rPr>
          <w:rtl/>
        </w:rPr>
        <w:t>39</w:t>
      </w:r>
      <w:r w:rsidRPr="00A27387">
        <w:rPr>
          <w:rFonts w:ascii="Simplified Arabic"/>
          <w:rtl/>
        </w:rPr>
        <w:t>-</w:t>
      </w:r>
      <w:r w:rsidRPr="00A27387">
        <w:rPr>
          <w:rtl/>
        </w:rPr>
        <w:tab/>
        <w:t>تلاحظ اللجنة الجهود التي تبذلها الدولة الطرف لضمان توفير ا</w:t>
      </w:r>
      <w:r>
        <w:rPr>
          <w:rtl/>
        </w:rPr>
        <w:t>لإرشاد</w:t>
      </w:r>
      <w:r w:rsidRPr="00A27387">
        <w:rPr>
          <w:rtl/>
        </w:rPr>
        <w:t xml:space="preserve"> للمهاجرين المحتملين، والمهاجرين العابرين والعائدين، بهدف توجيه الأفراد إلى الخدمات الحكومية القائمة، وت</w:t>
      </w:r>
      <w:r>
        <w:rPr>
          <w:rtl/>
        </w:rPr>
        <w:t>وعية</w:t>
      </w:r>
      <w:r w:rsidRPr="00A27387">
        <w:rPr>
          <w:rtl/>
        </w:rPr>
        <w:t xml:space="preserve"> المجتمعات المحلية إلى مخاطر الهجرة غير النظامية. غير أن اللجنة تشعر </w:t>
      </w:r>
      <w:r>
        <w:rPr>
          <w:rtl/>
        </w:rPr>
        <w:t>ب</w:t>
      </w:r>
      <w:r w:rsidRPr="00A27387">
        <w:rPr>
          <w:rtl/>
        </w:rPr>
        <w:t xml:space="preserve">القلق بشأن عدم نشر المعلومات المتعلقة بحقوق المهاجرين في الدولة الطرف، ولأن المعلومات الموجودة غير متوفرة إلا باللغة الإسبانية. </w:t>
      </w:r>
      <w:bookmarkStart w:id="9" w:name="_Hlk146618564"/>
      <w:bookmarkEnd w:id="9"/>
    </w:p>
    <w:p w14:paraId="40346E91" w14:textId="77777777" w:rsidR="00F90355" w:rsidRPr="00486412" w:rsidRDefault="00F90355" w:rsidP="0055193B">
      <w:pPr>
        <w:pStyle w:val="SingleTxtGA"/>
        <w:rPr>
          <w:rFonts w:cs="Times New Roman"/>
          <w:b/>
          <w:bCs/>
          <w:rtl/>
          <w:lang w:val="ar-SA" w:eastAsia="zh-TW"/>
        </w:rPr>
      </w:pPr>
      <w:r w:rsidRPr="0006537E">
        <w:rPr>
          <w:rtl/>
        </w:rPr>
        <w:t>40</w:t>
      </w:r>
      <w:r w:rsidRPr="00A27387">
        <w:rPr>
          <w:rFonts w:ascii="Simplified Arabic"/>
          <w:rtl/>
        </w:rPr>
        <w:t>-</w:t>
      </w:r>
      <w:r w:rsidRPr="00A27387">
        <w:rPr>
          <w:rtl/>
        </w:rPr>
        <w:tab/>
      </w:r>
      <w:r w:rsidRPr="00486412">
        <w:rPr>
          <w:b/>
          <w:bCs/>
          <w:rtl/>
        </w:rPr>
        <w:t>توصي اللجنة بأن تتخذ الدولة الطرف التدابير المناسبة لنشر المعلومات المتعلقة بحقوق العمال المهاجرين بموجب الاتفاقية، وشروط القبول والعمل، والحقوق والالتزامات بموجب القانون. وتوصي اللجنة الدولة الطرف أيضاً بأن تواصل وضع برامج توعية هادفة، وبرامج توفِّر معلومات في مرحلة ما قبل المغادرة، لا سيما بالتشاور مع المنظمات غير الحكومية ذات الصلة، والعمال المهاجرين وأسرهم، ووكالات التوظيف المعتمدة والموثوقة.</w:t>
      </w:r>
    </w:p>
    <w:p w14:paraId="6B74ABF5" w14:textId="54A210E7" w:rsidR="008A74E9" w:rsidRPr="008A74E9" w:rsidRDefault="0055193B" w:rsidP="0055193B">
      <w:pPr>
        <w:pStyle w:val="H23GA"/>
        <w:rPr>
          <w:rFonts w:cs="Times New Roman"/>
          <w:rtl/>
          <w:lang w:val="ar-SA" w:eastAsia="zh-TW"/>
        </w:rPr>
      </w:pPr>
      <w:r>
        <w:rPr>
          <w:rFonts w:ascii="Simplified Arabic"/>
          <w:rtl/>
        </w:rPr>
        <w:tab/>
      </w:r>
      <w:r w:rsidR="00F90355" w:rsidRPr="0006537E">
        <w:rPr>
          <w:rtl/>
        </w:rPr>
        <w:t>4</w:t>
      </w:r>
      <w:r w:rsidR="00F90355" w:rsidRPr="00A27387">
        <w:rPr>
          <w:rFonts w:ascii="Simplified Arabic"/>
          <w:rtl/>
        </w:rPr>
        <w:t>-</w:t>
      </w:r>
      <w:r w:rsidR="00F90355" w:rsidRPr="00A27387">
        <w:rPr>
          <w:rtl/>
        </w:rPr>
        <w:tab/>
        <w:t xml:space="preserve">حقوق أخرى للعمّال المهاجرين وأفراد أسرهم الحائزين للوثائق اللازمة أو الذين هم في وضع نظامي (المواد </w:t>
      </w:r>
      <w:r w:rsidR="00F90355" w:rsidRPr="0006537E">
        <w:rPr>
          <w:rtl/>
        </w:rPr>
        <w:t>36</w:t>
      </w:r>
      <w:r w:rsidR="00F90355" w:rsidRPr="00A27387">
        <w:rPr>
          <w:rFonts w:ascii="Simplified Arabic"/>
          <w:rtl/>
        </w:rPr>
        <w:t>-</w:t>
      </w:r>
      <w:r w:rsidR="00F90355" w:rsidRPr="0006537E">
        <w:rPr>
          <w:rtl/>
        </w:rPr>
        <w:t>5</w:t>
      </w:r>
      <w:r w:rsidR="008A74E9" w:rsidRPr="008A74E9">
        <w:rPr>
          <w:rtl/>
        </w:rPr>
        <w:t>6</w:t>
      </w:r>
      <w:r w:rsidR="008A74E9" w:rsidRPr="008A74E9">
        <w:rPr>
          <w:rFonts w:ascii="Simplified Arabic"/>
          <w:rtl/>
        </w:rPr>
        <w:t>)</w:t>
      </w:r>
    </w:p>
    <w:p w14:paraId="48DD9D91" w14:textId="75F5C33F" w:rsidR="00F90355" w:rsidRPr="00A27387" w:rsidRDefault="00F90355" w:rsidP="0055193B">
      <w:pPr>
        <w:pStyle w:val="H23GA"/>
        <w:rPr>
          <w:rFonts w:cs="Times New Roman"/>
          <w:rtl/>
          <w:lang w:val="ar-SA" w:eastAsia="zh-TW"/>
        </w:rPr>
      </w:pPr>
      <w:r w:rsidRPr="00A27387">
        <w:rPr>
          <w:rtl/>
        </w:rPr>
        <w:tab/>
      </w:r>
      <w:r w:rsidRPr="00A27387">
        <w:rPr>
          <w:rtl/>
        </w:rPr>
        <w:tab/>
        <w:t>حرية التنقل والحق في اختيار مكان الإقامة</w:t>
      </w:r>
    </w:p>
    <w:p w14:paraId="78F28E27" w14:textId="77777777" w:rsidR="00F90355" w:rsidRPr="00A27387" w:rsidRDefault="00F90355" w:rsidP="0055193B">
      <w:pPr>
        <w:pStyle w:val="SingleTxtGA"/>
        <w:rPr>
          <w:rFonts w:cs="Times New Roman"/>
          <w:rtl/>
          <w:lang w:val="ar-SA" w:eastAsia="zh-TW"/>
        </w:rPr>
      </w:pPr>
      <w:r w:rsidRPr="0006537E">
        <w:rPr>
          <w:rtl/>
        </w:rPr>
        <w:t>41</w:t>
      </w:r>
      <w:r w:rsidRPr="00A27387">
        <w:rPr>
          <w:rFonts w:ascii="Simplified Arabic"/>
          <w:rtl/>
        </w:rPr>
        <w:t>-</w:t>
      </w:r>
      <w:r w:rsidRPr="00A27387">
        <w:rPr>
          <w:rtl/>
        </w:rPr>
        <w:tab/>
        <w:t>تلاحظ اللجنة بقلق ارتفاع عدد النازحين داخلياً، فضلاً عن التحديات التي ت</w:t>
      </w:r>
      <w:r>
        <w:rPr>
          <w:rtl/>
        </w:rPr>
        <w:t>عترض</w:t>
      </w:r>
      <w:r w:rsidRPr="00A27387">
        <w:rPr>
          <w:rtl/>
        </w:rPr>
        <w:t xml:space="preserve"> توفير الحماية والمساعدة الكافيتين لهم.</w:t>
      </w:r>
    </w:p>
    <w:p w14:paraId="31936629" w14:textId="6CA1810E" w:rsidR="008A74E9" w:rsidRPr="008A74E9" w:rsidRDefault="00F90355" w:rsidP="0055193B">
      <w:pPr>
        <w:pStyle w:val="SingleTxtGA"/>
        <w:rPr>
          <w:b/>
          <w:bCs/>
          <w:rtl/>
        </w:rPr>
      </w:pPr>
      <w:r w:rsidRPr="0006537E">
        <w:rPr>
          <w:rtl/>
        </w:rPr>
        <w:t>42</w:t>
      </w:r>
      <w:r w:rsidRPr="00A27387">
        <w:rPr>
          <w:rFonts w:ascii="Simplified Arabic"/>
          <w:rtl/>
        </w:rPr>
        <w:t>-</w:t>
      </w:r>
      <w:r w:rsidRPr="00A27387">
        <w:rPr>
          <w:rtl/>
        </w:rPr>
        <w:tab/>
      </w:r>
      <w:r w:rsidRPr="00486412">
        <w:rPr>
          <w:b/>
          <w:bCs/>
          <w:rtl/>
        </w:rPr>
        <w:t>إن اللجنة، إذ تشير إلى الملاحظات الختامية للجنة مناهضة التعذيب، توصي الدولة الطرف بتعزيز التدابير والسياسات التشريعية الرامية إلى مساعدة النازحين في إقليمها نتيجة لحالة العنف وانعدام الأمن في البلد وتوفير الحماية لهم</w:t>
      </w:r>
      <w:r w:rsidR="008A74E9">
        <w:rPr>
          <w:b/>
          <w:bCs/>
          <w:vertAlign w:val="superscript"/>
          <w:rtl/>
        </w:rPr>
        <w:t>(</w:t>
      </w:r>
      <w:r w:rsidR="008A74E9" w:rsidRPr="00486412">
        <w:rPr>
          <w:b/>
          <w:bCs/>
          <w:vertAlign w:val="superscript"/>
          <w:rtl/>
        </w:rPr>
        <w:footnoteReference w:id="9"/>
      </w:r>
      <w:r w:rsidR="008A74E9" w:rsidRPr="008A74E9">
        <w:rPr>
          <w:b/>
          <w:bCs/>
          <w:vertAlign w:val="superscript"/>
          <w:rtl/>
        </w:rPr>
        <w:t>)</w:t>
      </w:r>
      <w:r w:rsidR="008A74E9" w:rsidRPr="008A74E9">
        <w:rPr>
          <w:rFonts w:hint="cs"/>
          <w:b/>
          <w:bCs/>
          <w:rtl/>
        </w:rPr>
        <w:t>.</w:t>
      </w:r>
    </w:p>
    <w:p w14:paraId="6BA0C9BA" w14:textId="77879EE7" w:rsidR="008A74E9" w:rsidRPr="008A74E9" w:rsidRDefault="0055193B" w:rsidP="0055193B">
      <w:pPr>
        <w:pStyle w:val="H23GA"/>
        <w:rPr>
          <w:rFonts w:cs="Times New Roman"/>
          <w:rtl/>
          <w:lang w:val="ar-SA" w:eastAsia="zh-TW"/>
        </w:rPr>
      </w:pPr>
      <w:r>
        <w:rPr>
          <w:rFonts w:ascii="Simplified Arabic"/>
          <w:rtl/>
        </w:rPr>
        <w:tab/>
      </w:r>
      <w:r w:rsidR="00F90355" w:rsidRPr="0006537E">
        <w:rPr>
          <w:rtl/>
        </w:rPr>
        <w:t>5</w:t>
      </w:r>
      <w:r w:rsidR="00F90355" w:rsidRPr="00A27387">
        <w:rPr>
          <w:rFonts w:ascii="Simplified Arabic"/>
          <w:rtl/>
        </w:rPr>
        <w:t>-</w:t>
      </w:r>
      <w:r w:rsidR="00F90355" w:rsidRPr="00A27387">
        <w:rPr>
          <w:rtl/>
        </w:rPr>
        <w:tab/>
        <w:t>تعزيز الظروف السليمة والعادلة والإنسانية والمشروعة فيما يتعلّق بالهجرة الدولية للعمّال وأفراد أسرهم (المواد</w:t>
      </w:r>
      <w:r w:rsidR="00F90355">
        <w:rPr>
          <w:rtl/>
        </w:rPr>
        <w:t xml:space="preserve"> من</w:t>
      </w:r>
      <w:r w:rsidR="00F90355" w:rsidRPr="00A27387">
        <w:rPr>
          <w:rtl/>
        </w:rPr>
        <w:t xml:space="preserve"> </w:t>
      </w:r>
      <w:r w:rsidR="00F90355" w:rsidRPr="0006537E">
        <w:rPr>
          <w:rtl/>
        </w:rPr>
        <w:t>64</w:t>
      </w:r>
      <w:r w:rsidR="00F90355">
        <w:rPr>
          <w:rFonts w:ascii="Simplified Arabic"/>
          <w:rtl/>
        </w:rPr>
        <w:t xml:space="preserve"> إلى </w:t>
      </w:r>
      <w:r w:rsidR="00F90355" w:rsidRPr="0006537E">
        <w:rPr>
          <w:rtl/>
        </w:rPr>
        <w:t>7</w:t>
      </w:r>
      <w:r w:rsidR="008A74E9" w:rsidRPr="008A74E9">
        <w:rPr>
          <w:rtl/>
        </w:rPr>
        <w:t>1</w:t>
      </w:r>
      <w:r w:rsidR="008A74E9" w:rsidRPr="008A74E9">
        <w:rPr>
          <w:rFonts w:ascii="Simplified Arabic"/>
          <w:rtl/>
        </w:rPr>
        <w:t>)</w:t>
      </w:r>
    </w:p>
    <w:p w14:paraId="1DAC157C" w14:textId="1267CFCC" w:rsidR="00F90355" w:rsidRPr="00A27387" w:rsidRDefault="00F90355" w:rsidP="0055193B">
      <w:pPr>
        <w:pStyle w:val="H23GA"/>
        <w:rPr>
          <w:rFonts w:cs="Times New Roman"/>
          <w:rtl/>
          <w:lang w:val="ar-SA" w:eastAsia="zh-TW"/>
        </w:rPr>
      </w:pPr>
      <w:r w:rsidRPr="00A27387">
        <w:rPr>
          <w:rtl/>
        </w:rPr>
        <w:tab/>
      </w:r>
      <w:r w:rsidRPr="00A27387">
        <w:rPr>
          <w:rtl/>
        </w:rPr>
        <w:tab/>
        <w:t>الأطفال والمراهقون المهاجرون</w:t>
      </w:r>
    </w:p>
    <w:p w14:paraId="6DC0F6B5" w14:textId="17190282" w:rsidR="00F90355" w:rsidRPr="00A27387" w:rsidRDefault="00F90355" w:rsidP="0055193B">
      <w:pPr>
        <w:pStyle w:val="SingleTxtGA"/>
        <w:rPr>
          <w:rFonts w:cs="Times New Roman"/>
          <w:rtl/>
          <w:lang w:val="ar-SA" w:eastAsia="zh-TW"/>
        </w:rPr>
      </w:pPr>
      <w:r w:rsidRPr="0006537E">
        <w:rPr>
          <w:rtl/>
        </w:rPr>
        <w:t>43</w:t>
      </w:r>
      <w:r w:rsidRPr="00A27387">
        <w:rPr>
          <w:rFonts w:ascii="Simplified Arabic"/>
          <w:rtl/>
        </w:rPr>
        <w:t>-</w:t>
      </w:r>
      <w:r w:rsidRPr="00A27387">
        <w:rPr>
          <w:rtl/>
        </w:rPr>
        <w:tab/>
        <w:t xml:space="preserve">تلاحظ اللجنة التدابير التي اتخذتها الدولة الطرف لحماية الأطفال والمراهقين المهاجرين وغير المصحوبين و/أو المنفصلين عن ذويهم، بما في ذلك إصدار تصاريح عبور الحدود للأطفال والمراهقين الذين يعيشون في المناطق الحدودية، ونشر بروتوكول حماية ورعاية الأطفال والمراهقين المهاجرين السلفادوريين </w:t>
      </w:r>
      <w:r w:rsidRPr="00A27387">
        <w:rPr>
          <w:rFonts w:ascii="Simplified Arabic"/>
          <w:rtl/>
        </w:rPr>
        <w:t>(</w:t>
      </w:r>
      <w:r w:rsidRPr="0006537E">
        <w:rPr>
          <w:rtl/>
        </w:rPr>
        <w:t>201</w:t>
      </w:r>
      <w:r w:rsidR="008A74E9" w:rsidRPr="008A74E9">
        <w:rPr>
          <w:rtl/>
        </w:rPr>
        <w:t>8</w:t>
      </w:r>
      <w:r w:rsidR="008A74E9" w:rsidRPr="008A74E9">
        <w:rPr>
          <w:rFonts w:ascii="Simplified Arabic"/>
          <w:rtl/>
        </w:rPr>
        <w:t>)</w:t>
      </w:r>
      <w:r w:rsidR="008A74E9" w:rsidRPr="008A74E9">
        <w:rPr>
          <w:rtl/>
        </w:rPr>
        <w:t xml:space="preserve"> </w:t>
      </w:r>
      <w:r w:rsidRPr="00A27387">
        <w:rPr>
          <w:rtl/>
        </w:rPr>
        <w:t>بدعم من المنظمة الدولية للهجرة، ووضع السياسة الوطنية ل</w:t>
      </w:r>
      <w:r>
        <w:rPr>
          <w:rtl/>
          <w:lang w:val="fr-CH"/>
        </w:rPr>
        <w:t>توفير ا</w:t>
      </w:r>
      <w:r w:rsidRPr="00A27387">
        <w:rPr>
          <w:rtl/>
        </w:rPr>
        <w:t xml:space="preserve">لحماية الشاملة للأطفال والمراهقين </w:t>
      </w:r>
      <w:r w:rsidRPr="0006537E">
        <w:rPr>
          <w:rtl/>
        </w:rPr>
        <w:t>2013</w:t>
      </w:r>
      <w:r w:rsidRPr="00A27387">
        <w:rPr>
          <w:rFonts w:ascii="Simplified Arabic"/>
          <w:rtl/>
        </w:rPr>
        <w:t>-</w:t>
      </w:r>
      <w:r w:rsidRPr="0006537E">
        <w:rPr>
          <w:rtl/>
        </w:rPr>
        <w:t>202</w:t>
      </w:r>
      <w:r w:rsidR="008A74E9" w:rsidRPr="008A74E9">
        <w:rPr>
          <w:rtl/>
        </w:rPr>
        <w:t>3</w:t>
      </w:r>
      <w:r w:rsidR="008A74E9" w:rsidRPr="008A74E9">
        <w:rPr>
          <w:rFonts w:ascii="Simplified Arabic"/>
          <w:rtl/>
        </w:rPr>
        <w:t>.</w:t>
      </w:r>
      <w:r w:rsidR="008A74E9" w:rsidRPr="008A74E9">
        <w:rPr>
          <w:rtl/>
        </w:rPr>
        <w:t xml:space="preserve"> </w:t>
      </w:r>
      <w:r w:rsidRPr="00A27387">
        <w:rPr>
          <w:rtl/>
        </w:rPr>
        <w:t>غير أن اللجنة تشعر بالقلق بشأن عدم وجود معلومات عن التدابير المتخذة لل</w:t>
      </w:r>
      <w:r>
        <w:rPr>
          <w:rtl/>
        </w:rPr>
        <w:t>تعرف على</w:t>
      </w:r>
      <w:r w:rsidRPr="00A27387">
        <w:rPr>
          <w:rtl/>
        </w:rPr>
        <w:t xml:space="preserve"> </w:t>
      </w:r>
      <w:r>
        <w:rPr>
          <w:rtl/>
        </w:rPr>
        <w:t>ا</w:t>
      </w:r>
      <w:r w:rsidRPr="00A27387">
        <w:rPr>
          <w:rtl/>
        </w:rPr>
        <w:t>لأطفال والمراهقين غير المصحوبين العابرين، ال</w:t>
      </w:r>
      <w:r>
        <w:rPr>
          <w:rtl/>
        </w:rPr>
        <w:t xml:space="preserve">ذين هم </w:t>
      </w:r>
      <w:r w:rsidRPr="00A27387">
        <w:rPr>
          <w:rtl/>
        </w:rPr>
        <w:t>معرض</w:t>
      </w:r>
      <w:r>
        <w:rPr>
          <w:rtl/>
        </w:rPr>
        <w:t>و</w:t>
      </w:r>
      <w:r w:rsidRPr="00A27387">
        <w:rPr>
          <w:rtl/>
        </w:rPr>
        <w:t>ن لخطر الوقوع ضحايا للاعتداء</w:t>
      </w:r>
      <w:r>
        <w:rPr>
          <w:rtl/>
        </w:rPr>
        <w:t>ات</w:t>
      </w:r>
      <w:r w:rsidRPr="00A27387">
        <w:rPr>
          <w:rtl/>
        </w:rPr>
        <w:t xml:space="preserve"> والانتهاكات </w:t>
      </w:r>
      <w:r>
        <w:rPr>
          <w:rtl/>
        </w:rPr>
        <w:t>في</w:t>
      </w:r>
      <w:r w:rsidRPr="00A27387">
        <w:rPr>
          <w:rtl/>
        </w:rPr>
        <w:t xml:space="preserve"> طريق الهجرة</w:t>
      </w:r>
      <w:r>
        <w:rPr>
          <w:rtl/>
        </w:rPr>
        <w:t>، وتوفير الحماية الكافية لهم</w:t>
      </w:r>
      <w:r w:rsidRPr="00A27387">
        <w:rPr>
          <w:rtl/>
        </w:rPr>
        <w:t xml:space="preserve">. </w:t>
      </w:r>
    </w:p>
    <w:p w14:paraId="1EC57498" w14:textId="4196F02C" w:rsidR="00F90355" w:rsidRPr="00FA1363" w:rsidRDefault="00F90355" w:rsidP="0055193B">
      <w:pPr>
        <w:pStyle w:val="SingleTxtGA"/>
        <w:rPr>
          <w:rFonts w:cs="Times New Roman"/>
          <w:b/>
          <w:bCs/>
          <w:rtl/>
          <w:lang w:val="ar-SA" w:eastAsia="zh-TW"/>
        </w:rPr>
      </w:pPr>
      <w:r w:rsidRPr="0006537E">
        <w:rPr>
          <w:rtl/>
        </w:rPr>
        <w:lastRenderedPageBreak/>
        <w:t>44</w:t>
      </w:r>
      <w:r w:rsidRPr="00A27387">
        <w:rPr>
          <w:rFonts w:ascii="Simplified Arabic"/>
          <w:rtl/>
        </w:rPr>
        <w:t>-</w:t>
      </w:r>
      <w:r w:rsidRPr="00A27387">
        <w:rPr>
          <w:rtl/>
        </w:rPr>
        <w:tab/>
      </w:r>
      <w:r w:rsidRPr="00FA1363">
        <w:rPr>
          <w:b/>
          <w:bCs/>
          <w:rtl/>
        </w:rPr>
        <w:t xml:space="preserve">تُذكِّر اللجنة بالتعليق العام المشترك رقم 3 للجنة/التعليق العام رقم 22 للجنة حقوق الطفل </w:t>
      </w:r>
      <w:r w:rsidRPr="00FA1363">
        <w:rPr>
          <w:rFonts w:ascii="Simplified Arabic"/>
          <w:b/>
          <w:bCs/>
          <w:rtl/>
        </w:rPr>
        <w:t>(</w:t>
      </w:r>
      <w:r w:rsidRPr="00FA1363">
        <w:rPr>
          <w:b/>
          <w:bCs/>
          <w:rtl/>
        </w:rPr>
        <w:t>2017</w:t>
      </w:r>
      <w:r w:rsidR="008A74E9" w:rsidRPr="008A74E9">
        <w:rPr>
          <w:rFonts w:ascii="Simplified Arabic"/>
          <w:b/>
          <w:bCs/>
          <w:rtl/>
        </w:rPr>
        <w:t>)</w:t>
      </w:r>
      <w:r w:rsidR="008A74E9" w:rsidRPr="008A74E9">
        <w:rPr>
          <w:b/>
          <w:bCs/>
          <w:rtl/>
        </w:rPr>
        <w:t xml:space="preserve">، </w:t>
      </w:r>
      <w:r w:rsidRPr="00FA1363">
        <w:rPr>
          <w:b/>
          <w:bCs/>
          <w:rtl/>
        </w:rPr>
        <w:t xml:space="preserve">والتعليق العام المشترك رقم 4 للجنة/التعليق العام رقم 23 للجنة حقوق الطفل </w:t>
      </w:r>
      <w:r w:rsidRPr="00FA1363">
        <w:rPr>
          <w:rFonts w:ascii="Simplified Arabic"/>
          <w:b/>
          <w:bCs/>
          <w:rtl/>
        </w:rPr>
        <w:t>(</w:t>
      </w:r>
      <w:r w:rsidRPr="00FA1363">
        <w:rPr>
          <w:b/>
          <w:bCs/>
          <w:rtl/>
        </w:rPr>
        <w:t>2017</w:t>
      </w:r>
      <w:r w:rsidR="008A74E9" w:rsidRPr="008A74E9">
        <w:rPr>
          <w:rFonts w:ascii="Simplified Arabic"/>
          <w:b/>
          <w:bCs/>
          <w:rtl/>
        </w:rPr>
        <w:t>)</w:t>
      </w:r>
      <w:r w:rsidR="008A74E9" w:rsidRPr="008A74E9">
        <w:rPr>
          <w:b/>
          <w:bCs/>
          <w:rtl/>
        </w:rPr>
        <w:t xml:space="preserve">، </w:t>
      </w:r>
      <w:r w:rsidRPr="00FA1363">
        <w:rPr>
          <w:b/>
          <w:bCs/>
          <w:rtl/>
        </w:rPr>
        <w:t>وتشجع الدولة الطرف على مواصلة جهودها الرامية إلى إيلاء الاهتمام الكافي لحالة الأطفال المهاجرين غير المصحوبين، وفقاً لمبدأ مصالح الطفل الفضلى. وعلى وجه التحديد، توصي اللجنة الدولة الطرف بما يلي</w:t>
      </w:r>
      <w:r w:rsidRPr="00FA1363">
        <w:rPr>
          <w:rFonts w:ascii="Simplified Arabic"/>
          <w:b/>
          <w:bCs/>
        </w:rPr>
        <w:t>:</w:t>
      </w:r>
      <w:r w:rsidRPr="00FA1363">
        <w:rPr>
          <w:b/>
          <w:bCs/>
          <w:rtl/>
        </w:rPr>
        <w:t xml:space="preserve"> </w:t>
      </w:r>
    </w:p>
    <w:p w14:paraId="1816A1FE" w14:textId="0096C2E3" w:rsidR="00F90355" w:rsidRPr="00FA1363" w:rsidRDefault="0055193B" w:rsidP="0055193B">
      <w:pPr>
        <w:pStyle w:val="SingleTxtGA"/>
        <w:rPr>
          <w:rFonts w:cs="Times New Roman"/>
          <w:b/>
          <w:bCs/>
          <w:rtl/>
          <w:lang w:val="ar-SA" w:eastAsia="zh-TW"/>
        </w:rPr>
      </w:pPr>
      <w:r>
        <w:rPr>
          <w:rFonts w:ascii="Simplified Arabic"/>
          <w:rtl/>
        </w:rPr>
        <w:tab/>
      </w:r>
      <w:r w:rsidR="00F90355" w:rsidRPr="00A27387">
        <w:rPr>
          <w:rFonts w:ascii="Simplified Arabic"/>
          <w:rtl/>
        </w:rPr>
        <w:t>(</w:t>
      </w:r>
      <w:r w:rsidR="00F90355" w:rsidRPr="00A27387">
        <w:rPr>
          <w:rtl/>
        </w:rPr>
        <w:t>أ)</w:t>
      </w:r>
      <w:r w:rsidR="00F90355" w:rsidRPr="00A27387">
        <w:rPr>
          <w:rtl/>
        </w:rPr>
        <w:tab/>
      </w:r>
      <w:r w:rsidR="00F90355" w:rsidRPr="00FA1363">
        <w:rPr>
          <w:b/>
          <w:bCs/>
          <w:rtl/>
        </w:rPr>
        <w:t>تعزيز تعاونها مع بلدان العبور والمقصد لضمان حصول الأطفال المهاجرين غير المصحوبين، الذين وقعوا ضحايا للجرائم، على الحماية الكافية والرعاية المتخصصة المصممة خصيصاً لتلبية الاحتياجات الخاصة لكل حالة؛</w:t>
      </w:r>
    </w:p>
    <w:p w14:paraId="37515EA5" w14:textId="72B659DD" w:rsidR="00F90355" w:rsidRPr="00FA1363" w:rsidRDefault="0055193B" w:rsidP="0055193B">
      <w:pPr>
        <w:pStyle w:val="SingleTxtGA"/>
        <w:rPr>
          <w:rFonts w:cs="Times New Roman"/>
          <w:b/>
          <w:bCs/>
          <w:rtl/>
          <w:lang w:val="ar-SA" w:eastAsia="zh-TW"/>
        </w:rPr>
      </w:pPr>
      <w:r>
        <w:rPr>
          <w:rFonts w:ascii="Simplified Arabic"/>
          <w:rtl/>
        </w:rPr>
        <w:tab/>
      </w:r>
      <w:r w:rsidR="00F90355" w:rsidRPr="00A27387">
        <w:rPr>
          <w:rFonts w:ascii="Simplified Arabic"/>
          <w:rtl/>
        </w:rPr>
        <w:t>(</w:t>
      </w:r>
      <w:r w:rsidR="00F90355" w:rsidRPr="00A27387">
        <w:rPr>
          <w:rtl/>
        </w:rPr>
        <w:t>ب)</w:t>
      </w:r>
      <w:r w:rsidR="00F90355" w:rsidRPr="00FA1363">
        <w:rPr>
          <w:b/>
          <w:bCs/>
          <w:rtl/>
        </w:rPr>
        <w:tab/>
        <w:t>تعزيز تعاونها مع بلدان العبور والمقصد لضمان عدم احتجاز الأطفال المهاجرين غير المصحوبين بسبب دخولهم غير الشرعي إلى بلدان العبور و/أو بلدان المقصد، دون استثناء، وعدم فصل القُصّر المصحوبين بأسرهم عن تلك الأسر، وإيواء الأسر، عند الضرورة، في مراكز حماية</w:t>
      </w:r>
      <w:r w:rsidR="00485773">
        <w:rPr>
          <w:rFonts w:hint="cs"/>
          <w:b/>
          <w:bCs/>
          <w:rtl/>
        </w:rPr>
        <w:t> </w:t>
      </w:r>
      <w:r w:rsidR="00F90355" w:rsidRPr="00FA1363">
        <w:rPr>
          <w:b/>
          <w:bCs/>
          <w:rtl/>
        </w:rPr>
        <w:t xml:space="preserve">الحقوق؛ </w:t>
      </w:r>
    </w:p>
    <w:p w14:paraId="47A8C3D2" w14:textId="6CB2134C" w:rsidR="00F90355" w:rsidRPr="00FA1363" w:rsidRDefault="0055193B" w:rsidP="0055193B">
      <w:pPr>
        <w:pStyle w:val="SingleTxtGA"/>
        <w:rPr>
          <w:rFonts w:cs="Times New Roman"/>
          <w:b/>
          <w:bCs/>
          <w:rtl/>
          <w:lang w:val="ar-SA" w:eastAsia="zh-TW"/>
        </w:rPr>
      </w:pPr>
      <w:r>
        <w:rPr>
          <w:rFonts w:ascii="Simplified Arabic"/>
          <w:rtl/>
        </w:rPr>
        <w:tab/>
      </w:r>
      <w:r w:rsidR="00F90355" w:rsidRPr="00A27387">
        <w:rPr>
          <w:rFonts w:ascii="Simplified Arabic"/>
          <w:rtl/>
        </w:rPr>
        <w:t>(</w:t>
      </w:r>
      <w:r w:rsidR="00F90355" w:rsidRPr="00A27387">
        <w:rPr>
          <w:rtl/>
        </w:rPr>
        <w:t>ج)</w:t>
      </w:r>
      <w:r w:rsidR="00F90355" w:rsidRPr="00A27387">
        <w:rPr>
          <w:rtl/>
        </w:rPr>
        <w:tab/>
      </w:r>
      <w:r w:rsidR="00F90355" w:rsidRPr="00FA1363">
        <w:rPr>
          <w:b/>
          <w:bCs/>
          <w:rtl/>
        </w:rPr>
        <w:t>تعزيز تعاونها مع بلدان العبور والمقصد بحيث لا يعاد القُصّر غير المصحوبين إلى الدولة الطرف إلا في الحالات التي يكون فيها ذلك في مصلحة الطفل الفضلى، وبعد التأكد من وجود ترتيبات آمنة وفعالة للدعم والحضانة عند العودة، في إطار إجراء تتوفر فيه الضمانات الواجبة.</w:t>
      </w:r>
    </w:p>
    <w:p w14:paraId="306D2E00" w14:textId="77777777" w:rsidR="00F90355" w:rsidRPr="00A27387" w:rsidRDefault="00F90355" w:rsidP="0055193B">
      <w:pPr>
        <w:pStyle w:val="H23GA"/>
        <w:rPr>
          <w:rFonts w:cs="Times New Roman"/>
          <w:rtl/>
          <w:lang w:val="ar-SA" w:eastAsia="zh-TW"/>
        </w:rPr>
      </w:pPr>
      <w:r w:rsidRPr="00A27387">
        <w:rPr>
          <w:rtl/>
        </w:rPr>
        <w:tab/>
      </w:r>
      <w:r w:rsidRPr="00A27387">
        <w:rPr>
          <w:rtl/>
        </w:rPr>
        <w:tab/>
        <w:t>العودة وإعادة الإدماج</w:t>
      </w:r>
    </w:p>
    <w:p w14:paraId="678A8040" w14:textId="3CBBF673" w:rsidR="00F90355" w:rsidRPr="00A27387" w:rsidRDefault="00F90355" w:rsidP="0055193B">
      <w:pPr>
        <w:pStyle w:val="SingleTxtGA"/>
        <w:rPr>
          <w:rFonts w:cs="Times New Roman"/>
          <w:rtl/>
          <w:lang w:val="ar-SA" w:eastAsia="zh-TW"/>
        </w:rPr>
      </w:pPr>
      <w:r w:rsidRPr="0006537E">
        <w:rPr>
          <w:rtl/>
        </w:rPr>
        <w:t>45</w:t>
      </w:r>
      <w:r w:rsidRPr="00A27387">
        <w:rPr>
          <w:rFonts w:ascii="Simplified Arabic"/>
          <w:rtl/>
        </w:rPr>
        <w:t>-</w:t>
      </w:r>
      <w:r w:rsidRPr="00A27387">
        <w:rPr>
          <w:rtl/>
        </w:rPr>
        <w:tab/>
        <w:t xml:space="preserve">ترحب اللجنة بخطة كوسكاتلان وهدفها الاستراتيجي </w:t>
      </w:r>
      <w:r w:rsidRPr="0006537E">
        <w:rPr>
          <w:rtl/>
        </w:rPr>
        <w:t>3</w:t>
      </w:r>
      <w:r w:rsidRPr="00A27387">
        <w:rPr>
          <w:rFonts w:ascii="Simplified Arabic"/>
          <w:rtl/>
        </w:rPr>
        <w:t>-</w:t>
      </w:r>
      <w:r w:rsidRPr="0006537E">
        <w:rPr>
          <w:rtl/>
        </w:rPr>
        <w:t>1</w:t>
      </w:r>
      <w:r w:rsidRPr="00A27387">
        <w:rPr>
          <w:rFonts w:ascii="Simplified Arabic"/>
          <w:rtl/>
        </w:rPr>
        <w:t xml:space="preserve"> (</w:t>
      </w:r>
      <w:r w:rsidRPr="00A27387">
        <w:rPr>
          <w:rtl/>
        </w:rPr>
        <w:t>تعزيز القدرة على مساعدة المهاجرين السلفادوريين و</w:t>
      </w:r>
      <w:r>
        <w:rPr>
          <w:rtl/>
        </w:rPr>
        <w:t xml:space="preserve">تحسين </w:t>
      </w:r>
      <w:r w:rsidRPr="00A27387">
        <w:rPr>
          <w:rtl/>
        </w:rPr>
        <w:t>نوعية المساعدة</w:t>
      </w:r>
      <w:r w:rsidR="008A74E9" w:rsidRPr="008A74E9">
        <w:rPr>
          <w:rFonts w:ascii="Simplified Arabic"/>
          <w:rtl/>
        </w:rPr>
        <w:t>)</w:t>
      </w:r>
      <w:r w:rsidR="008A74E9" w:rsidRPr="008A74E9">
        <w:rPr>
          <w:rtl/>
        </w:rPr>
        <w:t xml:space="preserve">، </w:t>
      </w:r>
      <w:r w:rsidRPr="00A27387">
        <w:rPr>
          <w:rtl/>
        </w:rPr>
        <w:t>وإنشاء مكتب دعم المهاجرين، وتنفيذ برنامج "مرحباً بك في وطنك"، وبرنامج دعم العائدين وإعادة إدماجهم، ووضع بروتوكول لمساعدة</w:t>
      </w:r>
      <w:r>
        <w:rPr>
          <w:rtl/>
        </w:rPr>
        <w:t xml:space="preserve"> النساء</w:t>
      </w:r>
      <w:r w:rsidRPr="00A27387">
        <w:rPr>
          <w:rtl/>
        </w:rPr>
        <w:t xml:space="preserve"> العائدات. غير أن اللجنة تشعر بالقلق بشأن عدم وجود معلومات مفصّلة عن أثر هذه البرامج من حيث إعادة إدماج العائدين</w:t>
      </w:r>
      <w:r>
        <w:rPr>
          <w:rtl/>
        </w:rPr>
        <w:t xml:space="preserve"> في الحيا</w:t>
      </w:r>
      <w:r w:rsidR="00EA233F">
        <w:rPr>
          <w:rFonts w:hint="cs"/>
          <w:rtl/>
        </w:rPr>
        <w:t>ة</w:t>
      </w:r>
      <w:r w:rsidRPr="00A27387">
        <w:rPr>
          <w:rtl/>
        </w:rPr>
        <w:t xml:space="preserve"> </w:t>
      </w:r>
      <w:r>
        <w:rPr>
          <w:rtl/>
        </w:rPr>
        <w:t>ال</w:t>
      </w:r>
      <w:r w:rsidRPr="00A27387">
        <w:rPr>
          <w:rtl/>
        </w:rPr>
        <w:t>اقتصادي</w:t>
      </w:r>
      <w:r>
        <w:rPr>
          <w:rtl/>
        </w:rPr>
        <w:t>ة</w:t>
      </w:r>
      <w:r w:rsidRPr="00A27387">
        <w:rPr>
          <w:rtl/>
        </w:rPr>
        <w:t xml:space="preserve"> و</w:t>
      </w:r>
      <w:r>
        <w:rPr>
          <w:rtl/>
        </w:rPr>
        <w:t>ال</w:t>
      </w:r>
      <w:r w:rsidRPr="00A27387">
        <w:rPr>
          <w:rtl/>
        </w:rPr>
        <w:t>اجتماعي</w:t>
      </w:r>
      <w:r>
        <w:rPr>
          <w:rtl/>
        </w:rPr>
        <w:t>ة</w:t>
      </w:r>
      <w:r w:rsidRPr="00A27387">
        <w:rPr>
          <w:rtl/>
        </w:rPr>
        <w:t xml:space="preserve"> و</w:t>
      </w:r>
      <w:r>
        <w:rPr>
          <w:rtl/>
        </w:rPr>
        <w:t>ال</w:t>
      </w:r>
      <w:r w:rsidRPr="00A27387">
        <w:rPr>
          <w:rtl/>
        </w:rPr>
        <w:t>ثقافي</w:t>
      </w:r>
      <w:r>
        <w:rPr>
          <w:rtl/>
        </w:rPr>
        <w:t>ة</w:t>
      </w:r>
      <w:r w:rsidRPr="00A27387">
        <w:rPr>
          <w:rtl/>
        </w:rPr>
        <w:t xml:space="preserve"> و</w:t>
      </w:r>
      <w:r>
        <w:rPr>
          <w:rtl/>
        </w:rPr>
        <w:t xml:space="preserve">تفادي </w:t>
      </w:r>
      <w:r w:rsidRPr="00A27387">
        <w:rPr>
          <w:rtl/>
        </w:rPr>
        <w:t>هجر</w:t>
      </w:r>
      <w:r>
        <w:rPr>
          <w:rtl/>
        </w:rPr>
        <w:t>تهم</w:t>
      </w:r>
      <w:r w:rsidRPr="00A27387">
        <w:rPr>
          <w:rtl/>
        </w:rPr>
        <w:t xml:space="preserve"> مرة أخرى.</w:t>
      </w:r>
    </w:p>
    <w:p w14:paraId="476717AD" w14:textId="77777777" w:rsidR="00F90355" w:rsidRPr="00FA1363" w:rsidRDefault="00F90355" w:rsidP="0055193B">
      <w:pPr>
        <w:pStyle w:val="SingleTxtGA"/>
        <w:rPr>
          <w:rFonts w:cs="Times New Roman"/>
          <w:b/>
          <w:bCs/>
          <w:rtl/>
          <w:lang w:val="ar-SA" w:eastAsia="zh-TW"/>
        </w:rPr>
      </w:pPr>
      <w:r w:rsidRPr="0006537E">
        <w:rPr>
          <w:rtl/>
        </w:rPr>
        <w:t>46</w:t>
      </w:r>
      <w:r w:rsidRPr="00A27387">
        <w:rPr>
          <w:rFonts w:ascii="Simplified Arabic"/>
          <w:rtl/>
        </w:rPr>
        <w:t>-</w:t>
      </w:r>
      <w:r w:rsidRPr="00A27387">
        <w:rPr>
          <w:rtl/>
        </w:rPr>
        <w:tab/>
      </w:r>
      <w:r w:rsidRPr="00FA1363">
        <w:rPr>
          <w:b/>
          <w:bCs/>
          <w:rtl/>
        </w:rPr>
        <w:t>توصي اللجنة الدولة الطرف بأن تكثف، وفقاً للمادة 67 من الاتفاقية والغاية 10</w:t>
      </w:r>
      <w:r w:rsidRPr="00FA1363">
        <w:rPr>
          <w:rFonts w:ascii="Simplified Arabic"/>
          <w:b/>
          <w:bCs/>
          <w:rtl/>
        </w:rPr>
        <w:t>-</w:t>
      </w:r>
      <w:r w:rsidRPr="00FA1363">
        <w:rPr>
          <w:b/>
          <w:bCs/>
          <w:rtl/>
        </w:rPr>
        <w:t>7 من أهداف التنمية المستدامة، جهودها الرامية إلى تعديل برامج دعم العمال المهاجرين السلفادوريين العائدين لمواءمتها مع مبادئ الاتفاقية، لا سيما بهدف مساعدة المهاجرين العائدين على إعادة إدماجهم في المدى الطويل في النسيج الاقتصادي والاجتماعي والثقافي للسلفادور.</w:t>
      </w:r>
    </w:p>
    <w:p w14:paraId="59042E6C" w14:textId="77777777" w:rsidR="00F90355" w:rsidRPr="00A27387" w:rsidRDefault="00F90355" w:rsidP="0055193B">
      <w:pPr>
        <w:pStyle w:val="H23GA"/>
        <w:rPr>
          <w:rFonts w:cs="Times New Roman"/>
          <w:rtl/>
          <w:lang w:val="ar-SA" w:eastAsia="zh-TW"/>
        </w:rPr>
      </w:pPr>
      <w:r w:rsidRPr="00A27387">
        <w:rPr>
          <w:rtl/>
        </w:rPr>
        <w:tab/>
      </w:r>
      <w:r w:rsidRPr="00A27387">
        <w:rPr>
          <w:rtl/>
        </w:rPr>
        <w:tab/>
        <w:t>الاتجار با</w:t>
      </w:r>
      <w:r>
        <w:rPr>
          <w:rtl/>
        </w:rPr>
        <w:t>لبشر</w:t>
      </w:r>
    </w:p>
    <w:p w14:paraId="1075D8A1" w14:textId="2D2D5341" w:rsidR="00F90355" w:rsidRPr="00A27387" w:rsidRDefault="00F90355" w:rsidP="0055193B">
      <w:pPr>
        <w:pStyle w:val="SingleTxtGA"/>
        <w:rPr>
          <w:rFonts w:cs="Times New Roman"/>
          <w:rtl/>
          <w:lang w:val="ar-SA" w:eastAsia="zh-TW"/>
        </w:rPr>
      </w:pPr>
      <w:r w:rsidRPr="0006537E">
        <w:rPr>
          <w:rtl/>
        </w:rPr>
        <w:t>47</w:t>
      </w:r>
      <w:r w:rsidRPr="00A27387">
        <w:rPr>
          <w:rFonts w:ascii="Simplified Arabic"/>
          <w:rtl/>
        </w:rPr>
        <w:t>-</w:t>
      </w:r>
      <w:r w:rsidRPr="00A27387">
        <w:rPr>
          <w:rtl/>
        </w:rPr>
        <w:tab/>
        <w:t xml:space="preserve">تحيط اللجنة علماً بالقانون الخاص لمكافحة الاتجار بالأشخاص </w:t>
      </w:r>
      <w:r w:rsidRPr="00A27387">
        <w:rPr>
          <w:rFonts w:ascii="Simplified Arabic"/>
          <w:rtl/>
        </w:rPr>
        <w:t>(</w:t>
      </w:r>
      <w:r w:rsidRPr="0006537E">
        <w:rPr>
          <w:rtl/>
        </w:rPr>
        <w:t>2015</w:t>
      </w:r>
      <w:r w:rsidR="008A74E9" w:rsidRPr="008A74E9">
        <w:rPr>
          <w:rFonts w:ascii="Simplified Arabic"/>
          <w:rtl/>
        </w:rPr>
        <w:t>)</w:t>
      </w:r>
      <w:r w:rsidR="008A74E9" w:rsidRPr="008A74E9">
        <w:rPr>
          <w:rtl/>
        </w:rPr>
        <w:t xml:space="preserve">، </w:t>
      </w:r>
      <w:r w:rsidRPr="00A27387">
        <w:rPr>
          <w:rtl/>
        </w:rPr>
        <w:t>و</w:t>
      </w:r>
      <w:r>
        <w:rPr>
          <w:rtl/>
        </w:rPr>
        <w:t xml:space="preserve">بعمل </w:t>
      </w:r>
      <w:r w:rsidRPr="00A27387">
        <w:rPr>
          <w:rtl/>
        </w:rPr>
        <w:t xml:space="preserve">المجلس الوطني لمكافحة الاتجار بالأشخاص، الذي يضع السياسة الوطنية بشأن الاتجار بالأشخاص، ويطلق خطة العمل الوطنية. غير أن اللجنة تشعر بالقلق بشأن الثغرات الموجودة في النظام، </w:t>
      </w:r>
      <w:r>
        <w:rPr>
          <w:rtl/>
        </w:rPr>
        <w:t xml:space="preserve">فيما يتعلق بأمور منها </w:t>
      </w:r>
      <w:r w:rsidRPr="00A27387">
        <w:rPr>
          <w:rtl/>
        </w:rPr>
        <w:t>تدريب الموظفين، و</w:t>
      </w:r>
      <w:r>
        <w:rPr>
          <w:rtl/>
        </w:rPr>
        <w:t>التعرف على</w:t>
      </w:r>
      <w:r w:rsidRPr="00A27387">
        <w:rPr>
          <w:rtl/>
        </w:rPr>
        <w:t xml:space="preserve"> الضحايا وحمايتهم، ومقاضاة المت</w:t>
      </w:r>
      <w:r>
        <w:rPr>
          <w:rtl/>
        </w:rPr>
        <w:t>ّ</w:t>
      </w:r>
      <w:r w:rsidRPr="00A27387">
        <w:rPr>
          <w:rtl/>
        </w:rPr>
        <w:t>جرين، والوصول إلى نظام العدالة. ويساورها القلق أيضاً بشأن الافتقار إلى الموارد التقنية والمالية اللازمة لتنفيذ الأنظمة والحملات القائمة لمكافحة الاتجار، مثل حملة القلب الأزرق لمكافحة الاتجار بالبشر.</w:t>
      </w:r>
    </w:p>
    <w:p w14:paraId="1404417A" w14:textId="77777777" w:rsidR="00F90355" w:rsidRPr="00CD4A6A" w:rsidRDefault="00F90355" w:rsidP="0055193B">
      <w:pPr>
        <w:pStyle w:val="SingleTxtGA"/>
        <w:rPr>
          <w:rFonts w:cs="Times New Roman"/>
          <w:b/>
          <w:bCs/>
          <w:rtl/>
          <w:lang w:val="ar-SA" w:eastAsia="zh-TW"/>
        </w:rPr>
      </w:pPr>
      <w:r w:rsidRPr="0006537E">
        <w:rPr>
          <w:rtl/>
        </w:rPr>
        <w:t>48</w:t>
      </w:r>
      <w:r w:rsidRPr="00A27387">
        <w:rPr>
          <w:rFonts w:ascii="Simplified Arabic"/>
          <w:rtl/>
        </w:rPr>
        <w:t>-</w:t>
      </w:r>
      <w:r w:rsidRPr="00A27387">
        <w:rPr>
          <w:rtl/>
        </w:rPr>
        <w:tab/>
      </w:r>
      <w:r w:rsidRPr="00CD4A6A">
        <w:rPr>
          <w:b/>
          <w:bCs/>
          <w:rtl/>
        </w:rPr>
        <w:t>وفقاً لأحكام الاتفاقية ولمبادئ المفوضية السامية لحقوق الإنسان ومبادئها التوجيهية الموصى بها فيما يتعلق بحقوق الإنسان والاتجار بالأشخاص، توصي اللجنة الدولة الطرف بما يلي:</w:t>
      </w:r>
    </w:p>
    <w:p w14:paraId="0250A683" w14:textId="069B460F" w:rsidR="00F90355" w:rsidRPr="00CD4A6A" w:rsidRDefault="0055193B" w:rsidP="0055193B">
      <w:pPr>
        <w:pStyle w:val="SingleTxtGA"/>
        <w:rPr>
          <w:rFonts w:cs="Times New Roman"/>
          <w:b/>
          <w:bCs/>
          <w:rtl/>
          <w:lang w:val="ar-SA" w:eastAsia="zh-TW"/>
        </w:rPr>
      </w:pPr>
      <w:r>
        <w:rPr>
          <w:rFonts w:ascii="Simplified Arabic"/>
          <w:rtl/>
        </w:rPr>
        <w:lastRenderedPageBreak/>
        <w:tab/>
      </w:r>
      <w:r w:rsidR="00F90355" w:rsidRPr="00A27387">
        <w:rPr>
          <w:rFonts w:ascii="Simplified Arabic"/>
          <w:rtl/>
        </w:rPr>
        <w:t>(</w:t>
      </w:r>
      <w:r w:rsidR="00F90355" w:rsidRPr="00A27387">
        <w:rPr>
          <w:rtl/>
        </w:rPr>
        <w:t>أ)</w:t>
      </w:r>
      <w:r w:rsidR="00F90355" w:rsidRPr="00A27387">
        <w:rPr>
          <w:rtl/>
        </w:rPr>
        <w:tab/>
      </w:r>
      <w:r w:rsidR="00F90355" w:rsidRPr="00CD4A6A">
        <w:rPr>
          <w:b/>
          <w:bCs/>
          <w:rtl/>
        </w:rPr>
        <w:t>توسيع نطاق الخدمات المتخصصة المقدمة إلى ضحايا الاتجار، بما في ذلك الملاجئ؛</w:t>
      </w:r>
    </w:p>
    <w:p w14:paraId="6B10A41D" w14:textId="0DDB577D" w:rsidR="00F90355" w:rsidRPr="00C46D3E" w:rsidRDefault="0055193B" w:rsidP="0055193B">
      <w:pPr>
        <w:pStyle w:val="SingleTxtGA"/>
        <w:rPr>
          <w:rFonts w:cs="Times New Roman"/>
          <w:b/>
          <w:bCs/>
          <w:rtl/>
          <w:lang w:val="ar-SA" w:eastAsia="zh-TW"/>
        </w:rPr>
      </w:pPr>
      <w:r>
        <w:rPr>
          <w:rFonts w:ascii="Simplified Arabic"/>
          <w:rtl/>
        </w:rPr>
        <w:tab/>
      </w:r>
      <w:r w:rsidR="00F90355" w:rsidRPr="00A27387">
        <w:rPr>
          <w:rFonts w:ascii="Simplified Arabic"/>
          <w:rtl/>
        </w:rPr>
        <w:t>(</w:t>
      </w:r>
      <w:r w:rsidR="00F90355" w:rsidRPr="00A27387">
        <w:rPr>
          <w:rtl/>
        </w:rPr>
        <w:t>ب)</w:t>
      </w:r>
      <w:r w:rsidR="00F90355" w:rsidRPr="00A27387">
        <w:rPr>
          <w:rtl/>
        </w:rPr>
        <w:tab/>
      </w:r>
      <w:r w:rsidR="00F90355" w:rsidRPr="00C46D3E">
        <w:rPr>
          <w:b/>
          <w:bCs/>
          <w:rtl/>
        </w:rPr>
        <w:t xml:space="preserve">وضع وتنفيذ إجراءات للتعرف على الضحايا المنتمين إلى الفئات الضعيفة، مثل المشتغلين بتجارة الجنس، والأطفال المحتجزين بسبب أنشطة غير قانونية ذات صلة بالعصابات، والمهاجرين غير الشرعيين العائدين، وإحالتهم إلى مقدمي الخدمات للحصول على المساعدة؛ </w:t>
      </w:r>
    </w:p>
    <w:p w14:paraId="7874D309" w14:textId="32B80611" w:rsidR="00F90355" w:rsidRPr="00C46D3E" w:rsidRDefault="0055193B" w:rsidP="0055193B">
      <w:pPr>
        <w:pStyle w:val="SingleTxtGA"/>
        <w:rPr>
          <w:rFonts w:cs="Times New Roman"/>
          <w:b/>
          <w:bCs/>
          <w:rtl/>
          <w:lang w:val="ar-SA" w:eastAsia="zh-TW"/>
        </w:rPr>
      </w:pPr>
      <w:r>
        <w:rPr>
          <w:rFonts w:ascii="Simplified Arabic"/>
          <w:rtl/>
        </w:rPr>
        <w:tab/>
      </w:r>
      <w:r w:rsidR="00F90355" w:rsidRPr="00A27387">
        <w:rPr>
          <w:rFonts w:ascii="Simplified Arabic"/>
          <w:rtl/>
        </w:rPr>
        <w:t>(</w:t>
      </w:r>
      <w:r w:rsidR="00F90355" w:rsidRPr="00A27387">
        <w:rPr>
          <w:rtl/>
        </w:rPr>
        <w:t>ج)</w:t>
      </w:r>
      <w:r w:rsidR="00F90355" w:rsidRPr="00A27387">
        <w:rPr>
          <w:rtl/>
        </w:rPr>
        <w:tab/>
      </w:r>
      <w:r w:rsidR="00F90355" w:rsidRPr="00C46D3E">
        <w:rPr>
          <w:b/>
          <w:bCs/>
          <w:rtl/>
        </w:rPr>
        <w:t>زيادة تدريب أفراد الشرطة والمدّعين العامين والقضاة على مكافحة الاتجار وإضفاء الطابع المؤسسي على ذلك التدريب، والتركيز على تطبيق إجراءات محورها الضحايا؛</w:t>
      </w:r>
    </w:p>
    <w:p w14:paraId="34D103C5" w14:textId="58CD81BB" w:rsidR="00F90355" w:rsidRPr="00C46D3E" w:rsidRDefault="0055193B" w:rsidP="0055193B">
      <w:pPr>
        <w:pStyle w:val="SingleTxtGA"/>
        <w:rPr>
          <w:rFonts w:cs="Times New Roman"/>
          <w:b/>
          <w:bCs/>
          <w:rtl/>
          <w:lang w:val="ar-SA" w:eastAsia="zh-TW"/>
        </w:rPr>
      </w:pPr>
      <w:r>
        <w:rPr>
          <w:rFonts w:ascii="Simplified Arabic"/>
          <w:rtl/>
        </w:rPr>
        <w:tab/>
      </w:r>
      <w:r w:rsidR="00F90355" w:rsidRPr="00A27387">
        <w:rPr>
          <w:rFonts w:ascii="Simplified Arabic"/>
          <w:rtl/>
        </w:rPr>
        <w:t>(</w:t>
      </w:r>
      <w:r w:rsidR="00F90355" w:rsidRPr="00A27387">
        <w:rPr>
          <w:rtl/>
        </w:rPr>
        <w:t>د)</w:t>
      </w:r>
      <w:r w:rsidR="00F90355" w:rsidRPr="00A27387">
        <w:rPr>
          <w:rtl/>
        </w:rPr>
        <w:tab/>
      </w:r>
      <w:r w:rsidR="00F90355" w:rsidRPr="00C46D3E">
        <w:rPr>
          <w:b/>
          <w:bCs/>
          <w:rtl/>
        </w:rPr>
        <w:t>مضاعفة الجهود الرامية إلى التحقيق مع المتّجرين ومقاضاتهم وإدانتهم، بمن فيهم المسؤولون المتواطئون، وتوفير سبل الانتصاف للضحايا؛</w:t>
      </w:r>
    </w:p>
    <w:p w14:paraId="518A6E03" w14:textId="5EF6CEAE" w:rsidR="00F90355" w:rsidRPr="00C46D3E" w:rsidRDefault="0055193B" w:rsidP="0055193B">
      <w:pPr>
        <w:pStyle w:val="SingleTxtGA"/>
        <w:rPr>
          <w:rFonts w:cs="Times New Roman"/>
          <w:b/>
          <w:bCs/>
          <w:rtl/>
          <w:lang w:val="ar-SA" w:eastAsia="zh-TW"/>
        </w:rPr>
      </w:pPr>
      <w:r>
        <w:rPr>
          <w:rFonts w:ascii="Simplified Arabic"/>
          <w:rtl/>
        </w:rPr>
        <w:tab/>
      </w:r>
      <w:r w:rsidR="00F90355" w:rsidRPr="00A27387">
        <w:rPr>
          <w:rFonts w:ascii="Simplified Arabic"/>
          <w:rtl/>
        </w:rPr>
        <w:t>(</w:t>
      </w:r>
      <w:r w:rsidR="00F90355" w:rsidRPr="00A27387">
        <w:rPr>
          <w:rtl/>
        </w:rPr>
        <w:t>هـ)</w:t>
      </w:r>
      <w:r w:rsidR="00F90355" w:rsidRPr="00A27387">
        <w:rPr>
          <w:rtl/>
        </w:rPr>
        <w:tab/>
      </w:r>
      <w:r w:rsidR="00F90355" w:rsidRPr="00C46D3E">
        <w:rPr>
          <w:b/>
          <w:bCs/>
          <w:rtl/>
        </w:rPr>
        <w:t>توفير خدمات إعادة الإدماج التي تسهم في رفاه الضحايا في المدى الطويل، وتمديد خدمات حماية الشهود إلى ما بعد فترة المحاكمة، لا سيما للضحايا الذين يدلون بشهاداتهم ضد عناصر جماعات الجريمة المنظمة؛</w:t>
      </w:r>
    </w:p>
    <w:p w14:paraId="46AB53F0" w14:textId="3D63CAB1" w:rsidR="00F90355" w:rsidRPr="00C46D3E" w:rsidRDefault="0055193B" w:rsidP="0055193B">
      <w:pPr>
        <w:pStyle w:val="SingleTxtGA"/>
        <w:rPr>
          <w:rFonts w:cs="Times New Roman"/>
          <w:b/>
          <w:bCs/>
          <w:rtl/>
          <w:lang w:val="ar-SA" w:eastAsia="zh-TW"/>
        </w:rPr>
      </w:pPr>
      <w:r>
        <w:rPr>
          <w:rFonts w:ascii="Simplified Arabic"/>
          <w:rtl/>
        </w:rPr>
        <w:tab/>
      </w:r>
      <w:r w:rsidR="00F90355" w:rsidRPr="00A27387">
        <w:rPr>
          <w:rFonts w:ascii="Simplified Arabic"/>
          <w:rtl/>
        </w:rPr>
        <w:t>(</w:t>
      </w:r>
      <w:r w:rsidR="00F90355" w:rsidRPr="00A27387">
        <w:rPr>
          <w:rtl/>
        </w:rPr>
        <w:t>و)</w:t>
      </w:r>
      <w:r w:rsidR="00F90355" w:rsidRPr="00A27387">
        <w:rPr>
          <w:rtl/>
        </w:rPr>
        <w:tab/>
      </w:r>
      <w:r w:rsidR="00F90355" w:rsidRPr="00C46D3E">
        <w:rPr>
          <w:b/>
          <w:bCs/>
          <w:rtl/>
        </w:rPr>
        <w:t>تعديل القانون الخاص لمكافحة الاتجار بالأشخاص ليشمل تعريفاً للاتجار بالأشخاص يتماشى مع الاتفاقية والقانون الدولي؛</w:t>
      </w:r>
    </w:p>
    <w:p w14:paraId="35BFF8C7" w14:textId="6724C2F9" w:rsidR="00F90355" w:rsidRPr="00C46D3E" w:rsidRDefault="0055193B" w:rsidP="0055193B">
      <w:pPr>
        <w:pStyle w:val="SingleTxtGA"/>
        <w:rPr>
          <w:rFonts w:cs="Times New Roman"/>
          <w:b/>
          <w:bCs/>
          <w:rtl/>
          <w:lang w:val="ar-SA" w:eastAsia="zh-TW"/>
        </w:rPr>
      </w:pPr>
      <w:r>
        <w:rPr>
          <w:rFonts w:ascii="Simplified Arabic"/>
          <w:rtl/>
        </w:rPr>
        <w:tab/>
      </w:r>
      <w:r w:rsidR="00F90355" w:rsidRPr="00A27387">
        <w:rPr>
          <w:rFonts w:ascii="Simplified Arabic"/>
          <w:rtl/>
        </w:rPr>
        <w:t>(</w:t>
      </w:r>
      <w:r w:rsidR="00F90355" w:rsidRPr="00A27387">
        <w:rPr>
          <w:rtl/>
        </w:rPr>
        <w:t>ز)</w:t>
      </w:r>
      <w:r w:rsidR="00F90355" w:rsidRPr="00A27387">
        <w:rPr>
          <w:rtl/>
        </w:rPr>
        <w:tab/>
      </w:r>
      <w:r w:rsidR="00F90355" w:rsidRPr="00C46D3E">
        <w:rPr>
          <w:b/>
          <w:bCs/>
          <w:rtl/>
        </w:rPr>
        <w:t>توليد وتخصيص الموارد لخطة العمل الوطنية والحملات القائمة لمكافحة الاتجار</w:t>
      </w:r>
      <w:r w:rsidR="00485773">
        <w:rPr>
          <w:rFonts w:hint="cs"/>
          <w:b/>
          <w:bCs/>
          <w:rtl/>
        </w:rPr>
        <w:t> </w:t>
      </w:r>
      <w:r w:rsidR="00F90355" w:rsidRPr="00C46D3E">
        <w:rPr>
          <w:b/>
          <w:bCs/>
          <w:rtl/>
        </w:rPr>
        <w:t xml:space="preserve">بالبشر؛ </w:t>
      </w:r>
    </w:p>
    <w:p w14:paraId="20B7B4EC" w14:textId="4BF72588" w:rsidR="00F90355" w:rsidRPr="00C46D3E" w:rsidRDefault="0055193B" w:rsidP="0055193B">
      <w:pPr>
        <w:pStyle w:val="SingleTxtGA"/>
        <w:rPr>
          <w:rFonts w:cs="Times New Roman"/>
          <w:b/>
          <w:bCs/>
          <w:rtl/>
          <w:lang w:val="ar-SA" w:eastAsia="zh-TW"/>
        </w:rPr>
      </w:pPr>
      <w:r>
        <w:rPr>
          <w:rFonts w:ascii="Simplified Arabic"/>
          <w:rtl/>
        </w:rPr>
        <w:tab/>
      </w:r>
      <w:r w:rsidR="00F90355" w:rsidRPr="00A27387">
        <w:rPr>
          <w:rFonts w:ascii="Simplified Arabic"/>
          <w:rtl/>
        </w:rPr>
        <w:t>(</w:t>
      </w:r>
      <w:r w:rsidR="00F90355" w:rsidRPr="00A27387">
        <w:rPr>
          <w:rtl/>
        </w:rPr>
        <w:t>ح)</w:t>
      </w:r>
      <w:r w:rsidR="00F90355" w:rsidRPr="00A27387">
        <w:rPr>
          <w:rtl/>
        </w:rPr>
        <w:tab/>
      </w:r>
      <w:r w:rsidR="00F90355" w:rsidRPr="00C46D3E">
        <w:rPr>
          <w:b/>
          <w:bCs/>
          <w:rtl/>
        </w:rPr>
        <w:t>توسيع نطاق تدابير الوقاية، بوسائل منها التوعية بالتوظيف الاحتيالي للعمالة داخل الدولة الطرف وخارجها، وإنفاذ القوانين التي تتصدى لممارسات العمل غير القانونية التي تسهل</w:t>
      </w:r>
      <w:r w:rsidR="00485773">
        <w:rPr>
          <w:rFonts w:hint="cs"/>
          <w:b/>
          <w:bCs/>
          <w:rtl/>
        </w:rPr>
        <w:t> </w:t>
      </w:r>
      <w:r w:rsidR="00F90355" w:rsidRPr="00C46D3E">
        <w:rPr>
          <w:b/>
          <w:bCs/>
          <w:rtl/>
        </w:rPr>
        <w:t xml:space="preserve">الاتجار. </w:t>
      </w:r>
    </w:p>
    <w:p w14:paraId="42A49847" w14:textId="77777777" w:rsidR="00F90355" w:rsidRPr="00A27387" w:rsidRDefault="00F90355" w:rsidP="0055193B">
      <w:pPr>
        <w:pStyle w:val="H23GA"/>
        <w:rPr>
          <w:rFonts w:cs="Times New Roman"/>
          <w:rtl/>
          <w:lang w:val="ar-SA" w:eastAsia="zh-TW"/>
        </w:rPr>
      </w:pPr>
      <w:r w:rsidRPr="00A27387">
        <w:rPr>
          <w:rtl/>
        </w:rPr>
        <w:tab/>
      </w:r>
      <w:r w:rsidRPr="00A27387">
        <w:rPr>
          <w:rtl/>
        </w:rPr>
        <w:tab/>
        <w:t>التدابير المتعلقة بمسألة العمّال المهاجرين الذين هم في وضع غير نظامي</w:t>
      </w:r>
    </w:p>
    <w:p w14:paraId="3F72ADC4" w14:textId="1A8CE6F8" w:rsidR="00F90355" w:rsidRPr="00A27387" w:rsidRDefault="00F90355" w:rsidP="0055193B">
      <w:pPr>
        <w:pStyle w:val="SingleTxtGA"/>
        <w:rPr>
          <w:rFonts w:cs="Times New Roman"/>
          <w:rtl/>
          <w:lang w:val="ar-SA" w:eastAsia="zh-TW"/>
        </w:rPr>
      </w:pPr>
      <w:r w:rsidRPr="0006537E">
        <w:rPr>
          <w:rtl/>
        </w:rPr>
        <w:t>49</w:t>
      </w:r>
      <w:r w:rsidRPr="00A27387">
        <w:rPr>
          <w:rFonts w:ascii="Simplified Arabic"/>
          <w:rtl/>
        </w:rPr>
        <w:t>-</w:t>
      </w:r>
      <w:r w:rsidRPr="00A27387">
        <w:rPr>
          <w:rtl/>
        </w:rPr>
        <w:tab/>
        <w:t>تحيط اللجنة علماً بالحملات الإعلامية التي أُطلقت لتوعية السلفادوريين بمخاطر الهجرة غير النظامية، بما في ذلك حملة "فكِّر مرتين". غير أن اللجنة تشعر بالقلق بشأن ازدياد تهريب المهاجرين العابرين للأراضي السلفادورية. ويساور اللجنة القلق أيضاً بشأن عدم كفاية آليات الكشف عن التنقلات</w:t>
      </w:r>
      <w:r w:rsidR="00485773">
        <w:rPr>
          <w:rFonts w:hint="cs"/>
          <w:rtl/>
        </w:rPr>
        <w:t> </w:t>
      </w:r>
      <w:r w:rsidRPr="00A27387">
        <w:rPr>
          <w:rtl/>
        </w:rPr>
        <w:t xml:space="preserve">غير النظامية للعمال المهاجرين وأسرهم، وآليات التحقيق مع المسؤولين عن جريمة تهريب المهاجرين ومعاقبتهم. </w:t>
      </w:r>
    </w:p>
    <w:p w14:paraId="2D81071B" w14:textId="77777777" w:rsidR="00F90355" w:rsidRPr="00C46D3E" w:rsidRDefault="00F90355" w:rsidP="0055193B">
      <w:pPr>
        <w:pStyle w:val="SingleTxtGA"/>
        <w:rPr>
          <w:rFonts w:cs="Times New Roman"/>
          <w:b/>
          <w:bCs/>
          <w:rtl/>
          <w:lang w:val="ar-SA" w:eastAsia="zh-TW"/>
        </w:rPr>
      </w:pPr>
      <w:r w:rsidRPr="0006537E">
        <w:rPr>
          <w:rtl/>
        </w:rPr>
        <w:t>50</w:t>
      </w:r>
      <w:r w:rsidRPr="00A27387">
        <w:rPr>
          <w:rFonts w:ascii="Simplified Arabic"/>
          <w:rtl/>
        </w:rPr>
        <w:t>-</w:t>
      </w:r>
      <w:r w:rsidRPr="00A27387">
        <w:rPr>
          <w:rtl/>
        </w:rPr>
        <w:tab/>
      </w:r>
      <w:r w:rsidRPr="00C46D3E">
        <w:rPr>
          <w:b/>
          <w:bCs/>
          <w:rtl/>
        </w:rPr>
        <w:t xml:space="preserve">توصي اللجنة الدولة الطرف بتعزيز الآليات القائمة للكشف عن التنقلات غير النظامية للعمال المهاجرين ومنعها والقضاء عليها. وينبغي أيضاً تعزيز الآليات القائمة للتحقيق مع الأشخاص المسؤولين عن جريمة تهريب المهاجرين ومحاكمتهم ومعاقبتهم. وتحث اللجنة الدولة الطرف على تكثيف الحملات الإعلامية الموجهة إلى عموم السكان على المستوى المحلي بشأن مخاطر الهجرة غير النظامية، ومواصلة تقديم المساعدة إلى العمال المهاجرين السلفادوريين في بلدان العبور. </w:t>
      </w:r>
    </w:p>
    <w:p w14:paraId="49FA548D" w14:textId="61F0981D" w:rsidR="00F90355" w:rsidRPr="00A27387" w:rsidRDefault="0055193B" w:rsidP="0055193B">
      <w:pPr>
        <w:pStyle w:val="H23GA"/>
        <w:rPr>
          <w:rFonts w:cs="Times New Roman"/>
          <w:rtl/>
          <w:lang w:val="ar-SA" w:eastAsia="zh-TW"/>
        </w:rPr>
      </w:pPr>
      <w:r>
        <w:rPr>
          <w:rFonts w:ascii="Simplified Arabic"/>
          <w:rtl/>
        </w:rPr>
        <w:tab/>
      </w:r>
      <w:r w:rsidR="00F90355" w:rsidRPr="0006537E">
        <w:rPr>
          <w:rtl/>
        </w:rPr>
        <w:t>6</w:t>
      </w:r>
      <w:r w:rsidR="00F90355" w:rsidRPr="00A27387">
        <w:rPr>
          <w:rFonts w:ascii="Simplified Arabic"/>
          <w:rtl/>
        </w:rPr>
        <w:t>-</w:t>
      </w:r>
      <w:r w:rsidR="00F90355" w:rsidRPr="00A27387">
        <w:rPr>
          <w:rtl/>
        </w:rPr>
        <w:tab/>
        <w:t xml:space="preserve">النشر والمتابعة </w:t>
      </w:r>
    </w:p>
    <w:p w14:paraId="238A727A" w14:textId="77777777" w:rsidR="00F90355" w:rsidRPr="00A27387" w:rsidRDefault="00F90355" w:rsidP="0055193B">
      <w:pPr>
        <w:pStyle w:val="H23GA"/>
        <w:rPr>
          <w:rFonts w:cs="Times New Roman"/>
          <w:rtl/>
          <w:lang w:val="ar-SA" w:eastAsia="zh-TW"/>
        </w:rPr>
      </w:pPr>
      <w:r w:rsidRPr="00A27387">
        <w:rPr>
          <w:rtl/>
        </w:rPr>
        <w:tab/>
      </w:r>
      <w:r w:rsidRPr="00A27387">
        <w:rPr>
          <w:rtl/>
        </w:rPr>
        <w:tab/>
        <w:t xml:space="preserve">النشر </w:t>
      </w:r>
    </w:p>
    <w:p w14:paraId="11567037" w14:textId="77777777" w:rsidR="00F90355" w:rsidRPr="00C46D3E" w:rsidRDefault="00F90355" w:rsidP="00C46D3E">
      <w:pPr>
        <w:pStyle w:val="SingleTxtGA"/>
        <w:rPr>
          <w:rFonts w:cs="Times New Roman"/>
          <w:b/>
          <w:bCs/>
          <w:rtl/>
          <w:lang w:val="ar-SA" w:eastAsia="zh-TW"/>
        </w:rPr>
      </w:pPr>
      <w:r w:rsidRPr="0006537E">
        <w:rPr>
          <w:rtl/>
        </w:rPr>
        <w:t>51</w:t>
      </w:r>
      <w:r w:rsidRPr="00A27387">
        <w:rPr>
          <w:rFonts w:ascii="Simplified Arabic"/>
          <w:rtl/>
        </w:rPr>
        <w:t>-</w:t>
      </w:r>
      <w:r w:rsidRPr="00A27387">
        <w:rPr>
          <w:rtl/>
        </w:rPr>
        <w:tab/>
      </w:r>
      <w:r w:rsidRPr="00C46D3E">
        <w:rPr>
          <w:b/>
          <w:bCs/>
          <w:rtl/>
        </w:rPr>
        <w:t xml:space="preserve">تطلب اللجنة إلى الدولة الطرف أن تضمن نشر هذه الملاحظات الختامية في الوقت المناسب، وباللغات الرسمية للدولة الطرف، على مؤسّسات الدولة ذات الصلة، بما في ذلك الوزارات الحكومية </w:t>
      </w:r>
      <w:r w:rsidRPr="00C46D3E">
        <w:rPr>
          <w:b/>
          <w:bCs/>
          <w:rtl/>
        </w:rPr>
        <w:lastRenderedPageBreak/>
        <w:t>والسلطة التشريعية والسلطة القضائية والسلطات المحلية المختصة، فضلاً عن المنظّمات غير الحكومية وسائر أعضاء المجتمع المدني.</w:t>
      </w:r>
    </w:p>
    <w:p w14:paraId="3C1BA2CE" w14:textId="77777777" w:rsidR="00F90355" w:rsidRPr="00A27387" w:rsidRDefault="00F90355" w:rsidP="0055193B">
      <w:pPr>
        <w:pStyle w:val="H23GA"/>
        <w:rPr>
          <w:rFonts w:cs="Times New Roman"/>
          <w:rtl/>
          <w:lang w:val="ar-SA" w:eastAsia="zh-TW"/>
        </w:rPr>
      </w:pPr>
      <w:r w:rsidRPr="00A27387">
        <w:rPr>
          <w:rtl/>
        </w:rPr>
        <w:tab/>
      </w:r>
      <w:r w:rsidRPr="00A27387">
        <w:rPr>
          <w:rtl/>
        </w:rPr>
        <w:tab/>
        <w:t>المساعدة التقنية</w:t>
      </w:r>
    </w:p>
    <w:p w14:paraId="0B4194DA" w14:textId="37153AC3" w:rsidR="00F90355" w:rsidRPr="00C46D3E" w:rsidRDefault="00F90355" w:rsidP="0055193B">
      <w:pPr>
        <w:pStyle w:val="SingleTxtGA"/>
        <w:rPr>
          <w:rFonts w:cs="Times New Roman"/>
          <w:b/>
          <w:bCs/>
          <w:rtl/>
          <w:lang w:val="ar-SA" w:eastAsia="zh-TW"/>
        </w:rPr>
      </w:pPr>
      <w:r w:rsidRPr="0006537E">
        <w:rPr>
          <w:rtl/>
        </w:rPr>
        <w:t>52</w:t>
      </w:r>
      <w:r w:rsidRPr="00A27387">
        <w:rPr>
          <w:rFonts w:ascii="Simplified Arabic"/>
          <w:rtl/>
        </w:rPr>
        <w:t>-</w:t>
      </w:r>
      <w:r w:rsidRPr="00A27387">
        <w:rPr>
          <w:rtl/>
        </w:rPr>
        <w:tab/>
      </w:r>
      <w:r w:rsidRPr="00C46D3E">
        <w:rPr>
          <w:b/>
          <w:bCs/>
          <w:rtl/>
        </w:rPr>
        <w:t>توصي اللجنة الدولة الطرف بأن تستفيد أكثر من المساعدة الدولية والحكومية الدولية من أجل تنفيذ التوصيات الواردة في هذه الملاحظات الختامية بما يتّفق مع خطة التنمية المستدامة لعام</w:t>
      </w:r>
      <w:r w:rsidR="00C46D3E">
        <w:rPr>
          <w:rFonts w:hint="cs"/>
          <w:b/>
          <w:bCs/>
          <w:rtl/>
        </w:rPr>
        <w:t> </w:t>
      </w:r>
      <w:r w:rsidRPr="00C46D3E">
        <w:rPr>
          <w:b/>
          <w:bCs/>
          <w:rtl/>
        </w:rPr>
        <w:t>203</w:t>
      </w:r>
      <w:r w:rsidR="008A74E9" w:rsidRPr="008A74E9">
        <w:rPr>
          <w:b/>
          <w:bCs/>
          <w:rtl/>
        </w:rPr>
        <w:t>0</w:t>
      </w:r>
      <w:r w:rsidR="008A74E9" w:rsidRPr="008A74E9">
        <w:rPr>
          <w:rFonts w:ascii="Simplified Arabic"/>
          <w:b/>
          <w:bCs/>
          <w:rtl/>
        </w:rPr>
        <w:t>.</w:t>
      </w:r>
      <w:r w:rsidR="008A74E9" w:rsidRPr="008A74E9">
        <w:rPr>
          <w:b/>
          <w:bCs/>
          <w:rtl/>
        </w:rPr>
        <w:t xml:space="preserve"> </w:t>
      </w:r>
      <w:r w:rsidRPr="00C46D3E">
        <w:rPr>
          <w:b/>
          <w:bCs/>
          <w:rtl/>
        </w:rPr>
        <w:t>وتوصي أيضاً بأن تواصل الدولة الطرف تعاونها مع الوكالات والبرامج المتخصصة التابعة للأمم المتحدة.</w:t>
      </w:r>
    </w:p>
    <w:p w14:paraId="6DF824C4" w14:textId="77777777" w:rsidR="00F90355" w:rsidRPr="00A27387" w:rsidRDefault="00F90355" w:rsidP="0055193B">
      <w:pPr>
        <w:pStyle w:val="H23GA"/>
        <w:rPr>
          <w:rFonts w:cs="Times New Roman"/>
          <w:rtl/>
          <w:lang w:val="ar-SA" w:eastAsia="zh-TW"/>
        </w:rPr>
      </w:pPr>
      <w:r w:rsidRPr="00A27387">
        <w:rPr>
          <w:rtl/>
        </w:rPr>
        <w:tab/>
      </w:r>
      <w:r w:rsidRPr="00A27387">
        <w:rPr>
          <w:rtl/>
        </w:rPr>
        <w:tab/>
        <w:t>متابعة الملاحظات الختامية</w:t>
      </w:r>
    </w:p>
    <w:p w14:paraId="63A76E89" w14:textId="2F2202E8" w:rsidR="00F90355" w:rsidRPr="002A198B" w:rsidRDefault="00F90355" w:rsidP="0055193B">
      <w:pPr>
        <w:pStyle w:val="SingleTxtGA"/>
        <w:rPr>
          <w:rFonts w:cs="Times New Roman"/>
          <w:b/>
          <w:bCs/>
          <w:rtl/>
          <w:lang w:val="ar-SA" w:eastAsia="zh-TW"/>
        </w:rPr>
      </w:pPr>
      <w:r w:rsidRPr="0006537E">
        <w:rPr>
          <w:rtl/>
        </w:rPr>
        <w:t>53</w:t>
      </w:r>
      <w:r w:rsidRPr="00A27387">
        <w:rPr>
          <w:rFonts w:ascii="Simplified Arabic"/>
          <w:rtl/>
        </w:rPr>
        <w:t>-</w:t>
      </w:r>
      <w:r w:rsidRPr="00A27387">
        <w:rPr>
          <w:rtl/>
        </w:rPr>
        <w:tab/>
      </w:r>
      <w:r w:rsidRPr="002A198B">
        <w:rPr>
          <w:b/>
          <w:bCs/>
          <w:rtl/>
        </w:rPr>
        <w:t>تطلب اللجنة إلى الدولة الطرف أن تقدّم، في غضون سنتين، معلومات كتابية عن تنفيذ التوصيات الواردة في الفقرات 13</w:t>
      </w:r>
      <w:r w:rsidRPr="002A198B">
        <w:rPr>
          <w:rFonts w:ascii="Simplified Arabic"/>
          <w:b/>
          <w:bCs/>
          <w:rtl/>
        </w:rPr>
        <w:t xml:space="preserve"> (</w:t>
      </w:r>
      <w:r w:rsidRPr="002A198B">
        <w:rPr>
          <w:b/>
          <w:bCs/>
          <w:rtl/>
        </w:rPr>
        <w:t>التشريعات والتطبيق</w:t>
      </w:r>
      <w:r w:rsidR="008A74E9" w:rsidRPr="008A74E9">
        <w:rPr>
          <w:rFonts w:ascii="Simplified Arabic"/>
          <w:b/>
          <w:bCs/>
          <w:rtl/>
        </w:rPr>
        <w:t>)</w:t>
      </w:r>
      <w:r w:rsidR="008A74E9" w:rsidRPr="008A74E9">
        <w:rPr>
          <w:b/>
          <w:bCs/>
          <w:rtl/>
        </w:rPr>
        <w:t xml:space="preserve">، </w:t>
      </w:r>
      <w:r w:rsidRPr="002A198B">
        <w:rPr>
          <w:b/>
          <w:bCs/>
          <w:rtl/>
        </w:rPr>
        <w:t>و28 و30</w:t>
      </w:r>
      <w:r w:rsidRPr="002A198B">
        <w:rPr>
          <w:rFonts w:ascii="Simplified Arabic"/>
          <w:b/>
          <w:bCs/>
          <w:rtl/>
        </w:rPr>
        <w:t xml:space="preserve"> (</w:t>
      </w:r>
      <w:r w:rsidRPr="002A198B">
        <w:rPr>
          <w:b/>
          <w:bCs/>
          <w:rtl/>
        </w:rPr>
        <w:t>الحق في سبيل انتصاف فعال وفي اللجوء إلى العدالة</w:t>
      </w:r>
      <w:r w:rsidR="008A74E9" w:rsidRPr="008A74E9">
        <w:rPr>
          <w:rFonts w:ascii="Simplified Arabic"/>
          <w:b/>
          <w:bCs/>
          <w:rtl/>
        </w:rPr>
        <w:t>)</w:t>
      </w:r>
      <w:r w:rsidR="008A74E9" w:rsidRPr="008A74E9">
        <w:rPr>
          <w:b/>
          <w:bCs/>
          <w:rtl/>
        </w:rPr>
        <w:t xml:space="preserve">، </w:t>
      </w:r>
      <w:r w:rsidRPr="002A198B">
        <w:rPr>
          <w:b/>
          <w:bCs/>
          <w:rtl/>
        </w:rPr>
        <w:t>و44</w:t>
      </w:r>
      <w:r w:rsidRPr="002A198B">
        <w:rPr>
          <w:rFonts w:ascii="Simplified Arabic"/>
          <w:b/>
          <w:bCs/>
          <w:rtl/>
        </w:rPr>
        <w:t xml:space="preserve"> (</w:t>
      </w:r>
      <w:r w:rsidRPr="002A198B">
        <w:rPr>
          <w:b/>
          <w:bCs/>
          <w:rtl/>
        </w:rPr>
        <w:t>الأطفال والمراهقون المهاجرون</w:t>
      </w:r>
      <w:r w:rsidRPr="002A198B">
        <w:rPr>
          <w:rFonts w:ascii="Simplified Arabic"/>
          <w:b/>
          <w:bCs/>
          <w:rtl/>
        </w:rPr>
        <w:t>)</w:t>
      </w:r>
      <w:r w:rsidRPr="002A198B">
        <w:rPr>
          <w:b/>
          <w:bCs/>
          <w:rtl/>
        </w:rPr>
        <w:t xml:space="preserve"> من هذه الوثيقة.</w:t>
      </w:r>
    </w:p>
    <w:p w14:paraId="29485703" w14:textId="08C6F59C" w:rsidR="00F90355" w:rsidRPr="00A27387" w:rsidRDefault="00F90355" w:rsidP="0055193B">
      <w:pPr>
        <w:pStyle w:val="H23GA"/>
        <w:rPr>
          <w:rFonts w:cs="Times New Roman"/>
          <w:rtl/>
          <w:lang w:val="ar-SA" w:eastAsia="zh-TW"/>
        </w:rPr>
      </w:pPr>
      <w:r w:rsidRPr="00A27387">
        <w:rPr>
          <w:rtl/>
        </w:rPr>
        <w:tab/>
      </w:r>
      <w:r w:rsidRPr="00A27387">
        <w:rPr>
          <w:rtl/>
        </w:rPr>
        <w:tab/>
        <w:t>التقرير الدوري المقبل</w:t>
      </w:r>
    </w:p>
    <w:p w14:paraId="2869B8A2" w14:textId="52E65ACB" w:rsidR="008A74E9" w:rsidRPr="008A74E9" w:rsidRDefault="00F90355" w:rsidP="0055193B">
      <w:pPr>
        <w:pStyle w:val="SingleTxtGA"/>
        <w:rPr>
          <w:b/>
          <w:bCs/>
          <w:rtl/>
        </w:rPr>
      </w:pPr>
      <w:bookmarkStart w:id="10" w:name="_Hlk98754877"/>
      <w:r w:rsidRPr="0006537E">
        <w:rPr>
          <w:rtl/>
        </w:rPr>
        <w:t>54</w:t>
      </w:r>
      <w:r w:rsidRPr="00A27387">
        <w:rPr>
          <w:rFonts w:ascii="Simplified Arabic"/>
          <w:rtl/>
        </w:rPr>
        <w:t>-</w:t>
      </w:r>
      <w:r w:rsidRPr="00A27387">
        <w:rPr>
          <w:rtl/>
        </w:rPr>
        <w:tab/>
      </w:r>
      <w:r w:rsidRPr="002A198B">
        <w:rPr>
          <w:b/>
          <w:bCs/>
          <w:rtl/>
        </w:rPr>
        <w:t>تطلب اللجنة إلى الدولة الطرف أن تقدّم تقريرها الدوري الرابع بحلول 1 أيار/مايو 202</w:t>
      </w:r>
      <w:r w:rsidR="008A74E9" w:rsidRPr="008A74E9">
        <w:rPr>
          <w:b/>
          <w:bCs/>
          <w:rtl/>
        </w:rPr>
        <w:t>8</w:t>
      </w:r>
      <w:r w:rsidR="008A74E9" w:rsidRPr="008A74E9">
        <w:rPr>
          <w:rFonts w:ascii="Simplified Arabic"/>
          <w:b/>
          <w:bCs/>
          <w:rtl/>
        </w:rPr>
        <w:t>.</w:t>
      </w:r>
      <w:r w:rsidR="008A74E9" w:rsidRPr="008A74E9">
        <w:rPr>
          <w:b/>
          <w:bCs/>
          <w:rtl/>
        </w:rPr>
        <w:t xml:space="preserve"> </w:t>
      </w:r>
      <w:r w:rsidRPr="002A198B">
        <w:rPr>
          <w:b/>
          <w:bCs/>
          <w:rtl/>
        </w:rPr>
        <w:t>وستعتمد اللجنة قائمة المسائل المحالة قبل تقديم التقرير بموجب الإجراء المبسّط لتقديم التقارير، في إحدى دوراتها المعقودة قبل هذا التاريخ، ما لم تختر الدولة الطرف صراحة اتّباع الإجراء التقليدي لتقديم التقارير فيما يتعلق بتقريرها الدوري الرابع. وتوجّه اللجنة انتباه الدولة الطرف إلى مبادئها التوجيهية المنسّقة لتقديم التقارير الخاصة بهيئات المعاهدات</w:t>
      </w:r>
      <w:bookmarkEnd w:id="10"/>
      <w:r w:rsidR="008A74E9">
        <w:rPr>
          <w:rStyle w:val="FootnoteReference"/>
          <w:b/>
          <w:bCs/>
          <w:sz w:val="20"/>
          <w:szCs w:val="20"/>
          <w:rtl/>
        </w:rPr>
        <w:t>(</w:t>
      </w:r>
      <w:r w:rsidR="008A74E9" w:rsidRPr="002A198B">
        <w:rPr>
          <w:rStyle w:val="FootnoteReference"/>
          <w:b/>
          <w:bCs/>
          <w:sz w:val="20"/>
          <w:szCs w:val="20"/>
          <w:rtl/>
        </w:rPr>
        <w:footnoteReference w:id="10"/>
      </w:r>
      <w:r w:rsidR="008A74E9" w:rsidRPr="008A74E9">
        <w:rPr>
          <w:rStyle w:val="FootnoteReference"/>
          <w:b/>
          <w:bCs/>
          <w:sz w:val="20"/>
          <w:szCs w:val="20"/>
          <w:rtl/>
        </w:rPr>
        <w:t>)</w:t>
      </w:r>
      <w:r w:rsidR="008A74E9" w:rsidRPr="008A74E9">
        <w:rPr>
          <w:rFonts w:hint="cs"/>
          <w:b/>
          <w:bCs/>
          <w:rtl/>
        </w:rPr>
        <w:t>.</w:t>
      </w:r>
    </w:p>
    <w:p w14:paraId="1F80333C" w14:textId="7ADCF923" w:rsidR="00F90355" w:rsidRPr="00A27387" w:rsidRDefault="00F90355" w:rsidP="00F90355">
      <w:pPr>
        <w:jc w:val="center"/>
        <w:rPr>
          <w:szCs w:val="20"/>
          <w:u w:val="single"/>
          <w:lang w:val="fr-CH"/>
        </w:rPr>
      </w:pPr>
      <w:r w:rsidRPr="00A27387">
        <w:rPr>
          <w:szCs w:val="20"/>
          <w:u w:val="single"/>
          <w:lang w:val="fr-CH"/>
        </w:rPr>
        <w:tab/>
      </w:r>
      <w:r w:rsidRPr="00A27387">
        <w:rPr>
          <w:szCs w:val="20"/>
          <w:u w:val="single"/>
          <w:lang w:val="fr-CH"/>
        </w:rPr>
        <w:tab/>
      </w:r>
      <w:r w:rsidRPr="00A27387">
        <w:rPr>
          <w:szCs w:val="20"/>
          <w:u w:val="single"/>
          <w:lang w:val="fr-CH"/>
        </w:rPr>
        <w:tab/>
      </w:r>
    </w:p>
    <w:sectPr w:rsidR="00F90355" w:rsidRPr="00A27387" w:rsidSect="00BE3281">
      <w:headerReference w:type="even" r:id="rId9"/>
      <w:headerReference w:type="default" r:id="rId10"/>
      <w:footerReference w:type="even" r:id="rId11"/>
      <w:footerReference w:type="default" r:id="rId12"/>
      <w:footerReference w:type="first" r:id="rId13"/>
      <w:endnotePr>
        <w:numFmt w:val="decimal"/>
      </w:endnotePr>
      <w:pgSz w:w="11907" w:h="16840" w:code="9"/>
      <w:pgMar w:top="1418" w:right="1134" w:bottom="1134" w:left="1134" w:header="851" w:footer="567" w:gutter="0"/>
      <w:cols w:space="720"/>
      <w:titlePg/>
      <w:bidi/>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778B3E5" w14:textId="77777777" w:rsidR="00786715" w:rsidRPr="002901D9" w:rsidRDefault="00786715" w:rsidP="008809C0">
      <w:pPr>
        <w:spacing w:after="120" w:line="240" w:lineRule="auto"/>
        <w:ind w:left="57"/>
        <w:rPr>
          <w:i/>
          <w:iCs/>
        </w:rPr>
      </w:pPr>
      <w:r>
        <w:rPr>
          <w:rFonts w:hint="cs"/>
          <w:i/>
          <w:iCs/>
          <w:rtl/>
        </w:rPr>
        <w:t>الحواشي</w:t>
      </w:r>
    </w:p>
  </w:endnote>
  <w:endnote w:type="continuationSeparator" w:id="0">
    <w:p w14:paraId="767D809C" w14:textId="77777777" w:rsidR="00786715" w:rsidRDefault="00786715" w:rsidP="0065639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implified Arabic">
    <w:panose1 w:val="02020603050405020304"/>
    <w:charset w:val="00"/>
    <w:family w:val="roman"/>
    <w:pitch w:val="variable"/>
    <w:sig w:usb0="00002003" w:usb1="80000000" w:usb2="00000008" w:usb3="00000000" w:csb0="00000041" w:csb1="00000000"/>
  </w:font>
  <w:font w:name="Traditional Arabic">
    <w:panose1 w:val="02020603050405020304"/>
    <w:charset w:val="00"/>
    <w:family w:val="roman"/>
    <w:pitch w:val="variable"/>
    <w:sig w:usb0="00002003" w:usb1="80000000" w:usb2="00000008" w:usb3="00000000" w:csb0="00000041"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PMingLiU">
    <w:altName w:val="新細明體"/>
    <w:panose1 w:val="02010601000101010101"/>
    <w:charset w:val="88"/>
    <w:family w:val="roman"/>
    <w:pitch w:val="variable"/>
    <w:sig w:usb0="A00002FF" w:usb1="28CFFCFA" w:usb2="00000016" w:usb3="00000000" w:csb0="00100001" w:csb1="00000000"/>
  </w:font>
  <w:font w:name="Times New Roman Bold">
    <w:altName w:val="Times New Roman"/>
    <w:panose1 w:val="00000000000000000000"/>
    <w:charset w:val="00"/>
    <w:family w:val="roman"/>
    <w:notTrueType/>
    <w:pitch w:val="default"/>
  </w:font>
  <w:font w:name="MS Mincho">
    <w:altName w:val="ＭＳ 明朝"/>
    <w:panose1 w:val="02020609040205080304"/>
    <w:charset w:val="80"/>
    <w:family w:val="modern"/>
    <w:pitch w:val="fixed"/>
    <w:sig w:usb0="E00002FF" w:usb1="6AC7FDFB" w:usb2="08000012" w:usb3="00000000" w:csb0="0002009F" w:csb1="00000000"/>
  </w:font>
  <w:font w:name="DengXian">
    <w:altName w:val="等线"/>
    <w:panose1 w:val="02010600030101010101"/>
    <w:charset w:val="86"/>
    <w:family w:val="auto"/>
    <w:pitch w:val="variable"/>
    <w:sig w:usb0="A00002BF" w:usb1="38CF7CFA" w:usb2="00000016" w:usb3="00000000" w:csb0="0004000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3ACCF39" w14:textId="5A9668D7" w:rsidR="00F37C78" w:rsidRPr="00F37C78" w:rsidRDefault="00F37C78" w:rsidP="00F37C78">
    <w:pPr>
      <w:pStyle w:val="Footer"/>
      <w:tabs>
        <w:tab w:val="right" w:pos="9638"/>
      </w:tabs>
      <w:rPr>
        <w:b/>
        <w:sz w:val="18"/>
        <w:lang w:val="en-US"/>
      </w:rPr>
    </w:pPr>
    <w:r>
      <w:rPr>
        <w:lang w:val="en-US"/>
      </w:rPr>
      <w:t>GE.23-08788</w:t>
    </w:r>
    <w:r>
      <w:rPr>
        <w:lang w:val="en-US"/>
      </w:rPr>
      <w:tab/>
    </w:r>
    <w:r w:rsidRPr="00F37C78">
      <w:rPr>
        <w:b/>
        <w:sz w:val="18"/>
        <w:lang w:val="en-US"/>
      </w:rPr>
      <w:fldChar w:fldCharType="begin"/>
    </w:r>
    <w:r w:rsidRPr="00F37C78">
      <w:rPr>
        <w:b/>
        <w:sz w:val="18"/>
        <w:lang w:val="en-US"/>
      </w:rPr>
      <w:instrText xml:space="preserve"> PAGE  \* MERGEFORMAT </w:instrText>
    </w:r>
    <w:r w:rsidRPr="00F37C78">
      <w:rPr>
        <w:b/>
        <w:sz w:val="18"/>
        <w:lang w:val="en-US"/>
      </w:rPr>
      <w:fldChar w:fldCharType="separate"/>
    </w:r>
    <w:r w:rsidRPr="00F37C78">
      <w:rPr>
        <w:b/>
        <w:noProof/>
        <w:sz w:val="18"/>
        <w:lang w:val="en-US"/>
      </w:rPr>
      <w:t>2</w:t>
    </w:r>
    <w:r w:rsidRPr="00F37C78">
      <w:rPr>
        <w:b/>
        <w:sz w:val="18"/>
        <w:lang w:val="en-US"/>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D4747C8" w14:textId="42D11A97" w:rsidR="006959B0" w:rsidRPr="00F37C78" w:rsidRDefault="00F37C78" w:rsidP="00F37C78">
    <w:pPr>
      <w:pStyle w:val="Footer"/>
      <w:tabs>
        <w:tab w:val="right" w:pos="9638"/>
      </w:tabs>
      <w:rPr>
        <w:lang w:val="en-US"/>
      </w:rPr>
    </w:pPr>
    <w:r>
      <w:rPr>
        <w:b/>
        <w:sz w:val="18"/>
        <w:lang w:val="en-US"/>
      </w:rPr>
      <w:fldChar w:fldCharType="begin"/>
    </w:r>
    <w:r>
      <w:rPr>
        <w:b/>
        <w:sz w:val="18"/>
        <w:lang w:val="en-US"/>
      </w:rPr>
      <w:instrText xml:space="preserve"> PAGE  \* MERGEFORMAT </w:instrText>
    </w:r>
    <w:r>
      <w:rPr>
        <w:b/>
        <w:sz w:val="18"/>
        <w:lang w:val="en-US"/>
      </w:rPr>
      <w:fldChar w:fldCharType="separate"/>
    </w:r>
    <w:r>
      <w:rPr>
        <w:b/>
        <w:noProof/>
        <w:sz w:val="18"/>
        <w:lang w:val="en-US"/>
      </w:rPr>
      <w:t>3</w:t>
    </w:r>
    <w:r>
      <w:rPr>
        <w:b/>
        <w:sz w:val="18"/>
        <w:lang w:val="en-US"/>
      </w:rPr>
      <w:fldChar w:fldCharType="end"/>
    </w:r>
    <w:r>
      <w:rPr>
        <w:b/>
        <w:sz w:val="18"/>
        <w:lang w:val="en-US"/>
      </w:rPr>
      <w:tab/>
    </w:r>
    <w:r>
      <w:rPr>
        <w:lang w:val="en-US"/>
      </w:rPr>
      <w:t>GE.23-08788</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4B2C291" w14:textId="6C930C5D" w:rsidR="007D04A0" w:rsidRPr="00F37C78" w:rsidRDefault="00F37C78" w:rsidP="00F37C78">
    <w:pPr>
      <w:pStyle w:val="Footer"/>
      <w:spacing w:before="600"/>
      <w:ind w:left="567"/>
      <w:jc w:val="right"/>
      <w:rPr>
        <w:sz w:val="20"/>
        <w:lang w:val="en-US"/>
      </w:rPr>
    </w:pPr>
    <w:r>
      <w:rPr>
        <w:sz w:val="20"/>
        <w:lang w:val="en-US"/>
      </w:rPr>
      <w:t>GE.</w:t>
    </w:r>
    <w:r w:rsidR="00DC4EE6">
      <w:rPr>
        <w:noProof/>
      </w:rPr>
      <w:drawing>
        <wp:anchor distT="0" distB="0" distL="114300" distR="114300" simplePos="0" relativeHeight="251659264" behindDoc="1" locked="1" layoutInCell="0" allowOverlap="1" wp14:anchorId="252FB3C4" wp14:editId="1E622A59">
          <wp:simplePos x="0" y="0"/>
          <wp:positionH relativeFrom="margin">
            <wp:posOffset>719455</wp:posOffset>
          </wp:positionH>
          <wp:positionV relativeFrom="margin">
            <wp:posOffset>9144000</wp:posOffset>
          </wp:positionV>
          <wp:extent cx="1162685" cy="325120"/>
          <wp:effectExtent l="0" t="0" r="0" b="0"/>
          <wp:wrapTight wrapText="bothSides">
            <wp:wrapPolygon edited="0">
              <wp:start x="0" y="0"/>
              <wp:lineTo x="0" y="20250"/>
              <wp:lineTo x="21234" y="20250"/>
              <wp:lineTo x="21234" y="0"/>
              <wp:lineTo x="0" y="0"/>
            </wp:wrapPolygon>
          </wp:wrapTight>
          <wp:docPr id="2" name="Picture 2" descr="يُرجى إعادة التدوير"/>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الرجاء_إعادة_التدوير"/>
                  <pic:cNvPicPr>
                    <a:picLocks noChangeAspect="1" noChangeArrowheads="1"/>
                  </pic:cNvPicPr>
                </pic:nvPicPr>
                <pic:blipFill>
                  <a:blip r:embed="rId1">
                    <a:extLst>
                      <a:ext uri="{28A0092B-C50C-407E-A947-70E740481C1C}">
                        <a14:useLocalDpi xmlns:a14="http://schemas.microsoft.com/office/drawing/2010/main" val="0"/>
                      </a:ext>
                    </a:extLst>
                  </a:blip>
                  <a:srcRect t="4395" b="4395"/>
                  <a:stretch>
                    <a:fillRect/>
                  </a:stretch>
                </pic:blipFill>
                <pic:spPr bwMode="auto">
                  <a:xfrm>
                    <a:off x="0" y="0"/>
                    <a:ext cx="1162685" cy="325120"/>
                  </a:xfrm>
                  <a:prstGeom prst="rect">
                    <a:avLst/>
                  </a:prstGeom>
                  <a:noFill/>
                </pic:spPr>
              </pic:pic>
            </a:graphicData>
          </a:graphic>
          <wp14:sizeRelH relativeFrom="page">
            <wp14:pctWidth>0</wp14:pctWidth>
          </wp14:sizeRelH>
          <wp14:sizeRelV relativeFrom="page">
            <wp14:pctHeight>0</wp14:pctHeight>
          </wp14:sizeRelV>
        </wp:anchor>
      </w:drawing>
    </w:r>
    <w:r>
      <w:rPr>
        <w:sz w:val="20"/>
        <w:lang w:val="en-US"/>
      </w:rPr>
      <w:t>23-08788 (A)</w:t>
    </w:r>
    <w:r>
      <w:rPr>
        <w:noProof/>
        <w:sz w:val="20"/>
        <w:lang w:val="en-US"/>
      </w:rPr>
      <w:drawing>
        <wp:anchor distT="0" distB="0" distL="114300" distR="114300" simplePos="0" relativeHeight="251660288" behindDoc="0" locked="0" layoutInCell="1" allowOverlap="1" wp14:anchorId="4213AC00" wp14:editId="7919D525">
          <wp:simplePos x="0" y="0"/>
          <wp:positionH relativeFrom="margin">
            <wp:posOffset>0</wp:posOffset>
          </wp:positionH>
          <wp:positionV relativeFrom="margin">
            <wp:posOffset>8891905</wp:posOffset>
          </wp:positionV>
          <wp:extent cx="561975" cy="561975"/>
          <wp:effectExtent l="0" t="0" r="9525" b="9525"/>
          <wp:wrapNone/>
          <wp:docPr id="3" name="Picture 1" descr="امسح الرمز لتصفح الوثيقة أو تحميلها"/>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1" descr="امسح الرمز لتصفح الوثيقة أو تحميلها"/>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F2431DC" w14:textId="77777777" w:rsidR="00786715" w:rsidRPr="00CB28F9" w:rsidRDefault="00786715" w:rsidP="00A47A52">
      <w:pPr>
        <w:pStyle w:val="Footer"/>
        <w:bidi/>
        <w:spacing w:after="80" w:line="200" w:lineRule="exact"/>
        <w:ind w:left="680"/>
      </w:pPr>
      <w:r>
        <w:rPr>
          <w:rtl/>
        </w:rPr>
        <w:t>__________</w:t>
      </w:r>
    </w:p>
  </w:footnote>
  <w:footnote w:type="continuationSeparator" w:id="0">
    <w:p w14:paraId="42C86C60" w14:textId="77777777" w:rsidR="00786715" w:rsidRDefault="00786715" w:rsidP="00656392">
      <w:pPr>
        <w:spacing w:line="240" w:lineRule="auto"/>
      </w:pPr>
      <w:r>
        <w:continuationSeparator/>
      </w:r>
    </w:p>
  </w:footnote>
  <w:footnote w:id="1">
    <w:p w14:paraId="143A5007" w14:textId="45533F3B" w:rsidR="00F90355" w:rsidRPr="00485773" w:rsidRDefault="00F90355" w:rsidP="000F6B31">
      <w:pPr>
        <w:pStyle w:val="FootnoteText"/>
        <w:tabs>
          <w:tab w:val="clear" w:pos="1021"/>
        </w:tabs>
        <w:bidi/>
        <w:spacing w:after="60" w:line="280" w:lineRule="exact"/>
        <w:ind w:left="1247" w:right="1247" w:hanging="567"/>
        <w:jc w:val="lowKashida"/>
        <w:textDirection w:val="tbRlV"/>
        <w:rPr>
          <w:szCs w:val="18"/>
          <w:rtl/>
        </w:rPr>
      </w:pPr>
      <w:r w:rsidRPr="00485773">
        <w:rPr>
          <w:szCs w:val="18"/>
          <w:rtl/>
        </w:rPr>
        <w:t>*</w:t>
      </w:r>
      <w:r w:rsidRPr="00485773">
        <w:rPr>
          <w:szCs w:val="18"/>
          <w:rtl/>
        </w:rPr>
        <w:tab/>
        <w:t>اعتمدتها اللجنة في دورتها السادسة والثلاثين (27 آذار/مارس - 6 نيسان/أبريل 2023</w:t>
      </w:r>
      <w:r w:rsidR="008A74E9" w:rsidRPr="00485773">
        <w:rPr>
          <w:szCs w:val="18"/>
          <w:rtl/>
        </w:rPr>
        <w:t xml:space="preserve">). </w:t>
      </w:r>
    </w:p>
  </w:footnote>
  <w:footnote w:id="2">
    <w:p w14:paraId="3B038BB1" w14:textId="77777777" w:rsidR="008A74E9" w:rsidRPr="00485773" w:rsidRDefault="008A74E9" w:rsidP="008A74E9">
      <w:pPr>
        <w:pStyle w:val="FootnoteText"/>
        <w:widowControl w:val="0"/>
        <w:tabs>
          <w:tab w:val="clear" w:pos="1021"/>
        </w:tabs>
        <w:bidi/>
        <w:spacing w:after="60" w:line="280" w:lineRule="exact"/>
        <w:ind w:left="1247" w:right="1247" w:hanging="567"/>
        <w:jc w:val="lowKashida"/>
        <w:textDirection w:val="tbRlV"/>
        <w:rPr>
          <w:szCs w:val="18"/>
          <w:rtl/>
        </w:rPr>
      </w:pPr>
      <w:r w:rsidRPr="00485773">
        <w:rPr>
          <w:szCs w:val="18"/>
          <w:rtl/>
        </w:rPr>
        <w:t>(</w:t>
      </w:r>
      <w:r w:rsidRPr="00485773">
        <w:rPr>
          <w:szCs w:val="18"/>
          <w:rtl/>
        </w:rPr>
        <w:footnoteRef/>
      </w:r>
      <w:r w:rsidRPr="00485773">
        <w:rPr>
          <w:szCs w:val="18"/>
          <w:rtl/>
        </w:rPr>
        <w:t>)</w:t>
      </w:r>
      <w:r w:rsidRPr="00485773">
        <w:rPr>
          <w:szCs w:val="18"/>
          <w:rtl/>
        </w:rPr>
        <w:tab/>
      </w:r>
      <w:hyperlink r:id="rId1" w:history="1">
        <w:r w:rsidRPr="00485773">
          <w:rPr>
            <w:rStyle w:val="Hyperlink"/>
            <w:szCs w:val="18"/>
          </w:rPr>
          <w:t>CMW/C/SLV/3</w:t>
        </w:r>
      </w:hyperlink>
      <w:r w:rsidRPr="00485773">
        <w:rPr>
          <w:szCs w:val="18"/>
          <w:rtl/>
        </w:rPr>
        <w:t xml:space="preserve">. </w:t>
      </w:r>
    </w:p>
  </w:footnote>
  <w:footnote w:id="3">
    <w:p w14:paraId="3BB54471" w14:textId="77777777" w:rsidR="008A74E9" w:rsidRPr="00485773" w:rsidRDefault="008A74E9" w:rsidP="008A74E9">
      <w:pPr>
        <w:pStyle w:val="FootnoteText"/>
        <w:widowControl w:val="0"/>
        <w:tabs>
          <w:tab w:val="clear" w:pos="1021"/>
        </w:tabs>
        <w:bidi/>
        <w:spacing w:after="60" w:line="280" w:lineRule="exact"/>
        <w:ind w:left="1247" w:right="1247" w:hanging="567"/>
        <w:jc w:val="lowKashida"/>
        <w:textDirection w:val="tbRlV"/>
        <w:rPr>
          <w:szCs w:val="18"/>
          <w:rtl/>
        </w:rPr>
      </w:pPr>
      <w:r w:rsidRPr="00485773">
        <w:rPr>
          <w:szCs w:val="18"/>
          <w:rtl/>
        </w:rPr>
        <w:t>(</w:t>
      </w:r>
      <w:r w:rsidRPr="00485773">
        <w:rPr>
          <w:szCs w:val="18"/>
          <w:rtl/>
        </w:rPr>
        <w:footnoteRef/>
      </w:r>
      <w:r w:rsidRPr="00485773">
        <w:rPr>
          <w:szCs w:val="18"/>
          <w:rtl/>
        </w:rPr>
        <w:t>)</w:t>
      </w:r>
      <w:r w:rsidRPr="00485773">
        <w:rPr>
          <w:szCs w:val="18"/>
          <w:rtl/>
        </w:rPr>
        <w:tab/>
      </w:r>
      <w:hyperlink r:id="rId2" w:history="1">
        <w:r w:rsidRPr="00485773">
          <w:rPr>
            <w:rStyle w:val="Hyperlink"/>
            <w:szCs w:val="18"/>
          </w:rPr>
          <w:t>CMW/C/SR.520</w:t>
        </w:r>
      </w:hyperlink>
      <w:r w:rsidRPr="00485773">
        <w:rPr>
          <w:szCs w:val="18"/>
          <w:rtl/>
        </w:rPr>
        <w:t>، و</w:t>
      </w:r>
      <w:hyperlink r:id="rId3" w:history="1">
        <w:r w:rsidRPr="00485773">
          <w:rPr>
            <w:rStyle w:val="Hyperlink"/>
            <w:szCs w:val="18"/>
          </w:rPr>
          <w:t>CMW/C/SR.522</w:t>
        </w:r>
      </w:hyperlink>
      <w:r w:rsidRPr="00485773">
        <w:rPr>
          <w:szCs w:val="18"/>
          <w:rtl/>
        </w:rPr>
        <w:t>، و</w:t>
      </w:r>
      <w:hyperlink r:id="rId4" w:history="1">
        <w:r w:rsidRPr="00485773">
          <w:rPr>
            <w:rStyle w:val="Hyperlink"/>
            <w:szCs w:val="18"/>
          </w:rPr>
          <w:t>CMW/C/SR.524</w:t>
        </w:r>
      </w:hyperlink>
      <w:r w:rsidRPr="00485773">
        <w:rPr>
          <w:szCs w:val="18"/>
          <w:rtl/>
        </w:rPr>
        <w:t xml:space="preserve">. </w:t>
      </w:r>
    </w:p>
  </w:footnote>
  <w:footnote w:id="4">
    <w:p w14:paraId="1081F543" w14:textId="77777777" w:rsidR="008A74E9" w:rsidRPr="00485773" w:rsidRDefault="008A74E9" w:rsidP="008A74E9">
      <w:pPr>
        <w:pStyle w:val="FootnoteText"/>
        <w:widowControl w:val="0"/>
        <w:tabs>
          <w:tab w:val="clear" w:pos="1021"/>
        </w:tabs>
        <w:bidi/>
        <w:spacing w:after="60" w:line="280" w:lineRule="exact"/>
        <w:ind w:left="1247" w:right="1247" w:hanging="567"/>
        <w:jc w:val="lowKashida"/>
        <w:textDirection w:val="tbRlV"/>
        <w:rPr>
          <w:szCs w:val="18"/>
          <w:rtl/>
        </w:rPr>
      </w:pPr>
      <w:r w:rsidRPr="00485773">
        <w:rPr>
          <w:szCs w:val="18"/>
          <w:rtl/>
        </w:rPr>
        <w:t>(</w:t>
      </w:r>
      <w:r w:rsidRPr="00485773">
        <w:rPr>
          <w:szCs w:val="18"/>
          <w:rtl/>
        </w:rPr>
        <w:footnoteRef/>
      </w:r>
      <w:r w:rsidRPr="00485773">
        <w:rPr>
          <w:szCs w:val="18"/>
          <w:rtl/>
        </w:rPr>
        <w:t>)</w:t>
      </w:r>
      <w:r w:rsidRPr="00485773">
        <w:rPr>
          <w:szCs w:val="18"/>
          <w:rtl/>
        </w:rPr>
        <w:tab/>
      </w:r>
      <w:hyperlink r:id="rId5" w:history="1">
        <w:r w:rsidRPr="00485773">
          <w:rPr>
            <w:rStyle w:val="Hyperlink"/>
            <w:szCs w:val="18"/>
          </w:rPr>
          <w:t>CMW/C/SR.530</w:t>
        </w:r>
      </w:hyperlink>
      <w:r w:rsidRPr="00485773">
        <w:rPr>
          <w:szCs w:val="18"/>
          <w:rtl/>
        </w:rPr>
        <w:t xml:space="preserve">. </w:t>
      </w:r>
    </w:p>
  </w:footnote>
  <w:footnote w:id="5">
    <w:p w14:paraId="527DDF92" w14:textId="77777777" w:rsidR="008A74E9" w:rsidRPr="00485773" w:rsidRDefault="008A74E9" w:rsidP="008A74E9">
      <w:pPr>
        <w:pStyle w:val="FootnoteText"/>
        <w:widowControl w:val="0"/>
        <w:tabs>
          <w:tab w:val="clear" w:pos="1021"/>
        </w:tabs>
        <w:bidi/>
        <w:spacing w:after="60" w:line="280" w:lineRule="exact"/>
        <w:ind w:left="1247" w:right="1247" w:hanging="567"/>
        <w:jc w:val="lowKashida"/>
        <w:textDirection w:val="tbRlV"/>
        <w:rPr>
          <w:szCs w:val="18"/>
          <w:rtl/>
        </w:rPr>
      </w:pPr>
      <w:r w:rsidRPr="00485773">
        <w:rPr>
          <w:szCs w:val="18"/>
          <w:rtl/>
        </w:rPr>
        <w:t>(</w:t>
      </w:r>
      <w:r w:rsidRPr="00485773">
        <w:rPr>
          <w:szCs w:val="18"/>
          <w:rtl/>
        </w:rPr>
        <w:footnoteRef/>
      </w:r>
      <w:r w:rsidRPr="00485773">
        <w:rPr>
          <w:szCs w:val="18"/>
          <w:rtl/>
        </w:rPr>
        <w:t>)</w:t>
      </w:r>
      <w:r w:rsidRPr="00485773">
        <w:rPr>
          <w:szCs w:val="18"/>
          <w:rtl/>
        </w:rPr>
        <w:tab/>
      </w:r>
      <w:hyperlink r:id="rId6" w:history="1">
        <w:r w:rsidRPr="00485773">
          <w:rPr>
            <w:rStyle w:val="Hyperlink"/>
            <w:szCs w:val="18"/>
          </w:rPr>
          <w:t>CMW/C/SLV/QPR/3</w:t>
        </w:r>
      </w:hyperlink>
      <w:r w:rsidRPr="00485773">
        <w:rPr>
          <w:szCs w:val="18"/>
          <w:rtl/>
        </w:rPr>
        <w:t xml:space="preserve">. </w:t>
      </w:r>
    </w:p>
  </w:footnote>
  <w:footnote w:id="6">
    <w:p w14:paraId="18463F0B" w14:textId="77777777" w:rsidR="008A74E9" w:rsidRPr="00485773" w:rsidRDefault="008A74E9" w:rsidP="008A74E9">
      <w:pPr>
        <w:pStyle w:val="FootnoteText"/>
        <w:widowControl w:val="0"/>
        <w:tabs>
          <w:tab w:val="clear" w:pos="1021"/>
        </w:tabs>
        <w:bidi/>
        <w:spacing w:after="60" w:line="280" w:lineRule="exact"/>
        <w:ind w:left="1247" w:right="1247" w:hanging="567"/>
        <w:jc w:val="lowKashida"/>
        <w:textDirection w:val="tbRlV"/>
        <w:rPr>
          <w:szCs w:val="18"/>
          <w:rtl/>
        </w:rPr>
      </w:pPr>
      <w:r w:rsidRPr="00485773">
        <w:rPr>
          <w:szCs w:val="18"/>
          <w:rtl/>
        </w:rPr>
        <w:t>(</w:t>
      </w:r>
      <w:r w:rsidRPr="00485773">
        <w:rPr>
          <w:szCs w:val="18"/>
          <w:rtl/>
        </w:rPr>
        <w:footnoteRef/>
      </w:r>
      <w:r w:rsidRPr="00485773">
        <w:rPr>
          <w:szCs w:val="18"/>
          <w:rtl/>
        </w:rPr>
        <w:t>)</w:t>
      </w:r>
      <w:r w:rsidRPr="00485773">
        <w:rPr>
          <w:szCs w:val="18"/>
          <w:rtl/>
        </w:rPr>
        <w:tab/>
        <w:t xml:space="preserve">انظر </w:t>
      </w:r>
      <w:hyperlink r:id="rId7" w:history="1">
        <w:r w:rsidRPr="00485773">
          <w:rPr>
            <w:rStyle w:val="Hyperlink"/>
            <w:szCs w:val="18"/>
          </w:rPr>
          <w:t>https://www.ohchr.org/es/press-briefing-notes/2023/03/el-salvador-state-emergency</w:t>
        </w:r>
      </w:hyperlink>
      <w:r w:rsidRPr="00485773">
        <w:rPr>
          <w:szCs w:val="18"/>
          <w:rtl/>
        </w:rPr>
        <w:t xml:space="preserve">. </w:t>
      </w:r>
    </w:p>
  </w:footnote>
  <w:footnote w:id="7">
    <w:p w14:paraId="253A9763" w14:textId="54C546AF" w:rsidR="008A74E9" w:rsidRPr="00485773" w:rsidRDefault="008A74E9" w:rsidP="008A74E9">
      <w:pPr>
        <w:pStyle w:val="FootnoteText"/>
        <w:widowControl w:val="0"/>
        <w:tabs>
          <w:tab w:val="clear" w:pos="1021"/>
        </w:tabs>
        <w:bidi/>
        <w:spacing w:after="60" w:line="280" w:lineRule="exact"/>
        <w:ind w:left="1247" w:right="1247" w:hanging="567"/>
        <w:jc w:val="lowKashida"/>
        <w:textDirection w:val="tbRlV"/>
        <w:rPr>
          <w:szCs w:val="18"/>
          <w:rtl/>
        </w:rPr>
      </w:pPr>
      <w:r w:rsidRPr="00485773">
        <w:rPr>
          <w:szCs w:val="18"/>
          <w:rtl/>
        </w:rPr>
        <w:t>(</w:t>
      </w:r>
      <w:r w:rsidRPr="00485773">
        <w:rPr>
          <w:szCs w:val="18"/>
          <w:rtl/>
        </w:rPr>
        <w:footnoteRef/>
      </w:r>
      <w:r w:rsidRPr="00485773">
        <w:rPr>
          <w:szCs w:val="18"/>
          <w:rtl/>
        </w:rPr>
        <w:t>)</w:t>
      </w:r>
      <w:r w:rsidRPr="00485773">
        <w:rPr>
          <w:szCs w:val="18"/>
          <w:rtl/>
        </w:rPr>
        <w:tab/>
      </w:r>
      <w:hyperlink r:id="rId8" w:history="1">
        <w:r w:rsidRPr="00485773">
          <w:rPr>
            <w:rStyle w:val="Hyperlink"/>
            <w:szCs w:val="18"/>
          </w:rPr>
          <w:t>E/C.12/SLV/CO/6</w:t>
        </w:r>
      </w:hyperlink>
      <w:r w:rsidRPr="00485773">
        <w:rPr>
          <w:szCs w:val="18"/>
          <w:rtl/>
        </w:rPr>
        <w:t>، الفقرة 5.</w:t>
      </w:r>
    </w:p>
  </w:footnote>
  <w:footnote w:id="8">
    <w:p w14:paraId="5253B304" w14:textId="77777777" w:rsidR="008A74E9" w:rsidRPr="00485773" w:rsidRDefault="008A74E9" w:rsidP="008A74E9">
      <w:pPr>
        <w:pStyle w:val="FootnoteText"/>
        <w:widowControl w:val="0"/>
        <w:tabs>
          <w:tab w:val="clear" w:pos="1021"/>
        </w:tabs>
        <w:bidi/>
        <w:spacing w:after="60" w:line="280" w:lineRule="exact"/>
        <w:ind w:left="1247" w:right="1247" w:hanging="567"/>
        <w:jc w:val="lowKashida"/>
        <w:textDirection w:val="tbRlV"/>
        <w:rPr>
          <w:szCs w:val="18"/>
          <w:rtl/>
        </w:rPr>
      </w:pPr>
      <w:r w:rsidRPr="00485773">
        <w:rPr>
          <w:szCs w:val="18"/>
          <w:rtl/>
        </w:rPr>
        <w:t>(</w:t>
      </w:r>
      <w:r w:rsidRPr="00485773">
        <w:rPr>
          <w:szCs w:val="18"/>
          <w:rtl/>
        </w:rPr>
        <w:footnoteRef/>
      </w:r>
      <w:r w:rsidRPr="00485773">
        <w:rPr>
          <w:szCs w:val="18"/>
          <w:rtl/>
        </w:rPr>
        <w:t>)</w:t>
      </w:r>
      <w:r w:rsidRPr="00485773">
        <w:rPr>
          <w:szCs w:val="18"/>
          <w:rtl/>
        </w:rPr>
        <w:tab/>
      </w:r>
      <w:hyperlink r:id="rId9" w:history="1">
        <w:r w:rsidRPr="00485773">
          <w:rPr>
            <w:rStyle w:val="Hyperlink"/>
            <w:szCs w:val="18"/>
          </w:rPr>
          <w:t>CMW/C/SLV/CO/2</w:t>
        </w:r>
      </w:hyperlink>
      <w:r w:rsidRPr="00485773">
        <w:rPr>
          <w:szCs w:val="18"/>
          <w:rtl/>
        </w:rPr>
        <w:t xml:space="preserve">، الفقرة 11. </w:t>
      </w:r>
    </w:p>
  </w:footnote>
  <w:footnote w:id="9">
    <w:p w14:paraId="0AE0D998" w14:textId="77777777" w:rsidR="008A74E9" w:rsidRPr="00485773" w:rsidRDefault="008A74E9" w:rsidP="008A74E9">
      <w:pPr>
        <w:pStyle w:val="FootnoteText"/>
        <w:widowControl w:val="0"/>
        <w:tabs>
          <w:tab w:val="clear" w:pos="1021"/>
        </w:tabs>
        <w:bidi/>
        <w:spacing w:after="60" w:line="280" w:lineRule="exact"/>
        <w:ind w:left="1247" w:right="1247" w:hanging="567"/>
        <w:jc w:val="lowKashida"/>
        <w:textDirection w:val="tbRlV"/>
        <w:rPr>
          <w:szCs w:val="18"/>
          <w:rtl/>
        </w:rPr>
      </w:pPr>
      <w:r w:rsidRPr="00485773">
        <w:rPr>
          <w:szCs w:val="18"/>
          <w:rtl/>
        </w:rPr>
        <w:t>(</w:t>
      </w:r>
      <w:r w:rsidRPr="00485773">
        <w:rPr>
          <w:szCs w:val="18"/>
          <w:rtl/>
        </w:rPr>
        <w:footnoteRef/>
      </w:r>
      <w:r w:rsidRPr="00485773">
        <w:rPr>
          <w:szCs w:val="18"/>
          <w:rtl/>
        </w:rPr>
        <w:t>)</w:t>
      </w:r>
      <w:r w:rsidRPr="00485773">
        <w:rPr>
          <w:szCs w:val="18"/>
          <w:rtl/>
        </w:rPr>
        <w:tab/>
      </w:r>
      <w:hyperlink r:id="rId10" w:history="1">
        <w:r w:rsidRPr="00485773">
          <w:rPr>
            <w:rStyle w:val="Hyperlink"/>
            <w:szCs w:val="18"/>
          </w:rPr>
          <w:t>CAT/C/SLV/CO/3</w:t>
        </w:r>
      </w:hyperlink>
      <w:r w:rsidRPr="00485773">
        <w:rPr>
          <w:szCs w:val="18"/>
          <w:rtl/>
        </w:rPr>
        <w:t xml:space="preserve">، الفقرة 33. </w:t>
      </w:r>
    </w:p>
  </w:footnote>
  <w:footnote w:id="10">
    <w:p w14:paraId="6A361089" w14:textId="77777777" w:rsidR="008A74E9" w:rsidRPr="00485773" w:rsidRDefault="008A74E9" w:rsidP="008A74E9">
      <w:pPr>
        <w:pStyle w:val="FootnoteText"/>
        <w:widowControl w:val="0"/>
        <w:tabs>
          <w:tab w:val="clear" w:pos="1021"/>
        </w:tabs>
        <w:bidi/>
        <w:spacing w:after="60" w:line="280" w:lineRule="exact"/>
        <w:ind w:left="1247" w:right="1247" w:hanging="567"/>
        <w:jc w:val="lowKashida"/>
        <w:textDirection w:val="tbRlV"/>
        <w:rPr>
          <w:szCs w:val="18"/>
          <w:rtl/>
        </w:rPr>
      </w:pPr>
      <w:r w:rsidRPr="00485773">
        <w:rPr>
          <w:szCs w:val="18"/>
          <w:rtl/>
        </w:rPr>
        <w:t>(</w:t>
      </w:r>
      <w:r w:rsidRPr="00485773">
        <w:rPr>
          <w:szCs w:val="18"/>
          <w:rtl/>
        </w:rPr>
        <w:footnoteRef/>
      </w:r>
      <w:r w:rsidRPr="00485773">
        <w:rPr>
          <w:szCs w:val="18"/>
          <w:rtl/>
        </w:rPr>
        <w:t>)</w:t>
      </w:r>
      <w:r w:rsidRPr="00485773">
        <w:rPr>
          <w:szCs w:val="18"/>
          <w:rtl/>
        </w:rPr>
        <w:tab/>
      </w:r>
      <w:hyperlink r:id="rId11" w:history="1">
        <w:r w:rsidRPr="00485773">
          <w:rPr>
            <w:rStyle w:val="Hyperlink"/>
            <w:szCs w:val="18"/>
          </w:rPr>
          <w:t>HRI/GEN.2/Rev.6</w:t>
        </w:r>
      </w:hyperlink>
      <w:r w:rsidRPr="00485773">
        <w:rPr>
          <w:szCs w:val="18"/>
          <w:rtl/>
        </w:rPr>
        <w:t xml:space="preserv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B9BE94F" w14:textId="37C4CD9A" w:rsidR="00F37C78" w:rsidRPr="00F37C78" w:rsidRDefault="00F37C78" w:rsidP="00F37C78">
    <w:pPr>
      <w:pStyle w:val="Header"/>
      <w:spacing w:line="240" w:lineRule="auto"/>
      <w:jc w:val="left"/>
    </w:pPr>
    <w:r>
      <w:rPr>
        <w:rtl/>
      </w:rPr>
      <w:fldChar w:fldCharType="begin"/>
    </w:r>
    <w:r>
      <w:rPr>
        <w:rtl/>
      </w:rPr>
      <w:instrText xml:space="preserve"> </w:instrText>
    </w:r>
    <w:r>
      <w:instrText>TITLE</w:instrText>
    </w:r>
    <w:r>
      <w:rPr>
        <w:rtl/>
      </w:rPr>
      <w:instrText xml:space="preserve">  \* </w:instrText>
    </w:r>
    <w:r>
      <w:instrText>MERGEFORMAT</w:instrText>
    </w:r>
    <w:r>
      <w:rPr>
        <w:rtl/>
      </w:rPr>
      <w:instrText xml:space="preserve"> </w:instrText>
    </w:r>
    <w:r>
      <w:rPr>
        <w:rtl/>
      </w:rPr>
      <w:fldChar w:fldCharType="separate"/>
    </w:r>
    <w:r>
      <w:t>CMW/C/SLV/CO/3</w:t>
    </w:r>
    <w:r>
      <w:rPr>
        <w:rtl/>
      </w:rP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D6E8CA6" w14:textId="54E73400" w:rsidR="00F37C78" w:rsidRPr="00F37C78" w:rsidRDefault="00F37C78" w:rsidP="00F37C78">
    <w:pPr>
      <w:pStyle w:val="Header"/>
      <w:bidi w:val="0"/>
      <w:spacing w:line="240" w:lineRule="auto"/>
    </w:pPr>
    <w:r>
      <w:rPr>
        <w:rtl/>
      </w:rPr>
      <w:fldChar w:fldCharType="begin"/>
    </w:r>
    <w:r>
      <w:rPr>
        <w:rtl/>
      </w:rPr>
      <w:instrText xml:space="preserve"> </w:instrText>
    </w:r>
    <w:r>
      <w:instrText>TITLE</w:instrText>
    </w:r>
    <w:r>
      <w:rPr>
        <w:rtl/>
      </w:rPr>
      <w:instrText xml:space="preserve">  \* </w:instrText>
    </w:r>
    <w:r>
      <w:instrText>MERGEFORMAT</w:instrText>
    </w:r>
    <w:r>
      <w:rPr>
        <w:rtl/>
      </w:rPr>
      <w:instrText xml:space="preserve"> </w:instrText>
    </w:r>
    <w:r>
      <w:rPr>
        <w:rtl/>
      </w:rPr>
      <w:fldChar w:fldCharType="separate"/>
    </w:r>
    <w:r>
      <w:t>CMW/C/SLV/CO/3</w:t>
    </w:r>
    <w:r>
      <w:rPr>
        <w:rtl/>
      </w:rP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03F2036B"/>
    <w:multiLevelType w:val="hybridMultilevel"/>
    <w:tmpl w:val="B22E0BFA"/>
    <w:lvl w:ilvl="0" w:tplc="9008FA9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0B851AF4"/>
    <w:multiLevelType w:val="hybridMultilevel"/>
    <w:tmpl w:val="462EC7C6"/>
    <w:lvl w:ilvl="0" w:tplc="7A2C7C9E">
      <w:start w:val="1"/>
      <w:numFmt w:val="bullet"/>
      <w:pStyle w:val="Bullet1GA"/>
      <w:lvlText w:val=""/>
      <w:lvlJc w:val="left"/>
      <w:pPr>
        <w:tabs>
          <w:tab w:val="num" w:pos="2495"/>
        </w:tabs>
        <w:ind w:left="2495" w:hanging="545"/>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0C107804"/>
    <w:multiLevelType w:val="hybridMultilevel"/>
    <w:tmpl w:val="EAAE9AA0"/>
    <w:lvl w:ilvl="0" w:tplc="D602C7FE">
      <w:start w:val="1"/>
      <w:numFmt w:val="bullet"/>
      <w:pStyle w:val="Bullet1"/>
      <w:lvlText w:val=""/>
      <w:lvlJc w:val="left"/>
      <w:pPr>
        <w:ind w:left="1976" w:hanging="360"/>
      </w:pPr>
      <w:rPr>
        <w:rFonts w:ascii="Symbol" w:hAnsi="Symbol" w:cs="Symbol" w:hint="default"/>
        <w:sz w:val="1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A515502"/>
    <w:multiLevelType w:val="hybridMultilevel"/>
    <w:tmpl w:val="B66A8766"/>
    <w:lvl w:ilvl="0" w:tplc="A1667854">
      <w:start w:val="1"/>
      <w:numFmt w:val="arabicAlpha"/>
      <w:lvlText w:val="(%1)"/>
      <w:lvlJc w:val="left"/>
      <w:pPr>
        <w:ind w:left="2612" w:hanging="682"/>
      </w:pPr>
      <w:rPr>
        <w:rFonts w:hint="default"/>
      </w:rPr>
    </w:lvl>
    <w:lvl w:ilvl="1" w:tplc="04090019" w:tentative="1">
      <w:start w:val="1"/>
      <w:numFmt w:val="lowerLetter"/>
      <w:lvlText w:val="%2."/>
      <w:lvlJc w:val="left"/>
      <w:pPr>
        <w:ind w:left="3010" w:hanging="360"/>
      </w:pPr>
    </w:lvl>
    <w:lvl w:ilvl="2" w:tplc="0409001B" w:tentative="1">
      <w:start w:val="1"/>
      <w:numFmt w:val="lowerRoman"/>
      <w:lvlText w:val="%3."/>
      <w:lvlJc w:val="right"/>
      <w:pPr>
        <w:ind w:left="3730" w:hanging="180"/>
      </w:pPr>
    </w:lvl>
    <w:lvl w:ilvl="3" w:tplc="0409000F" w:tentative="1">
      <w:start w:val="1"/>
      <w:numFmt w:val="decimal"/>
      <w:lvlText w:val="%4."/>
      <w:lvlJc w:val="left"/>
      <w:pPr>
        <w:ind w:left="4450" w:hanging="360"/>
      </w:pPr>
    </w:lvl>
    <w:lvl w:ilvl="4" w:tplc="04090019" w:tentative="1">
      <w:start w:val="1"/>
      <w:numFmt w:val="lowerLetter"/>
      <w:lvlText w:val="%5."/>
      <w:lvlJc w:val="left"/>
      <w:pPr>
        <w:ind w:left="5170" w:hanging="360"/>
      </w:pPr>
    </w:lvl>
    <w:lvl w:ilvl="5" w:tplc="0409001B" w:tentative="1">
      <w:start w:val="1"/>
      <w:numFmt w:val="lowerRoman"/>
      <w:lvlText w:val="%6."/>
      <w:lvlJc w:val="right"/>
      <w:pPr>
        <w:ind w:left="5890" w:hanging="180"/>
      </w:pPr>
    </w:lvl>
    <w:lvl w:ilvl="6" w:tplc="0409000F" w:tentative="1">
      <w:start w:val="1"/>
      <w:numFmt w:val="decimal"/>
      <w:lvlText w:val="%7."/>
      <w:lvlJc w:val="left"/>
      <w:pPr>
        <w:ind w:left="6610" w:hanging="360"/>
      </w:pPr>
    </w:lvl>
    <w:lvl w:ilvl="7" w:tplc="04090019" w:tentative="1">
      <w:start w:val="1"/>
      <w:numFmt w:val="lowerLetter"/>
      <w:lvlText w:val="%8."/>
      <w:lvlJc w:val="left"/>
      <w:pPr>
        <w:ind w:left="7330" w:hanging="360"/>
      </w:pPr>
    </w:lvl>
    <w:lvl w:ilvl="8" w:tplc="0409001B" w:tentative="1">
      <w:start w:val="1"/>
      <w:numFmt w:val="lowerRoman"/>
      <w:lvlText w:val="%9."/>
      <w:lvlJc w:val="right"/>
      <w:pPr>
        <w:ind w:left="8050" w:hanging="180"/>
      </w:pPr>
    </w:lvl>
  </w:abstractNum>
  <w:abstractNum w:abstractNumId="5" w15:restartNumberingAfterBreak="0">
    <w:nsid w:val="25F272F0"/>
    <w:multiLevelType w:val="hybridMultilevel"/>
    <w:tmpl w:val="639E4496"/>
    <w:lvl w:ilvl="0" w:tplc="9AA29D80">
      <w:start w:val="1"/>
      <w:numFmt w:val="decimal"/>
      <w:pStyle w:val="Roman1GA"/>
      <w:lvlText w:val="'%1'"/>
      <w:lvlJc w:val="right"/>
      <w:pPr>
        <w:tabs>
          <w:tab w:val="num" w:pos="2310"/>
        </w:tabs>
        <w:ind w:left="2310" w:hanging="360"/>
      </w:pPr>
    </w:lvl>
    <w:lvl w:ilvl="1" w:tplc="04090003" w:tentative="1">
      <w:start w:val="1"/>
      <w:numFmt w:val="bullet"/>
      <w:lvlText w:val="o"/>
      <w:lvlJc w:val="left"/>
      <w:pPr>
        <w:tabs>
          <w:tab w:val="num" w:pos="3028"/>
        </w:tabs>
        <w:ind w:left="3028" w:hanging="360"/>
      </w:pPr>
      <w:rPr>
        <w:rFonts w:ascii="Courier New" w:hAnsi="Courier New" w:cs="Courier New" w:hint="default"/>
      </w:rPr>
    </w:lvl>
    <w:lvl w:ilvl="2" w:tplc="04090005" w:tentative="1">
      <w:start w:val="1"/>
      <w:numFmt w:val="bullet"/>
      <w:lvlText w:val=""/>
      <w:lvlJc w:val="left"/>
      <w:pPr>
        <w:tabs>
          <w:tab w:val="num" w:pos="3748"/>
        </w:tabs>
        <w:ind w:left="3748" w:hanging="360"/>
      </w:pPr>
      <w:rPr>
        <w:rFonts w:ascii="Wingdings" w:hAnsi="Wingdings" w:hint="default"/>
      </w:rPr>
    </w:lvl>
    <w:lvl w:ilvl="3" w:tplc="04090001" w:tentative="1">
      <w:start w:val="1"/>
      <w:numFmt w:val="bullet"/>
      <w:lvlText w:val=""/>
      <w:lvlJc w:val="left"/>
      <w:pPr>
        <w:tabs>
          <w:tab w:val="num" w:pos="4468"/>
        </w:tabs>
        <w:ind w:left="4468" w:hanging="360"/>
      </w:pPr>
      <w:rPr>
        <w:rFonts w:ascii="Symbol" w:hAnsi="Symbol" w:hint="default"/>
      </w:rPr>
    </w:lvl>
    <w:lvl w:ilvl="4" w:tplc="04090003" w:tentative="1">
      <w:start w:val="1"/>
      <w:numFmt w:val="bullet"/>
      <w:lvlText w:val="o"/>
      <w:lvlJc w:val="left"/>
      <w:pPr>
        <w:tabs>
          <w:tab w:val="num" w:pos="5188"/>
        </w:tabs>
        <w:ind w:left="5188" w:hanging="360"/>
      </w:pPr>
      <w:rPr>
        <w:rFonts w:ascii="Courier New" w:hAnsi="Courier New" w:cs="Courier New" w:hint="default"/>
      </w:rPr>
    </w:lvl>
    <w:lvl w:ilvl="5" w:tplc="04090005" w:tentative="1">
      <w:start w:val="1"/>
      <w:numFmt w:val="bullet"/>
      <w:lvlText w:val=""/>
      <w:lvlJc w:val="left"/>
      <w:pPr>
        <w:tabs>
          <w:tab w:val="num" w:pos="5908"/>
        </w:tabs>
        <w:ind w:left="5908" w:hanging="360"/>
      </w:pPr>
      <w:rPr>
        <w:rFonts w:ascii="Wingdings" w:hAnsi="Wingdings" w:hint="default"/>
      </w:rPr>
    </w:lvl>
    <w:lvl w:ilvl="6" w:tplc="04090001" w:tentative="1">
      <w:start w:val="1"/>
      <w:numFmt w:val="bullet"/>
      <w:lvlText w:val=""/>
      <w:lvlJc w:val="left"/>
      <w:pPr>
        <w:tabs>
          <w:tab w:val="num" w:pos="6628"/>
        </w:tabs>
        <w:ind w:left="6628" w:hanging="360"/>
      </w:pPr>
      <w:rPr>
        <w:rFonts w:ascii="Symbol" w:hAnsi="Symbol" w:hint="default"/>
      </w:rPr>
    </w:lvl>
    <w:lvl w:ilvl="7" w:tplc="04090003" w:tentative="1">
      <w:start w:val="1"/>
      <w:numFmt w:val="bullet"/>
      <w:lvlText w:val="o"/>
      <w:lvlJc w:val="left"/>
      <w:pPr>
        <w:tabs>
          <w:tab w:val="num" w:pos="7348"/>
        </w:tabs>
        <w:ind w:left="7348" w:hanging="360"/>
      </w:pPr>
      <w:rPr>
        <w:rFonts w:ascii="Courier New" w:hAnsi="Courier New" w:cs="Courier New" w:hint="default"/>
      </w:rPr>
    </w:lvl>
    <w:lvl w:ilvl="8" w:tplc="04090005" w:tentative="1">
      <w:start w:val="1"/>
      <w:numFmt w:val="bullet"/>
      <w:lvlText w:val=""/>
      <w:lvlJc w:val="left"/>
      <w:pPr>
        <w:tabs>
          <w:tab w:val="num" w:pos="8068"/>
        </w:tabs>
        <w:ind w:left="8068" w:hanging="360"/>
      </w:pPr>
      <w:rPr>
        <w:rFonts w:ascii="Wingdings" w:hAnsi="Wingdings" w:hint="default"/>
      </w:rPr>
    </w:lvl>
  </w:abstractNum>
  <w:abstractNum w:abstractNumId="6" w15:restartNumberingAfterBreak="0">
    <w:nsid w:val="2E7D2AC6"/>
    <w:multiLevelType w:val="hybridMultilevel"/>
    <w:tmpl w:val="3D12582C"/>
    <w:lvl w:ilvl="0" w:tplc="CB588E8E">
      <w:start w:val="1"/>
      <w:numFmt w:val="bullet"/>
      <w:lvlText w:val="o"/>
      <w:lvlJc w:val="left"/>
      <w:pPr>
        <w:ind w:left="720" w:hanging="360"/>
      </w:pPr>
      <w:rPr>
        <w:rFonts w:ascii="Courier New" w:hAnsi="Courier New" w:cs="Courier New" w:hint="default"/>
        <w:spacing w:val="-2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2EB4774D"/>
    <w:multiLevelType w:val="hybridMultilevel"/>
    <w:tmpl w:val="06BA8590"/>
    <w:lvl w:ilvl="0" w:tplc="0809000F">
      <w:start w:val="1"/>
      <w:numFmt w:val="decimal"/>
      <w:lvlText w:val="%1."/>
      <w:lvlJc w:val="left"/>
      <w:pPr>
        <w:ind w:left="720" w:hanging="360"/>
      </w:pPr>
      <w:rPr>
        <w:rFonts w:hint="default"/>
      </w:rPr>
    </w:lvl>
    <w:lvl w:ilvl="1" w:tplc="100C0019" w:tentative="1">
      <w:start w:val="1"/>
      <w:numFmt w:val="lowerLetter"/>
      <w:lvlText w:val="%2."/>
      <w:lvlJc w:val="left"/>
      <w:pPr>
        <w:ind w:left="1440" w:hanging="360"/>
      </w:pPr>
    </w:lvl>
    <w:lvl w:ilvl="2" w:tplc="100C001B" w:tentative="1">
      <w:start w:val="1"/>
      <w:numFmt w:val="lowerRoman"/>
      <w:lvlText w:val="%3."/>
      <w:lvlJc w:val="right"/>
      <w:pPr>
        <w:ind w:left="2160" w:hanging="180"/>
      </w:pPr>
    </w:lvl>
    <w:lvl w:ilvl="3" w:tplc="100C000F" w:tentative="1">
      <w:start w:val="1"/>
      <w:numFmt w:val="decimal"/>
      <w:lvlText w:val="%4."/>
      <w:lvlJc w:val="left"/>
      <w:pPr>
        <w:ind w:left="2880" w:hanging="360"/>
      </w:pPr>
    </w:lvl>
    <w:lvl w:ilvl="4" w:tplc="100C0019" w:tentative="1">
      <w:start w:val="1"/>
      <w:numFmt w:val="lowerLetter"/>
      <w:lvlText w:val="%5."/>
      <w:lvlJc w:val="left"/>
      <w:pPr>
        <w:ind w:left="3600" w:hanging="360"/>
      </w:pPr>
    </w:lvl>
    <w:lvl w:ilvl="5" w:tplc="100C001B" w:tentative="1">
      <w:start w:val="1"/>
      <w:numFmt w:val="lowerRoman"/>
      <w:lvlText w:val="%6."/>
      <w:lvlJc w:val="right"/>
      <w:pPr>
        <w:ind w:left="4320" w:hanging="180"/>
      </w:pPr>
    </w:lvl>
    <w:lvl w:ilvl="6" w:tplc="100C000F" w:tentative="1">
      <w:start w:val="1"/>
      <w:numFmt w:val="decimal"/>
      <w:lvlText w:val="%7."/>
      <w:lvlJc w:val="left"/>
      <w:pPr>
        <w:ind w:left="5040" w:hanging="360"/>
      </w:pPr>
    </w:lvl>
    <w:lvl w:ilvl="7" w:tplc="100C0019" w:tentative="1">
      <w:start w:val="1"/>
      <w:numFmt w:val="lowerLetter"/>
      <w:lvlText w:val="%8."/>
      <w:lvlJc w:val="left"/>
      <w:pPr>
        <w:ind w:left="5760" w:hanging="360"/>
      </w:pPr>
    </w:lvl>
    <w:lvl w:ilvl="8" w:tplc="100C001B" w:tentative="1">
      <w:start w:val="1"/>
      <w:numFmt w:val="lowerRoman"/>
      <w:lvlText w:val="%9."/>
      <w:lvlJc w:val="right"/>
      <w:pPr>
        <w:ind w:left="6480" w:hanging="180"/>
      </w:pPr>
    </w:lvl>
  </w:abstractNum>
  <w:abstractNum w:abstractNumId="8" w15:restartNumberingAfterBreak="0">
    <w:nsid w:val="32A75D52"/>
    <w:multiLevelType w:val="hybridMultilevel"/>
    <w:tmpl w:val="B622CBCC"/>
    <w:lvl w:ilvl="0" w:tplc="EF10EA04">
      <w:start w:val="1"/>
      <w:numFmt w:val="decimal"/>
      <w:pStyle w:val="ParaNoGA"/>
      <w:lvlText w:val="%1-"/>
      <w:lvlJc w:val="left"/>
      <w:pPr>
        <w:tabs>
          <w:tab w:val="num" w:pos="1361"/>
        </w:tabs>
        <w:ind w:left="1247" w:firstLine="0"/>
      </w:pPr>
      <w:rPr>
        <w:rFonts w:cs="Simplified Arabic"/>
        <w:sz w:val="22"/>
        <w:szCs w:val="22"/>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9" w15:restartNumberingAfterBreak="0">
    <w:nsid w:val="3ACF4EB2"/>
    <w:multiLevelType w:val="hybridMultilevel"/>
    <w:tmpl w:val="BE9AB9A6"/>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0" w15:restartNumberingAfterBreak="0">
    <w:nsid w:val="3ADF34DA"/>
    <w:multiLevelType w:val="hybridMultilevel"/>
    <w:tmpl w:val="21FC2716"/>
    <w:lvl w:ilvl="0" w:tplc="6E5892B2">
      <w:start w:val="1"/>
      <w:numFmt w:val="decimal"/>
      <w:lvlText w:val="%1."/>
      <w:lvlJc w:val="left"/>
      <w:pPr>
        <w:ind w:left="720" w:hanging="360"/>
      </w:pPr>
      <w:rPr>
        <w:rFonts w:cs="Times New Roman"/>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1" w15:restartNumberingAfterBreak="0">
    <w:nsid w:val="454B2370"/>
    <w:multiLevelType w:val="hybridMultilevel"/>
    <w:tmpl w:val="7720856A"/>
    <w:lvl w:ilvl="0" w:tplc="D090D7F2">
      <w:start w:val="1"/>
      <w:numFmt w:val="bullet"/>
      <w:pStyle w:val="Bullet2GA"/>
      <w:lvlText w:val=""/>
      <w:lvlJc w:val="left"/>
      <w:pPr>
        <w:tabs>
          <w:tab w:val="num" w:pos="3215"/>
        </w:tabs>
        <w:ind w:left="3215" w:hanging="360"/>
      </w:pPr>
      <w:rPr>
        <w:rFonts w:ascii="Symbol" w:hAnsi="Symbol" w:hint="default"/>
      </w:rPr>
    </w:lvl>
    <w:lvl w:ilvl="1" w:tplc="04090003" w:tentative="1">
      <w:start w:val="1"/>
      <w:numFmt w:val="bullet"/>
      <w:lvlText w:val="o"/>
      <w:lvlJc w:val="left"/>
      <w:pPr>
        <w:tabs>
          <w:tab w:val="num" w:pos="3935"/>
        </w:tabs>
        <w:ind w:left="3935" w:hanging="360"/>
      </w:pPr>
      <w:rPr>
        <w:rFonts w:ascii="Courier New" w:hAnsi="Courier New" w:cs="Courier New" w:hint="default"/>
      </w:rPr>
    </w:lvl>
    <w:lvl w:ilvl="2" w:tplc="04090005" w:tentative="1">
      <w:start w:val="1"/>
      <w:numFmt w:val="bullet"/>
      <w:lvlText w:val=""/>
      <w:lvlJc w:val="left"/>
      <w:pPr>
        <w:tabs>
          <w:tab w:val="num" w:pos="4655"/>
        </w:tabs>
        <w:ind w:left="4655" w:hanging="360"/>
      </w:pPr>
      <w:rPr>
        <w:rFonts w:ascii="Wingdings" w:hAnsi="Wingdings" w:hint="default"/>
      </w:rPr>
    </w:lvl>
    <w:lvl w:ilvl="3" w:tplc="04090001" w:tentative="1">
      <w:start w:val="1"/>
      <w:numFmt w:val="bullet"/>
      <w:lvlText w:val=""/>
      <w:lvlJc w:val="left"/>
      <w:pPr>
        <w:tabs>
          <w:tab w:val="num" w:pos="5375"/>
        </w:tabs>
        <w:ind w:left="5375" w:hanging="360"/>
      </w:pPr>
      <w:rPr>
        <w:rFonts w:ascii="Symbol" w:hAnsi="Symbol" w:hint="default"/>
      </w:rPr>
    </w:lvl>
    <w:lvl w:ilvl="4" w:tplc="04090003" w:tentative="1">
      <w:start w:val="1"/>
      <w:numFmt w:val="bullet"/>
      <w:lvlText w:val="o"/>
      <w:lvlJc w:val="left"/>
      <w:pPr>
        <w:tabs>
          <w:tab w:val="num" w:pos="6095"/>
        </w:tabs>
        <w:ind w:left="6095" w:hanging="360"/>
      </w:pPr>
      <w:rPr>
        <w:rFonts w:ascii="Courier New" w:hAnsi="Courier New" w:cs="Courier New" w:hint="default"/>
      </w:rPr>
    </w:lvl>
    <w:lvl w:ilvl="5" w:tplc="04090005" w:tentative="1">
      <w:start w:val="1"/>
      <w:numFmt w:val="bullet"/>
      <w:lvlText w:val=""/>
      <w:lvlJc w:val="left"/>
      <w:pPr>
        <w:tabs>
          <w:tab w:val="num" w:pos="6815"/>
        </w:tabs>
        <w:ind w:left="6815" w:hanging="360"/>
      </w:pPr>
      <w:rPr>
        <w:rFonts w:ascii="Wingdings" w:hAnsi="Wingdings" w:hint="default"/>
      </w:rPr>
    </w:lvl>
    <w:lvl w:ilvl="6" w:tplc="04090001" w:tentative="1">
      <w:start w:val="1"/>
      <w:numFmt w:val="bullet"/>
      <w:lvlText w:val=""/>
      <w:lvlJc w:val="left"/>
      <w:pPr>
        <w:tabs>
          <w:tab w:val="num" w:pos="7535"/>
        </w:tabs>
        <w:ind w:left="7535" w:hanging="360"/>
      </w:pPr>
      <w:rPr>
        <w:rFonts w:ascii="Symbol" w:hAnsi="Symbol" w:hint="default"/>
      </w:rPr>
    </w:lvl>
    <w:lvl w:ilvl="7" w:tplc="04090003" w:tentative="1">
      <w:start w:val="1"/>
      <w:numFmt w:val="bullet"/>
      <w:lvlText w:val="o"/>
      <w:lvlJc w:val="left"/>
      <w:pPr>
        <w:tabs>
          <w:tab w:val="num" w:pos="8255"/>
        </w:tabs>
        <w:ind w:left="8255" w:hanging="360"/>
      </w:pPr>
      <w:rPr>
        <w:rFonts w:ascii="Courier New" w:hAnsi="Courier New" w:cs="Courier New" w:hint="default"/>
      </w:rPr>
    </w:lvl>
    <w:lvl w:ilvl="8" w:tplc="04090005" w:tentative="1">
      <w:start w:val="1"/>
      <w:numFmt w:val="bullet"/>
      <w:lvlText w:val=""/>
      <w:lvlJc w:val="left"/>
      <w:pPr>
        <w:tabs>
          <w:tab w:val="num" w:pos="8975"/>
        </w:tabs>
        <w:ind w:left="8975" w:hanging="360"/>
      </w:pPr>
      <w:rPr>
        <w:rFonts w:ascii="Wingdings" w:hAnsi="Wingdings" w:hint="default"/>
      </w:rPr>
    </w:lvl>
  </w:abstractNum>
  <w:abstractNum w:abstractNumId="12" w15:restartNumberingAfterBreak="0">
    <w:nsid w:val="48F8044A"/>
    <w:multiLevelType w:val="hybridMultilevel"/>
    <w:tmpl w:val="973C8384"/>
    <w:lvl w:ilvl="0" w:tplc="F1944034">
      <w:start w:val="1"/>
      <w:numFmt w:val="decimal"/>
      <w:lvlText w:val="(%1)"/>
      <w:lvlJc w:val="right"/>
      <w:pPr>
        <w:ind w:left="720" w:hanging="360"/>
      </w:pPr>
      <w:rPr>
        <w:rFonts w:ascii="Traditional Arabic" w:hAnsi="Traditional Arabic" w:cs="Traditional Arabic"/>
        <w:sz w:val="26"/>
        <w:szCs w:val="26"/>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5DFB3625"/>
    <w:multiLevelType w:val="hybridMultilevel"/>
    <w:tmpl w:val="C4BCDC5E"/>
    <w:lvl w:ilvl="0" w:tplc="702CE228">
      <w:start w:val="1"/>
      <w:numFmt w:val="bullet"/>
      <w:pStyle w:val="Bullet3"/>
      <w:lvlText w:val=""/>
      <w:lvlJc w:val="left"/>
      <w:pPr>
        <w:ind w:left="3283" w:hanging="360"/>
      </w:pPr>
      <w:rPr>
        <w:rFonts w:ascii="Symbol" w:hAnsi="Symbol" w:cs="Symbol" w:hint="default"/>
        <w:sz w:val="14"/>
      </w:rPr>
    </w:lvl>
    <w:lvl w:ilvl="1" w:tplc="04090003" w:tentative="1">
      <w:start w:val="1"/>
      <w:numFmt w:val="bullet"/>
      <w:lvlText w:val="o"/>
      <w:lvlJc w:val="left"/>
      <w:pPr>
        <w:ind w:left="4003" w:hanging="360"/>
      </w:pPr>
      <w:rPr>
        <w:rFonts w:ascii="Courier New" w:hAnsi="Courier New" w:cs="Courier New" w:hint="default"/>
      </w:rPr>
    </w:lvl>
    <w:lvl w:ilvl="2" w:tplc="04090005" w:tentative="1">
      <w:start w:val="1"/>
      <w:numFmt w:val="bullet"/>
      <w:lvlText w:val=""/>
      <w:lvlJc w:val="left"/>
      <w:pPr>
        <w:ind w:left="4723" w:hanging="360"/>
      </w:pPr>
      <w:rPr>
        <w:rFonts w:ascii="Wingdings" w:hAnsi="Wingdings" w:hint="default"/>
      </w:rPr>
    </w:lvl>
    <w:lvl w:ilvl="3" w:tplc="04090001" w:tentative="1">
      <w:start w:val="1"/>
      <w:numFmt w:val="bullet"/>
      <w:lvlText w:val=""/>
      <w:lvlJc w:val="left"/>
      <w:pPr>
        <w:ind w:left="5443" w:hanging="360"/>
      </w:pPr>
      <w:rPr>
        <w:rFonts w:ascii="Symbol" w:hAnsi="Symbol" w:hint="default"/>
      </w:rPr>
    </w:lvl>
    <w:lvl w:ilvl="4" w:tplc="04090003" w:tentative="1">
      <w:start w:val="1"/>
      <w:numFmt w:val="bullet"/>
      <w:lvlText w:val="o"/>
      <w:lvlJc w:val="left"/>
      <w:pPr>
        <w:ind w:left="6163" w:hanging="360"/>
      </w:pPr>
      <w:rPr>
        <w:rFonts w:ascii="Courier New" w:hAnsi="Courier New" w:cs="Courier New" w:hint="default"/>
      </w:rPr>
    </w:lvl>
    <w:lvl w:ilvl="5" w:tplc="04090005" w:tentative="1">
      <w:start w:val="1"/>
      <w:numFmt w:val="bullet"/>
      <w:lvlText w:val=""/>
      <w:lvlJc w:val="left"/>
      <w:pPr>
        <w:ind w:left="6883" w:hanging="360"/>
      </w:pPr>
      <w:rPr>
        <w:rFonts w:ascii="Wingdings" w:hAnsi="Wingdings" w:hint="default"/>
      </w:rPr>
    </w:lvl>
    <w:lvl w:ilvl="6" w:tplc="04090001" w:tentative="1">
      <w:start w:val="1"/>
      <w:numFmt w:val="bullet"/>
      <w:lvlText w:val=""/>
      <w:lvlJc w:val="left"/>
      <w:pPr>
        <w:ind w:left="7603" w:hanging="360"/>
      </w:pPr>
      <w:rPr>
        <w:rFonts w:ascii="Symbol" w:hAnsi="Symbol" w:hint="default"/>
      </w:rPr>
    </w:lvl>
    <w:lvl w:ilvl="7" w:tplc="04090003" w:tentative="1">
      <w:start w:val="1"/>
      <w:numFmt w:val="bullet"/>
      <w:lvlText w:val="o"/>
      <w:lvlJc w:val="left"/>
      <w:pPr>
        <w:ind w:left="8323" w:hanging="360"/>
      </w:pPr>
      <w:rPr>
        <w:rFonts w:ascii="Courier New" w:hAnsi="Courier New" w:cs="Courier New" w:hint="default"/>
      </w:rPr>
    </w:lvl>
    <w:lvl w:ilvl="8" w:tplc="04090005" w:tentative="1">
      <w:start w:val="1"/>
      <w:numFmt w:val="bullet"/>
      <w:lvlText w:val=""/>
      <w:lvlJc w:val="left"/>
      <w:pPr>
        <w:ind w:left="9043" w:hanging="360"/>
      </w:pPr>
      <w:rPr>
        <w:rFonts w:ascii="Wingdings" w:hAnsi="Wingdings" w:hint="default"/>
      </w:rPr>
    </w:lvl>
  </w:abstractNum>
  <w:abstractNum w:abstractNumId="14" w15:restartNumberingAfterBreak="0">
    <w:nsid w:val="68AD07B2"/>
    <w:multiLevelType w:val="hybridMultilevel"/>
    <w:tmpl w:val="6EDEC56E"/>
    <w:lvl w:ilvl="0" w:tplc="A61AB22A">
      <w:start w:val="1"/>
      <w:numFmt w:val="bullet"/>
      <w:lvlText w:val="•"/>
      <w:lvlJc w:val="left"/>
      <w:pPr>
        <w:tabs>
          <w:tab w:val="num" w:pos="1701"/>
        </w:tabs>
        <w:ind w:left="1701" w:hanging="170"/>
      </w:pPr>
      <w:rPr>
        <w:rFonts w:ascii="Times New Roman" w:hAnsi="Times New Roman" w:cs="Times New Roman" w:hint="default"/>
        <w:sz w:val="16"/>
        <w:szCs w:val="16"/>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15" w15:restartNumberingAfterBreak="0">
    <w:nsid w:val="6FCD5A59"/>
    <w:multiLevelType w:val="hybridMultilevel"/>
    <w:tmpl w:val="5D8E7F50"/>
    <w:lvl w:ilvl="0" w:tplc="F1944034">
      <w:start w:val="1"/>
      <w:numFmt w:val="decimal"/>
      <w:lvlRestart w:val="0"/>
      <w:lvlText w:val="(%1)"/>
      <w:lvlJc w:val="right"/>
      <w:pPr>
        <w:tabs>
          <w:tab w:val="num" w:pos="1292"/>
        </w:tabs>
        <w:ind w:left="1292" w:hanging="227"/>
      </w:pPr>
      <w:rPr>
        <w:rFonts w:ascii="Traditional Arabic" w:hAnsi="Traditional Arabic" w:cs="Traditional Arabic"/>
        <w:sz w:val="26"/>
        <w:szCs w:val="26"/>
      </w:rPr>
    </w:lvl>
    <w:lvl w:ilvl="1" w:tplc="04090019" w:tentative="1">
      <w:start w:val="1"/>
      <w:numFmt w:val="lowerLetter"/>
      <w:lvlText w:val="%2."/>
      <w:lvlJc w:val="left"/>
      <w:pPr>
        <w:ind w:left="1485" w:hanging="360"/>
      </w:p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16" w15:restartNumberingAfterBreak="0">
    <w:nsid w:val="702101EC"/>
    <w:multiLevelType w:val="hybridMultilevel"/>
    <w:tmpl w:val="D64CD08C"/>
    <w:lvl w:ilvl="0" w:tplc="CE7E406C">
      <w:start w:val="1"/>
      <w:numFmt w:val="bullet"/>
      <w:pStyle w:val="Bullet2"/>
      <w:lvlText w:val=""/>
      <w:lvlJc w:val="left"/>
      <w:pPr>
        <w:ind w:left="720" w:hanging="360"/>
      </w:pPr>
      <w:rPr>
        <w:rFonts w:ascii="Symbol" w:hAnsi="Symbol" w:cs="Symbol" w:hint="default"/>
        <w:sz w:val="1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7AE32A09"/>
    <w:multiLevelType w:val="hybridMultilevel"/>
    <w:tmpl w:val="B8DC87A6"/>
    <w:lvl w:ilvl="0" w:tplc="72A485D8">
      <w:start w:val="1"/>
      <w:numFmt w:val="decimal"/>
      <w:pStyle w:val="Roman2GA"/>
      <w:lvlText w:val="'%1'"/>
      <w:lvlJc w:val="right"/>
      <w:pPr>
        <w:tabs>
          <w:tab w:val="num" w:pos="2877"/>
        </w:tabs>
        <w:ind w:left="2877" w:hanging="360"/>
      </w:pPr>
    </w:lvl>
    <w:lvl w:ilvl="1" w:tplc="04090003" w:tentative="1">
      <w:start w:val="1"/>
      <w:numFmt w:val="bullet"/>
      <w:lvlText w:val="o"/>
      <w:lvlJc w:val="left"/>
      <w:pPr>
        <w:tabs>
          <w:tab w:val="num" w:pos="3595"/>
        </w:tabs>
        <w:ind w:left="3595" w:hanging="360"/>
      </w:pPr>
      <w:rPr>
        <w:rFonts w:ascii="Courier New" w:hAnsi="Courier New" w:cs="Courier New" w:hint="default"/>
      </w:rPr>
    </w:lvl>
    <w:lvl w:ilvl="2" w:tplc="04090005" w:tentative="1">
      <w:start w:val="1"/>
      <w:numFmt w:val="bullet"/>
      <w:lvlText w:val=""/>
      <w:lvlJc w:val="left"/>
      <w:pPr>
        <w:tabs>
          <w:tab w:val="num" w:pos="4315"/>
        </w:tabs>
        <w:ind w:left="4315" w:hanging="360"/>
      </w:pPr>
      <w:rPr>
        <w:rFonts w:ascii="Wingdings" w:hAnsi="Wingdings" w:hint="default"/>
      </w:rPr>
    </w:lvl>
    <w:lvl w:ilvl="3" w:tplc="04090001" w:tentative="1">
      <w:start w:val="1"/>
      <w:numFmt w:val="bullet"/>
      <w:lvlText w:val=""/>
      <w:lvlJc w:val="left"/>
      <w:pPr>
        <w:tabs>
          <w:tab w:val="num" w:pos="5035"/>
        </w:tabs>
        <w:ind w:left="5035" w:hanging="360"/>
      </w:pPr>
      <w:rPr>
        <w:rFonts w:ascii="Symbol" w:hAnsi="Symbol" w:hint="default"/>
      </w:rPr>
    </w:lvl>
    <w:lvl w:ilvl="4" w:tplc="04090003" w:tentative="1">
      <w:start w:val="1"/>
      <w:numFmt w:val="bullet"/>
      <w:lvlText w:val="o"/>
      <w:lvlJc w:val="left"/>
      <w:pPr>
        <w:tabs>
          <w:tab w:val="num" w:pos="5755"/>
        </w:tabs>
        <w:ind w:left="5755" w:hanging="360"/>
      </w:pPr>
      <w:rPr>
        <w:rFonts w:ascii="Courier New" w:hAnsi="Courier New" w:cs="Courier New" w:hint="default"/>
      </w:rPr>
    </w:lvl>
    <w:lvl w:ilvl="5" w:tplc="04090005" w:tentative="1">
      <w:start w:val="1"/>
      <w:numFmt w:val="bullet"/>
      <w:lvlText w:val=""/>
      <w:lvlJc w:val="left"/>
      <w:pPr>
        <w:tabs>
          <w:tab w:val="num" w:pos="6475"/>
        </w:tabs>
        <w:ind w:left="6475" w:hanging="360"/>
      </w:pPr>
      <w:rPr>
        <w:rFonts w:ascii="Wingdings" w:hAnsi="Wingdings" w:hint="default"/>
      </w:rPr>
    </w:lvl>
    <w:lvl w:ilvl="6" w:tplc="04090001" w:tentative="1">
      <w:start w:val="1"/>
      <w:numFmt w:val="bullet"/>
      <w:lvlText w:val=""/>
      <w:lvlJc w:val="left"/>
      <w:pPr>
        <w:tabs>
          <w:tab w:val="num" w:pos="7195"/>
        </w:tabs>
        <w:ind w:left="7195" w:hanging="360"/>
      </w:pPr>
      <w:rPr>
        <w:rFonts w:ascii="Symbol" w:hAnsi="Symbol" w:hint="default"/>
      </w:rPr>
    </w:lvl>
    <w:lvl w:ilvl="7" w:tplc="04090003" w:tentative="1">
      <w:start w:val="1"/>
      <w:numFmt w:val="bullet"/>
      <w:lvlText w:val="o"/>
      <w:lvlJc w:val="left"/>
      <w:pPr>
        <w:tabs>
          <w:tab w:val="num" w:pos="7915"/>
        </w:tabs>
        <w:ind w:left="7915" w:hanging="360"/>
      </w:pPr>
      <w:rPr>
        <w:rFonts w:ascii="Courier New" w:hAnsi="Courier New" w:cs="Courier New" w:hint="default"/>
      </w:rPr>
    </w:lvl>
    <w:lvl w:ilvl="8" w:tplc="04090005" w:tentative="1">
      <w:start w:val="1"/>
      <w:numFmt w:val="bullet"/>
      <w:lvlText w:val=""/>
      <w:lvlJc w:val="left"/>
      <w:pPr>
        <w:tabs>
          <w:tab w:val="num" w:pos="8635"/>
        </w:tabs>
        <w:ind w:left="8635" w:hanging="360"/>
      </w:pPr>
      <w:rPr>
        <w:rFonts w:ascii="Wingdings" w:hAnsi="Wingdings" w:hint="default"/>
      </w:rPr>
    </w:lvl>
  </w:abstractNum>
  <w:num w:numId="1" w16cid:durableId="102266035">
    <w:abstractNumId w:val="15"/>
  </w:num>
  <w:num w:numId="2" w16cid:durableId="451558833">
    <w:abstractNumId w:val="12"/>
  </w:num>
  <w:num w:numId="3" w16cid:durableId="292909139">
    <w:abstractNumId w:val="2"/>
  </w:num>
  <w:num w:numId="4" w16cid:durableId="787043421">
    <w:abstractNumId w:val="11"/>
  </w:num>
  <w:num w:numId="5" w16cid:durableId="390933118">
    <w:abstractNumId w:val="8"/>
  </w:num>
  <w:num w:numId="6" w16cid:durableId="628822102">
    <w:abstractNumId w:val="5"/>
  </w:num>
  <w:num w:numId="7" w16cid:durableId="997271127">
    <w:abstractNumId w:val="17"/>
  </w:num>
  <w:num w:numId="8" w16cid:durableId="2054959372">
    <w:abstractNumId w:val="2"/>
  </w:num>
  <w:num w:numId="9" w16cid:durableId="1528981647">
    <w:abstractNumId w:val="11"/>
  </w:num>
  <w:num w:numId="10" w16cid:durableId="286202657">
    <w:abstractNumId w:val="5"/>
  </w:num>
  <w:num w:numId="11" w16cid:durableId="1237126931">
    <w:abstractNumId w:val="17"/>
  </w:num>
  <w:num w:numId="12" w16cid:durableId="806582422">
    <w:abstractNumId w:val="4"/>
  </w:num>
  <w:num w:numId="13" w16cid:durableId="67046591">
    <w:abstractNumId w:val="3"/>
  </w:num>
  <w:num w:numId="14" w16cid:durableId="1954096887">
    <w:abstractNumId w:val="16"/>
  </w:num>
  <w:num w:numId="15" w16cid:durableId="1667322285">
    <w:abstractNumId w:val="13"/>
  </w:num>
  <w:num w:numId="16" w16cid:durableId="753630401">
    <w:abstractNumId w:val="1"/>
  </w:num>
  <w:num w:numId="17" w16cid:durableId="819271456">
    <w:abstractNumId w:val="14"/>
  </w:num>
  <w:num w:numId="18" w16cid:durableId="885529597">
    <w:abstractNumId w:val="0"/>
  </w:num>
  <w:num w:numId="19" w16cid:durableId="1558012362">
    <w:abstractNumId w:val="9"/>
  </w:num>
  <w:num w:numId="20" w16cid:durableId="71852962">
    <w:abstractNumId w:val="14"/>
    <w:lvlOverride w:ilvl="0">
      <w:lvl w:ilvl="0" w:tplc="A61AB22A">
        <w:start w:val="1"/>
        <w:numFmt w:val="bullet"/>
        <w:lvlText w:val="•"/>
        <w:lvlJc w:val="left"/>
        <w:pPr>
          <w:tabs>
            <w:tab w:val="num" w:pos="1701"/>
          </w:tabs>
          <w:ind w:left="1701" w:hanging="170"/>
        </w:pPr>
        <w:rPr>
          <w:rFonts w:ascii="Times New Roman" w:hAnsi="Times New Roman" w:cs="Times New Roman" w:hint="default"/>
          <w:sz w:val="16"/>
          <w:szCs w:val="16"/>
        </w:rPr>
      </w:lvl>
    </w:lvlOverride>
  </w:num>
  <w:num w:numId="21" w16cid:durableId="1938633732">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1763602880">
    <w:abstractNumId w:val="0"/>
    <w:lvlOverride w:ilvl="0">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Override>
    <w:lvlOverride w:ilvl="1">
      <w:lvl w:ilvl="1" w:tplc="04090019" w:tentative="1">
        <w:start w:val="1"/>
        <w:numFmt w:val="lowerLetter"/>
        <w:lvlText w:val="%2."/>
        <w:lvlJc w:val="left"/>
        <w:pPr>
          <w:ind w:left="1440" w:hanging="360"/>
        </w:pPr>
      </w:lvl>
    </w:lvlOverride>
    <w:lvlOverride w:ilvl="2">
      <w:lvl w:ilvl="2" w:tplc="0409001B" w:tentative="1">
        <w:start w:val="1"/>
        <w:numFmt w:val="lowerRoman"/>
        <w:lvlText w:val="%3."/>
        <w:lvlJc w:val="right"/>
        <w:pPr>
          <w:ind w:left="2160" w:hanging="180"/>
        </w:pPr>
      </w:lvl>
    </w:lvlOverride>
    <w:lvlOverride w:ilvl="3">
      <w:lvl w:ilvl="3" w:tplc="0409000F" w:tentative="1">
        <w:start w:val="1"/>
        <w:numFmt w:val="decimal"/>
        <w:lvlText w:val="%4."/>
        <w:lvlJc w:val="left"/>
        <w:pPr>
          <w:ind w:left="2880" w:hanging="360"/>
        </w:pPr>
      </w:lvl>
    </w:lvlOverride>
    <w:lvlOverride w:ilvl="4">
      <w:lvl w:ilvl="4" w:tplc="04090019" w:tentative="1">
        <w:start w:val="1"/>
        <w:numFmt w:val="lowerLetter"/>
        <w:lvlText w:val="%5."/>
        <w:lvlJc w:val="left"/>
        <w:pPr>
          <w:ind w:left="3600" w:hanging="360"/>
        </w:pPr>
      </w:lvl>
    </w:lvlOverride>
    <w:lvlOverride w:ilvl="5">
      <w:lvl w:ilvl="5" w:tplc="0409001B" w:tentative="1">
        <w:start w:val="1"/>
        <w:numFmt w:val="lowerRoman"/>
        <w:lvlText w:val="%6."/>
        <w:lvlJc w:val="right"/>
        <w:pPr>
          <w:ind w:left="4320" w:hanging="180"/>
        </w:pPr>
      </w:lvl>
    </w:lvlOverride>
    <w:lvlOverride w:ilvl="6">
      <w:lvl w:ilvl="6" w:tplc="0409000F" w:tentative="1">
        <w:start w:val="1"/>
        <w:numFmt w:val="decimal"/>
        <w:lvlText w:val="%7."/>
        <w:lvlJc w:val="left"/>
        <w:pPr>
          <w:ind w:left="5040" w:hanging="360"/>
        </w:pPr>
      </w:lvl>
    </w:lvlOverride>
    <w:lvlOverride w:ilvl="7">
      <w:lvl w:ilvl="7" w:tplc="04090019" w:tentative="1">
        <w:start w:val="1"/>
        <w:numFmt w:val="lowerLetter"/>
        <w:lvlText w:val="%8."/>
        <w:lvlJc w:val="left"/>
        <w:pPr>
          <w:ind w:left="5760" w:hanging="360"/>
        </w:pPr>
      </w:lvl>
    </w:lvlOverride>
    <w:lvlOverride w:ilvl="8">
      <w:lvl w:ilvl="8" w:tplc="0409001B" w:tentative="1">
        <w:start w:val="1"/>
        <w:numFmt w:val="lowerRoman"/>
        <w:lvlText w:val="%9."/>
        <w:lvlJc w:val="right"/>
        <w:pPr>
          <w:ind w:left="6480" w:hanging="180"/>
        </w:pPr>
      </w:lvl>
    </w:lvlOverride>
  </w:num>
  <w:num w:numId="23" w16cid:durableId="58216652">
    <w:abstractNumId w:val="0"/>
    <w:lvlOverride w:ilvl="0">
      <w:startOverride w:val="153"/>
      <w:lvl w:ilvl="0" w:tplc="2FB47626">
        <w:start w:val="153"/>
        <w:numFmt w:val="decimal"/>
        <w:pStyle w:val="ParaNoG"/>
        <w:lvlText w:val="%1-"/>
        <w:lvlJc w:val="left"/>
        <w:pPr>
          <w:tabs>
            <w:tab w:val="num" w:pos="0"/>
          </w:tabs>
          <w:ind w:left="1134" w:firstLine="0"/>
        </w:pPr>
        <w:rPr>
          <w:rFonts w:ascii="Times New Roman" w:hAnsi="Times New Roman" w:hint="default"/>
          <w:b w:val="0"/>
          <w:i w:val="0"/>
          <w:sz w:val="20"/>
        </w:rPr>
      </w:lvl>
    </w:lvlOverride>
  </w:num>
  <w:num w:numId="24" w16cid:durableId="61029030">
    <w:abstractNumId w:val="0"/>
    <w:lvlOverride w:ilvl="0">
      <w:startOverride w:val="151"/>
      <w:lvl w:ilvl="0" w:tplc="2FB47626">
        <w:start w:val="151"/>
        <w:numFmt w:val="decimal"/>
        <w:pStyle w:val="ParaNoG"/>
        <w:lvlText w:val="%1-"/>
        <w:lvlJc w:val="left"/>
        <w:pPr>
          <w:tabs>
            <w:tab w:val="num" w:pos="0"/>
          </w:tabs>
          <w:ind w:left="1134" w:firstLine="0"/>
        </w:pPr>
        <w:rPr>
          <w:rFonts w:ascii="Times New Roman" w:hAnsi="Times New Roman" w:hint="default"/>
          <w:b w:val="0"/>
          <w:i w:val="0"/>
          <w:sz w:val="20"/>
        </w:rPr>
      </w:lvl>
    </w:lvlOverride>
  </w:num>
  <w:num w:numId="25" w16cid:durableId="1305965326">
    <w:abstractNumId w:val="7"/>
  </w:num>
  <w:num w:numId="26" w16cid:durableId="951590420">
    <w:abstractNumId w:val="6"/>
    <w:lvlOverride w:ilvl="0">
      <w:lvl w:ilvl="0" w:tplc="CB588E8E">
        <w:start w:val="1"/>
        <w:numFmt w:val="bullet"/>
        <w:lvlText w:val="o"/>
        <w:lvlJc w:val="left"/>
        <w:pPr>
          <w:ind w:left="720" w:hanging="360"/>
        </w:pPr>
        <w:rPr>
          <w:rFonts w:ascii="Courier New" w:hAnsi="Courier New" w:cs="Courier New" w:hint="default"/>
          <w:spacing w:val="-20"/>
        </w:rPr>
      </w:lvl>
    </w:lvlOverride>
  </w:num>
  <w:num w:numId="27" w16cid:durableId="1513836605">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9"/>
  <w:proofState w:spelling="clean" w:grammar="clean"/>
  <w:attachedTemplate r:id="rId1"/>
  <w:defaultTabStop w:val="567"/>
  <w:evenAndOddHeaders/>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86715"/>
    <w:rsid w:val="00004B17"/>
    <w:rsid w:val="000076D5"/>
    <w:rsid w:val="00043663"/>
    <w:rsid w:val="00044934"/>
    <w:rsid w:val="000505CF"/>
    <w:rsid w:val="0006537E"/>
    <w:rsid w:val="000720FC"/>
    <w:rsid w:val="000D701C"/>
    <w:rsid w:val="000E2A71"/>
    <w:rsid w:val="000E7731"/>
    <w:rsid w:val="000F6B31"/>
    <w:rsid w:val="00160263"/>
    <w:rsid w:val="00181F96"/>
    <w:rsid w:val="001A1371"/>
    <w:rsid w:val="001A72EE"/>
    <w:rsid w:val="001B346A"/>
    <w:rsid w:val="001D181F"/>
    <w:rsid w:val="001E1CAD"/>
    <w:rsid w:val="001E290D"/>
    <w:rsid w:val="001E45CF"/>
    <w:rsid w:val="001F1C8E"/>
    <w:rsid w:val="002144FA"/>
    <w:rsid w:val="0023132C"/>
    <w:rsid w:val="00233629"/>
    <w:rsid w:val="0023469A"/>
    <w:rsid w:val="00243C8A"/>
    <w:rsid w:val="00266906"/>
    <w:rsid w:val="00267A0E"/>
    <w:rsid w:val="002901D9"/>
    <w:rsid w:val="002976C2"/>
    <w:rsid w:val="002A198B"/>
    <w:rsid w:val="002B726E"/>
    <w:rsid w:val="002C05F6"/>
    <w:rsid w:val="002C52C5"/>
    <w:rsid w:val="002D2D42"/>
    <w:rsid w:val="003260FF"/>
    <w:rsid w:val="00336B60"/>
    <w:rsid w:val="00343D95"/>
    <w:rsid w:val="0035017B"/>
    <w:rsid w:val="00374341"/>
    <w:rsid w:val="00384225"/>
    <w:rsid w:val="003B7FA5"/>
    <w:rsid w:val="003C0D31"/>
    <w:rsid w:val="003D1062"/>
    <w:rsid w:val="0041716D"/>
    <w:rsid w:val="00420D7B"/>
    <w:rsid w:val="00450B21"/>
    <w:rsid w:val="00453B63"/>
    <w:rsid w:val="00455780"/>
    <w:rsid w:val="0045649E"/>
    <w:rsid w:val="00465585"/>
    <w:rsid w:val="00485773"/>
    <w:rsid w:val="00486412"/>
    <w:rsid w:val="004A14A6"/>
    <w:rsid w:val="004B0A1C"/>
    <w:rsid w:val="004D298E"/>
    <w:rsid w:val="00523BAE"/>
    <w:rsid w:val="0054472E"/>
    <w:rsid w:val="0055193B"/>
    <w:rsid w:val="005540EB"/>
    <w:rsid w:val="005662A9"/>
    <w:rsid w:val="005827D4"/>
    <w:rsid w:val="00587F77"/>
    <w:rsid w:val="0059622A"/>
    <w:rsid w:val="005C5878"/>
    <w:rsid w:val="005C7CEA"/>
    <w:rsid w:val="005D23D2"/>
    <w:rsid w:val="005D3C0B"/>
    <w:rsid w:val="005D5FAB"/>
    <w:rsid w:val="005E5217"/>
    <w:rsid w:val="005F016A"/>
    <w:rsid w:val="005F0FA4"/>
    <w:rsid w:val="005F30EE"/>
    <w:rsid w:val="0060473A"/>
    <w:rsid w:val="00622209"/>
    <w:rsid w:val="00656392"/>
    <w:rsid w:val="0068781D"/>
    <w:rsid w:val="006959B0"/>
    <w:rsid w:val="006B3E27"/>
    <w:rsid w:val="006B6507"/>
    <w:rsid w:val="006C104C"/>
    <w:rsid w:val="00710F28"/>
    <w:rsid w:val="00733704"/>
    <w:rsid w:val="0078071A"/>
    <w:rsid w:val="00786715"/>
    <w:rsid w:val="007B5ABA"/>
    <w:rsid w:val="007D04A0"/>
    <w:rsid w:val="007F3270"/>
    <w:rsid w:val="00852A9A"/>
    <w:rsid w:val="0086216C"/>
    <w:rsid w:val="008809C0"/>
    <w:rsid w:val="008A74E9"/>
    <w:rsid w:val="008B56F6"/>
    <w:rsid w:val="008F49E1"/>
    <w:rsid w:val="0090370F"/>
    <w:rsid w:val="009064BB"/>
    <w:rsid w:val="009269D2"/>
    <w:rsid w:val="00926A99"/>
    <w:rsid w:val="00942135"/>
    <w:rsid w:val="009521B0"/>
    <w:rsid w:val="00982D83"/>
    <w:rsid w:val="00984A96"/>
    <w:rsid w:val="00994130"/>
    <w:rsid w:val="009A7E9F"/>
    <w:rsid w:val="009E5018"/>
    <w:rsid w:val="00A07A42"/>
    <w:rsid w:val="00A12B37"/>
    <w:rsid w:val="00A47A52"/>
    <w:rsid w:val="00AB6758"/>
    <w:rsid w:val="00AD39DF"/>
    <w:rsid w:val="00AF68B6"/>
    <w:rsid w:val="00B116DD"/>
    <w:rsid w:val="00B13763"/>
    <w:rsid w:val="00B3422A"/>
    <w:rsid w:val="00B41A76"/>
    <w:rsid w:val="00B477A4"/>
    <w:rsid w:val="00B54045"/>
    <w:rsid w:val="00B742C7"/>
    <w:rsid w:val="00BE3281"/>
    <w:rsid w:val="00C15C82"/>
    <w:rsid w:val="00C438D7"/>
    <w:rsid w:val="00C46D3E"/>
    <w:rsid w:val="00C81B50"/>
    <w:rsid w:val="00C91CE0"/>
    <w:rsid w:val="00CB28F9"/>
    <w:rsid w:val="00CD1801"/>
    <w:rsid w:val="00CD4A6A"/>
    <w:rsid w:val="00CE510B"/>
    <w:rsid w:val="00CF43E6"/>
    <w:rsid w:val="00CF7EDE"/>
    <w:rsid w:val="00D10EF1"/>
    <w:rsid w:val="00D13E6D"/>
    <w:rsid w:val="00D330A2"/>
    <w:rsid w:val="00D33A5D"/>
    <w:rsid w:val="00D42810"/>
    <w:rsid w:val="00D42EEC"/>
    <w:rsid w:val="00D914A7"/>
    <w:rsid w:val="00DC4EE6"/>
    <w:rsid w:val="00DD13C3"/>
    <w:rsid w:val="00DD596E"/>
    <w:rsid w:val="00DD621E"/>
    <w:rsid w:val="00DE2E00"/>
    <w:rsid w:val="00DE59CB"/>
    <w:rsid w:val="00DF0575"/>
    <w:rsid w:val="00E13D0B"/>
    <w:rsid w:val="00E654FB"/>
    <w:rsid w:val="00E70E04"/>
    <w:rsid w:val="00E76499"/>
    <w:rsid w:val="00EA233F"/>
    <w:rsid w:val="00EC05A7"/>
    <w:rsid w:val="00EC4B6B"/>
    <w:rsid w:val="00EF1EE5"/>
    <w:rsid w:val="00F37C78"/>
    <w:rsid w:val="00F763B4"/>
    <w:rsid w:val="00F900C3"/>
    <w:rsid w:val="00F90355"/>
    <w:rsid w:val="00FA1363"/>
    <w:rsid w:val="00FD2424"/>
    <w:rsid w:val="00FF2AB2"/>
    <w:rsid w:val="00FF6EC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74568D03"/>
  <w15:docId w15:val="{382B27C3-4E1A-4951-B213-B09A1D867CE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imes New Roman"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lsdException w:name="heading 3" w:semiHidden="1" w:uiPriority="9" w:unhideWhenUsed="1"/>
    <w:lsdException w:name="heading 4" w:semiHidden="1" w:uiPriority="9" w:unhideWhenUsed="1"/>
    <w:lsdException w:name="heading 5" w:semiHidden="1" w:uiPriority="9" w:unhideWhenUsed="1"/>
    <w:lsdException w:name="heading 6" w:semiHidden="1" w:uiPriority="9" w:unhideWhenUsed="1"/>
    <w:lsdException w:name="heading 7" w:semiHidden="1" w:uiPriority="9" w:unhideWhenUsed="1"/>
    <w:lsdException w:name="heading 8" w:semiHidden="1" w:uiPriority="9" w:unhideWhenUsed="1"/>
    <w:lsdException w:name="heading 9" w:semiHidden="1" w:uiPriority="9"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iPriority="0" w:unhideWhenUsed="1" w:qFormat="1"/>
    <w:lsdException w:name="page number" w:semiHidden="1" w:uiPriority="0" w:unhideWhenUsed="1" w:qFormat="1"/>
    <w:lsdException w:name="endnote reference" w:semiHidden="1" w:uiPriority="0" w:unhideWhenUsed="1" w:qFormat="1"/>
    <w:lsdException w:name="endnote text" w:semiHidden="1"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A72EE"/>
    <w:pPr>
      <w:bidi/>
      <w:spacing w:after="0" w:line="240" w:lineRule="atLeast"/>
      <w:jc w:val="lowKashida"/>
    </w:pPr>
    <w:rPr>
      <w:rFonts w:ascii="Times New Roman" w:eastAsia="PMingLiU" w:hAnsi="Times New Roman" w:cs="Simplified Arabic"/>
      <w:sz w:val="20"/>
    </w:rPr>
  </w:style>
  <w:style w:type="paragraph" w:styleId="Heading1">
    <w:name w:val="heading 1"/>
    <w:aliases w:val="Table_GA,Table_G"/>
    <w:basedOn w:val="SingleTxtGA"/>
    <w:next w:val="Normal"/>
    <w:link w:val="Heading1Char"/>
    <w:qFormat/>
    <w:rsid w:val="001A72EE"/>
    <w:pPr>
      <w:bidi w:val="0"/>
      <w:outlineLvl w:val="0"/>
    </w:pPr>
  </w:style>
  <w:style w:type="paragraph" w:styleId="Heading2">
    <w:name w:val="heading 2"/>
    <w:basedOn w:val="Normal"/>
    <w:next w:val="Normal"/>
    <w:link w:val="Heading2Char"/>
    <w:uiPriority w:val="9"/>
    <w:unhideWhenUsed/>
    <w:rsid w:val="001A72EE"/>
    <w:pPr>
      <w:keepNext/>
      <w:keepLines/>
      <w:spacing w:before="200"/>
      <w:outlineLvl w:val="1"/>
    </w:pPr>
    <w:rPr>
      <w:b/>
      <w:bCs/>
      <w:color w:val="4F81BD"/>
      <w:sz w:val="26"/>
      <w:szCs w:val="26"/>
    </w:rPr>
  </w:style>
  <w:style w:type="paragraph" w:styleId="Heading3">
    <w:name w:val="heading 3"/>
    <w:basedOn w:val="Normal"/>
    <w:next w:val="Normal"/>
    <w:link w:val="Heading3Char"/>
    <w:uiPriority w:val="9"/>
    <w:unhideWhenUsed/>
    <w:rsid w:val="001A72EE"/>
    <w:pPr>
      <w:keepNext/>
      <w:keepLines/>
      <w:spacing w:before="200"/>
      <w:outlineLvl w:val="2"/>
    </w:pPr>
    <w:rPr>
      <w:b/>
      <w:bCs/>
      <w:color w:val="4F81BD"/>
    </w:rPr>
  </w:style>
  <w:style w:type="paragraph" w:styleId="Heading4">
    <w:name w:val="heading 4"/>
    <w:basedOn w:val="Normal"/>
    <w:next w:val="Normal"/>
    <w:link w:val="Heading4Char"/>
    <w:uiPriority w:val="9"/>
    <w:unhideWhenUsed/>
    <w:rsid w:val="001A72EE"/>
    <w:pPr>
      <w:keepNext/>
      <w:keepLines/>
      <w:spacing w:before="200"/>
      <w:outlineLvl w:val="3"/>
    </w:pPr>
    <w:rPr>
      <w:b/>
      <w:bCs/>
      <w:i/>
      <w:iCs/>
      <w:color w:val="4F81BD"/>
    </w:rPr>
  </w:style>
  <w:style w:type="paragraph" w:styleId="Heading5">
    <w:name w:val="heading 5"/>
    <w:basedOn w:val="Normal"/>
    <w:next w:val="Normal"/>
    <w:link w:val="Heading5Char"/>
    <w:uiPriority w:val="9"/>
    <w:unhideWhenUsed/>
    <w:rsid w:val="001A72EE"/>
    <w:pPr>
      <w:keepNext/>
      <w:keepLines/>
      <w:spacing w:before="200"/>
      <w:outlineLvl w:val="4"/>
    </w:pPr>
    <w:rPr>
      <w:color w:val="243F60"/>
    </w:rPr>
  </w:style>
  <w:style w:type="paragraph" w:styleId="Heading6">
    <w:name w:val="heading 6"/>
    <w:basedOn w:val="Normal"/>
    <w:next w:val="Normal"/>
    <w:link w:val="Heading6Char"/>
    <w:uiPriority w:val="9"/>
    <w:unhideWhenUsed/>
    <w:rsid w:val="001A72EE"/>
    <w:pPr>
      <w:keepNext/>
      <w:keepLines/>
      <w:spacing w:before="200"/>
      <w:outlineLvl w:val="5"/>
    </w:pPr>
    <w:rPr>
      <w:i/>
      <w:iCs/>
      <w:color w:val="243F60"/>
    </w:rPr>
  </w:style>
  <w:style w:type="paragraph" w:styleId="Heading7">
    <w:name w:val="heading 7"/>
    <w:basedOn w:val="Normal"/>
    <w:next w:val="Normal"/>
    <w:link w:val="Heading7Char"/>
    <w:uiPriority w:val="9"/>
    <w:unhideWhenUsed/>
    <w:rsid w:val="001A72EE"/>
    <w:pPr>
      <w:keepNext/>
      <w:keepLines/>
      <w:spacing w:before="200"/>
      <w:outlineLvl w:val="6"/>
    </w:pPr>
    <w:rPr>
      <w:i/>
      <w:iCs/>
      <w:color w:val="404040"/>
    </w:rPr>
  </w:style>
  <w:style w:type="paragraph" w:styleId="Heading8">
    <w:name w:val="heading 8"/>
    <w:basedOn w:val="Normal"/>
    <w:next w:val="Normal"/>
    <w:link w:val="Heading8Char"/>
    <w:uiPriority w:val="9"/>
    <w:unhideWhenUsed/>
    <w:rsid w:val="001A72EE"/>
    <w:pPr>
      <w:keepNext/>
      <w:keepLines/>
      <w:spacing w:before="200"/>
      <w:outlineLvl w:val="7"/>
    </w:pPr>
    <w:rPr>
      <w:color w:val="404040"/>
      <w:szCs w:val="20"/>
    </w:rPr>
  </w:style>
  <w:style w:type="paragraph" w:styleId="Heading9">
    <w:name w:val="heading 9"/>
    <w:basedOn w:val="Normal"/>
    <w:next w:val="Normal"/>
    <w:link w:val="Heading9Char"/>
    <w:uiPriority w:val="9"/>
    <w:unhideWhenUsed/>
    <w:rsid w:val="001A72EE"/>
    <w:pPr>
      <w:keepNext/>
      <w:keepLines/>
      <w:spacing w:before="200"/>
      <w:outlineLvl w:val="8"/>
    </w:pPr>
    <w:rPr>
      <w:i/>
      <w:iCs/>
      <w:color w:val="404040"/>
      <w:szCs w:val="20"/>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aliases w:val="5_G,Footnote Quote,Footnote Quote1,Footnote Quote2,Footnote Quote3,Footnote Quote4,Footnote Quote5,Footnote Quote6,Footnote Quote7,Footnote Quote8,Footnote Quote9,Footnote Quote10,Footnote Quote11,Footnote Quote12,Footnote Quote13,Footnote"/>
    <w:basedOn w:val="Normal"/>
    <w:link w:val="FootnoteTextChar"/>
    <w:unhideWhenUsed/>
    <w:qFormat/>
    <w:rsid w:val="001A72EE"/>
    <w:pPr>
      <w:tabs>
        <w:tab w:val="right" w:pos="1021"/>
      </w:tabs>
      <w:suppressAutoHyphens/>
      <w:bidi w:val="0"/>
      <w:spacing w:line="220" w:lineRule="exact"/>
      <w:ind w:left="1134" w:right="1134" w:hanging="1134"/>
      <w:jc w:val="both"/>
    </w:pPr>
    <w:rPr>
      <w:sz w:val="18"/>
      <w:szCs w:val="20"/>
    </w:rPr>
  </w:style>
  <w:style w:type="character" w:customStyle="1" w:styleId="FootnoteTextChar">
    <w:name w:val="Footnote Text Char"/>
    <w:aliases w:val="5_G Char,Footnote Quote Char,Footnote Quote1 Char,Footnote Quote2 Char,Footnote Quote3 Char,Footnote Quote4 Char,Footnote Quote5 Char,Footnote Quote6 Char,Footnote Quote7 Char,Footnote Quote8 Char,Footnote Quote9 Char,Footnote Char"/>
    <w:link w:val="FootnoteText"/>
    <w:rsid w:val="001A72EE"/>
    <w:rPr>
      <w:rFonts w:ascii="Times New Roman" w:eastAsia="PMingLiU" w:hAnsi="Times New Roman" w:cs="Simplified Arabic"/>
      <w:sz w:val="18"/>
      <w:szCs w:val="20"/>
    </w:rPr>
  </w:style>
  <w:style w:type="character" w:styleId="FootnoteReference">
    <w:name w:val="footnote reference"/>
    <w:aliases w:val="4_GA,4_G,ftref,footnote ref,16 Point,Superscript 6 Point,Fußnotenzeichen DISS,fr,BVI fnr,(NECG) Footnote Reference,Char Char Char Char Car Char,ب"/>
    <w:qFormat/>
    <w:rsid w:val="001A72EE"/>
    <w:rPr>
      <w:szCs w:val="18"/>
      <w:vertAlign w:val="superscript"/>
    </w:rPr>
  </w:style>
  <w:style w:type="paragraph" w:customStyle="1" w:styleId="HMGA">
    <w:name w:val="_ H __M_GA"/>
    <w:basedOn w:val="Normal"/>
    <w:next w:val="SingleTxtGA"/>
    <w:qFormat/>
    <w:rsid w:val="001A72EE"/>
    <w:pPr>
      <w:keepNext/>
      <w:keepLines/>
      <w:tabs>
        <w:tab w:val="right" w:pos="1021"/>
      </w:tabs>
      <w:suppressAutoHyphens/>
      <w:spacing w:before="360" w:after="240" w:line="480" w:lineRule="exact"/>
      <w:ind w:left="1247" w:right="1247" w:hanging="1247"/>
      <w:outlineLvl w:val="0"/>
    </w:pPr>
    <w:rPr>
      <w:b/>
      <w:bCs/>
      <w:sz w:val="36"/>
      <w:szCs w:val="36"/>
      <w:lang w:val="en-GB"/>
    </w:rPr>
  </w:style>
  <w:style w:type="paragraph" w:customStyle="1" w:styleId="HChGA">
    <w:name w:val="_ H _Ch_GA"/>
    <w:basedOn w:val="Normal"/>
    <w:next w:val="SingleTxtGA"/>
    <w:qFormat/>
    <w:rsid w:val="001A72EE"/>
    <w:pPr>
      <w:keepNext/>
      <w:keepLines/>
      <w:tabs>
        <w:tab w:val="right" w:pos="1021"/>
      </w:tabs>
      <w:suppressAutoHyphens/>
      <w:spacing w:before="360" w:after="240" w:line="440" w:lineRule="exact"/>
      <w:ind w:left="1247" w:right="1247" w:hanging="1247"/>
      <w:outlineLvl w:val="1"/>
    </w:pPr>
    <w:rPr>
      <w:b/>
      <w:bCs/>
      <w:sz w:val="30"/>
      <w:szCs w:val="30"/>
      <w:lang w:val="en-GB"/>
    </w:rPr>
  </w:style>
  <w:style w:type="paragraph" w:customStyle="1" w:styleId="H1GA">
    <w:name w:val="_ H_1_GA"/>
    <w:basedOn w:val="Normal"/>
    <w:next w:val="SingleTxtGA"/>
    <w:qFormat/>
    <w:rsid w:val="001A72EE"/>
    <w:pPr>
      <w:keepNext/>
      <w:keepLines/>
      <w:tabs>
        <w:tab w:val="right" w:pos="1021"/>
      </w:tabs>
      <w:suppressAutoHyphens/>
      <w:spacing w:before="240" w:after="240" w:line="400" w:lineRule="exact"/>
      <w:ind w:left="1247" w:right="1247" w:hanging="1247"/>
      <w:outlineLvl w:val="2"/>
    </w:pPr>
    <w:rPr>
      <w:b/>
      <w:bCs/>
      <w:sz w:val="26"/>
      <w:szCs w:val="26"/>
      <w:lang w:val="en-GB"/>
    </w:rPr>
  </w:style>
  <w:style w:type="paragraph" w:customStyle="1" w:styleId="H23GA">
    <w:name w:val="_ H_2/3_GA"/>
    <w:basedOn w:val="Normal"/>
    <w:next w:val="SingleTxtGA"/>
    <w:qFormat/>
    <w:rsid w:val="001A72EE"/>
    <w:pPr>
      <w:keepNext/>
      <w:keepLines/>
      <w:tabs>
        <w:tab w:val="right" w:pos="1021"/>
      </w:tabs>
      <w:suppressAutoHyphens/>
      <w:spacing w:before="240" w:after="120" w:line="380" w:lineRule="exact"/>
      <w:ind w:left="1247" w:right="1247" w:hanging="1247"/>
      <w:outlineLvl w:val="3"/>
    </w:pPr>
    <w:rPr>
      <w:b/>
      <w:bCs/>
      <w:sz w:val="22"/>
      <w:lang w:val="en-GB" w:eastAsia="ar-SA"/>
    </w:rPr>
  </w:style>
  <w:style w:type="paragraph" w:customStyle="1" w:styleId="H4GA">
    <w:name w:val="_ H_4_GA"/>
    <w:basedOn w:val="Normal"/>
    <w:next w:val="SingleTxtGA"/>
    <w:qFormat/>
    <w:rsid w:val="001A72EE"/>
    <w:pPr>
      <w:keepNext/>
      <w:keepLines/>
      <w:tabs>
        <w:tab w:val="right" w:pos="1021"/>
      </w:tabs>
      <w:suppressAutoHyphens/>
      <w:spacing w:before="240" w:after="120" w:line="380" w:lineRule="exact"/>
      <w:ind w:left="1247" w:right="1247" w:hanging="1247"/>
      <w:outlineLvl w:val="4"/>
    </w:pPr>
    <w:rPr>
      <w:i/>
      <w:iCs/>
      <w:sz w:val="22"/>
      <w:lang w:val="en-GB"/>
    </w:rPr>
  </w:style>
  <w:style w:type="paragraph" w:customStyle="1" w:styleId="H56GA">
    <w:name w:val="_ H_5/6_GA"/>
    <w:basedOn w:val="Normal"/>
    <w:next w:val="SingleTxtGA"/>
    <w:qFormat/>
    <w:rsid w:val="001A72EE"/>
    <w:pPr>
      <w:keepNext/>
      <w:keepLines/>
      <w:tabs>
        <w:tab w:val="right" w:pos="1021"/>
      </w:tabs>
      <w:suppressAutoHyphens/>
      <w:spacing w:before="240" w:after="120" w:line="380" w:lineRule="exact"/>
      <w:ind w:left="1247" w:right="1247" w:hanging="1247"/>
      <w:outlineLvl w:val="5"/>
    </w:pPr>
    <w:rPr>
      <w:sz w:val="22"/>
      <w:lang w:val="en-GB"/>
    </w:rPr>
  </w:style>
  <w:style w:type="paragraph" w:customStyle="1" w:styleId="SingleTxtGA">
    <w:name w:val="_ Single Txt_GA"/>
    <w:basedOn w:val="Normal"/>
    <w:link w:val="SingleTxtGAChar"/>
    <w:qFormat/>
    <w:rsid w:val="001A72EE"/>
    <w:pPr>
      <w:tabs>
        <w:tab w:val="left" w:pos="1928"/>
        <w:tab w:val="left" w:pos="2608"/>
        <w:tab w:val="left" w:pos="3289"/>
        <w:tab w:val="left" w:pos="3969"/>
        <w:tab w:val="left" w:pos="4649"/>
        <w:tab w:val="left" w:pos="5330"/>
      </w:tabs>
      <w:suppressAutoHyphens/>
      <w:spacing w:after="120" w:line="360" w:lineRule="exact"/>
      <w:ind w:left="1247" w:right="1247"/>
    </w:pPr>
    <w:rPr>
      <w:sz w:val="22"/>
      <w:lang w:val="en-GB"/>
    </w:rPr>
  </w:style>
  <w:style w:type="paragraph" w:customStyle="1" w:styleId="SLGA">
    <w:name w:val="__S_L_GA"/>
    <w:basedOn w:val="Normal"/>
    <w:next w:val="SingleTxtGA"/>
    <w:qFormat/>
    <w:rsid w:val="001A72EE"/>
    <w:pPr>
      <w:keepNext/>
      <w:keepLines/>
      <w:suppressAutoHyphens/>
      <w:spacing w:before="240" w:after="240" w:line="800" w:lineRule="exact"/>
      <w:ind w:left="1247" w:right="1247"/>
    </w:pPr>
    <w:rPr>
      <w:b/>
      <w:bCs/>
      <w:sz w:val="56"/>
      <w:szCs w:val="56"/>
      <w:lang w:val="en-GB"/>
    </w:rPr>
  </w:style>
  <w:style w:type="paragraph" w:customStyle="1" w:styleId="SMGA">
    <w:name w:val="__S_M_GA"/>
    <w:basedOn w:val="Normal"/>
    <w:next w:val="SingleTxtGA"/>
    <w:qFormat/>
    <w:rsid w:val="001A72EE"/>
    <w:pPr>
      <w:keepNext/>
      <w:keepLines/>
      <w:suppressAutoHyphens/>
      <w:spacing w:before="240" w:after="240" w:line="560" w:lineRule="exact"/>
      <w:ind w:left="1247" w:right="1247"/>
    </w:pPr>
    <w:rPr>
      <w:b/>
      <w:bCs/>
      <w:sz w:val="40"/>
      <w:szCs w:val="40"/>
      <w:lang w:val="en-GB"/>
    </w:rPr>
  </w:style>
  <w:style w:type="paragraph" w:customStyle="1" w:styleId="SSGA">
    <w:name w:val="__S_S_GA"/>
    <w:basedOn w:val="Normal"/>
    <w:next w:val="SingleTxtGA"/>
    <w:qFormat/>
    <w:rsid w:val="001A72EE"/>
    <w:pPr>
      <w:keepNext/>
      <w:keepLines/>
      <w:suppressAutoHyphens/>
      <w:spacing w:before="240" w:after="240" w:line="440" w:lineRule="exact"/>
      <w:ind w:left="1134" w:right="1134"/>
    </w:pPr>
    <w:rPr>
      <w:b/>
      <w:bCs/>
      <w:sz w:val="34"/>
      <w:szCs w:val="34"/>
      <w:lang w:val="en-GB"/>
    </w:rPr>
  </w:style>
  <w:style w:type="paragraph" w:customStyle="1" w:styleId="XLargeGA">
    <w:name w:val="__XLarge_GA"/>
    <w:basedOn w:val="Normal"/>
    <w:next w:val="SingleTxtGA"/>
    <w:qFormat/>
    <w:rsid w:val="001A72EE"/>
    <w:pPr>
      <w:keepNext/>
      <w:keepLines/>
      <w:tabs>
        <w:tab w:val="right" w:leader="dot" w:pos="360"/>
      </w:tabs>
      <w:suppressAutoHyphens/>
      <w:spacing w:before="240" w:after="240" w:line="580" w:lineRule="exact"/>
      <w:ind w:left="1247" w:right="1247"/>
    </w:pPr>
    <w:rPr>
      <w:b/>
      <w:bCs/>
      <w:sz w:val="40"/>
      <w:szCs w:val="40"/>
      <w:lang w:val="en-GB"/>
    </w:rPr>
  </w:style>
  <w:style w:type="paragraph" w:customStyle="1" w:styleId="Bullet1GA">
    <w:name w:val="_Bullet 1_GA"/>
    <w:basedOn w:val="NormalA"/>
    <w:qFormat/>
    <w:rsid w:val="001A72EE"/>
    <w:pPr>
      <w:numPr>
        <w:numId w:val="3"/>
      </w:numPr>
      <w:suppressAutoHyphens/>
      <w:spacing w:after="120" w:line="360" w:lineRule="exact"/>
      <w:ind w:right="1247"/>
    </w:pPr>
    <w:rPr>
      <w:sz w:val="22"/>
      <w:lang w:eastAsia="zh-TW"/>
    </w:rPr>
  </w:style>
  <w:style w:type="paragraph" w:customStyle="1" w:styleId="Bullet2GA">
    <w:name w:val="_Bullet 2_GA"/>
    <w:basedOn w:val="Normal"/>
    <w:qFormat/>
    <w:rsid w:val="001A72EE"/>
    <w:pPr>
      <w:numPr>
        <w:numId w:val="4"/>
      </w:numPr>
      <w:tabs>
        <w:tab w:val="clear" w:pos="3215"/>
        <w:tab w:val="left" w:pos="3062"/>
      </w:tabs>
      <w:suppressAutoHyphens/>
      <w:spacing w:after="120" w:line="360" w:lineRule="exact"/>
      <w:ind w:left="3062" w:right="1247" w:hanging="590"/>
    </w:pPr>
    <w:rPr>
      <w:sz w:val="22"/>
      <w:lang w:eastAsia="zh-TW"/>
    </w:rPr>
  </w:style>
  <w:style w:type="paragraph" w:customStyle="1" w:styleId="ParaNoGA">
    <w:name w:val="_ParaNo._GA"/>
    <w:basedOn w:val="SingleTxtGA"/>
    <w:qFormat/>
    <w:rsid w:val="001A72EE"/>
    <w:pPr>
      <w:numPr>
        <w:numId w:val="5"/>
      </w:numPr>
      <w:bidi w:val="0"/>
    </w:pPr>
    <w:rPr>
      <w:lang w:val="en-US"/>
    </w:rPr>
  </w:style>
  <w:style w:type="paragraph" w:customStyle="1" w:styleId="Roman1GA">
    <w:name w:val="_Roman 1_GA"/>
    <w:basedOn w:val="Bullet1GA"/>
    <w:qFormat/>
    <w:rsid w:val="001A72EE"/>
    <w:pPr>
      <w:numPr>
        <w:numId w:val="6"/>
      </w:numPr>
      <w:tabs>
        <w:tab w:val="clear" w:pos="2310"/>
        <w:tab w:val="left" w:pos="2486"/>
      </w:tabs>
      <w:ind w:left="2486" w:hanging="378"/>
    </w:pPr>
  </w:style>
  <w:style w:type="paragraph" w:customStyle="1" w:styleId="Roman2GA">
    <w:name w:val="_Roman 2_GA"/>
    <w:basedOn w:val="Bullet2GA"/>
    <w:qFormat/>
    <w:rsid w:val="001A72EE"/>
    <w:pPr>
      <w:numPr>
        <w:numId w:val="7"/>
      </w:numPr>
      <w:tabs>
        <w:tab w:val="clear" w:pos="2877"/>
        <w:tab w:val="clear" w:pos="3062"/>
        <w:tab w:val="left" w:pos="3060"/>
      </w:tabs>
      <w:ind w:left="3060" w:hanging="392"/>
    </w:pPr>
  </w:style>
  <w:style w:type="paragraph" w:styleId="EndnoteText">
    <w:name w:val="endnote text"/>
    <w:aliases w:val="2_ GA,2_G"/>
    <w:basedOn w:val="Normal"/>
    <w:link w:val="EndnoteTextChar"/>
    <w:uiPriority w:val="99"/>
    <w:qFormat/>
    <w:rsid w:val="001A72EE"/>
    <w:pPr>
      <w:widowControl w:val="0"/>
      <w:tabs>
        <w:tab w:val="right" w:pos="1020"/>
      </w:tabs>
      <w:suppressAutoHyphens/>
      <w:bidi w:val="0"/>
      <w:spacing w:line="220" w:lineRule="exact"/>
      <w:ind w:left="1134" w:right="1134" w:hanging="1134"/>
      <w:jc w:val="left"/>
    </w:pPr>
    <w:rPr>
      <w:sz w:val="18"/>
      <w:szCs w:val="20"/>
      <w:lang w:val="en-GB"/>
    </w:rPr>
  </w:style>
  <w:style w:type="character" w:customStyle="1" w:styleId="EndnoteTextChar">
    <w:name w:val="Endnote Text Char"/>
    <w:aliases w:val="2_ GA Char,2_G Char"/>
    <w:link w:val="EndnoteText"/>
    <w:uiPriority w:val="99"/>
    <w:rsid w:val="001A72EE"/>
    <w:rPr>
      <w:rFonts w:ascii="Times New Roman" w:eastAsia="PMingLiU" w:hAnsi="Times New Roman" w:cs="Simplified Arabic"/>
      <w:sz w:val="18"/>
      <w:szCs w:val="20"/>
      <w:lang w:val="en-GB"/>
    </w:rPr>
  </w:style>
  <w:style w:type="character" w:customStyle="1" w:styleId="EndtnoteReference">
    <w:name w:val="Endtnote Reference"/>
    <w:aliases w:val="1_GA"/>
    <w:qFormat/>
    <w:rsid w:val="001A72EE"/>
    <w:rPr>
      <w:rFonts w:ascii="Times New Roman Bold" w:hAnsi="Times New Roman Bold" w:cs="Traditional Arabic"/>
      <w:b/>
      <w:i w:val="0"/>
      <w:kern w:val="0"/>
      <w:sz w:val="18"/>
      <w:szCs w:val="18"/>
      <w:vertAlign w:val="superscript"/>
    </w:rPr>
  </w:style>
  <w:style w:type="paragraph" w:styleId="Footer">
    <w:name w:val="footer"/>
    <w:aliases w:val="3_GA,3_G"/>
    <w:basedOn w:val="Normal"/>
    <w:link w:val="FooterChar"/>
    <w:qFormat/>
    <w:rsid w:val="001A72EE"/>
    <w:pPr>
      <w:suppressAutoHyphens/>
      <w:bidi w:val="0"/>
      <w:spacing w:line="240" w:lineRule="auto"/>
    </w:pPr>
    <w:rPr>
      <w:sz w:val="16"/>
      <w:lang w:val="en-GB"/>
    </w:rPr>
  </w:style>
  <w:style w:type="character" w:customStyle="1" w:styleId="FooterChar">
    <w:name w:val="Footer Char"/>
    <w:aliases w:val="3_GA Char,3_G Char"/>
    <w:link w:val="Footer"/>
    <w:rsid w:val="001A72EE"/>
    <w:rPr>
      <w:rFonts w:ascii="Times New Roman" w:eastAsia="PMingLiU" w:hAnsi="Times New Roman" w:cs="Simplified Arabic"/>
      <w:sz w:val="16"/>
      <w:lang w:val="en-GB"/>
    </w:rPr>
  </w:style>
  <w:style w:type="paragraph" w:customStyle="1" w:styleId="FootnoteText1">
    <w:name w:val="Footnote Text1"/>
    <w:aliases w:val="5_GA"/>
    <w:basedOn w:val="Normal"/>
    <w:qFormat/>
    <w:rsid w:val="001A72EE"/>
    <w:pPr>
      <w:spacing w:after="60" w:line="280" w:lineRule="exact"/>
      <w:ind w:left="1247" w:right="1247" w:hanging="567"/>
    </w:pPr>
    <w:rPr>
      <w:sz w:val="18"/>
      <w:szCs w:val="18"/>
    </w:rPr>
  </w:style>
  <w:style w:type="paragraph" w:styleId="Header">
    <w:name w:val="header"/>
    <w:aliases w:val="6_GA,6_G"/>
    <w:basedOn w:val="Normal"/>
    <w:link w:val="HeaderChar"/>
    <w:uiPriority w:val="99"/>
    <w:qFormat/>
    <w:rsid w:val="001A72EE"/>
    <w:pPr>
      <w:pBdr>
        <w:bottom w:val="single" w:sz="4" w:space="4" w:color="auto"/>
      </w:pBdr>
      <w:suppressAutoHyphens/>
    </w:pPr>
    <w:rPr>
      <w:b/>
      <w:bCs/>
      <w:sz w:val="18"/>
      <w:szCs w:val="18"/>
    </w:rPr>
  </w:style>
  <w:style w:type="character" w:customStyle="1" w:styleId="HeaderChar">
    <w:name w:val="Header Char"/>
    <w:aliases w:val="6_GA Char,6_G Char"/>
    <w:link w:val="Header"/>
    <w:uiPriority w:val="99"/>
    <w:rsid w:val="001A72EE"/>
    <w:rPr>
      <w:rFonts w:ascii="Times New Roman" w:eastAsia="PMingLiU" w:hAnsi="Times New Roman" w:cs="Simplified Arabic"/>
      <w:b/>
      <w:bCs/>
      <w:sz w:val="18"/>
      <w:szCs w:val="18"/>
    </w:rPr>
  </w:style>
  <w:style w:type="character" w:customStyle="1" w:styleId="Heading1Char">
    <w:name w:val="Heading 1 Char"/>
    <w:aliases w:val="Table_GA Char,Table_G Char"/>
    <w:link w:val="Heading1"/>
    <w:rsid w:val="001A72EE"/>
    <w:rPr>
      <w:rFonts w:ascii="Times New Roman" w:eastAsia="PMingLiU" w:hAnsi="Times New Roman" w:cs="Simplified Arabic"/>
      <w:lang w:val="en-GB"/>
    </w:rPr>
  </w:style>
  <w:style w:type="character" w:styleId="PageNumber">
    <w:name w:val="page number"/>
    <w:aliases w:val="7_GA,7_G"/>
    <w:qFormat/>
    <w:rsid w:val="001A72EE"/>
    <w:rPr>
      <w:rFonts w:ascii="Times New Roman Bold" w:hAnsi="Times New Roman Bold"/>
      <w:b/>
      <w:i w:val="0"/>
      <w:sz w:val="18"/>
      <w:szCs w:val="18"/>
    </w:rPr>
  </w:style>
  <w:style w:type="paragraph" w:customStyle="1" w:styleId="XXLargeGA">
    <w:name w:val="XXLarge_GA"/>
    <w:basedOn w:val="Normal"/>
    <w:next w:val="SingleTxtGA"/>
    <w:qFormat/>
    <w:rsid w:val="001A72EE"/>
    <w:pPr>
      <w:suppressAutoHyphens/>
      <w:spacing w:line="820" w:lineRule="exact"/>
    </w:pPr>
    <w:rPr>
      <w:spacing w:val="-8"/>
      <w:w w:val="96"/>
      <w:sz w:val="57"/>
      <w:szCs w:val="86"/>
      <w:lang w:val="en-GB"/>
    </w:rPr>
  </w:style>
  <w:style w:type="character" w:customStyle="1" w:styleId="Heading2Char">
    <w:name w:val="Heading 2 Char"/>
    <w:link w:val="Heading2"/>
    <w:uiPriority w:val="9"/>
    <w:rsid w:val="001A72EE"/>
    <w:rPr>
      <w:rFonts w:ascii="Times New Roman" w:eastAsia="PMingLiU" w:hAnsi="Times New Roman" w:cs="Simplified Arabic"/>
      <w:b/>
      <w:bCs/>
      <w:color w:val="4F81BD"/>
      <w:sz w:val="26"/>
      <w:szCs w:val="26"/>
    </w:rPr>
  </w:style>
  <w:style w:type="character" w:styleId="BookTitle">
    <w:name w:val="Book Title"/>
    <w:uiPriority w:val="33"/>
    <w:rsid w:val="001A72EE"/>
    <w:rPr>
      <w:b/>
      <w:bCs/>
      <w:smallCaps/>
      <w:spacing w:val="5"/>
    </w:rPr>
  </w:style>
  <w:style w:type="character" w:customStyle="1" w:styleId="Heading3Char">
    <w:name w:val="Heading 3 Char"/>
    <w:link w:val="Heading3"/>
    <w:uiPriority w:val="9"/>
    <w:rsid w:val="001A72EE"/>
    <w:rPr>
      <w:rFonts w:ascii="Times New Roman" w:eastAsia="PMingLiU" w:hAnsi="Times New Roman" w:cs="Simplified Arabic"/>
      <w:b/>
      <w:bCs/>
      <w:color w:val="4F81BD"/>
      <w:sz w:val="20"/>
    </w:rPr>
  </w:style>
  <w:style w:type="character" w:customStyle="1" w:styleId="Heading4Char">
    <w:name w:val="Heading 4 Char"/>
    <w:link w:val="Heading4"/>
    <w:uiPriority w:val="9"/>
    <w:rsid w:val="001A72EE"/>
    <w:rPr>
      <w:rFonts w:ascii="Times New Roman" w:eastAsia="PMingLiU" w:hAnsi="Times New Roman" w:cs="Simplified Arabic"/>
      <w:b/>
      <w:bCs/>
      <w:i/>
      <w:iCs/>
      <w:color w:val="4F81BD"/>
      <w:sz w:val="20"/>
    </w:rPr>
  </w:style>
  <w:style w:type="character" w:customStyle="1" w:styleId="Heading5Char">
    <w:name w:val="Heading 5 Char"/>
    <w:link w:val="Heading5"/>
    <w:uiPriority w:val="9"/>
    <w:rsid w:val="001A72EE"/>
    <w:rPr>
      <w:rFonts w:ascii="Times New Roman" w:eastAsia="PMingLiU" w:hAnsi="Times New Roman" w:cs="Simplified Arabic"/>
      <w:color w:val="243F60"/>
      <w:sz w:val="20"/>
    </w:rPr>
  </w:style>
  <w:style w:type="character" w:customStyle="1" w:styleId="Heading6Char">
    <w:name w:val="Heading 6 Char"/>
    <w:link w:val="Heading6"/>
    <w:uiPriority w:val="9"/>
    <w:rsid w:val="001A72EE"/>
    <w:rPr>
      <w:rFonts w:ascii="Times New Roman" w:eastAsia="PMingLiU" w:hAnsi="Times New Roman" w:cs="Simplified Arabic"/>
      <w:i/>
      <w:iCs/>
      <w:color w:val="243F60"/>
      <w:sz w:val="20"/>
    </w:rPr>
  </w:style>
  <w:style w:type="character" w:customStyle="1" w:styleId="Heading7Char">
    <w:name w:val="Heading 7 Char"/>
    <w:link w:val="Heading7"/>
    <w:uiPriority w:val="9"/>
    <w:rsid w:val="001A72EE"/>
    <w:rPr>
      <w:rFonts w:ascii="Times New Roman" w:eastAsia="PMingLiU" w:hAnsi="Times New Roman" w:cs="Simplified Arabic"/>
      <w:i/>
      <w:iCs/>
      <w:color w:val="404040"/>
      <w:sz w:val="20"/>
    </w:rPr>
  </w:style>
  <w:style w:type="character" w:customStyle="1" w:styleId="Heading8Char">
    <w:name w:val="Heading 8 Char"/>
    <w:link w:val="Heading8"/>
    <w:uiPriority w:val="9"/>
    <w:rsid w:val="001A72EE"/>
    <w:rPr>
      <w:rFonts w:ascii="Times New Roman" w:eastAsia="PMingLiU" w:hAnsi="Times New Roman" w:cs="Simplified Arabic"/>
      <w:color w:val="404040"/>
      <w:sz w:val="20"/>
      <w:szCs w:val="20"/>
    </w:rPr>
  </w:style>
  <w:style w:type="character" w:customStyle="1" w:styleId="Heading9Char">
    <w:name w:val="Heading 9 Char"/>
    <w:link w:val="Heading9"/>
    <w:uiPriority w:val="9"/>
    <w:rsid w:val="001A72EE"/>
    <w:rPr>
      <w:rFonts w:ascii="Times New Roman" w:eastAsia="PMingLiU" w:hAnsi="Times New Roman" w:cs="Simplified Arabic"/>
      <w:i/>
      <w:iCs/>
      <w:color w:val="404040"/>
      <w:sz w:val="20"/>
      <w:szCs w:val="20"/>
    </w:rPr>
  </w:style>
  <w:style w:type="paragraph" w:styleId="Title">
    <w:name w:val="Title"/>
    <w:basedOn w:val="Normal"/>
    <w:next w:val="Normal"/>
    <w:link w:val="TitleChar"/>
    <w:uiPriority w:val="10"/>
    <w:rsid w:val="001A72EE"/>
    <w:pPr>
      <w:pBdr>
        <w:bottom w:val="single" w:sz="8" w:space="4" w:color="4F81BD"/>
      </w:pBdr>
      <w:spacing w:after="300" w:line="240" w:lineRule="auto"/>
      <w:contextualSpacing/>
    </w:pPr>
    <w:rPr>
      <w:color w:val="17365D"/>
      <w:spacing w:val="5"/>
      <w:kern w:val="28"/>
      <w:sz w:val="52"/>
      <w:szCs w:val="52"/>
    </w:rPr>
  </w:style>
  <w:style w:type="character" w:customStyle="1" w:styleId="TitleChar">
    <w:name w:val="Title Char"/>
    <w:link w:val="Title"/>
    <w:uiPriority w:val="10"/>
    <w:rsid w:val="001A72EE"/>
    <w:rPr>
      <w:rFonts w:ascii="Times New Roman" w:eastAsia="PMingLiU" w:hAnsi="Times New Roman" w:cs="Simplified Arabic"/>
      <w:color w:val="17365D"/>
      <w:spacing w:val="5"/>
      <w:kern w:val="28"/>
      <w:sz w:val="52"/>
      <w:szCs w:val="52"/>
    </w:rPr>
  </w:style>
  <w:style w:type="paragraph" w:styleId="Subtitle">
    <w:name w:val="Subtitle"/>
    <w:basedOn w:val="Normal"/>
    <w:next w:val="Normal"/>
    <w:link w:val="SubtitleChar"/>
    <w:uiPriority w:val="11"/>
    <w:rsid w:val="001A72EE"/>
    <w:pPr>
      <w:numPr>
        <w:ilvl w:val="1"/>
      </w:numPr>
    </w:pPr>
    <w:rPr>
      <w:i/>
      <w:iCs/>
      <w:color w:val="4F81BD"/>
      <w:spacing w:val="15"/>
      <w:sz w:val="24"/>
      <w:szCs w:val="24"/>
    </w:rPr>
  </w:style>
  <w:style w:type="character" w:customStyle="1" w:styleId="SubtitleChar">
    <w:name w:val="Subtitle Char"/>
    <w:link w:val="Subtitle"/>
    <w:uiPriority w:val="11"/>
    <w:rsid w:val="001A72EE"/>
    <w:rPr>
      <w:rFonts w:ascii="Times New Roman" w:eastAsia="PMingLiU" w:hAnsi="Times New Roman" w:cs="Simplified Arabic"/>
      <w:i/>
      <w:iCs/>
      <w:color w:val="4F81BD"/>
      <w:spacing w:val="15"/>
      <w:sz w:val="24"/>
      <w:szCs w:val="24"/>
    </w:rPr>
  </w:style>
  <w:style w:type="character" w:styleId="SubtleEmphasis">
    <w:name w:val="Subtle Emphasis"/>
    <w:uiPriority w:val="19"/>
    <w:rsid w:val="001A72EE"/>
    <w:rPr>
      <w:i/>
      <w:iCs/>
      <w:color w:val="808080"/>
    </w:rPr>
  </w:style>
  <w:style w:type="table" w:styleId="ColorfulGrid-Accent6">
    <w:name w:val="Colorful Grid Accent 6"/>
    <w:basedOn w:val="TableNormal"/>
    <w:uiPriority w:val="73"/>
    <w:rsid w:val="001A72EE"/>
    <w:pPr>
      <w:spacing w:after="0" w:line="240" w:lineRule="auto"/>
    </w:pPr>
    <w:rPr>
      <w:rFonts w:ascii="Calibri" w:eastAsia="PMingLiU" w:hAnsi="Calibri" w:cs="Arial"/>
      <w:color w:val="000000"/>
      <w:sz w:val="20"/>
      <w:szCs w:val="20"/>
      <w:lang w:eastAsia="zh-CN"/>
    </w:rPr>
    <w:tblPr>
      <w:tblStyleRowBandSize w:val="1"/>
      <w:tblStyleColBandSize w:val="1"/>
      <w:tblBorders>
        <w:insideH w:val="single" w:sz="4" w:space="0" w:color="FFFFFF"/>
      </w:tblBorders>
    </w:tblPr>
    <w:tcPr>
      <w:shd w:val="clear" w:color="auto" w:fill="FDE9D9"/>
    </w:tcPr>
    <w:tblStylePr w:type="firstRow">
      <w:rPr>
        <w:b/>
        <w:bCs/>
      </w:rPr>
      <w:tblPr/>
      <w:tcPr>
        <w:shd w:val="clear" w:color="auto" w:fill="FBD4B4"/>
      </w:tcPr>
    </w:tblStylePr>
    <w:tblStylePr w:type="lastRow">
      <w:rPr>
        <w:b/>
        <w:bCs/>
        <w:color w:val="000000"/>
      </w:rPr>
      <w:tblPr/>
      <w:tcPr>
        <w:shd w:val="clear" w:color="auto" w:fill="FBD4B4"/>
      </w:tcPr>
    </w:tblStylePr>
    <w:tblStylePr w:type="firstCol">
      <w:rPr>
        <w:color w:val="FFFFFF"/>
      </w:rPr>
      <w:tblPr/>
      <w:tcPr>
        <w:shd w:val="clear" w:color="auto" w:fill="E36C0A"/>
      </w:tcPr>
    </w:tblStylePr>
    <w:tblStylePr w:type="lastCol">
      <w:rPr>
        <w:color w:val="FFFFFF"/>
      </w:rPr>
      <w:tblPr/>
      <w:tcPr>
        <w:shd w:val="clear" w:color="auto" w:fill="E36C0A"/>
      </w:tcPr>
    </w:tblStylePr>
    <w:tblStylePr w:type="band1Vert">
      <w:tblPr/>
      <w:tcPr>
        <w:shd w:val="clear" w:color="auto" w:fill="FBCAA2"/>
      </w:tcPr>
    </w:tblStylePr>
    <w:tblStylePr w:type="band1Horz">
      <w:tblPr/>
      <w:tcPr>
        <w:shd w:val="clear" w:color="auto" w:fill="FBCAA2"/>
      </w:tcPr>
    </w:tblStylePr>
  </w:style>
  <w:style w:type="character" w:styleId="Emphasis">
    <w:name w:val="Emphasis"/>
    <w:uiPriority w:val="20"/>
    <w:rsid w:val="001A72EE"/>
    <w:rPr>
      <w:i/>
      <w:iCs/>
    </w:rPr>
  </w:style>
  <w:style w:type="character" w:styleId="IntenseEmphasis">
    <w:name w:val="Intense Emphasis"/>
    <w:uiPriority w:val="21"/>
    <w:rsid w:val="001A72EE"/>
    <w:rPr>
      <w:b/>
      <w:bCs/>
      <w:i/>
      <w:iCs/>
      <w:color w:val="4F81BD"/>
    </w:rPr>
  </w:style>
  <w:style w:type="character" w:styleId="Strong">
    <w:name w:val="Strong"/>
    <w:uiPriority w:val="22"/>
    <w:rsid w:val="001A72EE"/>
    <w:rPr>
      <w:b/>
      <w:bCs/>
    </w:rPr>
  </w:style>
  <w:style w:type="paragraph" w:styleId="Quote">
    <w:name w:val="Quote"/>
    <w:basedOn w:val="Normal"/>
    <w:next w:val="Normal"/>
    <w:link w:val="QuoteChar"/>
    <w:uiPriority w:val="29"/>
    <w:rsid w:val="001A72EE"/>
    <w:rPr>
      <w:i/>
      <w:iCs/>
      <w:color w:val="000000"/>
    </w:rPr>
  </w:style>
  <w:style w:type="character" w:customStyle="1" w:styleId="QuoteChar">
    <w:name w:val="Quote Char"/>
    <w:link w:val="Quote"/>
    <w:uiPriority w:val="29"/>
    <w:rsid w:val="001A72EE"/>
    <w:rPr>
      <w:rFonts w:ascii="Times New Roman" w:eastAsia="PMingLiU" w:hAnsi="Times New Roman" w:cs="Simplified Arabic"/>
      <w:i/>
      <w:iCs/>
      <w:color w:val="000000"/>
      <w:sz w:val="20"/>
    </w:rPr>
  </w:style>
  <w:style w:type="paragraph" w:styleId="IntenseQuote">
    <w:name w:val="Intense Quote"/>
    <w:basedOn w:val="Normal"/>
    <w:next w:val="Normal"/>
    <w:link w:val="IntenseQuoteChar"/>
    <w:uiPriority w:val="30"/>
    <w:rsid w:val="001A72EE"/>
    <w:pPr>
      <w:pBdr>
        <w:bottom w:val="single" w:sz="4" w:space="4" w:color="4F81BD"/>
      </w:pBdr>
      <w:spacing w:before="200" w:after="280"/>
      <w:ind w:left="936" w:right="936"/>
    </w:pPr>
    <w:rPr>
      <w:b/>
      <w:bCs/>
      <w:i/>
      <w:iCs/>
      <w:color w:val="4F81BD"/>
    </w:rPr>
  </w:style>
  <w:style w:type="character" w:customStyle="1" w:styleId="IntenseQuoteChar">
    <w:name w:val="Intense Quote Char"/>
    <w:link w:val="IntenseQuote"/>
    <w:uiPriority w:val="30"/>
    <w:rsid w:val="001A72EE"/>
    <w:rPr>
      <w:rFonts w:ascii="Times New Roman" w:eastAsia="PMingLiU" w:hAnsi="Times New Roman" w:cs="Simplified Arabic"/>
      <w:b/>
      <w:bCs/>
      <w:i/>
      <w:iCs/>
      <w:color w:val="4F81BD"/>
      <w:sz w:val="20"/>
    </w:rPr>
  </w:style>
  <w:style w:type="character" w:styleId="SubtleReference">
    <w:name w:val="Subtle Reference"/>
    <w:uiPriority w:val="31"/>
    <w:rsid w:val="001A72EE"/>
    <w:rPr>
      <w:smallCaps/>
      <w:color w:val="C0504D"/>
      <w:u w:val="single"/>
    </w:rPr>
  </w:style>
  <w:style w:type="character" w:styleId="IntenseReference">
    <w:name w:val="Intense Reference"/>
    <w:uiPriority w:val="32"/>
    <w:rsid w:val="001A72EE"/>
    <w:rPr>
      <w:b/>
      <w:bCs/>
      <w:smallCaps/>
      <w:color w:val="C0504D"/>
      <w:spacing w:val="5"/>
      <w:u w:val="single"/>
    </w:rPr>
  </w:style>
  <w:style w:type="paragraph" w:styleId="ListParagraph">
    <w:name w:val="List Paragraph"/>
    <w:basedOn w:val="Normal"/>
    <w:uiPriority w:val="34"/>
    <w:rsid w:val="001A72EE"/>
    <w:pPr>
      <w:ind w:left="720"/>
      <w:contextualSpacing/>
    </w:pPr>
  </w:style>
  <w:style w:type="table" w:styleId="MediumShading1-Accent4">
    <w:name w:val="Medium Shading 1 Accent 4"/>
    <w:basedOn w:val="TableNormal"/>
    <w:uiPriority w:val="63"/>
    <w:rsid w:val="001A72EE"/>
    <w:pPr>
      <w:spacing w:after="0" w:line="240" w:lineRule="auto"/>
    </w:pPr>
    <w:rPr>
      <w:rFonts w:ascii="Calibri" w:eastAsia="PMingLiU" w:hAnsi="Calibri" w:cs="Arial"/>
      <w:sz w:val="20"/>
      <w:szCs w:val="20"/>
      <w:lang w:eastAsia="zh-CN"/>
    </w:rPr>
    <w:tblPr>
      <w:tblStyleRowBandSize w:val="1"/>
      <w:tblStyleColBandSize w:val="1"/>
      <w:tblBorders>
        <w:top w:val="single" w:sz="8" w:space="0" w:color="9F8AB9"/>
        <w:left w:val="single" w:sz="8" w:space="0" w:color="9F8AB9"/>
        <w:bottom w:val="single" w:sz="8" w:space="0" w:color="9F8AB9"/>
        <w:right w:val="single" w:sz="8" w:space="0" w:color="9F8AB9"/>
        <w:insideH w:val="single" w:sz="8" w:space="0" w:color="9F8AB9"/>
      </w:tblBorders>
    </w:tblPr>
    <w:tblStylePr w:type="firstRow">
      <w:pPr>
        <w:spacing w:before="0" w:after="0" w:line="240" w:lineRule="auto"/>
      </w:pPr>
      <w:rPr>
        <w:b/>
        <w:bCs/>
        <w:color w:val="FFFFFF"/>
      </w:rPr>
      <w:tblPr/>
      <w:tcPr>
        <w:tcBorders>
          <w:top w:val="single" w:sz="8" w:space="0" w:color="9F8AB9"/>
          <w:left w:val="single" w:sz="8" w:space="0" w:color="9F8AB9"/>
          <w:bottom w:val="single" w:sz="8" w:space="0" w:color="9F8AB9"/>
          <w:right w:val="single" w:sz="8" w:space="0" w:color="9F8AB9"/>
          <w:insideH w:val="nil"/>
          <w:insideV w:val="nil"/>
        </w:tcBorders>
        <w:shd w:val="clear" w:color="auto" w:fill="8064A2"/>
      </w:tcPr>
    </w:tblStylePr>
    <w:tblStylePr w:type="lastRow">
      <w:pPr>
        <w:spacing w:before="0" w:after="0" w:line="240" w:lineRule="auto"/>
      </w:pPr>
      <w:rPr>
        <w:b/>
        <w:bCs/>
      </w:rPr>
      <w:tblPr/>
      <w:tcPr>
        <w:tcBorders>
          <w:top w:val="double" w:sz="6" w:space="0" w:color="9F8AB9"/>
          <w:left w:val="single" w:sz="8" w:space="0" w:color="9F8AB9"/>
          <w:bottom w:val="single" w:sz="8" w:space="0" w:color="9F8AB9"/>
          <w:right w:val="single" w:sz="8" w:space="0" w:color="9F8AB9"/>
          <w:insideH w:val="nil"/>
          <w:insideV w:val="nil"/>
        </w:tcBorders>
      </w:tcPr>
    </w:tblStylePr>
    <w:tblStylePr w:type="firstCol">
      <w:rPr>
        <w:b/>
        <w:bCs/>
      </w:rPr>
    </w:tblStylePr>
    <w:tblStylePr w:type="lastCol">
      <w:rPr>
        <w:b/>
        <w:bCs/>
      </w:rPr>
    </w:tblStylePr>
    <w:tblStylePr w:type="band1Vert">
      <w:tblPr/>
      <w:tcPr>
        <w:shd w:val="clear" w:color="auto" w:fill="DFD8E8"/>
      </w:tcPr>
    </w:tblStylePr>
    <w:tblStylePr w:type="band1Horz">
      <w:tblPr/>
      <w:tcPr>
        <w:tcBorders>
          <w:insideH w:val="nil"/>
          <w:insideV w:val="nil"/>
        </w:tcBorders>
        <w:shd w:val="clear" w:color="auto" w:fill="DFD8E8"/>
      </w:tcPr>
    </w:tblStylePr>
    <w:tblStylePr w:type="band2Horz">
      <w:tblPr/>
      <w:tcPr>
        <w:tcBorders>
          <w:insideH w:val="nil"/>
          <w:insideV w:val="nil"/>
        </w:tcBorders>
      </w:tcPr>
    </w:tblStylePr>
  </w:style>
  <w:style w:type="character" w:styleId="EndnoteReference">
    <w:name w:val="endnote reference"/>
    <w:aliases w:val="1_G"/>
    <w:unhideWhenUsed/>
    <w:qFormat/>
    <w:rsid w:val="001A72EE"/>
    <w:rPr>
      <w:rFonts w:eastAsia="MS Mincho"/>
      <w:sz w:val="18"/>
      <w:vertAlign w:val="superscript"/>
    </w:rPr>
  </w:style>
  <w:style w:type="table" w:styleId="TableGrid">
    <w:name w:val="Table Grid"/>
    <w:basedOn w:val="TableNormal"/>
    <w:rsid w:val="001A72EE"/>
    <w:pPr>
      <w:bidi/>
      <w:spacing w:after="0" w:line="240" w:lineRule="auto"/>
      <w:jc w:val="lowKashida"/>
    </w:pPr>
    <w:rPr>
      <w:rFonts w:ascii="Times New Roman" w:eastAsia="PMingLiU" w:hAnsi="Times New Roman" w:cs="Times New Roman"/>
      <w:sz w:val="20"/>
      <w:szCs w:val="20"/>
      <w:lang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1A72EE"/>
    <w:pPr>
      <w:spacing w:line="240" w:lineRule="auto"/>
    </w:pPr>
    <w:rPr>
      <w:sz w:val="16"/>
      <w:szCs w:val="16"/>
    </w:rPr>
  </w:style>
  <w:style w:type="character" w:customStyle="1" w:styleId="BalloonTextChar">
    <w:name w:val="Balloon Text Char"/>
    <w:link w:val="BalloonText"/>
    <w:uiPriority w:val="99"/>
    <w:semiHidden/>
    <w:rsid w:val="001A72EE"/>
    <w:rPr>
      <w:rFonts w:ascii="Times New Roman" w:eastAsia="PMingLiU" w:hAnsi="Times New Roman" w:cs="Simplified Arabic"/>
      <w:sz w:val="16"/>
      <w:szCs w:val="16"/>
    </w:rPr>
  </w:style>
  <w:style w:type="character" w:styleId="Hyperlink">
    <w:name w:val="Hyperlink"/>
    <w:uiPriority w:val="99"/>
    <w:unhideWhenUsed/>
    <w:rsid w:val="001A72EE"/>
    <w:rPr>
      <w:color w:val="0000FF"/>
      <w:u w:val="none"/>
    </w:rPr>
  </w:style>
  <w:style w:type="paragraph" w:styleId="TOC1">
    <w:name w:val="toc 1"/>
    <w:basedOn w:val="Normal"/>
    <w:link w:val="TOC1Char"/>
    <w:autoRedefine/>
    <w:uiPriority w:val="39"/>
    <w:unhideWhenUsed/>
    <w:rsid w:val="001A72EE"/>
    <w:pPr>
      <w:tabs>
        <w:tab w:val="right" w:pos="1021"/>
        <w:tab w:val="left" w:pos="1077"/>
        <w:tab w:val="left" w:pos="1525"/>
        <w:tab w:val="left" w:leader="dot" w:pos="7467"/>
        <w:tab w:val="left" w:pos="7972"/>
        <w:tab w:val="right" w:pos="9639"/>
      </w:tabs>
      <w:suppressAutoHyphens/>
      <w:spacing w:before="120" w:line="340" w:lineRule="exact"/>
      <w:ind w:left="1525" w:right="2211" w:hanging="1525"/>
    </w:pPr>
    <w:rPr>
      <w:noProof/>
      <w:szCs w:val="20"/>
      <w:lang w:val="fr-CH" w:eastAsia="zh-TW" w:bidi="ar-EG"/>
    </w:rPr>
  </w:style>
  <w:style w:type="paragraph" w:styleId="TOC2">
    <w:name w:val="toc 2"/>
    <w:basedOn w:val="Normal"/>
    <w:link w:val="TOC2Char"/>
    <w:autoRedefine/>
    <w:uiPriority w:val="39"/>
    <w:unhideWhenUsed/>
    <w:rsid w:val="001A72EE"/>
    <w:pPr>
      <w:tabs>
        <w:tab w:val="left" w:pos="1843"/>
        <w:tab w:val="left" w:pos="2206"/>
        <w:tab w:val="left" w:leader="dot" w:pos="7467"/>
        <w:tab w:val="left" w:pos="7972"/>
        <w:tab w:val="right" w:pos="9639"/>
      </w:tabs>
      <w:suppressAutoHyphens/>
      <w:spacing w:line="340" w:lineRule="exact"/>
      <w:ind w:left="2205" w:right="2206" w:hanging="680"/>
    </w:pPr>
    <w:rPr>
      <w:noProof/>
      <w:szCs w:val="20"/>
      <w:lang w:val="fr-CH"/>
    </w:rPr>
  </w:style>
  <w:style w:type="paragraph" w:styleId="TOC3">
    <w:name w:val="toc 3"/>
    <w:basedOn w:val="TOC2"/>
    <w:next w:val="Normal"/>
    <w:link w:val="TOC3Char"/>
    <w:autoRedefine/>
    <w:uiPriority w:val="39"/>
    <w:unhideWhenUsed/>
    <w:rsid w:val="001A72EE"/>
    <w:pPr>
      <w:tabs>
        <w:tab w:val="clear" w:pos="1843"/>
        <w:tab w:val="clear" w:pos="2206"/>
        <w:tab w:val="left" w:pos="2325"/>
      </w:tabs>
      <w:suppressAutoHyphens w:val="0"/>
      <w:ind w:left="2886"/>
    </w:pPr>
    <w:rPr>
      <w:lang w:bidi="ar-EG"/>
    </w:rPr>
  </w:style>
  <w:style w:type="character" w:customStyle="1" w:styleId="PagesNumbers">
    <w:name w:val="Pages Numbers"/>
    <w:uiPriority w:val="1"/>
    <w:qFormat/>
    <w:rsid w:val="001A72EE"/>
    <w:rPr>
      <w:rFonts w:eastAsia="DengXian"/>
      <w:color w:val="auto"/>
      <w:sz w:val="20"/>
      <w:szCs w:val="20"/>
      <w:u w:val="none"/>
      <w:lang w:eastAsia="zh-CN" w:bidi="ar-EG"/>
    </w:rPr>
  </w:style>
  <w:style w:type="paragraph" w:styleId="TOC4">
    <w:name w:val="toc 4"/>
    <w:basedOn w:val="Normal"/>
    <w:link w:val="TOC4Char"/>
    <w:autoRedefine/>
    <w:uiPriority w:val="39"/>
    <w:unhideWhenUsed/>
    <w:rsid w:val="001A72EE"/>
    <w:pPr>
      <w:tabs>
        <w:tab w:val="right" w:pos="1021"/>
        <w:tab w:val="left" w:pos="1077"/>
        <w:tab w:val="left" w:pos="1525"/>
        <w:tab w:val="left" w:leader="dot" w:pos="9065"/>
        <w:tab w:val="right" w:pos="9639"/>
      </w:tabs>
      <w:suppressAutoHyphens/>
      <w:spacing w:before="120" w:line="340" w:lineRule="exact"/>
      <w:ind w:left="1525" w:right="567" w:hanging="1525"/>
    </w:pPr>
    <w:rPr>
      <w:noProof/>
      <w:szCs w:val="20"/>
      <w:lang w:val="en-GB"/>
    </w:rPr>
  </w:style>
  <w:style w:type="paragraph" w:styleId="TOC5">
    <w:name w:val="toc 5"/>
    <w:basedOn w:val="Normal"/>
    <w:link w:val="TOC5Char"/>
    <w:autoRedefine/>
    <w:uiPriority w:val="39"/>
    <w:unhideWhenUsed/>
    <w:rsid w:val="001A72EE"/>
    <w:pPr>
      <w:tabs>
        <w:tab w:val="left" w:pos="1843"/>
        <w:tab w:val="left" w:pos="2206"/>
        <w:tab w:val="left" w:leader="dot" w:pos="9065"/>
        <w:tab w:val="right" w:pos="9639"/>
      </w:tabs>
      <w:suppressAutoHyphens/>
      <w:spacing w:line="340" w:lineRule="exact"/>
      <w:ind w:left="2205" w:right="567" w:hanging="680"/>
    </w:pPr>
    <w:rPr>
      <w:noProof/>
      <w:szCs w:val="20"/>
      <w:lang w:val="en-GB"/>
    </w:rPr>
  </w:style>
  <w:style w:type="paragraph" w:styleId="TOC6">
    <w:name w:val="toc 6"/>
    <w:basedOn w:val="Normal"/>
    <w:link w:val="TOC6Char"/>
    <w:autoRedefine/>
    <w:uiPriority w:val="39"/>
    <w:unhideWhenUsed/>
    <w:rsid w:val="001A72EE"/>
    <w:pPr>
      <w:tabs>
        <w:tab w:val="left" w:pos="2325"/>
        <w:tab w:val="left" w:leader="dot" w:pos="9065"/>
        <w:tab w:val="right" w:pos="9639"/>
      </w:tabs>
      <w:suppressAutoHyphens/>
      <w:spacing w:line="340" w:lineRule="exact"/>
      <w:ind w:left="2886" w:right="567" w:hanging="680"/>
    </w:pPr>
    <w:rPr>
      <w:szCs w:val="20"/>
      <w:lang w:val="en-GB"/>
    </w:rPr>
  </w:style>
  <w:style w:type="paragraph" w:customStyle="1" w:styleId="a">
    <w:name w:val="المحتويات_بلا_فقرات"/>
    <w:rsid w:val="001A72EE"/>
    <w:pPr>
      <w:tabs>
        <w:tab w:val="left" w:pos="1928"/>
        <w:tab w:val="left" w:pos="2608"/>
        <w:tab w:val="left" w:pos="3289"/>
        <w:tab w:val="left" w:pos="3969"/>
        <w:tab w:val="left" w:pos="4649"/>
        <w:tab w:val="left" w:pos="5330"/>
      </w:tabs>
      <w:bidi/>
      <w:spacing w:after="120" w:line="360" w:lineRule="exact"/>
      <w:ind w:left="1247" w:right="1247"/>
      <w:jc w:val="lowKashida"/>
    </w:pPr>
    <w:rPr>
      <w:rFonts w:ascii="Times New Roman" w:eastAsia="PMingLiU" w:hAnsi="Times New Roman" w:cs="Simplified Arabic"/>
      <w:sz w:val="20"/>
      <w:szCs w:val="28"/>
    </w:rPr>
  </w:style>
  <w:style w:type="table" w:customStyle="1" w:styleId="TABLEA">
    <w:name w:val="TABLE_A"/>
    <w:basedOn w:val="TableNormal"/>
    <w:uiPriority w:val="99"/>
    <w:rsid w:val="001A72EE"/>
    <w:pPr>
      <w:bidi/>
      <w:spacing w:before="80" w:after="80" w:line="320" w:lineRule="exact"/>
      <w:ind w:left="113" w:right="113"/>
      <w:jc w:val="lowKashida"/>
    </w:pPr>
    <w:rPr>
      <w:rFonts w:ascii="Times New Roman" w:eastAsiaTheme="minorEastAsia" w:hAnsi="Times New Roman" w:cs="Traditional Arabic"/>
      <w:sz w:val="18"/>
      <w:szCs w:val="28"/>
      <w:lang w:eastAsia="zh-CN"/>
    </w:rPr>
    <w:tblPr>
      <w:jc w:val="right"/>
    </w:tblPr>
    <w:trPr>
      <w:jc w:val="right"/>
    </w:trPr>
    <w:tcPr>
      <w:tcMar>
        <w:left w:w="0" w:type="dxa"/>
        <w:right w:w="0" w:type="dxa"/>
      </w:tcMar>
    </w:tcPr>
    <w:tblStylePr w:type="firstRow">
      <w:tblPr/>
      <w:tcPr>
        <w:tcBorders>
          <w:top w:val="single" w:sz="4" w:space="0" w:color="auto"/>
          <w:left w:val="nil"/>
          <w:bottom w:val="single" w:sz="12" w:space="0" w:color="auto"/>
          <w:right w:val="nil"/>
          <w:insideH w:val="nil"/>
          <w:insideV w:val="nil"/>
          <w:tl2br w:val="nil"/>
          <w:tr2bl w:val="nil"/>
        </w:tcBorders>
      </w:tcPr>
    </w:tblStylePr>
    <w:tblStylePr w:type="lastRow">
      <w:pPr>
        <w:wordWrap/>
        <w:spacing w:beforeLines="0" w:before="80" w:beforeAutospacing="0" w:afterLines="0" w:after="80" w:afterAutospacing="0" w:line="320" w:lineRule="exact"/>
        <w:ind w:leftChars="0" w:left="113" w:rightChars="0" w:right="113" w:firstLineChars="0" w:firstLine="0"/>
        <w:jc w:val="lowKashida"/>
      </w:pPr>
      <w:tblPr/>
      <w:tcPr>
        <w:tcBorders>
          <w:top w:val="nil"/>
          <w:left w:val="nil"/>
          <w:bottom w:val="single" w:sz="12" w:space="0" w:color="auto"/>
          <w:right w:val="nil"/>
          <w:insideH w:val="nil"/>
          <w:insideV w:val="nil"/>
          <w:tl2br w:val="nil"/>
          <w:tr2bl w:val="nil"/>
        </w:tcBorders>
      </w:tcPr>
    </w:tblStylePr>
  </w:style>
  <w:style w:type="character" w:customStyle="1" w:styleId="SingleTxtGAChar">
    <w:name w:val="_ Single Txt_GA Char"/>
    <w:basedOn w:val="DefaultParagraphFont"/>
    <w:link w:val="SingleTxtGA"/>
    <w:locked/>
    <w:rsid w:val="001A72EE"/>
    <w:rPr>
      <w:rFonts w:ascii="Times New Roman" w:eastAsia="PMingLiU" w:hAnsi="Times New Roman" w:cs="Simplified Arabic"/>
      <w:lang w:val="en-GB"/>
    </w:rPr>
  </w:style>
  <w:style w:type="character" w:styleId="UnresolvedMention">
    <w:name w:val="Unresolved Mention"/>
    <w:basedOn w:val="DefaultParagraphFont"/>
    <w:uiPriority w:val="99"/>
    <w:semiHidden/>
    <w:unhideWhenUsed/>
    <w:rsid w:val="001A72EE"/>
    <w:rPr>
      <w:color w:val="605E5C"/>
      <w:shd w:val="clear" w:color="auto" w:fill="E1DFDD"/>
    </w:rPr>
  </w:style>
  <w:style w:type="character" w:customStyle="1" w:styleId="TOC1Char">
    <w:name w:val="TOC 1 Char"/>
    <w:basedOn w:val="DefaultParagraphFont"/>
    <w:link w:val="TOC1"/>
    <w:uiPriority w:val="39"/>
    <w:rsid w:val="001A72EE"/>
    <w:rPr>
      <w:rFonts w:ascii="Times New Roman" w:eastAsia="PMingLiU" w:hAnsi="Times New Roman" w:cs="Simplified Arabic"/>
      <w:noProof/>
      <w:sz w:val="20"/>
      <w:szCs w:val="20"/>
      <w:lang w:val="fr-CH" w:eastAsia="zh-TW" w:bidi="ar-EG"/>
    </w:rPr>
  </w:style>
  <w:style w:type="character" w:customStyle="1" w:styleId="TOC2Char">
    <w:name w:val="TOC 2 Char"/>
    <w:basedOn w:val="DefaultParagraphFont"/>
    <w:link w:val="TOC2"/>
    <w:uiPriority w:val="39"/>
    <w:rsid w:val="001A72EE"/>
    <w:rPr>
      <w:rFonts w:ascii="Times New Roman" w:eastAsia="PMingLiU" w:hAnsi="Times New Roman" w:cs="Simplified Arabic"/>
      <w:noProof/>
      <w:sz w:val="20"/>
      <w:szCs w:val="20"/>
      <w:lang w:val="fr-CH"/>
    </w:rPr>
  </w:style>
  <w:style w:type="character" w:customStyle="1" w:styleId="TOC3Char">
    <w:name w:val="TOC 3 Char"/>
    <w:basedOn w:val="TOC2Char"/>
    <w:link w:val="TOC3"/>
    <w:uiPriority w:val="39"/>
    <w:rsid w:val="001A72EE"/>
    <w:rPr>
      <w:rFonts w:ascii="Times New Roman" w:eastAsia="PMingLiU" w:hAnsi="Times New Roman" w:cs="Simplified Arabic"/>
      <w:noProof/>
      <w:sz w:val="20"/>
      <w:szCs w:val="20"/>
      <w:lang w:val="fr-CH" w:bidi="ar-EG"/>
    </w:rPr>
  </w:style>
  <w:style w:type="character" w:customStyle="1" w:styleId="TOC4Char">
    <w:name w:val="TOC 4 Char"/>
    <w:basedOn w:val="DefaultParagraphFont"/>
    <w:link w:val="TOC4"/>
    <w:uiPriority w:val="39"/>
    <w:rsid w:val="001A72EE"/>
    <w:rPr>
      <w:rFonts w:ascii="Times New Roman" w:eastAsia="PMingLiU" w:hAnsi="Times New Roman" w:cs="Simplified Arabic"/>
      <w:noProof/>
      <w:sz w:val="20"/>
      <w:szCs w:val="20"/>
      <w:lang w:val="en-GB"/>
    </w:rPr>
  </w:style>
  <w:style w:type="character" w:customStyle="1" w:styleId="TOC5Char">
    <w:name w:val="TOC 5 Char"/>
    <w:basedOn w:val="DefaultParagraphFont"/>
    <w:link w:val="TOC5"/>
    <w:uiPriority w:val="39"/>
    <w:rsid w:val="001A72EE"/>
    <w:rPr>
      <w:rFonts w:ascii="Times New Roman" w:eastAsia="PMingLiU" w:hAnsi="Times New Roman" w:cs="Simplified Arabic"/>
      <w:noProof/>
      <w:sz w:val="20"/>
      <w:szCs w:val="20"/>
      <w:lang w:val="en-GB"/>
    </w:rPr>
  </w:style>
  <w:style w:type="character" w:customStyle="1" w:styleId="TOC6Char">
    <w:name w:val="TOC 6 Char"/>
    <w:basedOn w:val="DefaultParagraphFont"/>
    <w:link w:val="TOC6"/>
    <w:uiPriority w:val="39"/>
    <w:rsid w:val="001A72EE"/>
    <w:rPr>
      <w:rFonts w:ascii="Times New Roman" w:eastAsia="PMingLiU" w:hAnsi="Times New Roman" w:cs="Simplified Arabic"/>
      <w:sz w:val="20"/>
      <w:szCs w:val="20"/>
      <w:lang w:val="en-GB"/>
    </w:rPr>
  </w:style>
  <w:style w:type="paragraph" w:customStyle="1" w:styleId="SessionDate">
    <w:name w:val="Session_Date"/>
    <w:basedOn w:val="Normal"/>
    <w:qFormat/>
    <w:rsid w:val="001A72EE"/>
    <w:pPr>
      <w:spacing w:before="240" w:after="240" w:line="460" w:lineRule="exact"/>
      <w:ind w:left="1247"/>
    </w:pPr>
    <w:rPr>
      <w:b/>
      <w:bCs/>
      <w:sz w:val="32"/>
      <w:szCs w:val="44"/>
    </w:rPr>
  </w:style>
  <w:style w:type="paragraph" w:customStyle="1" w:styleId="SessionNumber">
    <w:name w:val="Session_Number"/>
    <w:basedOn w:val="Normal"/>
    <w:qFormat/>
    <w:rsid w:val="001A72EE"/>
    <w:pPr>
      <w:spacing w:line="480" w:lineRule="exact"/>
      <w:ind w:left="1247"/>
    </w:pPr>
    <w:rPr>
      <w:b/>
      <w:bCs/>
      <w:sz w:val="28"/>
      <w:szCs w:val="38"/>
    </w:rPr>
  </w:style>
  <w:style w:type="paragraph" w:customStyle="1" w:styleId="CityandYear">
    <w:name w:val="City and Year"/>
    <w:basedOn w:val="SingleTxtGA"/>
    <w:qFormat/>
    <w:rsid w:val="001A72EE"/>
    <w:pPr>
      <w:spacing w:line="480" w:lineRule="exact"/>
    </w:pPr>
    <w:rPr>
      <w:b/>
      <w:bCs/>
      <w:sz w:val="30"/>
      <w:szCs w:val="38"/>
      <w:lang w:eastAsia="ar-SA"/>
    </w:rPr>
  </w:style>
  <w:style w:type="paragraph" w:customStyle="1" w:styleId="NormalA">
    <w:name w:val="Normal_A"/>
    <w:basedOn w:val="Normal"/>
    <w:qFormat/>
    <w:rsid w:val="001A72EE"/>
  </w:style>
  <w:style w:type="paragraph" w:customStyle="1" w:styleId="H1G">
    <w:name w:val="_ H_1_G"/>
    <w:basedOn w:val="Normal"/>
    <w:next w:val="Normal"/>
    <w:qFormat/>
    <w:rsid w:val="001A72EE"/>
    <w:pPr>
      <w:keepNext/>
      <w:keepLines/>
      <w:tabs>
        <w:tab w:val="right" w:pos="851"/>
      </w:tabs>
      <w:suppressAutoHyphens/>
      <w:bidi w:val="0"/>
      <w:spacing w:before="360" w:after="240" w:line="270" w:lineRule="exact"/>
      <w:ind w:left="1134" w:right="1134" w:hanging="1134"/>
      <w:jc w:val="left"/>
    </w:pPr>
    <w:rPr>
      <w:b/>
      <w:sz w:val="24"/>
      <w:szCs w:val="20"/>
      <w:lang w:val="en-GB"/>
    </w:rPr>
  </w:style>
  <w:style w:type="paragraph" w:customStyle="1" w:styleId="SingleTxtG">
    <w:name w:val="_ Single Txt_G"/>
    <w:basedOn w:val="Normal"/>
    <w:link w:val="SingleTxtGChar"/>
    <w:qFormat/>
    <w:rsid w:val="001A72EE"/>
    <w:pPr>
      <w:suppressAutoHyphens/>
      <w:bidi w:val="0"/>
      <w:spacing w:after="120"/>
      <w:ind w:left="1134" w:right="1134"/>
      <w:jc w:val="both"/>
    </w:pPr>
    <w:rPr>
      <w:szCs w:val="20"/>
      <w:lang w:val="en-GB"/>
    </w:rPr>
  </w:style>
  <w:style w:type="paragraph" w:customStyle="1" w:styleId="HChG">
    <w:name w:val="_ H _Ch_G"/>
    <w:basedOn w:val="Normal"/>
    <w:next w:val="Normal"/>
    <w:link w:val="HChGChar"/>
    <w:qFormat/>
    <w:rsid w:val="001A72EE"/>
    <w:pPr>
      <w:keepNext/>
      <w:keepLines/>
      <w:tabs>
        <w:tab w:val="right" w:pos="851"/>
      </w:tabs>
      <w:suppressAutoHyphens/>
      <w:bidi w:val="0"/>
      <w:spacing w:before="360" w:after="240" w:line="300" w:lineRule="exact"/>
      <w:ind w:left="1134" w:right="1134" w:hanging="1134"/>
      <w:jc w:val="left"/>
    </w:pPr>
    <w:rPr>
      <w:b/>
      <w:sz w:val="28"/>
      <w:szCs w:val="20"/>
      <w:lang w:val="en-GB"/>
    </w:rPr>
  </w:style>
  <w:style w:type="paragraph" w:customStyle="1" w:styleId="H23G">
    <w:name w:val="_ H_2/3_G"/>
    <w:basedOn w:val="Normal"/>
    <w:next w:val="Normal"/>
    <w:link w:val="H23GChar"/>
    <w:qFormat/>
    <w:rsid w:val="001A72EE"/>
    <w:pPr>
      <w:keepNext/>
      <w:keepLines/>
      <w:tabs>
        <w:tab w:val="right" w:pos="851"/>
      </w:tabs>
      <w:suppressAutoHyphens/>
      <w:bidi w:val="0"/>
      <w:spacing w:before="240" w:after="120" w:line="240" w:lineRule="exact"/>
      <w:ind w:left="1134" w:right="1134" w:hanging="1134"/>
      <w:jc w:val="left"/>
    </w:pPr>
    <w:rPr>
      <w:b/>
      <w:szCs w:val="20"/>
      <w:lang w:val="en-GB"/>
    </w:rPr>
  </w:style>
  <w:style w:type="paragraph" w:customStyle="1" w:styleId="H4G">
    <w:name w:val="_ H_4_G"/>
    <w:basedOn w:val="Normal"/>
    <w:next w:val="Normal"/>
    <w:qFormat/>
    <w:rsid w:val="001A72EE"/>
    <w:pPr>
      <w:keepNext/>
      <w:keepLines/>
      <w:tabs>
        <w:tab w:val="right" w:pos="851"/>
      </w:tabs>
      <w:suppressAutoHyphens/>
      <w:bidi w:val="0"/>
      <w:spacing w:before="240" w:after="120" w:line="240" w:lineRule="exact"/>
      <w:ind w:left="1134" w:right="1134" w:hanging="1134"/>
      <w:jc w:val="left"/>
    </w:pPr>
    <w:rPr>
      <w:i/>
      <w:szCs w:val="20"/>
      <w:lang w:val="en-GB"/>
    </w:rPr>
  </w:style>
  <w:style w:type="paragraph" w:customStyle="1" w:styleId="FootnoteGA">
    <w:name w:val="_Footnote_GA"/>
    <w:basedOn w:val="Normal"/>
    <w:qFormat/>
    <w:rsid w:val="001A72EE"/>
    <w:pPr>
      <w:suppressAutoHyphens/>
      <w:spacing w:after="60" w:line="280" w:lineRule="exact"/>
      <w:ind w:left="1247" w:right="1247" w:hanging="567"/>
    </w:pPr>
    <w:rPr>
      <w:sz w:val="18"/>
      <w:szCs w:val="18"/>
      <w:lang w:val="es-ES_tradnl" w:eastAsia="zh-TW"/>
    </w:rPr>
  </w:style>
  <w:style w:type="paragraph" w:customStyle="1" w:styleId="ReportCHGA">
    <w:name w:val="Report_CH_GA"/>
    <w:basedOn w:val="HChGA"/>
    <w:qFormat/>
    <w:rsid w:val="001A72EE"/>
    <w:rPr>
      <w:sz w:val="44"/>
      <w:szCs w:val="44"/>
      <w:lang w:val="en-US" w:bidi="ar-DZ"/>
    </w:rPr>
  </w:style>
  <w:style w:type="paragraph" w:customStyle="1" w:styleId="FootnoteGA0">
    <w:name w:val="Footnote_GA"/>
    <w:basedOn w:val="Normal"/>
    <w:qFormat/>
    <w:rsid w:val="001A72EE"/>
    <w:pPr>
      <w:spacing w:after="60" w:line="280" w:lineRule="exact"/>
      <w:ind w:left="1247" w:right="1247" w:hanging="567"/>
    </w:pPr>
    <w:rPr>
      <w:sz w:val="18"/>
      <w:szCs w:val="18"/>
      <w:lang w:val="es-ES_tradnl" w:eastAsia="zh-TW"/>
    </w:rPr>
  </w:style>
  <w:style w:type="paragraph" w:customStyle="1" w:styleId="H1">
    <w:name w:val="_ H_1"/>
    <w:basedOn w:val="Normal"/>
    <w:next w:val="SingleTxt"/>
    <w:qFormat/>
    <w:rsid w:val="001A72EE"/>
    <w:pPr>
      <w:keepNext/>
      <w:keepLines/>
      <w:spacing w:after="120" w:line="400" w:lineRule="exact"/>
      <w:outlineLvl w:val="0"/>
    </w:pPr>
    <w:rPr>
      <w:b/>
      <w:bCs/>
      <w:kern w:val="14"/>
      <w:sz w:val="24"/>
      <w:szCs w:val="32"/>
    </w:rPr>
  </w:style>
  <w:style w:type="paragraph" w:customStyle="1" w:styleId="HCh">
    <w:name w:val="_ H _Ch"/>
    <w:basedOn w:val="H1"/>
    <w:next w:val="SingleTxt"/>
    <w:qFormat/>
    <w:rsid w:val="001A72EE"/>
    <w:pPr>
      <w:spacing w:line="440" w:lineRule="exact"/>
    </w:pPr>
    <w:rPr>
      <w:spacing w:val="-2"/>
      <w:sz w:val="28"/>
      <w:szCs w:val="36"/>
    </w:rPr>
  </w:style>
  <w:style w:type="character" w:styleId="CommentReference">
    <w:name w:val="annotation reference"/>
    <w:uiPriority w:val="99"/>
    <w:semiHidden/>
    <w:rsid w:val="001A72EE"/>
    <w:rPr>
      <w:sz w:val="6"/>
      <w:szCs w:val="9"/>
    </w:rPr>
  </w:style>
  <w:style w:type="paragraph" w:customStyle="1" w:styleId="HM">
    <w:name w:val="_ H __M"/>
    <w:basedOn w:val="HCh"/>
    <w:next w:val="Normal"/>
    <w:qFormat/>
    <w:rsid w:val="001A72EE"/>
    <w:pPr>
      <w:suppressAutoHyphens/>
      <w:spacing w:line="520" w:lineRule="exact"/>
    </w:pPr>
    <w:rPr>
      <w:spacing w:val="-3"/>
      <w:sz w:val="34"/>
      <w:szCs w:val="48"/>
    </w:rPr>
  </w:style>
  <w:style w:type="paragraph" w:customStyle="1" w:styleId="SingleTxt">
    <w:name w:val="__Single Txt"/>
    <w:basedOn w:val="Normal"/>
    <w:qFormat/>
    <w:rsid w:val="001A72EE"/>
    <w:pPr>
      <w:tabs>
        <w:tab w:val="left" w:pos="1930"/>
        <w:tab w:val="left" w:pos="2592"/>
        <w:tab w:val="left" w:pos="3254"/>
        <w:tab w:val="left" w:pos="3917"/>
        <w:tab w:val="left" w:pos="4579"/>
        <w:tab w:val="left" w:pos="5242"/>
        <w:tab w:val="left" w:pos="5904"/>
        <w:tab w:val="left" w:pos="6566"/>
      </w:tabs>
      <w:spacing w:after="120" w:line="360" w:lineRule="exact"/>
      <w:ind w:left="1264" w:right="1264"/>
    </w:pPr>
    <w:rPr>
      <w:kern w:val="14"/>
      <w:szCs w:val="28"/>
    </w:rPr>
  </w:style>
  <w:style w:type="paragraph" w:customStyle="1" w:styleId="H23">
    <w:name w:val="_ H_2/3"/>
    <w:basedOn w:val="H1"/>
    <w:next w:val="Normal"/>
    <w:qFormat/>
    <w:rsid w:val="001A72EE"/>
    <w:pPr>
      <w:suppressAutoHyphens/>
      <w:spacing w:line="360" w:lineRule="exact"/>
      <w:outlineLvl w:val="1"/>
    </w:pPr>
    <w:rPr>
      <w:spacing w:val="2"/>
      <w:sz w:val="20"/>
      <w:szCs w:val="28"/>
    </w:rPr>
  </w:style>
  <w:style w:type="paragraph" w:customStyle="1" w:styleId="H4">
    <w:name w:val="_ H_4"/>
    <w:basedOn w:val="Normal"/>
    <w:next w:val="Normal"/>
    <w:qFormat/>
    <w:rsid w:val="001A72EE"/>
    <w:pPr>
      <w:keepNext/>
      <w:keepLines/>
      <w:spacing w:after="120" w:line="360" w:lineRule="exact"/>
      <w:outlineLvl w:val="3"/>
    </w:pPr>
    <w:rPr>
      <w:i/>
      <w:iCs/>
      <w:kern w:val="14"/>
      <w:szCs w:val="28"/>
    </w:rPr>
  </w:style>
  <w:style w:type="paragraph" w:customStyle="1" w:styleId="H56">
    <w:name w:val="_ H_5/6"/>
    <w:basedOn w:val="Normal"/>
    <w:next w:val="Normal"/>
    <w:qFormat/>
    <w:rsid w:val="001A72EE"/>
    <w:pPr>
      <w:keepNext/>
      <w:keepLines/>
      <w:spacing w:after="120" w:line="360" w:lineRule="exact"/>
      <w:outlineLvl w:val="4"/>
    </w:pPr>
    <w:rPr>
      <w:kern w:val="14"/>
      <w:szCs w:val="28"/>
    </w:rPr>
  </w:style>
  <w:style w:type="paragraph" w:customStyle="1" w:styleId="DualTxt">
    <w:name w:val="__Dual Txt"/>
    <w:basedOn w:val="Normal"/>
    <w:qFormat/>
    <w:rsid w:val="001A72EE"/>
    <w:pPr>
      <w:tabs>
        <w:tab w:val="left" w:pos="662"/>
        <w:tab w:val="left" w:pos="1325"/>
        <w:tab w:val="left" w:pos="1987"/>
        <w:tab w:val="left" w:pos="2650"/>
        <w:tab w:val="left" w:pos="3312"/>
        <w:tab w:val="left" w:pos="3974"/>
        <w:tab w:val="left" w:pos="4637"/>
      </w:tabs>
      <w:spacing w:after="120" w:line="360" w:lineRule="exact"/>
    </w:pPr>
    <w:rPr>
      <w:kern w:val="14"/>
      <w:szCs w:val="28"/>
    </w:rPr>
  </w:style>
  <w:style w:type="paragraph" w:customStyle="1" w:styleId="JDualTxt">
    <w:name w:val="J__Dual Txt"/>
    <w:basedOn w:val="Normal"/>
    <w:qFormat/>
    <w:rsid w:val="001A72EE"/>
    <w:pPr>
      <w:keepNext/>
      <w:tabs>
        <w:tab w:val="left" w:pos="475"/>
        <w:tab w:val="left" w:pos="950"/>
        <w:tab w:val="left" w:pos="1426"/>
        <w:tab w:val="left" w:pos="1901"/>
        <w:tab w:val="center" w:pos="2563"/>
        <w:tab w:val="right" w:pos="5040"/>
      </w:tabs>
      <w:spacing w:after="80" w:line="300" w:lineRule="exact"/>
    </w:pPr>
    <w:rPr>
      <w:kern w:val="14"/>
      <w:sz w:val="17"/>
      <w:szCs w:val="26"/>
    </w:rPr>
  </w:style>
  <w:style w:type="paragraph" w:customStyle="1" w:styleId="JSingleTxt">
    <w:name w:val="J__Single Txt"/>
    <w:basedOn w:val="Normal"/>
    <w:qFormat/>
    <w:rsid w:val="001A72EE"/>
    <w:pPr>
      <w:keepNext/>
      <w:tabs>
        <w:tab w:val="left" w:pos="1843"/>
        <w:tab w:val="left" w:pos="2419"/>
        <w:tab w:val="left" w:pos="2995"/>
        <w:tab w:val="left" w:pos="3571"/>
        <w:tab w:val="left" w:pos="4147"/>
        <w:tab w:val="left" w:pos="4723"/>
        <w:tab w:val="center" w:pos="5486"/>
        <w:tab w:val="right" w:pos="9547"/>
      </w:tabs>
      <w:spacing w:after="80" w:line="300" w:lineRule="exact"/>
    </w:pPr>
    <w:rPr>
      <w:kern w:val="14"/>
      <w:sz w:val="17"/>
      <w:szCs w:val="26"/>
    </w:rPr>
  </w:style>
  <w:style w:type="paragraph" w:customStyle="1" w:styleId="JCH">
    <w:name w:val="J_C_H"/>
    <w:basedOn w:val="JSingleTxt"/>
    <w:qFormat/>
    <w:rsid w:val="001A72EE"/>
    <w:pPr>
      <w:spacing w:after="120" w:line="440" w:lineRule="exact"/>
      <w:jc w:val="center"/>
    </w:pPr>
    <w:rPr>
      <w:b/>
      <w:bCs/>
      <w:sz w:val="25"/>
      <w:szCs w:val="38"/>
    </w:rPr>
  </w:style>
  <w:style w:type="paragraph" w:customStyle="1" w:styleId="JH1">
    <w:name w:val="J_H_1"/>
    <w:basedOn w:val="JCH"/>
    <w:qFormat/>
    <w:rsid w:val="001A72EE"/>
    <w:pPr>
      <w:spacing w:line="420" w:lineRule="exact"/>
    </w:pPr>
    <w:rPr>
      <w:sz w:val="23"/>
      <w:szCs w:val="34"/>
    </w:rPr>
  </w:style>
  <w:style w:type="paragraph" w:customStyle="1" w:styleId="JH2">
    <w:name w:val="J_H_2"/>
    <w:basedOn w:val="JH1"/>
    <w:qFormat/>
    <w:rsid w:val="001A72EE"/>
    <w:pPr>
      <w:spacing w:line="400" w:lineRule="exact"/>
    </w:pPr>
    <w:rPr>
      <w:sz w:val="20"/>
      <w:szCs w:val="30"/>
    </w:rPr>
  </w:style>
  <w:style w:type="paragraph" w:customStyle="1" w:styleId="JSmall">
    <w:name w:val="J_Small"/>
    <w:basedOn w:val="JSingleTxt"/>
    <w:next w:val="JSingleTxt"/>
    <w:qFormat/>
    <w:rsid w:val="001A72EE"/>
    <w:pPr>
      <w:tabs>
        <w:tab w:val="clear" w:pos="1843"/>
        <w:tab w:val="clear" w:pos="2419"/>
        <w:tab w:val="clear" w:pos="2995"/>
        <w:tab w:val="clear" w:pos="3571"/>
        <w:tab w:val="clear" w:pos="4147"/>
        <w:tab w:val="clear" w:pos="4723"/>
        <w:tab w:val="clear" w:pos="5486"/>
        <w:tab w:val="clear" w:pos="9547"/>
      </w:tabs>
      <w:spacing w:after="120"/>
      <w:ind w:left="2563" w:right="1582"/>
    </w:pPr>
    <w:rPr>
      <w:szCs w:val="24"/>
    </w:rPr>
  </w:style>
  <w:style w:type="paragraph" w:customStyle="1" w:styleId="Small">
    <w:name w:val="Small"/>
    <w:basedOn w:val="Normal"/>
    <w:next w:val="Normal"/>
    <w:qFormat/>
    <w:rsid w:val="001A72EE"/>
    <w:pPr>
      <w:tabs>
        <w:tab w:val="right" w:leader="dot" w:pos="360"/>
      </w:tabs>
      <w:spacing w:line="310" w:lineRule="exact"/>
      <w:jc w:val="right"/>
    </w:pPr>
    <w:rPr>
      <w:spacing w:val="5"/>
      <w:w w:val="104"/>
      <w:kern w:val="14"/>
      <w:sz w:val="17"/>
      <w:szCs w:val="25"/>
    </w:rPr>
  </w:style>
  <w:style w:type="character" w:styleId="LineNumber">
    <w:name w:val="line number"/>
    <w:qFormat/>
    <w:rsid w:val="001A72EE"/>
    <w:rPr>
      <w:sz w:val="14"/>
      <w:szCs w:val="16"/>
    </w:rPr>
  </w:style>
  <w:style w:type="paragraph" w:customStyle="1" w:styleId="SmallX">
    <w:name w:val="SmallX"/>
    <w:basedOn w:val="Small"/>
    <w:next w:val="Normal"/>
    <w:qFormat/>
    <w:rsid w:val="001A72EE"/>
    <w:pPr>
      <w:spacing w:line="240" w:lineRule="exact"/>
    </w:pPr>
    <w:rPr>
      <w:spacing w:val="6"/>
      <w:w w:val="106"/>
      <w:sz w:val="14"/>
      <w:szCs w:val="21"/>
    </w:rPr>
  </w:style>
  <w:style w:type="paragraph" w:customStyle="1" w:styleId="XLarge">
    <w:name w:val="XLarge"/>
    <w:basedOn w:val="HM"/>
    <w:qFormat/>
    <w:rsid w:val="001A72EE"/>
    <w:pPr>
      <w:tabs>
        <w:tab w:val="right" w:leader="dot" w:pos="360"/>
      </w:tabs>
      <w:spacing w:line="580" w:lineRule="exact"/>
      <w:jc w:val="right"/>
    </w:pPr>
    <w:rPr>
      <w:spacing w:val="-4"/>
      <w:w w:val="98"/>
      <w:sz w:val="40"/>
      <w:szCs w:val="60"/>
    </w:rPr>
  </w:style>
  <w:style w:type="paragraph" w:customStyle="1" w:styleId="XXLarge">
    <w:name w:val="XXLarge"/>
    <w:basedOn w:val="XLarge"/>
    <w:next w:val="Normal"/>
    <w:qFormat/>
    <w:rsid w:val="001A72EE"/>
    <w:pPr>
      <w:spacing w:line="820" w:lineRule="exact"/>
    </w:pPr>
    <w:rPr>
      <w:spacing w:val="-8"/>
      <w:w w:val="96"/>
      <w:sz w:val="57"/>
      <w:szCs w:val="86"/>
    </w:rPr>
  </w:style>
  <w:style w:type="paragraph" w:customStyle="1" w:styleId="Distribution">
    <w:name w:val="Distribution"/>
    <w:basedOn w:val="Normal"/>
    <w:next w:val="Normal"/>
    <w:qFormat/>
    <w:rsid w:val="001A72EE"/>
    <w:pPr>
      <w:tabs>
        <w:tab w:val="left" w:pos="662"/>
        <w:tab w:val="left" w:pos="1267"/>
        <w:tab w:val="left" w:pos="1987"/>
        <w:tab w:val="left" w:pos="2650"/>
      </w:tabs>
      <w:spacing w:line="240" w:lineRule="exact"/>
    </w:pPr>
    <w:rPr>
      <w:kern w:val="14"/>
      <w:szCs w:val="28"/>
    </w:rPr>
  </w:style>
  <w:style w:type="paragraph" w:customStyle="1" w:styleId="Publication">
    <w:name w:val="Publication"/>
    <w:basedOn w:val="Normal"/>
    <w:next w:val="Normal"/>
    <w:qFormat/>
    <w:rsid w:val="001A72EE"/>
    <w:pPr>
      <w:tabs>
        <w:tab w:val="left" w:pos="662"/>
        <w:tab w:val="left" w:pos="1267"/>
        <w:tab w:val="left" w:pos="1987"/>
        <w:tab w:val="left" w:pos="2650"/>
      </w:tabs>
      <w:spacing w:line="240" w:lineRule="exact"/>
    </w:pPr>
    <w:rPr>
      <w:kern w:val="14"/>
      <w:szCs w:val="28"/>
    </w:rPr>
  </w:style>
  <w:style w:type="paragraph" w:customStyle="1" w:styleId="Original">
    <w:name w:val="Original"/>
    <w:basedOn w:val="Normal"/>
    <w:next w:val="Normal"/>
    <w:qFormat/>
    <w:rsid w:val="001A72EE"/>
    <w:pPr>
      <w:tabs>
        <w:tab w:val="left" w:pos="662"/>
        <w:tab w:val="left" w:pos="1267"/>
        <w:tab w:val="left" w:pos="1987"/>
        <w:tab w:val="left" w:pos="2650"/>
      </w:tabs>
      <w:spacing w:line="240" w:lineRule="exact"/>
    </w:pPr>
    <w:rPr>
      <w:kern w:val="14"/>
      <w:szCs w:val="28"/>
    </w:rPr>
  </w:style>
  <w:style w:type="paragraph" w:customStyle="1" w:styleId="ReleaseDate">
    <w:name w:val="Release Date"/>
    <w:next w:val="Footer"/>
    <w:qFormat/>
    <w:rsid w:val="001A72EE"/>
    <w:pPr>
      <w:tabs>
        <w:tab w:val="center" w:pos="4320"/>
        <w:tab w:val="right" w:pos="8640"/>
      </w:tabs>
      <w:spacing w:after="0" w:line="210" w:lineRule="exact"/>
      <w:jc w:val="right"/>
    </w:pPr>
    <w:rPr>
      <w:rFonts w:ascii="Times New Roman" w:eastAsia="PMingLiU" w:hAnsi="Times New Roman" w:cs="Simplified Arabic"/>
      <w:w w:val="103"/>
      <w:kern w:val="14"/>
      <w:sz w:val="20"/>
      <w:szCs w:val="30"/>
    </w:rPr>
  </w:style>
  <w:style w:type="paragraph" w:customStyle="1" w:styleId="Session">
    <w:name w:val="Session"/>
    <w:basedOn w:val="H23"/>
    <w:qFormat/>
    <w:rsid w:val="001A72EE"/>
    <w:pPr>
      <w:tabs>
        <w:tab w:val="left" w:pos="662"/>
        <w:tab w:val="left" w:pos="1267"/>
        <w:tab w:val="left" w:pos="1987"/>
        <w:tab w:val="left" w:pos="2650"/>
      </w:tabs>
      <w:spacing w:after="0"/>
      <w:ind w:left="662" w:hanging="662"/>
    </w:pPr>
  </w:style>
  <w:style w:type="paragraph" w:customStyle="1" w:styleId="Committee">
    <w:name w:val="Committee"/>
    <w:basedOn w:val="H1"/>
    <w:qFormat/>
    <w:rsid w:val="001A72EE"/>
    <w:pPr>
      <w:tabs>
        <w:tab w:val="left" w:pos="662"/>
        <w:tab w:val="left" w:pos="1267"/>
        <w:tab w:val="left" w:pos="1987"/>
        <w:tab w:val="left" w:pos="2650"/>
      </w:tabs>
      <w:ind w:right="1264"/>
    </w:pPr>
  </w:style>
  <w:style w:type="paragraph" w:customStyle="1" w:styleId="AgendaItemNormal">
    <w:name w:val="Agenda_Item_Normal"/>
    <w:next w:val="Normal"/>
    <w:qFormat/>
    <w:rsid w:val="001A72EE"/>
    <w:pPr>
      <w:spacing w:after="0" w:line="360" w:lineRule="exact"/>
      <w:jc w:val="both"/>
    </w:pPr>
    <w:rPr>
      <w:rFonts w:ascii="Times New Roman" w:eastAsia="PMingLiU" w:hAnsi="Times New Roman" w:cs="Simplified Arabic"/>
      <w:w w:val="103"/>
      <w:kern w:val="14"/>
      <w:sz w:val="20"/>
      <w:szCs w:val="28"/>
    </w:rPr>
  </w:style>
  <w:style w:type="paragraph" w:customStyle="1" w:styleId="Sponsors">
    <w:name w:val="Sponsors"/>
    <w:basedOn w:val="H23"/>
    <w:next w:val="Normal"/>
    <w:qFormat/>
    <w:rsid w:val="001A72EE"/>
    <w:pPr>
      <w:tabs>
        <w:tab w:val="right" w:pos="1022"/>
        <w:tab w:val="left" w:pos="1267"/>
        <w:tab w:val="left" w:pos="1930"/>
        <w:tab w:val="left" w:pos="2592"/>
        <w:tab w:val="left" w:pos="3254"/>
      </w:tabs>
      <w:ind w:left="1267" w:right="1267" w:hanging="1267"/>
    </w:pPr>
  </w:style>
  <w:style w:type="paragraph" w:customStyle="1" w:styleId="TitleHCH">
    <w:name w:val="Title_H_CH"/>
    <w:basedOn w:val="H1"/>
    <w:next w:val="SingleTxt"/>
    <w:qFormat/>
    <w:rsid w:val="001A72EE"/>
    <w:pPr>
      <w:tabs>
        <w:tab w:val="right" w:pos="1022"/>
        <w:tab w:val="left" w:pos="1267"/>
        <w:tab w:val="left" w:pos="1930"/>
        <w:tab w:val="left" w:pos="2592"/>
        <w:tab w:val="left" w:pos="3254"/>
        <w:tab w:val="left" w:pos="3917"/>
        <w:tab w:val="left" w:pos="4579"/>
        <w:tab w:val="left" w:pos="5242"/>
        <w:tab w:val="left" w:pos="5904"/>
        <w:tab w:val="left" w:pos="6566"/>
      </w:tabs>
      <w:spacing w:line="440" w:lineRule="exact"/>
      <w:ind w:left="1267" w:right="1267" w:hanging="1267"/>
    </w:pPr>
    <w:rPr>
      <w:spacing w:val="-2"/>
      <w:sz w:val="28"/>
      <w:szCs w:val="36"/>
    </w:rPr>
  </w:style>
  <w:style w:type="paragraph" w:customStyle="1" w:styleId="TitleH1">
    <w:name w:val="Title_H1"/>
    <w:basedOn w:val="Normal"/>
    <w:next w:val="Normal"/>
    <w:qFormat/>
    <w:rsid w:val="001A72EE"/>
    <w:pPr>
      <w:keepNext/>
      <w:keepLines/>
      <w:tabs>
        <w:tab w:val="right" w:pos="1022"/>
        <w:tab w:val="left" w:pos="1267"/>
        <w:tab w:val="left" w:pos="1930"/>
        <w:tab w:val="left" w:pos="2592"/>
        <w:tab w:val="left" w:pos="3254"/>
        <w:tab w:val="left" w:pos="3917"/>
        <w:tab w:val="left" w:pos="4579"/>
        <w:tab w:val="left" w:pos="5242"/>
        <w:tab w:val="left" w:pos="5904"/>
        <w:tab w:val="left" w:pos="6566"/>
      </w:tabs>
      <w:spacing w:after="120" w:line="400" w:lineRule="exact"/>
      <w:ind w:left="1267" w:right="1267" w:hanging="1267"/>
      <w:outlineLvl w:val="0"/>
    </w:pPr>
    <w:rPr>
      <w:bCs/>
      <w:kern w:val="14"/>
      <w:sz w:val="24"/>
      <w:szCs w:val="32"/>
    </w:rPr>
  </w:style>
  <w:style w:type="paragraph" w:customStyle="1" w:styleId="TitleH2">
    <w:name w:val="Title_H2"/>
    <w:basedOn w:val="H1"/>
    <w:next w:val="Normal"/>
    <w:qFormat/>
    <w:rsid w:val="001A72EE"/>
    <w:pPr>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outlineLvl w:val="1"/>
    </w:pPr>
    <w:rPr>
      <w:spacing w:val="2"/>
      <w:sz w:val="20"/>
      <w:szCs w:val="28"/>
    </w:rPr>
  </w:style>
  <w:style w:type="character" w:styleId="FollowedHyperlink">
    <w:name w:val="FollowedHyperlink"/>
    <w:uiPriority w:val="99"/>
    <w:rsid w:val="001A72EE"/>
    <w:rPr>
      <w:i w:val="0"/>
      <w:color w:val="0000FF"/>
      <w:u w:val="none"/>
    </w:rPr>
  </w:style>
  <w:style w:type="paragraph" w:customStyle="1" w:styleId="Bullet1">
    <w:name w:val="Bullet 1"/>
    <w:basedOn w:val="Normal"/>
    <w:qFormat/>
    <w:rsid w:val="001A72EE"/>
    <w:pPr>
      <w:numPr>
        <w:numId w:val="13"/>
      </w:numPr>
      <w:tabs>
        <w:tab w:val="num" w:pos="1292"/>
      </w:tabs>
      <w:spacing w:after="120" w:line="360" w:lineRule="exact"/>
      <w:ind w:left="1292" w:right="1264" w:hanging="227"/>
    </w:pPr>
    <w:rPr>
      <w:kern w:val="14"/>
      <w:szCs w:val="28"/>
    </w:rPr>
  </w:style>
  <w:style w:type="paragraph" w:customStyle="1" w:styleId="Bullet2">
    <w:name w:val="Bullet 2"/>
    <w:basedOn w:val="Normal"/>
    <w:qFormat/>
    <w:rsid w:val="001A72EE"/>
    <w:pPr>
      <w:numPr>
        <w:numId w:val="14"/>
      </w:numPr>
      <w:spacing w:after="120" w:line="360" w:lineRule="exact"/>
      <w:ind w:right="1264"/>
    </w:pPr>
    <w:rPr>
      <w:kern w:val="14"/>
      <w:szCs w:val="28"/>
    </w:rPr>
  </w:style>
  <w:style w:type="paragraph" w:customStyle="1" w:styleId="Bullet3">
    <w:name w:val="Bullet 3"/>
    <w:basedOn w:val="SingleTxt"/>
    <w:qFormat/>
    <w:rsid w:val="001A72EE"/>
    <w:pPr>
      <w:numPr>
        <w:numId w:val="15"/>
      </w:numPr>
      <w:tabs>
        <w:tab w:val="clear" w:pos="1930"/>
        <w:tab w:val="clear" w:pos="2592"/>
        <w:tab w:val="clear" w:pos="3254"/>
        <w:tab w:val="clear" w:pos="3917"/>
        <w:tab w:val="clear" w:pos="4579"/>
        <w:tab w:val="clear" w:pos="5242"/>
        <w:tab w:val="clear" w:pos="5904"/>
        <w:tab w:val="clear" w:pos="6566"/>
        <w:tab w:val="num" w:pos="2495"/>
      </w:tabs>
      <w:ind w:left="2495" w:hanging="545"/>
    </w:pPr>
  </w:style>
  <w:style w:type="paragraph" w:customStyle="1" w:styleId="AgendaTitleH2">
    <w:name w:val="Agenda_Title_H2"/>
    <w:basedOn w:val="H1"/>
    <w:next w:val="Normal"/>
    <w:qFormat/>
    <w:rsid w:val="001A72EE"/>
    <w:pPr>
      <w:ind w:right="5760"/>
      <w:outlineLvl w:val="1"/>
    </w:pPr>
    <w:rPr>
      <w:spacing w:val="2"/>
      <w:sz w:val="20"/>
      <w:szCs w:val="28"/>
    </w:rPr>
  </w:style>
  <w:style w:type="paragraph" w:customStyle="1" w:styleId="STitleM">
    <w:name w:val="S_Title_M"/>
    <w:basedOn w:val="Normal"/>
    <w:next w:val="Normal"/>
    <w:qFormat/>
    <w:rsid w:val="001A72EE"/>
    <w:pPr>
      <w:keepNext/>
      <w:keepLines/>
      <w:tabs>
        <w:tab w:val="left" w:leader="dot" w:pos="360"/>
      </w:tabs>
      <w:spacing w:line="600" w:lineRule="exact"/>
      <w:ind w:left="1267" w:right="1267"/>
      <w:outlineLvl w:val="0"/>
    </w:pPr>
    <w:rPr>
      <w:b/>
      <w:bCs/>
      <w:spacing w:val="-4"/>
      <w:w w:val="98"/>
      <w:kern w:val="14"/>
      <w:sz w:val="60"/>
      <w:szCs w:val="60"/>
    </w:rPr>
  </w:style>
  <w:style w:type="paragraph" w:customStyle="1" w:styleId="STitleS">
    <w:name w:val="S_Title_S"/>
    <w:basedOn w:val="HCh"/>
    <w:next w:val="Normal"/>
    <w:qFormat/>
    <w:rsid w:val="001A72EE"/>
    <w:pPr>
      <w:spacing w:line="600" w:lineRule="exact"/>
      <w:ind w:left="1267" w:right="1267"/>
    </w:pPr>
    <w:rPr>
      <w:w w:val="103"/>
      <w:sz w:val="60"/>
      <w:szCs w:val="60"/>
    </w:rPr>
  </w:style>
  <w:style w:type="paragraph" w:customStyle="1" w:styleId="STitleL">
    <w:name w:val="S_Title_L"/>
    <w:basedOn w:val="XLarge"/>
    <w:next w:val="Normal"/>
    <w:qFormat/>
    <w:rsid w:val="001A72EE"/>
    <w:rPr>
      <w:spacing w:val="-8"/>
      <w:w w:val="96"/>
      <w:sz w:val="57"/>
    </w:rPr>
  </w:style>
  <w:style w:type="paragraph" w:styleId="CommentText">
    <w:name w:val="annotation text"/>
    <w:basedOn w:val="Normal"/>
    <w:link w:val="CommentTextChar"/>
    <w:uiPriority w:val="99"/>
    <w:semiHidden/>
    <w:unhideWhenUsed/>
    <w:rsid w:val="001A72EE"/>
    <w:pPr>
      <w:spacing w:line="240" w:lineRule="auto"/>
    </w:pPr>
    <w:rPr>
      <w:kern w:val="14"/>
    </w:rPr>
  </w:style>
  <w:style w:type="character" w:customStyle="1" w:styleId="CommentTextChar">
    <w:name w:val="Comment Text Char"/>
    <w:basedOn w:val="DefaultParagraphFont"/>
    <w:link w:val="CommentText"/>
    <w:uiPriority w:val="99"/>
    <w:semiHidden/>
    <w:rsid w:val="001A72EE"/>
    <w:rPr>
      <w:rFonts w:ascii="Times New Roman" w:eastAsia="PMingLiU" w:hAnsi="Times New Roman" w:cs="Simplified Arabic"/>
      <w:kern w:val="14"/>
      <w:sz w:val="20"/>
    </w:rPr>
  </w:style>
  <w:style w:type="paragraph" w:styleId="CommentSubject">
    <w:name w:val="annotation subject"/>
    <w:basedOn w:val="CommentText"/>
    <w:next w:val="CommentText"/>
    <w:link w:val="CommentSubjectChar"/>
    <w:uiPriority w:val="99"/>
    <w:semiHidden/>
    <w:unhideWhenUsed/>
    <w:rsid w:val="001A72EE"/>
    <w:rPr>
      <w:b/>
      <w:bCs/>
    </w:rPr>
  </w:style>
  <w:style w:type="character" w:customStyle="1" w:styleId="CommentSubjectChar">
    <w:name w:val="Comment Subject Char"/>
    <w:basedOn w:val="CommentTextChar"/>
    <w:link w:val="CommentSubject"/>
    <w:uiPriority w:val="99"/>
    <w:semiHidden/>
    <w:rsid w:val="001A72EE"/>
    <w:rPr>
      <w:rFonts w:ascii="Times New Roman" w:eastAsia="PMingLiU" w:hAnsi="Times New Roman" w:cs="Simplified Arabic"/>
      <w:b/>
      <w:bCs/>
      <w:kern w:val="14"/>
      <w:sz w:val="20"/>
    </w:rPr>
  </w:style>
  <w:style w:type="paragraph" w:customStyle="1" w:styleId="Bullet1G">
    <w:name w:val="_Bullet 1_G"/>
    <w:basedOn w:val="Normal"/>
    <w:qFormat/>
    <w:rsid w:val="001A72EE"/>
    <w:pPr>
      <w:numPr>
        <w:numId w:val="16"/>
      </w:numPr>
      <w:bidi w:val="0"/>
      <w:spacing w:after="120"/>
      <w:ind w:right="1134"/>
      <w:jc w:val="both"/>
    </w:pPr>
    <w:rPr>
      <w:sz w:val="22"/>
    </w:rPr>
  </w:style>
  <w:style w:type="character" w:customStyle="1" w:styleId="SingleTxtGChar">
    <w:name w:val="_ Single Txt_G Char"/>
    <w:link w:val="SingleTxtG"/>
    <w:rsid w:val="001A72EE"/>
    <w:rPr>
      <w:rFonts w:ascii="Times New Roman" w:eastAsia="PMingLiU" w:hAnsi="Times New Roman" w:cs="Simplified Arabic"/>
      <w:sz w:val="20"/>
      <w:szCs w:val="20"/>
      <w:lang w:val="en-GB"/>
    </w:rPr>
  </w:style>
  <w:style w:type="paragraph" w:customStyle="1" w:styleId="Preparedby">
    <w:name w:val="Prepared by:"/>
    <w:basedOn w:val="H23GA"/>
    <w:qFormat/>
    <w:rsid w:val="001A72EE"/>
    <w:rPr>
      <w:sz w:val="32"/>
      <w:szCs w:val="32"/>
    </w:rPr>
  </w:style>
  <w:style w:type="paragraph" w:customStyle="1" w:styleId="ParaNoG">
    <w:name w:val="_ParaNo._G"/>
    <w:basedOn w:val="SingleTxtG"/>
    <w:rsid w:val="001A72EE"/>
    <w:pPr>
      <w:numPr>
        <w:numId w:val="23"/>
      </w:numPr>
      <w:tabs>
        <w:tab w:val="left" w:pos="1134"/>
        <w:tab w:val="left" w:pos="1701"/>
        <w:tab w:val="left" w:pos="2268"/>
        <w:tab w:val="left" w:pos="2835"/>
      </w:tabs>
      <w:suppressAutoHyphens w:val="0"/>
    </w:pPr>
    <w:rPr>
      <w:rFonts w:hint="cs"/>
      <w:szCs w:val="30"/>
      <w:lang w:val="fr-FR" w:eastAsia="fr-FR"/>
    </w:rPr>
  </w:style>
  <w:style w:type="paragraph" w:customStyle="1" w:styleId="HMG">
    <w:name w:val="_ H __M_G"/>
    <w:basedOn w:val="Normal"/>
    <w:next w:val="Normal"/>
    <w:qFormat/>
    <w:rsid w:val="001A72EE"/>
    <w:pPr>
      <w:keepNext/>
      <w:keepLines/>
      <w:tabs>
        <w:tab w:val="right" w:pos="851"/>
      </w:tabs>
      <w:kinsoku w:val="0"/>
      <w:overflowPunct w:val="0"/>
      <w:autoSpaceDE w:val="0"/>
      <w:autoSpaceDN w:val="0"/>
      <w:bidi w:val="0"/>
      <w:adjustRightInd w:val="0"/>
      <w:snapToGrid w:val="0"/>
      <w:spacing w:before="240" w:after="240" w:line="360" w:lineRule="exact"/>
      <w:ind w:left="1134" w:right="1134" w:hanging="1134"/>
      <w:jc w:val="left"/>
    </w:pPr>
    <w:rPr>
      <w:rFonts w:hint="cs"/>
      <w:b/>
      <w:sz w:val="34"/>
      <w:szCs w:val="30"/>
      <w:lang w:val="fr-FR" w:eastAsia="fr-FR"/>
    </w:rPr>
  </w:style>
  <w:style w:type="paragraph" w:customStyle="1" w:styleId="H56G">
    <w:name w:val="_ H_5/6_G"/>
    <w:basedOn w:val="Normal"/>
    <w:next w:val="Normal"/>
    <w:qFormat/>
    <w:rsid w:val="001A72EE"/>
    <w:pPr>
      <w:keepNext/>
      <w:keepLines/>
      <w:tabs>
        <w:tab w:val="right" w:pos="851"/>
      </w:tabs>
      <w:kinsoku w:val="0"/>
      <w:overflowPunct w:val="0"/>
      <w:autoSpaceDE w:val="0"/>
      <w:autoSpaceDN w:val="0"/>
      <w:bidi w:val="0"/>
      <w:adjustRightInd w:val="0"/>
      <w:snapToGrid w:val="0"/>
      <w:spacing w:before="240" w:after="120" w:line="240" w:lineRule="exact"/>
      <w:ind w:left="1134" w:right="1134" w:hanging="1134"/>
      <w:jc w:val="left"/>
    </w:pPr>
    <w:rPr>
      <w:rFonts w:hint="cs"/>
      <w:szCs w:val="30"/>
      <w:lang w:val="fr-FR" w:eastAsia="fr-FR"/>
    </w:rPr>
  </w:style>
  <w:style w:type="paragraph" w:customStyle="1" w:styleId="SLG">
    <w:name w:val="__S_L_G"/>
    <w:basedOn w:val="Normal"/>
    <w:next w:val="Normal"/>
    <w:rsid w:val="001A72EE"/>
    <w:pPr>
      <w:keepNext/>
      <w:keepLines/>
      <w:kinsoku w:val="0"/>
      <w:overflowPunct w:val="0"/>
      <w:autoSpaceDE w:val="0"/>
      <w:autoSpaceDN w:val="0"/>
      <w:bidi w:val="0"/>
      <w:adjustRightInd w:val="0"/>
      <w:snapToGrid w:val="0"/>
      <w:spacing w:before="240" w:after="240" w:line="580" w:lineRule="exact"/>
      <w:ind w:left="1134" w:right="1134"/>
      <w:jc w:val="left"/>
    </w:pPr>
    <w:rPr>
      <w:rFonts w:hint="cs"/>
      <w:b/>
      <w:sz w:val="56"/>
      <w:szCs w:val="30"/>
      <w:lang w:val="fr-FR" w:eastAsia="fr-FR"/>
    </w:rPr>
  </w:style>
  <w:style w:type="paragraph" w:customStyle="1" w:styleId="SMG">
    <w:name w:val="__S_M_G"/>
    <w:basedOn w:val="Normal"/>
    <w:next w:val="Normal"/>
    <w:rsid w:val="001A72EE"/>
    <w:pPr>
      <w:keepNext/>
      <w:keepLines/>
      <w:kinsoku w:val="0"/>
      <w:overflowPunct w:val="0"/>
      <w:autoSpaceDE w:val="0"/>
      <w:autoSpaceDN w:val="0"/>
      <w:bidi w:val="0"/>
      <w:adjustRightInd w:val="0"/>
      <w:snapToGrid w:val="0"/>
      <w:spacing w:before="240" w:after="240" w:line="420" w:lineRule="exact"/>
      <w:ind w:left="1134" w:right="1134"/>
      <w:jc w:val="left"/>
    </w:pPr>
    <w:rPr>
      <w:rFonts w:hint="cs"/>
      <w:b/>
      <w:sz w:val="40"/>
      <w:szCs w:val="30"/>
      <w:lang w:val="fr-FR" w:eastAsia="fr-FR"/>
    </w:rPr>
  </w:style>
  <w:style w:type="paragraph" w:customStyle="1" w:styleId="SSG">
    <w:name w:val="__S_S_G"/>
    <w:basedOn w:val="Normal"/>
    <w:next w:val="Normal"/>
    <w:rsid w:val="001A72EE"/>
    <w:pPr>
      <w:keepNext/>
      <w:keepLines/>
      <w:kinsoku w:val="0"/>
      <w:overflowPunct w:val="0"/>
      <w:autoSpaceDE w:val="0"/>
      <w:autoSpaceDN w:val="0"/>
      <w:bidi w:val="0"/>
      <w:adjustRightInd w:val="0"/>
      <w:snapToGrid w:val="0"/>
      <w:spacing w:before="240" w:after="240" w:line="300" w:lineRule="exact"/>
      <w:ind w:left="1134" w:right="1134"/>
      <w:jc w:val="left"/>
    </w:pPr>
    <w:rPr>
      <w:rFonts w:hint="cs"/>
      <w:b/>
      <w:sz w:val="28"/>
      <w:szCs w:val="30"/>
      <w:lang w:val="fr-FR" w:eastAsia="fr-FR"/>
    </w:rPr>
  </w:style>
  <w:style w:type="paragraph" w:customStyle="1" w:styleId="XLargeG">
    <w:name w:val="__XLarge_G"/>
    <w:basedOn w:val="Normal"/>
    <w:next w:val="Normal"/>
    <w:rsid w:val="001A72EE"/>
    <w:pPr>
      <w:keepNext/>
      <w:keepLines/>
      <w:kinsoku w:val="0"/>
      <w:overflowPunct w:val="0"/>
      <w:autoSpaceDE w:val="0"/>
      <w:autoSpaceDN w:val="0"/>
      <w:bidi w:val="0"/>
      <w:adjustRightInd w:val="0"/>
      <w:snapToGrid w:val="0"/>
      <w:spacing w:before="240" w:after="240" w:line="420" w:lineRule="exact"/>
      <w:ind w:left="1134" w:right="1134"/>
      <w:jc w:val="left"/>
    </w:pPr>
    <w:rPr>
      <w:rFonts w:hint="cs"/>
      <w:b/>
      <w:sz w:val="40"/>
      <w:szCs w:val="30"/>
      <w:lang w:val="fr-FR" w:eastAsia="fr-FR"/>
    </w:rPr>
  </w:style>
  <w:style w:type="paragraph" w:customStyle="1" w:styleId="Bullet2G">
    <w:name w:val="_Bullet 2_G"/>
    <w:basedOn w:val="Normal"/>
    <w:qFormat/>
    <w:rsid w:val="001A72EE"/>
    <w:pPr>
      <w:numPr>
        <w:numId w:val="19"/>
      </w:numPr>
      <w:kinsoku w:val="0"/>
      <w:overflowPunct w:val="0"/>
      <w:autoSpaceDE w:val="0"/>
      <w:autoSpaceDN w:val="0"/>
      <w:bidi w:val="0"/>
      <w:adjustRightInd w:val="0"/>
      <w:snapToGrid w:val="0"/>
      <w:spacing w:after="120"/>
      <w:ind w:right="1134"/>
      <w:jc w:val="both"/>
    </w:pPr>
    <w:rPr>
      <w:rFonts w:hint="cs"/>
      <w:szCs w:val="30"/>
      <w:lang w:val="fr-FR" w:eastAsia="fr-FR"/>
    </w:rPr>
  </w:style>
  <w:style w:type="paragraph" w:styleId="Revision">
    <w:name w:val="Revision"/>
    <w:hidden/>
    <w:uiPriority w:val="99"/>
    <w:semiHidden/>
    <w:rsid w:val="001A72EE"/>
    <w:pPr>
      <w:spacing w:after="0" w:line="240" w:lineRule="auto"/>
    </w:pPr>
    <w:rPr>
      <w:rFonts w:eastAsiaTheme="minorEastAsia"/>
      <w:sz w:val="24"/>
      <w:szCs w:val="24"/>
      <w:lang w:val="fr-FR" w:eastAsia="fr-FR"/>
    </w:rPr>
  </w:style>
  <w:style w:type="paragraph" w:customStyle="1" w:styleId="Default">
    <w:name w:val="Default"/>
    <w:semiHidden/>
    <w:rsid w:val="001A72EE"/>
    <w:pPr>
      <w:autoSpaceDE w:val="0"/>
      <w:autoSpaceDN w:val="0"/>
      <w:adjustRightInd w:val="0"/>
      <w:spacing w:after="0" w:line="240" w:lineRule="auto"/>
    </w:pPr>
    <w:rPr>
      <w:rFonts w:ascii="Times New Roman" w:eastAsia="PMingLiU" w:hAnsi="Times New Roman" w:cs="Simplified Arabic"/>
      <w:color w:val="000000"/>
      <w:sz w:val="24"/>
      <w:szCs w:val="24"/>
      <w:lang w:val="fr-FR" w:eastAsia="fr-FR"/>
    </w:rPr>
  </w:style>
  <w:style w:type="character" w:customStyle="1" w:styleId="terminologypart">
    <w:name w:val="terminologypart"/>
    <w:basedOn w:val="DefaultParagraphFont"/>
    <w:rsid w:val="001A72EE"/>
  </w:style>
  <w:style w:type="character" w:customStyle="1" w:styleId="preferred">
    <w:name w:val="preferred"/>
    <w:basedOn w:val="DefaultParagraphFont"/>
    <w:rsid w:val="001A72EE"/>
  </w:style>
  <w:style w:type="character" w:customStyle="1" w:styleId="admitted">
    <w:name w:val="admitted"/>
    <w:basedOn w:val="DefaultParagraphFont"/>
    <w:rsid w:val="001A72EE"/>
  </w:style>
  <w:style w:type="character" w:customStyle="1" w:styleId="HChGChar">
    <w:name w:val="_ H _Ch_G Char"/>
    <w:link w:val="HChG"/>
    <w:rsid w:val="00F90355"/>
    <w:rPr>
      <w:rFonts w:ascii="Times New Roman" w:eastAsia="PMingLiU" w:hAnsi="Times New Roman" w:cs="Simplified Arabic"/>
      <w:b/>
      <w:sz w:val="28"/>
      <w:szCs w:val="20"/>
      <w:lang w:val="en-GB"/>
    </w:rPr>
  </w:style>
  <w:style w:type="character" w:customStyle="1" w:styleId="H23GChar">
    <w:name w:val="_ H_2/3_G Char"/>
    <w:link w:val="H23G"/>
    <w:locked/>
    <w:rsid w:val="00F90355"/>
    <w:rPr>
      <w:rFonts w:ascii="Times New Roman" w:eastAsia="PMingLiU" w:hAnsi="Times New Roman" w:cs="Simplified Arabic"/>
      <w:b/>
      <w:sz w:val="20"/>
      <w:szCs w:val="20"/>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161352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8" Type="http://schemas.openxmlformats.org/officeDocument/2006/relationships/hyperlink" Target="https://undocs.org/ar/E/C.12/SLV/CO/6" TargetMode="External"/><Relationship Id="rId3" Type="http://schemas.openxmlformats.org/officeDocument/2006/relationships/hyperlink" Target="https://undocs.org/ar/CMW/C/SR.522" TargetMode="External"/><Relationship Id="rId7" Type="http://schemas.openxmlformats.org/officeDocument/2006/relationships/hyperlink" Target="https://www.ohchr.org/es/press-briefing-notes/2023/03/el-salvador-state-emergency" TargetMode="External"/><Relationship Id="rId2" Type="http://schemas.openxmlformats.org/officeDocument/2006/relationships/hyperlink" Target="https://undocs.org/ar/CMW/C/SR.520" TargetMode="External"/><Relationship Id="rId1" Type="http://schemas.openxmlformats.org/officeDocument/2006/relationships/hyperlink" Target="https://undocs.org/ar/CMW/C/SLV/3" TargetMode="External"/><Relationship Id="rId6" Type="http://schemas.openxmlformats.org/officeDocument/2006/relationships/hyperlink" Target="https://undocs.org/ar/CMW/C/SLV/QPR/3" TargetMode="External"/><Relationship Id="rId11" Type="http://schemas.openxmlformats.org/officeDocument/2006/relationships/hyperlink" Target="https://undocs.org/ar/HRI/GEN.2/Rev.6" TargetMode="External"/><Relationship Id="rId5" Type="http://schemas.openxmlformats.org/officeDocument/2006/relationships/hyperlink" Target="https://undocs.org/ar/CMW/C/SR.530" TargetMode="External"/><Relationship Id="rId10" Type="http://schemas.openxmlformats.org/officeDocument/2006/relationships/hyperlink" Target="https://undocs.org/ar/CAT/C/SLV/CO/3" TargetMode="External"/><Relationship Id="rId4" Type="http://schemas.openxmlformats.org/officeDocument/2006/relationships/hyperlink" Target="https://undocs.org/ar/CMW/C/SR.524" TargetMode="External"/><Relationship Id="rId9" Type="http://schemas.openxmlformats.org/officeDocument/2006/relationships/hyperlink" Target="https://undocs.org/ar/CMW/C/SLV/CO/2"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365\Templates\CMW.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6152B66-DF3D-4981-9CE5-36145E83C78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CMW.dotm</Template>
  <TotalTime>0</TotalTime>
  <Pages>12</Pages>
  <Words>4091</Words>
  <Characters>23319</Characters>
  <Application>Microsoft Office Word</Application>
  <DocSecurity>0</DocSecurity>
  <Lines>194</Lines>
  <Paragraphs>54</Paragraphs>
  <ScaleCrop>false</ScaleCrop>
  <HeadingPairs>
    <vt:vector size="2" baseType="variant">
      <vt:variant>
        <vt:lpstr>Title</vt:lpstr>
      </vt:variant>
      <vt:variant>
        <vt:i4>1</vt:i4>
      </vt:variant>
    </vt:vector>
  </HeadingPairs>
  <TitlesOfParts>
    <vt:vector size="1" baseType="lpstr">
      <vt:lpstr>CMW/C/SLV/CO/3</vt:lpstr>
    </vt:vector>
  </TitlesOfParts>
  <Company>DCM</Company>
  <LinksUpToDate>false</LinksUpToDate>
  <CharactersWithSpaces>27356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CMW/C/SLV/CO/3</dc:title>
  <dc:subject>GE.2308788(A)</dc:subject>
  <dc:creator>Ihab RIZ - </dc:creator>
  <cp:keywords>GE.(A)</cp:keywords>
  <dc:description>_x000d_
_x000d_
Arabic_x000d_
English</dc:description>
  <cp:lastModifiedBy>Jamal ALKAHLOUT</cp:lastModifiedBy>
  <cp:revision>2</cp:revision>
  <dcterms:created xsi:type="dcterms:W3CDTF">2023-11-16T21:14:00Z</dcterms:created>
  <dcterms:modified xsi:type="dcterms:W3CDTF">2023-11-16T21:14:00Z</dcterms:modified>
</cp:coreProperties>
</file>