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C7E" w:rsidRDefault="00C162DF">
      <w:pPr>
        <w:spacing w:line="240" w:lineRule="auto"/>
        <w:rPr>
          <w:sz w:val="6"/>
        </w:rPr>
      </w:pPr>
      <w:commentRangeStart w:id="0"/>
      <w:r>
        <w:rPr>
          <w:rStyle w:val="CommentReference"/>
          <w:vanish/>
        </w:rPr>
        <w:commentReference w:id="1"/>
      </w:r>
      <w:commentRangeEnd w:id="0"/>
      <w:r w:rsidR="00517C7E">
        <w:rPr>
          <w:rStyle w:val="CommentReference"/>
        </w:rPr>
        <w:commentReference w:id="0"/>
      </w:r>
    </w:p>
    <w:p w:rsidR="00C162DF" w:rsidRPr="00517C7E" w:rsidRDefault="00C162DF" w:rsidP="00517C7E">
      <w:pPr>
        <w:spacing w:line="20" w:lineRule="exact"/>
        <w:rPr>
          <w:sz w:val="2"/>
        </w:rPr>
        <w:sectPr w:rsidR="00C162DF" w:rsidRPr="00517C7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C162DF" w:rsidRDefault="00C162DF">
      <w:pPr>
        <w:pStyle w:val="H1"/>
      </w:pPr>
      <w:r>
        <w:t>Comité para la Eliminación de la Discriminación</w:t>
      </w:r>
      <w:r>
        <w:br/>
        <w:t>contra la Mujer</w:t>
      </w:r>
    </w:p>
    <w:p w:rsidR="00C162DF" w:rsidRDefault="00C162DF">
      <w:pPr>
        <w:pStyle w:val="H23"/>
      </w:pPr>
      <w:r>
        <w:t>23° período de sesiones</w:t>
      </w:r>
    </w:p>
    <w:p w:rsidR="00C162DF" w:rsidRDefault="00C162DF">
      <w:pPr>
        <w:spacing w:line="240" w:lineRule="auto"/>
        <w:rPr>
          <w:sz w:val="12"/>
        </w:rPr>
      </w:pPr>
    </w:p>
    <w:p w:rsidR="00C162DF" w:rsidRDefault="00C162DF">
      <w:pPr>
        <w:pStyle w:val="H23"/>
      </w:pPr>
      <w:r>
        <w:t>Acta resumida de la 474ª sesión</w:t>
      </w:r>
    </w:p>
    <w:p w:rsidR="00C162DF" w:rsidRDefault="00C162DF">
      <w:r>
        <w:t>Celebrada en la Sede, Nueva York, el lunes 19 de junio de 2000 a las 10.30 horas</w:t>
      </w:r>
    </w:p>
    <w:p w:rsidR="00C162DF" w:rsidRDefault="00C162DF">
      <w:pPr>
        <w:spacing w:line="120" w:lineRule="exact"/>
        <w:rPr>
          <w:sz w:val="10"/>
        </w:rPr>
      </w:pPr>
    </w:p>
    <w:p w:rsidR="00C162DF" w:rsidRDefault="00C162DF">
      <w:pPr>
        <w:tabs>
          <w:tab w:val="right" w:pos="950"/>
          <w:tab w:val="left" w:pos="1267"/>
          <w:tab w:val="right" w:leader="dot" w:pos="8568"/>
        </w:tabs>
        <w:ind w:right="1267"/>
      </w:pPr>
      <w:r>
        <w:rPr>
          <w:i/>
        </w:rPr>
        <w:t>Presidenta:</w:t>
      </w:r>
      <w:r>
        <w:tab/>
        <w:t>Sra. González</w:t>
      </w:r>
    </w:p>
    <w:p w:rsidR="00C162DF" w:rsidRDefault="00C162DF">
      <w:pPr>
        <w:tabs>
          <w:tab w:val="right" w:pos="950"/>
          <w:tab w:val="left" w:pos="1267"/>
          <w:tab w:val="right" w:leader="dot" w:pos="8568"/>
        </w:tabs>
        <w:spacing w:line="120" w:lineRule="exact"/>
        <w:ind w:right="1267"/>
        <w:rPr>
          <w:sz w:val="10"/>
        </w:rPr>
      </w:pPr>
    </w:p>
    <w:p w:rsidR="00C162DF" w:rsidRDefault="00C162DF">
      <w:pPr>
        <w:tabs>
          <w:tab w:val="right" w:pos="950"/>
          <w:tab w:val="left" w:pos="1267"/>
          <w:tab w:val="right" w:leader="dot" w:pos="8568"/>
        </w:tabs>
        <w:spacing w:line="120" w:lineRule="exact"/>
        <w:ind w:right="1267"/>
        <w:rPr>
          <w:sz w:val="10"/>
        </w:rPr>
      </w:pPr>
    </w:p>
    <w:p w:rsidR="00C162DF" w:rsidRDefault="00C162DF">
      <w:pPr>
        <w:tabs>
          <w:tab w:val="right" w:pos="950"/>
          <w:tab w:val="left" w:pos="1267"/>
          <w:tab w:val="right" w:leader="dot" w:pos="8568"/>
        </w:tabs>
        <w:spacing w:line="120" w:lineRule="exact"/>
        <w:ind w:right="1267"/>
        <w:rPr>
          <w:sz w:val="10"/>
        </w:rPr>
      </w:pPr>
    </w:p>
    <w:p w:rsidR="00C162DF" w:rsidRDefault="00C162DF">
      <w:pPr>
        <w:pStyle w:val="HCh"/>
        <w:rPr>
          <w:b w:val="0"/>
        </w:rPr>
      </w:pPr>
      <w:r>
        <w:rPr>
          <w:b w:val="0"/>
        </w:rPr>
        <w:t>Sumario</w:t>
      </w:r>
    </w:p>
    <w:p w:rsidR="00C162DF" w:rsidRDefault="00C162DF">
      <w:pPr>
        <w:pStyle w:val="HCh"/>
        <w:spacing w:line="240" w:lineRule="auto"/>
        <w:rPr>
          <w:b w:val="0"/>
          <w:sz w:val="12"/>
        </w:rPr>
      </w:pPr>
    </w:p>
    <w:p w:rsidR="00C162DF" w:rsidRDefault="00C162DF">
      <w:pPr>
        <w:pStyle w:val="SingleTxt"/>
        <w:suppressAutoHyphens/>
        <w:jc w:val="left"/>
      </w:pPr>
      <w:r>
        <w:t>Examen de los informes presentados por los Estados partes en virtud del artículo 18 de la Convención (</w:t>
      </w:r>
      <w:r>
        <w:rPr>
          <w:i/>
        </w:rPr>
        <w:t>continuación</w:t>
      </w:r>
      <w:r>
        <w:t>)</w:t>
      </w:r>
    </w:p>
    <w:p w:rsidR="00C162DF" w:rsidRDefault="00C162DF">
      <w:pPr>
        <w:pStyle w:val="SingleTxt"/>
        <w:suppressAutoHyphens/>
        <w:jc w:val="left"/>
        <w:rPr>
          <w:i/>
        </w:rPr>
      </w:pPr>
      <w:r>
        <w:tab/>
      </w:r>
      <w:r>
        <w:rPr>
          <w:i/>
        </w:rPr>
        <w:t>Cuarto informe periódico de Cuba</w:t>
      </w:r>
    </w:p>
    <w:p w:rsidR="00C162DF" w:rsidRDefault="00C162DF">
      <w:pPr>
        <w:pStyle w:val="SingleTxt"/>
        <w:suppressAutoHyphens/>
        <w:jc w:val="left"/>
      </w:pPr>
    </w:p>
    <w:p w:rsidR="00C162DF" w:rsidRDefault="00C162DF">
      <w:pPr>
        <w:tabs>
          <w:tab w:val="left" w:pos="475"/>
          <w:tab w:val="left" w:pos="965"/>
          <w:tab w:val="left" w:pos="1440"/>
          <w:tab w:val="left" w:pos="1915"/>
          <w:tab w:val="left" w:pos="2405"/>
          <w:tab w:val="left" w:pos="2880"/>
          <w:tab w:val="left" w:pos="3355"/>
        </w:tabs>
        <w:spacing w:line="240" w:lineRule="auto"/>
        <w:rPr>
          <w:sz w:val="2"/>
        </w:rPr>
        <w:sectPr w:rsidR="00C162DF">
          <w:endnotePr>
            <w:numFmt w:val="decimal"/>
          </w:endnotePr>
          <w:type w:val="continuous"/>
          <w:pgSz w:w="12240" w:h="15840" w:code="1"/>
          <w:pgMar w:top="1742" w:right="1195" w:bottom="1898" w:left="1195" w:header="576" w:footer="1030" w:gutter="0"/>
          <w:pgNumType w:start="1"/>
          <w:cols w:space="720"/>
          <w:noEndnote/>
        </w:sectPr>
      </w:pPr>
      <w:r>
        <w:br w:type="page"/>
      </w:r>
    </w:p>
    <w:p w:rsidR="00C162DF" w:rsidRDefault="00C162DF">
      <w:pPr>
        <w:pStyle w:val="H4"/>
        <w:tabs>
          <w:tab w:val="left" w:pos="475"/>
          <w:tab w:val="left" w:pos="965"/>
          <w:tab w:val="left" w:pos="1440"/>
          <w:tab w:val="left" w:pos="1915"/>
          <w:tab w:val="left" w:pos="2405"/>
          <w:tab w:val="left" w:pos="2880"/>
          <w:tab w:val="left" w:pos="3355"/>
        </w:tabs>
        <w:ind w:left="475" w:hanging="475"/>
      </w:pPr>
      <w:r>
        <w:t>Se declara abierta la sesión a las 10.40 horas.</w:t>
      </w:r>
    </w:p>
    <w:p w:rsidR="00C162DF" w:rsidRDefault="00C162DF">
      <w:pPr>
        <w:spacing w:line="120" w:lineRule="exact"/>
        <w:jc w:val="both"/>
        <w:rPr>
          <w:sz w:val="10"/>
        </w:rPr>
      </w:pPr>
    </w:p>
    <w:p w:rsidR="00C162DF" w:rsidRDefault="00C162DF">
      <w:pPr>
        <w:spacing w:line="120" w:lineRule="exact"/>
        <w:jc w:val="both"/>
        <w:rPr>
          <w:sz w:val="10"/>
        </w:rPr>
      </w:pPr>
    </w:p>
    <w:p w:rsidR="00C162DF" w:rsidRDefault="00C162DF">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w:t>
      </w:r>
    </w:p>
    <w:p w:rsidR="00C162DF" w:rsidRDefault="00C162DF">
      <w:pPr>
        <w:spacing w:line="120" w:lineRule="exact"/>
        <w:jc w:val="both"/>
        <w:rPr>
          <w:sz w:val="10"/>
        </w:rPr>
      </w:pPr>
    </w:p>
    <w:p w:rsidR="00C162DF" w:rsidRDefault="00C162DF">
      <w:pPr>
        <w:pStyle w:val="H4"/>
        <w:tabs>
          <w:tab w:val="left" w:pos="475"/>
          <w:tab w:val="left" w:pos="965"/>
          <w:tab w:val="left" w:pos="1440"/>
          <w:tab w:val="left" w:pos="1915"/>
          <w:tab w:val="left" w:pos="2405"/>
          <w:tab w:val="left" w:pos="2880"/>
          <w:tab w:val="left" w:pos="3355"/>
        </w:tabs>
      </w:pPr>
      <w:r>
        <w:t xml:space="preserve">Cuarto informe periódico de Cuba </w:t>
      </w:r>
      <w:r>
        <w:rPr>
          <w:i w:val="0"/>
        </w:rPr>
        <w:t>(CEDAW/C/CUB/4, CEDAW/PSWG/2000/II/CRP.1/Add.2 y CRP.2/Add.1)</w:t>
      </w:r>
    </w:p>
    <w:p w:rsidR="00C162DF" w:rsidRDefault="00C162DF">
      <w:pPr>
        <w:spacing w:line="120" w:lineRule="exact"/>
        <w:jc w:val="both"/>
        <w:rPr>
          <w:sz w:val="10"/>
        </w:rPr>
      </w:pP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la delegación de Cuba toma asiento a la mesa del Comité</w:t>
      </w:r>
      <w:r>
        <w:t>.</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Díaz</w:t>
      </w:r>
      <w:r>
        <w:t xml:space="preserve"> (Cuba) dice que su Gobierno se enorgullece mucho de que Cuba haya sido el primer país que firmó la Convención sobre la eliminación de todas las formas de discriminación contra la mujer y el segundo que la ratificó. También aprovechó la opo</w:t>
      </w:r>
      <w:r>
        <w:t>r</w:t>
      </w:r>
      <w:r>
        <w:t>tunidad de firmar el Protocolo Opcional de la Conve</w:t>
      </w:r>
      <w:r>
        <w:t>n</w:t>
      </w:r>
      <w:r>
        <w:t>ción en el 43° período de sesiones de la Com</w:t>
      </w:r>
      <w:r>
        <w:t>i</w:t>
      </w:r>
      <w:r>
        <w:t>sión de la Condición Jurídica y Social de la Mujer. Es asimismo importante que Cuba esté presentando su informe p</w:t>
      </w:r>
      <w:r>
        <w:t>e</w:t>
      </w:r>
      <w:r>
        <w:t>riódico pocos días después de finalizar con éxito el p</w:t>
      </w:r>
      <w:r>
        <w:t>e</w:t>
      </w:r>
      <w:r>
        <w:t>ríodo extraordinario de sesiones de la Asamblea Gen</w:t>
      </w:r>
      <w:r>
        <w:t>e</w:t>
      </w:r>
      <w:r>
        <w:t>ral encargado de examinar la aplicación de la Platafo</w:t>
      </w:r>
      <w:r>
        <w:t>r</w:t>
      </w:r>
      <w:r>
        <w:t>ma de Acción de Beijing, aprobada por la Cuarta Co</w:t>
      </w:r>
      <w:r>
        <w:t>n</w:t>
      </w:r>
      <w:r>
        <w:t>ferencia Mundial sobre la Mujer. El informe incluye los resultados del proceso nacional de evalu</w:t>
      </w:r>
      <w:r>
        <w:t>a</w:t>
      </w:r>
      <w:r>
        <w:t>ción de la aplicación de la Plataforma, realizado como parte de los preparativos para el período extraordinario de s</w:t>
      </w:r>
      <w:r>
        <w:t>e</w:t>
      </w:r>
      <w:r>
        <w:t>siones.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Para el período 1996-2000, el Gobierno adoptó varias medidas para resolver los problemas restantes en cuanto a aplicar la Plataforma de Acción. Sus objetivos coinciden, en gran parte, con los objetivos y priorid</w:t>
      </w:r>
      <w:r>
        <w:t>a</w:t>
      </w:r>
      <w:r>
        <w:t>des a mediano y largo plazo de promover la plena igualdad entre hombres y mujeres. Se asignó a la Fed</w:t>
      </w:r>
      <w:r>
        <w:t>e</w:t>
      </w:r>
      <w:r>
        <w:t>ración de Mujeres Cubanas la tarea de supervisar la aplicación del Plan Nacional de Acción para el segu</w:t>
      </w:r>
      <w:r>
        <w:t>i</w:t>
      </w:r>
      <w:r>
        <w:t>miento de la Cuarta Conferencia Mundial sobre la M</w:t>
      </w:r>
      <w:r>
        <w:t>u</w:t>
      </w:r>
      <w:r>
        <w:t>jer, que tiene fuerza de ley.</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El Plan incluye políticas y medidas en materia de empleo de la mujer, acceso a puestos ejecutivos y de decisión, así como sobre la imagen y la forma en que se presenta a la mujer en los medios de difusión, la l</w:t>
      </w:r>
      <w:r>
        <w:t>a</w:t>
      </w:r>
      <w:r>
        <w:t>bor a nivel comunitario en educación, salud y trabajo social, el examen sistemático de la legislación pert</w:t>
      </w:r>
      <w:r>
        <w:t>i</w:t>
      </w:r>
      <w:r>
        <w:t>nente, los derechos reproductivos y sexuales, y el m</w:t>
      </w:r>
      <w:r>
        <w:t>a</w:t>
      </w:r>
      <w:r>
        <w:t>yor desarrollo de las estadísticas y la investigación s</w:t>
      </w:r>
      <w:r>
        <w:t>o</w:t>
      </w:r>
      <w:r>
        <w:t>bre cuestiones de género. El Plan tomó en cuenta el h</w:t>
      </w:r>
      <w:r>
        <w:t>e</w:t>
      </w:r>
      <w:r>
        <w:t xml:space="preserve">cho de que, si bien se han alcanzado muchos de los </w:t>
      </w:r>
      <w:r>
        <w:rPr>
          <w:spacing w:val="2"/>
        </w:rPr>
        <w:t>o</w:t>
      </w:r>
      <w:r>
        <w:rPr>
          <w:spacing w:val="2"/>
        </w:rPr>
        <w:t>b</w:t>
      </w:r>
      <w:r>
        <w:rPr>
          <w:spacing w:val="2"/>
        </w:rPr>
        <w:t>jetivos y metas establecidos en Beijing, la Platafor</w:t>
      </w:r>
      <w:r>
        <w:t>ma ha de adaptarse a las necesidades y los objetivos estratég</w:t>
      </w:r>
      <w:r>
        <w:t>i</w:t>
      </w:r>
      <w:r>
        <w:t>cos particulares de cada país. Por consiguiente, el Plan Nacional de Acción fue preparado tras recibir aport</w:t>
      </w:r>
      <w:r>
        <w:t>a</w:t>
      </w:r>
      <w:r>
        <w:t>ciones de una amplia gama de sectores de la sociedad cubana.</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Debido a la recuperación económica gradual y sostenida que Cuba está logrando tras los drásticos cambios introducidos a comienzos del decenio de 1990 a raíz de la desintegración de la Unión Soviética y los cambios en Europa oriental, se han logrado muchos adelantos. En 1999, la economía cubana creció un 6,2%, lo cual posibilitó una política sostenida de a</w:t>
      </w:r>
      <w:r>
        <w:t>u</w:t>
      </w:r>
      <w:r>
        <w:t>mento de las inversiones en programas sociales en g</w:t>
      </w:r>
      <w:r>
        <w:t>e</w:t>
      </w:r>
      <w:r>
        <w:t>neral y en actividades en beneficio de mujeres y niños en particular. Para el año 2000, el 70% del presupuesto estatal se ha asignado a sectores sociales prioritarios: educación, salud pública, seguridad y servicios soci</w:t>
      </w:r>
      <w:r>
        <w:t>a</w:t>
      </w:r>
      <w:r>
        <w:t>les, vivienda y servicios comunitarios.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Esa modesta recuperación económica también c</w:t>
      </w:r>
      <w:r>
        <w:t>o</w:t>
      </w:r>
      <w:r>
        <w:t>incidió con mejoras en los indicadores de la particip</w:t>
      </w:r>
      <w:r>
        <w:t>a</w:t>
      </w:r>
      <w:r>
        <w:t>ción económica, política y social de la mujer. La part</w:t>
      </w:r>
      <w:r>
        <w:t>i</w:t>
      </w:r>
      <w:r>
        <w:t>cipación de la mujer en la fuerza laboral aumentó de</w:t>
      </w:r>
      <w:r>
        <w:t>s</w:t>
      </w:r>
      <w:r>
        <w:t>de 42,3% en 1995 hasta 43,6% a fines de 1999. Se han registrado notables aumentos en el número de m</w:t>
      </w:r>
      <w:r>
        <w:t>u</w:t>
      </w:r>
      <w:r>
        <w:t>jeres en puestos técnicos, profesionales y de gestión. Las mujeres cubanas han efectuado una contribución muy importante a la recuperación del país a todos los niv</w:t>
      </w:r>
      <w:r>
        <w:t>e</w:t>
      </w:r>
      <w:r>
        <w:t>les.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Las medidas del Gobierno para seguir prom</w:t>
      </w:r>
      <w:r>
        <w:t>o</w:t>
      </w:r>
      <w:r>
        <w:t>viendo el adelanto de la mujer y el progreso social en general se adoptaron en condiciones de creciente a</w:t>
      </w:r>
      <w:r>
        <w:t>d</w:t>
      </w:r>
      <w:r>
        <w:t>versidad. El bloqueo económico, comercial y financi</w:t>
      </w:r>
      <w:r>
        <w:t>e</w:t>
      </w:r>
      <w:r>
        <w:t>ro impuesto durante los últimos 38 años por los Est</w:t>
      </w:r>
      <w:r>
        <w:t>a</w:t>
      </w:r>
      <w:r>
        <w:t>dos Unidos de América, sumado a la reciente Ley Helms-Burton, constituyen el más arduo y peligroso obstáculo para el progreso de las mujeres y los niños cubanos en el disfrute de sus derechos. Aunque en un sentido estricto el bloqueo no fue impuesto desde una perspectiva de género, sus efectos son más severos s</w:t>
      </w:r>
      <w:r>
        <w:t>o</w:t>
      </w:r>
      <w:r>
        <w:t>bre las mujeres que sobre los hombres.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Si bien las actitudes relativas a los papeles del hombre y la mujer se han transformado de manera r</w:t>
      </w:r>
      <w:r>
        <w:t>a</w:t>
      </w:r>
      <w:r>
        <w:t>dical, persisten algunas pautas sexistas tradicionales. En muchas familias, las mujeres siguen encargándose de la mayor parte de las tareas domésticas y la crianza de los hijos y, por consiguiente, la escasez de alimentos y productos básicos, como medicamentos, jabón y combustible, y la escasez de enseres para el hogar, las afectan más directamente. Otro ejemplo es que las m</w:t>
      </w:r>
      <w:r>
        <w:t>u</w:t>
      </w:r>
      <w:r>
        <w:t>jeres siguen siendo la mayoría en las profesiones d</w:t>
      </w:r>
      <w:r>
        <w:t>o</w:t>
      </w:r>
      <w:r>
        <w:t>cente y médica y, por ende, la escasez de suministros escolares, materiales didácticos y suministros médicos tiene también un efecto más pronunciado sobre ellas.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también reconoce que en los últimos años se consolidó la solidaridad y aumentó la asiste</w:t>
      </w:r>
      <w:r>
        <w:t>n</w:t>
      </w:r>
      <w:r>
        <w:t>cia material internacional aportada por gobiernos, o</w:t>
      </w:r>
      <w:r>
        <w:t>r</w:t>
      </w:r>
      <w:r>
        <w:t>ganizaciones no gubernamentales y pueblos de todo el mundo, en apoyo del pueblo cubano. El pueblo de C</w:t>
      </w:r>
      <w:r>
        <w:t>u</w:t>
      </w:r>
      <w:r>
        <w:t>ba inició dos juicios en tribunales civiles en los que s</w:t>
      </w:r>
      <w:r>
        <w:t>o</w:t>
      </w:r>
      <w:r>
        <w:t>licita indemnización por daños por parte de los Est</w:t>
      </w:r>
      <w:r>
        <w:t>a</w:t>
      </w:r>
      <w:r>
        <w:t>dos Unidos de América. Su delegación solicita al Comité que los tenga debidamente en cuenta.</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Como indicación de su compromiso y voluntad política de seguir mejorando la condición de la mujer en su sociedad, el Gobierno cubano dio amplia public</w:t>
      </w:r>
      <w:r>
        <w:t>i</w:t>
      </w:r>
      <w:r>
        <w:t>dad al cuarto informe periódico y lo puso de antemano en conocimiento de la Federación de Mujeres Cubanas y otras organizaciones no gubernamentales. Otra ind</w:t>
      </w:r>
      <w:r>
        <w:t>i</w:t>
      </w:r>
      <w:r>
        <w:t>cación del compromiso del Gobierno en cuanto a c</w:t>
      </w:r>
      <w:r>
        <w:t>o</w:t>
      </w:r>
      <w:r>
        <w:t>operar con los mecanismos de las Naciones Unidas fue la invitación formulada a la Relatora Especial sobre la violencia contra la mujer, de la Comisión de Derechos Humanos. Durante su visita, la Relatora recibió la pl</w:t>
      </w:r>
      <w:r>
        <w:t>e</w:t>
      </w:r>
      <w:r>
        <w:t>na cooperación del Gobierno. Lamentablemente, d</w:t>
      </w:r>
      <w:r>
        <w:t>e</w:t>
      </w:r>
      <w:r>
        <w:t>mostró parcialidad y subjetividad en el informe sobre esa visita que presentó en el 26° período de sesiones de la Comisión de Derechos Humanos.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Regazzoli</w:t>
      </w:r>
      <w:r>
        <w:t xml:space="preserve"> destaca la importancia del Código de la Familia, que sirvió como modelo para otros países de la región y pregunta qué tipo de rev</w:t>
      </w:r>
      <w:r>
        <w:t>i</w:t>
      </w:r>
      <w:r>
        <w:t>sión se proyecta efectuar y, ante todo, por qué razón se realiza esta revisión. También desea saber de qué m</w:t>
      </w:r>
      <w:r>
        <w:t>a</w:t>
      </w:r>
      <w:r>
        <w:t>nera se realizan las elecciones en un país como Cuba, donde hay un único partido político y, concretamente, cómo se elige a las mujeres que constituyen el 27,6% de los diputados a la Asamblea Nacional Popular y otros grupos parlamentarios. ¿Cómo se financian las campañas políticas para las mujeres, y cómo se las conduce? Además, el Estado parte debería explicar las razones de la baja representación de mujeres en el se</w:t>
      </w:r>
      <w:r>
        <w:t>c</w:t>
      </w:r>
      <w:r>
        <w:t>tor cooper</w:t>
      </w:r>
      <w:r>
        <w:t>a</w:t>
      </w:r>
      <w:r>
        <w:t>tivo conjunto.</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Khan</w:t>
      </w:r>
      <w:r>
        <w:t xml:space="preserve"> acoge con agrado las medidas adoptadas por el Gobierno de Cuba, particularmente con respecto a su marco legislativo para mejorar la aplicación de la Convención. Es alentador el progreso logrado por las mujeres en cuanto a su contribución a la economía y otros indicadores sociales. No obstante, la oradora se suma a la pregunta de la Sra. Regazzoli relativa al procedimiento para la elección de mujeres y pregunta además si se han adoptado medidas especiales para velar por que las mujeres lleguen a puestos ejec</w:t>
      </w:r>
      <w:r>
        <w:t>u</w:t>
      </w:r>
      <w:r>
        <w:t>tivos en todas esferas de gestión. Se han excluido las estadísticas sobre la participación de grupos étnicos en puestos de liderazgo. ¿Hay disposiciones legales para la representación proporcional de todos esos grupos?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cuestión de los estereotipos, pregunta si se revisaron los materiales didácticos a fin de velar por una presentación de imágenes positivas de la mujer. La cuestión es particularmente importante, habida cuenta del creciente hincapié que hace el G</w:t>
      </w:r>
      <w:r>
        <w:t>o</w:t>
      </w:r>
      <w:r>
        <w:t>bierno en promover el turismo. Pregunta si se ha intr</w:t>
      </w:r>
      <w:r>
        <w:t>o</w:t>
      </w:r>
      <w:r>
        <w:t>ducido un código de ética que rija la forma en que se presenta a las mujeres en los medios de difusión.</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los bajos salarios femeninos en las profesiones técnicas y médicas, la oradora pregunta si hay una tendencia entre las mujeres profesionales a p</w:t>
      </w:r>
      <w:r>
        <w:t>a</w:t>
      </w:r>
      <w:r>
        <w:t>sar a otras ocupaciones, por ejemplo, en el sector de t</w:t>
      </w:r>
      <w:r>
        <w:t>u</w:t>
      </w:r>
      <w:r>
        <w:t>rismo o el de servicios. Del mismo modo, el Comité agradecería recibir más información sobre la paridad de salarios entre hombres y mujeres, además de aclar</w:t>
      </w:r>
      <w:r>
        <w:t>a</w:t>
      </w:r>
      <w:r>
        <w:t>ciones sobre si las guarderías son gratuitas o subsidi</w:t>
      </w:r>
      <w:r>
        <w:t>a</w:t>
      </w:r>
      <w:r>
        <w:t>das. Las estadísticas de mujeres que trabajan por cue</w:t>
      </w:r>
      <w:r>
        <w:t>n</w:t>
      </w:r>
      <w:r>
        <w:t>ta propia indican que la mayoría de ellas no tienen un alto nivel de aptitudes. En consecuencia, desea saber qué perspectiva existe para que las mujeres calif</w:t>
      </w:r>
      <w:r>
        <w:t>i</w:t>
      </w:r>
      <w:r>
        <w:t>cadas pasen a ser empresarias y si se dispone de programas de crédito para ayudar a las mujeres que tienen tales aspiraciones.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Taya</w:t>
      </w:r>
      <w:r>
        <w:t xml:space="preserve"> dice que, para poder comprender mejor las cuestiones planteadas, el Gobierno de Cuba debería permitir una mayor transparencia respecto de la situación de los presos por razón de conciencia y la i</w:t>
      </w:r>
      <w:r>
        <w:t>n</w:t>
      </w:r>
      <w:r>
        <w:t>dependencia del Poder Judicial. Con respecto a la “economía paralela del dólar”, pregunta si el Gobierno considera la posible adopción de medidas, inclusive de índole fiscal, para abordar la disparidad entre los sect</w:t>
      </w:r>
      <w:r>
        <w:t>o</w:t>
      </w:r>
      <w:r>
        <w:t>res de la población que se benefician con el acceso a divisas y quienes no tienen tal acceso. El Comité ta</w:t>
      </w:r>
      <w:r>
        <w:t>m</w:t>
      </w:r>
      <w:r>
        <w:t>bién desearía tener más información sobre los probl</w:t>
      </w:r>
      <w:r>
        <w:t>e</w:t>
      </w:r>
      <w:r>
        <w:t>mas que enfrentan las mujeres que buscan empleo en los sectores mixto y comercial, en comparación con el e</w:t>
      </w:r>
      <w:r>
        <w:t>m</w:t>
      </w:r>
      <w:r>
        <w:t>pleo en el sector público.</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Miranda</w:t>
      </w:r>
      <w:r>
        <w:t xml:space="preserve"> (Cuba), en respuesta a la pr</w:t>
      </w:r>
      <w:r>
        <w:t>e</w:t>
      </w:r>
      <w:r>
        <w:t>gunta sobre la revisión del Código de la Familia, dice que cuando se aprobó el Código en el decenio de 1970, todavía estaba en vigor el Código Civil español, que databa del siglo XIX. La oradora pasa revista detall</w:t>
      </w:r>
      <w:r>
        <w:t>a</w:t>
      </w:r>
      <w:r>
        <w:t>damente a las diversas enmiendas introducidas por C</w:t>
      </w:r>
      <w:r>
        <w:t>u</w:t>
      </w:r>
      <w:r>
        <w:t>ba desde la aprobación del Código de la Familia para asegurar su compatibilidad con toda la legislación que afecta a la familia. No obstante, las enmiendas introd</w:t>
      </w:r>
      <w:r>
        <w:t>u</w:t>
      </w:r>
      <w:r>
        <w:t>cidas en el pasado no cambiaron los artículos fund</w:t>
      </w:r>
      <w:r>
        <w:t>a</w:t>
      </w:r>
      <w:r>
        <w:t>mentales del Código relativos a las relaciones conyug</w:t>
      </w:r>
      <w:r>
        <w:t>a</w:t>
      </w:r>
      <w:r>
        <w:t>les y se prevé que en el examen a realizar dentro de poco se elaborarán nuevas disposiciones para fortalecer el marco jurídico que rige, entre otros, los derechos y deberes de los cónyuges.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Cardoso</w:t>
      </w:r>
      <w:r>
        <w:t xml:space="preserve"> (Cuba) dice que el Código de la Familia y el Código Laboral cubanos se basan en el principio de igual remuneración por igual trabajo. Las diferencias en la paga dependen de la calidad y la ca</w:t>
      </w:r>
      <w:r>
        <w:t>n</w:t>
      </w:r>
      <w:r>
        <w:t>tidad del trabajo realizado. No hay diferencia en los s</w:t>
      </w:r>
      <w:r>
        <w:t>a</w:t>
      </w:r>
      <w:r>
        <w:t>larios que se pagan a hombres y mujeres por el mismo trabajo. En respuesta a la pregunta sobre la “ec</w:t>
      </w:r>
      <w:r>
        <w:t>o</w:t>
      </w:r>
      <w:r>
        <w:t>nomía del dólar”, señala que las necesidades básicas de todas las familias cubanas son satisfechas mediante pesos cubanos. Los trabajadores pagan alquileres muy bajos, en pesos. En verdad, se ha aprobado legislación para posibilitar que todos los trabajadores sean pr</w:t>
      </w:r>
      <w:r>
        <w:t>o</w:t>
      </w:r>
      <w:r>
        <w:t>pietarios de sus viviendas al cabo de 15 años de haber comenz</w:t>
      </w:r>
      <w:r>
        <w:t>a</w:t>
      </w:r>
      <w:r>
        <w:t>do a trabajar. Además, la educación y los servicios de salud son gratuitos. Las facturas de los servicios públ</w:t>
      </w:r>
      <w:r>
        <w:t>i</w:t>
      </w:r>
      <w:r>
        <w:t>cos se abonan en pesos y la canasta básica de artículos familiares se denomina en pesos y también se beneficia con considerables subsidios estatales. Todo el consumo en dólares se efectúa como suplemento de las neces</w:t>
      </w:r>
      <w:r>
        <w:t>i</w:t>
      </w:r>
      <w:r>
        <w:t>dades básicas.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Hace algunos años se adoptó la decisión de abrir mercados rurales y se introdujeron ajustes en la ley p</w:t>
      </w:r>
      <w:r>
        <w:t>a</w:t>
      </w:r>
      <w:r>
        <w:t>ra flexibilizar la oferta y la demanda. En 1997, los pr</w:t>
      </w:r>
      <w:r>
        <w:t>e</w:t>
      </w:r>
      <w:r>
        <w:t>cios del mercado libre en Cuba eran inferiores en 50% a los precios de 1998 y las inversiones en el desarrollo de la agricultura ese año reflejaron dicha tendencia. Se prevé que hacia fines del año 2000 los precios serán muy inferiores a aquel nivel. En relación con las pr</w:t>
      </w:r>
      <w:r>
        <w:t>e</w:t>
      </w:r>
      <w:r>
        <w:t>guntas relativas al limitado acceso al sector mixto, la oradora señala que éste tiene gran importancia para la economía cubana y forma parte de los planes de des</w:t>
      </w:r>
      <w:r>
        <w:t>a</w:t>
      </w:r>
      <w:r>
        <w:t>rrollo del país.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En verdad, el Gobierno asigna prioridad a estim</w:t>
      </w:r>
      <w:r>
        <w:t>u</w:t>
      </w:r>
      <w:r>
        <w:t>lar su desarrollo como fuente importante de empleo p</w:t>
      </w:r>
      <w:r>
        <w:t>a</w:t>
      </w:r>
      <w:r>
        <w:t>ra la mujer, especialmente en cargos administrativos y de gestión. En el sector científico, donde hay poca r</w:t>
      </w:r>
      <w:r>
        <w:t>e</w:t>
      </w:r>
      <w:r>
        <w:t>novación del personal, el Gobierno proporciona ince</w:t>
      </w:r>
      <w:r>
        <w:t>n</w:t>
      </w:r>
      <w:r>
        <w:t>tivos extraordinarios en divisas, por encima de los sal</w:t>
      </w:r>
      <w:r>
        <w:t>a</w:t>
      </w:r>
      <w:r>
        <w:t>rios regulares que perciben los trabajadores. Esos i</w:t>
      </w:r>
      <w:r>
        <w:t>n</w:t>
      </w:r>
      <w:r>
        <w:t>centivos se hacen efectivos dos veces por año. En otros sectores productivos, entre ellos la agricultura, el sal</w:t>
      </w:r>
      <w:r>
        <w:t>a</w:t>
      </w:r>
      <w:r>
        <w:t>rio medio se duplicó o triplicó. En los sectores de pr</w:t>
      </w:r>
      <w:r>
        <w:t>o</w:t>
      </w:r>
      <w:r>
        <w:t>ducción para la exportación, además de sus salarios, los trabajadores reciben un porcentaje en divisas.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Reyes Rodríguez</w:t>
      </w:r>
      <w:r>
        <w:t xml:space="preserve"> (Cuba) dice que el si</w:t>
      </w:r>
      <w:r>
        <w:t>s</w:t>
      </w:r>
      <w:r>
        <w:t>tema de partido único vigente en su país es resultado de su propia historia y sus circunstancias singulares. El Partido Comunista no es un partido electoral. No ob</w:t>
      </w:r>
      <w:r>
        <w:t>s</w:t>
      </w:r>
      <w:r>
        <w:t>tante, en Cuba hay voto secreto y universal. El sufragio no es obligatorio, aun cuando el proceso electoral se caracteriza por una amplia participación. Más del 95% de la población ejerce su derecho de voto. Las mujeres candidatas se designan para ocupar cargos de la misma manera que los hombres candidatos. La participación en las elecciones queda determinada por criterios res</w:t>
      </w:r>
      <w:r>
        <w:t>i</w:t>
      </w:r>
      <w:r>
        <w:t>denciales en los distritos electorales. Todos los cand</w:t>
      </w:r>
      <w:r>
        <w:t>i</w:t>
      </w:r>
      <w:r>
        <w:t>datos tienen iguales derechos y reciben el mismo ap</w:t>
      </w:r>
      <w:r>
        <w:t>o</w:t>
      </w:r>
      <w:r>
        <w:t>yo. En Cuba no se permite que los candidatos reciban contribuciones financieras, salvo las aportadas por el Estado. Los hombres y las mujeres tienen las mismas posibilidades de ser elegidos. Las campañas electorales se basan en mérito.</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Se establecieron cuotas de “acción afirmativa” en beneficio de la mujer. Por otra parte, en Cuba no hay minorías raciales. En Cuba hay sólo un grupo étnico: el pueblo cubano, resultante del crisol con aportaciones de grupos de ascendencia europea, africana y asiática. En verdad, debido a la considerable integración racial en Cuba, las estadísticas sobre la composición racial en el país son muy poco fidedignas. Sin embargo, cabe señalar que persisten algunas formas de discriminación racial y que la sociedad, en su conjunto, deplora este comportamiento.</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En lo concerniente a la participación de la mujer en el sector mixto, hay problemas, entre ellos la di</w:t>
      </w:r>
      <w:r>
        <w:t>s</w:t>
      </w:r>
      <w:r>
        <w:t>criminación, dado que las compañías extranjeras que operan en ese sector se rigen por reglamentaciones e</w:t>
      </w:r>
      <w:r>
        <w:t>s</w:t>
      </w:r>
      <w:r>
        <w:t>peciales. El Gobierno está aplicando políticas para abordar esa cuestión y todos los tipos de discrimin</w:t>
      </w:r>
      <w:r>
        <w:t>a</w:t>
      </w:r>
      <w:r>
        <w:t>ción. Se estableció una empresa estatal para asegurar que las mujeres en ese sector sean contratadas sobre la base de sus calificaciones y no del color de su piel.</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No hay en Cuba presos por razones de concie</w:t>
      </w:r>
      <w:r>
        <w:t>n</w:t>
      </w:r>
      <w:r>
        <w:t>cia. No se reprime a la gente debido a sus opiniones. El Gobierno alienta la libertad de expresión y el Estado impone restricciones sólo en interés de la seguridad nacional. Esas limitaciones se impusieron no sólo para contrarrestar las actividades de quienes simpatizan con el embargo impuesto por los Estados Unidos, sino ta</w:t>
      </w:r>
      <w:r>
        <w:t>m</w:t>
      </w:r>
      <w:r>
        <w:t>bién para combatir los actos de terrorismo y los ataques contra la industria turística de Cuba, tolerados por el Gobierno de los Estados Unidos. Las actividades de quienes colaboran con los Estados Unidos de América y de las personas manipuladas por este país se plantean ante los tribunales y tramitan con toda equidad. Hay una muy clara separación entre las funciones del Est</w:t>
      </w:r>
      <w:r>
        <w:t>a</w:t>
      </w:r>
      <w:r>
        <w:t>do y las del Poder Judicial, el cual garantiza el derecho a tener abogado defensor e interponer apelaciones.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Arocha Domínguez</w:t>
      </w:r>
      <w:r>
        <w:t xml:space="preserve"> (Cuba), en respuesta a las preguntas relativas al papel de la mujer en el si</w:t>
      </w:r>
      <w:r>
        <w:t>s</w:t>
      </w:r>
      <w:r>
        <w:t>tema político cubano, explica que hay asambleas mun</w:t>
      </w:r>
      <w:r>
        <w:t>i</w:t>
      </w:r>
      <w:r>
        <w:t>cipales y provinciales, además de la Asamblea Naci</w:t>
      </w:r>
      <w:r>
        <w:t>o</w:t>
      </w:r>
      <w:r>
        <w:t>nal Popular. A nivel municipal, todos los candidatos son propuestos democráticamente, disponen de idéntica financiación para sus campañas y son elegidos tras una votación libre y secreta, cuando han recibido una m</w:t>
      </w:r>
      <w:r>
        <w:t>a</w:t>
      </w:r>
      <w:r>
        <w:t>yoría de votos en los comicios. En general, las tasas de participación en las elecciones se acercan al 98%. Pese a que a nivel local persisten las actitudes tradicionales, el número de mujeres electas a las asambleas munic</w:t>
      </w:r>
      <w:r>
        <w:t>i</w:t>
      </w:r>
      <w:r>
        <w:t>pales aumentó desde 15% en 1996 hasta 20,5% en 2000.</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Dado que las asambleas municipales son respo</w:t>
      </w:r>
      <w:r>
        <w:t>n</w:t>
      </w:r>
      <w:r>
        <w:t>sables de elegir al 50% de los delegados a las asa</w:t>
      </w:r>
      <w:r>
        <w:t>m</w:t>
      </w:r>
      <w:r>
        <w:t>bleas provinciales y al 50% de los diputados a la Asamblea Nacional, las mujeres siguen insuficient</w:t>
      </w:r>
      <w:r>
        <w:t>e</w:t>
      </w:r>
      <w:r>
        <w:t>mente representadas en esos órganos. Por otra parte, esa situación se ha corregido parcialmente, debido a que el otro 50% de los delegados a las asambleas pr</w:t>
      </w:r>
      <w:r>
        <w:t>o</w:t>
      </w:r>
      <w:r>
        <w:t>vinciales y de los diputados a la Asamblea Nacional son propuestos por comités que preside la Federación de Sindicatos Cubanos con representación de importa</w:t>
      </w:r>
      <w:r>
        <w:t>n</w:t>
      </w:r>
      <w:r>
        <w:t>tes organizaciones, entre ellas la Federación de Muj</w:t>
      </w:r>
      <w:r>
        <w:t>e</w:t>
      </w:r>
      <w:r>
        <w:t>res Cubanas (FMC). Las diversas organizaciones pr</w:t>
      </w:r>
      <w:r>
        <w:t>o</w:t>
      </w:r>
      <w:r>
        <w:t>ponen nombres de candidatos propuestos en sus respe</w:t>
      </w:r>
      <w:r>
        <w:t>c</w:t>
      </w:r>
      <w:r>
        <w:t>tivas reuniones plenarias y, naturalmente, la FMC pr</w:t>
      </w:r>
      <w:r>
        <w:t>o</w:t>
      </w:r>
      <w:r>
        <w:t>pone los nombres de tantas mujeres candidatas como sea posible.</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Seguidamente, se somete la lista de candidatos a la aprobación de las asambleas municipales, tras lo c</w:t>
      </w:r>
      <w:r>
        <w:t>u</w:t>
      </w:r>
      <w:r>
        <w:t>al se celebra una votación libre y secreta en que pueden participar todos los ciudadanos. El propósito general de las elecciones es que el pueblo trate de elegir a los m</w:t>
      </w:r>
      <w:r>
        <w:t>e</w:t>
      </w:r>
      <w:r>
        <w:t>jores candidatos posibles y la FMC alienta a los vota</w:t>
      </w:r>
      <w:r>
        <w:t>n</w:t>
      </w:r>
      <w:r>
        <w:t>tes a votar por las mujeres entre los mejores candid</w:t>
      </w:r>
      <w:r>
        <w:t>a</w:t>
      </w:r>
      <w:r>
        <w:t>tos. Como resultado, crecientes cantidades de mujeres resultan electas. Aunque aún están insuficientemente representadas, son mujeres el 27,6% de los d</w:t>
      </w:r>
      <w:r>
        <w:t>i</w:t>
      </w:r>
      <w:r>
        <w:t>putados a la Asamblea Nacional Popular y Cuba figura entre los 10 países del mundo con mayores cantidades de muj</w:t>
      </w:r>
      <w:r>
        <w:t>e</w:t>
      </w:r>
      <w:r>
        <w:t>res que ocupan puestos electivos. La oradora destaca que se seguirá tratando de mejorar aún más la situación.</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Díaz</w:t>
      </w:r>
      <w:r>
        <w:t xml:space="preserve"> (Cuba) destaca que diversos mini</w:t>
      </w:r>
      <w:r>
        <w:t>s</w:t>
      </w:r>
      <w:r>
        <w:t>terios han adoptado muchas medidas y se han empre</w:t>
      </w:r>
      <w:r>
        <w:t>n</w:t>
      </w:r>
      <w:r>
        <w:t>dido muchos estudios a fin de promover el papel de la mujer y garantizar su acceso en condiciones de igua</w:t>
      </w:r>
      <w:r>
        <w:t>l</w:t>
      </w:r>
      <w:r>
        <w:t>dad a la educación, el empleo y los procesos de ado</w:t>
      </w:r>
      <w:r>
        <w:t>p</w:t>
      </w:r>
      <w:r>
        <w:t>ción de decisiones. La oradora destaca que, si bien el criterio básico para ocupar un puesto es escoger al m</w:t>
      </w:r>
      <w:r>
        <w:t>e</w:t>
      </w:r>
      <w:r>
        <w:t>jor candidato, hombre o mujer, asegura al Comité que se está tratando de promover conciencia sobre la i</w:t>
      </w:r>
      <w:r>
        <w:t>m</w:t>
      </w:r>
      <w:r>
        <w:t>portancia de aplicar cabalmente la Convención y as</w:t>
      </w:r>
      <w:r>
        <w:t>e</w:t>
      </w:r>
      <w:r>
        <w:t>gurar que continúen los adelantos en la condición de la mujer.</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Miranda</w:t>
      </w:r>
      <w:r>
        <w:t xml:space="preserve"> (Cuba), refiriéndose al sistema jurídico, destaca que la justicia se imparte siempre en nombre del pueblo y la Constitución, la cual fue apr</w:t>
      </w:r>
      <w:r>
        <w:t>o</w:t>
      </w:r>
      <w:r>
        <w:t>bada por referéndum popular. Nadie puede ser convicto ni encarcelado sin que medie el debido proceso legal y todos tienen derecho a defenderse a sí mismos contra cualquier acusación. No pueden emplearse intimid</w:t>
      </w:r>
      <w:r>
        <w:t>a</w:t>
      </w:r>
      <w:r>
        <w:t>ciones ni presiones para obtener una confesión y, de todas maneras, independientemente de cualquier conf</w:t>
      </w:r>
      <w:r>
        <w:t>e</w:t>
      </w:r>
      <w:r>
        <w:t>sión, sólo un juez puede adoptar una decisión final s</w:t>
      </w:r>
      <w:r>
        <w:t>o</w:t>
      </w:r>
      <w:r>
        <w:t>bre la culpabilidad de un acusado.</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los llamados y autoproclamados “presos por razones de conciencia”, dice que esas pe</w:t>
      </w:r>
      <w:r>
        <w:t>r</w:t>
      </w:r>
      <w:r>
        <w:t>sonas sólo reivindican la condición de presos por raz</w:t>
      </w:r>
      <w:r>
        <w:t>o</w:t>
      </w:r>
      <w:r>
        <w:t>nes de conciencia a fin de infringir las leyes con imp</w:t>
      </w:r>
      <w:r>
        <w:t>u</w:t>
      </w:r>
      <w:r>
        <w:t>nidad. Al igual que la mayoría de los Estados, Cuba tiene derecho a castigar a toda persona que, en colusión con intereses extranjeros, trate de socavar la indepe</w:t>
      </w:r>
      <w:r>
        <w:t>n</w:t>
      </w:r>
      <w:r>
        <w:t>dencia y la integridad del Estado. Señala que la Ley Helms-Burton autoriza al Gobierno de los Estados Unidos a apoyar esas actividades y los autoproclam</w:t>
      </w:r>
      <w:r>
        <w:t>a</w:t>
      </w:r>
      <w:r>
        <w:t>dos presos por razones de conciencia son, en cons</w:t>
      </w:r>
      <w:r>
        <w:t>e</w:t>
      </w:r>
      <w:r>
        <w:t>cuencia, simple títeres en la aplicación de las políticas de aquel país.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Beretervide</w:t>
      </w:r>
      <w:r>
        <w:t xml:space="preserve"> (Cuba), en respuesta a la </w:t>
      </w:r>
      <w:r>
        <w:rPr>
          <w:spacing w:val="6"/>
        </w:rPr>
        <w:t>Sra. Khan, menciona las medidas transitorias de “ac</w:t>
      </w:r>
      <w:r>
        <w:t>ción afirmativa” en virtud del artículo 4 que se de</w:t>
      </w:r>
      <w:r>
        <w:t>s</w:t>
      </w:r>
      <w:r>
        <w:t>criben en el informe (CEDAW/C/CUB/4, págs. 12 y 13) y señala que un 83% de todas las mujeres mayores de 14 años participan en organizaciones de mujeres. Las elecciones proporcionan la oportunidad de crear conciencia sobre cuestiones pertinentes a la mujer y promover el adelanto de la mujer, como parte de una estrategia nacional coherente encaminada a aumentar la participación femenina en las esferas política, econ</w:t>
      </w:r>
      <w:r>
        <w:t>ó</w:t>
      </w:r>
      <w:r>
        <w:t>mica, social y cultural. También se han adoptado med</w:t>
      </w:r>
      <w:r>
        <w:t>i</w:t>
      </w:r>
      <w:r>
        <w:t>das para mejorar los niveles educacionales de la mujer, garantizar un igual acceso a la educación, la cultura y los deportes, reformar los currículos escolares, velar por el igual trato a las niñas y los niños varones en las escuelas y cambiar las actitudes en la comunidad y la familia.</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Además, se crearon programas a fin de mejorar las aptitudes para la crianza de los hijos, se revisaron los programas de formación de maestros, se designó a mayor cantidad de mujeres como profesoras universit</w:t>
      </w:r>
      <w:r>
        <w:t>a</w:t>
      </w:r>
      <w:r>
        <w:t>rias y la FMC estableció programas de asesoramiento en beneficio de las familias y las mujeres. El tema su</w:t>
      </w:r>
      <w:r>
        <w:t>b</w:t>
      </w:r>
      <w:r>
        <w:t>yacente a esos programas y a toda la legislación pert</w:t>
      </w:r>
      <w:r>
        <w:t>i</w:t>
      </w:r>
      <w:r>
        <w:t>nente es la igualdad fundamental de hombres y muj</w:t>
      </w:r>
      <w:r>
        <w:t>e</w:t>
      </w:r>
      <w:r>
        <w:t>res, así como el importante papel que también los hombres deben desempeñar en el adelanto de la mujer.</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Naturalmente, la discriminación y la desigualdad aún no se han eliminado y persisten varias actitudes tradicionales. Sin embargo, gracias a la mayor educ</w:t>
      </w:r>
      <w:r>
        <w:t>a</w:t>
      </w:r>
      <w:r>
        <w:t>ción y creación de conciencia, las actitudes están ca</w:t>
      </w:r>
      <w:r>
        <w:t>m</w:t>
      </w:r>
      <w:r>
        <w:t>biando y el Gobierno está haciendo todo lo posible por acelerar el proceso de cambio. Con respecto a los l</w:t>
      </w:r>
      <w:r>
        <w:t>i</w:t>
      </w:r>
      <w:r>
        <w:t>bros de texto escolares, la oradora señala que se ha r</w:t>
      </w:r>
      <w:r>
        <w:t>e</w:t>
      </w:r>
      <w:r>
        <w:t>visado el contenido pero, lamentablemente, como r</w:t>
      </w:r>
      <w:r>
        <w:t>e</w:t>
      </w:r>
      <w:r>
        <w:t>sultado del embargo, el Gobierno no siempre dispone de los recursos necesarios para imprimir cantidades s</w:t>
      </w:r>
      <w:r>
        <w:t>u</w:t>
      </w:r>
      <w:r>
        <w:t>ficientes de libros. Por lo tanto, se está haciendo todo lo posible para capacitar al personal docente en las nuevas metodologías, de modo de inculcar en los est</w:t>
      </w:r>
      <w:r>
        <w:t>u</w:t>
      </w:r>
      <w:r>
        <w:t>diantes una actitud crítica acerca de los estereotipos. Las escuelas también colaboran con padres y madres para que ellos tengan más conciencia de los estereot</w:t>
      </w:r>
      <w:r>
        <w:t>i</w:t>
      </w:r>
      <w:r>
        <w:t>pos, de modo que no haya contradicción entre lo que los estudiantes aprenden en la escuela y lo que ocurre en sus familias.</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En lo que respecta a las guarderías para ayudar a las madres que trabajan, desde los comienzos de la r</w:t>
      </w:r>
      <w:r>
        <w:t>e</w:t>
      </w:r>
      <w:r>
        <w:t>volución se contó con programas al respecto y post</w:t>
      </w:r>
      <w:r>
        <w:t>e</w:t>
      </w:r>
      <w:r>
        <w:t>riormente se elaboraron metodologías de atención de niños de hasta cinco años de edad. Pese a las dificult</w:t>
      </w:r>
      <w:r>
        <w:t>a</w:t>
      </w:r>
      <w:r>
        <w:t>des económicas creadas por el embargo a fines del d</w:t>
      </w:r>
      <w:r>
        <w:t>e</w:t>
      </w:r>
      <w:r>
        <w:t>cenio de 1980, el Gobierno se negó a cerrar ninguna guardería. Actualmente, están matriculados en progr</w:t>
      </w:r>
      <w:r>
        <w:t>a</w:t>
      </w:r>
      <w:r>
        <w:t>mas de guarderías infantiles casi 300.000 niños, es d</w:t>
      </w:r>
      <w:r>
        <w:t>e</w:t>
      </w:r>
      <w:r>
        <w:t>cir, un 30% de los niños de hasta cinco años de edad.</w:t>
      </w:r>
    </w:p>
    <w:p w:rsidR="00C162DF" w:rsidRDefault="00C162DF">
      <w:pPr>
        <w:pStyle w:val="DualTxt"/>
        <w:numPr>
          <w:ilvl w:val="0"/>
          <w:numId w:val="2"/>
        </w:numPr>
        <w:tabs>
          <w:tab w:val="clear" w:pos="960"/>
          <w:tab w:val="left" w:pos="475"/>
          <w:tab w:val="left" w:pos="965"/>
          <w:tab w:val="left" w:pos="1440"/>
          <w:tab w:val="left" w:pos="1915"/>
          <w:tab w:val="left" w:pos="2405"/>
          <w:tab w:val="left" w:pos="2880"/>
          <w:tab w:val="left" w:pos="3355"/>
        </w:tabs>
      </w:pPr>
      <w:r>
        <w:t>También se dispone de otros programas, extraof</w:t>
      </w:r>
      <w:r>
        <w:t>i</w:t>
      </w:r>
      <w:r>
        <w:t>ciales, voluntarios y de base comunitaria, a fin de pr</w:t>
      </w:r>
      <w:r>
        <w:t>e</w:t>
      </w:r>
      <w:r>
        <w:t>parar a los demás niños para la escuela. Por ejemplo, la FMC cuenta con unos 9.000 voluntarios en comunid</w:t>
      </w:r>
      <w:r>
        <w:t>a</w:t>
      </w:r>
      <w:r>
        <w:t>des de todo el país y, gracias a la solidaridad demostr</w:t>
      </w:r>
      <w:r>
        <w:t>a</w:t>
      </w:r>
      <w:r>
        <w:t>da por las comunidades y las familias, los niños rec</w:t>
      </w:r>
      <w:r>
        <w:t>i</w:t>
      </w:r>
      <w:r>
        <w:t>ben al menos la preparación mínima necesaria para la escuela. Además, con la aprobación de los Ministerios de Salud y Educación, pueden crearse servicios trans</w:t>
      </w:r>
      <w:r>
        <w:t>i</w:t>
      </w:r>
      <w:r>
        <w:t>torios para cuidar a los niños a nivel sectorial, por ejemplo, durante la cosecha de café o de azúcar, cua</w:t>
      </w:r>
      <w:r>
        <w:t>n</w:t>
      </w:r>
      <w:r>
        <w:t>do muchas mujeres trabajan. Las guarderías infantiles no son totalmente gratuitas, pero el costo se basa en la capacidad de pago de la familia y nadie gasta más de un 10% de su ingreso.</w:t>
      </w:r>
    </w:p>
    <w:p w:rsidR="00C162DF" w:rsidRDefault="00C162DF">
      <w:pPr>
        <w:pStyle w:val="DualTxt"/>
        <w:rPr>
          <w:i/>
        </w:rPr>
      </w:pPr>
      <w:r>
        <w:rPr>
          <w:i/>
        </w:rPr>
        <w:t>Se levanta la sesión a las 13.00 horas.</w:t>
      </w:r>
    </w:p>
    <w:sectPr w:rsidR="00C162DF">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517C7E" w:rsidRPr="00EA4C3D" w:rsidRDefault="00517C7E">
      <w:pPr>
        <w:pStyle w:val="CommentText"/>
        <w:rPr>
          <w:lang w:val="en-US"/>
        </w:rPr>
      </w:pPr>
      <w:r>
        <w:fldChar w:fldCharType="begin"/>
      </w:r>
      <w:r w:rsidRPr="00EA4C3D">
        <w:rPr>
          <w:lang w:val="en-US"/>
        </w:rPr>
        <w:instrText>PAGE \# "'Page: '#'</w:instrText>
      </w:r>
      <w:r w:rsidRPr="00EA4C3D">
        <w:rPr>
          <w:lang w:val="en-US"/>
        </w:rPr>
        <w:br/>
        <w:instrText>'"</w:instrText>
      </w:r>
      <w:r w:rsidRPr="00EA4C3D">
        <w:rPr>
          <w:rStyle w:val="CommentReference"/>
          <w:lang w:val="en-US"/>
        </w:rPr>
        <w:instrText xml:space="preserve">  </w:instrText>
      </w:r>
      <w:r>
        <w:fldChar w:fldCharType="end"/>
      </w:r>
      <w:r>
        <w:rPr>
          <w:rStyle w:val="CommentReference"/>
        </w:rPr>
        <w:annotationRef/>
      </w:r>
      <w:r w:rsidRPr="00EA4C3D">
        <w:rPr>
          <w:lang w:val="en-US"/>
        </w:rPr>
        <w:t>&lt;&lt;ODS JOB NO&gt;&gt;N0048835S&lt;&lt;ODS JOB NO&gt;&gt;</w:t>
      </w:r>
    </w:p>
    <w:p w:rsidR="00517C7E" w:rsidRPr="00EA4C3D" w:rsidRDefault="00517C7E">
      <w:pPr>
        <w:pStyle w:val="CommentText"/>
        <w:rPr>
          <w:lang w:val="en-US"/>
        </w:rPr>
      </w:pPr>
      <w:r w:rsidRPr="00EA4C3D">
        <w:rPr>
          <w:lang w:val="en-US"/>
        </w:rPr>
        <w:t>&lt;&lt;ODS DOC SYMBOL1&gt;&gt;CEDAW/C/SR.474&lt;&lt;ODS DOC SYMBOL1&gt;&gt;</w:t>
      </w:r>
    </w:p>
    <w:p w:rsidR="00517C7E" w:rsidRPr="00EA4C3D" w:rsidRDefault="00517C7E">
      <w:pPr>
        <w:pStyle w:val="CommentText"/>
        <w:rPr>
          <w:lang w:val="en-US"/>
        </w:rPr>
      </w:pPr>
      <w:r w:rsidRPr="00EA4C3D">
        <w:rPr>
          <w:lang w:val="en-US"/>
        </w:rPr>
        <w:t>&lt;&lt;ODS DOC SYMBOL2&gt;&gt;&lt;&lt;ODS DOC SYMBOL2&gt;&gt;</w:t>
      </w:r>
    </w:p>
  </w:comment>
  <w:comment w:id="0" w:author="GACM User" w:date="2006-06-19T22:06:00Z" w:initials="GU">
    <w:p w:rsidR="00517C7E" w:rsidRPr="00517C7E" w:rsidRDefault="00517C7E">
      <w:pPr>
        <w:pStyle w:val="CommentText"/>
        <w:rPr>
          <w:lang w:val="en-US"/>
        </w:rPr>
      </w:pPr>
      <w:r>
        <w:fldChar w:fldCharType="begin"/>
      </w:r>
      <w:r w:rsidRPr="00517C7E">
        <w:rPr>
          <w:rStyle w:val="CommentReference"/>
          <w:lang w:val="en-US"/>
        </w:rPr>
        <w:instrText xml:space="preserve"> </w:instrText>
      </w:r>
      <w:r w:rsidRPr="00517C7E">
        <w:rPr>
          <w:lang w:val="en-US"/>
        </w:rPr>
        <w:instrText>PAGE \# "'Page: '#'</w:instrText>
      </w:r>
      <w:r w:rsidRPr="00517C7E">
        <w:rPr>
          <w:lang w:val="en-US"/>
        </w:rPr>
        <w:br/>
        <w:instrText>'"</w:instrText>
      </w:r>
      <w:r w:rsidRPr="00517C7E">
        <w:rPr>
          <w:rStyle w:val="CommentReference"/>
          <w:lang w:val="en-US"/>
        </w:rPr>
        <w:instrText xml:space="preserve"> </w:instrText>
      </w:r>
      <w:r>
        <w:fldChar w:fldCharType="end"/>
      </w:r>
      <w:r>
        <w:rPr>
          <w:rStyle w:val="CommentReference"/>
        </w:rPr>
        <w:annotationRef/>
      </w:r>
      <w:r w:rsidRPr="00517C7E">
        <w:rPr>
          <w:lang w:val="en-US"/>
        </w:rPr>
        <w:t>&lt;&lt;ODS JOB NO&gt;&gt;N0048835S&lt;&lt;ODS JOB NO&gt;&gt;</w:t>
      </w:r>
    </w:p>
    <w:p w:rsidR="00517C7E" w:rsidRPr="00517C7E" w:rsidRDefault="00517C7E">
      <w:pPr>
        <w:pStyle w:val="CommentText"/>
        <w:rPr>
          <w:lang w:val="en-US"/>
        </w:rPr>
      </w:pPr>
      <w:r w:rsidRPr="00517C7E">
        <w:rPr>
          <w:lang w:val="en-US"/>
        </w:rPr>
        <w:t>&lt;&lt;ODS DOC SYMBOL1&gt;&gt;CEDAW/C/SR.474&lt;&lt;ODS DOC SYMBOL1&gt;&gt;</w:t>
      </w:r>
    </w:p>
    <w:p w:rsidR="00517C7E" w:rsidRPr="00517C7E" w:rsidRDefault="00517C7E">
      <w:pPr>
        <w:pStyle w:val="CommentText"/>
        <w:rPr>
          <w:lang w:val="en-US"/>
        </w:rPr>
      </w:pPr>
      <w:r w:rsidRPr="00517C7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774" w:rsidRPr="007E00CA" w:rsidRDefault="00506774" w:rsidP="00C162DF">
      <w:pPr>
        <w:rPr>
          <w:sz w:val="14"/>
        </w:rPr>
      </w:pPr>
      <w:r>
        <w:separator/>
      </w:r>
    </w:p>
  </w:endnote>
  <w:endnote w:type="continuationSeparator" w:id="0">
    <w:p w:rsidR="00506774" w:rsidRPr="007E00CA" w:rsidRDefault="00506774" w:rsidP="00C162DF">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17C7E">
      <w:tblPrEx>
        <w:tblCellMar>
          <w:top w:w="0" w:type="dxa"/>
          <w:bottom w:w="0" w:type="dxa"/>
        </w:tblCellMar>
      </w:tblPrEx>
      <w:tc>
        <w:tcPr>
          <w:tcW w:w="5033" w:type="dxa"/>
          <w:vAlign w:val="bottom"/>
        </w:tcPr>
        <w:p w:rsidR="00517C7E" w:rsidRDefault="00517C7E">
          <w:pPr>
            <w:pStyle w:val="Footer"/>
          </w:pPr>
          <w:r>
            <w:fldChar w:fldCharType="begin"/>
          </w:r>
          <w:r>
            <w:instrText xml:space="preserve"> PAGE  \* MERGEFORMAT </w:instrText>
          </w:r>
          <w:r>
            <w:fldChar w:fldCharType="separate"/>
          </w:r>
          <w:r w:rsidR="008E5C4A">
            <w:t>6</w:t>
          </w:r>
          <w:r>
            <w:fldChar w:fldCharType="end"/>
          </w:r>
        </w:p>
      </w:tc>
      <w:tc>
        <w:tcPr>
          <w:tcW w:w="5033" w:type="dxa"/>
          <w:vAlign w:val="bottom"/>
        </w:tcPr>
        <w:p w:rsidR="00517C7E" w:rsidRDefault="00517C7E">
          <w:pPr>
            <w:pStyle w:val="Footer"/>
            <w:jc w:val="right"/>
            <w:rPr>
              <w:b w:val="0"/>
              <w:sz w:val="14"/>
            </w:rPr>
          </w:pPr>
        </w:p>
      </w:tc>
    </w:tr>
  </w:tbl>
  <w:p w:rsidR="00517C7E" w:rsidRDefault="00517C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17C7E">
      <w:tblPrEx>
        <w:tblCellMar>
          <w:top w:w="0" w:type="dxa"/>
          <w:bottom w:w="0" w:type="dxa"/>
        </w:tblCellMar>
      </w:tblPrEx>
      <w:tc>
        <w:tcPr>
          <w:tcW w:w="5033" w:type="dxa"/>
          <w:vAlign w:val="bottom"/>
        </w:tcPr>
        <w:p w:rsidR="00517C7E" w:rsidRDefault="00517C7E">
          <w:pPr>
            <w:pStyle w:val="Footer"/>
            <w:rPr>
              <w:b w:val="0"/>
              <w:sz w:val="14"/>
            </w:rPr>
          </w:pPr>
        </w:p>
      </w:tc>
      <w:tc>
        <w:tcPr>
          <w:tcW w:w="5033" w:type="dxa"/>
          <w:vAlign w:val="bottom"/>
        </w:tcPr>
        <w:p w:rsidR="00517C7E" w:rsidRDefault="00517C7E">
          <w:pPr>
            <w:pStyle w:val="Footer"/>
            <w:jc w:val="right"/>
          </w:pPr>
          <w:r>
            <w:fldChar w:fldCharType="begin"/>
          </w:r>
          <w:r>
            <w:instrText xml:space="preserve"> PAGE  \* MERGEFORMAT </w:instrText>
          </w:r>
          <w:r>
            <w:fldChar w:fldCharType="separate"/>
          </w:r>
          <w:r w:rsidR="008E5C4A">
            <w:t>5</w:t>
          </w:r>
          <w:r>
            <w:fldChar w:fldCharType="end"/>
          </w:r>
        </w:p>
      </w:tc>
    </w:tr>
  </w:tbl>
  <w:p w:rsidR="00517C7E" w:rsidRDefault="00517C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C7E" w:rsidRDefault="00517C7E">
    <w:pPr>
      <w:pStyle w:val="Footer"/>
      <w:pBdr>
        <w:top w:val="single" w:sz="2" w:space="1" w:color="auto"/>
      </w:pBdr>
      <w:rPr>
        <w:sz w:val="2"/>
      </w:rPr>
    </w:pPr>
  </w:p>
  <w:p w:rsidR="00517C7E" w:rsidRDefault="00517C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17C7E" w:rsidRDefault="00517C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17C7E" w:rsidRDefault="00517C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17C7E" w:rsidRDefault="00517C7E">
    <w:pPr>
      <w:pStyle w:val="FootnoteText"/>
      <w:spacing w:line="120" w:lineRule="exact"/>
      <w:ind w:left="1267" w:right="1267" w:firstLine="0"/>
      <w:rPr>
        <w:sz w:val="10"/>
      </w:rPr>
    </w:pPr>
  </w:p>
  <w:p w:rsidR="00517C7E" w:rsidRDefault="00517C7E">
    <w:pPr>
      <w:pStyle w:val="Footer"/>
      <w:rPr>
        <w:b w:val="0"/>
        <w:sz w:val="20"/>
      </w:rPr>
    </w:pPr>
    <w:r>
      <w:rPr>
        <w:b w:val="0"/>
        <w:sz w:val="20"/>
      </w:rPr>
      <w:t>00-48835 (S)</w:t>
    </w:r>
  </w:p>
  <w:p w:rsidR="00517C7E" w:rsidRPr="00517C7E" w:rsidRDefault="00517C7E">
    <w:pPr>
      <w:pStyle w:val="Footer"/>
      <w:rPr>
        <w:rFonts w:ascii="Barcode 3 of 9 by request" w:hAnsi="Barcode 3 of 9 by request"/>
        <w:b w:val="0"/>
        <w:sz w:val="20"/>
      </w:rPr>
    </w:pPr>
    <w:r>
      <w:rPr>
        <w:rFonts w:ascii="Barcode 3 of 9 by request" w:hAnsi="Barcode 3 of 9 by request"/>
        <w:b w:val="0"/>
        <w:sz w:val="20"/>
      </w:rPr>
      <w:t>0048835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774" w:rsidRPr="007E00CA" w:rsidRDefault="00506774" w:rsidP="00C162DF">
      <w:pPr>
        <w:rPr>
          <w:sz w:val="14"/>
        </w:rPr>
      </w:pPr>
      <w:r>
        <w:separator/>
      </w:r>
    </w:p>
  </w:footnote>
  <w:footnote w:type="continuationSeparator" w:id="0">
    <w:p w:rsidR="00506774" w:rsidRPr="007E00CA" w:rsidRDefault="00506774" w:rsidP="00C162DF">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C7E" w:rsidRDefault="00517C7E">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517C7E">
                  <w:tblPrEx>
                    <w:tblCellMar>
                      <w:top w:w="0" w:type="dxa"/>
                      <w:left w:w="0" w:type="dxa"/>
                      <w:bottom w:w="0" w:type="dxa"/>
                      <w:right w:w="0" w:type="dxa"/>
                    </w:tblCellMar>
                  </w:tblPrEx>
                  <w:trPr>
                    <w:trHeight w:hRule="exact" w:val="864"/>
                  </w:trPr>
                  <w:tc>
                    <w:tcPr>
                      <w:tcW w:w="4838" w:type="dxa"/>
                      <w:vAlign w:val="bottom"/>
                    </w:tcPr>
                    <w:p w:rsidR="00517C7E" w:rsidRDefault="00517C7E">
                      <w:pPr>
                        <w:pStyle w:val="Header"/>
                        <w:spacing w:after="80"/>
                        <w:rPr>
                          <w:b/>
                        </w:rPr>
                      </w:pPr>
                      <w:r>
                        <w:rPr>
                          <w:b/>
                        </w:rPr>
                        <w:t>CEDAW/C/SR.474</w:t>
                      </w:r>
                    </w:p>
                  </w:tc>
                  <w:tc>
                    <w:tcPr>
                      <w:tcW w:w="5047" w:type="dxa"/>
                      <w:vAlign w:val="bottom"/>
                    </w:tcPr>
                    <w:p w:rsidR="00517C7E" w:rsidRDefault="00517C7E">
                      <w:pPr>
                        <w:pStyle w:val="Header"/>
                      </w:pPr>
                    </w:p>
                  </w:tc>
                </w:tr>
              </w:tbl>
              <w:p w:rsidR="00517C7E" w:rsidRDefault="00517C7E"/>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C7E" w:rsidRDefault="00517C7E">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517C7E">
                  <w:tblPrEx>
                    <w:tblCellMar>
                      <w:top w:w="0" w:type="dxa"/>
                      <w:left w:w="0" w:type="dxa"/>
                      <w:bottom w:w="0" w:type="dxa"/>
                      <w:right w:w="0" w:type="dxa"/>
                    </w:tblCellMar>
                  </w:tblPrEx>
                  <w:trPr>
                    <w:trHeight w:hRule="exact" w:val="864"/>
                  </w:trPr>
                  <w:tc>
                    <w:tcPr>
                      <w:tcW w:w="4838" w:type="dxa"/>
                      <w:vAlign w:val="bottom"/>
                    </w:tcPr>
                    <w:p w:rsidR="00517C7E" w:rsidRDefault="00517C7E">
                      <w:pPr>
                        <w:pStyle w:val="Header"/>
                      </w:pPr>
                    </w:p>
                  </w:tc>
                  <w:tc>
                    <w:tcPr>
                      <w:tcW w:w="5047" w:type="dxa"/>
                      <w:vAlign w:val="bottom"/>
                    </w:tcPr>
                    <w:p w:rsidR="00517C7E" w:rsidRDefault="00517C7E">
                      <w:pPr>
                        <w:pStyle w:val="Header"/>
                        <w:spacing w:after="80"/>
                        <w:jc w:val="right"/>
                        <w:rPr>
                          <w:b/>
                        </w:rPr>
                      </w:pPr>
                      <w:r>
                        <w:rPr>
                          <w:b/>
                        </w:rPr>
                        <w:t>CEDAW/C/SR.474</w:t>
                      </w:r>
                    </w:p>
                  </w:tc>
                </w:tr>
              </w:tbl>
              <w:p w:rsidR="00517C7E" w:rsidRDefault="00517C7E"/>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17C7E">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517C7E" w:rsidRDefault="00517C7E">
          <w:pPr>
            <w:pStyle w:val="Header"/>
            <w:spacing w:after="120"/>
          </w:pPr>
        </w:p>
      </w:tc>
      <w:tc>
        <w:tcPr>
          <w:tcW w:w="2059" w:type="dxa"/>
          <w:tcBorders>
            <w:top w:val="nil"/>
            <w:left w:val="nil"/>
            <w:bottom w:val="nil"/>
            <w:right w:val="nil"/>
          </w:tcBorders>
          <w:vAlign w:val="bottom"/>
        </w:tcPr>
        <w:p w:rsidR="00517C7E" w:rsidRDefault="00517C7E">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517C7E" w:rsidRDefault="00517C7E">
          <w:pPr>
            <w:pStyle w:val="Header"/>
            <w:spacing w:after="120"/>
          </w:pPr>
        </w:p>
      </w:tc>
      <w:tc>
        <w:tcPr>
          <w:tcW w:w="6523" w:type="dxa"/>
          <w:gridSpan w:val="3"/>
          <w:tcBorders>
            <w:top w:val="nil"/>
            <w:left w:val="nil"/>
            <w:bottom w:val="nil"/>
            <w:right w:val="nil"/>
          </w:tcBorders>
          <w:vAlign w:val="bottom"/>
        </w:tcPr>
        <w:p w:rsidR="00517C7E" w:rsidRDefault="00517C7E">
          <w:pPr>
            <w:spacing w:after="80" w:line="240" w:lineRule="auto"/>
            <w:jc w:val="right"/>
            <w:rPr>
              <w:position w:val="-4"/>
            </w:rPr>
          </w:pPr>
          <w:r>
            <w:rPr>
              <w:position w:val="-4"/>
              <w:sz w:val="40"/>
            </w:rPr>
            <w:t>CEDAW</w:t>
          </w:r>
          <w:r>
            <w:rPr>
              <w:position w:val="-4"/>
            </w:rPr>
            <w:t>/C/SR.474</w:t>
          </w:r>
        </w:p>
      </w:tc>
    </w:tr>
    <w:tr w:rsidR="00517C7E">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517C7E" w:rsidRDefault="00517C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517C7E" w:rsidRDefault="00517C7E">
          <w:pPr>
            <w:pStyle w:val="Header"/>
            <w:spacing w:before="109"/>
          </w:pPr>
        </w:p>
      </w:tc>
      <w:tc>
        <w:tcPr>
          <w:tcW w:w="5227" w:type="dxa"/>
          <w:gridSpan w:val="3"/>
          <w:tcBorders>
            <w:left w:val="nil"/>
            <w:bottom w:val="single" w:sz="12" w:space="0" w:color="auto"/>
            <w:right w:val="nil"/>
          </w:tcBorders>
        </w:tcPr>
        <w:p w:rsidR="00517C7E" w:rsidRDefault="00517C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517C7E" w:rsidRPr="00EA4C3D" w:rsidRDefault="00517C7E">
          <w:pPr>
            <w:pStyle w:val="Header"/>
            <w:spacing w:before="109"/>
            <w:rPr>
              <w:lang w:val="es-ES"/>
            </w:rPr>
          </w:pPr>
        </w:p>
      </w:tc>
      <w:tc>
        <w:tcPr>
          <w:tcW w:w="3180" w:type="dxa"/>
          <w:gridSpan w:val="2"/>
          <w:tcBorders>
            <w:left w:val="nil"/>
            <w:bottom w:val="single" w:sz="12" w:space="0" w:color="auto"/>
            <w:right w:val="nil"/>
          </w:tcBorders>
        </w:tcPr>
        <w:p w:rsidR="00517C7E" w:rsidRDefault="00517C7E">
          <w:pPr>
            <w:spacing w:before="240"/>
          </w:pPr>
          <w:r>
            <w:t>Distr. general</w:t>
          </w:r>
        </w:p>
        <w:p w:rsidR="00517C7E" w:rsidRDefault="00517C7E">
          <w:r>
            <w:t>27 de julio de 2001</w:t>
          </w:r>
        </w:p>
        <w:p w:rsidR="00517C7E" w:rsidRDefault="00517C7E">
          <w:r>
            <w:t>Español</w:t>
          </w:r>
        </w:p>
        <w:p w:rsidR="00517C7E" w:rsidRDefault="00517C7E">
          <w:r>
            <w:t>Original: inglés</w:t>
          </w:r>
        </w:p>
      </w:tc>
    </w:tr>
  </w:tbl>
  <w:p w:rsidR="00517C7E" w:rsidRDefault="00517C7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1322B4"/>
    <w:multiLevelType w:val="singleLevel"/>
    <w:tmpl w:val="1FFEA130"/>
    <w:lvl w:ilvl="0">
      <w:start w:val="1"/>
      <w:numFmt w:val="decimal"/>
      <w:lvlText w:val="%1."/>
      <w:lvlJc w:val="left"/>
      <w:pPr>
        <w:tabs>
          <w:tab w:val="num" w:pos="360"/>
        </w:tabs>
        <w:ind w:left="0" w:firstLine="0"/>
      </w:pPr>
    </w:lvl>
  </w:abstractNum>
  <w:abstractNum w:abstractNumId="1">
    <w:nsid w:val="643225F6"/>
    <w:multiLevelType w:val="singleLevel"/>
    <w:tmpl w:val="B20045D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1/2006 6:55: PM"/>
    <w:docVar w:name="DocCategory" w:val="SROthers"/>
    <w:docVar w:name="DocType" w:val="Final"/>
    <w:docVar w:name="JobNo" w:val="0048835S"/>
    <w:docVar w:name="OandT" w:val="pl"/>
    <w:docVar w:name="Symbol1" w:val="CEDAW/C/SR.474"/>
    <w:docVar w:name="Symbol2" w:val="-"/>
  </w:docVars>
  <w:rsids>
    <w:rsidRoot w:val="00EA4C3D"/>
    <w:rsid w:val="003765FE"/>
    <w:rsid w:val="00506774"/>
    <w:rsid w:val="00517C7E"/>
    <w:rsid w:val="008E5C4A"/>
    <w:rsid w:val="00C162DF"/>
    <w:rsid w:val="00DA2355"/>
    <w:rsid w:val="00EA4C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EA4C3D"/>
    <w:rPr>
      <w:rFonts w:ascii="Tahoma" w:hAnsi="Tahoma" w:cs="Tahoma"/>
      <w:sz w:val="16"/>
      <w:szCs w:val="16"/>
    </w:rPr>
  </w:style>
  <w:style w:type="paragraph" w:styleId="CommentSubject">
    <w:name w:val="annotation subject"/>
    <w:basedOn w:val="CommentText"/>
    <w:next w:val="CommentText"/>
    <w:semiHidden/>
    <w:rsid w:val="00517C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3831</Words>
  <Characters>19811</Characters>
  <Application>Microsoft Office Word</Application>
  <DocSecurity>4</DocSecurity>
  <Lines>483</Lines>
  <Paragraphs>54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23588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GACM User</cp:lastModifiedBy>
  <cp:revision>8</cp:revision>
  <cp:lastPrinted>2006-06-19T21:06:00Z</cp:lastPrinted>
  <dcterms:created xsi:type="dcterms:W3CDTF">2006-06-19T21:06:00Z</dcterms:created>
  <dcterms:modified xsi:type="dcterms:W3CDTF">2006-06-19T21:07:00Z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0048835</vt:lpwstr>
  </property>
  <property fmtid="{D5CDD505-2E9C-101B-9397-08002B2CF9AE}" pid="3" name="Symbol1">
    <vt:lpwstr>CEDAW/C/SR.474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pl/pola</vt:lpwstr>
  </property>
</Properties>
</file>