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0B2FE866" w14:textId="77777777" w:rsidTr="009D5F1A">
        <w:trPr>
          <w:trHeight w:hRule="exact" w:val="851"/>
        </w:trPr>
        <w:tc>
          <w:tcPr>
            <w:tcW w:w="1276" w:type="dxa"/>
            <w:tcBorders>
              <w:bottom w:val="single" w:sz="4" w:space="0" w:color="auto"/>
            </w:tcBorders>
          </w:tcPr>
          <w:p w14:paraId="665D5D0A" w14:textId="77777777" w:rsidR="00DC0149" w:rsidRPr="00DB58B5" w:rsidRDefault="00DC0149" w:rsidP="006F5381">
            <w:bookmarkStart w:id="0" w:name="_Hlk107561450"/>
          </w:p>
        </w:tc>
        <w:tc>
          <w:tcPr>
            <w:tcW w:w="2268" w:type="dxa"/>
            <w:tcBorders>
              <w:bottom w:val="single" w:sz="4" w:space="0" w:color="auto"/>
            </w:tcBorders>
            <w:vAlign w:val="bottom"/>
          </w:tcPr>
          <w:p w14:paraId="26C7258C"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0F82854" w14:textId="6157606B" w:rsidR="00DC0149" w:rsidRPr="00DB58B5" w:rsidRDefault="006F5381" w:rsidP="006F5381">
            <w:pPr>
              <w:jc w:val="right"/>
            </w:pPr>
            <w:r w:rsidRPr="006F5381">
              <w:rPr>
                <w:sz w:val="40"/>
              </w:rPr>
              <w:t>CERD</w:t>
            </w:r>
            <w:r>
              <w:t>/C/SUR/Q/16-18</w:t>
            </w:r>
          </w:p>
        </w:tc>
      </w:tr>
      <w:tr w:rsidR="00DC0149" w:rsidRPr="00DB58B5" w14:paraId="4C777C65" w14:textId="77777777" w:rsidTr="009D5F1A">
        <w:trPr>
          <w:trHeight w:hRule="exact" w:val="2835"/>
        </w:trPr>
        <w:tc>
          <w:tcPr>
            <w:tcW w:w="1276" w:type="dxa"/>
            <w:tcBorders>
              <w:top w:val="single" w:sz="4" w:space="0" w:color="auto"/>
              <w:bottom w:val="single" w:sz="12" w:space="0" w:color="auto"/>
            </w:tcBorders>
          </w:tcPr>
          <w:p w14:paraId="47F34847" w14:textId="77777777" w:rsidR="00DC0149" w:rsidRPr="00DB58B5" w:rsidRDefault="00DC0149" w:rsidP="009D5F1A">
            <w:pPr>
              <w:spacing w:before="120"/>
              <w:jc w:val="center"/>
            </w:pPr>
            <w:r>
              <w:rPr>
                <w:noProof/>
                <w:lang w:eastAsia="fr-CH"/>
              </w:rPr>
              <w:drawing>
                <wp:inline distT="0" distB="0" distL="0" distR="0" wp14:anchorId="5EF8C140" wp14:editId="081A8AB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28A09C"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7CBB09A1" w14:textId="77777777" w:rsidR="00DC0149" w:rsidRDefault="006F5381" w:rsidP="009D5F1A">
            <w:pPr>
              <w:spacing w:before="240"/>
            </w:pPr>
            <w:r>
              <w:t>Distr. générale</w:t>
            </w:r>
          </w:p>
          <w:p w14:paraId="0513E3BA" w14:textId="77777777" w:rsidR="006F5381" w:rsidRDefault="006F5381" w:rsidP="006F5381">
            <w:pPr>
              <w:spacing w:line="240" w:lineRule="exact"/>
            </w:pPr>
            <w:r>
              <w:t>23 juin 2022</w:t>
            </w:r>
          </w:p>
          <w:p w14:paraId="78616142" w14:textId="77777777" w:rsidR="006F5381" w:rsidRDefault="006F5381" w:rsidP="006F5381">
            <w:pPr>
              <w:spacing w:line="240" w:lineRule="exact"/>
            </w:pPr>
            <w:r>
              <w:t>Français</w:t>
            </w:r>
          </w:p>
          <w:p w14:paraId="46A17D91" w14:textId="77777777" w:rsidR="006F5381" w:rsidRDefault="006F5381" w:rsidP="006F5381">
            <w:pPr>
              <w:spacing w:line="240" w:lineRule="exact"/>
            </w:pPr>
            <w:r>
              <w:t>Original : anglais</w:t>
            </w:r>
          </w:p>
          <w:p w14:paraId="40A67230" w14:textId="3C5AEDEE" w:rsidR="006F5381" w:rsidRPr="00DB58B5" w:rsidRDefault="006F5381" w:rsidP="006F5381">
            <w:pPr>
              <w:spacing w:line="240" w:lineRule="exact"/>
            </w:pPr>
            <w:r>
              <w:rPr>
                <w:lang w:val="fr-FR"/>
              </w:rPr>
              <w:t>Anglais, espagnol et français seulement</w:t>
            </w:r>
          </w:p>
        </w:tc>
      </w:tr>
    </w:tbl>
    <w:p w14:paraId="1EEC0A2E" w14:textId="77777777" w:rsidR="00623CA8" w:rsidRDefault="00623CA8" w:rsidP="00623CA8">
      <w:pPr>
        <w:spacing w:before="120"/>
        <w:rPr>
          <w:b/>
          <w:sz w:val="24"/>
          <w:szCs w:val="24"/>
        </w:rPr>
      </w:pPr>
      <w:r w:rsidRPr="00C56102">
        <w:rPr>
          <w:b/>
          <w:sz w:val="24"/>
          <w:szCs w:val="24"/>
        </w:rPr>
        <w:t>Comité pour l’élimination de la discrimination raciale</w:t>
      </w:r>
    </w:p>
    <w:bookmarkEnd w:id="0"/>
    <w:p w14:paraId="7F38C7DB" w14:textId="29FE1E4A" w:rsidR="00CA2A6E" w:rsidRPr="00D01FCD" w:rsidRDefault="00CA2A6E" w:rsidP="00CA2A6E">
      <w:pPr>
        <w:rPr>
          <w:b/>
          <w:bCs/>
          <w:color w:val="000000" w:themeColor="text1"/>
          <w:shd w:val="clear" w:color="000000" w:fill="FFFFFF"/>
        </w:rPr>
      </w:pPr>
      <w:r>
        <w:rPr>
          <w:b/>
          <w:bCs/>
          <w:lang w:val="fr-FR"/>
        </w:rPr>
        <w:t>107</w:t>
      </w:r>
      <w:r w:rsidRPr="00CA2A6E">
        <w:rPr>
          <w:b/>
          <w:bCs/>
          <w:vertAlign w:val="superscript"/>
          <w:lang w:val="fr-FR"/>
        </w:rPr>
        <w:t>e</w:t>
      </w:r>
      <w:r>
        <w:rPr>
          <w:b/>
          <w:bCs/>
          <w:lang w:val="fr-FR"/>
        </w:rPr>
        <w:t xml:space="preserve"> </w:t>
      </w:r>
      <w:r>
        <w:rPr>
          <w:b/>
          <w:bCs/>
          <w:lang w:val="fr-FR"/>
        </w:rPr>
        <w:t>session</w:t>
      </w:r>
    </w:p>
    <w:p w14:paraId="405817F7" w14:textId="77777777" w:rsidR="00CA2A6E" w:rsidRPr="00D01FCD" w:rsidRDefault="00CA2A6E" w:rsidP="00CA2A6E">
      <w:pPr>
        <w:rPr>
          <w:color w:val="000000" w:themeColor="text1"/>
          <w:shd w:val="clear" w:color="000000" w:fill="FFFFFF"/>
        </w:rPr>
      </w:pPr>
      <w:r>
        <w:rPr>
          <w:lang w:val="fr-FR"/>
        </w:rPr>
        <w:t>8-30 août 2022</w:t>
      </w:r>
    </w:p>
    <w:p w14:paraId="0E9C3EDE" w14:textId="77777777" w:rsidR="00CA2A6E" w:rsidRPr="00D01FCD" w:rsidRDefault="00CA2A6E" w:rsidP="00CA2A6E">
      <w:pPr>
        <w:rPr>
          <w:color w:val="000000" w:themeColor="text1"/>
          <w:shd w:val="clear" w:color="000000" w:fill="FFFFFF"/>
        </w:rPr>
      </w:pPr>
      <w:r>
        <w:rPr>
          <w:lang w:val="fr-FR"/>
        </w:rPr>
        <w:t>Point 4 de l’ordre du jour provisoire</w:t>
      </w:r>
    </w:p>
    <w:p w14:paraId="1B247FDA" w14:textId="14DCCD49" w:rsidR="00CA2A6E" w:rsidRPr="00D01FCD" w:rsidRDefault="00CA2A6E" w:rsidP="00CA2A6E">
      <w:pPr>
        <w:rPr>
          <w:b/>
          <w:bCs/>
          <w:color w:val="000000" w:themeColor="text1"/>
          <w:shd w:val="clear" w:color="000000" w:fill="FFFFFF"/>
        </w:rPr>
      </w:pPr>
      <w:r>
        <w:rPr>
          <w:b/>
          <w:bCs/>
          <w:lang w:val="fr-FR"/>
        </w:rPr>
        <w:t xml:space="preserve">Examen des rapports, observations et renseignements soumis </w:t>
      </w:r>
      <w:r>
        <w:rPr>
          <w:b/>
          <w:bCs/>
          <w:lang w:val="fr-FR"/>
        </w:rPr>
        <w:br/>
      </w:r>
      <w:r>
        <w:rPr>
          <w:b/>
          <w:bCs/>
          <w:lang w:val="fr-FR"/>
        </w:rPr>
        <w:t>par les États parties en application de l’article 9 de la Convention</w:t>
      </w:r>
    </w:p>
    <w:p w14:paraId="62498052" w14:textId="75BC192C" w:rsidR="00CA2A6E" w:rsidRPr="00D01FCD" w:rsidRDefault="00CA2A6E" w:rsidP="00CA2A6E">
      <w:pPr>
        <w:pStyle w:val="HChG"/>
        <w:rPr>
          <w:shd w:val="clear" w:color="000000" w:fill="FFFFFF"/>
        </w:rPr>
      </w:pPr>
      <w:r>
        <w:rPr>
          <w:lang w:val="fr-FR"/>
        </w:rPr>
        <w:tab/>
      </w:r>
      <w:r>
        <w:rPr>
          <w:lang w:val="fr-FR"/>
        </w:rPr>
        <w:tab/>
        <w:t>Liste de thèmes concernant le rapport du Suriname valant seizième à dix-huitième rapports</w:t>
      </w:r>
    </w:p>
    <w:p w14:paraId="38CCB77C" w14:textId="176B9181" w:rsidR="00CA2A6E" w:rsidRPr="00D01FCD" w:rsidRDefault="00CA2A6E" w:rsidP="00CA2A6E">
      <w:pPr>
        <w:pStyle w:val="H1G"/>
        <w:rPr>
          <w:shd w:val="clear" w:color="000000" w:fill="FFFFFF"/>
        </w:rPr>
      </w:pPr>
      <w:r>
        <w:rPr>
          <w:lang w:val="fr-FR"/>
        </w:rPr>
        <w:tab/>
      </w:r>
      <w:r>
        <w:rPr>
          <w:lang w:val="fr-FR"/>
        </w:rPr>
        <w:tab/>
        <w:t xml:space="preserve">Note du </w:t>
      </w:r>
      <w:r>
        <w:rPr>
          <w:lang w:val="fr-FR"/>
        </w:rPr>
        <w:t>r</w:t>
      </w:r>
      <w:r>
        <w:rPr>
          <w:lang w:val="fr-FR"/>
        </w:rPr>
        <w:t>apporteur pour le pays</w:t>
      </w:r>
    </w:p>
    <w:p w14:paraId="20A7E6E4" w14:textId="77777777" w:rsidR="00CA2A6E" w:rsidRPr="00D01FCD" w:rsidRDefault="00CA2A6E" w:rsidP="00CA2A6E">
      <w:pPr>
        <w:pStyle w:val="SingleTxtG"/>
        <w:rPr>
          <w:shd w:val="clear" w:color="000000" w:fill="FFFFFF"/>
        </w:rPr>
      </w:pPr>
      <w:r>
        <w:rPr>
          <w:lang w:val="fr-FR"/>
        </w:rPr>
        <w:t>1.</w:t>
      </w:r>
      <w:r>
        <w:rPr>
          <w:lang w:val="fr-FR"/>
        </w:rPr>
        <w:tab/>
        <w:t>À sa soixante-seizième session</w:t>
      </w:r>
      <w:r w:rsidRPr="00D323DA">
        <w:rPr>
          <w:rStyle w:val="Appelnotedebasdep"/>
          <w:lang w:val="fr-FR"/>
        </w:rPr>
        <w:footnoteReference w:id="2"/>
      </w:r>
      <w:r>
        <w:rPr>
          <w:lang w:val="fr-FR"/>
        </w:rPr>
        <w:t>, le Comité pour l’élimination de la discrimination raciale a décidé que le rapporteur pour le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14:paraId="6451804F" w14:textId="77777777" w:rsidR="00CA2A6E" w:rsidRPr="00D01FCD" w:rsidRDefault="00CA2A6E" w:rsidP="00CA2A6E">
      <w:pPr>
        <w:pStyle w:val="H23G"/>
        <w:rPr>
          <w:shd w:val="clear" w:color="000000" w:fill="FFFFFF"/>
        </w:rPr>
      </w:pPr>
      <w:r>
        <w:rPr>
          <w:lang w:val="fr-FR"/>
        </w:rPr>
        <w:tab/>
      </w:r>
      <w:r>
        <w:rPr>
          <w:lang w:val="fr-FR"/>
        </w:rPr>
        <w:tab/>
      </w:r>
      <w:r>
        <w:rPr>
          <w:bCs/>
          <w:lang w:val="fr-FR"/>
        </w:rPr>
        <w:t>Statistiques</w:t>
      </w:r>
    </w:p>
    <w:p w14:paraId="25B43B7B" w14:textId="77777777" w:rsidR="00CA2A6E" w:rsidRPr="00D01FCD" w:rsidRDefault="00CA2A6E" w:rsidP="00CA2A6E">
      <w:pPr>
        <w:pStyle w:val="SingleTxtG"/>
        <w:rPr>
          <w:shd w:val="clear" w:color="000000" w:fill="FFFFFF"/>
        </w:rPr>
      </w:pPr>
      <w:r>
        <w:rPr>
          <w:lang w:val="fr-FR"/>
        </w:rPr>
        <w:t>2.</w:t>
      </w:r>
      <w:r>
        <w:rPr>
          <w:lang w:val="fr-FR"/>
        </w:rPr>
        <w:tab/>
        <w:t>Données statistiques sur la composition démographique de la population, ventilées par origine ethnique ou nationalité, langue parlée et situation (migrants, réfugiés, demandeurs d’asile et apatrides). Indicateurs économiques et sociaux sur les différents groupes vivant dans l’État partie, en particulier les peuples autochtones, ventilés par nationalité ou origine ethnique, sexe et âge</w:t>
      </w:r>
      <w:r w:rsidRPr="00D323DA">
        <w:rPr>
          <w:rStyle w:val="Appelnotedebasdep"/>
          <w:lang w:val="fr-FR"/>
        </w:rPr>
        <w:footnoteReference w:id="3"/>
      </w:r>
      <w:r>
        <w:rPr>
          <w:lang w:val="fr-FR"/>
        </w:rPr>
        <w:t>.</w:t>
      </w:r>
    </w:p>
    <w:p w14:paraId="0E5A9CED" w14:textId="14B9AED3" w:rsidR="00CA2A6E" w:rsidRPr="00D01FCD" w:rsidRDefault="00CA2A6E" w:rsidP="00CA2A6E">
      <w:pPr>
        <w:pStyle w:val="H23G"/>
        <w:rPr>
          <w:shd w:val="clear" w:color="000000" w:fill="FFFFFF"/>
        </w:rPr>
      </w:pPr>
      <w:r>
        <w:rPr>
          <w:lang w:val="fr-FR"/>
        </w:rPr>
        <w:tab/>
      </w:r>
      <w:r>
        <w:rPr>
          <w:lang w:val="fr-FR"/>
        </w:rPr>
        <w:tab/>
      </w:r>
      <w:r>
        <w:rPr>
          <w:bCs/>
          <w:lang w:val="fr-FR"/>
        </w:rPr>
        <w:t xml:space="preserve">La Convention dans le droit interne et le cadre institutionnel et normatif de sa mise </w:t>
      </w:r>
      <w:r>
        <w:rPr>
          <w:bCs/>
          <w:lang w:val="fr-FR"/>
        </w:rPr>
        <w:br/>
      </w:r>
      <w:r>
        <w:rPr>
          <w:bCs/>
          <w:lang w:val="fr-FR"/>
        </w:rPr>
        <w:t>en œuvre (art. 1</w:t>
      </w:r>
      <w:r w:rsidRPr="003B3E1C">
        <w:rPr>
          <w:bCs/>
          <w:vertAlign w:val="superscript"/>
          <w:lang w:val="fr-FR"/>
        </w:rPr>
        <w:t>er</w:t>
      </w:r>
      <w:r>
        <w:rPr>
          <w:bCs/>
          <w:lang w:val="fr-FR"/>
        </w:rPr>
        <w:t>, 2, 4 et 6)</w:t>
      </w:r>
    </w:p>
    <w:p w14:paraId="4542EF43" w14:textId="77777777" w:rsidR="00CA2A6E" w:rsidRPr="00D01FCD" w:rsidRDefault="00CA2A6E" w:rsidP="00CA2A6E">
      <w:pPr>
        <w:pStyle w:val="SingleTxtG"/>
        <w:rPr>
          <w:shd w:val="clear" w:color="000000" w:fill="FFFFFF"/>
        </w:rPr>
      </w:pPr>
      <w:r>
        <w:rPr>
          <w:lang w:val="fr-FR"/>
        </w:rPr>
        <w:t>3.</w:t>
      </w:r>
      <w:r>
        <w:rPr>
          <w:lang w:val="fr-FR"/>
        </w:rPr>
        <w:tab/>
        <w:t>Mesures prises pour adopter une loi complète contre la discrimination, qui comprenne une définition de la discrimination directe et indirecte et interdise la discrimination raciale conformément aux articles 1</w:t>
      </w:r>
      <w:r w:rsidRPr="003B3E1C">
        <w:rPr>
          <w:vertAlign w:val="superscript"/>
          <w:lang w:val="fr-FR"/>
        </w:rPr>
        <w:t>er</w:t>
      </w:r>
      <w:r>
        <w:rPr>
          <w:lang w:val="fr-FR"/>
        </w:rPr>
        <w:t>, 2 et 4 de la Convention</w:t>
      </w:r>
      <w:r w:rsidRPr="00D323DA">
        <w:rPr>
          <w:rStyle w:val="Appelnotedebasdep"/>
          <w:lang w:val="fr-FR"/>
        </w:rPr>
        <w:footnoteReference w:id="4"/>
      </w:r>
      <w:r>
        <w:rPr>
          <w:lang w:val="fr-FR"/>
        </w:rPr>
        <w:t xml:space="preserve">. </w:t>
      </w:r>
    </w:p>
    <w:p w14:paraId="33E1BBE7" w14:textId="77777777" w:rsidR="00CA2A6E" w:rsidRPr="00D01FCD" w:rsidRDefault="00CA2A6E" w:rsidP="00CA2A6E">
      <w:pPr>
        <w:pStyle w:val="SingleTxtG"/>
        <w:rPr>
          <w:shd w:val="clear" w:color="000000" w:fill="FFFFFF"/>
        </w:rPr>
      </w:pPr>
      <w:r>
        <w:rPr>
          <w:lang w:val="fr-FR"/>
        </w:rPr>
        <w:t>4.</w:t>
      </w:r>
      <w:r>
        <w:rPr>
          <w:lang w:val="fr-FR"/>
        </w:rPr>
        <w:tab/>
        <w:t>Renseignements sur les mesures prises pour définir, combattre et éradiquer la discrimination fondée sur l’ascendance dans certaines communautés, comme le système de castes</w:t>
      </w:r>
      <w:r w:rsidRPr="00D323DA">
        <w:rPr>
          <w:rStyle w:val="Appelnotedebasdep"/>
          <w:lang w:val="fr-FR"/>
        </w:rPr>
        <w:footnoteReference w:id="5"/>
      </w:r>
      <w:r>
        <w:rPr>
          <w:lang w:val="fr-FR"/>
        </w:rPr>
        <w:t xml:space="preserve">. </w:t>
      </w:r>
    </w:p>
    <w:p w14:paraId="75F2493B" w14:textId="77777777" w:rsidR="00CA2A6E" w:rsidRPr="00D01FCD" w:rsidRDefault="00CA2A6E" w:rsidP="00CA2A6E">
      <w:pPr>
        <w:pStyle w:val="SingleTxtG"/>
        <w:rPr>
          <w:shd w:val="clear" w:color="000000" w:fill="FFFFFF"/>
        </w:rPr>
      </w:pPr>
      <w:r>
        <w:rPr>
          <w:lang w:val="fr-FR"/>
        </w:rPr>
        <w:t>5.</w:t>
      </w:r>
      <w:r>
        <w:rPr>
          <w:lang w:val="fr-FR"/>
        </w:rPr>
        <w:tab/>
        <w:t xml:space="preserve">Mesures prises pour interdire et sanctionner les discours de haine à caractère raciste, l’incitation à la haine raciale ou à la discrimination raciale, les crimes de haine à caractère raciste et les organisations qui incitent à la discrimination raciale et l’encouragent, conformément à l’article 4 de la Convention et pour tous les motifs de discrimination </w:t>
      </w:r>
      <w:r>
        <w:rPr>
          <w:lang w:val="fr-FR"/>
        </w:rPr>
        <w:lastRenderedPageBreak/>
        <w:t xml:space="preserve">mentionnés à l’article premier de la Convention. Renseignements indiquant si la motivation raciale est considérée comme une circonstance aggravante en droit pénal. </w:t>
      </w:r>
    </w:p>
    <w:p w14:paraId="6AF0651A" w14:textId="77777777" w:rsidR="00CA2A6E" w:rsidRPr="00D01FCD" w:rsidRDefault="00CA2A6E" w:rsidP="00CA2A6E">
      <w:pPr>
        <w:pStyle w:val="SingleTxtG"/>
        <w:rPr>
          <w:shd w:val="clear" w:color="000000" w:fill="FFFFFF"/>
        </w:rPr>
      </w:pPr>
      <w:r>
        <w:rPr>
          <w:lang w:val="fr-FR"/>
        </w:rPr>
        <w:t>6.</w:t>
      </w:r>
      <w:r>
        <w:rPr>
          <w:lang w:val="fr-FR"/>
        </w:rPr>
        <w:tab/>
        <w:t xml:space="preserve">Renseignements sur les plaintes enregistrées devant les tribunaux ou toute autre institution nationale pour des actes de discrimination raciale, des discours et des crimes de haine à caractère raciste, y compris sur Internet et dans les médias, et sur le nombre d’enquêtes menées, de poursuites engagées et de déclarations de culpabilité prononcées et sur les réparations accordées aux victimes, le cas échéant. </w:t>
      </w:r>
    </w:p>
    <w:p w14:paraId="23637C46" w14:textId="77777777" w:rsidR="00CA2A6E" w:rsidRPr="00D01FCD" w:rsidRDefault="00CA2A6E" w:rsidP="00CA2A6E">
      <w:pPr>
        <w:pStyle w:val="SingleTxtG"/>
        <w:rPr>
          <w:shd w:val="clear" w:color="000000" w:fill="FFFFFF"/>
        </w:rPr>
      </w:pPr>
      <w:r>
        <w:rPr>
          <w:lang w:val="fr-FR"/>
        </w:rPr>
        <w:t>7.</w:t>
      </w:r>
      <w:r>
        <w:rPr>
          <w:lang w:val="fr-FR"/>
        </w:rPr>
        <w:tab/>
        <w:t>Renseignements sur des affaires dans lesquelles la Convention a été invoquée par les tribunaux nationaux, à la lumière de l’article 106 de la Constitution. Mesures visant à faciliter le dépôt de plaintes en cas de discrimination raciale et mesures visant à informer le public des droits reconnus par la Convention et des mécanismes de plainte et recours judiciaires existants.</w:t>
      </w:r>
    </w:p>
    <w:p w14:paraId="3AA35D93" w14:textId="77777777" w:rsidR="00CA2A6E" w:rsidRPr="00D01FCD" w:rsidRDefault="00CA2A6E" w:rsidP="00CA2A6E">
      <w:pPr>
        <w:pStyle w:val="SingleTxtG"/>
        <w:rPr>
          <w:shd w:val="clear" w:color="000000" w:fill="FFFFFF"/>
        </w:rPr>
      </w:pPr>
      <w:r>
        <w:rPr>
          <w:lang w:val="fr-FR"/>
        </w:rPr>
        <w:t>8.</w:t>
      </w:r>
      <w:r>
        <w:rPr>
          <w:lang w:val="fr-FR"/>
        </w:rPr>
        <w:tab/>
        <w:t>Mesures visant à créer une institution nationale des droits de l’homme indépendante pleinement conforme aux Principes concernant le statut des institutions nationales pour la promotion et la protection des droits de l’homme (Principes de Paris) et dotée de ressources financières et humaines adéquates</w:t>
      </w:r>
      <w:r w:rsidRPr="00D323DA">
        <w:rPr>
          <w:rStyle w:val="Appelnotedebasdep"/>
          <w:lang w:val="fr-FR"/>
        </w:rPr>
        <w:footnoteReference w:id="6"/>
      </w:r>
      <w:r>
        <w:rPr>
          <w:lang w:val="fr-FR"/>
        </w:rPr>
        <w:t xml:space="preserve">. </w:t>
      </w:r>
    </w:p>
    <w:p w14:paraId="2849A992" w14:textId="3B802CB2" w:rsidR="00CA2A6E" w:rsidRPr="00D01FCD" w:rsidRDefault="00CA2A6E" w:rsidP="00CA2A6E">
      <w:pPr>
        <w:pStyle w:val="H23G"/>
        <w:rPr>
          <w:shd w:val="clear" w:color="000000" w:fill="FFFFFF"/>
        </w:rPr>
      </w:pPr>
      <w:r>
        <w:rPr>
          <w:lang w:val="fr-FR"/>
        </w:rPr>
        <w:tab/>
      </w:r>
      <w:r>
        <w:rPr>
          <w:lang w:val="fr-FR"/>
        </w:rPr>
        <w:tab/>
      </w:r>
      <w:r>
        <w:rPr>
          <w:bCs/>
          <w:lang w:val="fr-FR"/>
        </w:rPr>
        <w:t>Situation des peuples autochtones et tribaux (art</w:t>
      </w:r>
      <w:r>
        <w:rPr>
          <w:bCs/>
          <w:lang w:val="fr-FR"/>
        </w:rPr>
        <w:t>.</w:t>
      </w:r>
      <w:r>
        <w:rPr>
          <w:bCs/>
          <w:lang w:val="fr-FR"/>
        </w:rPr>
        <w:t xml:space="preserve"> 2 et 5)</w:t>
      </w:r>
    </w:p>
    <w:p w14:paraId="2CFAFF5C" w14:textId="77777777" w:rsidR="00CA2A6E" w:rsidRPr="00D01FCD" w:rsidRDefault="00CA2A6E" w:rsidP="00CA2A6E">
      <w:pPr>
        <w:pStyle w:val="SingleTxtG"/>
        <w:rPr>
          <w:shd w:val="clear" w:color="000000" w:fill="FFFFFF"/>
        </w:rPr>
      </w:pPr>
      <w:r>
        <w:rPr>
          <w:lang w:val="fr-FR"/>
        </w:rPr>
        <w:t>9.</w:t>
      </w:r>
      <w:r>
        <w:rPr>
          <w:lang w:val="fr-FR"/>
        </w:rPr>
        <w:tab/>
        <w:t>Mesures visant à élaborer et à adopter une législation destinée à protéger les droits des peuples autochtones et tribaux</w:t>
      </w:r>
      <w:r w:rsidRPr="00D323DA">
        <w:rPr>
          <w:rStyle w:val="Appelnotedebasdep"/>
          <w:lang w:val="fr-FR"/>
        </w:rPr>
        <w:footnoteReference w:id="7"/>
      </w:r>
      <w:r>
        <w:rPr>
          <w:lang w:val="fr-FR"/>
        </w:rPr>
        <w:t xml:space="preserve">. Renseignements sur les mesures prises pour lutter contre la discrimination structurelle à l’égard des peuples autochtones et tribaux et pour garantir l’exercice de leurs droits économiques, sociaux et culturels, et sur la bonne application de ces mesures. </w:t>
      </w:r>
    </w:p>
    <w:p w14:paraId="3423448A" w14:textId="019E2AA0" w:rsidR="00CA2A6E" w:rsidRPr="00D01FCD" w:rsidRDefault="00CA2A6E" w:rsidP="00CA2A6E">
      <w:pPr>
        <w:pStyle w:val="SingleTxtG"/>
        <w:rPr>
          <w:shd w:val="clear" w:color="000000" w:fill="FFFFFF"/>
        </w:rPr>
      </w:pPr>
      <w:r>
        <w:rPr>
          <w:lang w:val="fr-FR"/>
        </w:rPr>
        <w:t>10.</w:t>
      </w:r>
      <w:r>
        <w:rPr>
          <w:lang w:val="fr-FR"/>
        </w:rPr>
        <w:tab/>
        <w:t>Renseignements sur</w:t>
      </w:r>
      <w:r>
        <w:rPr>
          <w:lang w:val="fr-FR"/>
        </w:rPr>
        <w:t> </w:t>
      </w:r>
      <w:r>
        <w:rPr>
          <w:lang w:val="fr-FR"/>
        </w:rPr>
        <w:t>: a) les mesures visant à adopter une législation pour reconnaître et protéger les droits collectifs des peuples autochtones et tribaux s’agissant de posséder, d’exploiter, d’administrer et d’utiliser leurs terres, ressources et territoires communautaires, comme suite en particulier au mandat et aux travaux de la commission juridique créée en novembre 2018 ; b) les mesures prises pour garantir le respect du droit des peuples autochtones d’être consultés pour pouvoir donner librement et en connaissance de cause leur consentement préalable concernant toute mesure législative ou administrative qui les concerne, notamment compte tenu des directions créées au Ministère du développement régional ; c) le projet de loi sur les autorités coutumières et la manière dont il reflète les coutumes et procédures de ces peuples</w:t>
      </w:r>
      <w:r w:rsidRPr="00D323DA">
        <w:rPr>
          <w:rStyle w:val="Appelnotedebasdep"/>
          <w:lang w:val="fr-FR"/>
        </w:rPr>
        <w:footnoteReference w:id="8"/>
      </w:r>
      <w:r>
        <w:rPr>
          <w:lang w:val="fr-FR"/>
        </w:rPr>
        <w:t xml:space="preserve">. </w:t>
      </w:r>
    </w:p>
    <w:p w14:paraId="48092CFC" w14:textId="77777777" w:rsidR="00CA2A6E" w:rsidRPr="00D01FCD" w:rsidRDefault="00CA2A6E" w:rsidP="00CA2A6E">
      <w:pPr>
        <w:pStyle w:val="SingleTxtG"/>
        <w:rPr>
          <w:shd w:val="clear" w:color="000000" w:fill="FFFFFF"/>
        </w:rPr>
      </w:pPr>
      <w:r>
        <w:rPr>
          <w:lang w:val="fr-FR"/>
        </w:rPr>
        <w:t>11.</w:t>
      </w:r>
      <w:r>
        <w:rPr>
          <w:lang w:val="fr-FR"/>
        </w:rPr>
        <w:tab/>
        <w:t>La situation des peuples autochtones et tribaux touchés par la réalisation de projets économiques ou d’exploitation de ressources naturelles et de projets miniers. Renseignements sur les études d’impact sur la société, l’environnement et les droits de l’homme menées avant l’octroi de concessions ou la planification d’activités et sur le mandat de l’Institut national pour l’environnement et le développement au Suriname. Mesures prises pour que les réserves nationales créées sur les territoires ancestraux des peuples autochtones et tribaux permettent un développement économique et social durable</w:t>
      </w:r>
      <w:r w:rsidRPr="00D323DA">
        <w:rPr>
          <w:rStyle w:val="Appelnotedebasdep"/>
          <w:lang w:val="fr-FR"/>
        </w:rPr>
        <w:footnoteReference w:id="9"/>
      </w:r>
      <w:r>
        <w:rPr>
          <w:lang w:val="fr-FR"/>
        </w:rPr>
        <w:t xml:space="preserve">. </w:t>
      </w:r>
    </w:p>
    <w:p w14:paraId="230FAAFF" w14:textId="4B72204E" w:rsidR="00CA2A6E" w:rsidRPr="00D01FCD" w:rsidRDefault="00CA2A6E" w:rsidP="00CA2A6E">
      <w:pPr>
        <w:pStyle w:val="SingleTxtG"/>
        <w:rPr>
          <w:shd w:val="clear" w:color="000000" w:fill="FFFFFF"/>
        </w:rPr>
      </w:pPr>
      <w:r>
        <w:rPr>
          <w:lang w:val="fr-FR"/>
        </w:rPr>
        <w:t>12.</w:t>
      </w:r>
      <w:r>
        <w:rPr>
          <w:lang w:val="fr-FR"/>
        </w:rPr>
        <w:tab/>
        <w:t>Renseignements actualisés sur les mesures prises pour</w:t>
      </w:r>
      <w:r>
        <w:rPr>
          <w:lang w:val="fr-FR"/>
        </w:rPr>
        <w:t> </w:t>
      </w:r>
      <w:r>
        <w:rPr>
          <w:lang w:val="fr-FR"/>
        </w:rPr>
        <w:t>: a) veiller à ce qu’il n’y ait pas de mercure utilisé ou dispersé sur les territoires occupés et utilisés par des peuples autochtones et tribaux ; b) permettre aux peuples autochtones et tribaux concernés qui se trouvent dans des zones contaminées d’accéder à de l’eau potable et à des soins de santé, et veiller à ce qu’ils aient droit à des voies de recours utiles</w:t>
      </w:r>
      <w:r w:rsidRPr="00D323DA">
        <w:rPr>
          <w:rStyle w:val="Appelnotedebasdep"/>
          <w:lang w:val="fr-FR"/>
        </w:rPr>
        <w:footnoteReference w:id="10"/>
      </w:r>
      <w:r>
        <w:rPr>
          <w:lang w:val="fr-FR"/>
        </w:rPr>
        <w:t xml:space="preserve">. </w:t>
      </w:r>
    </w:p>
    <w:p w14:paraId="2B1FBE3F" w14:textId="77777777" w:rsidR="00CA2A6E" w:rsidRPr="00D01FCD" w:rsidRDefault="00CA2A6E" w:rsidP="00CA2A6E">
      <w:pPr>
        <w:pStyle w:val="SingleTxtG"/>
        <w:tabs>
          <w:tab w:val="clear" w:pos="1701"/>
          <w:tab w:val="clear" w:pos="2268"/>
          <w:tab w:val="clear" w:pos="2835"/>
        </w:tabs>
        <w:rPr>
          <w:shd w:val="clear" w:color="000000" w:fill="FFFFFF"/>
        </w:rPr>
      </w:pPr>
      <w:r>
        <w:rPr>
          <w:lang w:val="fr-FR"/>
        </w:rPr>
        <w:t>13.</w:t>
      </w:r>
      <w:r>
        <w:rPr>
          <w:lang w:val="fr-FR"/>
        </w:rPr>
        <w:tab/>
        <w:t xml:space="preserve">Mesures prises pour renforcer la participation et la représentation effectives des peuples autochtones et tribaux dans le cadre de la vie publique et politique. Mesures prises pour assurer la bonne application des politiques visant à garantir l’accès des peuples autochtones et tribaux à l’éducation sans discrimination, à augmenter les taux de scolarisation </w:t>
      </w:r>
      <w:r>
        <w:rPr>
          <w:lang w:val="fr-FR"/>
        </w:rPr>
        <w:lastRenderedPageBreak/>
        <w:t>et à réduire les taux d’abandon scolaire. Mesures visant à garantir l’accès des peuples autochtones et tribaux à la justice et à reconnaître la personnalité juridique collective des peuples autochtones et tribaux</w:t>
      </w:r>
      <w:r w:rsidRPr="00D323DA">
        <w:rPr>
          <w:rStyle w:val="Appelnotedebasdep"/>
          <w:lang w:val="fr-FR"/>
        </w:rPr>
        <w:footnoteReference w:id="11"/>
      </w:r>
      <w:r>
        <w:rPr>
          <w:lang w:val="fr-FR"/>
        </w:rPr>
        <w:t xml:space="preserve">. </w:t>
      </w:r>
    </w:p>
    <w:p w14:paraId="7BD246E8" w14:textId="744E2DBB" w:rsidR="00CA2A6E" w:rsidRPr="00D01FCD" w:rsidRDefault="00CA2A6E" w:rsidP="00CA2A6E">
      <w:pPr>
        <w:pStyle w:val="H23G"/>
        <w:rPr>
          <w:shd w:val="clear" w:color="000000" w:fill="FFFFFF"/>
        </w:rPr>
      </w:pPr>
      <w:r>
        <w:rPr>
          <w:lang w:val="fr-FR"/>
        </w:rPr>
        <w:tab/>
      </w:r>
      <w:r>
        <w:rPr>
          <w:lang w:val="fr-FR"/>
        </w:rPr>
        <w:tab/>
      </w:r>
      <w:r>
        <w:rPr>
          <w:bCs/>
          <w:lang w:val="fr-FR"/>
        </w:rPr>
        <w:t xml:space="preserve">Situation des migrants, des demandeurs d’asile, des réfugiés et des apatrides </w:t>
      </w:r>
      <w:r>
        <w:rPr>
          <w:bCs/>
          <w:lang w:val="fr-FR"/>
        </w:rPr>
        <w:br/>
      </w:r>
      <w:r>
        <w:rPr>
          <w:bCs/>
          <w:lang w:val="fr-FR"/>
        </w:rPr>
        <w:t>(art. 2 et 5)</w:t>
      </w:r>
    </w:p>
    <w:p w14:paraId="4CF7322F" w14:textId="77777777" w:rsidR="00CA2A6E" w:rsidRPr="00D01FCD" w:rsidRDefault="00CA2A6E" w:rsidP="00CA2A6E">
      <w:pPr>
        <w:pStyle w:val="SingleTxtG"/>
        <w:rPr>
          <w:shd w:val="clear" w:color="000000" w:fill="FFFFFF"/>
        </w:rPr>
      </w:pPr>
      <w:r>
        <w:rPr>
          <w:lang w:val="fr-FR"/>
        </w:rPr>
        <w:t>14.</w:t>
      </w:r>
      <w:r>
        <w:rPr>
          <w:lang w:val="fr-FR"/>
        </w:rPr>
        <w:tab/>
        <w:t>Renseignements sur les mesures prises pour adopter un dispositif législatif sur les demandeurs d’asile et les réfugiés qui soit conforme aux normes internationales, et pour garantir à toutes les personnes relevant de la juridiction de l’État un accès à l’éducation, à l’emploi et aux services de santé sans discrimination</w:t>
      </w:r>
      <w:r w:rsidRPr="00D323DA">
        <w:rPr>
          <w:rStyle w:val="Appelnotedebasdep"/>
          <w:lang w:val="fr-FR"/>
        </w:rPr>
        <w:footnoteReference w:id="12"/>
      </w:r>
      <w:r>
        <w:rPr>
          <w:lang w:val="fr-FR"/>
        </w:rPr>
        <w:t>. Mesures prises pour combattre les actes de discrimination raciale à l’égard des migrants, des réfugiés, des demandeurs d’asile et des apatrides.</w:t>
      </w:r>
    </w:p>
    <w:p w14:paraId="424D1150" w14:textId="77777777" w:rsidR="00CA2A6E" w:rsidRPr="00D01FCD" w:rsidRDefault="00CA2A6E" w:rsidP="00CA2A6E">
      <w:pPr>
        <w:pStyle w:val="SingleTxtG"/>
        <w:rPr>
          <w:shd w:val="clear" w:color="000000" w:fill="FFFFFF"/>
        </w:rPr>
      </w:pPr>
      <w:r>
        <w:rPr>
          <w:lang w:val="fr-FR"/>
        </w:rPr>
        <w:t>15.</w:t>
      </w:r>
      <w:r>
        <w:rPr>
          <w:lang w:val="fr-FR"/>
        </w:rPr>
        <w:tab/>
        <w:t>Mesures de prévention de l’apatridie, y compris des statistiques actualisées sur les apatrides et les personnes menacées d’apatridie, et de lutte contre l’apatridie des enfants à la naissance</w:t>
      </w:r>
      <w:r w:rsidRPr="00D323DA">
        <w:rPr>
          <w:rStyle w:val="Appelnotedebasdep"/>
          <w:lang w:val="fr-FR"/>
        </w:rPr>
        <w:footnoteReference w:id="13"/>
      </w:r>
      <w:r>
        <w:rPr>
          <w:lang w:val="fr-FR"/>
        </w:rPr>
        <w:t>. Renseignements sur les mesures prises pour mettre la loi sur la nationalité et la résidence et la loi sur les étrangers en conformité avec les normes internationales</w:t>
      </w:r>
      <w:r w:rsidRPr="00D323DA">
        <w:rPr>
          <w:rStyle w:val="Appelnotedebasdep"/>
          <w:lang w:val="fr-FR"/>
        </w:rPr>
        <w:footnoteReference w:id="14"/>
      </w:r>
      <w:r>
        <w:rPr>
          <w:lang w:val="fr-FR"/>
        </w:rPr>
        <w:t>.</w:t>
      </w:r>
    </w:p>
    <w:p w14:paraId="219DF48B" w14:textId="77777777" w:rsidR="00CA2A6E" w:rsidRPr="00D01FCD" w:rsidRDefault="00CA2A6E" w:rsidP="00CA2A6E">
      <w:pPr>
        <w:pStyle w:val="SingleTxtG"/>
        <w:rPr>
          <w:shd w:val="clear" w:color="000000" w:fill="FFFFFF"/>
        </w:rPr>
      </w:pPr>
      <w:r>
        <w:rPr>
          <w:lang w:val="fr-FR"/>
        </w:rPr>
        <w:t>16.</w:t>
      </w:r>
      <w:r>
        <w:rPr>
          <w:lang w:val="fr-FR"/>
        </w:rPr>
        <w:tab/>
        <w:t>Renseignements actualisés sur les mesures de lutte contre la traite des personnes, notamment sur l’application du plan d’action national en la matière (2019-2020) et ses résultats, ainsi que sur l’élaboration de la politique concernant les enfants victimes de la traite. Mesures visant à garantir que les victimes de la traite ne soient pas incriminées ni expulsées pour des actes commis en conséquence directe de la traite, et mesures de réparation et de réadaptation pour les victimes</w:t>
      </w:r>
      <w:r w:rsidRPr="00D323DA">
        <w:rPr>
          <w:rStyle w:val="Appelnotedebasdep"/>
          <w:lang w:val="fr-FR"/>
        </w:rPr>
        <w:footnoteReference w:id="15"/>
      </w:r>
      <w:r>
        <w:rPr>
          <w:lang w:val="fr-FR"/>
        </w:rPr>
        <w:t xml:space="preserve">. </w:t>
      </w:r>
    </w:p>
    <w:p w14:paraId="30F543FF" w14:textId="09828EE3" w:rsidR="00984B29" w:rsidRPr="00CA2A6E" w:rsidRDefault="00CA2A6E" w:rsidP="00CA2A6E">
      <w:pPr>
        <w:spacing w:before="240"/>
        <w:jc w:val="center"/>
        <w:rPr>
          <w:u w:val="single"/>
        </w:rPr>
      </w:pPr>
      <w:r w:rsidRPr="00D01FCD">
        <w:rPr>
          <w:u w:val="single"/>
        </w:rPr>
        <w:tab/>
      </w:r>
      <w:r w:rsidRPr="00D01FCD">
        <w:rPr>
          <w:u w:val="single"/>
        </w:rPr>
        <w:tab/>
      </w:r>
      <w:r w:rsidRPr="00D01FCD">
        <w:rPr>
          <w:u w:val="single"/>
        </w:rPr>
        <w:tab/>
      </w:r>
    </w:p>
    <w:sectPr w:rsidR="00984B29" w:rsidRPr="00CA2A6E" w:rsidSect="006F538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588C1" w14:textId="77777777" w:rsidR="00F5417B" w:rsidRDefault="00F5417B" w:rsidP="00F95C08">
      <w:pPr>
        <w:spacing w:line="240" w:lineRule="auto"/>
      </w:pPr>
    </w:p>
  </w:endnote>
  <w:endnote w:type="continuationSeparator" w:id="0">
    <w:p w14:paraId="650D6C83" w14:textId="77777777" w:rsidR="00F5417B" w:rsidRPr="00AC3823" w:rsidRDefault="00F5417B" w:rsidP="00AC3823">
      <w:pPr>
        <w:pStyle w:val="Pieddepage"/>
      </w:pPr>
    </w:p>
  </w:endnote>
  <w:endnote w:type="continuationNotice" w:id="1">
    <w:p w14:paraId="1E071666" w14:textId="77777777" w:rsidR="00F5417B" w:rsidRDefault="00F5417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8522E" w14:textId="0017A7D3" w:rsidR="006F5381" w:rsidRPr="006F5381" w:rsidRDefault="006F5381" w:rsidP="006F5381">
    <w:pPr>
      <w:pStyle w:val="Pieddepage"/>
      <w:tabs>
        <w:tab w:val="right" w:pos="9638"/>
      </w:tabs>
    </w:pPr>
    <w:r w:rsidRPr="006F5381">
      <w:rPr>
        <w:b/>
        <w:sz w:val="18"/>
      </w:rPr>
      <w:fldChar w:fldCharType="begin"/>
    </w:r>
    <w:r w:rsidRPr="006F5381">
      <w:rPr>
        <w:b/>
        <w:sz w:val="18"/>
      </w:rPr>
      <w:instrText xml:space="preserve"> PAGE  \* MERGEFORMAT </w:instrText>
    </w:r>
    <w:r w:rsidRPr="006F5381">
      <w:rPr>
        <w:b/>
        <w:sz w:val="18"/>
      </w:rPr>
      <w:fldChar w:fldCharType="separate"/>
    </w:r>
    <w:r w:rsidRPr="006F5381">
      <w:rPr>
        <w:b/>
        <w:noProof/>
        <w:sz w:val="18"/>
      </w:rPr>
      <w:t>2</w:t>
    </w:r>
    <w:r w:rsidRPr="006F5381">
      <w:rPr>
        <w:b/>
        <w:sz w:val="18"/>
      </w:rPr>
      <w:fldChar w:fldCharType="end"/>
    </w:r>
    <w:r>
      <w:rPr>
        <w:b/>
        <w:sz w:val="18"/>
      </w:rPr>
      <w:tab/>
    </w:r>
    <w:r>
      <w:t>GE.22-09900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4AEDD" w14:textId="1B331610" w:rsidR="006F5381" w:rsidRPr="006F5381" w:rsidRDefault="006F5381" w:rsidP="006F5381">
    <w:pPr>
      <w:pStyle w:val="Pieddepage"/>
      <w:tabs>
        <w:tab w:val="right" w:pos="9638"/>
      </w:tabs>
      <w:rPr>
        <w:b/>
        <w:sz w:val="18"/>
      </w:rPr>
    </w:pPr>
    <w:r>
      <w:t>GE.22-09900</w:t>
    </w:r>
    <w:r>
      <w:tab/>
    </w:r>
    <w:r w:rsidRPr="006F5381">
      <w:rPr>
        <w:b/>
        <w:sz w:val="18"/>
      </w:rPr>
      <w:fldChar w:fldCharType="begin"/>
    </w:r>
    <w:r w:rsidRPr="006F5381">
      <w:rPr>
        <w:b/>
        <w:sz w:val="18"/>
      </w:rPr>
      <w:instrText xml:space="preserve"> PAGE  \* MERGEFORMAT </w:instrText>
    </w:r>
    <w:r w:rsidRPr="006F5381">
      <w:rPr>
        <w:b/>
        <w:sz w:val="18"/>
      </w:rPr>
      <w:fldChar w:fldCharType="separate"/>
    </w:r>
    <w:r w:rsidRPr="006F5381">
      <w:rPr>
        <w:b/>
        <w:noProof/>
        <w:sz w:val="18"/>
      </w:rPr>
      <w:t>3</w:t>
    </w:r>
    <w:r w:rsidRPr="006F53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8ED56" w14:textId="00504073" w:rsidR="00984B29" w:rsidRPr="006F5381" w:rsidRDefault="006F5381" w:rsidP="006F5381">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374A27C4" wp14:editId="33D1A23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22-09900  (F)</w:t>
    </w:r>
    <w:r>
      <w:rPr>
        <w:noProof/>
        <w:sz w:val="20"/>
      </w:rPr>
      <w:drawing>
        <wp:anchor distT="0" distB="0" distL="114300" distR="114300" simplePos="0" relativeHeight="251660288" behindDoc="0" locked="0" layoutInCell="1" allowOverlap="1" wp14:anchorId="7F17ADB6" wp14:editId="11E1D1C3">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300622    010722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87FD8" w14:textId="77777777" w:rsidR="00F5417B" w:rsidRPr="00AC3823" w:rsidRDefault="00F5417B" w:rsidP="00AC3823">
      <w:pPr>
        <w:pStyle w:val="Pieddepage"/>
        <w:tabs>
          <w:tab w:val="right" w:pos="2155"/>
        </w:tabs>
        <w:spacing w:after="80" w:line="240" w:lineRule="atLeast"/>
        <w:ind w:left="680"/>
        <w:rPr>
          <w:u w:val="single"/>
        </w:rPr>
      </w:pPr>
      <w:r>
        <w:rPr>
          <w:u w:val="single"/>
        </w:rPr>
        <w:tab/>
      </w:r>
    </w:p>
  </w:footnote>
  <w:footnote w:type="continuationSeparator" w:id="0">
    <w:p w14:paraId="5A3EE0EC" w14:textId="77777777" w:rsidR="00F5417B" w:rsidRPr="00AC3823" w:rsidRDefault="00F5417B" w:rsidP="00AC3823">
      <w:pPr>
        <w:pStyle w:val="Pieddepage"/>
        <w:tabs>
          <w:tab w:val="right" w:pos="2155"/>
        </w:tabs>
        <w:spacing w:after="80" w:line="240" w:lineRule="atLeast"/>
        <w:ind w:left="680"/>
        <w:rPr>
          <w:u w:val="single"/>
        </w:rPr>
      </w:pPr>
      <w:r>
        <w:rPr>
          <w:u w:val="single"/>
        </w:rPr>
        <w:tab/>
      </w:r>
    </w:p>
  </w:footnote>
  <w:footnote w:type="continuationNotice" w:id="1">
    <w:p w14:paraId="0EF2A183" w14:textId="77777777" w:rsidR="00F5417B" w:rsidRPr="00AC3823" w:rsidRDefault="00F5417B">
      <w:pPr>
        <w:spacing w:line="240" w:lineRule="auto"/>
        <w:rPr>
          <w:sz w:val="2"/>
          <w:szCs w:val="2"/>
        </w:rPr>
      </w:pPr>
    </w:p>
  </w:footnote>
  <w:footnote w:id="2">
    <w:p w14:paraId="01BD5CAA" w14:textId="77777777" w:rsidR="00CA2A6E" w:rsidRPr="00D01FCD" w:rsidRDefault="00CA2A6E" w:rsidP="00CA2A6E">
      <w:pPr>
        <w:pStyle w:val="Notedebasdepage"/>
      </w:pPr>
      <w:r w:rsidRPr="000E1295">
        <w:rPr>
          <w:lang w:val="fr-FR"/>
        </w:rPr>
        <w:tab/>
      </w:r>
      <w:r w:rsidRPr="000E1295">
        <w:rPr>
          <w:rStyle w:val="Appelnotedebasdep"/>
          <w:lang w:val="fr-FR"/>
        </w:rPr>
        <w:footnoteRef/>
      </w:r>
      <w:r>
        <w:rPr>
          <w:lang w:val="fr-FR"/>
        </w:rPr>
        <w:tab/>
      </w:r>
      <w:hyperlink r:id="rId1" w:history="1">
        <w:r w:rsidRPr="005A2B2D">
          <w:rPr>
            <w:rStyle w:val="Lienhypertexte"/>
            <w:lang w:val="fr-FR"/>
          </w:rPr>
          <w:t>A/65/18</w:t>
        </w:r>
      </w:hyperlink>
      <w:r>
        <w:rPr>
          <w:lang w:val="fr-FR"/>
        </w:rPr>
        <w:t>, par. 85.</w:t>
      </w:r>
    </w:p>
  </w:footnote>
  <w:footnote w:id="3">
    <w:p w14:paraId="58988D8B" w14:textId="77777777" w:rsidR="00CA2A6E" w:rsidRPr="00D01FCD" w:rsidRDefault="00CA2A6E" w:rsidP="00CA2A6E">
      <w:pPr>
        <w:pStyle w:val="Notedebasdepage"/>
      </w:pPr>
      <w:r w:rsidRPr="000E1295">
        <w:rPr>
          <w:lang w:val="fr-FR"/>
        </w:rPr>
        <w:tab/>
      </w:r>
      <w:r w:rsidRPr="000E1295">
        <w:rPr>
          <w:rStyle w:val="Appelnotedebasdep"/>
          <w:lang w:val="fr-FR"/>
        </w:rPr>
        <w:footnoteRef/>
      </w:r>
      <w:r>
        <w:rPr>
          <w:lang w:val="fr-FR"/>
        </w:rPr>
        <w:tab/>
      </w:r>
      <w:hyperlink r:id="rId2" w:history="1">
        <w:r w:rsidRPr="005A2B2D">
          <w:rPr>
            <w:rStyle w:val="Lienhypertexte"/>
            <w:lang w:val="fr-FR"/>
          </w:rPr>
          <w:t>CERD/C/SUR/16-18</w:t>
        </w:r>
      </w:hyperlink>
      <w:r>
        <w:rPr>
          <w:lang w:val="fr-FR"/>
        </w:rPr>
        <w:t>, par. 13 et 14, 41 et 42, et 88.</w:t>
      </w:r>
    </w:p>
  </w:footnote>
  <w:footnote w:id="4">
    <w:p w14:paraId="6F7AF8A5" w14:textId="3C7FC6FF" w:rsidR="00CA2A6E" w:rsidRPr="00D01FCD" w:rsidRDefault="00CA2A6E" w:rsidP="00CA2A6E">
      <w:pPr>
        <w:pStyle w:val="Notedebasdepage"/>
      </w:pPr>
      <w:r w:rsidRPr="000E1295">
        <w:rPr>
          <w:lang w:val="fr-FR"/>
        </w:rPr>
        <w:tab/>
      </w:r>
      <w:r w:rsidRPr="000E1295">
        <w:rPr>
          <w:rStyle w:val="Appelnotedebasdep"/>
          <w:lang w:val="fr-FR"/>
        </w:rPr>
        <w:footnoteRef/>
      </w:r>
      <w:r>
        <w:rPr>
          <w:lang w:val="fr-FR"/>
        </w:rPr>
        <w:tab/>
      </w:r>
      <w:hyperlink r:id="rId3" w:history="1">
        <w:r w:rsidRPr="005A2B2D">
          <w:rPr>
            <w:rStyle w:val="Lienhypertexte"/>
            <w:lang w:val="fr-FR"/>
          </w:rPr>
          <w:t>CERD/C/SUR/CO/13-15</w:t>
        </w:r>
      </w:hyperlink>
      <w:r>
        <w:rPr>
          <w:lang w:val="fr-FR"/>
        </w:rPr>
        <w:t>, par. 10</w:t>
      </w:r>
      <w:r>
        <w:rPr>
          <w:lang w:val="fr-FR"/>
        </w:rPr>
        <w:t> </w:t>
      </w:r>
      <w:r>
        <w:rPr>
          <w:lang w:val="fr-FR"/>
        </w:rPr>
        <w:t xml:space="preserve">; et </w:t>
      </w:r>
      <w:hyperlink r:id="rId4" w:history="1">
        <w:r w:rsidRPr="005A2B2D">
          <w:rPr>
            <w:rStyle w:val="Lienhypertexte"/>
            <w:lang w:val="fr-FR"/>
          </w:rPr>
          <w:t>CERD/C/SUR/16-18</w:t>
        </w:r>
      </w:hyperlink>
      <w:r>
        <w:rPr>
          <w:lang w:val="fr-FR"/>
        </w:rPr>
        <w:t>, par. 19 à 22 et 81 à 85.</w:t>
      </w:r>
    </w:p>
  </w:footnote>
  <w:footnote w:id="5">
    <w:p w14:paraId="5BA1B90B" w14:textId="1FF406D9" w:rsidR="00CA2A6E" w:rsidRPr="00D01FCD" w:rsidRDefault="00CA2A6E" w:rsidP="00CA2A6E">
      <w:pPr>
        <w:pStyle w:val="Notedebasdepage"/>
      </w:pPr>
      <w:r w:rsidRPr="000E1295">
        <w:rPr>
          <w:lang w:val="fr-FR"/>
        </w:rPr>
        <w:tab/>
      </w:r>
      <w:r w:rsidRPr="000E1295">
        <w:rPr>
          <w:rStyle w:val="Appelnotedebasdep"/>
          <w:lang w:val="fr-FR"/>
        </w:rPr>
        <w:footnoteRef/>
      </w:r>
      <w:r>
        <w:rPr>
          <w:lang w:val="fr-FR"/>
        </w:rPr>
        <w:tab/>
      </w:r>
      <w:hyperlink r:id="rId5" w:history="1">
        <w:r w:rsidRPr="005A2B2D">
          <w:rPr>
            <w:rStyle w:val="Lienhypertexte"/>
            <w:lang w:val="fr-FR"/>
          </w:rPr>
          <w:t>CERD/C/SUR/CO/13-15</w:t>
        </w:r>
      </w:hyperlink>
      <w:r>
        <w:rPr>
          <w:lang w:val="fr-FR"/>
        </w:rPr>
        <w:t>, par. 16</w:t>
      </w:r>
      <w:r>
        <w:rPr>
          <w:lang w:val="fr-FR"/>
        </w:rPr>
        <w:t> </w:t>
      </w:r>
      <w:r>
        <w:rPr>
          <w:lang w:val="fr-FR"/>
        </w:rPr>
        <w:t xml:space="preserve">; </w:t>
      </w:r>
      <w:hyperlink r:id="rId6" w:history="1">
        <w:r w:rsidRPr="005A2B2D">
          <w:rPr>
            <w:rStyle w:val="Lienhypertexte"/>
            <w:lang w:val="fr-FR"/>
          </w:rPr>
          <w:t>CERD/C/SUR/16-18</w:t>
        </w:r>
      </w:hyperlink>
      <w:r>
        <w:rPr>
          <w:lang w:val="fr-FR"/>
        </w:rPr>
        <w:t>, par. 25 à 28.</w:t>
      </w:r>
    </w:p>
  </w:footnote>
  <w:footnote w:id="6">
    <w:p w14:paraId="6644B26F" w14:textId="06D15A6C" w:rsidR="00CA2A6E" w:rsidRPr="00D01FCD" w:rsidRDefault="00CA2A6E" w:rsidP="00CA2A6E">
      <w:pPr>
        <w:pStyle w:val="Notedebasdepage"/>
      </w:pPr>
      <w:r w:rsidRPr="000E1295">
        <w:rPr>
          <w:lang w:val="fr-FR"/>
        </w:rPr>
        <w:tab/>
      </w:r>
      <w:r w:rsidRPr="000E1295">
        <w:rPr>
          <w:rStyle w:val="Appelnotedebasdep"/>
          <w:lang w:val="fr-FR"/>
        </w:rPr>
        <w:footnoteRef/>
      </w:r>
      <w:r>
        <w:rPr>
          <w:lang w:val="fr-FR"/>
        </w:rPr>
        <w:tab/>
      </w:r>
      <w:hyperlink r:id="rId7" w:history="1">
        <w:r w:rsidRPr="00E82A36">
          <w:rPr>
            <w:rStyle w:val="Lienhypertexte"/>
            <w:lang w:val="fr-FR"/>
          </w:rPr>
          <w:t>CERD/C/SUR/CO/13-15</w:t>
        </w:r>
      </w:hyperlink>
      <w:r>
        <w:rPr>
          <w:lang w:val="fr-FR"/>
        </w:rPr>
        <w:t>, par. 14</w:t>
      </w:r>
      <w:r>
        <w:rPr>
          <w:lang w:val="fr-FR"/>
        </w:rPr>
        <w:t> </w:t>
      </w:r>
      <w:r>
        <w:rPr>
          <w:lang w:val="fr-FR"/>
        </w:rPr>
        <w:t xml:space="preserve">; </w:t>
      </w:r>
      <w:hyperlink r:id="rId8" w:history="1">
        <w:r w:rsidRPr="00E82A36">
          <w:rPr>
            <w:rStyle w:val="Lienhypertexte"/>
            <w:lang w:val="fr-FR"/>
          </w:rPr>
          <w:t>CERD/C/SUR/16-18</w:t>
        </w:r>
      </w:hyperlink>
      <w:r>
        <w:rPr>
          <w:lang w:val="fr-FR"/>
        </w:rPr>
        <w:t>, par. 24.</w:t>
      </w:r>
    </w:p>
  </w:footnote>
  <w:footnote w:id="7">
    <w:p w14:paraId="747E4B8D" w14:textId="51D39776" w:rsidR="00CA2A6E" w:rsidRPr="00D01FCD" w:rsidRDefault="00CA2A6E" w:rsidP="00CA2A6E">
      <w:pPr>
        <w:pStyle w:val="Notedebasdepage"/>
      </w:pPr>
      <w:r w:rsidRPr="000E1295">
        <w:rPr>
          <w:lang w:val="fr-FR"/>
        </w:rPr>
        <w:tab/>
      </w:r>
      <w:r w:rsidRPr="000E1295">
        <w:rPr>
          <w:rStyle w:val="Appelnotedebasdep"/>
          <w:lang w:val="fr-FR"/>
        </w:rPr>
        <w:footnoteRef/>
      </w:r>
      <w:r>
        <w:rPr>
          <w:lang w:val="fr-FR"/>
        </w:rPr>
        <w:tab/>
      </w:r>
      <w:hyperlink r:id="rId9" w:history="1">
        <w:r w:rsidRPr="00E82A36">
          <w:rPr>
            <w:rStyle w:val="Lienhypertexte"/>
            <w:lang w:val="fr-FR"/>
          </w:rPr>
          <w:t>CERD/C/SUR/CO/13-15</w:t>
        </w:r>
      </w:hyperlink>
      <w:r>
        <w:rPr>
          <w:lang w:val="fr-FR"/>
        </w:rPr>
        <w:t xml:space="preserve">, par. </w:t>
      </w:r>
      <w:r w:rsidRPr="00DD4376">
        <w:rPr>
          <w:lang w:val="fr-FR"/>
        </w:rPr>
        <w:t>24</w:t>
      </w:r>
      <w:r w:rsidR="00DD4376">
        <w:rPr>
          <w:lang w:val="fr-FR"/>
        </w:rPr>
        <w:t> </w:t>
      </w:r>
      <w:r w:rsidRPr="00DD4376">
        <w:rPr>
          <w:lang w:val="fr-FR"/>
        </w:rPr>
        <w:t xml:space="preserve">; </w:t>
      </w:r>
      <w:hyperlink r:id="rId10" w:history="1">
        <w:r w:rsidRPr="00DD4376">
          <w:rPr>
            <w:rStyle w:val="Lienhypertexte"/>
            <w:lang w:val="fr-FR"/>
          </w:rPr>
          <w:t>CERD/C/SUR/16-18</w:t>
        </w:r>
      </w:hyperlink>
      <w:r>
        <w:rPr>
          <w:lang w:val="fr-FR"/>
        </w:rPr>
        <w:t>, par. 52.</w:t>
      </w:r>
    </w:p>
  </w:footnote>
  <w:footnote w:id="8">
    <w:p w14:paraId="2C254A66" w14:textId="3D667757" w:rsidR="00CA2A6E" w:rsidRPr="00D01FCD" w:rsidRDefault="00CA2A6E" w:rsidP="00CA2A6E">
      <w:pPr>
        <w:pStyle w:val="Notedebasdepage"/>
      </w:pPr>
      <w:r w:rsidRPr="000E1295">
        <w:rPr>
          <w:lang w:val="fr-FR"/>
        </w:rPr>
        <w:tab/>
      </w:r>
      <w:r w:rsidRPr="000E1295">
        <w:rPr>
          <w:rStyle w:val="Appelnotedebasdep"/>
          <w:lang w:val="fr-FR"/>
        </w:rPr>
        <w:footnoteRef/>
      </w:r>
      <w:r>
        <w:rPr>
          <w:lang w:val="fr-FR"/>
        </w:rPr>
        <w:tab/>
      </w:r>
      <w:hyperlink r:id="rId11" w:history="1">
        <w:r w:rsidRPr="00E82A36">
          <w:rPr>
            <w:rStyle w:val="Lienhypertexte"/>
            <w:lang w:val="fr-FR"/>
          </w:rPr>
          <w:t>CERD/C/SUR/CO/13-15</w:t>
        </w:r>
      </w:hyperlink>
      <w:r>
        <w:rPr>
          <w:lang w:val="fr-FR"/>
        </w:rPr>
        <w:t>, par. 22 et 26</w:t>
      </w:r>
      <w:r w:rsidR="00DD4376">
        <w:rPr>
          <w:lang w:val="fr-FR"/>
        </w:rPr>
        <w:t> </w:t>
      </w:r>
      <w:r>
        <w:rPr>
          <w:lang w:val="fr-FR"/>
        </w:rPr>
        <w:t xml:space="preserve">; </w:t>
      </w:r>
      <w:hyperlink r:id="rId12" w:history="1">
        <w:r w:rsidRPr="005839A1">
          <w:rPr>
            <w:rStyle w:val="Lienhypertexte"/>
            <w:lang w:val="fr-FR"/>
          </w:rPr>
          <w:t>CERD/C/SUR/16-18</w:t>
        </w:r>
      </w:hyperlink>
      <w:r>
        <w:rPr>
          <w:lang w:val="fr-FR"/>
        </w:rPr>
        <w:t>, par. 52 à 63.</w:t>
      </w:r>
    </w:p>
  </w:footnote>
  <w:footnote w:id="9">
    <w:p w14:paraId="2DA3ED5E" w14:textId="1EFD068B" w:rsidR="00CA2A6E" w:rsidRPr="00D01FCD" w:rsidRDefault="00CA2A6E" w:rsidP="00CA2A6E">
      <w:pPr>
        <w:pStyle w:val="Notedebasdepage"/>
      </w:pPr>
      <w:r w:rsidRPr="000E1295">
        <w:rPr>
          <w:lang w:val="fr-FR"/>
        </w:rPr>
        <w:tab/>
      </w:r>
      <w:r w:rsidRPr="000E1295">
        <w:rPr>
          <w:rStyle w:val="Appelnotedebasdep"/>
          <w:lang w:val="fr-FR"/>
        </w:rPr>
        <w:footnoteRef/>
      </w:r>
      <w:r>
        <w:rPr>
          <w:lang w:val="fr-FR"/>
        </w:rPr>
        <w:tab/>
      </w:r>
      <w:hyperlink r:id="rId13" w:history="1">
        <w:r w:rsidRPr="00E82A36">
          <w:rPr>
            <w:rStyle w:val="Lienhypertexte"/>
            <w:lang w:val="fr-FR"/>
          </w:rPr>
          <w:t>CERD/C/SUR/CO/13-15,</w:t>
        </w:r>
      </w:hyperlink>
      <w:r>
        <w:rPr>
          <w:lang w:val="fr-FR"/>
        </w:rPr>
        <w:t xml:space="preserve"> par. 22 et 26</w:t>
      </w:r>
      <w:r w:rsidR="00DD4376">
        <w:rPr>
          <w:lang w:val="fr-FR"/>
        </w:rPr>
        <w:t> </w:t>
      </w:r>
      <w:r>
        <w:rPr>
          <w:lang w:val="fr-FR"/>
        </w:rPr>
        <w:t xml:space="preserve">; </w:t>
      </w:r>
      <w:hyperlink r:id="rId14" w:history="1">
        <w:r w:rsidRPr="005839A1">
          <w:rPr>
            <w:rStyle w:val="Lienhypertexte"/>
            <w:lang w:val="fr-FR"/>
          </w:rPr>
          <w:t>CERD/C/SUR/16-18</w:t>
        </w:r>
      </w:hyperlink>
      <w:r>
        <w:rPr>
          <w:lang w:val="fr-FR"/>
        </w:rPr>
        <w:t>, par. 52 à 63.</w:t>
      </w:r>
    </w:p>
  </w:footnote>
  <w:footnote w:id="10">
    <w:p w14:paraId="04D5FF7A" w14:textId="115BAB43" w:rsidR="00CA2A6E" w:rsidRPr="00D01FCD" w:rsidRDefault="00CA2A6E" w:rsidP="00CA2A6E">
      <w:pPr>
        <w:pStyle w:val="Notedebasdepage"/>
      </w:pPr>
      <w:r w:rsidRPr="000E1295">
        <w:rPr>
          <w:lang w:val="fr-FR"/>
        </w:rPr>
        <w:tab/>
      </w:r>
      <w:r w:rsidRPr="000E1295">
        <w:rPr>
          <w:rStyle w:val="Appelnotedebasdep"/>
          <w:lang w:val="fr-FR"/>
        </w:rPr>
        <w:footnoteRef/>
      </w:r>
      <w:r>
        <w:rPr>
          <w:lang w:val="fr-FR"/>
        </w:rPr>
        <w:tab/>
      </w:r>
      <w:hyperlink r:id="rId15" w:history="1">
        <w:r w:rsidRPr="00E82A36">
          <w:rPr>
            <w:rStyle w:val="Lienhypertexte"/>
            <w:lang w:val="fr-FR"/>
          </w:rPr>
          <w:t>CERD/C/SUR/CO/13-15</w:t>
        </w:r>
      </w:hyperlink>
      <w:r>
        <w:rPr>
          <w:lang w:val="fr-FR"/>
        </w:rPr>
        <w:t>, par. 28</w:t>
      </w:r>
      <w:r w:rsidR="00DD4376">
        <w:rPr>
          <w:lang w:val="fr-FR"/>
        </w:rPr>
        <w:t> </w:t>
      </w:r>
      <w:r>
        <w:rPr>
          <w:lang w:val="fr-FR"/>
        </w:rPr>
        <w:t xml:space="preserve">; </w:t>
      </w:r>
      <w:hyperlink r:id="rId16" w:history="1">
        <w:r w:rsidRPr="005839A1">
          <w:rPr>
            <w:rStyle w:val="Lienhypertexte"/>
            <w:lang w:val="fr-FR"/>
          </w:rPr>
          <w:t>CERD/C/SUR/16-18</w:t>
        </w:r>
      </w:hyperlink>
      <w:r>
        <w:rPr>
          <w:lang w:val="fr-FR"/>
        </w:rPr>
        <w:t>, par. 66 à 72.</w:t>
      </w:r>
    </w:p>
  </w:footnote>
  <w:footnote w:id="11">
    <w:p w14:paraId="20B69402" w14:textId="04C5F34C" w:rsidR="00CA2A6E" w:rsidRPr="00D01FCD" w:rsidRDefault="00CA2A6E" w:rsidP="00CA2A6E">
      <w:pPr>
        <w:pStyle w:val="Notedebasdepage"/>
      </w:pPr>
      <w:r w:rsidRPr="000E1295">
        <w:rPr>
          <w:lang w:val="fr-FR"/>
        </w:rPr>
        <w:tab/>
      </w:r>
      <w:r w:rsidRPr="000E1295">
        <w:rPr>
          <w:rStyle w:val="Appelnotedebasdep"/>
          <w:lang w:val="fr-FR"/>
        </w:rPr>
        <w:footnoteRef/>
      </w:r>
      <w:r>
        <w:rPr>
          <w:lang w:val="fr-FR"/>
        </w:rPr>
        <w:tab/>
      </w:r>
      <w:hyperlink r:id="rId17" w:history="1">
        <w:r w:rsidRPr="005839A1">
          <w:rPr>
            <w:rStyle w:val="Lienhypertexte"/>
            <w:lang w:val="fr-FR"/>
          </w:rPr>
          <w:t>CERD/C/S</w:t>
        </w:r>
        <w:r w:rsidRPr="005839A1">
          <w:rPr>
            <w:rStyle w:val="Lienhypertexte"/>
            <w:lang w:val="fr-FR"/>
          </w:rPr>
          <w:t>U</w:t>
        </w:r>
        <w:r w:rsidRPr="005839A1">
          <w:rPr>
            <w:rStyle w:val="Lienhypertexte"/>
            <w:lang w:val="fr-FR"/>
          </w:rPr>
          <w:t>R/CO/13-15</w:t>
        </w:r>
      </w:hyperlink>
      <w:r>
        <w:rPr>
          <w:lang w:val="fr-FR"/>
        </w:rPr>
        <w:t>, par. 32, 34, 35 et 37</w:t>
      </w:r>
      <w:r w:rsidR="00DD4376">
        <w:rPr>
          <w:lang w:val="fr-FR"/>
        </w:rPr>
        <w:t> </w:t>
      </w:r>
      <w:r>
        <w:rPr>
          <w:lang w:val="fr-FR"/>
        </w:rPr>
        <w:t xml:space="preserve">; </w:t>
      </w:r>
      <w:hyperlink r:id="rId18" w:history="1">
        <w:r w:rsidRPr="005839A1">
          <w:rPr>
            <w:rStyle w:val="Lienhypertexte"/>
            <w:lang w:val="fr-FR"/>
          </w:rPr>
          <w:t>CERD/C/SUR/16-18</w:t>
        </w:r>
      </w:hyperlink>
      <w:r>
        <w:rPr>
          <w:lang w:val="fr-FR"/>
        </w:rPr>
        <w:t>, par. 73 à 76.</w:t>
      </w:r>
    </w:p>
  </w:footnote>
  <w:footnote w:id="12">
    <w:p w14:paraId="1758DC68" w14:textId="38A8512C" w:rsidR="00CA2A6E" w:rsidRPr="00D01FCD" w:rsidRDefault="00CA2A6E" w:rsidP="00CA2A6E">
      <w:pPr>
        <w:pStyle w:val="Notedebasdepage"/>
      </w:pPr>
      <w:r w:rsidRPr="000E1295">
        <w:rPr>
          <w:lang w:val="fr-FR"/>
        </w:rPr>
        <w:tab/>
      </w:r>
      <w:r w:rsidRPr="000E1295">
        <w:rPr>
          <w:rStyle w:val="Appelnotedebasdep"/>
          <w:lang w:val="fr-FR"/>
        </w:rPr>
        <w:footnoteRef/>
      </w:r>
      <w:r>
        <w:rPr>
          <w:lang w:val="fr-FR"/>
        </w:rPr>
        <w:tab/>
      </w:r>
      <w:hyperlink r:id="rId19" w:history="1">
        <w:r w:rsidRPr="005839A1">
          <w:rPr>
            <w:rStyle w:val="Lienhypertexte"/>
            <w:lang w:val="fr-FR"/>
          </w:rPr>
          <w:t>CERD/C/SUR/CO/13-15</w:t>
        </w:r>
      </w:hyperlink>
      <w:r>
        <w:rPr>
          <w:lang w:val="fr-FR"/>
        </w:rPr>
        <w:t>, par. 20</w:t>
      </w:r>
      <w:r w:rsidR="00DD4376">
        <w:rPr>
          <w:lang w:val="fr-FR"/>
        </w:rPr>
        <w:t> </w:t>
      </w:r>
      <w:r>
        <w:rPr>
          <w:lang w:val="fr-FR"/>
        </w:rPr>
        <w:t xml:space="preserve">; </w:t>
      </w:r>
      <w:hyperlink r:id="rId20" w:history="1">
        <w:r w:rsidRPr="005839A1">
          <w:rPr>
            <w:rStyle w:val="Lienhypertexte"/>
            <w:lang w:val="fr-FR"/>
          </w:rPr>
          <w:t>CERD/C/SUR/16-18</w:t>
        </w:r>
      </w:hyperlink>
      <w:r>
        <w:rPr>
          <w:lang w:val="fr-FR"/>
        </w:rPr>
        <w:t>, par. 41 à 51.</w:t>
      </w:r>
    </w:p>
  </w:footnote>
  <w:footnote w:id="13">
    <w:p w14:paraId="470C46CA" w14:textId="00D20F08" w:rsidR="00CA2A6E" w:rsidRPr="00D01FCD" w:rsidRDefault="00CA2A6E" w:rsidP="00CA2A6E">
      <w:pPr>
        <w:pStyle w:val="Notedebasdepage"/>
      </w:pPr>
      <w:r w:rsidRPr="000E1295">
        <w:rPr>
          <w:lang w:val="fr-FR"/>
        </w:rPr>
        <w:tab/>
      </w:r>
      <w:r w:rsidRPr="000E1295">
        <w:rPr>
          <w:rStyle w:val="Appelnotedebasdep"/>
          <w:lang w:val="fr-FR"/>
        </w:rPr>
        <w:footnoteRef/>
      </w:r>
      <w:r>
        <w:rPr>
          <w:lang w:val="fr-FR"/>
        </w:rPr>
        <w:tab/>
      </w:r>
      <w:hyperlink r:id="rId21" w:history="1">
        <w:r w:rsidRPr="005839A1">
          <w:rPr>
            <w:rStyle w:val="Lienhypertexte"/>
            <w:lang w:val="fr-FR"/>
          </w:rPr>
          <w:t>CERD/C/SUR/CO/13-15</w:t>
        </w:r>
      </w:hyperlink>
      <w:r>
        <w:rPr>
          <w:lang w:val="fr-FR"/>
        </w:rPr>
        <w:t>, par. 20</w:t>
      </w:r>
      <w:r w:rsidR="00DD4376">
        <w:rPr>
          <w:lang w:val="fr-FR"/>
        </w:rPr>
        <w:t> </w:t>
      </w:r>
      <w:r>
        <w:rPr>
          <w:lang w:val="fr-FR"/>
        </w:rPr>
        <w:t xml:space="preserve">; </w:t>
      </w:r>
      <w:hyperlink r:id="rId22" w:history="1">
        <w:r w:rsidRPr="005839A1">
          <w:rPr>
            <w:rStyle w:val="Lienhypertexte"/>
            <w:lang w:val="fr-FR"/>
          </w:rPr>
          <w:t>CERD/C/SUR/16-18</w:t>
        </w:r>
      </w:hyperlink>
      <w:r>
        <w:rPr>
          <w:lang w:val="fr-FR"/>
        </w:rPr>
        <w:t>, par. 44.</w:t>
      </w:r>
    </w:p>
  </w:footnote>
  <w:footnote w:id="14">
    <w:p w14:paraId="3D049863" w14:textId="77777777" w:rsidR="00CA2A6E" w:rsidRPr="00D01FCD" w:rsidRDefault="00CA2A6E" w:rsidP="00CA2A6E">
      <w:pPr>
        <w:pStyle w:val="Notedebasdepage"/>
      </w:pPr>
      <w:r w:rsidRPr="000E1295">
        <w:rPr>
          <w:lang w:val="fr-FR"/>
        </w:rPr>
        <w:tab/>
      </w:r>
      <w:r w:rsidRPr="000E1295">
        <w:rPr>
          <w:rStyle w:val="Appelnotedebasdep"/>
          <w:lang w:val="fr-FR"/>
        </w:rPr>
        <w:footnoteRef/>
      </w:r>
      <w:r>
        <w:rPr>
          <w:lang w:val="fr-FR"/>
        </w:rPr>
        <w:tab/>
      </w:r>
      <w:hyperlink r:id="rId23" w:history="1">
        <w:r w:rsidRPr="005839A1">
          <w:rPr>
            <w:rStyle w:val="Lienhypertexte"/>
            <w:lang w:val="fr-FR"/>
          </w:rPr>
          <w:t>CERD/C/SUR/16-18</w:t>
        </w:r>
      </w:hyperlink>
      <w:r>
        <w:rPr>
          <w:lang w:val="fr-FR"/>
        </w:rPr>
        <w:t>, par. 44.</w:t>
      </w:r>
    </w:p>
  </w:footnote>
  <w:footnote w:id="15">
    <w:p w14:paraId="7456E21B" w14:textId="677596FE" w:rsidR="00CA2A6E" w:rsidRPr="00D01FCD" w:rsidRDefault="00CA2A6E" w:rsidP="00CA2A6E">
      <w:pPr>
        <w:pStyle w:val="Notedebasdepage"/>
      </w:pPr>
      <w:r w:rsidRPr="000E1295">
        <w:rPr>
          <w:lang w:val="fr-FR"/>
        </w:rPr>
        <w:tab/>
      </w:r>
      <w:r w:rsidRPr="000E1295">
        <w:rPr>
          <w:rStyle w:val="Appelnotedebasdep"/>
          <w:lang w:val="fr-FR"/>
        </w:rPr>
        <w:footnoteRef/>
      </w:r>
      <w:r>
        <w:rPr>
          <w:lang w:val="fr-FR"/>
        </w:rPr>
        <w:tab/>
      </w:r>
      <w:hyperlink r:id="rId24" w:history="1">
        <w:r w:rsidRPr="005839A1">
          <w:rPr>
            <w:rStyle w:val="Lienhypertexte"/>
            <w:lang w:val="fr-FR"/>
          </w:rPr>
          <w:t>CERD/C/SUR/CO/13-15</w:t>
        </w:r>
      </w:hyperlink>
      <w:r>
        <w:rPr>
          <w:lang w:val="fr-FR"/>
        </w:rPr>
        <w:t>, par. 17</w:t>
      </w:r>
      <w:r w:rsidR="00DD4376">
        <w:rPr>
          <w:lang w:val="fr-FR"/>
        </w:rPr>
        <w:t> </w:t>
      </w:r>
      <w:r>
        <w:rPr>
          <w:lang w:val="fr-FR"/>
        </w:rPr>
        <w:t xml:space="preserve">; </w:t>
      </w:r>
      <w:hyperlink r:id="rId25" w:history="1">
        <w:r w:rsidRPr="005839A1">
          <w:rPr>
            <w:rStyle w:val="Lienhypertexte"/>
            <w:lang w:val="fr-FR"/>
          </w:rPr>
          <w:t>CERD/C/SUR/16-18</w:t>
        </w:r>
      </w:hyperlink>
      <w:r>
        <w:rPr>
          <w:lang w:val="fr-FR"/>
        </w:rPr>
        <w:t>, par. 29 à 44.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2815F" w14:textId="20311B3B" w:rsidR="006F5381" w:rsidRPr="006F5381" w:rsidRDefault="006F5381">
    <w:pPr>
      <w:pStyle w:val="En-tte"/>
    </w:pPr>
    <w:fldSimple w:instr=" TITLE  \* MERGEFORMAT ">
      <w:r>
        <w:t>CERD/C/SUR/Q/16-18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C1B4C" w14:textId="7A30CA89" w:rsidR="006F5381" w:rsidRPr="006F5381" w:rsidRDefault="006F5381" w:rsidP="006F5381">
    <w:pPr>
      <w:pStyle w:val="En-tte"/>
      <w:jc w:val="right"/>
    </w:pPr>
    <w:fldSimple w:instr=" TITLE  \* MERGEFORMAT ">
      <w:r>
        <w:t>CERD/C/SUR/Q/16-18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17B"/>
    <w:rsid w:val="00017F94"/>
    <w:rsid w:val="00023842"/>
    <w:rsid w:val="000334F9"/>
    <w:rsid w:val="0007796D"/>
    <w:rsid w:val="000B7790"/>
    <w:rsid w:val="00111F2F"/>
    <w:rsid w:val="0014365E"/>
    <w:rsid w:val="00176178"/>
    <w:rsid w:val="001F525A"/>
    <w:rsid w:val="00215BEC"/>
    <w:rsid w:val="00223272"/>
    <w:rsid w:val="0024779E"/>
    <w:rsid w:val="00262657"/>
    <w:rsid w:val="00276E8B"/>
    <w:rsid w:val="003E18C1"/>
    <w:rsid w:val="00446FE5"/>
    <w:rsid w:val="00452396"/>
    <w:rsid w:val="004F094E"/>
    <w:rsid w:val="005505B7"/>
    <w:rsid w:val="00573BE5"/>
    <w:rsid w:val="00586ED3"/>
    <w:rsid w:val="00596AA9"/>
    <w:rsid w:val="00623CA8"/>
    <w:rsid w:val="006E0451"/>
    <w:rsid w:val="006F5381"/>
    <w:rsid w:val="00712E6E"/>
    <w:rsid w:val="0071601D"/>
    <w:rsid w:val="00780585"/>
    <w:rsid w:val="00783E9F"/>
    <w:rsid w:val="007A62E6"/>
    <w:rsid w:val="0080684C"/>
    <w:rsid w:val="00871C75"/>
    <w:rsid w:val="008776DC"/>
    <w:rsid w:val="009705C8"/>
    <w:rsid w:val="00984B29"/>
    <w:rsid w:val="009D5F1A"/>
    <w:rsid w:val="00A30353"/>
    <w:rsid w:val="00AC3823"/>
    <w:rsid w:val="00AE323C"/>
    <w:rsid w:val="00B00181"/>
    <w:rsid w:val="00B765F7"/>
    <w:rsid w:val="00BA0CA9"/>
    <w:rsid w:val="00BB0B66"/>
    <w:rsid w:val="00BB19C3"/>
    <w:rsid w:val="00C02897"/>
    <w:rsid w:val="00CA2A6E"/>
    <w:rsid w:val="00D3439C"/>
    <w:rsid w:val="00DB1831"/>
    <w:rsid w:val="00DC0149"/>
    <w:rsid w:val="00DD3BFD"/>
    <w:rsid w:val="00DD4376"/>
    <w:rsid w:val="00DF6678"/>
    <w:rsid w:val="00F5417B"/>
    <w:rsid w:val="00F660DF"/>
    <w:rsid w:val="00F810F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2492D46C"/>
  <w15:docId w15:val="{8DE6C4CF-5FAE-4D32-B4FC-E179388D9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DD43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CERD/C/SUR/16-18" TargetMode="External"/><Relationship Id="rId13" Type="http://schemas.openxmlformats.org/officeDocument/2006/relationships/hyperlink" Target="https://undocs.org/CERD/C/SUR/CO/13-15" TargetMode="External"/><Relationship Id="rId18" Type="http://schemas.openxmlformats.org/officeDocument/2006/relationships/hyperlink" Target="https://undocs.org/CERD/C/SUR/16-18" TargetMode="External"/><Relationship Id="rId3" Type="http://schemas.openxmlformats.org/officeDocument/2006/relationships/hyperlink" Target="https://undocs.org/CERD/C/SUR/CO/13-15" TargetMode="External"/><Relationship Id="rId21" Type="http://schemas.openxmlformats.org/officeDocument/2006/relationships/hyperlink" Target="https://undocs.org/CERD/C/SUR/CO/13-15" TargetMode="External"/><Relationship Id="rId7" Type="http://schemas.openxmlformats.org/officeDocument/2006/relationships/hyperlink" Target="https://undocs.org/CERD/C/SUR/CO/13-15" TargetMode="External"/><Relationship Id="rId12" Type="http://schemas.openxmlformats.org/officeDocument/2006/relationships/hyperlink" Target="https://undocs.org/CERD/C/SUR/16-18" TargetMode="External"/><Relationship Id="rId17" Type="http://schemas.openxmlformats.org/officeDocument/2006/relationships/hyperlink" Target="https://undocs.org/CERD/C/SUR/CO/13-15" TargetMode="External"/><Relationship Id="rId25" Type="http://schemas.openxmlformats.org/officeDocument/2006/relationships/hyperlink" Target="https://undocs.org/CERD/C/SUR/16-18" TargetMode="External"/><Relationship Id="rId2" Type="http://schemas.openxmlformats.org/officeDocument/2006/relationships/hyperlink" Target="https://undocs.org/CERD/C/SUR/16-18" TargetMode="External"/><Relationship Id="rId16" Type="http://schemas.openxmlformats.org/officeDocument/2006/relationships/hyperlink" Target="https://undocs.org/CERD/C/SUR/16-18" TargetMode="External"/><Relationship Id="rId20" Type="http://schemas.openxmlformats.org/officeDocument/2006/relationships/hyperlink" Target="https://undocs.org/CERD/C/SUR/16-18" TargetMode="External"/><Relationship Id="rId1" Type="http://schemas.openxmlformats.org/officeDocument/2006/relationships/hyperlink" Target="http://undocs.org/fr/A/65/18" TargetMode="External"/><Relationship Id="rId6" Type="http://schemas.openxmlformats.org/officeDocument/2006/relationships/hyperlink" Target="https://undocs.org/CERD/C/SUR/16-18" TargetMode="External"/><Relationship Id="rId11" Type="http://schemas.openxmlformats.org/officeDocument/2006/relationships/hyperlink" Target="https://undocs.org/CERD/C/SUR/CO/13-15" TargetMode="External"/><Relationship Id="rId24" Type="http://schemas.openxmlformats.org/officeDocument/2006/relationships/hyperlink" Target="https://undocs.org/CERD/C/SUR/CO/13-15" TargetMode="External"/><Relationship Id="rId5" Type="http://schemas.openxmlformats.org/officeDocument/2006/relationships/hyperlink" Target="https://undocs.org/CERD/C/SUR/CO/13-15" TargetMode="External"/><Relationship Id="rId15" Type="http://schemas.openxmlformats.org/officeDocument/2006/relationships/hyperlink" Target="https://undocs.org/CERD/C/SUR/CO/13-15" TargetMode="External"/><Relationship Id="rId23" Type="http://schemas.openxmlformats.org/officeDocument/2006/relationships/hyperlink" Target="https://undocs.org/CERD/C/SUR/16-18" TargetMode="External"/><Relationship Id="rId10" Type="http://schemas.openxmlformats.org/officeDocument/2006/relationships/hyperlink" Target="https://undocs.org/fr/CERD/C/SUR/16-18" TargetMode="External"/><Relationship Id="rId19" Type="http://schemas.openxmlformats.org/officeDocument/2006/relationships/hyperlink" Target="https://undocs.org/CERD/C/SUR/CO/13-15" TargetMode="External"/><Relationship Id="rId4" Type="http://schemas.openxmlformats.org/officeDocument/2006/relationships/hyperlink" Target="https://undocs.org/CERD/C/SUR/16-18" TargetMode="External"/><Relationship Id="rId9" Type="http://schemas.openxmlformats.org/officeDocument/2006/relationships/hyperlink" Target="https://undocs.org/CERD/C/SUR/CO/13-15" TargetMode="External"/><Relationship Id="rId14" Type="http://schemas.openxmlformats.org/officeDocument/2006/relationships/hyperlink" Target="https://undocs.org/CERD/C/SUR/16-18" TargetMode="External"/><Relationship Id="rId22" Type="http://schemas.openxmlformats.org/officeDocument/2006/relationships/hyperlink" Target="https://undocs.org/CERD/C/SUR/16-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1198</Words>
  <Characters>6834</Characters>
  <Application>Microsoft Office Word</Application>
  <DocSecurity>0</DocSecurity>
  <Lines>56</Lines>
  <Paragraphs>16</Paragraphs>
  <ScaleCrop>false</ScaleCrop>
  <HeadingPairs>
    <vt:vector size="2" baseType="variant">
      <vt:variant>
        <vt:lpstr>Titre</vt:lpstr>
      </vt:variant>
      <vt:variant>
        <vt:i4>1</vt:i4>
      </vt:variant>
    </vt:vector>
  </HeadingPairs>
  <TitlesOfParts>
    <vt:vector size="1" baseType="lpstr">
      <vt:lpstr>CERD/C/SUR/Q/16-18</vt:lpstr>
    </vt:vector>
  </TitlesOfParts>
  <Company>DCM</Company>
  <LinksUpToDate>false</LinksUpToDate>
  <CharactersWithSpaces>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CERD/C/SUR/Q/16-18</dc:title>
  <dc:subject/>
  <dc:creator>Sandrine CLERE</dc:creator>
  <cp:keywords/>
  <dc:description/>
  <cp:lastModifiedBy>Sandrine Clere</cp:lastModifiedBy>
  <cp:revision>2</cp:revision>
  <cp:lastPrinted>2014-05-14T10:59:00Z</cp:lastPrinted>
  <dcterms:created xsi:type="dcterms:W3CDTF">2022-07-01T08:05:00Z</dcterms:created>
  <dcterms:modified xsi:type="dcterms:W3CDTF">2022-07-01T08:05:00Z</dcterms:modified>
</cp:coreProperties>
</file>