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D15A7"/>
    <w:p w:rsidR="00000000" w:rsidRDefault="003D15A7">
      <w:pPr>
        <w:spacing w:after="320"/>
        <w:textAlignment w:val="center"/>
      </w:pPr>
      <w:r>
        <w:t>1999</w:t>
      </w:r>
      <w:r>
        <w:rPr>
          <w:rFonts w:hint="eastAsia"/>
        </w:rPr>
        <w:t>年实质性会议</w:t>
      </w:r>
    </w:p>
    <w:p w:rsidR="00000000" w:rsidRDefault="003D15A7"/>
    <w:p w:rsidR="00000000" w:rsidRDefault="003D15A7">
      <w:pPr>
        <w:pStyle w:val="Heading2"/>
      </w:pPr>
      <w:r>
        <w:rPr>
          <w:rFonts w:hint="eastAsia"/>
        </w:rPr>
        <w:t>《经济、社会、文化权利</w:t>
      </w:r>
      <w:r>
        <w:br/>
      </w:r>
      <w:r>
        <w:rPr>
          <w:rFonts w:hint="eastAsia"/>
        </w:rPr>
        <w:t>国际盟约》的执行情况</w:t>
      </w:r>
    </w:p>
    <w:p w:rsidR="00000000" w:rsidRDefault="003D15A7">
      <w:pPr>
        <w:pStyle w:val="Heading3"/>
      </w:pPr>
      <w:r>
        <w:rPr>
          <w:rFonts w:hint="eastAsia"/>
        </w:rPr>
        <w:t>缔约国依照《盟约》第</w:t>
      </w:r>
      <w:r>
        <w:t>16</w:t>
      </w:r>
      <w:r>
        <w:rPr>
          <w:rFonts w:hint="eastAsia"/>
        </w:rPr>
        <w:t>条和第</w:t>
      </w:r>
      <w:r>
        <w:t>17</w:t>
      </w:r>
      <w:r>
        <w:rPr>
          <w:rFonts w:hint="eastAsia"/>
        </w:rPr>
        <w:t>条</w:t>
      </w:r>
      <w:r>
        <w:br/>
      </w:r>
      <w:r>
        <w:rPr>
          <w:rFonts w:hint="eastAsia"/>
        </w:rPr>
        <w:t>提交的第二次定期报告</w:t>
      </w:r>
    </w:p>
    <w:p w:rsidR="00000000" w:rsidRDefault="003D15A7">
      <w:pPr>
        <w:pStyle w:val="Heading3"/>
      </w:pPr>
      <w:r>
        <w:rPr>
          <w:rFonts w:hint="eastAsia"/>
        </w:rPr>
        <w:t>增</w:t>
      </w:r>
      <w:r>
        <w:t xml:space="preserve">  </w:t>
      </w:r>
      <w:r>
        <w:rPr>
          <w:rFonts w:hint="eastAsia"/>
        </w:rPr>
        <w:t>编</w:t>
      </w:r>
    </w:p>
    <w:p w:rsidR="00000000" w:rsidRDefault="003D15A7">
      <w:pPr>
        <w:pStyle w:val="Heading2"/>
        <w:textAlignment w:val="center"/>
      </w:pPr>
      <w:r>
        <w:t xml:space="preserve">  </w:t>
      </w:r>
      <w:r>
        <w:rPr>
          <w:rFonts w:hint="eastAsia"/>
        </w:rPr>
        <w:t>摩</w:t>
      </w:r>
      <w:r>
        <w:t xml:space="preserve"> </w:t>
      </w:r>
      <w:r>
        <w:rPr>
          <w:rFonts w:hint="eastAsia"/>
        </w:rPr>
        <w:t>洛</w:t>
      </w:r>
      <w:r>
        <w:t xml:space="preserve"> </w:t>
      </w:r>
      <w:r>
        <w:rPr>
          <w:rFonts w:hint="eastAsia"/>
        </w:rPr>
        <w:t>哥</w:t>
      </w:r>
      <w:r>
        <w:rPr>
          <w:rStyle w:val="FootnoteReference"/>
        </w:rPr>
        <w:footnoteReference w:customMarkFollows="1" w:id="1"/>
        <w:t>*</w:t>
      </w:r>
      <w:r>
        <w:t xml:space="preserve"> </w:t>
      </w:r>
      <w:r>
        <w:rPr>
          <w:rStyle w:val="FootnoteReference"/>
        </w:rPr>
        <w:footnoteReference w:customMarkFollows="1" w:id="2"/>
        <w:t>**</w:t>
      </w:r>
      <w:r>
        <w:t xml:space="preserve"> </w:t>
      </w:r>
    </w:p>
    <w:p w:rsidR="00000000" w:rsidRDefault="003D15A7">
      <w:pPr>
        <w:spacing w:after="320"/>
        <w:ind w:left="6734"/>
        <w:textAlignment w:val="center"/>
      </w:pPr>
      <w:r>
        <w:rPr>
          <w:rFonts w:hint="eastAsia"/>
        </w:rPr>
        <w:t>［</w:t>
      </w:r>
      <w:r>
        <w:t>1998</w:t>
      </w:r>
      <w:r>
        <w:rPr>
          <w:rFonts w:hint="eastAsia"/>
        </w:rPr>
        <w:t>年</w:t>
      </w:r>
      <w:r>
        <w:t>8</w:t>
      </w:r>
      <w:r>
        <w:rPr>
          <w:rFonts w:hint="eastAsia"/>
        </w:rPr>
        <w:t>月</w:t>
      </w:r>
      <w:r>
        <w:t>27</w:t>
      </w:r>
      <w:r>
        <w:rPr>
          <w:rFonts w:hint="eastAsia"/>
        </w:rPr>
        <w:t>日］</w:t>
      </w:r>
    </w:p>
    <w:p w:rsidR="00000000" w:rsidRDefault="003D15A7">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br w:type="page"/>
      </w: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p>
    <w:p w:rsidR="00000000" w:rsidRDefault="003D15A7">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3D15A7">
      <w:pPr>
        <w:pStyle w:val="a3"/>
        <w:spacing w:after="240"/>
        <w:textAlignment w:val="center"/>
      </w:pPr>
      <w:r>
        <w:rPr>
          <w:rFonts w:hint="eastAsia"/>
        </w:rPr>
        <w:t>导言</w:t>
      </w:r>
      <w:r>
        <w:t>.............</w:t>
      </w:r>
      <w:r>
        <w:t>........</w:t>
      </w:r>
      <w:r>
        <w:tab/>
      </w:r>
      <w:r>
        <w:tab/>
      </w:r>
      <w:r>
        <w:tab/>
        <w:t>1</w:t>
      </w:r>
      <w:r>
        <w:tab/>
        <w:t>-</w:t>
      </w:r>
      <w:r>
        <w:tab/>
        <w:t>3</w:t>
      </w:r>
      <w:r>
        <w:tab/>
        <w:t>5</w:t>
      </w:r>
    </w:p>
    <w:p w:rsidR="00000000" w:rsidRDefault="003D15A7">
      <w:pPr>
        <w:pStyle w:val="Heading2"/>
        <w:spacing w:after="160"/>
        <w:textAlignment w:val="center"/>
        <w:rPr>
          <w:rFonts w:eastAsia="SimHei"/>
          <w:color w:val="auto"/>
          <w:kern w:val="24"/>
          <w:sz w:val="24"/>
        </w:rPr>
      </w:pPr>
      <w:r>
        <w:rPr>
          <w:rFonts w:eastAsia="SimHei" w:hint="eastAsia"/>
          <w:color w:val="auto"/>
          <w:kern w:val="24"/>
          <w:sz w:val="24"/>
        </w:rPr>
        <w:t>第</w:t>
      </w:r>
      <w:r>
        <w:rPr>
          <w:rFonts w:eastAsia="SimHei"/>
          <w:color w:val="auto"/>
          <w:kern w:val="24"/>
          <w:sz w:val="24"/>
        </w:rPr>
        <w:t xml:space="preserve"> </w:t>
      </w:r>
      <w:r>
        <w:rPr>
          <w:rFonts w:eastAsia="SimHei" w:hint="eastAsia"/>
          <w:color w:val="auto"/>
          <w:kern w:val="24"/>
          <w:sz w:val="24"/>
        </w:rPr>
        <w:t>一</w:t>
      </w:r>
      <w:r>
        <w:rPr>
          <w:rFonts w:eastAsia="SimHei"/>
          <w:color w:val="auto"/>
          <w:kern w:val="24"/>
          <w:sz w:val="24"/>
        </w:rPr>
        <w:t xml:space="preserve"> </w:t>
      </w:r>
      <w:r>
        <w:rPr>
          <w:rFonts w:eastAsia="SimHei" w:hint="eastAsia"/>
          <w:color w:val="auto"/>
          <w:kern w:val="24"/>
          <w:sz w:val="24"/>
        </w:rPr>
        <w:t>部</w:t>
      </w:r>
      <w:r>
        <w:rPr>
          <w:rFonts w:eastAsia="SimHei"/>
          <w:color w:val="auto"/>
          <w:kern w:val="24"/>
          <w:sz w:val="24"/>
        </w:rPr>
        <w:t xml:space="preserve"> </w:t>
      </w:r>
      <w:r>
        <w:rPr>
          <w:rFonts w:eastAsia="SimHei" w:hint="eastAsia"/>
          <w:color w:val="auto"/>
          <w:kern w:val="24"/>
          <w:sz w:val="24"/>
        </w:rPr>
        <w:t>分</w:t>
      </w:r>
    </w:p>
    <w:p w:rsidR="00000000" w:rsidRDefault="003D15A7">
      <w:pPr>
        <w:pStyle w:val="Heading2"/>
        <w:rPr>
          <w:rFonts w:eastAsia="SimHei"/>
          <w:color w:val="auto"/>
          <w:kern w:val="24"/>
          <w:sz w:val="24"/>
        </w:rPr>
      </w:pPr>
      <w:r>
        <w:rPr>
          <w:rFonts w:eastAsia="SimHei" w:hint="eastAsia"/>
          <w:color w:val="auto"/>
          <w:kern w:val="24"/>
          <w:sz w:val="24"/>
        </w:rPr>
        <w:t>概</w:t>
      </w:r>
      <w:r>
        <w:rPr>
          <w:rFonts w:eastAsia="SimHei"/>
          <w:color w:val="auto"/>
          <w:kern w:val="24"/>
          <w:sz w:val="24"/>
        </w:rPr>
        <w:t xml:space="preserve">  </w:t>
      </w:r>
      <w:r>
        <w:rPr>
          <w:rFonts w:eastAsia="SimHei" w:hint="eastAsia"/>
          <w:color w:val="auto"/>
          <w:kern w:val="24"/>
          <w:sz w:val="24"/>
        </w:rPr>
        <w:t>况</w:t>
      </w:r>
    </w:p>
    <w:p w:rsidR="00000000" w:rsidRDefault="003D15A7">
      <w:pPr>
        <w:pStyle w:val="a3"/>
      </w:pPr>
      <w:r>
        <w:rPr>
          <w:rFonts w:hint="eastAsia"/>
        </w:rPr>
        <w:t>一、土地和人民</w:t>
      </w:r>
      <w:r>
        <w:tab/>
      </w:r>
      <w:r>
        <w:tab/>
      </w:r>
      <w:r>
        <w:tab/>
        <w:t>4</w:t>
      </w:r>
      <w:r>
        <w:tab/>
        <w:t>-</w:t>
      </w:r>
      <w:r>
        <w:tab/>
        <w:t>7</w:t>
      </w:r>
      <w:r>
        <w:tab/>
        <w:t>6</w:t>
      </w:r>
    </w:p>
    <w:p w:rsidR="00000000" w:rsidRDefault="003D15A7">
      <w:pPr>
        <w:pStyle w:val="a3"/>
        <w:spacing w:after="320"/>
        <w:textAlignment w:val="center"/>
      </w:pPr>
      <w:r>
        <w:rPr>
          <w:rFonts w:hint="eastAsia"/>
        </w:rPr>
        <w:t>二、总的政治结构</w:t>
      </w:r>
      <w:r>
        <w:tab/>
      </w:r>
      <w:r>
        <w:tab/>
        <w:t>8</w:t>
      </w:r>
      <w:r>
        <w:tab/>
        <w:t>-</w:t>
      </w:r>
      <w:r>
        <w:tab/>
        <w:t>17</w:t>
      </w:r>
      <w:r>
        <w:tab/>
        <w:t>6</w:t>
      </w:r>
    </w:p>
    <w:p w:rsidR="00000000" w:rsidRDefault="003D15A7">
      <w:pPr>
        <w:pStyle w:val="Heading2"/>
        <w:spacing w:after="160"/>
        <w:textAlignment w:val="center"/>
        <w:rPr>
          <w:rFonts w:eastAsia="SimHei"/>
          <w:color w:val="auto"/>
          <w:kern w:val="24"/>
          <w:sz w:val="24"/>
        </w:rPr>
      </w:pPr>
      <w:r>
        <w:rPr>
          <w:rFonts w:eastAsia="SimHei" w:hint="eastAsia"/>
          <w:color w:val="auto"/>
          <w:kern w:val="24"/>
          <w:sz w:val="24"/>
        </w:rPr>
        <w:t>第</w:t>
      </w:r>
      <w:r>
        <w:rPr>
          <w:rFonts w:eastAsia="SimHei"/>
          <w:color w:val="auto"/>
          <w:kern w:val="24"/>
          <w:sz w:val="24"/>
        </w:rPr>
        <w:t xml:space="preserve"> </w:t>
      </w:r>
      <w:r>
        <w:rPr>
          <w:rFonts w:eastAsia="SimHei" w:hint="eastAsia"/>
          <w:color w:val="auto"/>
          <w:kern w:val="24"/>
          <w:sz w:val="24"/>
        </w:rPr>
        <w:t>二</w:t>
      </w:r>
      <w:r>
        <w:rPr>
          <w:rFonts w:eastAsia="SimHei"/>
          <w:color w:val="auto"/>
          <w:kern w:val="24"/>
          <w:sz w:val="24"/>
        </w:rPr>
        <w:t xml:space="preserve"> </w:t>
      </w:r>
      <w:r>
        <w:rPr>
          <w:rFonts w:eastAsia="SimHei" w:hint="eastAsia"/>
          <w:color w:val="auto"/>
          <w:kern w:val="24"/>
          <w:sz w:val="24"/>
        </w:rPr>
        <w:t>部</w:t>
      </w:r>
      <w:r>
        <w:rPr>
          <w:rFonts w:eastAsia="SimHei"/>
          <w:color w:val="auto"/>
          <w:kern w:val="24"/>
          <w:sz w:val="24"/>
        </w:rPr>
        <w:t xml:space="preserve"> </w:t>
      </w:r>
      <w:r>
        <w:rPr>
          <w:rFonts w:eastAsia="SimHei" w:hint="eastAsia"/>
          <w:color w:val="auto"/>
          <w:kern w:val="24"/>
          <w:sz w:val="24"/>
        </w:rPr>
        <w:t>分</w:t>
      </w:r>
    </w:p>
    <w:p w:rsidR="00000000" w:rsidRDefault="003D15A7">
      <w:pPr>
        <w:pStyle w:val="Heading2"/>
        <w:rPr>
          <w:rFonts w:eastAsia="SimHei"/>
          <w:color w:val="auto"/>
          <w:kern w:val="24"/>
          <w:sz w:val="24"/>
        </w:rPr>
      </w:pPr>
      <w:r>
        <w:rPr>
          <w:rFonts w:eastAsia="SimHei" w:hint="eastAsia"/>
          <w:color w:val="auto"/>
          <w:kern w:val="24"/>
          <w:sz w:val="24"/>
        </w:rPr>
        <w:t>关于盟约第</w:t>
      </w:r>
      <w:r>
        <w:rPr>
          <w:rFonts w:eastAsia="SimHei"/>
          <w:color w:val="auto"/>
          <w:kern w:val="24"/>
          <w:sz w:val="24"/>
        </w:rPr>
        <w:t>1</w:t>
      </w:r>
      <w:r>
        <w:rPr>
          <w:rFonts w:eastAsia="SimHei" w:hint="eastAsia"/>
          <w:color w:val="auto"/>
          <w:kern w:val="24"/>
          <w:sz w:val="24"/>
        </w:rPr>
        <w:t>条至第</w:t>
      </w:r>
      <w:r>
        <w:rPr>
          <w:rFonts w:eastAsia="SimHei"/>
          <w:color w:val="auto"/>
          <w:kern w:val="24"/>
          <w:sz w:val="24"/>
        </w:rPr>
        <w:t>15</w:t>
      </w:r>
      <w:r>
        <w:rPr>
          <w:rFonts w:eastAsia="SimHei" w:hint="eastAsia"/>
          <w:color w:val="auto"/>
          <w:kern w:val="24"/>
          <w:sz w:val="24"/>
        </w:rPr>
        <w:t>条的情况</w:t>
      </w:r>
    </w:p>
    <w:p w:rsidR="00000000" w:rsidRDefault="003D15A7">
      <w:pPr>
        <w:pStyle w:val="a3"/>
      </w:pPr>
      <w:r>
        <w:rPr>
          <w:rFonts w:hint="eastAsia"/>
        </w:rPr>
        <w:t>第</w:t>
      </w:r>
      <w:r>
        <w:t>1</w:t>
      </w:r>
      <w:r>
        <w:rPr>
          <w:rFonts w:hint="eastAsia"/>
        </w:rPr>
        <w:t>条：自决权</w:t>
      </w:r>
      <w:r>
        <w:t>.....</w:t>
      </w:r>
      <w:r>
        <w:tab/>
      </w:r>
      <w:r>
        <w:tab/>
        <w:t>18</w:t>
      </w:r>
      <w:r>
        <w:tab/>
        <w:t>-</w:t>
      </w:r>
      <w:r>
        <w:tab/>
        <w:t>22</w:t>
      </w:r>
      <w:r>
        <w:tab/>
        <w:t>8</w:t>
      </w:r>
    </w:p>
    <w:p w:rsidR="00000000" w:rsidRDefault="003D15A7">
      <w:pPr>
        <w:pStyle w:val="a3"/>
      </w:pPr>
      <w:r>
        <w:tab/>
        <w:t>A.</w:t>
      </w:r>
      <w:r>
        <w:tab/>
      </w:r>
      <w:r>
        <w:rPr>
          <w:rFonts w:hint="eastAsia"/>
        </w:rPr>
        <w:t>该原则的国内方面</w:t>
      </w:r>
      <w:r>
        <w:tab/>
      </w:r>
      <w:r>
        <w:tab/>
        <w:t>18</w:t>
      </w:r>
      <w:r>
        <w:tab/>
        <w:t>-</w:t>
      </w:r>
      <w:r>
        <w:tab/>
        <w:t>19</w:t>
      </w:r>
      <w:r>
        <w:tab/>
        <w:t>8</w:t>
      </w:r>
    </w:p>
    <w:p w:rsidR="00000000" w:rsidRDefault="003D15A7">
      <w:pPr>
        <w:pStyle w:val="a3"/>
      </w:pPr>
      <w:r>
        <w:tab/>
        <w:t>B.</w:t>
      </w:r>
      <w:r>
        <w:tab/>
      </w:r>
      <w:r>
        <w:rPr>
          <w:rFonts w:hint="eastAsia"/>
        </w:rPr>
        <w:t>该原则的国际方面</w:t>
      </w:r>
      <w:r>
        <w:tab/>
      </w:r>
      <w:r>
        <w:tab/>
        <w:t>20</w:t>
      </w:r>
      <w:r>
        <w:tab/>
        <w:t>-</w:t>
      </w:r>
      <w:r>
        <w:tab/>
        <w:t>22</w:t>
      </w:r>
      <w:r>
        <w:tab/>
        <w:t>8</w:t>
      </w:r>
    </w:p>
    <w:p w:rsidR="00000000" w:rsidRDefault="003D15A7">
      <w:pPr>
        <w:pStyle w:val="a3"/>
      </w:pPr>
      <w:r>
        <w:rPr>
          <w:rFonts w:hint="eastAsia"/>
        </w:rPr>
        <w:t>第</w:t>
      </w:r>
      <w:r>
        <w:t>2</w:t>
      </w:r>
      <w:r>
        <w:rPr>
          <w:rFonts w:hint="eastAsia"/>
        </w:rPr>
        <w:t>条：经济、社会和文化权利</w:t>
      </w:r>
      <w:r>
        <w:tab/>
      </w:r>
      <w:r>
        <w:tab/>
        <w:t>23</w:t>
      </w:r>
      <w:r>
        <w:tab/>
        <w:t>-</w:t>
      </w:r>
      <w:r>
        <w:tab/>
        <w:t>41</w:t>
      </w:r>
      <w:r>
        <w:tab/>
        <w:t>9</w:t>
      </w:r>
    </w:p>
    <w:p w:rsidR="00000000" w:rsidRDefault="003D15A7">
      <w:pPr>
        <w:pStyle w:val="a3"/>
      </w:pPr>
      <w:r>
        <w:tab/>
        <w:t>A.</w:t>
      </w:r>
      <w:r>
        <w:tab/>
      </w:r>
      <w:r>
        <w:rPr>
          <w:rFonts w:hint="eastAsia"/>
        </w:rPr>
        <w:t>宪法方面的进展</w:t>
      </w:r>
      <w:r>
        <w:tab/>
      </w:r>
      <w:r>
        <w:tab/>
        <w:t>25</w:t>
      </w:r>
      <w:r>
        <w:tab/>
        <w:t>-</w:t>
      </w:r>
      <w:r>
        <w:tab/>
        <w:t>28</w:t>
      </w:r>
      <w:r>
        <w:tab/>
        <w:t>9</w:t>
      </w:r>
    </w:p>
    <w:p w:rsidR="00000000" w:rsidRDefault="003D15A7">
      <w:pPr>
        <w:pStyle w:val="a3"/>
      </w:pPr>
      <w:r>
        <w:tab/>
        <w:t>B.</w:t>
      </w:r>
      <w:r>
        <w:tab/>
      </w:r>
      <w:r>
        <w:rPr>
          <w:rFonts w:hint="eastAsia"/>
        </w:rPr>
        <w:t>社会发展的优先地位</w:t>
      </w:r>
      <w:r>
        <w:tab/>
      </w:r>
      <w:r>
        <w:tab/>
        <w:t>29</w:t>
      </w:r>
      <w:r>
        <w:tab/>
        <w:t>-</w:t>
      </w:r>
      <w:r>
        <w:tab/>
        <w:t>33</w:t>
      </w:r>
      <w:r>
        <w:tab/>
        <w:t>10</w:t>
      </w:r>
    </w:p>
    <w:p w:rsidR="00000000" w:rsidRDefault="003D15A7">
      <w:pPr>
        <w:pStyle w:val="a3"/>
      </w:pPr>
      <w:r>
        <w:tab/>
        <w:t>C.</w:t>
      </w:r>
      <w:r>
        <w:tab/>
      </w:r>
      <w:r>
        <w:rPr>
          <w:rFonts w:hint="eastAsia"/>
        </w:rPr>
        <w:t>促进社会对话</w:t>
      </w:r>
      <w:r>
        <w:tab/>
      </w:r>
      <w:r>
        <w:tab/>
      </w:r>
      <w:r>
        <w:tab/>
        <w:t>34</w:t>
      </w:r>
      <w:r>
        <w:tab/>
      </w:r>
      <w:r>
        <w:tab/>
        <w:t>11</w:t>
      </w:r>
    </w:p>
    <w:p w:rsidR="00000000" w:rsidRDefault="003D15A7">
      <w:pPr>
        <w:pStyle w:val="a3"/>
      </w:pPr>
      <w:r>
        <w:tab/>
        <w:t>D.</w:t>
      </w:r>
      <w:r>
        <w:tab/>
      </w:r>
      <w:r>
        <w:rPr>
          <w:rFonts w:hint="eastAsia"/>
        </w:rPr>
        <w:t>加强磋商进程</w:t>
      </w:r>
      <w:r>
        <w:tab/>
      </w:r>
      <w:r>
        <w:tab/>
        <w:t>35</w:t>
      </w:r>
      <w:r>
        <w:tab/>
        <w:t>-</w:t>
      </w:r>
      <w:r>
        <w:tab/>
        <w:t>37</w:t>
      </w:r>
      <w:r>
        <w:tab/>
        <w:t>11</w:t>
      </w:r>
    </w:p>
    <w:p w:rsidR="00000000" w:rsidRDefault="003D15A7">
      <w:pPr>
        <w:pStyle w:val="a3"/>
      </w:pPr>
      <w:r>
        <w:tab/>
        <w:t>E.</w:t>
      </w:r>
      <w:r>
        <w:tab/>
      </w:r>
      <w:r>
        <w:rPr>
          <w:rFonts w:hint="eastAsia"/>
        </w:rPr>
        <w:t>振兴协会</w:t>
      </w:r>
      <w:r>
        <w:tab/>
      </w:r>
      <w:r>
        <w:tab/>
        <w:t>38</w:t>
      </w:r>
      <w:r>
        <w:tab/>
        <w:t>-</w:t>
      </w:r>
      <w:r>
        <w:tab/>
        <w:t>41</w:t>
      </w:r>
      <w:r>
        <w:tab/>
        <w:t>12</w:t>
      </w:r>
    </w:p>
    <w:p w:rsidR="00000000" w:rsidRDefault="003D15A7">
      <w:pPr>
        <w:pStyle w:val="a3"/>
      </w:pPr>
      <w:r>
        <w:rPr>
          <w:rFonts w:hint="eastAsia"/>
        </w:rPr>
        <w:t>第</w:t>
      </w:r>
      <w:r>
        <w:t>3</w:t>
      </w:r>
      <w:r>
        <w:rPr>
          <w:rFonts w:hint="eastAsia"/>
        </w:rPr>
        <w:t>条：男子和妇女平等享受经济、社会和</w:t>
      </w:r>
    </w:p>
    <w:p w:rsidR="00000000" w:rsidRDefault="003D15A7">
      <w:pPr>
        <w:pStyle w:val="a3"/>
      </w:pPr>
      <w:r>
        <w:tab/>
      </w:r>
      <w:r>
        <w:tab/>
      </w:r>
      <w:r>
        <w:rPr>
          <w:rFonts w:hint="eastAsia"/>
        </w:rPr>
        <w:t>文化的权利</w:t>
      </w:r>
      <w:r>
        <w:t>.........</w:t>
      </w:r>
      <w:r>
        <w:tab/>
      </w:r>
      <w:r>
        <w:tab/>
        <w:t>42</w:t>
      </w:r>
      <w:r>
        <w:tab/>
        <w:t>-</w:t>
      </w:r>
      <w:r>
        <w:tab/>
        <w:t>45</w:t>
      </w:r>
      <w:r>
        <w:tab/>
        <w:t>12</w:t>
      </w:r>
    </w:p>
    <w:p w:rsidR="00000000" w:rsidRDefault="003D15A7">
      <w:pPr>
        <w:pStyle w:val="a3"/>
      </w:pPr>
      <w:r>
        <w:rPr>
          <w:rFonts w:hint="eastAsia"/>
        </w:rPr>
        <w:t>第</w:t>
      </w:r>
      <w:r>
        <w:t>4</w:t>
      </w:r>
      <w:r>
        <w:rPr>
          <w:rFonts w:hint="eastAsia"/>
        </w:rPr>
        <w:t>条：</w:t>
      </w:r>
      <w:r>
        <w:t>...................</w:t>
      </w:r>
      <w:r>
        <w:tab/>
      </w:r>
      <w:r>
        <w:tab/>
      </w:r>
      <w:r>
        <w:tab/>
        <w:t>46</w:t>
      </w:r>
      <w:r>
        <w:tab/>
      </w:r>
      <w:r>
        <w:tab/>
        <w:t>13</w:t>
      </w:r>
    </w:p>
    <w:p w:rsidR="00000000" w:rsidRDefault="003D15A7">
      <w:pPr>
        <w:pStyle w:val="a3"/>
      </w:pPr>
      <w:r>
        <w:rPr>
          <w:rFonts w:hint="eastAsia"/>
        </w:rPr>
        <w:t>第</w:t>
      </w:r>
      <w:r>
        <w:t>5</w:t>
      </w:r>
      <w:r>
        <w:rPr>
          <w:rFonts w:hint="eastAsia"/>
        </w:rPr>
        <w:t>条：</w:t>
      </w:r>
      <w:r>
        <w:t>..................</w:t>
      </w:r>
      <w:r>
        <w:tab/>
      </w:r>
      <w:r>
        <w:tab/>
      </w:r>
      <w:r>
        <w:tab/>
        <w:t>47</w:t>
      </w:r>
      <w:r>
        <w:tab/>
      </w:r>
      <w:r>
        <w:tab/>
        <w:t>13</w:t>
      </w:r>
    </w:p>
    <w:p w:rsidR="00000000" w:rsidRDefault="003D15A7">
      <w:pPr>
        <w:pStyle w:val="a3"/>
      </w:pPr>
    </w:p>
    <w:p w:rsidR="00000000" w:rsidRDefault="003D15A7">
      <w:pPr>
        <w:pStyle w:val="a3"/>
      </w:pPr>
    </w:p>
    <w:p w:rsidR="00000000" w:rsidRDefault="003D15A7">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r>
        <w:rPr>
          <w:rFonts w:eastAsia="长城楷体"/>
          <w:spacing w:val="10"/>
          <w:kern w:val="24"/>
          <w:sz w:val="26"/>
        </w:rPr>
        <w:t>(</w:t>
      </w:r>
      <w:r>
        <w:rPr>
          <w:rFonts w:eastAsia="长城楷体" w:hint="eastAsia"/>
          <w:spacing w:val="10"/>
          <w:kern w:val="24"/>
          <w:sz w:val="26"/>
          <w:u w:val="single"/>
        </w:rPr>
        <w:t>续</w:t>
      </w:r>
      <w:r>
        <w:rPr>
          <w:rFonts w:eastAsia="长城楷体"/>
          <w:spacing w:val="10"/>
          <w:kern w:val="24"/>
          <w:sz w:val="26"/>
        </w:rPr>
        <w:t>)</w:t>
      </w:r>
    </w:p>
    <w:p w:rsidR="00000000" w:rsidRDefault="003D15A7">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3D15A7">
      <w:pPr>
        <w:pStyle w:val="a3"/>
      </w:pPr>
      <w:r>
        <w:rPr>
          <w:rFonts w:hint="eastAsia"/>
        </w:rPr>
        <w:t>第</w:t>
      </w:r>
      <w:r>
        <w:t>6</w:t>
      </w:r>
      <w:r>
        <w:rPr>
          <w:rFonts w:hint="eastAsia"/>
        </w:rPr>
        <w:t>条：工作的权利</w:t>
      </w:r>
      <w:r>
        <w:tab/>
      </w:r>
      <w:r>
        <w:tab/>
        <w:t>48</w:t>
      </w:r>
      <w:r>
        <w:tab/>
        <w:t>-</w:t>
      </w:r>
      <w:r>
        <w:tab/>
        <w:t>101</w:t>
      </w:r>
      <w:r>
        <w:tab/>
        <w:t>13</w:t>
      </w:r>
    </w:p>
    <w:p w:rsidR="00000000" w:rsidRDefault="003D15A7">
      <w:pPr>
        <w:pStyle w:val="a3"/>
      </w:pPr>
      <w:r>
        <w:tab/>
        <w:t>A.</w:t>
      </w:r>
      <w:r>
        <w:tab/>
      </w:r>
      <w:r>
        <w:rPr>
          <w:rFonts w:hint="eastAsia"/>
        </w:rPr>
        <w:t>摩洛哥的就业情况</w:t>
      </w:r>
      <w:r>
        <w:tab/>
      </w:r>
      <w:r>
        <w:tab/>
        <w:t>48</w:t>
      </w:r>
      <w:r>
        <w:tab/>
        <w:t>-</w:t>
      </w:r>
      <w:r>
        <w:tab/>
        <w:t>60</w:t>
      </w:r>
      <w:r>
        <w:tab/>
        <w:t>13</w:t>
      </w:r>
    </w:p>
    <w:p w:rsidR="00000000" w:rsidRDefault="003D15A7">
      <w:pPr>
        <w:pStyle w:val="a3"/>
      </w:pPr>
      <w:r>
        <w:tab/>
        <w:t>B.</w:t>
      </w:r>
      <w:r>
        <w:tab/>
      </w:r>
      <w:r>
        <w:rPr>
          <w:rFonts w:hint="eastAsia"/>
        </w:rPr>
        <w:t>促进充分就业的措施</w:t>
      </w:r>
      <w:r>
        <w:tab/>
      </w:r>
      <w:r>
        <w:tab/>
        <w:t>61</w:t>
      </w:r>
      <w:r>
        <w:tab/>
        <w:t>-</w:t>
      </w:r>
      <w:r>
        <w:tab/>
        <w:t>84</w:t>
      </w:r>
      <w:r>
        <w:tab/>
        <w:t>17</w:t>
      </w:r>
    </w:p>
    <w:p w:rsidR="00000000" w:rsidRDefault="003D15A7">
      <w:pPr>
        <w:pStyle w:val="a3"/>
      </w:pPr>
      <w:r>
        <w:tab/>
        <w:t>C.</w:t>
      </w:r>
      <w:r>
        <w:tab/>
      </w:r>
      <w:r>
        <w:rPr>
          <w:rFonts w:hint="eastAsia"/>
        </w:rPr>
        <w:t>法律措施</w:t>
      </w:r>
      <w:r>
        <w:tab/>
      </w:r>
      <w:r>
        <w:tab/>
      </w:r>
      <w:r>
        <w:tab/>
        <w:t>85</w:t>
      </w:r>
      <w:r>
        <w:tab/>
      </w:r>
      <w:r>
        <w:tab/>
        <w:t>21</w:t>
      </w:r>
    </w:p>
    <w:p w:rsidR="00000000" w:rsidRDefault="003D15A7">
      <w:pPr>
        <w:pStyle w:val="a3"/>
      </w:pPr>
      <w:r>
        <w:tab/>
        <w:t>D.</w:t>
      </w:r>
      <w:r>
        <w:tab/>
      </w:r>
      <w:r>
        <w:rPr>
          <w:rFonts w:hint="eastAsia"/>
        </w:rPr>
        <w:t>职业培训方案</w:t>
      </w:r>
      <w:r>
        <w:tab/>
      </w:r>
      <w:r>
        <w:tab/>
        <w:t>86</w:t>
      </w:r>
      <w:r>
        <w:tab/>
        <w:t>-</w:t>
      </w:r>
      <w:r>
        <w:tab/>
        <w:t>87</w:t>
      </w:r>
      <w:r>
        <w:tab/>
        <w:t>22</w:t>
      </w:r>
    </w:p>
    <w:p w:rsidR="00000000" w:rsidRDefault="003D15A7">
      <w:pPr>
        <w:pStyle w:val="a3"/>
      </w:pPr>
      <w:r>
        <w:tab/>
        <w:t>E.</w:t>
      </w:r>
      <w:r>
        <w:tab/>
      </w:r>
      <w:r>
        <w:rPr>
          <w:rFonts w:hint="eastAsia"/>
        </w:rPr>
        <w:t>职业培训的改革</w:t>
      </w:r>
      <w:r>
        <w:tab/>
      </w:r>
      <w:r>
        <w:tab/>
        <w:t>88</w:t>
      </w:r>
      <w:r>
        <w:tab/>
        <w:t>-</w:t>
      </w:r>
      <w:r>
        <w:tab/>
        <w:t>97</w:t>
      </w:r>
      <w:r>
        <w:tab/>
        <w:t>24</w:t>
      </w:r>
    </w:p>
    <w:p w:rsidR="00000000" w:rsidRDefault="003D15A7">
      <w:pPr>
        <w:pStyle w:val="a3"/>
      </w:pPr>
      <w:r>
        <w:tab/>
        <w:t xml:space="preserve">F.  </w:t>
      </w:r>
      <w:r>
        <w:rPr>
          <w:rFonts w:hint="eastAsia"/>
        </w:rPr>
        <w:t>就业方面的男女平等</w:t>
      </w:r>
      <w:r>
        <w:tab/>
      </w:r>
      <w:r>
        <w:tab/>
        <w:t>98</w:t>
      </w:r>
      <w:r>
        <w:tab/>
        <w:t>-</w:t>
      </w:r>
      <w:r>
        <w:tab/>
        <w:t>101</w:t>
      </w:r>
      <w:r>
        <w:tab/>
        <w:t>26</w:t>
      </w:r>
    </w:p>
    <w:p w:rsidR="00000000" w:rsidRDefault="003D15A7">
      <w:pPr>
        <w:pStyle w:val="a3"/>
      </w:pPr>
      <w:r>
        <w:rPr>
          <w:rFonts w:hint="eastAsia"/>
        </w:rPr>
        <w:t>第</w:t>
      </w:r>
      <w:r>
        <w:t>7</w:t>
      </w:r>
      <w:r>
        <w:rPr>
          <w:rFonts w:hint="eastAsia"/>
        </w:rPr>
        <w:t>条：享有公正良好的工作条件的权利</w:t>
      </w:r>
      <w:r>
        <w:tab/>
      </w:r>
      <w:r>
        <w:tab/>
        <w:t>102</w:t>
      </w:r>
      <w:r>
        <w:tab/>
        <w:t>-</w:t>
      </w:r>
      <w:r>
        <w:tab/>
        <w:t>112</w:t>
      </w:r>
      <w:r>
        <w:tab/>
        <w:t>27</w:t>
      </w:r>
    </w:p>
    <w:p w:rsidR="00000000" w:rsidRDefault="003D15A7">
      <w:pPr>
        <w:pStyle w:val="a3"/>
      </w:pPr>
      <w:r>
        <w:tab/>
        <w:t>A.</w:t>
      </w:r>
      <w:r>
        <w:tab/>
      </w:r>
      <w:r>
        <w:rPr>
          <w:rFonts w:hint="eastAsia"/>
        </w:rPr>
        <w:t>获取报酬的权利</w:t>
      </w:r>
      <w:r>
        <w:tab/>
      </w:r>
      <w:r>
        <w:tab/>
        <w:t>103</w:t>
      </w:r>
      <w:r>
        <w:tab/>
        <w:t>-</w:t>
      </w:r>
      <w:r>
        <w:tab/>
        <w:t>104</w:t>
      </w:r>
      <w:r>
        <w:tab/>
        <w:t>27</w:t>
      </w:r>
    </w:p>
    <w:p w:rsidR="00000000" w:rsidRDefault="003D15A7">
      <w:pPr>
        <w:pStyle w:val="a3"/>
      </w:pPr>
      <w:r>
        <w:tab/>
        <w:t>B.</w:t>
      </w:r>
      <w:r>
        <w:tab/>
      </w:r>
      <w:r>
        <w:rPr>
          <w:rFonts w:hint="eastAsia"/>
        </w:rPr>
        <w:t>安全和健康的工作条件</w:t>
      </w:r>
      <w:r>
        <w:tab/>
      </w:r>
      <w:r>
        <w:tab/>
      </w:r>
      <w:r>
        <w:tab/>
        <w:t>105</w:t>
      </w:r>
      <w:r>
        <w:tab/>
        <w:t>28</w:t>
      </w:r>
    </w:p>
    <w:p w:rsidR="00000000" w:rsidRDefault="003D15A7">
      <w:pPr>
        <w:pStyle w:val="a3"/>
      </w:pPr>
      <w:r>
        <w:rPr>
          <w:rFonts w:hint="eastAsia"/>
        </w:rPr>
        <w:t>第</w:t>
      </w:r>
      <w:r>
        <w:t>8</w:t>
      </w:r>
      <w:r>
        <w:rPr>
          <w:rFonts w:hint="eastAsia"/>
        </w:rPr>
        <w:t>条：工会权利</w:t>
      </w:r>
      <w:r>
        <w:tab/>
      </w:r>
      <w:r>
        <w:tab/>
        <w:t>106</w:t>
      </w:r>
      <w:r>
        <w:tab/>
        <w:t>-</w:t>
      </w:r>
      <w:r>
        <w:tab/>
        <w:t>112</w:t>
      </w:r>
      <w:r>
        <w:tab/>
        <w:t>28</w:t>
      </w:r>
    </w:p>
    <w:p w:rsidR="00000000" w:rsidRDefault="003D15A7">
      <w:pPr>
        <w:pStyle w:val="a3"/>
      </w:pPr>
      <w:r>
        <w:rPr>
          <w:rFonts w:hint="eastAsia"/>
        </w:rPr>
        <w:t>第</w:t>
      </w:r>
      <w:r>
        <w:t>9</w:t>
      </w:r>
      <w:r>
        <w:rPr>
          <w:rFonts w:hint="eastAsia"/>
        </w:rPr>
        <w:t>条：社会保险权利</w:t>
      </w:r>
      <w:r>
        <w:tab/>
      </w:r>
      <w:r>
        <w:tab/>
        <w:t>113</w:t>
      </w:r>
      <w:r>
        <w:tab/>
        <w:t>-</w:t>
      </w:r>
      <w:r>
        <w:tab/>
        <w:t>122</w:t>
      </w:r>
      <w:r>
        <w:tab/>
        <w:t>30</w:t>
      </w:r>
    </w:p>
    <w:p w:rsidR="00000000" w:rsidRDefault="003D15A7">
      <w:pPr>
        <w:pStyle w:val="a3"/>
      </w:pPr>
      <w:r>
        <w:tab/>
        <w:t>A.</w:t>
      </w:r>
      <w:r>
        <w:tab/>
      </w:r>
      <w:r>
        <w:rPr>
          <w:rFonts w:hint="eastAsia"/>
        </w:rPr>
        <w:t>强制性基金</w:t>
      </w:r>
      <w:r>
        <w:tab/>
      </w:r>
      <w:r>
        <w:tab/>
        <w:t>114</w:t>
      </w:r>
      <w:r>
        <w:tab/>
        <w:t>-</w:t>
      </w:r>
      <w:r>
        <w:tab/>
        <w:t>119</w:t>
      </w:r>
      <w:r>
        <w:tab/>
        <w:t>30</w:t>
      </w:r>
    </w:p>
    <w:p w:rsidR="00000000" w:rsidRDefault="003D15A7">
      <w:pPr>
        <w:pStyle w:val="a3"/>
      </w:pPr>
      <w:r>
        <w:tab/>
        <w:t>B.</w:t>
      </w:r>
      <w:r>
        <w:tab/>
      </w:r>
      <w:r>
        <w:rPr>
          <w:rFonts w:hint="eastAsia"/>
        </w:rPr>
        <w:t>任择基金</w:t>
      </w:r>
      <w:r>
        <w:tab/>
      </w:r>
      <w:r>
        <w:tab/>
        <w:t>120</w:t>
      </w:r>
      <w:r>
        <w:tab/>
        <w:t>-</w:t>
      </w:r>
      <w:r>
        <w:tab/>
        <w:t>121</w:t>
      </w:r>
      <w:r>
        <w:tab/>
        <w:t>31</w:t>
      </w:r>
    </w:p>
    <w:p w:rsidR="00000000" w:rsidRDefault="003D15A7">
      <w:pPr>
        <w:pStyle w:val="a3"/>
      </w:pPr>
      <w:r>
        <w:tab/>
        <w:t>C.</w:t>
      </w:r>
      <w:r>
        <w:tab/>
      </w:r>
      <w:r>
        <w:rPr>
          <w:rFonts w:hint="eastAsia"/>
        </w:rPr>
        <w:t>健康保险</w:t>
      </w:r>
      <w:r>
        <w:tab/>
      </w:r>
      <w:r>
        <w:tab/>
      </w:r>
      <w:r>
        <w:tab/>
        <w:t>122</w:t>
      </w:r>
      <w:r>
        <w:tab/>
        <w:t>31</w:t>
      </w:r>
    </w:p>
    <w:p w:rsidR="00000000" w:rsidRDefault="003D15A7">
      <w:pPr>
        <w:pStyle w:val="a3"/>
      </w:pPr>
      <w:r>
        <w:rPr>
          <w:rFonts w:hint="eastAsia"/>
        </w:rPr>
        <w:t>第</w:t>
      </w:r>
      <w:r>
        <w:t>10</w:t>
      </w:r>
      <w:r>
        <w:rPr>
          <w:rFonts w:hint="eastAsia"/>
        </w:rPr>
        <w:t>条：保护家庭、母亲和儿童</w:t>
      </w:r>
      <w:r>
        <w:tab/>
      </w:r>
      <w:r>
        <w:tab/>
        <w:t>123</w:t>
      </w:r>
      <w:r>
        <w:tab/>
        <w:t>-</w:t>
      </w:r>
      <w:r>
        <w:tab/>
        <w:t>128</w:t>
      </w:r>
      <w:r>
        <w:tab/>
        <w:t>32</w:t>
      </w:r>
    </w:p>
    <w:p w:rsidR="00000000" w:rsidRDefault="003D15A7">
      <w:pPr>
        <w:pStyle w:val="a3"/>
      </w:pPr>
      <w:r>
        <w:tab/>
        <w:t>A.</w:t>
      </w:r>
      <w:r>
        <w:tab/>
      </w:r>
      <w:r>
        <w:rPr>
          <w:rFonts w:hint="eastAsia"/>
        </w:rPr>
        <w:t>保护家庭</w:t>
      </w:r>
      <w:r>
        <w:tab/>
      </w:r>
      <w:r>
        <w:tab/>
      </w:r>
      <w:r>
        <w:tab/>
        <w:t>123</w:t>
      </w:r>
      <w:r>
        <w:tab/>
        <w:t>32</w:t>
      </w:r>
    </w:p>
    <w:p w:rsidR="00000000" w:rsidRDefault="003D15A7">
      <w:pPr>
        <w:pStyle w:val="a3"/>
      </w:pPr>
      <w:r>
        <w:tab/>
        <w:t>B.</w:t>
      </w:r>
      <w:r>
        <w:tab/>
      </w:r>
      <w:r>
        <w:rPr>
          <w:rFonts w:hint="eastAsia"/>
        </w:rPr>
        <w:t>保护儿童</w:t>
      </w:r>
      <w:r>
        <w:tab/>
      </w:r>
      <w:r>
        <w:tab/>
        <w:t>124</w:t>
      </w:r>
      <w:r>
        <w:tab/>
        <w:t>-</w:t>
      </w:r>
      <w:r>
        <w:tab/>
        <w:t>125</w:t>
      </w:r>
      <w:r>
        <w:tab/>
        <w:t>32</w:t>
      </w:r>
    </w:p>
    <w:p w:rsidR="00000000" w:rsidRDefault="003D15A7">
      <w:pPr>
        <w:pStyle w:val="a3"/>
      </w:pPr>
      <w:r>
        <w:tab/>
        <w:t>C.</w:t>
      </w:r>
      <w:r>
        <w:tab/>
      </w:r>
      <w:r>
        <w:rPr>
          <w:rFonts w:hint="eastAsia"/>
        </w:rPr>
        <w:t>保护母亲</w:t>
      </w:r>
      <w:r>
        <w:tab/>
      </w:r>
      <w:r>
        <w:tab/>
        <w:t>126</w:t>
      </w:r>
      <w:r>
        <w:tab/>
        <w:t>-</w:t>
      </w:r>
      <w:r>
        <w:tab/>
        <w:t>128</w:t>
      </w:r>
      <w:r>
        <w:tab/>
        <w:t>33</w:t>
      </w:r>
    </w:p>
    <w:p w:rsidR="00000000" w:rsidRDefault="003D15A7">
      <w:pPr>
        <w:pStyle w:val="a3"/>
      </w:pPr>
      <w:r>
        <w:rPr>
          <w:rFonts w:hint="eastAsia"/>
        </w:rPr>
        <w:t>第</w:t>
      </w:r>
      <w:r>
        <w:t>11</w:t>
      </w:r>
      <w:r>
        <w:rPr>
          <w:rFonts w:hint="eastAsia"/>
        </w:rPr>
        <w:t>条：获得适足生活水准的权利</w:t>
      </w:r>
      <w:r>
        <w:tab/>
      </w:r>
      <w:r>
        <w:tab/>
        <w:t>129</w:t>
      </w:r>
      <w:r>
        <w:tab/>
        <w:t>-</w:t>
      </w:r>
      <w:r>
        <w:tab/>
        <w:t>143</w:t>
      </w:r>
      <w:r>
        <w:tab/>
        <w:t>35</w:t>
      </w:r>
    </w:p>
    <w:p w:rsidR="00000000" w:rsidRDefault="003D15A7">
      <w:pPr>
        <w:pStyle w:val="a3"/>
      </w:pPr>
      <w:r>
        <w:tab/>
        <w:t>A.</w:t>
      </w:r>
      <w:r>
        <w:tab/>
      </w:r>
      <w:r>
        <w:rPr>
          <w:rFonts w:hint="eastAsia"/>
        </w:rPr>
        <w:t>获得适足食物的权利</w:t>
      </w:r>
      <w:r>
        <w:tab/>
      </w:r>
      <w:r>
        <w:tab/>
        <w:t>130</w:t>
      </w:r>
      <w:r>
        <w:tab/>
        <w:t>-</w:t>
      </w:r>
      <w:r>
        <w:tab/>
        <w:t>134</w:t>
      </w:r>
      <w:r>
        <w:tab/>
        <w:t>35</w:t>
      </w:r>
    </w:p>
    <w:p w:rsidR="00000000" w:rsidRDefault="003D15A7">
      <w:pPr>
        <w:pStyle w:val="a3"/>
      </w:pPr>
      <w:r>
        <w:tab/>
        <w:t>B.</w:t>
      </w:r>
      <w:r>
        <w:tab/>
      </w:r>
      <w:r>
        <w:rPr>
          <w:rFonts w:hint="eastAsia"/>
        </w:rPr>
        <w:t>适足住房的权利</w:t>
      </w:r>
      <w:r>
        <w:tab/>
      </w:r>
      <w:r>
        <w:tab/>
        <w:t>135</w:t>
      </w:r>
      <w:r>
        <w:tab/>
        <w:t>-</w:t>
      </w:r>
      <w:r>
        <w:tab/>
        <w:t>143</w:t>
      </w:r>
      <w:r>
        <w:tab/>
        <w:t>36</w:t>
      </w:r>
    </w:p>
    <w:p w:rsidR="00000000" w:rsidRDefault="003D15A7">
      <w:pPr>
        <w:pStyle w:val="a3"/>
      </w:pPr>
      <w:r>
        <w:rPr>
          <w:rFonts w:hint="eastAsia"/>
        </w:rPr>
        <w:t>第</w:t>
      </w:r>
      <w:r>
        <w:t>12</w:t>
      </w:r>
      <w:r>
        <w:rPr>
          <w:rFonts w:hint="eastAsia"/>
        </w:rPr>
        <w:t>条：身心健康权利</w:t>
      </w:r>
      <w:r>
        <w:tab/>
      </w:r>
      <w:r>
        <w:tab/>
        <w:t>144</w:t>
      </w:r>
      <w:r>
        <w:tab/>
        <w:t>-</w:t>
      </w:r>
      <w:r>
        <w:tab/>
        <w:t>148</w:t>
      </w:r>
      <w:r>
        <w:tab/>
        <w:t>38</w:t>
      </w:r>
    </w:p>
    <w:p w:rsidR="00000000" w:rsidRDefault="003D15A7">
      <w:pPr>
        <w:pStyle w:val="a3"/>
      </w:pPr>
      <w:r>
        <w:tab/>
        <w:t>A.</w:t>
      </w:r>
      <w:r>
        <w:tab/>
      </w:r>
      <w:r>
        <w:rPr>
          <w:rFonts w:hint="eastAsia"/>
        </w:rPr>
        <w:t>摩洛哥的卫生政策</w:t>
      </w:r>
      <w:r>
        <w:tab/>
      </w:r>
      <w:r>
        <w:tab/>
        <w:t>144</w:t>
      </w:r>
      <w:r>
        <w:tab/>
      </w:r>
      <w:r>
        <w:t>-</w:t>
      </w:r>
      <w:r>
        <w:tab/>
        <w:t>145</w:t>
      </w:r>
      <w:r>
        <w:tab/>
        <w:t>38</w:t>
      </w:r>
    </w:p>
    <w:p w:rsidR="00000000" w:rsidRDefault="003D15A7">
      <w:pPr>
        <w:pStyle w:val="a3"/>
      </w:pPr>
      <w:r>
        <w:tab/>
        <w:t>B.</w:t>
      </w:r>
      <w:r>
        <w:tab/>
      </w:r>
      <w:r>
        <w:rPr>
          <w:rFonts w:hint="eastAsia"/>
        </w:rPr>
        <w:t>母亲和儿童保健</w:t>
      </w:r>
      <w:r>
        <w:tab/>
      </w:r>
      <w:r>
        <w:tab/>
        <w:t>146</w:t>
      </w:r>
      <w:r>
        <w:tab/>
        <w:t>-</w:t>
      </w:r>
      <w:r>
        <w:tab/>
        <w:t>147</w:t>
      </w:r>
      <w:r>
        <w:tab/>
        <w:t>38</w:t>
      </w:r>
    </w:p>
    <w:p w:rsidR="00000000" w:rsidRDefault="003D15A7">
      <w:pPr>
        <w:pStyle w:val="a3"/>
      </w:pPr>
      <w:r>
        <w:tab/>
        <w:t>C.</w:t>
      </w:r>
      <w:r>
        <w:tab/>
      </w:r>
      <w:r>
        <w:rPr>
          <w:rFonts w:hint="eastAsia"/>
        </w:rPr>
        <w:t>流行病和传染病控制计划</w:t>
      </w:r>
      <w:r>
        <w:tab/>
      </w:r>
      <w:r>
        <w:tab/>
      </w:r>
      <w:r>
        <w:tab/>
        <w:t>148</w:t>
      </w:r>
      <w:r>
        <w:tab/>
        <w:t>40</w:t>
      </w:r>
    </w:p>
    <w:p w:rsidR="00000000" w:rsidRDefault="003D15A7">
      <w:pPr>
        <w:pStyle w:val="ac"/>
        <w:keepNext/>
        <w:tabs>
          <w:tab w:val="clear" w:pos="7201"/>
          <w:tab w:val="clear" w:pos="8618"/>
          <w:tab w:val="left" w:pos="7088"/>
          <w:tab w:val="left" w:pos="8080"/>
          <w:tab w:val="left" w:pos="8640"/>
        </w:tabs>
        <w:spacing w:after="120" w:line="336" w:lineRule="auto"/>
        <w:jc w:val="center"/>
        <w:rPr>
          <w:rFonts w:eastAsia="长城楷体"/>
          <w:spacing w:val="10"/>
          <w:kern w:val="24"/>
          <w:sz w:val="26"/>
        </w:rPr>
      </w:pPr>
      <w:r>
        <w:rPr>
          <w:rFonts w:eastAsia="长城楷体" w:hint="eastAsia"/>
          <w:spacing w:val="10"/>
          <w:kern w:val="24"/>
          <w:sz w:val="26"/>
        </w:rPr>
        <w:t>目</w:t>
      </w:r>
      <w:r>
        <w:rPr>
          <w:rFonts w:eastAsia="长城楷体"/>
          <w:spacing w:val="10"/>
          <w:kern w:val="24"/>
          <w:sz w:val="26"/>
        </w:rPr>
        <w:tab/>
      </w:r>
      <w:r>
        <w:rPr>
          <w:rFonts w:eastAsia="长城楷体" w:hint="eastAsia"/>
          <w:spacing w:val="10"/>
          <w:kern w:val="24"/>
          <w:sz w:val="26"/>
        </w:rPr>
        <w:t>录</w:t>
      </w:r>
      <w:r>
        <w:rPr>
          <w:rFonts w:eastAsia="长城楷体"/>
          <w:spacing w:val="10"/>
          <w:kern w:val="24"/>
          <w:sz w:val="26"/>
        </w:rPr>
        <w:t>(</w:t>
      </w:r>
      <w:r>
        <w:rPr>
          <w:rFonts w:eastAsia="长城楷体" w:hint="eastAsia"/>
          <w:spacing w:val="10"/>
          <w:kern w:val="24"/>
          <w:sz w:val="26"/>
          <w:u w:val="single"/>
        </w:rPr>
        <w:t>续</w:t>
      </w:r>
      <w:r>
        <w:rPr>
          <w:rFonts w:eastAsia="长城楷体"/>
          <w:spacing w:val="10"/>
          <w:kern w:val="24"/>
          <w:sz w:val="26"/>
        </w:rPr>
        <w:t>)</w:t>
      </w:r>
    </w:p>
    <w:p w:rsidR="00000000" w:rsidRDefault="003D15A7">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段</w:t>
      </w:r>
      <w:r>
        <w:rPr>
          <w:rFonts w:eastAsia="长城楷体"/>
          <w:spacing w:val="10"/>
          <w:kern w:val="24"/>
          <w:sz w:val="26"/>
          <w:u w:val="single"/>
        </w:rPr>
        <w:tab/>
      </w:r>
      <w:r>
        <w:rPr>
          <w:rFonts w:eastAsia="长城楷体" w:hint="eastAsia"/>
          <w:spacing w:val="10"/>
          <w:kern w:val="24"/>
          <w:sz w:val="26"/>
          <w:u w:val="single"/>
        </w:rPr>
        <w:t>次</w:t>
      </w:r>
      <w:r>
        <w:rPr>
          <w:rFonts w:eastAsia="长城楷体"/>
          <w:spacing w:val="10"/>
          <w:kern w:val="24"/>
          <w:sz w:val="26"/>
        </w:rPr>
        <w:tab/>
      </w:r>
      <w:r>
        <w:rPr>
          <w:rFonts w:eastAsia="长城楷体"/>
          <w:spacing w:val="10"/>
          <w:kern w:val="24"/>
          <w:sz w:val="26"/>
        </w:rPr>
        <w:tab/>
      </w:r>
      <w:r>
        <w:rPr>
          <w:rFonts w:eastAsia="长城楷体" w:hint="eastAsia"/>
          <w:spacing w:val="10"/>
          <w:kern w:val="24"/>
          <w:sz w:val="26"/>
          <w:u w:val="single"/>
        </w:rPr>
        <w:t>页</w:t>
      </w:r>
      <w:r>
        <w:rPr>
          <w:rFonts w:eastAsia="长城楷体"/>
          <w:spacing w:val="10"/>
          <w:kern w:val="24"/>
          <w:sz w:val="26"/>
          <w:u w:val="single"/>
        </w:rPr>
        <w:tab/>
      </w:r>
      <w:r>
        <w:rPr>
          <w:rFonts w:eastAsia="长城楷体" w:hint="eastAsia"/>
          <w:spacing w:val="10"/>
          <w:kern w:val="24"/>
          <w:sz w:val="26"/>
          <w:u w:val="single"/>
        </w:rPr>
        <w:t>次</w:t>
      </w:r>
    </w:p>
    <w:p w:rsidR="00000000" w:rsidRDefault="003D15A7">
      <w:pPr>
        <w:pStyle w:val="a3"/>
      </w:pPr>
      <w:r>
        <w:rPr>
          <w:rFonts w:hint="eastAsia"/>
        </w:rPr>
        <w:t>第</w:t>
      </w:r>
      <w:r>
        <w:t>13</w:t>
      </w:r>
      <w:r>
        <w:rPr>
          <w:rFonts w:hint="eastAsia"/>
        </w:rPr>
        <w:t>条：受教育的权利</w:t>
      </w:r>
      <w:r>
        <w:tab/>
      </w:r>
      <w:r>
        <w:tab/>
        <w:t>149</w:t>
      </w:r>
      <w:r>
        <w:tab/>
        <w:t>-</w:t>
      </w:r>
      <w:r>
        <w:tab/>
        <w:t>191</w:t>
      </w:r>
      <w:r>
        <w:tab/>
        <w:t>40</w:t>
      </w:r>
    </w:p>
    <w:p w:rsidR="00000000" w:rsidRDefault="003D15A7">
      <w:pPr>
        <w:pStyle w:val="a3"/>
      </w:pPr>
      <w:r>
        <w:tab/>
        <w:t>A.</w:t>
      </w:r>
      <w:r>
        <w:tab/>
      </w:r>
      <w:r>
        <w:rPr>
          <w:rFonts w:hint="eastAsia"/>
        </w:rPr>
        <w:t>摩洛哥的教育政策</w:t>
      </w:r>
      <w:r>
        <w:tab/>
      </w:r>
      <w:r>
        <w:tab/>
        <w:t>149</w:t>
      </w:r>
      <w:r>
        <w:tab/>
        <w:t>-</w:t>
      </w:r>
      <w:r>
        <w:tab/>
        <w:t>152</w:t>
      </w:r>
      <w:r>
        <w:tab/>
        <w:t>40</w:t>
      </w:r>
    </w:p>
    <w:p w:rsidR="00000000" w:rsidRDefault="003D15A7">
      <w:pPr>
        <w:pStyle w:val="a3"/>
      </w:pPr>
      <w:r>
        <w:tab/>
        <w:t>B.</w:t>
      </w:r>
      <w:r>
        <w:tab/>
      </w:r>
      <w:r>
        <w:rPr>
          <w:rFonts w:hint="eastAsia"/>
        </w:rPr>
        <w:t>中小学教育的发展</w:t>
      </w:r>
      <w:r>
        <w:tab/>
      </w:r>
      <w:r>
        <w:tab/>
        <w:t>153</w:t>
      </w:r>
      <w:r>
        <w:tab/>
        <w:t>-</w:t>
      </w:r>
      <w:r>
        <w:tab/>
        <w:t>166</w:t>
      </w:r>
      <w:r>
        <w:tab/>
        <w:t>41</w:t>
      </w:r>
    </w:p>
    <w:p w:rsidR="00000000" w:rsidRDefault="003D15A7">
      <w:pPr>
        <w:pStyle w:val="a3"/>
      </w:pPr>
      <w:r>
        <w:tab/>
        <w:t>C.</w:t>
      </w:r>
      <w:r>
        <w:tab/>
      </w:r>
      <w:r>
        <w:rPr>
          <w:rFonts w:hint="eastAsia"/>
        </w:rPr>
        <w:t>推广农林学校</w:t>
      </w:r>
      <w:r>
        <w:tab/>
      </w:r>
      <w:r>
        <w:tab/>
        <w:t>167</w:t>
      </w:r>
      <w:r>
        <w:tab/>
        <w:t>-</w:t>
      </w:r>
      <w:r>
        <w:tab/>
        <w:t>169</w:t>
      </w:r>
      <w:r>
        <w:tab/>
        <w:t>44</w:t>
      </w:r>
    </w:p>
    <w:p w:rsidR="00000000" w:rsidRDefault="003D15A7">
      <w:pPr>
        <w:pStyle w:val="a3"/>
      </w:pPr>
      <w:r>
        <w:tab/>
        <w:t>D.</w:t>
      </w:r>
      <w:r>
        <w:tab/>
      </w:r>
      <w:r>
        <w:rPr>
          <w:rFonts w:hint="eastAsia"/>
        </w:rPr>
        <w:t>高等教育</w:t>
      </w:r>
      <w:r>
        <w:tab/>
      </w:r>
      <w:r>
        <w:tab/>
        <w:t>170</w:t>
      </w:r>
      <w:r>
        <w:tab/>
        <w:t>-</w:t>
      </w:r>
      <w:r>
        <w:tab/>
        <w:t>185</w:t>
      </w:r>
      <w:r>
        <w:tab/>
        <w:t>45</w:t>
      </w:r>
    </w:p>
    <w:p w:rsidR="00000000" w:rsidRDefault="003D15A7">
      <w:pPr>
        <w:pStyle w:val="a3"/>
      </w:pPr>
      <w:r>
        <w:tab/>
        <w:t>E.</w:t>
      </w:r>
      <w:r>
        <w:tab/>
      </w:r>
      <w:r>
        <w:rPr>
          <w:rFonts w:hint="eastAsia"/>
        </w:rPr>
        <w:t>选择教育机构的权利</w:t>
      </w:r>
      <w:r>
        <w:tab/>
      </w:r>
      <w:r>
        <w:tab/>
      </w:r>
      <w:r>
        <w:tab/>
        <w:t>186</w:t>
      </w:r>
      <w:r>
        <w:tab/>
        <w:t>49</w:t>
      </w:r>
    </w:p>
    <w:p w:rsidR="00000000" w:rsidRDefault="003D15A7">
      <w:pPr>
        <w:pStyle w:val="a3"/>
      </w:pPr>
      <w:r>
        <w:tab/>
        <w:t>F.</w:t>
      </w:r>
      <w:r>
        <w:tab/>
      </w:r>
      <w:r>
        <w:rPr>
          <w:rFonts w:hint="eastAsia"/>
        </w:rPr>
        <w:t>成人教育和扫盲</w:t>
      </w:r>
      <w:r>
        <w:tab/>
      </w:r>
      <w:r>
        <w:tab/>
        <w:t>187</w:t>
      </w:r>
      <w:r>
        <w:tab/>
        <w:t>-</w:t>
      </w:r>
      <w:r>
        <w:tab/>
        <w:t>188</w:t>
      </w:r>
      <w:r>
        <w:tab/>
        <w:t>49</w:t>
      </w:r>
    </w:p>
    <w:p w:rsidR="00000000" w:rsidRDefault="003D15A7">
      <w:pPr>
        <w:pStyle w:val="a3"/>
      </w:pPr>
      <w:r>
        <w:tab/>
      </w:r>
      <w:r>
        <w:t>G.</w:t>
      </w:r>
      <w:r>
        <w:tab/>
      </w:r>
      <w:r>
        <w:rPr>
          <w:rFonts w:hint="eastAsia"/>
        </w:rPr>
        <w:t>具体项目</w:t>
      </w:r>
      <w:r>
        <w:tab/>
      </w:r>
      <w:r>
        <w:tab/>
        <w:t>189</w:t>
      </w:r>
      <w:r>
        <w:tab/>
        <w:t>-</w:t>
      </w:r>
      <w:r>
        <w:tab/>
        <w:t>191</w:t>
      </w:r>
      <w:r>
        <w:tab/>
        <w:t>49</w:t>
      </w:r>
    </w:p>
    <w:p w:rsidR="00000000" w:rsidRDefault="003D15A7">
      <w:pPr>
        <w:pStyle w:val="a3"/>
      </w:pPr>
      <w:r>
        <w:rPr>
          <w:rFonts w:hint="eastAsia"/>
        </w:rPr>
        <w:t>第</w:t>
      </w:r>
      <w:r>
        <w:t>15</w:t>
      </w:r>
      <w:r>
        <w:rPr>
          <w:rFonts w:hint="eastAsia"/>
        </w:rPr>
        <w:t>条：参加文化生活的权利</w:t>
      </w:r>
      <w:r>
        <w:tab/>
      </w:r>
      <w:r>
        <w:tab/>
        <w:t>192</w:t>
      </w:r>
      <w:r>
        <w:tab/>
        <w:t>-</w:t>
      </w:r>
      <w:r>
        <w:tab/>
        <w:t>207</w:t>
      </w:r>
      <w:r>
        <w:tab/>
        <w:t>51</w:t>
      </w:r>
    </w:p>
    <w:p w:rsidR="00000000" w:rsidRDefault="003D15A7">
      <w:pPr>
        <w:pStyle w:val="a3"/>
      </w:pPr>
      <w:r>
        <w:tab/>
        <w:t>A.</w:t>
      </w:r>
      <w:r>
        <w:tab/>
      </w:r>
      <w:r>
        <w:rPr>
          <w:rFonts w:hint="eastAsia"/>
        </w:rPr>
        <w:t>摩洛哥的文化政策</w:t>
      </w:r>
      <w:r>
        <w:tab/>
      </w:r>
      <w:r>
        <w:tab/>
        <w:t>192</w:t>
      </w:r>
      <w:r>
        <w:tab/>
        <w:t>-</w:t>
      </w:r>
      <w:r>
        <w:tab/>
        <w:t>198</w:t>
      </w:r>
      <w:r>
        <w:tab/>
        <w:t>51</w:t>
      </w:r>
    </w:p>
    <w:p w:rsidR="00000000" w:rsidRDefault="003D15A7">
      <w:pPr>
        <w:pStyle w:val="a3"/>
      </w:pPr>
      <w:r>
        <w:tab/>
        <w:t>B.</w:t>
      </w:r>
      <w:r>
        <w:tab/>
      </w:r>
      <w:r>
        <w:rPr>
          <w:rFonts w:hint="eastAsia"/>
        </w:rPr>
        <w:t>保护、发展和传播文化</w:t>
      </w:r>
      <w:r>
        <w:tab/>
      </w:r>
      <w:r>
        <w:tab/>
        <w:t>199</w:t>
      </w:r>
      <w:r>
        <w:tab/>
        <w:t>-</w:t>
      </w:r>
      <w:r>
        <w:tab/>
        <w:t>206</w:t>
      </w:r>
      <w:r>
        <w:tab/>
        <w:t>52</w:t>
      </w:r>
    </w:p>
    <w:p w:rsidR="00000000" w:rsidRDefault="003D15A7">
      <w:pPr>
        <w:pStyle w:val="a3"/>
      </w:pPr>
      <w:r>
        <w:tab/>
        <w:t>C.</w:t>
      </w:r>
      <w:r>
        <w:tab/>
      </w:r>
      <w:r>
        <w:rPr>
          <w:rFonts w:hint="eastAsia"/>
        </w:rPr>
        <w:t>鼓励和发展国际合作和国际交往</w:t>
      </w:r>
      <w:r>
        <w:tab/>
      </w:r>
      <w:r>
        <w:tab/>
      </w:r>
      <w:r>
        <w:tab/>
        <w:t>207</w:t>
      </w:r>
      <w:r>
        <w:tab/>
        <w:t>54</w:t>
      </w:r>
    </w:p>
    <w:p w:rsidR="00000000" w:rsidRDefault="003D15A7">
      <w:pPr>
        <w:pStyle w:val="a3"/>
      </w:pPr>
      <w:r>
        <w:rPr>
          <w:rFonts w:hint="eastAsia"/>
        </w:rPr>
        <w:t>结</w:t>
      </w:r>
      <w:r>
        <w:t xml:space="preserve">  </w:t>
      </w:r>
      <w:r>
        <w:rPr>
          <w:rFonts w:hint="eastAsia"/>
        </w:rPr>
        <w:t>论</w:t>
      </w:r>
      <w:r>
        <w:t>.................</w:t>
      </w:r>
      <w:r>
        <w:tab/>
      </w:r>
      <w:r>
        <w:tab/>
      </w:r>
      <w:r>
        <w:tab/>
        <w:t>208</w:t>
      </w:r>
      <w:r>
        <w:tab/>
        <w:t>-</w:t>
      </w:r>
      <w:r>
        <w:tab/>
        <w:t>210</w:t>
      </w:r>
      <w:r>
        <w:tab/>
        <w:t>55</w:t>
      </w:r>
    </w:p>
    <w:p w:rsidR="00000000" w:rsidRDefault="003D15A7">
      <w:pPr>
        <w:pStyle w:val="Heading3"/>
      </w:pPr>
      <w:r>
        <w:br w:type="page"/>
      </w:r>
      <w:r>
        <w:rPr>
          <w:rFonts w:hint="eastAsia"/>
        </w:rPr>
        <w:t>导</w:t>
      </w:r>
      <w:r>
        <w:t xml:space="preserve">  </w:t>
      </w:r>
      <w:r>
        <w:rPr>
          <w:rFonts w:hint="eastAsia"/>
        </w:rPr>
        <w:t>言</w:t>
      </w:r>
    </w:p>
    <w:p w:rsidR="00000000" w:rsidRDefault="003D15A7">
      <w:r>
        <w:tab/>
        <w:t xml:space="preserve">1.  </w:t>
      </w:r>
      <w:r>
        <w:rPr>
          <w:rFonts w:hint="eastAsia"/>
        </w:rPr>
        <w:t>摩洛哥于</w:t>
      </w:r>
      <w:r>
        <w:t>1979</w:t>
      </w:r>
      <w:r>
        <w:rPr>
          <w:rFonts w:hint="eastAsia"/>
        </w:rPr>
        <w:t>年</w:t>
      </w:r>
      <w:r>
        <w:t>5</w:t>
      </w:r>
      <w:r>
        <w:rPr>
          <w:rFonts w:hint="eastAsia"/>
        </w:rPr>
        <w:t>月</w:t>
      </w:r>
      <w:r>
        <w:t>3</w:t>
      </w:r>
      <w:r>
        <w:rPr>
          <w:rFonts w:hint="eastAsia"/>
        </w:rPr>
        <w:t>日批准《经济、社会、文化权利国际盟约》，摩洛哥政府现根据该《盟约》第</w:t>
      </w:r>
      <w:r>
        <w:t>16</w:t>
      </w:r>
      <w:r>
        <w:rPr>
          <w:rFonts w:hint="eastAsia"/>
        </w:rPr>
        <w:t>和第</w:t>
      </w:r>
      <w:r>
        <w:t>17</w:t>
      </w:r>
      <w:r>
        <w:rPr>
          <w:rFonts w:hint="eastAsia"/>
        </w:rPr>
        <w:t>条提交以下有关该《盟约》执行情况的第二次定</w:t>
      </w:r>
      <w:r>
        <w:rPr>
          <w:rFonts w:hint="eastAsia"/>
        </w:rPr>
        <w:t>期报告。</w:t>
      </w:r>
    </w:p>
    <w:p w:rsidR="00000000" w:rsidRDefault="003D15A7">
      <w:r>
        <w:tab/>
        <w:t xml:space="preserve">2.  </w:t>
      </w:r>
      <w:r>
        <w:rPr>
          <w:rFonts w:hint="eastAsia"/>
        </w:rPr>
        <w:t>摩洛哥政府满意地注意到经济、社会和文化权利委员会的评论。评论赞扬了为减少结构调整方案对最脆弱社会阶层所造成的影响而采取的措施。还注意到就促进住房和保健权利、减少母婴死亡率所采取的措施和政策以及为保护儿童和减少文盲所作努力提出的积极结论性意见。</w:t>
      </w:r>
    </w:p>
    <w:p w:rsidR="00000000" w:rsidRDefault="003D15A7">
      <w:r>
        <w:tab/>
        <w:t xml:space="preserve">3.  </w:t>
      </w:r>
      <w:r>
        <w:rPr>
          <w:rFonts w:hint="eastAsia"/>
        </w:rPr>
        <w:t>摩洛哥政府还注意到所提出的主要关注问题，以及委员会有关阻碍执行《盟约》的因素和困难的意见，并对所提出的建议和意见极其重视。以下陈述摩洛哥政府自提交初次报告之日以来为充分行使《盟约》规定的权利所取得的进展和采取的措施。</w:t>
      </w:r>
    </w:p>
    <w:p w:rsidR="00000000" w:rsidRDefault="003D15A7">
      <w:pPr>
        <w:pStyle w:val="Heading2"/>
        <w:rPr>
          <w:rFonts w:eastAsia="SimHei"/>
          <w:color w:val="auto"/>
          <w:kern w:val="24"/>
          <w:sz w:val="24"/>
        </w:rPr>
      </w:pPr>
      <w:r>
        <w:br w:type="page"/>
      </w:r>
      <w:r>
        <w:rPr>
          <w:rFonts w:eastAsia="SimHei" w:hint="eastAsia"/>
          <w:color w:val="auto"/>
          <w:kern w:val="24"/>
          <w:sz w:val="24"/>
        </w:rPr>
        <w:t>第</w:t>
      </w:r>
      <w:r>
        <w:rPr>
          <w:rFonts w:eastAsia="SimHei"/>
          <w:color w:val="auto"/>
          <w:kern w:val="24"/>
          <w:sz w:val="24"/>
        </w:rPr>
        <w:t xml:space="preserve"> </w:t>
      </w:r>
      <w:r>
        <w:rPr>
          <w:rFonts w:eastAsia="SimHei" w:hint="eastAsia"/>
          <w:color w:val="auto"/>
          <w:kern w:val="24"/>
          <w:sz w:val="24"/>
        </w:rPr>
        <w:t>一</w:t>
      </w:r>
      <w:r>
        <w:rPr>
          <w:rFonts w:eastAsia="SimHei"/>
          <w:color w:val="auto"/>
          <w:kern w:val="24"/>
          <w:sz w:val="24"/>
        </w:rPr>
        <w:t xml:space="preserve"> </w:t>
      </w:r>
      <w:r>
        <w:rPr>
          <w:rFonts w:eastAsia="SimHei" w:hint="eastAsia"/>
          <w:color w:val="auto"/>
          <w:kern w:val="24"/>
          <w:sz w:val="24"/>
        </w:rPr>
        <w:t>部</w:t>
      </w:r>
      <w:r>
        <w:rPr>
          <w:rFonts w:eastAsia="SimHei"/>
          <w:color w:val="auto"/>
          <w:kern w:val="24"/>
          <w:sz w:val="24"/>
        </w:rPr>
        <w:t xml:space="preserve"> </w:t>
      </w:r>
      <w:r>
        <w:rPr>
          <w:rFonts w:eastAsia="SimHei" w:hint="eastAsia"/>
          <w:color w:val="auto"/>
          <w:kern w:val="24"/>
          <w:sz w:val="24"/>
        </w:rPr>
        <w:t>分</w:t>
      </w:r>
    </w:p>
    <w:p w:rsidR="00000000" w:rsidRDefault="003D15A7">
      <w:pPr>
        <w:pStyle w:val="Heading2"/>
        <w:rPr>
          <w:rFonts w:eastAsia="SimHei"/>
          <w:color w:val="auto"/>
          <w:kern w:val="24"/>
          <w:sz w:val="24"/>
        </w:rPr>
      </w:pPr>
      <w:r>
        <w:rPr>
          <w:rFonts w:eastAsia="SimHei" w:hint="eastAsia"/>
          <w:color w:val="auto"/>
          <w:kern w:val="24"/>
          <w:sz w:val="24"/>
        </w:rPr>
        <w:t>概</w:t>
      </w:r>
      <w:r>
        <w:rPr>
          <w:rFonts w:eastAsia="SimHei"/>
          <w:color w:val="auto"/>
          <w:kern w:val="24"/>
          <w:sz w:val="24"/>
        </w:rPr>
        <w:t xml:space="preserve">  </w:t>
      </w:r>
      <w:r>
        <w:rPr>
          <w:rFonts w:eastAsia="SimHei" w:hint="eastAsia"/>
          <w:color w:val="auto"/>
          <w:kern w:val="24"/>
          <w:sz w:val="24"/>
        </w:rPr>
        <w:t>况</w:t>
      </w:r>
    </w:p>
    <w:p w:rsidR="00000000" w:rsidRDefault="003D15A7">
      <w:pPr>
        <w:pStyle w:val="Heading2"/>
      </w:pPr>
      <w:r>
        <w:rPr>
          <w:rFonts w:hint="eastAsia"/>
        </w:rPr>
        <w:t>一、土地和人民</w:t>
      </w:r>
    </w:p>
    <w:p w:rsidR="00000000" w:rsidRDefault="003D15A7">
      <w:r>
        <w:tab/>
        <w:t xml:space="preserve">4.  </w:t>
      </w:r>
      <w:r>
        <w:rPr>
          <w:rFonts w:hint="eastAsia"/>
        </w:rPr>
        <w:t>摩洛哥位于非洲西北部，地处北纬</w:t>
      </w:r>
      <w:r>
        <w:t>210</w:t>
      </w:r>
      <w:r>
        <w:rPr>
          <w:rFonts w:hint="eastAsia"/>
        </w:rPr>
        <w:t>度至</w:t>
      </w:r>
      <w:r>
        <w:t>360</w:t>
      </w:r>
      <w:r>
        <w:rPr>
          <w:rFonts w:hint="eastAsia"/>
        </w:rPr>
        <w:t>度之间。面积为</w:t>
      </w:r>
      <w:r>
        <w:t>710,850</w:t>
      </w:r>
      <w:r>
        <w:rPr>
          <w:rFonts w:hint="eastAsia"/>
        </w:rPr>
        <w:t>平方公里。北邻地中海，西濒大西洋。东与阿尔及利亚接壤，南与毛里塔尼亚毗邻。</w:t>
      </w:r>
    </w:p>
    <w:p w:rsidR="00000000" w:rsidRDefault="003D15A7">
      <w:r>
        <w:tab/>
        <w:t>5.  1994</w:t>
      </w:r>
      <w:r>
        <w:rPr>
          <w:rFonts w:hint="eastAsia"/>
        </w:rPr>
        <w:t>年进行的人口和住房普查表明人口为</w:t>
      </w:r>
      <w:r>
        <w:t>26,074,000</w:t>
      </w:r>
      <w:r>
        <w:rPr>
          <w:rFonts w:hint="eastAsia"/>
        </w:rPr>
        <w:t>人，平均密度为每平方公里</w:t>
      </w:r>
      <w:r>
        <w:t>36.7</w:t>
      </w:r>
      <w:r>
        <w:rPr>
          <w:rFonts w:hint="eastAsia"/>
        </w:rPr>
        <w:t>人。根据人口调查和研究中心的测算，截至</w:t>
      </w:r>
      <w:r>
        <w:t>1995</w:t>
      </w:r>
      <w:r>
        <w:rPr>
          <w:rFonts w:hint="eastAsia"/>
        </w:rPr>
        <w:t>年</w:t>
      </w:r>
      <w:r>
        <w:t>7</w:t>
      </w:r>
      <w:r>
        <w:rPr>
          <w:rFonts w:hint="eastAsia"/>
        </w:rPr>
        <w:t>月</w:t>
      </w:r>
      <w:r>
        <w:t>1</w:t>
      </w:r>
      <w:r>
        <w:rPr>
          <w:rFonts w:hint="eastAsia"/>
        </w:rPr>
        <w:t>日人口总数已达</w:t>
      </w:r>
      <w:r>
        <w:t>26,386,000</w:t>
      </w:r>
      <w:r>
        <w:rPr>
          <w:rFonts w:hint="eastAsia"/>
        </w:rPr>
        <w:t>人，平均密度为每平方公里</w:t>
      </w:r>
      <w:r>
        <w:t>37.1</w:t>
      </w:r>
      <w:r>
        <w:rPr>
          <w:rFonts w:hint="eastAsia"/>
        </w:rPr>
        <w:t>人。根据全国人口和就业调查，</w:t>
      </w:r>
      <w:r>
        <w:t>1995</w:t>
      </w:r>
      <w:r>
        <w:rPr>
          <w:rFonts w:hint="eastAsia"/>
        </w:rPr>
        <w:t>年工作人口为</w:t>
      </w:r>
      <w:r>
        <w:t>10,006,436</w:t>
      </w:r>
      <w:r>
        <w:rPr>
          <w:rFonts w:hint="eastAsia"/>
        </w:rPr>
        <w:t>人，即总人口的</w:t>
      </w:r>
      <w:r>
        <w:t>37.9%</w:t>
      </w:r>
      <w:r>
        <w:rPr>
          <w:rFonts w:hint="eastAsia"/>
        </w:rPr>
        <w:t>；</w:t>
      </w:r>
      <w:r>
        <w:t>4,982,</w:t>
      </w:r>
      <w:r>
        <w:t>080</w:t>
      </w:r>
      <w:r>
        <w:rPr>
          <w:rFonts w:hint="eastAsia"/>
        </w:rPr>
        <w:t>人居住在城市地区，</w:t>
      </w:r>
      <w:r>
        <w:t>5,024,356</w:t>
      </w:r>
      <w:r>
        <w:rPr>
          <w:rFonts w:hint="eastAsia"/>
        </w:rPr>
        <w:t>人居住在农村地区。</w:t>
      </w:r>
    </w:p>
    <w:p w:rsidR="00000000" w:rsidRDefault="003D15A7">
      <w:r>
        <w:tab/>
        <w:t>6.  1994</w:t>
      </w:r>
      <w:r>
        <w:rPr>
          <w:rFonts w:hint="eastAsia"/>
        </w:rPr>
        <w:t>年人口普查表明，目前居住在农村地区的摩洛哥人要比居住在城市地区的多：</w:t>
      </w:r>
      <w:r>
        <w:t>48.6%</w:t>
      </w:r>
      <w:r>
        <w:rPr>
          <w:rFonts w:hint="eastAsia"/>
        </w:rPr>
        <w:t>居住在农村地区，</w:t>
      </w:r>
      <w:r>
        <w:t>51.4%</w:t>
      </w:r>
      <w:r>
        <w:rPr>
          <w:rFonts w:hint="eastAsia"/>
        </w:rPr>
        <w:t>居住在城镇。</w:t>
      </w:r>
    </w:p>
    <w:p w:rsidR="00000000" w:rsidRDefault="003D15A7">
      <w:pPr>
        <w:spacing w:after="320"/>
        <w:textAlignment w:val="center"/>
      </w:pPr>
      <w:r>
        <w:tab/>
        <w:t>7.  1995</w:t>
      </w:r>
      <w:r>
        <w:rPr>
          <w:rFonts w:hint="eastAsia"/>
        </w:rPr>
        <w:t>年的失业率为工作人口的</w:t>
      </w:r>
      <w:r>
        <w:t>16%(</w:t>
      </w:r>
      <w:r>
        <w:rPr>
          <w:rFonts w:hint="eastAsia"/>
        </w:rPr>
        <w:t>城市地区为</w:t>
      </w:r>
      <w:r>
        <w:t>22.9%</w:t>
      </w:r>
      <w:r>
        <w:rPr>
          <w:rFonts w:hint="eastAsia"/>
        </w:rPr>
        <w:t>，农村地区为</w:t>
      </w:r>
      <w:r>
        <w:t>8.5%)</w:t>
      </w:r>
      <w:r>
        <w:rPr>
          <w:rFonts w:hint="eastAsia"/>
        </w:rPr>
        <w:t>。在农村和城镇，</w:t>
      </w:r>
      <w:r>
        <w:t>15</w:t>
      </w:r>
      <w:r>
        <w:rPr>
          <w:rFonts w:hint="eastAsia"/>
        </w:rPr>
        <w:t>至</w:t>
      </w:r>
      <w:r>
        <w:t>24</w:t>
      </w:r>
      <w:r>
        <w:rPr>
          <w:rFonts w:hint="eastAsia"/>
        </w:rPr>
        <w:t>岁年龄组受到的影响最大。城镇地区妇女失业率比较高</w:t>
      </w:r>
      <w:r>
        <w:t>(</w:t>
      </w:r>
      <w:r>
        <w:rPr>
          <w:rFonts w:hint="eastAsia"/>
        </w:rPr>
        <w:t>女性工作人口的</w:t>
      </w:r>
      <w:r>
        <w:t>32.2%</w:t>
      </w:r>
      <w:r>
        <w:rPr>
          <w:rFonts w:hint="eastAsia"/>
        </w:rPr>
        <w:t>失业，而男性工作人口的</w:t>
      </w:r>
      <w:r>
        <w:t>18.7%</w:t>
      </w:r>
      <w:r>
        <w:rPr>
          <w:rFonts w:hint="eastAsia"/>
        </w:rPr>
        <w:t>失业</w:t>
      </w:r>
      <w:r>
        <w:t>)</w:t>
      </w:r>
      <w:r>
        <w:rPr>
          <w:rFonts w:hint="eastAsia"/>
        </w:rPr>
        <w:t>；相反，在农村地区男子的失业率比较高</w:t>
      </w:r>
      <w:r>
        <w:t>(</w:t>
      </w:r>
      <w:r>
        <w:rPr>
          <w:rFonts w:hint="eastAsia"/>
        </w:rPr>
        <w:t>妇女为</w:t>
      </w:r>
      <w:r>
        <w:t>6.5%</w:t>
      </w:r>
      <w:r>
        <w:rPr>
          <w:rFonts w:hint="eastAsia"/>
        </w:rPr>
        <w:t>，男子为</w:t>
      </w:r>
      <w:r>
        <w:t>9.6%)</w:t>
      </w:r>
      <w:r>
        <w:rPr>
          <w:rFonts w:hint="eastAsia"/>
        </w:rPr>
        <w:t>。</w:t>
      </w:r>
    </w:p>
    <w:p w:rsidR="00000000" w:rsidRDefault="003D15A7">
      <w:pPr>
        <w:pStyle w:val="Heading2"/>
      </w:pPr>
      <w:r>
        <w:rPr>
          <w:rFonts w:hint="eastAsia"/>
        </w:rPr>
        <w:t>二、总的政治</w:t>
      </w:r>
      <w:r>
        <w:rPr>
          <w:rFonts w:hint="eastAsia"/>
        </w:rPr>
        <w:t>结构</w:t>
      </w:r>
    </w:p>
    <w:p w:rsidR="00000000" w:rsidRDefault="003D15A7">
      <w:r>
        <w:tab/>
        <w:t xml:space="preserve">8.  </w:t>
      </w:r>
      <w:r>
        <w:rPr>
          <w:rFonts w:hint="eastAsia"/>
        </w:rPr>
        <w:t>摩洛哥是社会民主的君主立宪制国家。最近一次修改宪法是</w:t>
      </w:r>
      <w:r>
        <w:t>1996</w:t>
      </w:r>
      <w:r>
        <w:rPr>
          <w:rFonts w:hint="eastAsia"/>
        </w:rPr>
        <w:t>年</w:t>
      </w:r>
      <w:r>
        <w:t>10</w:t>
      </w:r>
      <w:r>
        <w:rPr>
          <w:rFonts w:hint="eastAsia"/>
        </w:rPr>
        <w:t>月</w:t>
      </w:r>
      <w:r>
        <w:t>7</w:t>
      </w:r>
      <w:r>
        <w:rPr>
          <w:rFonts w:hint="eastAsia"/>
        </w:rPr>
        <w:t>日经公民投票通过的。</w:t>
      </w:r>
    </w:p>
    <w:p w:rsidR="00000000" w:rsidRDefault="003D15A7">
      <w:r>
        <w:tab/>
        <w:t xml:space="preserve">9.  </w:t>
      </w:r>
      <w:r>
        <w:rPr>
          <w:rFonts w:hint="eastAsia"/>
        </w:rPr>
        <w:t>根据宪法的总则，主权归于国家，国家通过公民投票直接和通过宪法机构间接地行使主权。各政党、工会组织、地方社区和行业协会一起工作组织和代表公民。</w:t>
      </w:r>
    </w:p>
    <w:p w:rsidR="00000000" w:rsidRDefault="003D15A7">
      <w:r>
        <w:tab/>
        <w:t xml:space="preserve">10.  </w:t>
      </w:r>
      <w:r>
        <w:rPr>
          <w:rFonts w:hint="eastAsia"/>
        </w:rPr>
        <w:t>国王是该国的最高代表，是国家统一的象征，并且是国家永久持续的保障。国王确保尊重伊斯兰教和《宪法》。他是公民、社会群体和社区各项权利和各项自由的保护者。</w:t>
      </w:r>
    </w:p>
    <w:p w:rsidR="00000000" w:rsidRDefault="003D15A7">
      <w:r>
        <w:tab/>
        <w:t xml:space="preserve">11.  </w:t>
      </w:r>
      <w:r>
        <w:rPr>
          <w:rFonts w:hint="eastAsia"/>
        </w:rPr>
        <w:t>立法权力由议会行使，自</w:t>
      </w:r>
      <w:r>
        <w:t>1996</w:t>
      </w:r>
      <w:r>
        <w:rPr>
          <w:rFonts w:hint="eastAsia"/>
        </w:rPr>
        <w:t>年修改宪法之后，议会由两院组成：代表院和政务院</w:t>
      </w:r>
      <w:r>
        <w:rPr>
          <w:rFonts w:hint="eastAsia"/>
        </w:rPr>
        <w:t>。代表院成员通过直接普选选出。政务院成员的五分之三由每个地区地方社区代表组成的选举团选出，五分之二由每个地区各行业协会选出的代表组成的选举团选出的成员和在国家一级由雇员代表组成的选举团选出的成员组成。</w:t>
      </w:r>
    </w:p>
    <w:p w:rsidR="00000000" w:rsidRDefault="003D15A7">
      <w:r>
        <w:tab/>
        <w:t xml:space="preserve">12.  </w:t>
      </w:r>
      <w:r>
        <w:rPr>
          <w:rFonts w:hint="eastAsia"/>
        </w:rPr>
        <w:t>政府由首相和部长行政。政府向国王和议会负责。政府负责执行法律和行政工作。首相行使管理权力。他可以把某些权力分配给各部长。他负责协调各部的活动。</w:t>
      </w:r>
    </w:p>
    <w:p w:rsidR="00000000" w:rsidRDefault="003D15A7">
      <w:r>
        <w:tab/>
        <w:t xml:space="preserve">13.  </w:t>
      </w:r>
      <w:r>
        <w:rPr>
          <w:rFonts w:hint="eastAsia"/>
        </w:rPr>
        <w:t>司法独立于立法和行政。地方长官根据地方长官执行委员会的建议由国王法令委任。执行委员会的组成由《宪法》决定。该委员会由国王主持，包括九名地方长官</w:t>
      </w:r>
      <w:r>
        <w:rPr>
          <w:rFonts w:hint="eastAsia"/>
        </w:rPr>
        <w:t>。司法部长是该委员会的副主席。地方长官按地方长官章程行事。地方长官执行委员会在晋升和纪律惩处方面确保地方长官行使其所担负的职责。法官席的成员是不可撤换的。</w:t>
      </w:r>
    </w:p>
    <w:p w:rsidR="00000000" w:rsidRDefault="003D15A7">
      <w:pPr>
        <w:textAlignment w:val="center"/>
      </w:pPr>
      <w:r>
        <w:tab/>
        <w:t xml:space="preserve">14.  </w:t>
      </w:r>
      <w:r>
        <w:rPr>
          <w:rFonts w:hint="eastAsia"/>
        </w:rPr>
        <w:t>地方社区分为地区、直辖市、省和社区。摩洛哥划分为若干地区。</w:t>
      </w:r>
      <w:r>
        <w:t>1997</w:t>
      </w:r>
      <w:r>
        <w:rPr>
          <w:rFonts w:hint="eastAsia"/>
        </w:rPr>
        <w:t>年</w:t>
      </w:r>
      <w:r>
        <w:t>4</w:t>
      </w:r>
      <w:r>
        <w:rPr>
          <w:rFonts w:hint="eastAsia"/>
        </w:rPr>
        <w:t>月</w:t>
      </w:r>
      <w:r>
        <w:t>2</w:t>
      </w:r>
      <w:r>
        <w:rPr>
          <w:rFonts w:hint="eastAsia"/>
        </w:rPr>
        <w:t>日颁发的一项法令对地区新的法律框架作了规定。地区目前作为地方社区行使职责，并设有对行政当局</w:t>
      </w:r>
      <w:r>
        <w:t>(</w:t>
      </w:r>
      <w:r>
        <w:rPr>
          <w:rFonts w:hint="eastAsia"/>
        </w:rPr>
        <w:t>地区首府总督</w:t>
      </w:r>
      <w:r>
        <w:t>)</w:t>
      </w:r>
      <w:r>
        <w:rPr>
          <w:rFonts w:hint="eastAsia"/>
        </w:rPr>
        <w:t>具有选举权和控制权的理事会。不久将由法令确定地区的数量，名称，地区界线和首府。地区又再次划分。摩洛哥有</w:t>
      </w:r>
      <w:r>
        <w:t>10</w:t>
      </w:r>
      <w:r>
        <w:rPr>
          <w:rFonts w:hint="eastAsia"/>
        </w:rPr>
        <w:t>个“维拉亚”，涵盖</w:t>
      </w:r>
      <w:r>
        <w:t>13</w:t>
      </w:r>
      <w:r>
        <w:rPr>
          <w:rFonts w:hint="eastAsia"/>
        </w:rPr>
        <w:t>个省、</w:t>
      </w:r>
      <w:r>
        <w:t>24</w:t>
      </w:r>
      <w:r>
        <w:rPr>
          <w:rFonts w:hint="eastAsia"/>
        </w:rPr>
        <w:t>个直辖市和</w:t>
      </w:r>
      <w:r>
        <w:t>31</w:t>
      </w:r>
      <w:r>
        <w:rPr>
          <w:rFonts w:hint="eastAsia"/>
        </w:rPr>
        <w:t>个其他省，这</w:t>
      </w:r>
      <w:r>
        <w:rPr>
          <w:rFonts w:hint="eastAsia"/>
        </w:rPr>
        <w:t>些省再划分为城镇和农林社区。</w:t>
      </w:r>
    </w:p>
    <w:p w:rsidR="00000000" w:rsidRDefault="003D15A7">
      <w:pPr>
        <w:textAlignment w:val="center"/>
      </w:pPr>
      <w:r>
        <w:tab/>
        <w:t xml:space="preserve">15.  </w:t>
      </w:r>
      <w:r>
        <w:rPr>
          <w:rFonts w:hint="eastAsia"/>
        </w:rPr>
        <w:t>地区社区选举产生大会。大会负责根据法律确定的条件民主地管理其事务。社区理事会经一次性不记名投票直接选举的相对多数选举产生，任期为六年。</w:t>
      </w:r>
    </w:p>
    <w:p w:rsidR="00000000" w:rsidRDefault="003D15A7">
      <w:pPr>
        <w:textAlignment w:val="center"/>
      </w:pPr>
      <w:r>
        <w:tab/>
        <w:t xml:space="preserve">16.  </w:t>
      </w:r>
      <w:r>
        <w:rPr>
          <w:rFonts w:hint="eastAsia"/>
        </w:rPr>
        <w:t>直辖市和省的大会按照比例制度由社区大会成员选举产生。在这个比例制度之下，对名单上的若干人名进行投票选举，剩余的位子则归于表现最佳的各方。只有社区的政务院委员有资格。行业机构，商会、工业和服务、手工业、农业和渔业按每个行业一名代表出席这些大会。</w:t>
      </w:r>
    </w:p>
    <w:p w:rsidR="00000000" w:rsidRDefault="003D15A7">
      <w:pPr>
        <w:textAlignment w:val="center"/>
      </w:pPr>
      <w:r>
        <w:tab/>
        <w:t xml:space="preserve">17.  </w:t>
      </w:r>
      <w:r>
        <w:rPr>
          <w:rFonts w:hint="eastAsia"/>
        </w:rPr>
        <w:t>地区理事会由地方社区、行业协会和雇员组织选出的代表组成。他们还包括</w:t>
      </w:r>
      <w:r>
        <w:rPr>
          <w:rFonts w:hint="eastAsia"/>
        </w:rPr>
        <w:t>该地区选出的议会成员，所在地区的直辖市和省大会主席，他们以顾问身份参加会议。</w:t>
      </w:r>
    </w:p>
    <w:p w:rsidR="00000000" w:rsidRDefault="003D15A7">
      <w:pPr>
        <w:pStyle w:val="Heading2"/>
        <w:rPr>
          <w:rFonts w:eastAsia="SimHei"/>
          <w:color w:val="auto"/>
          <w:kern w:val="24"/>
          <w:sz w:val="24"/>
        </w:rPr>
      </w:pPr>
      <w:r>
        <w:br w:type="page"/>
      </w:r>
      <w:r>
        <w:rPr>
          <w:rFonts w:eastAsia="SimHei" w:hint="eastAsia"/>
          <w:color w:val="auto"/>
          <w:kern w:val="24"/>
          <w:sz w:val="24"/>
        </w:rPr>
        <w:t>第</w:t>
      </w:r>
      <w:r>
        <w:rPr>
          <w:rFonts w:eastAsia="SimHei"/>
          <w:color w:val="auto"/>
          <w:kern w:val="24"/>
          <w:sz w:val="24"/>
        </w:rPr>
        <w:t xml:space="preserve"> </w:t>
      </w:r>
      <w:r>
        <w:rPr>
          <w:rFonts w:eastAsia="SimHei" w:hint="eastAsia"/>
          <w:color w:val="auto"/>
          <w:kern w:val="24"/>
          <w:sz w:val="24"/>
        </w:rPr>
        <w:t>二</w:t>
      </w:r>
      <w:r>
        <w:rPr>
          <w:rFonts w:eastAsia="SimHei"/>
          <w:color w:val="auto"/>
          <w:kern w:val="24"/>
          <w:sz w:val="24"/>
        </w:rPr>
        <w:t xml:space="preserve"> </w:t>
      </w:r>
      <w:r>
        <w:rPr>
          <w:rFonts w:eastAsia="SimHei" w:hint="eastAsia"/>
          <w:color w:val="auto"/>
          <w:kern w:val="24"/>
          <w:sz w:val="24"/>
        </w:rPr>
        <w:t>部</w:t>
      </w:r>
      <w:r>
        <w:rPr>
          <w:rFonts w:eastAsia="SimHei"/>
          <w:color w:val="auto"/>
          <w:kern w:val="24"/>
          <w:sz w:val="24"/>
        </w:rPr>
        <w:t xml:space="preserve"> </w:t>
      </w:r>
      <w:r>
        <w:rPr>
          <w:rFonts w:eastAsia="SimHei" w:hint="eastAsia"/>
          <w:color w:val="auto"/>
          <w:kern w:val="24"/>
          <w:sz w:val="24"/>
        </w:rPr>
        <w:t>分</w:t>
      </w:r>
    </w:p>
    <w:p w:rsidR="00000000" w:rsidRDefault="003D15A7">
      <w:pPr>
        <w:pStyle w:val="Heading2"/>
        <w:rPr>
          <w:rFonts w:eastAsia="SimHei"/>
          <w:color w:val="auto"/>
          <w:kern w:val="24"/>
          <w:sz w:val="24"/>
        </w:rPr>
      </w:pPr>
      <w:r>
        <w:rPr>
          <w:rFonts w:eastAsia="SimHei" w:hint="eastAsia"/>
          <w:color w:val="auto"/>
          <w:kern w:val="24"/>
          <w:sz w:val="24"/>
        </w:rPr>
        <w:t>与盟约第</w:t>
      </w:r>
      <w:r>
        <w:rPr>
          <w:rFonts w:eastAsia="SimHei"/>
          <w:color w:val="auto"/>
          <w:kern w:val="24"/>
          <w:sz w:val="24"/>
        </w:rPr>
        <w:t>1</w:t>
      </w:r>
      <w:r>
        <w:rPr>
          <w:rFonts w:eastAsia="SimHei" w:hint="eastAsia"/>
          <w:color w:val="auto"/>
          <w:kern w:val="24"/>
          <w:sz w:val="24"/>
        </w:rPr>
        <w:t>条至第</w:t>
      </w:r>
      <w:r>
        <w:rPr>
          <w:rFonts w:eastAsia="SimHei"/>
          <w:color w:val="auto"/>
          <w:kern w:val="24"/>
          <w:sz w:val="24"/>
        </w:rPr>
        <w:t>15</w:t>
      </w:r>
      <w:r>
        <w:rPr>
          <w:rFonts w:eastAsia="SimHei" w:hint="eastAsia"/>
          <w:color w:val="auto"/>
          <w:kern w:val="24"/>
          <w:sz w:val="24"/>
        </w:rPr>
        <w:t>条有关的情况</w:t>
      </w:r>
    </w:p>
    <w:p w:rsidR="00000000" w:rsidRDefault="003D15A7">
      <w:pPr>
        <w:pStyle w:val="Heading2"/>
      </w:pPr>
      <w:r>
        <w:rPr>
          <w:rFonts w:hint="eastAsia"/>
        </w:rPr>
        <w:t>第</w:t>
      </w:r>
      <w:r>
        <w:t xml:space="preserve"> 1 </w:t>
      </w:r>
      <w:r>
        <w:rPr>
          <w:rFonts w:hint="eastAsia"/>
        </w:rPr>
        <w:t>条</w:t>
      </w:r>
    </w:p>
    <w:p w:rsidR="00000000" w:rsidRDefault="003D15A7">
      <w:pPr>
        <w:pStyle w:val="Heading3"/>
      </w:pPr>
      <w:r>
        <w:rPr>
          <w:rFonts w:hint="eastAsia"/>
        </w:rPr>
        <w:t>自</w:t>
      </w:r>
      <w:r>
        <w:t xml:space="preserve">  </w:t>
      </w:r>
      <w:r>
        <w:rPr>
          <w:rFonts w:hint="eastAsia"/>
        </w:rPr>
        <w:t>决</w:t>
      </w:r>
      <w:r>
        <w:t xml:space="preserve">  </w:t>
      </w:r>
      <w:r>
        <w:rPr>
          <w:rFonts w:hint="eastAsia"/>
        </w:rPr>
        <w:t>权</w:t>
      </w:r>
    </w:p>
    <w:p w:rsidR="00000000" w:rsidRDefault="003D15A7">
      <w:pPr>
        <w:pStyle w:val="Heading3"/>
      </w:pPr>
      <w:r>
        <w:rPr>
          <w:u w:val="none"/>
        </w:rPr>
        <w:t xml:space="preserve">A.  </w:t>
      </w:r>
      <w:r>
        <w:rPr>
          <w:rFonts w:hint="eastAsia"/>
        </w:rPr>
        <w:t>该原则的国内方面</w:t>
      </w:r>
    </w:p>
    <w:p w:rsidR="00000000" w:rsidRDefault="003D15A7">
      <w:r>
        <w:tab/>
        <w:t xml:space="preserve">18.  </w:t>
      </w:r>
      <w:r>
        <w:rPr>
          <w:rFonts w:hint="eastAsia"/>
        </w:rPr>
        <w:t>各族人民的自决权利是一项基本的权利，在整个摩洛哥政治和宪法历史中始终被认为是一项神圣和应予以保障的权利。除了初次报告</w:t>
      </w:r>
      <w:r>
        <w:t>(E/1990/5/Add.13)</w:t>
      </w:r>
      <w:r>
        <w:rPr>
          <w:rFonts w:hint="eastAsia"/>
        </w:rPr>
        <w:t>内所提供的资料，该国政府希望提到</w:t>
      </w:r>
      <w:r>
        <w:t>1996</w:t>
      </w:r>
      <w:r>
        <w:rPr>
          <w:rFonts w:hint="eastAsia"/>
        </w:rPr>
        <w:t>年经修正的《摩洛哥宪法》和在这之前的各项宪法</w:t>
      </w:r>
      <w:r>
        <w:t>(1962</w:t>
      </w:r>
      <w:r>
        <w:rPr>
          <w:rFonts w:hint="eastAsia"/>
        </w:rPr>
        <w:t>年、</w:t>
      </w:r>
      <w:r>
        <w:t>1970</w:t>
      </w:r>
      <w:r>
        <w:rPr>
          <w:rFonts w:hint="eastAsia"/>
        </w:rPr>
        <w:t>年、</w:t>
      </w:r>
      <w:r>
        <w:t>1972</w:t>
      </w:r>
      <w:r>
        <w:rPr>
          <w:rFonts w:hint="eastAsia"/>
        </w:rPr>
        <w:t>年、</w:t>
      </w:r>
      <w:r>
        <w:t>1992</w:t>
      </w:r>
      <w:r>
        <w:rPr>
          <w:rFonts w:hint="eastAsia"/>
        </w:rPr>
        <w:t>年</w:t>
      </w:r>
      <w:r>
        <w:t>)</w:t>
      </w:r>
      <w:r>
        <w:rPr>
          <w:rFonts w:hint="eastAsia"/>
        </w:rPr>
        <w:t>都严格按照各族人民神圣和不可剥夺</w:t>
      </w:r>
      <w:r>
        <w:rPr>
          <w:rFonts w:hint="eastAsia"/>
        </w:rPr>
        <w:t>的自决权为摩洛哥的政治制度奠定了基础。因而，由主权归于国家，国家通过公民投票直接地并通过宪法机构间接地履行主权</w:t>
      </w:r>
      <w:r>
        <w:t>(</w:t>
      </w:r>
      <w:r>
        <w:rPr>
          <w:rFonts w:hint="eastAsia"/>
        </w:rPr>
        <w:t>第</w:t>
      </w:r>
      <w:r>
        <w:t>2</w:t>
      </w:r>
      <w:r>
        <w:rPr>
          <w:rFonts w:hint="eastAsia"/>
        </w:rPr>
        <w:t>条</w:t>
      </w:r>
      <w:r>
        <w:t>)</w:t>
      </w:r>
      <w:r>
        <w:rPr>
          <w:rFonts w:hint="eastAsia"/>
        </w:rPr>
        <w:t>，法律是国家的意志的最高表现</w:t>
      </w:r>
      <w:r>
        <w:t>(</w:t>
      </w:r>
      <w:r>
        <w:rPr>
          <w:rFonts w:hint="eastAsia"/>
        </w:rPr>
        <w:t>第</w:t>
      </w:r>
      <w:r>
        <w:t>4</w:t>
      </w:r>
      <w:r>
        <w:rPr>
          <w:rFonts w:hint="eastAsia"/>
        </w:rPr>
        <w:t>条</w:t>
      </w:r>
      <w:r>
        <w:t>)</w:t>
      </w:r>
      <w:r>
        <w:rPr>
          <w:rFonts w:hint="eastAsia"/>
        </w:rPr>
        <w:t>。</w:t>
      </w:r>
    </w:p>
    <w:p w:rsidR="00000000" w:rsidRDefault="003D15A7">
      <w:pPr>
        <w:spacing w:after="320"/>
        <w:textAlignment w:val="center"/>
      </w:pPr>
      <w:r>
        <w:tab/>
        <w:t xml:space="preserve">19.  </w:t>
      </w:r>
      <w:r>
        <w:rPr>
          <w:rFonts w:hint="eastAsia"/>
        </w:rPr>
        <w:t>同样，代表院和政务院的成员其职权来自于国家</w:t>
      </w:r>
      <w:r>
        <w:t>(</w:t>
      </w:r>
      <w:r>
        <w:rPr>
          <w:rFonts w:hint="eastAsia"/>
        </w:rPr>
        <w:t>第</w:t>
      </w:r>
      <w:r>
        <w:t>36</w:t>
      </w:r>
      <w:r>
        <w:rPr>
          <w:rFonts w:hint="eastAsia"/>
        </w:rPr>
        <w:t>条</w:t>
      </w:r>
      <w:r>
        <w:t>)</w:t>
      </w:r>
      <w:r>
        <w:rPr>
          <w:rFonts w:hint="eastAsia"/>
        </w:rPr>
        <w:t>。自颁发</w:t>
      </w:r>
      <w:r>
        <w:t>1992</w:t>
      </w:r>
      <w:r>
        <w:rPr>
          <w:rFonts w:hint="eastAsia"/>
        </w:rPr>
        <w:t>年宪法以来建立的作为地方社区的地区进一步向人们提供了辩论、对话和培训的场合，有助于保证民主在地方一级更加巩固。在地区一级增进民主将对国家一级产生积极的影响，因为地区制度现在是修正的</w:t>
      </w:r>
      <w:r>
        <w:t>1996</w:t>
      </w:r>
      <w:r>
        <w:rPr>
          <w:rFonts w:hint="eastAsia"/>
        </w:rPr>
        <w:t>年《宪法》建立的政务院的国家代表之基础。</w:t>
      </w:r>
    </w:p>
    <w:p w:rsidR="00000000" w:rsidRDefault="003D15A7">
      <w:pPr>
        <w:pStyle w:val="Heading3"/>
      </w:pPr>
      <w:r>
        <w:rPr>
          <w:u w:val="none"/>
        </w:rPr>
        <w:t xml:space="preserve">B.  </w:t>
      </w:r>
      <w:r>
        <w:rPr>
          <w:rFonts w:hint="eastAsia"/>
        </w:rPr>
        <w:t>该原则的国际方面</w:t>
      </w:r>
    </w:p>
    <w:p w:rsidR="00000000" w:rsidRDefault="003D15A7">
      <w:r>
        <w:tab/>
        <w:t xml:space="preserve">20.  </w:t>
      </w:r>
      <w:r>
        <w:rPr>
          <w:rFonts w:hint="eastAsia"/>
        </w:rPr>
        <w:t>摩洛哥遵循联合国安全理事会批准的西撒哈拉事务各项方案，这表明如果需要的话，摩洛哥将全心全意地贯彻执行国际法律文书，确立和有效保护所有人民基本的自决权利。摩洛哥国家元首关注维持该地区和平与安全，尽管存在摩洛哥的历史权利问题，摩洛哥国王在出席</w:t>
      </w:r>
      <w:r>
        <w:t>1981</w:t>
      </w:r>
      <w:r>
        <w:rPr>
          <w:rFonts w:hint="eastAsia"/>
        </w:rPr>
        <w:t>年于内罗毕举行的非洲统一组织最高级会议时，建议应在国际监督之下举行自由的公民投票。</w:t>
      </w:r>
    </w:p>
    <w:p w:rsidR="00000000" w:rsidRDefault="003D15A7">
      <w:r>
        <w:tab/>
        <w:t xml:space="preserve">21.  </w:t>
      </w:r>
      <w:r>
        <w:rPr>
          <w:rFonts w:hint="eastAsia"/>
        </w:rPr>
        <w:t>摩洛哥坚决遵守定居计划和《休斯敦协议》的条款。但另一方并没有这么做。该方继续采用各种各样的战术阻止旨在进行公民选举的进程。本国政府坚决维护定居计划和《休斯敦协议》，并决心</w:t>
      </w:r>
      <w:r>
        <w:rPr>
          <w:rFonts w:hint="eastAsia"/>
        </w:rPr>
        <w:t>确保联合国权力之下商定的定居进程能够认真彻底地得到执行，并且确保我们在西撒哈拉的同胞参加公民投票的合法权利得到保障。</w:t>
      </w:r>
    </w:p>
    <w:p w:rsidR="00000000" w:rsidRDefault="003D15A7">
      <w:pPr>
        <w:spacing w:after="320"/>
        <w:textAlignment w:val="center"/>
      </w:pPr>
      <w:r>
        <w:tab/>
        <w:t xml:space="preserve">22.  </w:t>
      </w:r>
      <w:r>
        <w:rPr>
          <w:rFonts w:hint="eastAsia"/>
        </w:rPr>
        <w:t>作为对话、磋商和人民自决权利的支持者，摩洛哥严格遵守国际法，努力实现彻底的领土完整。最后，应该指出摩洛哥进行了巨大的投资努力，发展撒哈拉各省，从而促进了那里的人民的经济、社会和文化权利。尽管外债给我们的经济带来了非常沉重的负担，造成了财政困难，但我们仍然继续促进人民的经济、社会和文化权利。</w:t>
      </w:r>
    </w:p>
    <w:p w:rsidR="00000000" w:rsidRDefault="003D15A7">
      <w:pPr>
        <w:pStyle w:val="Heading2"/>
      </w:pPr>
      <w:r>
        <w:rPr>
          <w:rFonts w:hint="eastAsia"/>
        </w:rPr>
        <w:t>第</w:t>
      </w:r>
      <w:r>
        <w:t xml:space="preserve"> 2 </w:t>
      </w:r>
      <w:r>
        <w:rPr>
          <w:rFonts w:hint="eastAsia"/>
        </w:rPr>
        <w:t>条</w:t>
      </w:r>
    </w:p>
    <w:p w:rsidR="00000000" w:rsidRDefault="003D15A7">
      <w:pPr>
        <w:pStyle w:val="Heading3"/>
      </w:pPr>
      <w:r>
        <w:rPr>
          <w:rFonts w:hint="eastAsia"/>
        </w:rPr>
        <w:t>经济、社会和文化权利</w:t>
      </w:r>
    </w:p>
    <w:p w:rsidR="00000000" w:rsidRDefault="003D15A7">
      <w:r>
        <w:tab/>
        <w:t>23.  1998</w:t>
      </w:r>
      <w:r>
        <w:rPr>
          <w:rFonts w:hint="eastAsia"/>
        </w:rPr>
        <w:t>年</w:t>
      </w:r>
      <w:r>
        <w:t>4</w:t>
      </w:r>
      <w:r>
        <w:rPr>
          <w:rFonts w:hint="eastAsia"/>
        </w:rPr>
        <w:t>月</w:t>
      </w:r>
      <w:r>
        <w:t>27</w:t>
      </w:r>
      <w:r>
        <w:rPr>
          <w:rFonts w:hint="eastAsia"/>
        </w:rPr>
        <w:t>日至</w:t>
      </w:r>
      <w:r>
        <w:t>29</w:t>
      </w:r>
      <w:r>
        <w:rPr>
          <w:rFonts w:hint="eastAsia"/>
        </w:rPr>
        <w:t>日在马拉喀什举行第</w:t>
      </w:r>
      <w:r>
        <w:rPr>
          <w:rFonts w:hint="eastAsia"/>
        </w:rPr>
        <w:t>一次促进和保护人权国家机构地中海会议。联合国人权事务高级专员玛丽·鲁滨逊女士出席了会议。国王陛下在发言中强调，保障各种权利的各个方面取决于经济、社会和文化权利的保障。</w:t>
      </w:r>
    </w:p>
    <w:p w:rsidR="00000000" w:rsidRDefault="003D15A7">
      <w:pPr>
        <w:spacing w:after="320"/>
        <w:textAlignment w:val="center"/>
      </w:pPr>
      <w:r>
        <w:tab/>
        <w:t xml:space="preserve">24.  </w:t>
      </w:r>
      <w:r>
        <w:rPr>
          <w:rFonts w:hint="eastAsia"/>
        </w:rPr>
        <w:t>摩洛哥坚决承诺促进经济、社会和文化权利。这体现在近期的宪法发展，政府决心高度重视社会发展，促进社会对话、加强咨询进程，振兴解决日益严重的社会、经济和文化问题的各个协会。</w:t>
      </w:r>
    </w:p>
    <w:p w:rsidR="00000000" w:rsidRDefault="003D15A7">
      <w:pPr>
        <w:pStyle w:val="Heading3"/>
      </w:pPr>
      <w:r>
        <w:rPr>
          <w:u w:val="none"/>
        </w:rPr>
        <w:t xml:space="preserve">A.  </w:t>
      </w:r>
      <w:r>
        <w:rPr>
          <w:rFonts w:hint="eastAsia"/>
        </w:rPr>
        <w:t>宪法方面的进展</w:t>
      </w:r>
    </w:p>
    <w:p w:rsidR="00000000" w:rsidRDefault="003D15A7">
      <w:r>
        <w:tab/>
        <w:t>25.  1992</w:t>
      </w:r>
      <w:r>
        <w:rPr>
          <w:rFonts w:hint="eastAsia"/>
        </w:rPr>
        <w:t>年和</w:t>
      </w:r>
      <w:r>
        <w:t>1996</w:t>
      </w:r>
      <w:r>
        <w:rPr>
          <w:rFonts w:hint="eastAsia"/>
        </w:rPr>
        <w:t>年连续对宪法进行修正，重新推动了摩洛哥的制度的发展。</w:t>
      </w:r>
      <w:r>
        <w:t>1992</w:t>
      </w:r>
      <w:r>
        <w:rPr>
          <w:rFonts w:hint="eastAsia"/>
        </w:rPr>
        <w:t>年的修正案重申，摩洛哥支持其参加的各国际组织的</w:t>
      </w:r>
      <w:r>
        <w:rPr>
          <w:rFonts w:hint="eastAsia"/>
        </w:rPr>
        <w:t>宪章的原则、权利和义务，并且承诺履行普遍接受的人权原则，建立了作为地方社区的地区，把宪法院改为宪法理事会，提高了经济和社会理事会的地位，使其成为一个宪法机构。</w:t>
      </w:r>
    </w:p>
    <w:p w:rsidR="00000000" w:rsidRDefault="003D15A7">
      <w:r>
        <w:tab/>
        <w:t>26.  1996</w:t>
      </w:r>
      <w:r>
        <w:rPr>
          <w:rFonts w:hint="eastAsia"/>
        </w:rPr>
        <w:t>年宪法纳入了这些修正案，突出的是该宪法试图实现机制平衡，并通过了两院制度，目的在于扩大代表摩洛哥人民的社会、政治、行业和区域基础。因而政务院在地方、区域和全国各级之间发挥更加积极的中介调解作用，并且指定地区在地方民主政体中的积极参加者的地位。</w:t>
      </w:r>
    </w:p>
    <w:p w:rsidR="00000000" w:rsidRDefault="003D15A7">
      <w:r>
        <w:tab/>
        <w:t xml:space="preserve">27.  </w:t>
      </w:r>
      <w:r>
        <w:rPr>
          <w:rFonts w:hint="eastAsia"/>
        </w:rPr>
        <w:t>此外，</w:t>
      </w:r>
      <w:r>
        <w:t>1996</w:t>
      </w:r>
      <w:r>
        <w:rPr>
          <w:rFonts w:hint="eastAsia"/>
        </w:rPr>
        <w:t>年宪法的新的条款规定了合同自由</w:t>
      </w:r>
      <w:r>
        <w:t>(</w:t>
      </w:r>
      <w:r>
        <w:rPr>
          <w:rFonts w:hint="eastAsia"/>
        </w:rPr>
        <w:t>第</w:t>
      </w:r>
      <w:r>
        <w:t>15</w:t>
      </w:r>
      <w:r>
        <w:rPr>
          <w:rFonts w:hint="eastAsia"/>
        </w:rPr>
        <w:t>条</w:t>
      </w:r>
      <w:r>
        <w:t>)</w:t>
      </w:r>
      <w:r>
        <w:rPr>
          <w:rFonts w:hint="eastAsia"/>
        </w:rPr>
        <w:t>，作为实现非垄断化经</w:t>
      </w:r>
      <w:r>
        <w:rPr>
          <w:rFonts w:hint="eastAsia"/>
        </w:rPr>
        <w:t>济的一个不可逆转的方法。同样，设立审计办公厅为一个宪法机构，加强了控制公共钱财的原则。</w:t>
      </w:r>
    </w:p>
    <w:p w:rsidR="00000000" w:rsidRDefault="003D15A7">
      <w:pPr>
        <w:spacing w:after="320"/>
        <w:textAlignment w:val="center"/>
        <w:rPr>
          <w:spacing w:val="6"/>
        </w:rPr>
      </w:pPr>
      <w:r>
        <w:rPr>
          <w:spacing w:val="6"/>
        </w:rPr>
        <w:tab/>
        <w:t xml:space="preserve">28.  </w:t>
      </w:r>
      <w:r>
        <w:rPr>
          <w:rFonts w:hint="eastAsia"/>
          <w:spacing w:val="6"/>
        </w:rPr>
        <w:t>最后，</w:t>
      </w:r>
      <w:r>
        <w:rPr>
          <w:spacing w:val="6"/>
        </w:rPr>
        <w:t>1996</w:t>
      </w:r>
      <w:r>
        <w:rPr>
          <w:rFonts w:hint="eastAsia"/>
          <w:spacing w:val="6"/>
        </w:rPr>
        <w:t>年《宪法》最终恢复了发展部门的重要性</w:t>
      </w:r>
      <w:r>
        <w:rPr>
          <w:spacing w:val="6"/>
        </w:rPr>
        <w:t>(</w:t>
      </w:r>
      <w:r>
        <w:rPr>
          <w:rFonts w:hint="eastAsia"/>
          <w:spacing w:val="6"/>
        </w:rPr>
        <w:t>第</w:t>
      </w:r>
      <w:r>
        <w:rPr>
          <w:spacing w:val="6"/>
        </w:rPr>
        <w:t>32</w:t>
      </w:r>
      <w:r>
        <w:rPr>
          <w:rFonts w:hint="eastAsia"/>
          <w:spacing w:val="6"/>
        </w:rPr>
        <w:t>、</w:t>
      </w:r>
      <w:r>
        <w:rPr>
          <w:spacing w:val="6"/>
        </w:rPr>
        <w:t>50</w:t>
      </w:r>
      <w:r>
        <w:rPr>
          <w:rFonts w:hint="eastAsia"/>
          <w:spacing w:val="6"/>
        </w:rPr>
        <w:t>和</w:t>
      </w:r>
      <w:r>
        <w:rPr>
          <w:spacing w:val="6"/>
        </w:rPr>
        <w:t>66</w:t>
      </w:r>
      <w:r>
        <w:rPr>
          <w:rFonts w:hint="eastAsia"/>
          <w:spacing w:val="6"/>
        </w:rPr>
        <w:t>条</w:t>
      </w:r>
      <w:r>
        <w:rPr>
          <w:spacing w:val="6"/>
        </w:rPr>
        <w:t>)</w:t>
      </w:r>
      <w:r>
        <w:rPr>
          <w:rFonts w:hint="eastAsia"/>
          <w:spacing w:val="6"/>
        </w:rPr>
        <w:t>，从而强调有必要战略性地展望摩洛哥的未来，使国家、主要经济和社会利益群组具有一定的手段使它们能够认识、确定和评估今后的任务，更好地理解不断变化的环境。</w:t>
      </w:r>
    </w:p>
    <w:p w:rsidR="00000000" w:rsidRDefault="003D15A7">
      <w:pPr>
        <w:pStyle w:val="Heading3"/>
      </w:pPr>
      <w:r>
        <w:rPr>
          <w:u w:val="none"/>
        </w:rPr>
        <w:t xml:space="preserve">B.  </w:t>
      </w:r>
      <w:r>
        <w:rPr>
          <w:rFonts w:hint="eastAsia"/>
        </w:rPr>
        <w:t>社会发展的优先地位</w:t>
      </w:r>
    </w:p>
    <w:p w:rsidR="00000000" w:rsidRDefault="003D15A7">
      <w:r>
        <w:tab/>
        <w:t xml:space="preserve">29.  </w:t>
      </w:r>
      <w:r>
        <w:rPr>
          <w:rFonts w:hint="eastAsia"/>
        </w:rPr>
        <w:t>摩洛哥王国政府是该国政治和制度历史上在权力交替制度下开展工作的第一届政府，该届政府遵循国王陛下所表达的观点：“一种能够导致社会趋同，促进团结、重新</w:t>
      </w:r>
      <w:r>
        <w:rPr>
          <w:rFonts w:hint="eastAsia"/>
        </w:rPr>
        <w:t>分配增长收益和减少不平等现象的发展”，高度重视社会发展。</w:t>
      </w:r>
      <w:r>
        <w:t>1998</w:t>
      </w:r>
      <w:r>
        <w:rPr>
          <w:rFonts w:hint="eastAsia"/>
        </w:rPr>
        <w:t>年</w:t>
      </w:r>
      <w:r>
        <w:t>6</w:t>
      </w:r>
      <w:r>
        <w:rPr>
          <w:rFonts w:hint="eastAsia"/>
        </w:rPr>
        <w:t>月提交给议会的财政法将预算的</w:t>
      </w:r>
      <w:r>
        <w:t>44%</w:t>
      </w:r>
      <w:r>
        <w:rPr>
          <w:rFonts w:hint="eastAsia"/>
        </w:rPr>
        <w:t>拨给社会部门。政府还努力谋求实现确保满足目前需求和挑战所需的经济发展的增长率。</w:t>
      </w:r>
    </w:p>
    <w:p w:rsidR="00000000" w:rsidRDefault="003D15A7">
      <w:r>
        <w:tab/>
        <w:t xml:space="preserve">30.  </w:t>
      </w:r>
      <w:r>
        <w:rPr>
          <w:rFonts w:hint="eastAsia"/>
        </w:rPr>
        <w:t>采取种种措施解决失业、贫困、不平等和社会排斥现象，普及识字和基本教育，改进基本卫生保健、改革社会保护和支持社会住房是政府最优先考虑的社会方案。这些方案的实施将会改变社会预算在地域和经济部门之间拨款的方式，其目标是优先考虑最为贫困的地区和省份，以及社会中最脆弱的阶层。实施这些措施也成为各个社会范畴之间，各个地区之间和各</w:t>
      </w:r>
      <w:r>
        <w:rPr>
          <w:rFonts w:hint="eastAsia"/>
        </w:rPr>
        <w:t>代人之间新的休戚相关联系的一个组成部分。</w:t>
      </w:r>
    </w:p>
    <w:p w:rsidR="00000000" w:rsidRDefault="003D15A7">
      <w:r>
        <w:tab/>
        <w:t xml:space="preserve">31.  </w:t>
      </w:r>
      <w:r>
        <w:rPr>
          <w:rFonts w:hint="eastAsia"/>
        </w:rPr>
        <w:t>同样，政府机构得到了充实和扩大，方法是在新的权力交替制度下创建新的部门，以处理人权、社会发展、人道主义活动、社会共同责任和对儿童、家庭和残疾人员的保护。</w:t>
      </w:r>
      <w:r>
        <w:t>41</w:t>
      </w:r>
      <w:r>
        <w:rPr>
          <w:rFonts w:hint="eastAsia"/>
        </w:rPr>
        <w:t>个部门中有</w:t>
      </w:r>
      <w:r>
        <w:t>12</w:t>
      </w:r>
      <w:r>
        <w:rPr>
          <w:rFonts w:hint="eastAsia"/>
        </w:rPr>
        <w:t>个部门现在负责社会问题，采取措施处理社会融合和排外问题。</w:t>
      </w:r>
    </w:p>
    <w:p w:rsidR="00000000" w:rsidRDefault="003D15A7">
      <w:r>
        <w:tab/>
        <w:t>32.  1993</w:t>
      </w:r>
      <w:r>
        <w:rPr>
          <w:rFonts w:hint="eastAsia"/>
        </w:rPr>
        <w:t>年建立了人权部，从体制上体现政府尊重人权和保护及促进人权的政策。其基本任务是保持公民和各组织之间的对话，调查案件和鼓励尊重人权。它还必须确保国内法与国际文书保持一致，并且在人民大众之间提倡人权文化。</w:t>
      </w:r>
    </w:p>
    <w:p w:rsidR="00000000" w:rsidRDefault="003D15A7">
      <w:pPr>
        <w:spacing w:after="320"/>
        <w:textAlignment w:val="center"/>
      </w:pPr>
      <w:r>
        <w:tab/>
        <w:t xml:space="preserve">33. </w:t>
      </w:r>
      <w:r>
        <w:t xml:space="preserve"> </w:t>
      </w:r>
      <w:r>
        <w:rPr>
          <w:rFonts w:hint="eastAsia"/>
        </w:rPr>
        <w:t>根据教科文组织和穆罕默德五世大学校长的协定，</w:t>
      </w:r>
      <w:r>
        <w:t>1996</w:t>
      </w:r>
      <w:r>
        <w:rPr>
          <w:rFonts w:hint="eastAsia"/>
        </w:rPr>
        <w:t>年为教科文</w:t>
      </w:r>
      <w:r>
        <w:rPr>
          <w:rFonts w:hint="eastAsia"/>
          <w:spacing w:val="-40"/>
        </w:rPr>
        <w:t>——</w:t>
      </w:r>
      <w:r>
        <w:t xml:space="preserve"> </w:t>
      </w:r>
      <w:r>
        <w:rPr>
          <w:rFonts w:hint="eastAsia"/>
        </w:rPr>
        <w:t>欧洲联盟人权科目举行了成立典礼。这是一个进行教学、培训和研究的大学系科，它在高层次的监督和培训，大学教学和科学研究领域方面特别活跃。</w:t>
      </w:r>
    </w:p>
    <w:p w:rsidR="00000000" w:rsidRDefault="003D15A7">
      <w:pPr>
        <w:pStyle w:val="Heading3"/>
      </w:pPr>
      <w:r>
        <w:rPr>
          <w:u w:val="none"/>
        </w:rPr>
        <w:t xml:space="preserve">C.  </w:t>
      </w:r>
      <w:r>
        <w:rPr>
          <w:rFonts w:hint="eastAsia"/>
        </w:rPr>
        <w:t>促进社会对话</w:t>
      </w:r>
    </w:p>
    <w:p w:rsidR="00000000" w:rsidRDefault="003D15A7">
      <w:pPr>
        <w:spacing w:after="160"/>
        <w:textAlignment w:val="center"/>
      </w:pPr>
      <w:r>
        <w:tab/>
        <w:t>34.  1996</w:t>
      </w:r>
      <w:r>
        <w:rPr>
          <w:rFonts w:hint="eastAsia"/>
        </w:rPr>
        <w:t>年</w:t>
      </w:r>
      <w:r>
        <w:t>8</w:t>
      </w:r>
      <w:r>
        <w:rPr>
          <w:rFonts w:hint="eastAsia"/>
        </w:rPr>
        <w:t>月</w:t>
      </w:r>
      <w:r>
        <w:t>1</w:t>
      </w:r>
      <w:r>
        <w:rPr>
          <w:rFonts w:hint="eastAsia"/>
        </w:rPr>
        <w:t>日政府、雇主和工会签署了一项协定，该协定为社会对话和磋商的新文化和新的运作方式奠定了基础。有关各方在若干场合强调了该协定的历史意义，这项协定将大大有助于建立一个反省和相互信任的气氛。由于这一气氛并由于合作伙伴们决心实施这一协定的各项条款，已经取得了一系列的成</w:t>
      </w:r>
      <w:r>
        <w:rPr>
          <w:rFonts w:hint="eastAsia"/>
        </w:rPr>
        <w:t>就</w:t>
      </w:r>
      <w:r>
        <w:t>(</w:t>
      </w:r>
      <w:r>
        <w:rPr>
          <w:rFonts w:hint="eastAsia"/>
        </w:rPr>
        <w:t>见下文</w:t>
      </w:r>
      <w:r>
        <w:t>)</w:t>
      </w:r>
      <w:r>
        <w:rPr>
          <w:rFonts w:hint="eastAsia"/>
        </w:rPr>
        <w:t>。</w:t>
      </w:r>
    </w:p>
    <w:p w:rsidR="00000000" w:rsidRDefault="003D15A7">
      <w:pPr>
        <w:pStyle w:val="Heading3"/>
      </w:pPr>
      <w:r>
        <w:rPr>
          <w:u w:val="none"/>
        </w:rPr>
        <w:t xml:space="preserve">D.  </w:t>
      </w:r>
      <w:r>
        <w:rPr>
          <w:rFonts w:hint="eastAsia"/>
        </w:rPr>
        <w:t>加强磋商进程</w:t>
      </w:r>
    </w:p>
    <w:p w:rsidR="00000000" w:rsidRDefault="003D15A7">
      <w:r>
        <w:tab/>
        <w:t xml:space="preserve">35.  </w:t>
      </w:r>
      <w:r>
        <w:rPr>
          <w:rFonts w:hint="eastAsia"/>
        </w:rPr>
        <w:t>磋商进程在过去三年内明显加强。磋商理事会是经济、社会和文化事务和人权对话的场所。磋商理事会大大有助于加强公共决策中的磋商作用。磋商理事会现在作为有关决策信息的经济和社会咨询提供者发挥不同的作用。磋商进程是使社会民主得以形成的民主国家基本组成部分。在磋商机构内设立和安排政治、经济和社会文化各方面长期联系符合通过对话进行磋商的基本需要，可保证在确保得到支持的基础上采取决定。</w:t>
      </w:r>
    </w:p>
    <w:p w:rsidR="00000000" w:rsidRDefault="003D15A7">
      <w:r>
        <w:tab/>
        <w:t xml:space="preserve">36.  </w:t>
      </w:r>
      <w:r>
        <w:rPr>
          <w:rFonts w:hint="eastAsia"/>
        </w:rPr>
        <w:t>恢复人权磋商理事会经济社会权利处和全国青年和前途理事会在</w:t>
      </w:r>
      <w:r>
        <w:t>1997</w:t>
      </w:r>
      <w:r>
        <w:rPr>
          <w:rFonts w:hint="eastAsia"/>
        </w:rPr>
        <w:t>年</w:t>
      </w:r>
      <w:r>
        <w:t>2</w:t>
      </w:r>
      <w:r>
        <w:rPr>
          <w:rFonts w:hint="eastAsia"/>
        </w:rPr>
        <w:t>月举行的</w:t>
      </w:r>
      <w:r>
        <w:rPr>
          <w:rFonts w:hint="eastAsia"/>
        </w:rPr>
        <w:t>届会上宣布摩洛哥的发展战略这两件事表明，近几年极其重视磋商，将其作为建设民主进程的一部分。</w:t>
      </w:r>
    </w:p>
    <w:p w:rsidR="00000000" w:rsidRDefault="003D15A7">
      <w:pPr>
        <w:spacing w:after="320"/>
        <w:textAlignment w:val="center"/>
      </w:pPr>
      <w:r>
        <w:tab/>
        <w:t xml:space="preserve">37.  </w:t>
      </w:r>
      <w:r>
        <w:rPr>
          <w:rFonts w:hint="eastAsia"/>
        </w:rPr>
        <w:t>在这样的情况下，自</w:t>
      </w:r>
      <w:r>
        <w:t>1993</w:t>
      </w:r>
      <w:r>
        <w:rPr>
          <w:rFonts w:hint="eastAsia"/>
        </w:rPr>
        <w:t>年提交摩洛哥的初次报告</w:t>
      </w:r>
      <w:r>
        <w:t>(E/1990/5/Add.13)</w:t>
      </w:r>
      <w:r>
        <w:rPr>
          <w:rFonts w:hint="eastAsia"/>
        </w:rPr>
        <w:t>后，摩洛哥受益于一个新的全国对话和磋商机构。除了人权磋商理事会和全国青年与前途理事会之外，已经建立了一个负责监督社会对话的磋商理事会以鼓励对话促进合作文化。理事会由所有社会伙伴的代表组成</w:t>
      </w:r>
      <w:r>
        <w:t>(</w:t>
      </w:r>
      <w:r>
        <w:rPr>
          <w:rFonts w:hint="eastAsia"/>
        </w:rPr>
        <w:t>政府、职业协会、雇主和工会</w:t>
      </w:r>
      <w:r>
        <w:t>)</w:t>
      </w:r>
      <w:r>
        <w:rPr>
          <w:rFonts w:hint="eastAsia"/>
        </w:rPr>
        <w:t>，理事会讨论和分析有关工作的问题，并提出建议和意见。</w:t>
      </w:r>
    </w:p>
    <w:p w:rsidR="00000000" w:rsidRDefault="003D15A7">
      <w:pPr>
        <w:pStyle w:val="Heading3"/>
      </w:pPr>
      <w:r>
        <w:rPr>
          <w:u w:val="none"/>
        </w:rPr>
        <w:t xml:space="preserve">E.  </w:t>
      </w:r>
      <w:r>
        <w:rPr>
          <w:rFonts w:hint="eastAsia"/>
        </w:rPr>
        <w:t>振</w:t>
      </w:r>
      <w:r>
        <w:t xml:space="preserve"> </w:t>
      </w:r>
      <w:r>
        <w:rPr>
          <w:rFonts w:hint="eastAsia"/>
        </w:rPr>
        <w:t>兴</w:t>
      </w:r>
      <w:r>
        <w:t xml:space="preserve"> </w:t>
      </w:r>
      <w:r>
        <w:rPr>
          <w:rFonts w:hint="eastAsia"/>
        </w:rPr>
        <w:t>协</w:t>
      </w:r>
      <w:r>
        <w:t xml:space="preserve"> </w:t>
      </w:r>
      <w:r>
        <w:rPr>
          <w:rFonts w:hint="eastAsia"/>
        </w:rPr>
        <w:t>会</w:t>
      </w:r>
    </w:p>
    <w:p w:rsidR="00000000" w:rsidRDefault="003D15A7">
      <w:r>
        <w:tab/>
        <w:t xml:space="preserve">38.  </w:t>
      </w:r>
      <w:r>
        <w:rPr>
          <w:rFonts w:hint="eastAsia"/>
        </w:rPr>
        <w:t>受益于极其有利的经济</w:t>
      </w:r>
      <w:r>
        <w:rPr>
          <w:rFonts w:hint="eastAsia"/>
        </w:rPr>
        <w:t>政治自由化环境，目前在摩洛哥有</w:t>
      </w:r>
      <w:r>
        <w:t>20,000</w:t>
      </w:r>
      <w:r>
        <w:rPr>
          <w:rFonts w:hint="eastAsia"/>
        </w:rPr>
        <w:t>多个协会。在过去三年内，它们活动的重点放在紧迫的社会行动之上：妇女权利、扶贫、促进小型企业</w:t>
      </w:r>
      <w:r>
        <w:t>(</w:t>
      </w:r>
      <w:r>
        <w:rPr>
          <w:rFonts w:hint="eastAsia"/>
        </w:rPr>
        <w:t>自</w:t>
      </w:r>
      <w:r>
        <w:t>1993</w:t>
      </w:r>
      <w:r>
        <w:rPr>
          <w:rFonts w:hint="eastAsia"/>
        </w:rPr>
        <w:t>年以来建立了</w:t>
      </w:r>
      <w:r>
        <w:t>8,000</w:t>
      </w:r>
      <w:r>
        <w:rPr>
          <w:rFonts w:hint="eastAsia"/>
        </w:rPr>
        <w:t>以上个协会</w:t>
      </w:r>
      <w:r>
        <w:t>)</w:t>
      </w:r>
      <w:r>
        <w:rPr>
          <w:rFonts w:hint="eastAsia"/>
        </w:rPr>
        <w:t>。在许多地区设立了当局和非政府组织之间的伙伴项目：它们在若干方面开展工作，解决经济发展，提供饮用水和电力、开发农村地区，防治艾滋病运动和扫除文盲等。</w:t>
      </w:r>
    </w:p>
    <w:p w:rsidR="00000000" w:rsidRDefault="003D15A7">
      <w:r>
        <w:tab/>
        <w:t xml:space="preserve">39.  </w:t>
      </w:r>
      <w:r>
        <w:rPr>
          <w:rFonts w:hint="eastAsia"/>
        </w:rPr>
        <w:t>这一迅速扩展意味着决心解决日益紧迫的经济、社会和文化问题的现代协会运动的发展，并有助于改善国家与公民社会之间的对话。政府支持这一趋势，并向为促进经济、社会和文化权利工作的协</w:t>
      </w:r>
      <w:r>
        <w:rPr>
          <w:rFonts w:hint="eastAsia"/>
        </w:rPr>
        <w:t>会提供补贴。</w:t>
      </w:r>
    </w:p>
    <w:p w:rsidR="00000000" w:rsidRDefault="003D15A7">
      <w:r>
        <w:tab/>
        <w:t xml:space="preserve">40.  </w:t>
      </w:r>
      <w:r>
        <w:rPr>
          <w:rFonts w:hint="eastAsia"/>
        </w:rPr>
        <w:t>除了在提高保护经济、社会和文化权利方面的重大进展之外，应该指出，社会部门公共支出已从</w:t>
      </w:r>
      <w:r>
        <w:t>1994</w:t>
      </w:r>
      <w:r>
        <w:rPr>
          <w:rFonts w:hint="eastAsia"/>
        </w:rPr>
        <w:t>年的</w:t>
      </w:r>
      <w:r>
        <w:t>232.5</w:t>
      </w:r>
      <w:r>
        <w:rPr>
          <w:rFonts w:hint="eastAsia"/>
        </w:rPr>
        <w:t>亿迪拉姆增加到</w:t>
      </w:r>
      <w:r>
        <w:t>1997-1998</w:t>
      </w:r>
      <w:r>
        <w:rPr>
          <w:rFonts w:hint="eastAsia"/>
        </w:rPr>
        <w:t>年的</w:t>
      </w:r>
      <w:r>
        <w:t>301.9</w:t>
      </w:r>
      <w:r>
        <w:rPr>
          <w:rFonts w:hint="eastAsia"/>
        </w:rPr>
        <w:t>亿迪拉姆，在该一时期上升了约</w:t>
      </w:r>
      <w:r>
        <w:t>30%(69.4</w:t>
      </w:r>
      <w:r>
        <w:rPr>
          <w:rFonts w:hint="eastAsia"/>
        </w:rPr>
        <w:t>亿迪拉姆</w:t>
      </w:r>
      <w:r>
        <w:t>)</w:t>
      </w:r>
      <w:r>
        <w:rPr>
          <w:rFonts w:hint="eastAsia"/>
        </w:rPr>
        <w:t>。拨给社会部门的国家预算额提高了</w:t>
      </w:r>
      <w:r>
        <w:t>5%</w:t>
      </w:r>
      <w:r>
        <w:rPr>
          <w:rFonts w:hint="eastAsia"/>
        </w:rPr>
        <w:t>，从</w:t>
      </w:r>
      <w:r>
        <w:t>1994</w:t>
      </w:r>
      <w:r>
        <w:rPr>
          <w:rFonts w:hint="eastAsia"/>
        </w:rPr>
        <w:t>年的</w:t>
      </w:r>
      <w:r>
        <w:t>35%</w:t>
      </w:r>
      <w:r>
        <w:rPr>
          <w:rFonts w:hint="eastAsia"/>
        </w:rPr>
        <w:t>上升至</w:t>
      </w:r>
      <w:r>
        <w:t>1997-1998</w:t>
      </w:r>
      <w:r>
        <w:rPr>
          <w:rFonts w:hint="eastAsia"/>
        </w:rPr>
        <w:t>年间的</w:t>
      </w:r>
      <w:r>
        <w:t>40.69%</w:t>
      </w:r>
      <w:r>
        <w:rPr>
          <w:rFonts w:hint="eastAsia"/>
        </w:rPr>
        <w:t>。</w:t>
      </w:r>
    </w:p>
    <w:p w:rsidR="00000000" w:rsidRDefault="003D15A7">
      <w:pPr>
        <w:spacing w:after="320"/>
        <w:textAlignment w:val="center"/>
      </w:pPr>
      <w:r>
        <w:tab/>
        <w:t xml:space="preserve">41.  </w:t>
      </w:r>
      <w:r>
        <w:rPr>
          <w:rFonts w:hint="eastAsia"/>
        </w:rPr>
        <w:t>摩洛哥政府指出，在法律和在实践中都保障遵守现行法律的非本国国民在经济、社会和文化方面的权利。</w:t>
      </w:r>
    </w:p>
    <w:p w:rsidR="00000000" w:rsidRDefault="003D15A7">
      <w:pPr>
        <w:pStyle w:val="Heading2"/>
      </w:pPr>
      <w:r>
        <w:rPr>
          <w:rFonts w:hint="eastAsia"/>
        </w:rPr>
        <w:t>第</w:t>
      </w:r>
      <w:r>
        <w:t xml:space="preserve"> 3 </w:t>
      </w:r>
      <w:r>
        <w:rPr>
          <w:rFonts w:hint="eastAsia"/>
        </w:rPr>
        <w:t>条</w:t>
      </w:r>
    </w:p>
    <w:p w:rsidR="00000000" w:rsidRDefault="003D15A7">
      <w:pPr>
        <w:pStyle w:val="Heading3"/>
      </w:pPr>
      <w:r>
        <w:rPr>
          <w:rFonts w:hint="eastAsia"/>
        </w:rPr>
        <w:t>男子和妇女平等享受经济、社会和文化权利</w:t>
      </w:r>
    </w:p>
    <w:p w:rsidR="00000000" w:rsidRDefault="003D15A7">
      <w:r>
        <w:tab/>
        <w:t xml:space="preserve">42.  </w:t>
      </w:r>
      <w:r>
        <w:rPr>
          <w:rFonts w:hint="eastAsia"/>
        </w:rPr>
        <w:t>《摩洛</w:t>
      </w:r>
      <w:r>
        <w:rPr>
          <w:rFonts w:hint="eastAsia"/>
        </w:rPr>
        <w:t>哥宪法》保障这一平等，并且有体立法对此作出规定。最近采取的确立机会平等或工作待遇原则的措施之一是废除了关于义务和合同的第</w:t>
      </w:r>
      <w:r>
        <w:t>726</w:t>
      </w:r>
      <w:r>
        <w:rPr>
          <w:rFonts w:hint="eastAsia"/>
        </w:rPr>
        <w:t>条法令，该条规定妇女的就业需得到丈夫的同意</w:t>
      </w:r>
      <w:r>
        <w:t>(1995</w:t>
      </w:r>
      <w:r>
        <w:rPr>
          <w:rFonts w:hint="eastAsia"/>
        </w:rPr>
        <w:t>年第</w:t>
      </w:r>
      <w:r>
        <w:t>95/25</w:t>
      </w:r>
      <w:r>
        <w:rPr>
          <w:rFonts w:hint="eastAsia"/>
        </w:rPr>
        <w:t>条法令</w:t>
      </w:r>
      <w:r>
        <w:t>)</w:t>
      </w:r>
      <w:r>
        <w:rPr>
          <w:rFonts w:hint="eastAsia"/>
        </w:rPr>
        <w:t>。</w:t>
      </w:r>
    </w:p>
    <w:p w:rsidR="00000000" w:rsidRDefault="003D15A7">
      <w:r>
        <w:tab/>
        <w:t xml:space="preserve">43.  </w:t>
      </w:r>
      <w:r>
        <w:rPr>
          <w:rFonts w:hint="eastAsia"/>
        </w:rPr>
        <w:t>政府从法律观点出发，坚决在平等基础上提高妇女地位，改善法律惯例以便加快实施在《个人地位法》方面所取得的进展，并且按照伊斯兰价值逐渐改革该项法律。</w:t>
      </w:r>
      <w:r>
        <w:t>1993</w:t>
      </w:r>
      <w:r>
        <w:rPr>
          <w:rFonts w:hint="eastAsia"/>
        </w:rPr>
        <w:t>年修正了《个人地位法》。所作的修改涉及需要进一步改善妇女和未成年人法律地位的问题。</w:t>
      </w:r>
    </w:p>
    <w:p w:rsidR="00000000" w:rsidRDefault="003D15A7">
      <w:r>
        <w:tab/>
        <w:t xml:space="preserve">44.  </w:t>
      </w:r>
      <w:r>
        <w:rPr>
          <w:rFonts w:hint="eastAsia"/>
        </w:rPr>
        <w:t>在</w:t>
      </w:r>
      <w:r>
        <w:t>1991</w:t>
      </w:r>
      <w:r>
        <w:rPr>
          <w:rFonts w:hint="eastAsia"/>
        </w:rPr>
        <w:t>年</w:t>
      </w:r>
      <w:r>
        <w:t>9</w:t>
      </w:r>
      <w:r>
        <w:rPr>
          <w:rFonts w:hint="eastAsia"/>
        </w:rPr>
        <w:t>月</w:t>
      </w:r>
      <w:r>
        <w:t>29</w:t>
      </w:r>
      <w:r>
        <w:rPr>
          <w:rFonts w:hint="eastAsia"/>
        </w:rPr>
        <w:t>日特准妇女组织代表出席的大会</w:t>
      </w:r>
      <w:r>
        <w:rPr>
          <w:rFonts w:hint="eastAsia"/>
        </w:rPr>
        <w:t>上，国王陛下强调妇女有机会在社会发展中发挥更大的作用。根据皇家指令，这些组织撰写了一份备忘录，阐明了它们希望对《个人地位法》进行修改的想法。已经建立了一个委员会审查这一法令以及各组织提交的进行重大改革的建议。这些问题关系到婚姻条件、未成年人的法律代表、未成年人的保护和照料权利，婚姻的解除和监护人理事会。</w:t>
      </w:r>
    </w:p>
    <w:p w:rsidR="00000000" w:rsidRDefault="003D15A7">
      <w:pPr>
        <w:spacing w:after="320"/>
        <w:textAlignment w:val="center"/>
      </w:pPr>
      <w:r>
        <w:tab/>
        <w:t xml:space="preserve">45.  </w:t>
      </w:r>
      <w:r>
        <w:rPr>
          <w:rFonts w:hint="eastAsia"/>
        </w:rPr>
        <w:t>但是，尽管妇女越来越多地投入职业生活，但她们对公众生活的参与远远未达到预期的水平，也远远没有发挥她们应发挥的作用。因此，政府决心通过教育和培训加强妇女在社会当中的形象，并通过一项积极的交流政策促</w:t>
      </w:r>
      <w:r>
        <w:rPr>
          <w:rFonts w:hint="eastAsia"/>
        </w:rPr>
        <w:t>使观念改变。最后，</w:t>
      </w:r>
      <w:r>
        <w:t>1994</w:t>
      </w:r>
      <w:r>
        <w:rPr>
          <w:rFonts w:hint="eastAsia"/>
        </w:rPr>
        <w:t>年摩洛哥政府还提交了关于实施《消除对妇女一切形式歧视公约》的初次报告。</w:t>
      </w:r>
    </w:p>
    <w:p w:rsidR="00000000" w:rsidRDefault="003D15A7">
      <w:pPr>
        <w:pStyle w:val="Heading2"/>
      </w:pPr>
      <w:r>
        <w:rPr>
          <w:rFonts w:hint="eastAsia"/>
        </w:rPr>
        <w:t>第</w:t>
      </w:r>
      <w:r>
        <w:t xml:space="preserve"> 4 </w:t>
      </w:r>
      <w:r>
        <w:rPr>
          <w:rFonts w:hint="eastAsia"/>
        </w:rPr>
        <w:t>条</w:t>
      </w:r>
    </w:p>
    <w:p w:rsidR="00000000" w:rsidRDefault="003D15A7">
      <w:pPr>
        <w:spacing w:after="320"/>
        <w:textAlignment w:val="center"/>
      </w:pPr>
      <w:r>
        <w:tab/>
        <w:t xml:space="preserve">46.  </w:t>
      </w:r>
      <w:r>
        <w:rPr>
          <w:rFonts w:hint="eastAsia"/>
        </w:rPr>
        <w:t>摩洛哥政府没有通过任何规定，限制行使《公约》所确认的权利。</w:t>
      </w:r>
    </w:p>
    <w:p w:rsidR="00000000" w:rsidRDefault="003D15A7">
      <w:pPr>
        <w:pStyle w:val="Heading2"/>
      </w:pPr>
      <w:r>
        <w:rPr>
          <w:rFonts w:hint="eastAsia"/>
        </w:rPr>
        <w:t>第</w:t>
      </w:r>
      <w:r>
        <w:t xml:space="preserve"> 5 </w:t>
      </w:r>
      <w:r>
        <w:rPr>
          <w:rFonts w:hint="eastAsia"/>
        </w:rPr>
        <w:t>条</w:t>
      </w:r>
    </w:p>
    <w:p w:rsidR="00000000" w:rsidRDefault="003D15A7">
      <w:pPr>
        <w:spacing w:after="320"/>
        <w:textAlignment w:val="center"/>
      </w:pPr>
      <w:r>
        <w:tab/>
        <w:t xml:space="preserve">47.  </w:t>
      </w:r>
      <w:r>
        <w:rPr>
          <w:rFonts w:hint="eastAsia"/>
        </w:rPr>
        <w:t>摩洛哥政府没有通过任何旨在否认《公约》所确认的权利或自由的条款。它不允许限制和减损任何基本人权，违反人权的行为按现行法律应予以惩处。</w:t>
      </w:r>
    </w:p>
    <w:p w:rsidR="00000000" w:rsidRDefault="003D15A7">
      <w:pPr>
        <w:pStyle w:val="Heading2"/>
      </w:pPr>
      <w:r>
        <w:rPr>
          <w:rFonts w:hint="eastAsia"/>
        </w:rPr>
        <w:t>第</w:t>
      </w:r>
      <w:r>
        <w:t xml:space="preserve"> 6 </w:t>
      </w:r>
      <w:r>
        <w:rPr>
          <w:rFonts w:hint="eastAsia"/>
        </w:rPr>
        <w:t>条</w:t>
      </w:r>
    </w:p>
    <w:p w:rsidR="00000000" w:rsidRDefault="003D15A7">
      <w:pPr>
        <w:pStyle w:val="Heading3"/>
      </w:pPr>
      <w:r>
        <w:rPr>
          <w:rFonts w:hint="eastAsia"/>
        </w:rPr>
        <w:t>工</w:t>
      </w:r>
      <w:r>
        <w:t xml:space="preserve"> </w:t>
      </w:r>
      <w:r>
        <w:rPr>
          <w:rFonts w:hint="eastAsia"/>
        </w:rPr>
        <w:t>作</w:t>
      </w:r>
      <w:r>
        <w:t xml:space="preserve"> </w:t>
      </w:r>
      <w:r>
        <w:rPr>
          <w:rFonts w:hint="eastAsia"/>
        </w:rPr>
        <w:t>的</w:t>
      </w:r>
      <w:r>
        <w:t xml:space="preserve"> </w:t>
      </w:r>
      <w:r>
        <w:rPr>
          <w:rFonts w:hint="eastAsia"/>
        </w:rPr>
        <w:t>权</w:t>
      </w:r>
      <w:r>
        <w:t xml:space="preserve"> </w:t>
      </w:r>
      <w:r>
        <w:rPr>
          <w:rFonts w:hint="eastAsia"/>
        </w:rPr>
        <w:t>利</w:t>
      </w:r>
    </w:p>
    <w:p w:rsidR="00000000" w:rsidRDefault="003D15A7">
      <w:pPr>
        <w:pStyle w:val="Heading3"/>
      </w:pPr>
      <w:r>
        <w:rPr>
          <w:u w:val="none"/>
        </w:rPr>
        <w:t xml:space="preserve">A.  </w:t>
      </w:r>
      <w:r>
        <w:rPr>
          <w:rFonts w:hint="eastAsia"/>
        </w:rPr>
        <w:t>摩洛哥的就业情况</w:t>
      </w:r>
    </w:p>
    <w:p w:rsidR="00000000" w:rsidRDefault="003D15A7">
      <w:pPr>
        <w:ind w:firstLine="510"/>
      </w:pPr>
      <w:r>
        <w:t xml:space="preserve">48.  </w:t>
      </w:r>
      <w:r>
        <w:rPr>
          <w:rFonts w:hint="eastAsia"/>
        </w:rPr>
        <w:t>摩洛哥政府于</w:t>
      </w:r>
      <w:r>
        <w:t>1992</w:t>
      </w:r>
      <w:r>
        <w:rPr>
          <w:rFonts w:hint="eastAsia"/>
        </w:rPr>
        <w:t>年向国际劳工组织递交了有关劳工组织第</w:t>
      </w:r>
      <w:r>
        <w:t>122</w:t>
      </w:r>
      <w:r>
        <w:rPr>
          <w:rFonts w:hint="eastAsia"/>
        </w:rPr>
        <w:t>号</w:t>
      </w:r>
      <w:r>
        <w:t>(</w:t>
      </w:r>
      <w:r>
        <w:rPr>
          <w:rFonts w:hint="eastAsia"/>
        </w:rPr>
        <w:t>就业政策</w:t>
      </w:r>
      <w:r>
        <w:t>)</w:t>
      </w:r>
      <w:r>
        <w:rPr>
          <w:rFonts w:hint="eastAsia"/>
        </w:rPr>
        <w:t>公约和劳工组织第</w:t>
      </w:r>
      <w:r>
        <w:t>111</w:t>
      </w:r>
      <w:r>
        <w:rPr>
          <w:rFonts w:hint="eastAsia"/>
        </w:rPr>
        <w:t>号</w:t>
      </w:r>
      <w:r>
        <w:t>(</w:t>
      </w:r>
      <w:r>
        <w:rPr>
          <w:rFonts w:hint="eastAsia"/>
        </w:rPr>
        <w:t>就</w:t>
      </w:r>
      <w:r>
        <w:rPr>
          <w:rFonts w:hint="eastAsia"/>
        </w:rPr>
        <w:t>业和职业歧视</w:t>
      </w:r>
      <w:r>
        <w:t>)</w:t>
      </w:r>
      <w:r>
        <w:rPr>
          <w:rFonts w:hint="eastAsia"/>
        </w:rPr>
        <w:t>公约的执行情况报告</w:t>
      </w:r>
      <w:r>
        <w:t>(</w:t>
      </w:r>
      <w:r>
        <w:rPr>
          <w:rFonts w:hint="eastAsia"/>
        </w:rPr>
        <w:t>见摩洛哥的初次报告，</w:t>
      </w:r>
      <w:r>
        <w:t xml:space="preserve">E/1990/5/Add.13, </w:t>
      </w:r>
      <w:r>
        <w:rPr>
          <w:rFonts w:hint="eastAsia"/>
        </w:rPr>
        <w:t>第</w:t>
      </w:r>
      <w:r>
        <w:t>16</w:t>
      </w:r>
      <w:r>
        <w:rPr>
          <w:rFonts w:hint="eastAsia"/>
        </w:rPr>
        <w:t>至</w:t>
      </w:r>
      <w:r>
        <w:t>18</w:t>
      </w:r>
      <w:r>
        <w:rPr>
          <w:rFonts w:hint="eastAsia"/>
        </w:rPr>
        <w:t>段</w:t>
      </w:r>
      <w:r>
        <w:t>)</w:t>
      </w:r>
      <w:r>
        <w:rPr>
          <w:rFonts w:hint="eastAsia"/>
        </w:rPr>
        <w:t>。</w:t>
      </w:r>
    </w:p>
    <w:p w:rsidR="00000000" w:rsidRDefault="003D15A7">
      <w:pPr>
        <w:ind w:firstLine="510"/>
      </w:pPr>
      <w:r>
        <w:t xml:space="preserve">49.  </w:t>
      </w:r>
      <w:r>
        <w:rPr>
          <w:rFonts w:hint="eastAsia"/>
        </w:rPr>
        <w:t>在目前的经济和社会背景下，就业仍是社会关注的主要问题。为使有关各方都了解摩洛哥的就业情况，并制订有助于确保早日通过一项全国就业盟约的有效战略，已经设立了一些机构。</w:t>
      </w:r>
    </w:p>
    <w:p w:rsidR="00000000" w:rsidRDefault="003D15A7">
      <w:pPr>
        <w:ind w:firstLine="510"/>
      </w:pPr>
      <w:r>
        <w:t>50.  1991</w:t>
      </w:r>
      <w:r>
        <w:rPr>
          <w:rFonts w:hint="eastAsia"/>
        </w:rPr>
        <w:t>年成立的青年与未来全国理事会是一个全国性的磋商机构，负责协助确保教育和培训顺应于本国经济的需要、青年人为未来作好适当的准备，并使青年人成功地实现社会融合。在意识到迫切需要使具备资格的青年能颇有成效地融入劳动生活，</w:t>
      </w:r>
      <w:r>
        <w:rPr>
          <w:rFonts w:hint="eastAsia"/>
        </w:rPr>
        <w:t>以兑现为教育和培训付出的集体投资所产生的收益，该理事会开始考虑乡村地区青年人的就业问题</w:t>
      </w:r>
      <w:r>
        <w:t>(1991</w:t>
      </w:r>
      <w:r>
        <w:rPr>
          <w:rFonts w:hint="eastAsia"/>
        </w:rPr>
        <w:t>年</w:t>
      </w:r>
      <w:r>
        <w:t>3</w:t>
      </w:r>
      <w:r>
        <w:rPr>
          <w:rFonts w:hint="eastAsia"/>
        </w:rPr>
        <w:t>月在拉巴特举行的第一届会议</w:t>
      </w:r>
      <w:r>
        <w:t>)</w:t>
      </w:r>
      <w:r>
        <w:rPr>
          <w:rFonts w:hint="eastAsia"/>
        </w:rPr>
        <w:t>。这就揭示出，因城乡地区之间的不平衡现状和缺乏综合和自我维持性的地方发展机会，引起了一些迫在眉睫的问题</w:t>
      </w:r>
      <w:r>
        <w:t>(1991</w:t>
      </w:r>
      <w:r>
        <w:rPr>
          <w:rFonts w:hint="eastAsia"/>
        </w:rPr>
        <w:t>年</w:t>
      </w:r>
      <w:r>
        <w:t>10</w:t>
      </w:r>
      <w:r>
        <w:rPr>
          <w:rFonts w:hint="eastAsia"/>
        </w:rPr>
        <w:t>月第二届会议</w:t>
      </w:r>
      <w:r>
        <w:t>)</w:t>
      </w:r>
      <w:r>
        <w:rPr>
          <w:rFonts w:hint="eastAsia"/>
        </w:rPr>
        <w:t>。</w:t>
      </w:r>
    </w:p>
    <w:p w:rsidR="00000000" w:rsidRDefault="003D15A7">
      <w:pPr>
        <w:ind w:firstLine="510"/>
      </w:pPr>
      <w:r>
        <w:t xml:space="preserve">51.  </w:t>
      </w:r>
      <w:r>
        <w:rPr>
          <w:rFonts w:hint="eastAsia"/>
        </w:rPr>
        <w:t>然而，促进城乡地区的经济增长虽是提高就业率的必要条件，但这还不够。采取新观点，把教育培训体系与摩洛哥社会日益增长的经济需求联系起来，就可以帮助人们更清楚地认识到用什么办法来改善培训与就业之间的关系。</w:t>
      </w:r>
      <w:r>
        <w:t>(1993</w:t>
      </w:r>
      <w:r>
        <w:rPr>
          <w:rFonts w:hint="eastAsia"/>
        </w:rPr>
        <w:t>年</w:t>
      </w:r>
      <w:r>
        <w:t>2</w:t>
      </w:r>
      <w:r>
        <w:rPr>
          <w:rFonts w:hint="eastAsia"/>
        </w:rPr>
        <w:t>月第三届会议</w:t>
      </w:r>
      <w:r>
        <w:t>)</w:t>
      </w:r>
      <w:r>
        <w:rPr>
          <w:rFonts w:hint="eastAsia"/>
        </w:rPr>
        <w:t>。</w:t>
      </w:r>
    </w:p>
    <w:p w:rsidR="00000000" w:rsidRDefault="003D15A7">
      <w:pPr>
        <w:ind w:firstLine="510"/>
      </w:pPr>
      <w:r>
        <w:t xml:space="preserve">52. </w:t>
      </w:r>
      <w:r>
        <w:t xml:space="preserve"> </w:t>
      </w:r>
      <w:r>
        <w:rPr>
          <w:rFonts w:hint="eastAsia"/>
        </w:rPr>
        <w:t>于是，人们把着重点转向了企业，因为企业是创造财富、就业和培训的地方，并由此视之为一支促进经济、社会和文化变革的力量</w:t>
      </w:r>
      <w:r>
        <w:t>(1995</w:t>
      </w:r>
      <w:r>
        <w:rPr>
          <w:rFonts w:hint="eastAsia"/>
        </w:rPr>
        <w:t>年</w:t>
      </w:r>
      <w:r>
        <w:t>1</w:t>
      </w:r>
      <w:r>
        <w:rPr>
          <w:rFonts w:hint="eastAsia"/>
        </w:rPr>
        <w:t>月第四届会议</w:t>
      </w:r>
      <w:r>
        <w:t>)</w:t>
      </w:r>
      <w:r>
        <w:rPr>
          <w:rFonts w:hint="eastAsia"/>
        </w:rPr>
        <w:t>。一项考虑到体制一级所有因素的区域性计划拟定就绪</w:t>
      </w:r>
      <w:r>
        <w:t>(1996</w:t>
      </w:r>
      <w:r>
        <w:rPr>
          <w:rFonts w:hint="eastAsia"/>
        </w:rPr>
        <w:t>年</w:t>
      </w:r>
      <w:r>
        <w:t>1</w:t>
      </w:r>
      <w:r>
        <w:rPr>
          <w:rFonts w:hint="eastAsia"/>
        </w:rPr>
        <w:t>月第五届会议</w:t>
      </w:r>
      <w:r>
        <w:t>)</w:t>
      </w:r>
      <w:r>
        <w:rPr>
          <w:rFonts w:hint="eastAsia"/>
        </w:rPr>
        <w:t>。这就在更大程度上显示出，区域革新作用和区域化进程刺激了就业，并使摩洛哥加快了当前正在进行的变革。</w:t>
      </w:r>
    </w:p>
    <w:p w:rsidR="00000000" w:rsidRDefault="003D15A7">
      <w:pPr>
        <w:ind w:firstLine="510"/>
      </w:pPr>
      <w:r>
        <w:t>53.  1997</w:t>
      </w:r>
      <w:r>
        <w:rPr>
          <w:rFonts w:hint="eastAsia"/>
        </w:rPr>
        <w:t>年全力推行的主题是，变革是建设未来社会进程中的一个持续和可控制的要素。在此背景下，该理事会力求勾划出未来社会的轮廓。它提出了一项评估报告，阐述了一些重大的经济和社会问题，以及</w:t>
      </w:r>
      <w:r>
        <w:rPr>
          <w:rFonts w:hint="eastAsia"/>
        </w:rPr>
        <w:t>就变革问题展开全国性辩论所必需的要素。该理事会的建议提供了基础，可依此通过一些旨在容纳一些合格青年的立法措施</w:t>
      </w:r>
      <w:r>
        <w:t>(</w:t>
      </w:r>
      <w:r>
        <w:rPr>
          <w:rFonts w:hint="eastAsia"/>
        </w:rPr>
        <w:t>有关培训和容纳的法律以及青年就业促进基金即是实例</w:t>
      </w:r>
      <w:r>
        <w:t>)</w:t>
      </w:r>
      <w:r>
        <w:rPr>
          <w:rFonts w:hint="eastAsia"/>
        </w:rPr>
        <w:t>。</w:t>
      </w:r>
    </w:p>
    <w:p w:rsidR="00000000" w:rsidRDefault="003D15A7">
      <w:pPr>
        <w:spacing w:after="320"/>
        <w:ind w:firstLine="510"/>
        <w:textAlignment w:val="center"/>
      </w:pPr>
      <w:r>
        <w:t>54.  1984</w:t>
      </w:r>
      <w:r>
        <w:rPr>
          <w:rFonts w:hint="eastAsia"/>
        </w:rPr>
        <w:t>年至</w:t>
      </w:r>
      <w:r>
        <w:t>1996</w:t>
      </w:r>
      <w:r>
        <w:rPr>
          <w:rFonts w:hint="eastAsia"/>
        </w:rPr>
        <w:t>年期间，城镇就业和失业情况的普查可得出下列结论。城镇失业人数从</w:t>
      </w:r>
      <w:r>
        <w:t>1984</w:t>
      </w:r>
      <w:r>
        <w:rPr>
          <w:rFonts w:hint="eastAsia"/>
        </w:rPr>
        <w:t>年的</w:t>
      </w:r>
      <w:r>
        <w:t>518,569</w:t>
      </w:r>
      <w:r>
        <w:rPr>
          <w:rFonts w:hint="eastAsia"/>
        </w:rPr>
        <w:t>人上升至</w:t>
      </w:r>
      <w:r>
        <w:t>1996</w:t>
      </w:r>
      <w:r>
        <w:rPr>
          <w:rFonts w:hint="eastAsia"/>
        </w:rPr>
        <w:t>年的</w:t>
      </w:r>
      <w:r>
        <w:t>871,215</w:t>
      </w:r>
      <w:r>
        <w:rPr>
          <w:rFonts w:hint="eastAsia"/>
        </w:rPr>
        <w:t>人。</w:t>
      </w:r>
      <w:r>
        <w:t>1984</w:t>
      </w:r>
      <w:r>
        <w:rPr>
          <w:rFonts w:hint="eastAsia"/>
        </w:rPr>
        <w:t>至</w:t>
      </w:r>
      <w:r>
        <w:t>1996</w:t>
      </w:r>
      <w:r>
        <w:rPr>
          <w:rFonts w:hint="eastAsia"/>
        </w:rPr>
        <w:t>年期间，年均失业率的增长幅度为</w:t>
      </w:r>
      <w:r>
        <w:t>4.4%</w:t>
      </w:r>
      <w:r>
        <w:rPr>
          <w:rFonts w:hint="eastAsia"/>
        </w:rPr>
        <w:t>。</w:t>
      </w:r>
      <w:r>
        <w:t>1996</w:t>
      </w:r>
      <w:r>
        <w:rPr>
          <w:rFonts w:hint="eastAsia"/>
        </w:rPr>
        <w:t>年参加工作的总人数比率</w:t>
      </w:r>
      <w:r>
        <w:t>(</w:t>
      </w:r>
      <w:r>
        <w:rPr>
          <w:rFonts w:hint="eastAsia"/>
        </w:rPr>
        <w:t>工作人口占城镇总人口的百分比</w:t>
      </w:r>
      <w:r>
        <w:t>)</w:t>
      </w:r>
      <w:r>
        <w:rPr>
          <w:rFonts w:hint="eastAsia"/>
        </w:rPr>
        <w:t>是</w:t>
      </w:r>
      <w:r>
        <w:t>34.7%</w:t>
      </w:r>
      <w:r>
        <w:rPr>
          <w:rFonts w:hint="eastAsia"/>
        </w:rPr>
        <w:t>。与此同期，平均失业率水平为</w:t>
      </w:r>
      <w:r>
        <w:t>16.6%(</w:t>
      </w:r>
      <w:r>
        <w:rPr>
          <w:rFonts w:hint="eastAsia"/>
        </w:rPr>
        <w:t>城镇失业人口占城镇劳</w:t>
      </w:r>
      <w:r>
        <w:rPr>
          <w:rFonts w:hint="eastAsia"/>
        </w:rPr>
        <w:t>工队伍的百分比</w:t>
      </w:r>
      <w:r>
        <w:t>)</w:t>
      </w:r>
      <w:r>
        <w:rPr>
          <w:rFonts w:hint="eastAsia"/>
        </w:rPr>
        <w:t>。</w:t>
      </w:r>
      <w:r>
        <w:t>1995</w:t>
      </w:r>
      <w:r>
        <w:rPr>
          <w:rFonts w:hint="eastAsia"/>
        </w:rPr>
        <w:t>年、</w:t>
      </w:r>
      <w:r>
        <w:t>1996</w:t>
      </w:r>
      <w:r>
        <w:rPr>
          <w:rFonts w:hint="eastAsia"/>
        </w:rPr>
        <w:t>年和</w:t>
      </w:r>
      <w:r>
        <w:t>1997</w:t>
      </w:r>
      <w:r>
        <w:rPr>
          <w:rFonts w:hint="eastAsia"/>
        </w:rPr>
        <w:t>年的百分比分别为</w:t>
      </w:r>
      <w:r>
        <w:t>22.9%</w:t>
      </w:r>
      <w:r>
        <w:rPr>
          <w:rFonts w:hint="eastAsia"/>
        </w:rPr>
        <w:t>、</w:t>
      </w:r>
      <w:r>
        <w:t>18.1%</w:t>
      </w:r>
      <w:r>
        <w:rPr>
          <w:rFonts w:hint="eastAsia"/>
        </w:rPr>
        <w:t>和</w:t>
      </w:r>
      <w:r>
        <w:t>16.9%</w:t>
      </w:r>
      <w:r>
        <w:rPr>
          <w:rFonts w:hint="eastAsia"/>
        </w:rPr>
        <w:t>。这一递减趋势主要是因为劳动力市场中呈现经济增长。下列表格展示了与人口增长相比较的失业率走势。</w:t>
      </w:r>
    </w:p>
    <w:tbl>
      <w:tblPr>
        <w:tblW w:w="0" w:type="auto"/>
        <w:jc w:val="center"/>
        <w:tblLayout w:type="fixed"/>
        <w:tblCellMar>
          <w:left w:w="100" w:type="dxa"/>
          <w:right w:w="100" w:type="dxa"/>
        </w:tblCellMar>
        <w:tblLook w:val="0000" w:firstRow="0" w:lastRow="0" w:firstColumn="0" w:lastColumn="0" w:noHBand="0" w:noVBand="0"/>
      </w:tblPr>
      <w:tblGrid>
        <w:gridCol w:w="4734"/>
        <w:gridCol w:w="4734"/>
      </w:tblGrid>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jc w:val="center"/>
              <w:textAlignment w:val="bottom"/>
              <w:rPr>
                <w:rFonts w:ascii="Courier New" w:hAnsi="Courier New"/>
              </w:rPr>
            </w:pPr>
            <w:r>
              <w:rPr>
                <w:rFonts w:ascii="Courier New" w:hAnsi="Courier New" w:hint="eastAsia"/>
              </w:rPr>
              <w:t>年</w:t>
            </w:r>
            <w:r>
              <w:rPr>
                <w:rFonts w:ascii="Courier New" w:hAnsi="Courier New"/>
              </w:rPr>
              <w:t xml:space="preserve">  </w:t>
            </w:r>
            <w:r>
              <w:rPr>
                <w:rFonts w:ascii="Courier New" w:hAnsi="Courier New" w:hint="eastAsia"/>
              </w:rPr>
              <w:t>度</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60"/>
              <w:jc w:val="center"/>
              <w:textAlignment w:val="bottom"/>
              <w:rPr>
                <w:rFonts w:ascii="Courier New" w:hAnsi="Courier New"/>
              </w:rPr>
            </w:pPr>
            <w:r>
              <w:rPr>
                <w:rFonts w:ascii="Courier New" w:hAnsi="Courier New" w:hint="eastAsia"/>
              </w:rPr>
              <w:t>城市失业率</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1987</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14.7 %</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1988</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13.9 %</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1989</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16.1 %</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1990</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15.8 %</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1991</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17.3 %</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1992</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16.0 %</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1993</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15.9 %</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1995</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22.9 %</w:t>
            </w:r>
          </w:p>
        </w:tc>
      </w:tr>
      <w:tr w:rsidR="00000000">
        <w:tblPrEx>
          <w:tblCellMar>
            <w:top w:w="0" w:type="dxa"/>
            <w:bottom w:w="0" w:type="dxa"/>
          </w:tblCellMar>
        </w:tblPrEx>
        <w:trPr>
          <w:cantSplit/>
          <w:jc w:val="center"/>
        </w:trPr>
        <w:tc>
          <w:tcPr>
            <w:tcW w:w="4734"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1997</w:t>
            </w:r>
          </w:p>
        </w:tc>
        <w:tc>
          <w:tcPr>
            <w:tcW w:w="4734" w:type="dxa"/>
            <w:tcBorders>
              <w:top w:val="single" w:sz="6" w:space="0" w:color="auto"/>
              <w:left w:val="single" w:sz="6" w:space="0" w:color="auto"/>
              <w:bottom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9" w:line="240" w:lineRule="exact"/>
              <w:jc w:val="center"/>
              <w:textAlignment w:val="bottom"/>
              <w:rPr>
                <w:rFonts w:ascii="Courier New" w:hAnsi="Courier New"/>
              </w:rPr>
            </w:pPr>
            <w:r>
              <w:rPr>
                <w:rFonts w:ascii="Courier New" w:hAnsi="Courier New"/>
              </w:rPr>
              <w:t>16.9 %</w:t>
            </w:r>
          </w:p>
        </w:tc>
      </w:tr>
    </w:tbl>
    <w:p w:rsidR="00000000" w:rsidRDefault="003D15A7">
      <w:pPr>
        <w:widowControl w:val="0"/>
        <w:tabs>
          <w:tab w:val="left" w:pos="-1440"/>
          <w:tab w:val="left" w:pos="-720"/>
        </w:tabs>
        <w:autoSpaceDE w:val="0"/>
        <w:autoSpaceDN w:val="0"/>
        <w:textAlignment w:val="bottom"/>
        <w:rPr>
          <w:rFonts w:ascii="Courier New" w:hAnsi="Courier New"/>
        </w:rPr>
      </w:pPr>
      <w:r>
        <w:rPr>
          <w:rFonts w:ascii="Courier New" w:hAnsi="Courier New"/>
        </w:rPr>
        <w:t xml:space="preserve"> </w:t>
      </w:r>
    </w:p>
    <w:tbl>
      <w:tblPr>
        <w:tblW w:w="0" w:type="auto"/>
        <w:jc w:val="center"/>
        <w:tblLayout w:type="fixed"/>
        <w:tblCellMar>
          <w:left w:w="100" w:type="dxa"/>
          <w:right w:w="100" w:type="dxa"/>
        </w:tblCellMar>
        <w:tblLook w:val="0000" w:firstRow="0" w:lastRow="0" w:firstColumn="0" w:lastColumn="0" w:noHBand="0" w:noVBand="0"/>
      </w:tblPr>
      <w:tblGrid>
        <w:gridCol w:w="4734"/>
        <w:gridCol w:w="4734"/>
      </w:tblGrid>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jc w:val="center"/>
              <w:textAlignment w:val="bottom"/>
              <w:rPr>
                <w:rFonts w:ascii="Courier New" w:hAnsi="Courier New"/>
              </w:rPr>
            </w:pPr>
            <w:r>
              <w:rPr>
                <w:rFonts w:ascii="Courier New" w:hAnsi="Courier New" w:hint="eastAsia"/>
              </w:rPr>
              <w:t>年</w:t>
            </w:r>
            <w:r>
              <w:rPr>
                <w:rFonts w:ascii="Courier New" w:hAnsi="Courier New"/>
              </w:rPr>
              <w:t xml:space="preserve">  </w:t>
            </w:r>
            <w:r>
              <w:rPr>
                <w:rFonts w:ascii="Courier New" w:hAnsi="Courier New" w:hint="eastAsia"/>
              </w:rPr>
              <w:t>度</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60"/>
              <w:jc w:val="center"/>
              <w:textAlignment w:val="bottom"/>
              <w:rPr>
                <w:rFonts w:ascii="Courier New" w:hAnsi="Courier New"/>
              </w:rPr>
            </w:pPr>
            <w:r>
              <w:rPr>
                <w:rFonts w:ascii="Courier New" w:hAnsi="Courier New" w:hint="eastAsia"/>
              </w:rPr>
              <w:t>人口</w:t>
            </w:r>
            <w:r>
              <w:rPr>
                <w:rFonts w:ascii="Courier New" w:hAnsi="Courier New"/>
              </w:rPr>
              <w:t>(</w:t>
            </w:r>
            <w:r>
              <w:rPr>
                <w:rFonts w:ascii="Courier New" w:hAnsi="Courier New" w:hint="eastAsia"/>
              </w:rPr>
              <w:t>百万人</w:t>
            </w:r>
            <w:r>
              <w:rPr>
                <w:rFonts w:ascii="Courier New" w:hAnsi="Courier New"/>
              </w:rPr>
              <w:t>)</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1960</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11.6</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19</w:t>
            </w:r>
            <w:r>
              <w:rPr>
                <w:rFonts w:ascii="Courier New" w:hAnsi="Courier New"/>
              </w:rPr>
              <w:t>70</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15.3</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1980</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19.4</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1990</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24.2</w:t>
            </w:r>
          </w:p>
        </w:tc>
      </w:tr>
      <w:tr w:rsidR="00000000">
        <w:tblPrEx>
          <w:tblCellMar>
            <w:top w:w="0" w:type="dxa"/>
            <w:bottom w:w="0" w:type="dxa"/>
          </w:tblCellMar>
        </w:tblPrEx>
        <w:trPr>
          <w:cantSplit/>
          <w:jc w:val="center"/>
        </w:trPr>
        <w:tc>
          <w:tcPr>
            <w:tcW w:w="4734"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2000</w:t>
            </w:r>
          </w:p>
        </w:tc>
        <w:tc>
          <w:tcPr>
            <w:tcW w:w="4734"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28.7</w:t>
            </w:r>
          </w:p>
        </w:tc>
      </w:tr>
      <w:tr w:rsidR="00000000">
        <w:tblPrEx>
          <w:tblCellMar>
            <w:top w:w="0" w:type="dxa"/>
            <w:bottom w:w="0" w:type="dxa"/>
          </w:tblCellMar>
        </w:tblPrEx>
        <w:trPr>
          <w:cantSplit/>
          <w:jc w:val="center"/>
        </w:trPr>
        <w:tc>
          <w:tcPr>
            <w:tcW w:w="4734"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2025</w:t>
            </w:r>
          </w:p>
        </w:tc>
        <w:tc>
          <w:tcPr>
            <w:tcW w:w="4734" w:type="dxa"/>
            <w:tcBorders>
              <w:top w:val="single" w:sz="6" w:space="0" w:color="auto"/>
              <w:left w:val="single" w:sz="6" w:space="0" w:color="auto"/>
              <w:bottom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108" w:line="240" w:lineRule="auto"/>
              <w:jc w:val="center"/>
              <w:textAlignment w:val="bottom"/>
              <w:rPr>
                <w:rFonts w:ascii="Courier New" w:hAnsi="Courier New"/>
              </w:rPr>
            </w:pPr>
            <w:r>
              <w:rPr>
                <w:rFonts w:ascii="Courier New" w:hAnsi="Courier New"/>
              </w:rPr>
              <w:t>39.2</w:t>
            </w:r>
          </w:p>
        </w:tc>
      </w:tr>
    </w:tbl>
    <w:p w:rsidR="00000000" w:rsidRDefault="003D15A7"/>
    <w:p w:rsidR="00000000" w:rsidRDefault="003D15A7">
      <w:r>
        <w:rPr>
          <w:rFonts w:hint="eastAsia"/>
        </w:rPr>
        <w:t>由于经济复苏，摩洛哥经济虽于</w:t>
      </w:r>
      <w:r>
        <w:t>1996</w:t>
      </w:r>
      <w:r>
        <w:rPr>
          <w:rFonts w:hint="eastAsia"/>
        </w:rPr>
        <w:t>年创造了</w:t>
      </w:r>
      <w:r>
        <w:t>164,000</w:t>
      </w:r>
      <w:r>
        <w:rPr>
          <w:rFonts w:hint="eastAsia"/>
        </w:rPr>
        <w:t>个工作职位，但失业率仍颇高，尤其是合格青年的失业率更为显著。</w:t>
      </w:r>
    </w:p>
    <w:p w:rsidR="00000000" w:rsidRDefault="003D15A7">
      <w:pPr>
        <w:spacing w:after="240"/>
        <w:ind w:firstLine="510"/>
        <w:textAlignment w:val="center"/>
      </w:pPr>
      <w:r>
        <w:t xml:space="preserve">55.  </w:t>
      </w:r>
      <w:r>
        <w:rPr>
          <w:rFonts w:hint="eastAsia"/>
        </w:rPr>
        <w:t>失业问题的解决取决于社会组织方式的全面变革。这样的变革所涉及的不仅仅只是经济。变革虽须循序渐进，但必需彻底调整现代社会的收入分配、保障乡村地区和边缘化阶层在社会中的地位。这就需要一些主要利益集团的参与和权力下放，给公民社会提供组织空间，自行承担责任并确保其本身的发展。这一方</w:t>
      </w:r>
      <w:r>
        <w:rPr>
          <w:rFonts w:hint="eastAsia"/>
        </w:rPr>
        <w:t>针构成的基础，可使政府按全国盟约的规定，致力于实施得到双边和多边支持的一项积极的就业政策。</w:t>
      </w:r>
    </w:p>
    <w:p w:rsidR="00000000" w:rsidRDefault="003D15A7">
      <w:pPr>
        <w:pStyle w:val="Heading4"/>
      </w:pPr>
      <w:r>
        <w:rPr>
          <w:rFonts w:hint="eastAsia"/>
        </w:rPr>
        <w:t>设立合作事务处</w:t>
      </w:r>
    </w:p>
    <w:p w:rsidR="00000000" w:rsidRDefault="003D15A7">
      <w:pPr>
        <w:ind w:firstLine="510"/>
      </w:pPr>
      <w:r>
        <w:t xml:space="preserve">56.  </w:t>
      </w:r>
      <w:r>
        <w:rPr>
          <w:rFonts w:hint="eastAsia"/>
        </w:rPr>
        <w:t>在对就业事务司进行结构调整和组织整顿的框架内，设立了一个新的结构</w:t>
      </w:r>
      <w:r>
        <w:t>(1996</w:t>
      </w:r>
      <w:r>
        <w:rPr>
          <w:rFonts w:hint="eastAsia"/>
        </w:rPr>
        <w:t>年</w:t>
      </w:r>
      <w:r>
        <w:t>)</w:t>
      </w:r>
      <w:r>
        <w:rPr>
          <w:rFonts w:hint="eastAsia"/>
        </w:rPr>
        <w:t>，即合作事务处。它的职责是在与各有关部门联系的情况下，对为工人制订的关于工作、就业、社会保护及扫盲的双边和多边项目进行推广、监测和评估。其主要活动还包括在与各有关部门的联系下，监督和评估与双边和多边合作伙伴一起实施的合作方案，并监测就业事务司在其主管领域内，对国际公约和双边议定书的执行情况。</w:t>
      </w:r>
    </w:p>
    <w:p w:rsidR="00000000" w:rsidRDefault="003D15A7">
      <w:pPr>
        <w:spacing w:after="320"/>
        <w:ind w:firstLine="510"/>
        <w:textAlignment w:val="center"/>
      </w:pPr>
      <w:r>
        <w:t xml:space="preserve">57.  </w:t>
      </w:r>
      <w:r>
        <w:rPr>
          <w:rFonts w:hint="eastAsia"/>
        </w:rPr>
        <w:t>为了改善公民</w:t>
      </w:r>
      <w:r>
        <w:rPr>
          <w:rFonts w:hint="eastAsia"/>
        </w:rPr>
        <w:t>的经济、社会和文化生活，已发起若干多边或双边合作方案。</w:t>
      </w:r>
    </w:p>
    <w:p w:rsidR="00000000" w:rsidRDefault="003D15A7">
      <w:pPr>
        <w:pStyle w:val="Heading4"/>
      </w:pPr>
      <w:r>
        <w:rPr>
          <w:u w:val="none"/>
        </w:rPr>
        <w:t>(a)</w:t>
      </w:r>
      <w:r>
        <w:rPr>
          <w:u w:val="none"/>
        </w:rPr>
        <w:tab/>
      </w:r>
      <w:r>
        <w:rPr>
          <w:rFonts w:hint="eastAsia"/>
        </w:rPr>
        <w:t>多边合作</w:t>
      </w:r>
    </w:p>
    <w:p w:rsidR="00000000" w:rsidRDefault="003D15A7">
      <w:pPr>
        <w:ind w:firstLine="510"/>
      </w:pPr>
      <w:r>
        <w:t xml:space="preserve">58.  </w:t>
      </w:r>
      <w:r>
        <w:rPr>
          <w:rFonts w:hint="eastAsia"/>
        </w:rPr>
        <w:t>已与各国际组织，包括开发署</w:t>
      </w:r>
      <w:r>
        <w:t>(</w:t>
      </w:r>
      <w:r>
        <w:rPr>
          <w:rFonts w:hint="eastAsia"/>
        </w:rPr>
        <w:t>消除贫困运动</w:t>
      </w:r>
      <w:r>
        <w:t>)</w:t>
      </w:r>
      <w:r>
        <w:rPr>
          <w:rFonts w:hint="eastAsia"/>
        </w:rPr>
        <w:t>、儿童基金会和劳工组织</w:t>
      </w:r>
      <w:r>
        <w:t>/</w:t>
      </w:r>
      <w:r>
        <w:rPr>
          <w:rFonts w:hint="eastAsia"/>
        </w:rPr>
        <w:t>国际消除童工方案</w:t>
      </w:r>
      <w:r>
        <w:t>(</w:t>
      </w:r>
      <w:r>
        <w:rPr>
          <w:rFonts w:hint="eastAsia"/>
        </w:rPr>
        <w:t>反对童工运动</w:t>
      </w:r>
      <w:r>
        <w:t>)</w:t>
      </w:r>
      <w:r>
        <w:rPr>
          <w:rFonts w:hint="eastAsia"/>
        </w:rPr>
        <w:t>、联合国人口活动基金</w:t>
      </w:r>
      <w:r>
        <w:t>(</w:t>
      </w:r>
      <w:r>
        <w:rPr>
          <w:rFonts w:hint="eastAsia"/>
        </w:rPr>
        <w:t>在扫盲方案中列入有关卫生和生育健康的基本概念</w:t>
      </w:r>
      <w:r>
        <w:t>)</w:t>
      </w:r>
      <w:r>
        <w:rPr>
          <w:rFonts w:hint="eastAsia"/>
        </w:rPr>
        <w:t>、世界银行</w:t>
      </w:r>
      <w:r>
        <w:t>(</w:t>
      </w:r>
      <w:r>
        <w:rPr>
          <w:rFonts w:hint="eastAsia"/>
        </w:rPr>
        <w:t>促进就业</w:t>
      </w:r>
      <w:r>
        <w:t>)</w:t>
      </w:r>
      <w:r>
        <w:rPr>
          <w:rFonts w:hint="eastAsia"/>
        </w:rPr>
        <w:t>和欧洲联盟</w:t>
      </w:r>
      <w:r>
        <w:t>(</w:t>
      </w:r>
      <w:r>
        <w:rPr>
          <w:rFonts w:hint="eastAsia"/>
        </w:rPr>
        <w:t>自我就业和小规模信贷</w:t>
      </w:r>
      <w:r>
        <w:t>)</w:t>
      </w:r>
      <w:r>
        <w:rPr>
          <w:rFonts w:hint="eastAsia"/>
        </w:rPr>
        <w:t>共同提出或发起了各类合作项目和方案。</w:t>
      </w:r>
    </w:p>
    <w:p w:rsidR="00000000" w:rsidRDefault="003D15A7">
      <w:pPr>
        <w:spacing w:after="240"/>
        <w:ind w:firstLine="510"/>
        <w:textAlignment w:val="center"/>
      </w:pPr>
      <w:r>
        <w:t xml:space="preserve">59.  </w:t>
      </w:r>
      <w:r>
        <w:rPr>
          <w:rFonts w:hint="eastAsia"/>
        </w:rPr>
        <w:t>作为与劳工组织合作的一部分，就业事务司于</w:t>
      </w:r>
      <w:r>
        <w:t>1996</w:t>
      </w:r>
      <w:r>
        <w:rPr>
          <w:rFonts w:hint="eastAsia"/>
        </w:rPr>
        <w:t>年与北非和西非多学科组一起开始了一项方案制订工作。这项工作将需要各部级部门、社会合作伙伴和非政府组织的参与。基</w:t>
      </w:r>
      <w:r>
        <w:rPr>
          <w:rFonts w:hint="eastAsia"/>
        </w:rPr>
        <w:t>于所有各方提出的评论意见，北西非多学科组编纂了一份题为《摩洛哥：促进开放经济中的社会发展》的文件</w:t>
      </w:r>
      <w:r>
        <w:t>(1996</w:t>
      </w:r>
      <w:r>
        <w:rPr>
          <w:rFonts w:hint="eastAsia"/>
        </w:rPr>
        <w:t>年</w:t>
      </w:r>
      <w:r>
        <w:t>12</w:t>
      </w:r>
      <w:r>
        <w:rPr>
          <w:rFonts w:hint="eastAsia"/>
        </w:rPr>
        <w:t>月至</w:t>
      </w:r>
      <w:r>
        <w:t>1997</w:t>
      </w:r>
      <w:r>
        <w:rPr>
          <w:rFonts w:hint="eastAsia"/>
        </w:rPr>
        <w:t>年</w:t>
      </w:r>
      <w:r>
        <w:t>3</w:t>
      </w:r>
      <w:r>
        <w:rPr>
          <w:rFonts w:hint="eastAsia"/>
        </w:rPr>
        <w:t>月</w:t>
      </w:r>
      <w:r>
        <w:t>)</w:t>
      </w:r>
      <w:r>
        <w:rPr>
          <w:rFonts w:hint="eastAsia"/>
        </w:rPr>
        <w:t>。北西非多学科组将利用这一文件，拟定一项促进摩洛哥与劳工组织合作关系的行动计划。</w:t>
      </w:r>
    </w:p>
    <w:p w:rsidR="00000000" w:rsidRDefault="003D15A7">
      <w:pPr>
        <w:pStyle w:val="Heading4"/>
      </w:pPr>
      <w:r>
        <w:rPr>
          <w:u w:val="none"/>
        </w:rPr>
        <w:t>(b)</w:t>
      </w:r>
      <w:r>
        <w:rPr>
          <w:u w:val="none"/>
        </w:rPr>
        <w:tab/>
      </w:r>
      <w:r>
        <w:rPr>
          <w:rFonts w:hint="eastAsia"/>
        </w:rPr>
        <w:t>双边合作</w:t>
      </w:r>
    </w:p>
    <w:p w:rsidR="00000000" w:rsidRDefault="003D15A7">
      <w:pPr>
        <w:spacing w:after="320"/>
        <w:ind w:firstLine="510"/>
        <w:textAlignment w:val="center"/>
      </w:pPr>
      <w:r>
        <w:t xml:space="preserve">60.  </w:t>
      </w:r>
      <w:r>
        <w:rPr>
          <w:rFonts w:hint="eastAsia"/>
        </w:rPr>
        <w:t>已经明确和启动了有关培训和就业、工伤和职业病、社会保险、文化学习、管理法培训和青年人社会融合方面的双边项目和方案。主要的合作伙伴有加拿大</w:t>
      </w:r>
      <w:r>
        <w:t>(</w:t>
      </w:r>
      <w:r>
        <w:rPr>
          <w:rFonts w:hint="eastAsia"/>
        </w:rPr>
        <w:t>和魁北克省</w:t>
      </w:r>
      <w:r>
        <w:t>)</w:t>
      </w:r>
      <w:r>
        <w:rPr>
          <w:rFonts w:hint="eastAsia"/>
        </w:rPr>
        <w:t>、埃及、法国、约旦、科威特、利比亚、沙特阿拉伯、西班牙、突尼斯和阿拉伯联合酋长国。</w:t>
      </w:r>
    </w:p>
    <w:p w:rsidR="00000000" w:rsidRDefault="003D15A7">
      <w:pPr>
        <w:pStyle w:val="Heading3"/>
      </w:pPr>
      <w:r>
        <w:rPr>
          <w:u w:val="none"/>
        </w:rPr>
        <w:t xml:space="preserve">B.  </w:t>
      </w:r>
      <w:r>
        <w:rPr>
          <w:rFonts w:hint="eastAsia"/>
        </w:rPr>
        <w:t>促进充分就业的措施</w:t>
      </w:r>
    </w:p>
    <w:p w:rsidR="00000000" w:rsidRDefault="003D15A7">
      <w:pPr>
        <w:pStyle w:val="Heading3"/>
      </w:pPr>
      <w:r>
        <w:rPr>
          <w:u w:val="none"/>
        </w:rPr>
        <w:t xml:space="preserve">1.  </w:t>
      </w:r>
      <w:r>
        <w:rPr>
          <w:rFonts w:hint="eastAsia"/>
        </w:rPr>
        <w:t>建立培训和融合机制</w:t>
      </w:r>
    </w:p>
    <w:p w:rsidR="00000000" w:rsidRDefault="003D15A7">
      <w:pPr>
        <w:ind w:firstLine="510"/>
      </w:pPr>
      <w:r>
        <w:t>61.  1993</w:t>
      </w:r>
      <w:r>
        <w:rPr>
          <w:rFonts w:hint="eastAsia"/>
        </w:rPr>
        <w:t>年</w:t>
      </w:r>
      <w:r>
        <w:t>3</w:t>
      </w:r>
      <w:r>
        <w:rPr>
          <w:rFonts w:hint="eastAsia"/>
        </w:rPr>
        <w:t>月</w:t>
      </w:r>
      <w:r>
        <w:t>29</w:t>
      </w:r>
      <w:r>
        <w:rPr>
          <w:rFonts w:hint="eastAsia"/>
        </w:rPr>
        <w:t>日第</w:t>
      </w:r>
      <w:r>
        <w:t>1.93.16</w:t>
      </w:r>
      <w:r>
        <w:rPr>
          <w:rFonts w:hint="eastAsia"/>
        </w:rPr>
        <w:t>号法律确定了一些措施，鼓励企业提供职业培训和有关融入工作的培训课程，这些新机制构成了特别灵活的鼓励推动办法。约</w:t>
      </w:r>
      <w:r>
        <w:t>4,303</w:t>
      </w:r>
      <w:r>
        <w:rPr>
          <w:rFonts w:hint="eastAsia"/>
        </w:rPr>
        <w:t>项培训协议已获批准。不久拟设立一个全国性中介机构，更全面地了解这些机构进一步发展的需要并给予便利，从而协助私营部门致力于雇用合格的青年人。</w:t>
      </w:r>
    </w:p>
    <w:p w:rsidR="00000000" w:rsidRDefault="003D15A7">
      <w:pPr>
        <w:spacing w:after="320"/>
        <w:ind w:firstLine="510"/>
        <w:textAlignment w:val="center"/>
      </w:pPr>
      <w:r>
        <w:t xml:space="preserve">62.  </w:t>
      </w:r>
      <w:r>
        <w:rPr>
          <w:rFonts w:hint="eastAsia"/>
        </w:rPr>
        <w:t>就业事务司与雇主和一些职业行会合作，开设了一项深造培训方案，使</w:t>
      </w:r>
      <w:r>
        <w:t>175</w:t>
      </w:r>
      <w:r>
        <w:rPr>
          <w:rFonts w:hint="eastAsia"/>
        </w:rPr>
        <w:t>名求职者得到了培训，并为</w:t>
      </w:r>
      <w:r>
        <w:t>272</w:t>
      </w:r>
      <w:r>
        <w:rPr>
          <w:rFonts w:hint="eastAsia"/>
        </w:rPr>
        <w:t>名青年企业开创者提供了开创业务的培训。</w:t>
      </w:r>
    </w:p>
    <w:p w:rsidR="00000000" w:rsidRDefault="003D15A7">
      <w:pPr>
        <w:pStyle w:val="Heading3"/>
      </w:pPr>
      <w:r>
        <w:rPr>
          <w:u w:val="none"/>
        </w:rPr>
        <w:t xml:space="preserve">2.  </w:t>
      </w:r>
      <w:r>
        <w:rPr>
          <w:rFonts w:hint="eastAsia"/>
        </w:rPr>
        <w:t>发展在职培训</w:t>
      </w:r>
    </w:p>
    <w:p w:rsidR="00000000" w:rsidRDefault="003D15A7">
      <w:pPr>
        <w:spacing w:after="320"/>
        <w:ind w:firstLine="510"/>
        <w:textAlignment w:val="center"/>
      </w:pPr>
      <w:r>
        <w:t xml:space="preserve">63.  </w:t>
      </w:r>
      <w:r>
        <w:rPr>
          <w:rFonts w:hint="eastAsia"/>
        </w:rPr>
        <w:t>为了提</w:t>
      </w:r>
      <w:r>
        <w:rPr>
          <w:rFonts w:hint="eastAsia"/>
        </w:rPr>
        <w:t>高就业指导和信息中心</w:t>
      </w:r>
      <w:r>
        <w:t>(</w:t>
      </w:r>
      <w:r>
        <w:rPr>
          <w:rFonts w:hint="eastAsia"/>
        </w:rPr>
        <w:t>就业指信中心</w:t>
      </w:r>
      <w:r>
        <w:t>)</w:t>
      </w:r>
      <w:r>
        <w:rPr>
          <w:rFonts w:hint="eastAsia"/>
        </w:rPr>
        <w:t>所提供服务的质量，根据商定的培训计划，已实施了一项工作人员在职培训方案。为此，在全国促进就业署</w:t>
      </w:r>
      <w:r>
        <w:t>(</w:t>
      </w:r>
      <w:r>
        <w:rPr>
          <w:rFonts w:hint="eastAsia"/>
        </w:rPr>
        <w:t>法国</w:t>
      </w:r>
      <w:r>
        <w:t>)</w:t>
      </w:r>
      <w:r>
        <w:rPr>
          <w:rFonts w:hint="eastAsia"/>
        </w:rPr>
        <w:t>的合作下，为</w:t>
      </w:r>
      <w:r>
        <w:t xml:space="preserve">12 </w:t>
      </w:r>
      <w:r>
        <w:rPr>
          <w:rFonts w:hint="eastAsia"/>
        </w:rPr>
        <w:t>名顾问开办了有关自我就业的培训，而且各中心的主任也接受了管理和制订行动计划方面的培训。</w:t>
      </w:r>
      <w:r>
        <w:t>1995</w:t>
      </w:r>
      <w:r>
        <w:rPr>
          <w:rFonts w:hint="eastAsia"/>
        </w:rPr>
        <w:t>、</w:t>
      </w:r>
      <w:r>
        <w:t>1996</w:t>
      </w:r>
      <w:r>
        <w:rPr>
          <w:rFonts w:hint="eastAsia"/>
        </w:rPr>
        <w:t>和</w:t>
      </w:r>
      <w:r>
        <w:t>1997</w:t>
      </w:r>
      <w:r>
        <w:rPr>
          <w:rFonts w:hint="eastAsia"/>
        </w:rPr>
        <w:t>年，有一百多名学员得益于这一方案，培训日共达</w:t>
      </w:r>
      <w:r>
        <w:t>186</w:t>
      </w:r>
      <w:r>
        <w:rPr>
          <w:rFonts w:hint="eastAsia"/>
        </w:rPr>
        <w:t>天以上。</w:t>
      </w:r>
    </w:p>
    <w:p w:rsidR="00000000" w:rsidRDefault="003D15A7">
      <w:pPr>
        <w:pStyle w:val="Heading3"/>
      </w:pPr>
      <w:r>
        <w:rPr>
          <w:u w:val="none"/>
        </w:rPr>
        <w:t xml:space="preserve">3.  </w:t>
      </w:r>
      <w:r>
        <w:rPr>
          <w:rFonts w:hint="eastAsia"/>
        </w:rPr>
        <w:t>建立指导和信息中心</w:t>
      </w:r>
    </w:p>
    <w:p w:rsidR="00000000" w:rsidRDefault="003D15A7">
      <w:pPr>
        <w:ind w:firstLine="510"/>
      </w:pPr>
      <w:r>
        <w:t xml:space="preserve">64.  </w:t>
      </w:r>
      <w:r>
        <w:rPr>
          <w:rFonts w:hint="eastAsia"/>
        </w:rPr>
        <w:t>在一些主要的就业领域建立了由十个中心组成的就业网络。其成果如下：</w:t>
      </w:r>
      <w:r>
        <w:t>55,429</w:t>
      </w:r>
      <w:r>
        <w:rPr>
          <w:rFonts w:hint="eastAsia"/>
        </w:rPr>
        <w:t>名求职者；</w:t>
      </w:r>
      <w:r>
        <w:t>13,272</w:t>
      </w:r>
      <w:r>
        <w:rPr>
          <w:rFonts w:hint="eastAsia"/>
        </w:rPr>
        <w:t>个职位空缺；填补了</w:t>
      </w:r>
      <w:r>
        <w:t>8,528</w:t>
      </w:r>
      <w:r>
        <w:rPr>
          <w:rFonts w:hint="eastAsia"/>
        </w:rPr>
        <w:t>个职位空缺；向各公</w:t>
      </w:r>
      <w:r>
        <w:rPr>
          <w:rFonts w:hint="eastAsia"/>
        </w:rPr>
        <w:t>司提出了</w:t>
      </w:r>
      <w:r>
        <w:t>9,687</w:t>
      </w:r>
      <w:r>
        <w:rPr>
          <w:rFonts w:hint="eastAsia"/>
        </w:rPr>
        <w:t>次询问。</w:t>
      </w:r>
    </w:p>
    <w:p w:rsidR="00000000" w:rsidRDefault="003D15A7">
      <w:pPr>
        <w:ind w:firstLine="510"/>
      </w:pPr>
      <w:r>
        <w:t xml:space="preserve">65.  </w:t>
      </w:r>
      <w:r>
        <w:rPr>
          <w:rFonts w:hint="eastAsia"/>
        </w:rPr>
        <w:t>求职者和雇主还可获得其它一些就业服务，诸如有关就业市场的指导和信息，有关求职的实用讲座、有选择地为若干有意者提供开办企业的援助等。除就业指信中心外，就业市场的中介系统也有</w:t>
      </w:r>
      <w:r>
        <w:t>45</w:t>
      </w:r>
      <w:r>
        <w:rPr>
          <w:rFonts w:hint="eastAsia"/>
        </w:rPr>
        <w:t>个就业介绍机构，它们的服务旨在帮助无专长的工人。近几年来，它们帮助</w:t>
      </w:r>
      <w:r>
        <w:t>14,157</w:t>
      </w:r>
      <w:r>
        <w:rPr>
          <w:rFonts w:hint="eastAsia"/>
        </w:rPr>
        <w:t>位求职者找到了工作。</w:t>
      </w:r>
    </w:p>
    <w:p w:rsidR="00000000" w:rsidRDefault="003D15A7">
      <w:pPr>
        <w:spacing w:after="320"/>
        <w:ind w:firstLine="510"/>
        <w:textAlignment w:val="center"/>
      </w:pPr>
      <w:r>
        <w:t xml:space="preserve">66.  </w:t>
      </w:r>
      <w:r>
        <w:rPr>
          <w:rFonts w:hint="eastAsia"/>
        </w:rPr>
        <w:t>最近，就业指信中心网络并入职业培训和工作促进署</w:t>
      </w:r>
      <w:r>
        <w:t>(</w:t>
      </w:r>
      <w:r>
        <w:rPr>
          <w:rFonts w:hint="eastAsia"/>
        </w:rPr>
        <w:t>职培工促署</w:t>
      </w:r>
      <w:r>
        <w:t>)</w:t>
      </w:r>
      <w:r>
        <w:rPr>
          <w:rFonts w:hint="eastAsia"/>
        </w:rPr>
        <w:t>，以期实施青年就业和培训方案。该方案拟每年创造</w:t>
      </w:r>
      <w:r>
        <w:t>20,000</w:t>
      </w:r>
      <w:r>
        <w:rPr>
          <w:rFonts w:hint="eastAsia"/>
        </w:rPr>
        <w:t>个工作职位。这一目标拟利用经培训的合格青年专业人员在企业内发挥具体作用，</w:t>
      </w:r>
      <w:r>
        <w:rPr>
          <w:rFonts w:hint="eastAsia"/>
        </w:rPr>
        <w:t>增进企业的发展。</w:t>
      </w:r>
    </w:p>
    <w:p w:rsidR="00000000" w:rsidRDefault="003D15A7">
      <w:pPr>
        <w:pStyle w:val="Heading3"/>
      </w:pPr>
      <w:r>
        <w:rPr>
          <w:u w:val="none"/>
        </w:rPr>
        <w:t xml:space="preserve">4.  </w:t>
      </w:r>
      <w:r>
        <w:rPr>
          <w:rFonts w:hint="eastAsia"/>
        </w:rPr>
        <w:t>促进就业战略</w:t>
      </w:r>
    </w:p>
    <w:p w:rsidR="00000000" w:rsidRDefault="003D15A7">
      <w:pPr>
        <w:spacing w:after="320"/>
        <w:ind w:firstLine="510"/>
        <w:textAlignment w:val="center"/>
      </w:pPr>
      <w:r>
        <w:t xml:space="preserve">67.  </w:t>
      </w:r>
      <w:r>
        <w:rPr>
          <w:rFonts w:hint="eastAsia"/>
        </w:rPr>
        <w:t>业已拟就的促进就业战略草案，以如下几个主要优先事项为支点：</w:t>
      </w:r>
    </w:p>
    <w:p w:rsidR="00000000" w:rsidRDefault="003D15A7">
      <w:pPr>
        <w:pStyle w:val="Heading4"/>
      </w:pPr>
      <w:r>
        <w:rPr>
          <w:u w:val="none"/>
        </w:rPr>
        <w:t>(a)</w:t>
      </w:r>
      <w:r>
        <w:rPr>
          <w:u w:val="none"/>
        </w:rPr>
        <w:tab/>
      </w:r>
      <w:r>
        <w:rPr>
          <w:rFonts w:hint="eastAsia"/>
        </w:rPr>
        <w:t>以创造生产性就业职位为经济增长的方向</w:t>
      </w:r>
    </w:p>
    <w:p w:rsidR="00000000" w:rsidRDefault="003D15A7">
      <w:pPr>
        <w:spacing w:after="320"/>
        <w:ind w:firstLine="510"/>
        <w:textAlignment w:val="center"/>
      </w:pPr>
      <w:r>
        <w:rPr>
          <w:rFonts w:hint="eastAsia"/>
        </w:rPr>
        <w:t>为了使就业目标与增长战略密切配合，需要采取怎样的宏观经济调整和部门政策，这要求决策人员和经济及社会合作伙伴开展深入的调研，特别是在成本评估、就业职位和失业率、财政、金融和预算措施以及外贸等领域。</w:t>
      </w:r>
    </w:p>
    <w:p w:rsidR="00000000" w:rsidRDefault="003D15A7">
      <w:pPr>
        <w:pStyle w:val="Heading4"/>
      </w:pPr>
      <w:r>
        <w:rPr>
          <w:u w:val="none"/>
        </w:rPr>
        <w:t>(b)</w:t>
      </w:r>
      <w:r>
        <w:rPr>
          <w:u w:val="none"/>
        </w:rPr>
        <w:tab/>
      </w:r>
      <w:r>
        <w:rPr>
          <w:rFonts w:hint="eastAsia"/>
        </w:rPr>
        <w:t>发展自我就业和融入工作生活的培训</w:t>
      </w:r>
    </w:p>
    <w:p w:rsidR="00000000" w:rsidRDefault="003D15A7">
      <w:pPr>
        <w:ind w:firstLine="510"/>
      </w:pPr>
      <w:r>
        <w:rPr>
          <w:rFonts w:hint="eastAsia"/>
        </w:rPr>
        <w:t>这项战略也是力求通过对自我就业的支持，调动创造就业职位的潜力，并压缩为优先求职者提供的额外培训规模。关于自我就业，评估</w:t>
      </w:r>
      <w:r>
        <w:rPr>
          <w:rFonts w:hint="eastAsia"/>
        </w:rPr>
        <w:t>就业方案的研究旨在导致全面整顿支持青年实业者的机制，尤其注重发展供城乡非组织部门利用的小规模信贷。</w:t>
      </w:r>
    </w:p>
    <w:p w:rsidR="00000000" w:rsidRDefault="003D15A7">
      <w:pPr>
        <w:ind w:firstLine="510"/>
      </w:pPr>
      <w:r>
        <w:t xml:space="preserve">68.  </w:t>
      </w:r>
      <w:r>
        <w:rPr>
          <w:rFonts w:hint="eastAsia"/>
        </w:rPr>
        <w:t>政府最近批准了一项有关小规模信贷的法律草案。该法案的目标是确立一个开展此类活动的法律框架，从而为此提供一系列的鼓励措施。这项改革力求以那些处于不利境地的社会阶层为目标，这些阶层人口因其微薄不稳的收入和拿不出可担保其筹资要求的实际保障，他们虽制订了项目，但却无法获得常规银行的融资服务。这类供资服务的限额是</w:t>
      </w:r>
      <w:r>
        <w:t>50,000</w:t>
      </w:r>
      <w:r>
        <w:rPr>
          <w:rFonts w:hint="eastAsia"/>
        </w:rPr>
        <w:t>迪拉姆。</w:t>
      </w:r>
    </w:p>
    <w:p w:rsidR="00000000" w:rsidRDefault="003D15A7">
      <w:pPr>
        <w:ind w:firstLine="510"/>
      </w:pPr>
      <w:r>
        <w:t xml:space="preserve">69.  </w:t>
      </w:r>
      <w:r>
        <w:rPr>
          <w:rFonts w:hint="eastAsia"/>
        </w:rPr>
        <w:t>过去两年来，有</w:t>
      </w:r>
      <w:r>
        <w:t>4,700</w:t>
      </w:r>
      <w:r>
        <w:rPr>
          <w:rFonts w:hint="eastAsia"/>
        </w:rPr>
        <w:t>个青年人得到帮助，在乡村地区建立了他们自己</w:t>
      </w:r>
      <w:r>
        <w:rPr>
          <w:rFonts w:hint="eastAsia"/>
        </w:rPr>
        <w:t>的企业，举办了</w:t>
      </w:r>
      <w:r>
        <w:t>2,700</w:t>
      </w:r>
      <w:r>
        <w:rPr>
          <w:rFonts w:hint="eastAsia"/>
        </w:rPr>
        <w:t>个小型项目，并为那些自耕农家庭的儿童组办了分层培训班。此外，</w:t>
      </w:r>
      <w:r>
        <w:t>35</w:t>
      </w:r>
      <w:r>
        <w:rPr>
          <w:rFonts w:hint="eastAsia"/>
        </w:rPr>
        <w:t>个讲习班领导人接受了有关评估和监督该制度的培训，以协助乡村青年实业家。</w:t>
      </w:r>
    </w:p>
    <w:p w:rsidR="00000000" w:rsidRDefault="003D15A7">
      <w:pPr>
        <w:ind w:firstLine="510"/>
      </w:pPr>
      <w:r>
        <w:t xml:space="preserve">70.  </w:t>
      </w:r>
      <w:r>
        <w:rPr>
          <w:rFonts w:hint="eastAsia"/>
        </w:rPr>
        <w:t>合作社运动已得到相当程度的发展，成为社会经济迅速取得进展的一种表现。自</w:t>
      </w:r>
      <w:r>
        <w:t>1994</w:t>
      </w:r>
      <w:r>
        <w:rPr>
          <w:rFonts w:hint="eastAsia"/>
        </w:rPr>
        <w:t>年以来，为促进合作社而采取的行动，包括颁布实行第</w:t>
      </w:r>
      <w:r>
        <w:t>24/83</w:t>
      </w:r>
      <w:r>
        <w:rPr>
          <w:rFonts w:hint="eastAsia"/>
        </w:rPr>
        <w:t>号法律，该法律确定了合作的总体地位和合作社发展署的职权，还加强了对合作社管理人员的培训，并加快了新合作社的批准手续。合作社的数量从</w:t>
      </w:r>
      <w:r>
        <w:t>1991</w:t>
      </w:r>
      <w:r>
        <w:rPr>
          <w:rFonts w:hint="eastAsia"/>
        </w:rPr>
        <w:t>年的</w:t>
      </w:r>
      <w:r>
        <w:t>4,635</w:t>
      </w:r>
      <w:r>
        <w:rPr>
          <w:rFonts w:hint="eastAsia"/>
        </w:rPr>
        <w:t>个增至</w:t>
      </w:r>
      <w:r>
        <w:t>1997</w:t>
      </w:r>
      <w:r>
        <w:rPr>
          <w:rFonts w:hint="eastAsia"/>
        </w:rPr>
        <w:t>年</w:t>
      </w:r>
      <w:r>
        <w:t>8</w:t>
      </w:r>
      <w:r>
        <w:rPr>
          <w:rFonts w:hint="eastAsia"/>
        </w:rPr>
        <w:t>月</w:t>
      </w:r>
      <w:r>
        <w:t>30</w:t>
      </w:r>
      <w:r>
        <w:rPr>
          <w:rFonts w:hint="eastAsia"/>
        </w:rPr>
        <w:t>日的</w:t>
      </w:r>
      <w:r>
        <w:t>5,651</w:t>
      </w:r>
      <w:r>
        <w:rPr>
          <w:rFonts w:hint="eastAsia"/>
        </w:rPr>
        <w:t>个。社员数量从</w:t>
      </w:r>
      <w:r>
        <w:t>6</w:t>
      </w:r>
      <w:r>
        <w:t>21,982</w:t>
      </w:r>
      <w:r>
        <w:rPr>
          <w:rFonts w:hint="eastAsia"/>
        </w:rPr>
        <w:t>人上升至</w:t>
      </w:r>
      <w:r>
        <w:t>1996</w:t>
      </w:r>
      <w:r>
        <w:rPr>
          <w:rFonts w:hint="eastAsia"/>
        </w:rPr>
        <w:t>年的</w:t>
      </w:r>
      <w:r>
        <w:t>630,673</w:t>
      </w:r>
      <w:r>
        <w:rPr>
          <w:rFonts w:hint="eastAsia"/>
        </w:rPr>
        <w:t>人，截至</w:t>
      </w:r>
      <w:r>
        <w:t>1997</w:t>
      </w:r>
      <w:r>
        <w:rPr>
          <w:rFonts w:hint="eastAsia"/>
        </w:rPr>
        <w:t>年</w:t>
      </w:r>
      <w:r>
        <w:t>8</w:t>
      </w:r>
      <w:r>
        <w:rPr>
          <w:rFonts w:hint="eastAsia"/>
        </w:rPr>
        <w:t>月</w:t>
      </w:r>
      <w:r>
        <w:t>30</w:t>
      </w:r>
      <w:r>
        <w:rPr>
          <w:rFonts w:hint="eastAsia"/>
        </w:rPr>
        <w:t>日已增至</w:t>
      </w:r>
      <w:r>
        <w:t>632,717</w:t>
      </w:r>
      <w:r>
        <w:rPr>
          <w:rFonts w:hint="eastAsia"/>
        </w:rPr>
        <w:t>人。作为中小企业，合作社提供了相当数量的就业职位。除既有的员额职位和第二职业外，</w:t>
      </w:r>
      <w:r>
        <w:t>1994</w:t>
      </w:r>
      <w:r>
        <w:rPr>
          <w:rFonts w:hint="eastAsia"/>
        </w:rPr>
        <w:t>年以来摩洛哥的合作社已创造了</w:t>
      </w:r>
      <w:r>
        <w:t>4,964</w:t>
      </w:r>
      <w:r>
        <w:rPr>
          <w:rFonts w:hint="eastAsia"/>
        </w:rPr>
        <w:t>个就业职位。</w:t>
      </w:r>
    </w:p>
    <w:p w:rsidR="00000000" w:rsidRDefault="003D15A7">
      <w:pPr>
        <w:spacing w:after="320"/>
        <w:ind w:firstLine="510"/>
        <w:textAlignment w:val="center"/>
      </w:pPr>
      <w:r>
        <w:t xml:space="preserve">71.  </w:t>
      </w:r>
      <w:r>
        <w:rPr>
          <w:rFonts w:hint="eastAsia"/>
        </w:rPr>
        <w:t>通过培训和援助，发展各类项目和筹资活动的设想，为微型项目的青年推行者提供了支持。在增加培训方面，正在作出努力，调整修正下列方案的部分内容，这是一项为使青年求职者融入社会生活，并使那些实行结构调整公司的工人重新就业和实行职业调整的方案。</w:t>
      </w:r>
    </w:p>
    <w:p w:rsidR="00000000" w:rsidRDefault="003D15A7">
      <w:pPr>
        <w:pStyle w:val="Heading4"/>
      </w:pPr>
      <w:r>
        <w:rPr>
          <w:u w:val="none"/>
        </w:rPr>
        <w:t>(c)</w:t>
      </w:r>
      <w:r>
        <w:rPr>
          <w:u w:val="none"/>
        </w:rPr>
        <w:tab/>
      </w:r>
      <w:r>
        <w:rPr>
          <w:rFonts w:hint="eastAsia"/>
        </w:rPr>
        <w:t>建立新的中介机构和实施积</w:t>
      </w:r>
      <w:r>
        <w:rPr>
          <w:rFonts w:hint="eastAsia"/>
        </w:rPr>
        <w:t>极的劳动力市场政策</w:t>
      </w:r>
    </w:p>
    <w:p w:rsidR="00000000" w:rsidRDefault="003D15A7">
      <w:pPr>
        <w:spacing w:after="320"/>
        <w:ind w:firstLine="510"/>
        <w:textAlignment w:val="center"/>
      </w:pPr>
      <w:r>
        <w:t xml:space="preserve">72.  </w:t>
      </w:r>
      <w:r>
        <w:rPr>
          <w:rFonts w:hint="eastAsia"/>
        </w:rPr>
        <w:t>对公共就业机构调整的结果，将很快形成如下的机构。这一机构的责任将包括中介机构、管理劳动力市场并实施就业方案。这一改革下的基本任务，是政府的优先事项，即拟制订出一项计划草案、调动人力资源的方案、发展职业培训的信息和指导，以及公司联系服务、处置就业需求，和为自行就业和融入工作生活提供支持。</w:t>
      </w:r>
    </w:p>
    <w:p w:rsidR="00000000" w:rsidRDefault="003D15A7">
      <w:pPr>
        <w:pStyle w:val="Heading4"/>
      </w:pPr>
      <w:r>
        <w:rPr>
          <w:u w:val="none"/>
        </w:rPr>
        <w:t>(d)</w:t>
      </w:r>
      <w:r>
        <w:rPr>
          <w:u w:val="none"/>
        </w:rPr>
        <w:tab/>
      </w:r>
      <w:r>
        <w:rPr>
          <w:rFonts w:hint="eastAsia"/>
        </w:rPr>
        <w:t>增强就业促进措施的方面分析和实验能力</w:t>
      </w:r>
    </w:p>
    <w:p w:rsidR="00000000" w:rsidRDefault="003D15A7">
      <w:pPr>
        <w:spacing w:after="320"/>
        <w:ind w:firstLine="510"/>
        <w:textAlignment w:val="center"/>
      </w:pPr>
      <w:r>
        <w:t xml:space="preserve">73.  </w:t>
      </w:r>
      <w:r>
        <w:rPr>
          <w:rFonts w:hint="eastAsia"/>
        </w:rPr>
        <w:t>这项方案的基本目标是使就业事务司具备设计和实施有效劳动力市场政策的能力。其中包括建立一个就业情况观察处、一个协调机构、评估行动计划和预测就</w:t>
      </w:r>
      <w:r>
        <w:rPr>
          <w:rFonts w:hint="eastAsia"/>
        </w:rPr>
        <w:t>业职位供求情况的机制、实施研究和重大的普查，并开展对劳动力市场分析和行政管理的培训。</w:t>
      </w:r>
    </w:p>
    <w:p w:rsidR="00000000" w:rsidRDefault="003D15A7">
      <w:pPr>
        <w:pStyle w:val="Heading3"/>
      </w:pPr>
      <w:r>
        <w:rPr>
          <w:u w:val="none"/>
        </w:rPr>
        <w:t xml:space="preserve">5.  </w:t>
      </w:r>
      <w:r>
        <w:rPr>
          <w:rFonts w:hint="eastAsia"/>
        </w:rPr>
        <w:t>管理移民问题和已到限定年龄雇员提出的留职要求</w:t>
      </w:r>
    </w:p>
    <w:p w:rsidR="00000000" w:rsidRDefault="003D15A7">
      <w:pPr>
        <w:spacing w:after="320"/>
        <w:ind w:firstLine="510"/>
        <w:textAlignment w:val="center"/>
      </w:pPr>
      <w:r>
        <w:t xml:space="preserve">74.  </w:t>
      </w:r>
      <w:r>
        <w:rPr>
          <w:rFonts w:hint="eastAsia"/>
        </w:rPr>
        <w:t>就业事务司的各办事处监管着</w:t>
      </w:r>
      <w:r>
        <w:t>20,007</w:t>
      </w:r>
      <w:r>
        <w:rPr>
          <w:rFonts w:hint="eastAsia"/>
        </w:rPr>
        <w:t>份涉及到摩洛哥人的海外就业合同、</w:t>
      </w:r>
      <w:r>
        <w:t>24,328</w:t>
      </w:r>
      <w:r>
        <w:rPr>
          <w:rFonts w:hint="eastAsia"/>
        </w:rPr>
        <w:t>份摩洛哥境内外籍人的就业合同，和</w:t>
      </w:r>
      <w:r>
        <w:t>680</w:t>
      </w:r>
      <w:r>
        <w:rPr>
          <w:rFonts w:hint="eastAsia"/>
        </w:rPr>
        <w:t>项已到限定年龄但提出留职工作的雇员的要求。</w:t>
      </w:r>
    </w:p>
    <w:p w:rsidR="00000000" w:rsidRDefault="003D15A7">
      <w:pPr>
        <w:pStyle w:val="Heading3"/>
      </w:pPr>
      <w:r>
        <w:rPr>
          <w:u w:val="none"/>
        </w:rPr>
        <w:t xml:space="preserve">6.  </w:t>
      </w:r>
      <w:r>
        <w:rPr>
          <w:rFonts w:hint="eastAsia"/>
        </w:rPr>
        <w:t>增强机构</w:t>
      </w:r>
    </w:p>
    <w:p w:rsidR="00000000" w:rsidRDefault="003D15A7">
      <w:pPr>
        <w:spacing w:after="320"/>
        <w:ind w:firstLine="510"/>
        <w:textAlignment w:val="center"/>
      </w:pPr>
      <w:r>
        <w:t xml:space="preserve">75.  </w:t>
      </w:r>
      <w:r>
        <w:rPr>
          <w:rFonts w:hint="eastAsia"/>
        </w:rPr>
        <w:t>为顺应工作进一步专业化的要求，必需具备更精确的技巧和工具，公共就业服务部门已采取适当步骤来应付数据处理、职位分类和自我就业事务。</w:t>
      </w:r>
    </w:p>
    <w:p w:rsidR="00000000" w:rsidRDefault="003D15A7">
      <w:pPr>
        <w:pStyle w:val="Heading4"/>
      </w:pPr>
      <w:r>
        <w:rPr>
          <w:u w:val="none"/>
        </w:rPr>
        <w:t>(a)</w:t>
      </w:r>
      <w:r>
        <w:rPr>
          <w:u w:val="none"/>
        </w:rPr>
        <w:tab/>
      </w:r>
      <w:r>
        <w:rPr>
          <w:rFonts w:hint="eastAsia"/>
        </w:rPr>
        <w:t>新的计算机化系统</w:t>
      </w:r>
    </w:p>
    <w:p w:rsidR="00000000" w:rsidRDefault="003D15A7">
      <w:pPr>
        <w:spacing w:after="320"/>
        <w:ind w:firstLine="510"/>
        <w:textAlignment w:val="center"/>
      </w:pPr>
      <w:r>
        <w:t xml:space="preserve">76.  </w:t>
      </w:r>
      <w:r>
        <w:rPr>
          <w:rFonts w:hint="eastAsia"/>
        </w:rPr>
        <w:t>在就</w:t>
      </w:r>
      <w:r>
        <w:rPr>
          <w:rFonts w:hint="eastAsia"/>
        </w:rPr>
        <w:t>业事务司信息和技术战略框架内发展起来的计算机系统，将改善对就业职位供求的行政管理</w:t>
      </w:r>
      <w:r>
        <w:t>(</w:t>
      </w:r>
      <w:r>
        <w:rPr>
          <w:rFonts w:hint="eastAsia"/>
        </w:rPr>
        <w:t>计算机就业管理系统</w:t>
      </w:r>
      <w:r>
        <w:t>)</w:t>
      </w:r>
      <w:r>
        <w:rPr>
          <w:rFonts w:hint="eastAsia"/>
        </w:rPr>
        <w:t>。这项已经试用的新系统，将运用于就业指导和信息中心，按职位招聘要求查寻合适的求业者、处理统计数据和处置入出境移民档案。</w:t>
      </w:r>
    </w:p>
    <w:p w:rsidR="00000000" w:rsidRDefault="003D15A7">
      <w:pPr>
        <w:pStyle w:val="Heading4"/>
      </w:pPr>
      <w:r>
        <w:rPr>
          <w:u w:val="none"/>
        </w:rPr>
        <w:t>(b)</w:t>
      </w:r>
      <w:r>
        <w:rPr>
          <w:u w:val="none"/>
        </w:rPr>
        <w:tab/>
      </w:r>
      <w:r>
        <w:rPr>
          <w:rFonts w:hint="eastAsia"/>
        </w:rPr>
        <w:t>完成职业和行业的类别划分</w:t>
      </w:r>
    </w:p>
    <w:p w:rsidR="00000000" w:rsidRDefault="003D15A7">
      <w:pPr>
        <w:spacing w:after="320"/>
        <w:ind w:firstLine="510"/>
        <w:textAlignment w:val="center"/>
      </w:pPr>
      <w:r>
        <w:t xml:space="preserve">77.  </w:t>
      </w:r>
      <w:r>
        <w:rPr>
          <w:rFonts w:hint="eastAsia"/>
        </w:rPr>
        <w:t>这一方案需要设立一个职业和行业登记处，包括编造一项分类册、一份按字母顺序排列的检索目录和一份术语表。这一登记处的目的是，为从事劳动力市场事务的专业人员建立起一种通用语言，以期完善检索程序，提供适当的匹配条件，解决劳资双方的供求所需。载有</w:t>
      </w:r>
      <w:r>
        <w:t>33</w:t>
      </w:r>
      <w:r>
        <w:rPr>
          <w:rFonts w:hint="eastAsia"/>
        </w:rPr>
        <w:t>类职业</w:t>
      </w:r>
      <w:r>
        <w:rPr>
          <w:rFonts w:hint="eastAsia"/>
        </w:rPr>
        <w:t>领域，内含</w:t>
      </w:r>
      <w:r>
        <w:t>125</w:t>
      </w:r>
      <w:r>
        <w:rPr>
          <w:rFonts w:hint="eastAsia"/>
        </w:rPr>
        <w:t>个分支领域，和</w:t>
      </w:r>
      <w:r>
        <w:t>856</w:t>
      </w:r>
      <w:r>
        <w:rPr>
          <w:rFonts w:hint="eastAsia"/>
        </w:rPr>
        <w:t>个行业，涵盖</w:t>
      </w:r>
      <w:r>
        <w:t>9,216</w:t>
      </w:r>
      <w:r>
        <w:rPr>
          <w:rFonts w:hint="eastAsia"/>
        </w:rPr>
        <w:t>种职业类目的分类册编纂工作业已完成，而目前将在考虑到各个政府部门、雇主、工会和专业协会评论意见的情况下，进行最后的审定工作。</w:t>
      </w:r>
    </w:p>
    <w:p w:rsidR="00000000" w:rsidRDefault="003D15A7">
      <w:pPr>
        <w:pStyle w:val="Heading4"/>
      </w:pPr>
      <w:r>
        <w:rPr>
          <w:u w:val="none"/>
        </w:rPr>
        <w:t>(c)</w:t>
      </w:r>
      <w:r>
        <w:rPr>
          <w:u w:val="none"/>
        </w:rPr>
        <w:tab/>
      </w:r>
      <w:r>
        <w:rPr>
          <w:rFonts w:hint="eastAsia"/>
        </w:rPr>
        <w:t>发展支持自我就业的活动</w:t>
      </w:r>
    </w:p>
    <w:p w:rsidR="00000000" w:rsidRDefault="003D15A7">
      <w:pPr>
        <w:spacing w:after="320"/>
        <w:ind w:firstLine="510"/>
        <w:textAlignment w:val="center"/>
      </w:pPr>
      <w:r>
        <w:t xml:space="preserve">78.  </w:t>
      </w:r>
      <w:r>
        <w:rPr>
          <w:rFonts w:hint="eastAsia"/>
        </w:rPr>
        <w:t>一项方法指南编制就绪，以协助就业指信中心的顾问辨明那些具有项目设想和较强创业能力的求职者，以期从项目的先期阶段着手，从头至尾地为他们的提供通盘的支持。</w:t>
      </w:r>
    </w:p>
    <w:p w:rsidR="00000000" w:rsidRDefault="003D15A7">
      <w:pPr>
        <w:pStyle w:val="Heading4"/>
      </w:pPr>
      <w:r>
        <w:rPr>
          <w:u w:val="none"/>
        </w:rPr>
        <w:t>(d)</w:t>
      </w:r>
      <w:r>
        <w:rPr>
          <w:u w:val="none"/>
        </w:rPr>
        <w:tab/>
      </w:r>
      <w:r>
        <w:rPr>
          <w:rFonts w:hint="eastAsia"/>
        </w:rPr>
        <w:t>编纂供顾问使用的指南</w:t>
      </w:r>
    </w:p>
    <w:p w:rsidR="00000000" w:rsidRDefault="003D15A7">
      <w:pPr>
        <w:spacing w:after="320"/>
        <w:ind w:firstLine="510"/>
        <w:textAlignment w:val="center"/>
      </w:pPr>
      <w:r>
        <w:t xml:space="preserve">79.  </w:t>
      </w:r>
      <w:r>
        <w:rPr>
          <w:rFonts w:hint="eastAsia"/>
        </w:rPr>
        <w:t>为了改善顾问技能和作法并实现标准化，根据与实践者和专家们的交谈，编纂出了第一阶段的顾问实用指南</w:t>
      </w:r>
      <w:r>
        <w:rPr>
          <w:rFonts w:hint="eastAsia"/>
        </w:rPr>
        <w:t>。这些档案将参照对专业经验的分析和就业指信中心所提供服务的改善，不断地加以增补更新。</w:t>
      </w:r>
    </w:p>
    <w:p w:rsidR="00000000" w:rsidRDefault="003D15A7">
      <w:pPr>
        <w:pStyle w:val="Heading4"/>
      </w:pPr>
      <w:r>
        <w:rPr>
          <w:u w:val="none"/>
        </w:rPr>
        <w:t>(e)</w:t>
      </w:r>
      <w:r>
        <w:rPr>
          <w:u w:val="none"/>
        </w:rPr>
        <w:tab/>
      </w:r>
      <w:r>
        <w:rPr>
          <w:rFonts w:hint="eastAsia"/>
        </w:rPr>
        <w:t>调</w:t>
      </w:r>
      <w:r>
        <w:t xml:space="preserve">  </w:t>
      </w:r>
      <w:r>
        <w:rPr>
          <w:rFonts w:hint="eastAsia"/>
        </w:rPr>
        <w:t>研</w:t>
      </w:r>
    </w:p>
    <w:p w:rsidR="00000000" w:rsidRDefault="003D15A7">
      <w:pPr>
        <w:ind w:firstLine="510"/>
      </w:pPr>
      <w:r>
        <w:t xml:space="preserve">80.  </w:t>
      </w:r>
      <w:r>
        <w:rPr>
          <w:rFonts w:hint="eastAsia"/>
        </w:rPr>
        <w:t>在制订社会优先事项第二期项目时，进行了两项劳动力市场的研究。一项集中探讨的是非官方部门，而另一项侧重于对促进就业和就业服务机构的评估和结构调整。</w:t>
      </w:r>
    </w:p>
    <w:p w:rsidR="00000000" w:rsidRDefault="003D15A7">
      <w:pPr>
        <w:ind w:firstLine="510"/>
      </w:pPr>
      <w:r>
        <w:t xml:space="preserve">81.  </w:t>
      </w:r>
      <w:r>
        <w:rPr>
          <w:rFonts w:hint="eastAsia"/>
        </w:rPr>
        <w:t>第一项研究的目的是，消除阻碍非官方企业增长的主要障碍，并辨明一些办法，帮助这些企业为促进就业和劳动力市场的总体职能运作，作出更有效的贡献。研究成果拟用于制订一些适合于非官方部门采取的政策和措施，以期提高其效率，并便利其融入官方经济。</w:t>
      </w:r>
    </w:p>
    <w:p w:rsidR="00000000" w:rsidRDefault="003D15A7">
      <w:pPr>
        <w:spacing w:after="320"/>
        <w:ind w:firstLine="510"/>
        <w:textAlignment w:val="center"/>
      </w:pPr>
      <w:r>
        <w:t xml:space="preserve">82. </w:t>
      </w:r>
      <w:r>
        <w:t xml:space="preserve"> </w:t>
      </w:r>
      <w:r>
        <w:rPr>
          <w:rFonts w:hint="eastAsia"/>
        </w:rPr>
        <w:t>第二项研究的目的是辨明促进青年就业的基金以及有关职业培训和融合机制在职能和运作方面的缺陷，并提出对这些机制和公共就业服务部门实行结构性整顿的建议，以期提高这些机制作为促进就业和劳动力市场管理工具的实效。</w:t>
      </w:r>
    </w:p>
    <w:p w:rsidR="00000000" w:rsidRDefault="003D15A7">
      <w:pPr>
        <w:pStyle w:val="Heading4"/>
      </w:pPr>
      <w:r>
        <w:rPr>
          <w:u w:val="none"/>
        </w:rPr>
        <w:t>(f)</w:t>
      </w:r>
      <w:r>
        <w:rPr>
          <w:u w:val="none"/>
        </w:rPr>
        <w:tab/>
      </w:r>
      <w:r>
        <w:rPr>
          <w:rFonts w:hint="eastAsia"/>
        </w:rPr>
        <w:t>开发人力资源</w:t>
      </w:r>
    </w:p>
    <w:p w:rsidR="00000000" w:rsidRDefault="003D15A7">
      <w:pPr>
        <w:ind w:firstLine="510"/>
      </w:pPr>
      <w:r>
        <w:t xml:space="preserve">83.  </w:t>
      </w:r>
      <w:r>
        <w:rPr>
          <w:rFonts w:hint="eastAsia"/>
        </w:rPr>
        <w:t>就业事务司通过全国劳工和全国保险协会，采取了一项培训战略，旨在：</w:t>
      </w:r>
    </w:p>
    <w:p w:rsidR="00000000" w:rsidRDefault="003D15A7" w:rsidP="003D15A7">
      <w:pPr>
        <w:pStyle w:val="a0"/>
        <w:numPr>
          <w:ilvl w:val="0"/>
          <w:numId w:val="1"/>
        </w:numPr>
        <w:ind w:left="1531" w:hanging="510"/>
      </w:pPr>
      <w:r>
        <w:rPr>
          <w:rFonts w:hint="eastAsia"/>
        </w:rPr>
        <w:t>实现培训措施的多样化。这些措施将使就业事务司管理层工作人员实现充分的专业化；</w:t>
      </w:r>
    </w:p>
    <w:p w:rsidR="00000000" w:rsidRDefault="003D15A7" w:rsidP="003D15A7">
      <w:pPr>
        <w:pStyle w:val="a0"/>
        <w:numPr>
          <w:ilvl w:val="0"/>
          <w:numId w:val="1"/>
        </w:numPr>
        <w:ind w:left="1531" w:hanging="510"/>
      </w:pPr>
      <w:r>
        <w:rPr>
          <w:rFonts w:hint="eastAsia"/>
        </w:rPr>
        <w:t>确定工作和教学方法，从而有效地应付培训期间出现的各种情况；</w:t>
      </w:r>
    </w:p>
    <w:p w:rsidR="00000000" w:rsidRDefault="003D15A7" w:rsidP="003D15A7">
      <w:pPr>
        <w:pStyle w:val="a0"/>
        <w:numPr>
          <w:ilvl w:val="0"/>
          <w:numId w:val="1"/>
        </w:numPr>
        <w:ind w:left="1531" w:hanging="510"/>
      </w:pPr>
      <w:r>
        <w:rPr>
          <w:rFonts w:hint="eastAsia"/>
        </w:rPr>
        <w:t>在本司内制订出衡量称职胜任的新水准；和</w:t>
      </w:r>
    </w:p>
    <w:p w:rsidR="00000000" w:rsidRDefault="003D15A7" w:rsidP="003D15A7">
      <w:pPr>
        <w:pStyle w:val="a0"/>
        <w:numPr>
          <w:ilvl w:val="0"/>
          <w:numId w:val="1"/>
        </w:numPr>
        <w:ind w:left="1531" w:hanging="510"/>
      </w:pPr>
      <w:r>
        <w:rPr>
          <w:rFonts w:hint="eastAsia"/>
        </w:rPr>
        <w:t>使本司内的人力资源适应于摩洛哥</w:t>
      </w:r>
      <w:r>
        <w:rPr>
          <w:rFonts w:hint="eastAsia"/>
        </w:rPr>
        <w:t>正在出现的全面性社会经济变革。</w:t>
      </w:r>
    </w:p>
    <w:p w:rsidR="00000000" w:rsidRDefault="003D15A7">
      <w:pPr>
        <w:spacing w:after="320"/>
        <w:ind w:firstLine="510"/>
        <w:textAlignment w:val="center"/>
      </w:pPr>
      <w:r>
        <w:t xml:space="preserve">84.  </w:t>
      </w:r>
      <w:r>
        <w:rPr>
          <w:rFonts w:hint="eastAsia"/>
        </w:rPr>
        <w:t>为实施此战略，</w:t>
      </w:r>
      <w:r>
        <w:t>1997</w:t>
      </w:r>
      <w:r>
        <w:rPr>
          <w:rFonts w:hint="eastAsia"/>
        </w:rPr>
        <w:t>年就业事务司内制定并实施了一项对全体工作人员进行在职培训的方案。该方案含有六个主要组成内容：基础培训、发展一般的技能、信息技术的培训、管理培训，和实用培训。</w:t>
      </w:r>
    </w:p>
    <w:p w:rsidR="00000000" w:rsidRDefault="003D15A7">
      <w:pPr>
        <w:pStyle w:val="Heading3"/>
      </w:pPr>
      <w:r>
        <w:rPr>
          <w:u w:val="none"/>
        </w:rPr>
        <w:t xml:space="preserve">C.  </w:t>
      </w:r>
      <w:r>
        <w:rPr>
          <w:rFonts w:hint="eastAsia"/>
        </w:rPr>
        <w:t>法律措施</w:t>
      </w:r>
    </w:p>
    <w:p w:rsidR="00000000" w:rsidRDefault="003D15A7">
      <w:pPr>
        <w:ind w:firstLine="510"/>
      </w:pPr>
      <w:r>
        <w:t xml:space="preserve">85.  </w:t>
      </w:r>
      <w:r>
        <w:rPr>
          <w:rFonts w:hint="eastAsia"/>
        </w:rPr>
        <w:t>在这一领域开展的研究涉及起草和修订若干法律，以体现劳动力市场的发展情况。该工作包括：</w:t>
      </w:r>
    </w:p>
    <w:p w:rsidR="00000000" w:rsidRDefault="003D15A7" w:rsidP="003D15A7">
      <w:pPr>
        <w:pStyle w:val="a0"/>
        <w:numPr>
          <w:ilvl w:val="0"/>
          <w:numId w:val="2"/>
        </w:numPr>
        <w:ind w:left="1531" w:hanging="510"/>
      </w:pPr>
      <w:r>
        <w:rPr>
          <w:rFonts w:hint="eastAsia"/>
        </w:rPr>
        <w:t>拟订一项草案，协助重新安置那些出于经济原因而面临被解雇威胁的雇员的工作；</w:t>
      </w:r>
    </w:p>
    <w:p w:rsidR="00000000" w:rsidRDefault="003D15A7" w:rsidP="003D15A7">
      <w:pPr>
        <w:pStyle w:val="a0"/>
        <w:numPr>
          <w:ilvl w:val="0"/>
          <w:numId w:val="2"/>
        </w:numPr>
        <w:ind w:left="1531" w:hanging="510"/>
      </w:pPr>
      <w:r>
        <w:rPr>
          <w:rFonts w:hint="eastAsia"/>
        </w:rPr>
        <w:t>筹备一项可行性研究，探讨可否采取分摊工时的形式实行就业职位的共享，以增进劳动力市场的灵活性；</w:t>
      </w:r>
    </w:p>
    <w:p w:rsidR="00000000" w:rsidRDefault="003D15A7" w:rsidP="003D15A7">
      <w:pPr>
        <w:pStyle w:val="a0"/>
        <w:numPr>
          <w:ilvl w:val="0"/>
          <w:numId w:val="2"/>
        </w:numPr>
        <w:ind w:left="1531" w:hanging="510"/>
      </w:pPr>
      <w:r>
        <w:rPr>
          <w:rFonts w:hint="eastAsia"/>
        </w:rPr>
        <w:t>最后确定</w:t>
      </w:r>
      <w:r>
        <w:rPr>
          <w:rFonts w:hint="eastAsia"/>
        </w:rPr>
        <w:t>全国就业事务署及其下属区域分支机构的筹资办法，包括该署的地位和该署必须与国家签订的合同；</w:t>
      </w:r>
    </w:p>
    <w:p w:rsidR="00000000" w:rsidRDefault="003D15A7" w:rsidP="003D15A7">
      <w:pPr>
        <w:pStyle w:val="a0"/>
        <w:numPr>
          <w:ilvl w:val="0"/>
          <w:numId w:val="2"/>
        </w:numPr>
        <w:ind w:left="1531" w:hanging="510"/>
      </w:pPr>
      <w:r>
        <w:rPr>
          <w:rFonts w:hint="eastAsia"/>
        </w:rPr>
        <w:t>起草一项修订</w:t>
      </w:r>
      <w:r>
        <w:t>1967</w:t>
      </w:r>
      <w:r>
        <w:rPr>
          <w:rFonts w:hint="eastAsia"/>
        </w:rPr>
        <w:t>年劳工委员会法令的草案案文；</w:t>
      </w:r>
    </w:p>
    <w:p w:rsidR="00000000" w:rsidRDefault="003D15A7" w:rsidP="003D15A7">
      <w:pPr>
        <w:pStyle w:val="a0"/>
        <w:numPr>
          <w:ilvl w:val="0"/>
          <w:numId w:val="2"/>
        </w:numPr>
        <w:ind w:left="1531" w:hanging="510"/>
      </w:pPr>
      <w:r>
        <w:rPr>
          <w:rFonts w:hint="eastAsia"/>
        </w:rPr>
        <w:t>拟订一份有关劳工普查的草案案文；</w:t>
      </w:r>
    </w:p>
    <w:p w:rsidR="00000000" w:rsidRDefault="003D15A7" w:rsidP="003D15A7">
      <w:pPr>
        <w:pStyle w:val="a0"/>
        <w:numPr>
          <w:ilvl w:val="0"/>
          <w:numId w:val="2"/>
        </w:numPr>
        <w:spacing w:after="320"/>
        <w:ind w:left="1531" w:hanging="510"/>
        <w:textAlignment w:val="center"/>
      </w:pPr>
      <w:r>
        <w:rPr>
          <w:rFonts w:hint="eastAsia"/>
        </w:rPr>
        <w:t>起草一项有关私营就业机构经营的草案案文。</w:t>
      </w:r>
    </w:p>
    <w:p w:rsidR="00000000" w:rsidRDefault="003D15A7">
      <w:pPr>
        <w:pStyle w:val="Heading3"/>
      </w:pPr>
      <w:r>
        <w:rPr>
          <w:u w:val="none"/>
        </w:rPr>
        <w:t xml:space="preserve">D.  </w:t>
      </w:r>
      <w:r>
        <w:rPr>
          <w:rFonts w:hint="eastAsia"/>
        </w:rPr>
        <w:t>职业培训方案</w:t>
      </w:r>
    </w:p>
    <w:p w:rsidR="00000000" w:rsidRDefault="003D15A7">
      <w:pPr>
        <w:ind w:firstLine="510"/>
      </w:pPr>
      <w:r>
        <w:t xml:space="preserve">86.  </w:t>
      </w:r>
      <w:r>
        <w:rPr>
          <w:rFonts w:hint="eastAsia"/>
        </w:rPr>
        <w:t>根据《经济、社会、文化权利国际盟约》第</w:t>
      </w:r>
      <w:r>
        <w:t>6</w:t>
      </w:r>
      <w:r>
        <w:rPr>
          <w:rFonts w:hint="eastAsia"/>
        </w:rPr>
        <w:t>条第</w:t>
      </w:r>
      <w:r>
        <w:t>2</w:t>
      </w:r>
      <w:r>
        <w:rPr>
          <w:rFonts w:hint="eastAsia"/>
        </w:rPr>
        <w:t>款的规定，政府继续采取了技术和职业指导以及培训领域方面的一些步骤。这些均构成了工作权利的关键性内容。自</w:t>
      </w:r>
      <w:r>
        <w:t>1984</w:t>
      </w:r>
      <w:r>
        <w:rPr>
          <w:rFonts w:hint="eastAsia"/>
        </w:rPr>
        <w:t>年的改革以来，职业培训体制一直力图顺应各企业的需求，以增进他们的绩效和竞争力，和便于融入工作生活，并确保更佳</w:t>
      </w:r>
      <w:r>
        <w:rPr>
          <w:rFonts w:hint="eastAsia"/>
        </w:rPr>
        <w:t>的社会经济条件。</w:t>
      </w:r>
    </w:p>
    <w:p w:rsidR="00000000" w:rsidRDefault="003D15A7">
      <w:pPr>
        <w:ind w:firstLine="510"/>
      </w:pPr>
      <w:r>
        <w:t xml:space="preserve">87.  </w:t>
      </w:r>
      <w:r>
        <w:rPr>
          <w:rFonts w:hint="eastAsia"/>
        </w:rPr>
        <w:t>政府在这一部门的活动取得了如下一些成果：</w:t>
      </w:r>
    </w:p>
    <w:p w:rsidR="00000000" w:rsidRDefault="003D15A7" w:rsidP="003D15A7">
      <w:pPr>
        <w:pStyle w:val="a0"/>
        <w:numPr>
          <w:ilvl w:val="0"/>
          <w:numId w:val="3"/>
        </w:numPr>
        <w:ind w:left="1531" w:hanging="510"/>
      </w:pPr>
      <w:r>
        <w:rPr>
          <w:rFonts w:hint="eastAsia"/>
        </w:rPr>
        <w:t>职业培训形成了四个层次的结构：为已接受六年基本教育的毕业学生开办的专业化培训并提供</w:t>
      </w:r>
      <w:r>
        <w:t>38</w:t>
      </w:r>
      <w:r>
        <w:rPr>
          <w:rFonts w:hint="eastAsia"/>
        </w:rPr>
        <w:t>个培训选择项目；为接受了九年基本教育的毕业学生开办的资格培训并提供</w:t>
      </w:r>
      <w:r>
        <w:t>97</w:t>
      </w:r>
      <w:r>
        <w:rPr>
          <w:rFonts w:hint="eastAsia"/>
        </w:rPr>
        <w:t>个培训选择项目；为接受了三年中等教育的毕业学生开办的技术人员培训并提供</w:t>
      </w:r>
      <w:r>
        <w:t>121</w:t>
      </w:r>
      <w:r>
        <w:rPr>
          <w:rFonts w:hint="eastAsia"/>
        </w:rPr>
        <w:t>个培训选择项目；和专科技术人员培训可由一些获得了学士学位者参与并提供</w:t>
      </w:r>
      <w:r>
        <w:t>76</w:t>
      </w:r>
      <w:r>
        <w:rPr>
          <w:rFonts w:hint="eastAsia"/>
        </w:rPr>
        <w:t>个培训选择项目。</w:t>
      </w:r>
    </w:p>
    <w:p w:rsidR="00000000" w:rsidRDefault="003D15A7" w:rsidP="003D15A7">
      <w:pPr>
        <w:pStyle w:val="a0"/>
        <w:numPr>
          <w:ilvl w:val="0"/>
          <w:numId w:val="3"/>
        </w:numPr>
        <w:ind w:left="1531" w:hanging="510"/>
      </w:pPr>
      <w:r>
        <w:rPr>
          <w:rFonts w:hint="eastAsia"/>
        </w:rPr>
        <w:t>各类培训选择项目增长之多，可提供涵盖本国各主要社会经济部门和所有各区域的</w:t>
      </w:r>
      <w:r>
        <w:t>332</w:t>
      </w:r>
      <w:r>
        <w:rPr>
          <w:rFonts w:hint="eastAsia"/>
        </w:rPr>
        <w:t>项专题化培训；</w:t>
      </w:r>
    </w:p>
    <w:p w:rsidR="00000000" w:rsidRDefault="003D15A7" w:rsidP="003D15A7">
      <w:pPr>
        <w:pStyle w:val="a0"/>
        <w:numPr>
          <w:ilvl w:val="0"/>
          <w:numId w:val="3"/>
        </w:numPr>
        <w:ind w:left="1531" w:hanging="510"/>
      </w:pPr>
      <w:r>
        <w:t>1996</w:t>
      </w:r>
      <w:r>
        <w:rPr>
          <w:rFonts w:hint="eastAsia"/>
        </w:rPr>
        <w:t>年为纺织制造部门开</w:t>
      </w:r>
      <w:r>
        <w:rPr>
          <w:rFonts w:hint="eastAsia"/>
        </w:rPr>
        <w:t>办了工程培训选择项目，并有可能转到专业化的技术级别；</w:t>
      </w:r>
    </w:p>
    <w:p w:rsidR="00000000" w:rsidRDefault="003D15A7" w:rsidP="003D15A7">
      <w:pPr>
        <w:pStyle w:val="a0"/>
        <w:numPr>
          <w:ilvl w:val="0"/>
          <w:numId w:val="3"/>
        </w:numPr>
        <w:ind w:left="1531" w:hanging="510"/>
      </w:pPr>
      <w:r>
        <w:rPr>
          <w:rFonts w:hint="eastAsia"/>
        </w:rPr>
        <w:t>受训者人数出现了增长：从</w:t>
      </w:r>
      <w:r>
        <w:t>1984</w:t>
      </w:r>
      <w:r>
        <w:rPr>
          <w:rFonts w:hint="eastAsia"/>
        </w:rPr>
        <w:t>年的</w:t>
      </w:r>
      <w:r>
        <w:t>50,000</w:t>
      </w:r>
      <w:r>
        <w:rPr>
          <w:rFonts w:hint="eastAsia"/>
        </w:rPr>
        <w:t>人，增至</w:t>
      </w:r>
      <w:r>
        <w:t>1991</w:t>
      </w:r>
      <w:r>
        <w:rPr>
          <w:rFonts w:hint="eastAsia"/>
        </w:rPr>
        <w:t>年的</w:t>
      </w:r>
      <w:r>
        <w:t>103,000</w:t>
      </w:r>
      <w:r>
        <w:rPr>
          <w:rFonts w:hint="eastAsia"/>
        </w:rPr>
        <w:t>人，其中</w:t>
      </w:r>
      <w:r>
        <w:t>40%</w:t>
      </w:r>
      <w:r>
        <w:rPr>
          <w:rFonts w:hint="eastAsia"/>
        </w:rPr>
        <w:t>为女孩，继而从</w:t>
      </w:r>
      <w:r>
        <w:t>1991-1992</w:t>
      </w:r>
      <w:r>
        <w:rPr>
          <w:rFonts w:hint="eastAsia"/>
        </w:rPr>
        <w:t>年度的</w:t>
      </w:r>
      <w:r>
        <w:t>103,000</w:t>
      </w:r>
      <w:r>
        <w:rPr>
          <w:rFonts w:hint="eastAsia"/>
        </w:rPr>
        <w:t>人，上升至</w:t>
      </w:r>
      <w:r>
        <w:t>1997-1998</w:t>
      </w:r>
      <w:r>
        <w:rPr>
          <w:rFonts w:hint="eastAsia"/>
        </w:rPr>
        <w:t>年度的</w:t>
      </w:r>
      <w:r>
        <w:t>131,600</w:t>
      </w:r>
      <w:r>
        <w:rPr>
          <w:rFonts w:hint="eastAsia"/>
        </w:rPr>
        <w:t>人，其中</w:t>
      </w:r>
      <w:r>
        <w:t>45%</w:t>
      </w:r>
      <w:r>
        <w:rPr>
          <w:rFonts w:hint="eastAsia"/>
        </w:rPr>
        <w:t>为女孩；</w:t>
      </w:r>
    </w:p>
    <w:p w:rsidR="00000000" w:rsidRDefault="003D15A7" w:rsidP="003D15A7">
      <w:pPr>
        <w:pStyle w:val="a0"/>
        <w:numPr>
          <w:ilvl w:val="0"/>
          <w:numId w:val="3"/>
        </w:numPr>
        <w:ind w:left="1531" w:hanging="510"/>
      </w:pPr>
      <w:r>
        <w:rPr>
          <w:rFonts w:hint="eastAsia"/>
        </w:rPr>
        <w:t>私营部门的职业培训出现了持续增长，受训人员达到了</w:t>
      </w:r>
      <w:r>
        <w:t>54,000</w:t>
      </w:r>
      <w:r>
        <w:rPr>
          <w:rFonts w:hint="eastAsia"/>
        </w:rPr>
        <w:t>人，占受训总人数的</w:t>
      </w:r>
      <w:r>
        <w:t>41%</w:t>
      </w:r>
      <w:r>
        <w:rPr>
          <w:rFonts w:hint="eastAsia"/>
        </w:rPr>
        <w:t>；</w:t>
      </w:r>
    </w:p>
    <w:p w:rsidR="00000000" w:rsidRDefault="003D15A7" w:rsidP="003D15A7">
      <w:pPr>
        <w:pStyle w:val="a0"/>
        <w:numPr>
          <w:ilvl w:val="0"/>
          <w:numId w:val="3"/>
        </w:numPr>
        <w:ind w:left="1531" w:hanging="510"/>
      </w:pPr>
      <w:r>
        <w:t>1993-1994</w:t>
      </w:r>
      <w:r>
        <w:rPr>
          <w:rFonts w:hint="eastAsia"/>
        </w:rPr>
        <w:t>年度开始专业技术人员一级的培训，目前有</w:t>
      </w:r>
      <w:r>
        <w:t>7,000</w:t>
      </w:r>
      <w:r>
        <w:rPr>
          <w:rFonts w:hint="eastAsia"/>
        </w:rPr>
        <w:t>名持学士学位的受训者，正在接受</w:t>
      </w:r>
      <w:r>
        <w:t>76</w:t>
      </w:r>
      <w:r>
        <w:rPr>
          <w:rFonts w:hint="eastAsia"/>
        </w:rPr>
        <w:t>项择选性项目的培训；</w:t>
      </w:r>
    </w:p>
    <w:p w:rsidR="00000000" w:rsidRDefault="003D15A7" w:rsidP="003D15A7">
      <w:pPr>
        <w:pStyle w:val="a0"/>
        <w:numPr>
          <w:ilvl w:val="0"/>
          <w:numId w:val="3"/>
        </w:numPr>
        <w:ind w:left="1531" w:hanging="510"/>
      </w:pPr>
      <w:r>
        <w:t>1996-1997</w:t>
      </w:r>
      <w:r>
        <w:rPr>
          <w:rFonts w:hint="eastAsia"/>
        </w:rPr>
        <w:t>年度开始了</w:t>
      </w:r>
      <w:r>
        <w:rPr>
          <w:rFonts w:hint="eastAsia"/>
        </w:rPr>
        <w:t>一项根据能力、培训条件和劳动力市场需求选择申请者并向他们推荐项目的制度；</w:t>
      </w:r>
    </w:p>
    <w:p w:rsidR="00000000" w:rsidRDefault="003D15A7" w:rsidP="003D15A7">
      <w:pPr>
        <w:pStyle w:val="a0"/>
        <w:numPr>
          <w:ilvl w:val="0"/>
          <w:numId w:val="3"/>
        </w:numPr>
        <w:ind w:left="1531" w:hanging="510"/>
      </w:pPr>
      <w:r>
        <w:rPr>
          <w:rFonts w:hint="eastAsia"/>
        </w:rPr>
        <w:t>各企业在更大程度上参与了培训，特别是自</w:t>
      </w:r>
      <w:r>
        <w:t>1987</w:t>
      </w:r>
      <w:r>
        <w:rPr>
          <w:rFonts w:hint="eastAsia"/>
        </w:rPr>
        <w:t>年以来，培训首先是根据与各类职业部门签订的合同举办的，而且自那时起还开设了分层培训班。分层培训班是在</w:t>
      </w:r>
      <w:r>
        <w:t>1996</w:t>
      </w:r>
      <w:r>
        <w:rPr>
          <w:rFonts w:hint="eastAsia"/>
        </w:rPr>
        <w:t>年议会一致通过的第</w:t>
      </w:r>
      <w:r>
        <w:t>36/96</w:t>
      </w:r>
      <w:r>
        <w:rPr>
          <w:rFonts w:hint="eastAsia"/>
        </w:rPr>
        <w:t>号法律的范围内创办的；</w:t>
      </w:r>
      <w:r>
        <w:t>1998</w:t>
      </w:r>
      <w:r>
        <w:rPr>
          <w:rFonts w:hint="eastAsia"/>
        </w:rPr>
        <w:t>年</w:t>
      </w:r>
      <w:r>
        <w:t>2</w:t>
      </w:r>
      <w:r>
        <w:rPr>
          <w:rFonts w:hint="eastAsia"/>
        </w:rPr>
        <w:t>月</w:t>
      </w:r>
      <w:r>
        <w:t>19</w:t>
      </w:r>
      <w:r>
        <w:rPr>
          <w:rFonts w:hint="eastAsia"/>
        </w:rPr>
        <w:t>日的官方公报将公布此项执行令；</w:t>
      </w:r>
    </w:p>
    <w:p w:rsidR="00000000" w:rsidRDefault="003D15A7" w:rsidP="003D15A7">
      <w:pPr>
        <w:pStyle w:val="a0"/>
        <w:numPr>
          <w:ilvl w:val="0"/>
          <w:numId w:val="3"/>
        </w:numPr>
        <w:ind w:left="1531" w:hanging="510"/>
      </w:pPr>
      <w:r>
        <w:t>1996-1997</w:t>
      </w:r>
      <w:r>
        <w:rPr>
          <w:rFonts w:hint="eastAsia"/>
        </w:rPr>
        <w:t>年度采取了判明各企业所需技能的机制，并对在职培训的财政和业务等方面实行了结构调整，形成一个由三个分权部分组成的体制；</w:t>
      </w:r>
    </w:p>
    <w:p w:rsidR="00000000" w:rsidRDefault="003D15A7" w:rsidP="003D15A7">
      <w:pPr>
        <w:pStyle w:val="a0"/>
        <w:numPr>
          <w:ilvl w:val="0"/>
          <w:numId w:val="3"/>
        </w:numPr>
        <w:ind w:left="1531" w:hanging="510"/>
      </w:pPr>
      <w:r>
        <w:rPr>
          <w:rFonts w:hint="eastAsia"/>
        </w:rPr>
        <w:t>放开培训的行政管理权，迈出了培训机构走向自主的第</w:t>
      </w:r>
      <w:r>
        <w:rPr>
          <w:rFonts w:hint="eastAsia"/>
        </w:rPr>
        <w:t>一步；</w:t>
      </w:r>
    </w:p>
    <w:p w:rsidR="00000000" w:rsidRDefault="003D15A7" w:rsidP="003D15A7">
      <w:pPr>
        <w:pStyle w:val="a0"/>
        <w:numPr>
          <w:ilvl w:val="0"/>
          <w:numId w:val="3"/>
        </w:numPr>
        <w:ind w:left="1531" w:hanging="510"/>
      </w:pPr>
      <w:r>
        <w:rPr>
          <w:rFonts w:hint="eastAsia"/>
        </w:rPr>
        <w:t>每年进入劳动力市场的青年有</w:t>
      </w:r>
      <w:r>
        <w:t>20%</w:t>
      </w:r>
      <w:r>
        <w:rPr>
          <w:rFonts w:hint="eastAsia"/>
        </w:rPr>
        <w:t>取得资格</w:t>
      </w:r>
      <w:r>
        <w:t>(</w:t>
      </w:r>
      <w:r>
        <w:rPr>
          <w:rFonts w:hint="eastAsia"/>
        </w:rPr>
        <w:t>持证书者每年</w:t>
      </w:r>
      <w:r>
        <w:t>60,000</w:t>
      </w:r>
      <w:r>
        <w:rPr>
          <w:rFonts w:hint="eastAsia"/>
        </w:rPr>
        <w:t>名</w:t>
      </w:r>
      <w:r>
        <w:t>)</w:t>
      </w:r>
      <w:r>
        <w:rPr>
          <w:rFonts w:hint="eastAsia"/>
        </w:rPr>
        <w:t>；</w:t>
      </w:r>
    </w:p>
    <w:p w:rsidR="00000000" w:rsidRDefault="003D15A7" w:rsidP="003D15A7">
      <w:pPr>
        <w:pStyle w:val="a0"/>
        <w:numPr>
          <w:ilvl w:val="0"/>
          <w:numId w:val="3"/>
        </w:numPr>
        <w:ind w:left="1531" w:hanging="510"/>
      </w:pPr>
      <w:r>
        <w:t>1995</w:t>
      </w:r>
      <w:r>
        <w:rPr>
          <w:rFonts w:hint="eastAsia"/>
        </w:rPr>
        <w:t>年确立了对开办培训业务的私人经营者进行审批的制度；</w:t>
      </w:r>
    </w:p>
    <w:p w:rsidR="00000000" w:rsidRDefault="003D15A7" w:rsidP="003D15A7">
      <w:pPr>
        <w:pStyle w:val="a0"/>
        <w:numPr>
          <w:ilvl w:val="0"/>
          <w:numId w:val="3"/>
        </w:numPr>
        <w:ind w:left="1531" w:hanging="510"/>
      </w:pPr>
      <w:r>
        <w:rPr>
          <w:rFonts w:hint="eastAsia"/>
        </w:rPr>
        <w:t>九个月后，该体制的返回率为</w:t>
      </w:r>
      <w:r>
        <w:t>78%</w:t>
      </w:r>
      <w:r>
        <w:rPr>
          <w:rFonts w:hint="eastAsia"/>
        </w:rPr>
        <w:t>，外部返回率</w:t>
      </w:r>
      <w:r>
        <w:t>(</w:t>
      </w:r>
      <w:r>
        <w:rPr>
          <w:rFonts w:hint="eastAsia"/>
        </w:rPr>
        <w:t>融合率</w:t>
      </w:r>
      <w:r>
        <w:t>)</w:t>
      </w:r>
      <w:r>
        <w:rPr>
          <w:rFonts w:hint="eastAsia"/>
        </w:rPr>
        <w:t>为</w:t>
      </w:r>
      <w:r>
        <w:t>62%</w:t>
      </w:r>
      <w:r>
        <w:rPr>
          <w:rFonts w:hint="eastAsia"/>
        </w:rPr>
        <w:t>，</w:t>
      </w:r>
      <w:r>
        <w:t>3</w:t>
      </w:r>
      <w:r>
        <w:rPr>
          <w:rFonts w:hint="eastAsia"/>
        </w:rPr>
        <w:t>年后的返回率是</w:t>
      </w:r>
      <w:r>
        <w:t>80%</w:t>
      </w:r>
      <w:r>
        <w:rPr>
          <w:rFonts w:hint="eastAsia"/>
        </w:rPr>
        <w:t>；</w:t>
      </w:r>
    </w:p>
    <w:p w:rsidR="00000000" w:rsidRDefault="003D15A7" w:rsidP="003D15A7">
      <w:pPr>
        <w:pStyle w:val="a0"/>
        <w:numPr>
          <w:ilvl w:val="0"/>
          <w:numId w:val="3"/>
        </w:numPr>
        <w:ind w:left="1531" w:hanging="510"/>
      </w:pPr>
      <w:r>
        <w:rPr>
          <w:rFonts w:hint="eastAsia"/>
        </w:rPr>
        <w:t>青年中的职业培训意识显著增长。越来越多的持学士学位者选择接受专业培训的道路，而不去上大学</w:t>
      </w:r>
      <w:r>
        <w:t>(</w:t>
      </w:r>
      <w:r>
        <w:rPr>
          <w:rFonts w:hint="eastAsia"/>
        </w:rPr>
        <w:t>自</w:t>
      </w:r>
      <w:r>
        <w:t>1993-1994</w:t>
      </w:r>
      <w:r>
        <w:rPr>
          <w:rFonts w:hint="eastAsia"/>
        </w:rPr>
        <w:t>年以来，已进入专业技术员培训班的学员中有</w:t>
      </w:r>
      <w:r>
        <w:t>7,000</w:t>
      </w:r>
      <w:r>
        <w:rPr>
          <w:rFonts w:hint="eastAsia"/>
        </w:rPr>
        <w:t>名学士学位持有者。这是一个不提供奖学金的培训制度，而且其中</w:t>
      </w:r>
      <w:r>
        <w:t>42%</w:t>
      </w:r>
      <w:r>
        <w:rPr>
          <w:rFonts w:hint="eastAsia"/>
        </w:rPr>
        <w:t>的技术性一级学员名额被一些持学士学位者所占有，尽管进入这</w:t>
      </w:r>
      <w:r>
        <w:rPr>
          <w:rFonts w:hint="eastAsia"/>
        </w:rPr>
        <w:t>一级别并不需要学士学位</w:t>
      </w:r>
      <w:r>
        <w:t>)</w:t>
      </w:r>
      <w:r>
        <w:rPr>
          <w:rFonts w:hint="eastAsia"/>
        </w:rPr>
        <w:t>；</w:t>
      </w:r>
    </w:p>
    <w:p w:rsidR="00000000" w:rsidRDefault="003D15A7" w:rsidP="003D15A7">
      <w:pPr>
        <w:pStyle w:val="a0"/>
        <w:numPr>
          <w:ilvl w:val="0"/>
          <w:numId w:val="3"/>
        </w:numPr>
        <w:ind w:left="1531" w:hanging="510"/>
      </w:pPr>
      <w:r>
        <w:rPr>
          <w:rFonts w:hint="eastAsia"/>
        </w:rPr>
        <w:t>旨在每年使</w:t>
      </w:r>
      <w:r>
        <w:t>20,000</w:t>
      </w:r>
      <w:r>
        <w:rPr>
          <w:rFonts w:hint="eastAsia"/>
        </w:rPr>
        <w:t>青年人进入工作生活的宏大培训和融合方案发起以来，其人数已于中期增长到了每年</w:t>
      </w:r>
      <w:r>
        <w:t>40,000</w:t>
      </w:r>
      <w:r>
        <w:rPr>
          <w:rFonts w:hint="eastAsia"/>
        </w:rPr>
        <w:t>人。本方案的目标是通过安排长达</w:t>
      </w:r>
      <w:r>
        <w:t>18</w:t>
      </w:r>
      <w:r>
        <w:rPr>
          <w:rFonts w:hint="eastAsia"/>
        </w:rPr>
        <w:t>个月的培训，为青年人提供获得初步工作经验的机会，并为合格青年开办深造培训，根据企业要求塑造这些青年的工作经验，以解决各企业对熟练劳工的需求。</w:t>
      </w:r>
    </w:p>
    <w:p w:rsidR="00000000" w:rsidRDefault="003D15A7">
      <w:pPr>
        <w:pStyle w:val="Heading3"/>
      </w:pPr>
      <w:r>
        <w:rPr>
          <w:u w:val="none"/>
        </w:rPr>
        <w:t xml:space="preserve">E.  </w:t>
      </w:r>
      <w:r>
        <w:rPr>
          <w:rFonts w:hint="eastAsia"/>
        </w:rPr>
        <w:t>改革职业培训</w:t>
      </w:r>
    </w:p>
    <w:p w:rsidR="00000000" w:rsidRDefault="003D15A7">
      <w:pPr>
        <w:spacing w:after="320"/>
        <w:ind w:firstLine="510"/>
        <w:textAlignment w:val="center"/>
      </w:pPr>
      <w:r>
        <w:t xml:space="preserve">88.  </w:t>
      </w:r>
      <w:r>
        <w:rPr>
          <w:rFonts w:hint="eastAsia"/>
        </w:rPr>
        <w:t>改革职业培训的项目旨在向企业提供所需的熟练工人，增强企业的竞争力。该项目有四个业务目标：</w:t>
      </w:r>
    </w:p>
    <w:p w:rsidR="00000000" w:rsidRDefault="003D15A7">
      <w:pPr>
        <w:pStyle w:val="Heading3"/>
      </w:pPr>
      <w:r>
        <w:rPr>
          <w:u w:val="none"/>
        </w:rPr>
        <w:t xml:space="preserve">1.  </w:t>
      </w:r>
      <w:r>
        <w:rPr>
          <w:rFonts w:hint="eastAsia"/>
        </w:rPr>
        <w:t>企业工作人员的重新配备和开发</w:t>
      </w:r>
    </w:p>
    <w:p w:rsidR="00000000" w:rsidRDefault="003D15A7">
      <w:pPr>
        <w:ind w:firstLine="510"/>
      </w:pPr>
      <w:r>
        <w:t xml:space="preserve">89.  </w:t>
      </w:r>
      <w:r>
        <w:rPr>
          <w:rFonts w:hint="eastAsia"/>
        </w:rPr>
        <w:t>重新配备和开发工作人员的结果取</w:t>
      </w:r>
      <w:r>
        <w:rPr>
          <w:rFonts w:hint="eastAsia"/>
        </w:rPr>
        <w:t>决于下述五项活动。</w:t>
      </w:r>
    </w:p>
    <w:p w:rsidR="00000000" w:rsidRDefault="003D15A7">
      <w:pPr>
        <w:ind w:firstLine="510"/>
      </w:pPr>
      <w:r>
        <w:t xml:space="preserve">90.  </w:t>
      </w:r>
      <w:r>
        <w:rPr>
          <w:rFonts w:hint="eastAsia"/>
        </w:rPr>
        <w:t>通过</w:t>
      </w:r>
      <w:r>
        <w:t>1996-1997</w:t>
      </w:r>
      <w:r>
        <w:rPr>
          <w:rFonts w:hint="eastAsia"/>
        </w:rPr>
        <w:t>年建立的机制并与有关社会力量共同管理在职培训的发展。目标是判明和满足各企业对熟练劳工的需求、建立竞争性的培训市场，并设立调研人力资源领域的全国性设施。经与社会合作伙伴磋商之后，编纂出了拟于</w:t>
      </w:r>
      <w:r>
        <w:t>1998-1999</w:t>
      </w:r>
      <w:r>
        <w:rPr>
          <w:rFonts w:hint="eastAsia"/>
        </w:rPr>
        <w:t>年度确立的一项法律草案，将具体确定在职培训的申请范围、澄清各不同合作伙伴在培训管理方面的作用、判明拟拨出的资源和界定的筹资机制。改革每年为全国社会保险基金登记的</w:t>
      </w:r>
      <w:r>
        <w:t>20%</w:t>
      </w:r>
      <w:r>
        <w:rPr>
          <w:rFonts w:hint="eastAsia"/>
        </w:rPr>
        <w:t>雇员开展在职培训，至</w:t>
      </w:r>
      <w:r>
        <w:t>2000</w:t>
      </w:r>
      <w:r>
        <w:rPr>
          <w:rFonts w:hint="eastAsia"/>
        </w:rPr>
        <w:t>年，使企业的人力资源每五年都得到充实增强。还将建立法律机制，</w:t>
      </w:r>
      <w:r>
        <w:rPr>
          <w:rFonts w:hint="eastAsia"/>
        </w:rPr>
        <w:t>确保各企业提供适当的在职培训。</w:t>
      </w:r>
    </w:p>
    <w:p w:rsidR="00000000" w:rsidRDefault="003D15A7">
      <w:pPr>
        <w:ind w:firstLine="510"/>
      </w:pPr>
      <w:r>
        <w:t xml:space="preserve">91.  </w:t>
      </w:r>
      <w:r>
        <w:rPr>
          <w:rFonts w:hint="eastAsia"/>
        </w:rPr>
        <w:t>在</w:t>
      </w:r>
      <w:r>
        <w:t>36/96</w:t>
      </w:r>
      <w:r>
        <w:rPr>
          <w:rFonts w:hint="eastAsia"/>
        </w:rPr>
        <w:t>号法律框架内发展分层培训，虽有待执行命令通过后才予以实施，但将使分层培训与企业的需求挂钩，并改善合格青年人的融入。同时，这也将需要对培训制度进行彻底的改革。通过一项伙伴关系，包括与各主要经济部门的企业和专业组织结成伙伴关系，在全国范围推行分层培训，将使之有可能按分层培训重新调整方案，并向各企业和培训机构的教员传授其办法。</w:t>
      </w:r>
      <w:r>
        <w:t>2000</w:t>
      </w:r>
      <w:r>
        <w:rPr>
          <w:rFonts w:hint="eastAsia"/>
        </w:rPr>
        <w:t>年拟计划对</w:t>
      </w:r>
      <w:r>
        <w:t>15%</w:t>
      </w:r>
      <w:r>
        <w:rPr>
          <w:rFonts w:hint="eastAsia"/>
        </w:rPr>
        <w:t>的公共部门受训人员开展此类培训。</w:t>
      </w:r>
    </w:p>
    <w:p w:rsidR="00000000" w:rsidRDefault="003D15A7">
      <w:pPr>
        <w:ind w:firstLine="510"/>
      </w:pPr>
      <w:r>
        <w:t xml:space="preserve">92.  </w:t>
      </w:r>
      <w:r>
        <w:rPr>
          <w:rFonts w:hint="eastAsia"/>
        </w:rPr>
        <w:t>通过对教员技能的评价制度、在工作地点长期开展个人化的培训计划、精简培</w:t>
      </w:r>
      <w:r>
        <w:rPr>
          <w:rFonts w:hint="eastAsia"/>
        </w:rPr>
        <w:t>训班的行政管理和提高培训教员的地位，改进他们的职业生活，更新和充实培训机构的人力和物力资源。</w:t>
      </w:r>
    </w:p>
    <w:p w:rsidR="00000000" w:rsidRDefault="003D15A7">
      <w:pPr>
        <w:ind w:firstLine="510"/>
      </w:pPr>
      <w:r>
        <w:t xml:space="preserve">93.  </w:t>
      </w:r>
      <w:r>
        <w:rPr>
          <w:rFonts w:hint="eastAsia"/>
        </w:rPr>
        <w:t>采取基于资格的作法，重新调整方案和培训期，而专业小组将扩大对培训体制进行最后评估。</w:t>
      </w:r>
    </w:p>
    <w:p w:rsidR="00000000" w:rsidRDefault="003D15A7">
      <w:pPr>
        <w:spacing w:after="320"/>
        <w:ind w:firstLine="510"/>
        <w:textAlignment w:val="center"/>
      </w:pPr>
      <w:r>
        <w:t xml:space="preserve">94.  </w:t>
      </w:r>
      <w:r>
        <w:rPr>
          <w:rFonts w:hint="eastAsia"/>
        </w:rPr>
        <w:t>对培训</w:t>
      </w:r>
      <w:r>
        <w:rPr>
          <w:rFonts w:hint="eastAsia"/>
          <w:spacing w:val="-40"/>
        </w:rPr>
        <w:t>——</w:t>
      </w:r>
      <w:r>
        <w:t xml:space="preserve"> </w:t>
      </w:r>
      <w:r>
        <w:rPr>
          <w:rFonts w:hint="eastAsia"/>
        </w:rPr>
        <w:t>融合方案以及各项职业内的速训班将进一步地予以发展、招收受训者的比率每年将平均递增</w:t>
      </w:r>
      <w:r>
        <w:t>5%</w:t>
      </w:r>
      <w:r>
        <w:rPr>
          <w:rFonts w:hint="eastAsia"/>
        </w:rPr>
        <w:t>，特别是增加对专业技术人员和资格工人一级的培训，并将提供一笔捐助金，用于建立和推行为提前辍学学生开设的学徒培训体制。</w:t>
      </w:r>
    </w:p>
    <w:p w:rsidR="00000000" w:rsidRDefault="003D15A7">
      <w:pPr>
        <w:pStyle w:val="Heading3"/>
      </w:pPr>
      <w:r>
        <w:rPr>
          <w:u w:val="none"/>
        </w:rPr>
        <w:t xml:space="preserve">2.  </w:t>
      </w:r>
      <w:r>
        <w:rPr>
          <w:rFonts w:hint="eastAsia"/>
        </w:rPr>
        <w:t>发展乡村培训</w:t>
      </w:r>
    </w:p>
    <w:p w:rsidR="00000000" w:rsidRDefault="003D15A7">
      <w:pPr>
        <w:spacing w:after="320"/>
        <w:ind w:firstLine="510"/>
        <w:textAlignment w:val="center"/>
      </w:pPr>
      <w:r>
        <w:t xml:space="preserve">95.  </w:t>
      </w:r>
      <w:r>
        <w:rPr>
          <w:rFonts w:hint="eastAsia"/>
        </w:rPr>
        <w:t>已在如下方面加紧了乡村地区职业培训：</w:t>
      </w:r>
      <w:r>
        <w:t xml:space="preserve">(a) </w:t>
      </w:r>
      <w:r>
        <w:rPr>
          <w:rFonts w:hint="eastAsia"/>
        </w:rPr>
        <w:t>根据具体的情况确定调整方</w:t>
      </w:r>
      <w:r>
        <w:rPr>
          <w:rFonts w:hint="eastAsia"/>
        </w:rPr>
        <w:t>案、培训期长短和培训方法，特别是放开对专业化一级培训的管制；</w:t>
      </w:r>
      <w:r>
        <w:t xml:space="preserve">(b) </w:t>
      </w:r>
      <w:r>
        <w:rPr>
          <w:rFonts w:hint="eastAsia"/>
        </w:rPr>
        <w:t>增强为自耕农子女开办的培训班和特殊培训方案；</w:t>
      </w:r>
      <w:r>
        <w:t xml:space="preserve">(c) </w:t>
      </w:r>
      <w:r>
        <w:rPr>
          <w:rFonts w:hint="eastAsia"/>
        </w:rPr>
        <w:t>设置新的培训班，以涵盖各类农业生产系统和主要的乡村职业，并便利于向农业部门引进新的技术；和</w:t>
      </w:r>
      <w:r>
        <w:t xml:space="preserve">(d) </w:t>
      </w:r>
      <w:r>
        <w:rPr>
          <w:rFonts w:hint="eastAsia"/>
        </w:rPr>
        <w:t>吸收专业商会和组织参与培训进程。</w:t>
      </w:r>
    </w:p>
    <w:p w:rsidR="00000000" w:rsidRDefault="003D15A7">
      <w:pPr>
        <w:pStyle w:val="Heading3"/>
      </w:pPr>
      <w:r>
        <w:rPr>
          <w:u w:val="none"/>
        </w:rPr>
        <w:t xml:space="preserve">3.  </w:t>
      </w:r>
      <w:r>
        <w:rPr>
          <w:rFonts w:hint="eastAsia"/>
        </w:rPr>
        <w:t>鼓励私营部门</w:t>
      </w:r>
    </w:p>
    <w:p w:rsidR="00000000" w:rsidRDefault="003D15A7">
      <w:pPr>
        <w:spacing w:after="320"/>
        <w:ind w:firstLine="510"/>
        <w:textAlignment w:val="center"/>
      </w:pPr>
      <w:r>
        <w:t xml:space="preserve">96.  </w:t>
      </w:r>
      <w:r>
        <w:rPr>
          <w:rFonts w:hint="eastAsia"/>
        </w:rPr>
        <w:t>为鼓励私营部门的职业培训，采取了如下办法：</w:t>
      </w:r>
      <w:r>
        <w:t xml:space="preserve">(a) </w:t>
      </w:r>
      <w:r>
        <w:rPr>
          <w:rFonts w:hint="eastAsia"/>
        </w:rPr>
        <w:t>国家支持提高培训教员的水平；</w:t>
      </w:r>
      <w:r>
        <w:t xml:space="preserve">(b) </w:t>
      </w:r>
      <w:r>
        <w:rPr>
          <w:rFonts w:hint="eastAsia"/>
        </w:rPr>
        <w:t>赋予培训资格地位和建立授于私营培训组织证书的制度；</w:t>
      </w:r>
      <w:r>
        <w:t xml:space="preserve">(c) </w:t>
      </w:r>
      <w:r>
        <w:rPr>
          <w:rFonts w:hint="eastAsia"/>
        </w:rPr>
        <w:t>建立一项颁发许可证和行政管理的新制度，组办培训的条件是必需开展市场调研并制订培训计划</w:t>
      </w:r>
      <w:r>
        <w:rPr>
          <w:rFonts w:hint="eastAsia"/>
        </w:rPr>
        <w:t>；</w:t>
      </w:r>
      <w:r>
        <w:t xml:space="preserve">(d) </w:t>
      </w:r>
      <w:r>
        <w:rPr>
          <w:rFonts w:hint="eastAsia"/>
        </w:rPr>
        <w:t>创建确保有效需求的机制；和</w:t>
      </w:r>
      <w:r>
        <w:t xml:space="preserve">(e) </w:t>
      </w:r>
      <w:r>
        <w:rPr>
          <w:rFonts w:hint="eastAsia"/>
        </w:rPr>
        <w:t>调整有关的立法。</w:t>
      </w:r>
    </w:p>
    <w:p w:rsidR="00000000" w:rsidRDefault="003D15A7">
      <w:pPr>
        <w:pStyle w:val="Heading3"/>
      </w:pPr>
      <w:r>
        <w:rPr>
          <w:u w:val="none"/>
        </w:rPr>
        <w:t xml:space="preserve">4.  </w:t>
      </w:r>
      <w:r>
        <w:rPr>
          <w:rFonts w:hint="eastAsia"/>
        </w:rPr>
        <w:t>增强领导层和培训资金的筹措</w:t>
      </w:r>
    </w:p>
    <w:p w:rsidR="00000000" w:rsidRDefault="003D15A7">
      <w:pPr>
        <w:ind w:firstLine="510"/>
      </w:pPr>
      <w:r>
        <w:t xml:space="preserve">97.  </w:t>
      </w:r>
      <w:r>
        <w:rPr>
          <w:rFonts w:hint="eastAsia"/>
        </w:rPr>
        <w:t>职业培训的第四个目标是，加强领导和筹资。为此已开展了下列六项活动：</w:t>
      </w:r>
    </w:p>
    <w:p w:rsidR="00000000" w:rsidRDefault="003D15A7" w:rsidP="003D15A7">
      <w:pPr>
        <w:pStyle w:val="a0"/>
        <w:numPr>
          <w:ilvl w:val="0"/>
          <w:numId w:val="4"/>
        </w:numPr>
        <w:ind w:left="1531" w:hanging="510"/>
      </w:pPr>
      <w:r>
        <w:rPr>
          <w:rFonts w:hint="eastAsia"/>
        </w:rPr>
        <w:t>增强现行制订计划和评估职业培训的办法，办法是建立区域观察处，通过对新合格进入者的就业安置和进展的普查，并调研预测对各类职业资格的需求，协助增进对就业与培训之间关系的理解。在卡萨布兰卡正在设立一个区域就业和培训观察处，准备于中期期间将此网络扩展至拉巴特、梅克内斯、非斯、乌季达、阿加迪尔、马拉喀什和丹吉尔；</w:t>
      </w:r>
    </w:p>
    <w:p w:rsidR="00000000" w:rsidRDefault="003D15A7" w:rsidP="003D15A7">
      <w:pPr>
        <w:pStyle w:val="a0"/>
        <w:numPr>
          <w:ilvl w:val="0"/>
          <w:numId w:val="4"/>
        </w:numPr>
        <w:ind w:left="1531" w:hanging="510"/>
      </w:pPr>
      <w:r>
        <w:rPr>
          <w:rFonts w:hint="eastAsia"/>
        </w:rPr>
        <w:t>发展构成就业和培训市场的工具，</w:t>
      </w:r>
      <w:r>
        <w:rPr>
          <w:rFonts w:hint="eastAsia"/>
        </w:rPr>
        <w:t>包括各类经营人提供的所有各类就业、技能和培训的选择的参考数据，以及逐步普遍推行一项任命部门性委员会的政策，从</w:t>
      </w:r>
      <w:r>
        <w:t>1996</w:t>
      </w:r>
      <w:r>
        <w:rPr>
          <w:rFonts w:hint="eastAsia"/>
        </w:rPr>
        <w:t>年起使各方案均付诸实施；</w:t>
      </w:r>
    </w:p>
    <w:p w:rsidR="00000000" w:rsidRDefault="003D15A7" w:rsidP="003D15A7">
      <w:pPr>
        <w:pStyle w:val="a0"/>
        <w:numPr>
          <w:ilvl w:val="0"/>
          <w:numId w:val="4"/>
        </w:numPr>
        <w:ind w:left="1531" w:hanging="510"/>
      </w:pPr>
      <w:r>
        <w:rPr>
          <w:rFonts w:hint="eastAsia"/>
        </w:rPr>
        <w:t>巩固和扩大职业指导，并将新信息和通信技术纳入该系统；</w:t>
      </w:r>
    </w:p>
    <w:p w:rsidR="00000000" w:rsidRDefault="003D15A7" w:rsidP="003D15A7">
      <w:pPr>
        <w:pStyle w:val="a0"/>
        <w:numPr>
          <w:ilvl w:val="0"/>
          <w:numId w:val="4"/>
        </w:numPr>
        <w:ind w:left="1531" w:hanging="510"/>
      </w:pPr>
      <w:r>
        <w:rPr>
          <w:rFonts w:hint="eastAsia"/>
        </w:rPr>
        <w:t>增强和扩大各部门自</w:t>
      </w:r>
      <w:r>
        <w:t>1987</w:t>
      </w:r>
      <w:r>
        <w:rPr>
          <w:rFonts w:hint="eastAsia"/>
        </w:rPr>
        <w:t>年以来奉行的与各专业组织签订培训合同的政策、推行培训机构的自主、使专业机构和职业商会参与对培训机构的行政管理，并根据明确和可测量的目标，并在实行按实绩拨给资金的制度框架内，逐步推行与培训经营人签订合同</w:t>
      </w:r>
      <w:r>
        <w:rPr>
          <w:rFonts w:hint="eastAsia"/>
          <w:spacing w:val="-40"/>
        </w:rPr>
        <w:t>——</w:t>
      </w:r>
      <w:r>
        <w:t xml:space="preserve"> </w:t>
      </w:r>
      <w:r>
        <w:rPr>
          <w:rFonts w:hint="eastAsia"/>
        </w:rPr>
        <w:t>方案；</w:t>
      </w:r>
    </w:p>
    <w:p w:rsidR="00000000" w:rsidRDefault="003D15A7" w:rsidP="003D15A7">
      <w:pPr>
        <w:pStyle w:val="a0"/>
        <w:numPr>
          <w:ilvl w:val="0"/>
          <w:numId w:val="4"/>
        </w:numPr>
        <w:ind w:left="1531" w:hanging="510"/>
      </w:pPr>
      <w:r>
        <w:rPr>
          <w:rFonts w:hint="eastAsia"/>
        </w:rPr>
        <w:t>在合作背景下，开发资源为职业培训部门筹资，采取部分收费弥补培训成本的办法，以</w:t>
      </w:r>
      <w:r>
        <w:rPr>
          <w:rFonts w:hint="eastAsia"/>
        </w:rPr>
        <w:t>树立起受训者的责任感、提高培训质量，并鼓励公民社会捐助，以期帮助各脆弱群体或处境困难的群体；和</w:t>
      </w:r>
    </w:p>
    <w:p w:rsidR="00000000" w:rsidRDefault="003D15A7" w:rsidP="003D15A7">
      <w:pPr>
        <w:pStyle w:val="a0"/>
        <w:numPr>
          <w:ilvl w:val="0"/>
          <w:numId w:val="4"/>
        </w:numPr>
        <w:spacing w:after="320"/>
        <w:ind w:left="1531" w:hanging="510"/>
        <w:textAlignment w:val="center"/>
      </w:pPr>
      <w:r>
        <w:rPr>
          <w:rFonts w:hint="eastAsia"/>
        </w:rPr>
        <w:t>整顿负责对话和协调的机构。区域将是设立发展职业培训机制较理想的环境。</w:t>
      </w:r>
    </w:p>
    <w:p w:rsidR="00000000" w:rsidRDefault="003D15A7">
      <w:pPr>
        <w:pStyle w:val="Heading3"/>
      </w:pPr>
      <w:r>
        <w:rPr>
          <w:u w:val="none"/>
        </w:rPr>
        <w:t xml:space="preserve">F.  </w:t>
      </w:r>
      <w:r>
        <w:rPr>
          <w:rFonts w:hint="eastAsia"/>
        </w:rPr>
        <w:t>就业方面的男女平等</w:t>
      </w:r>
    </w:p>
    <w:p w:rsidR="00000000" w:rsidRDefault="003D15A7">
      <w:pPr>
        <w:ind w:firstLine="510"/>
      </w:pPr>
      <w:r>
        <w:t xml:space="preserve">98.  </w:t>
      </w:r>
      <w:r>
        <w:rPr>
          <w:rFonts w:hint="eastAsia"/>
        </w:rPr>
        <w:t>摩洛哥政府认为，关键在于必须制定一项全面战略，提高妇女的地位、处置一切形式对妇女的歧视，并发挥她们的创造潜力。经修订的</w:t>
      </w:r>
      <w:r>
        <w:t>1998</w:t>
      </w:r>
      <w:r>
        <w:rPr>
          <w:rFonts w:hint="eastAsia"/>
        </w:rPr>
        <w:t>年宪法规定，公共职务和就业职位，按同样的条件向全体公民开放；保证妇女与男人享有同等的权利。根据现行法律、任何违宪、虐待和不平等的作法都可受到惩罚。</w:t>
      </w:r>
    </w:p>
    <w:p w:rsidR="00000000" w:rsidRDefault="003D15A7">
      <w:pPr>
        <w:ind w:firstLine="510"/>
      </w:pPr>
      <w:r>
        <w:t xml:space="preserve">99.  </w:t>
      </w:r>
      <w:r>
        <w:rPr>
          <w:rFonts w:hint="eastAsia"/>
        </w:rPr>
        <w:t>政府向劳工组织提交了各份</w:t>
      </w:r>
      <w:r>
        <w:rPr>
          <w:rFonts w:hint="eastAsia"/>
        </w:rPr>
        <w:t>为实施有关规定最低工资办法公约</w:t>
      </w:r>
      <w:r>
        <w:t>(</w:t>
      </w:r>
      <w:r>
        <w:rPr>
          <w:rFonts w:hint="eastAsia"/>
        </w:rPr>
        <w:t>第</w:t>
      </w:r>
      <w:r>
        <w:t>26</w:t>
      </w:r>
      <w:r>
        <w:rPr>
          <w:rFonts w:hint="eastAsia"/>
        </w:rPr>
        <w:t>号</w:t>
      </w:r>
      <w:r>
        <w:t>)</w:t>
      </w:r>
      <w:r>
        <w:rPr>
          <w:rFonts w:hint="eastAsia"/>
        </w:rPr>
        <w:t>和</w:t>
      </w:r>
      <w:r>
        <w:t>(</w:t>
      </w:r>
      <w:r>
        <w:rPr>
          <w:rFonts w:hint="eastAsia"/>
        </w:rPr>
        <w:t>农业</w:t>
      </w:r>
      <w:r>
        <w:t>)</w:t>
      </w:r>
      <w:r>
        <w:rPr>
          <w:rFonts w:hint="eastAsia"/>
        </w:rPr>
        <w:t>规定最低工资办法公约</w:t>
      </w:r>
      <w:r>
        <w:t>(</w:t>
      </w:r>
      <w:r>
        <w:rPr>
          <w:rFonts w:hint="eastAsia"/>
        </w:rPr>
        <w:t>第</w:t>
      </w:r>
      <w:r>
        <w:t>99</w:t>
      </w:r>
      <w:r>
        <w:rPr>
          <w:rFonts w:hint="eastAsia"/>
        </w:rPr>
        <w:t>号</w:t>
      </w:r>
      <w:r>
        <w:t>)</w:t>
      </w:r>
      <w:r>
        <w:rPr>
          <w:rFonts w:hint="eastAsia"/>
        </w:rPr>
        <w:t>所采取的措施的情况报告。</w:t>
      </w:r>
    </w:p>
    <w:p w:rsidR="00000000" w:rsidRDefault="003D15A7">
      <w:pPr>
        <w:ind w:firstLine="510"/>
      </w:pPr>
      <w:r>
        <w:t xml:space="preserve">100.  </w:t>
      </w:r>
      <w:r>
        <w:rPr>
          <w:rFonts w:hint="eastAsia"/>
        </w:rPr>
        <w:t>妇女参与经济活动的程度仍在不断增长。目前，妇女占实际工作人口的</w:t>
      </w:r>
      <w:r>
        <w:t>25%</w:t>
      </w:r>
      <w:r>
        <w:rPr>
          <w:rFonts w:hint="eastAsia"/>
        </w:rPr>
        <w:t>。在为人口提供社会服务</w:t>
      </w:r>
      <w:r>
        <w:t>(</w:t>
      </w:r>
      <w:r>
        <w:rPr>
          <w:rFonts w:hint="eastAsia"/>
        </w:rPr>
        <w:t>保健和教育</w:t>
      </w:r>
      <w:r>
        <w:t>)</w:t>
      </w:r>
      <w:r>
        <w:rPr>
          <w:rFonts w:hint="eastAsia"/>
        </w:rPr>
        <w:t>的部门中，妇女占职工队伍的</w:t>
      </w:r>
      <w:r>
        <w:t>36%</w:t>
      </w:r>
      <w:r>
        <w:rPr>
          <w:rFonts w:hint="eastAsia"/>
        </w:rPr>
        <w:t>。目前已有妇女身居主管责任和决策性的职位。</w:t>
      </w:r>
    </w:p>
    <w:p w:rsidR="00000000" w:rsidRDefault="003D15A7">
      <w:pPr>
        <w:spacing w:after="320"/>
        <w:ind w:firstLine="510"/>
        <w:textAlignment w:val="center"/>
      </w:pPr>
      <w:r>
        <w:t xml:space="preserve">101.  </w:t>
      </w:r>
      <w:r>
        <w:rPr>
          <w:rFonts w:hint="eastAsia"/>
        </w:rPr>
        <w:t>工作权利的行使，不受基于肤色、种族、言语或公共见解，或任何形式的歧视。摩洛哥现行宪法确认，每一公民有权选择工作以保障其尊严。</w:t>
      </w:r>
    </w:p>
    <w:p w:rsidR="00000000" w:rsidRDefault="003D15A7">
      <w:pPr>
        <w:pStyle w:val="Heading2"/>
      </w:pPr>
      <w:r>
        <w:br w:type="page"/>
      </w:r>
      <w:r>
        <w:rPr>
          <w:rFonts w:hint="eastAsia"/>
        </w:rPr>
        <w:t>第</w:t>
      </w:r>
      <w:r>
        <w:t xml:space="preserve"> 7 </w:t>
      </w:r>
      <w:r>
        <w:rPr>
          <w:rFonts w:hint="eastAsia"/>
        </w:rPr>
        <w:t>条</w:t>
      </w:r>
    </w:p>
    <w:p w:rsidR="00000000" w:rsidRDefault="003D15A7">
      <w:pPr>
        <w:pStyle w:val="Heading3"/>
      </w:pPr>
      <w:r>
        <w:rPr>
          <w:rFonts w:hint="eastAsia"/>
        </w:rPr>
        <w:t>享有公正和良好的工作条件的权利</w:t>
      </w:r>
    </w:p>
    <w:p w:rsidR="00000000" w:rsidRDefault="003D15A7">
      <w:pPr>
        <w:pStyle w:val="NormalIndent"/>
        <w:spacing w:after="320"/>
        <w:textAlignment w:val="center"/>
      </w:pPr>
      <w:r>
        <w:t xml:space="preserve">102.  </w:t>
      </w:r>
      <w:r>
        <w:rPr>
          <w:rFonts w:hint="eastAsia"/>
        </w:rPr>
        <w:t>摩洛哥是国际劳</w:t>
      </w:r>
      <w:r>
        <w:rPr>
          <w:rFonts w:hint="eastAsia"/>
        </w:rPr>
        <w:t>工组织多项公约的缔约国：《同酬公约》</w:t>
      </w:r>
      <w:r>
        <w:t>(</w:t>
      </w:r>
      <w:r>
        <w:rPr>
          <w:rFonts w:hint="eastAsia"/>
        </w:rPr>
        <w:t>第</w:t>
      </w:r>
      <w:r>
        <w:t>100</w:t>
      </w:r>
      <w:r>
        <w:rPr>
          <w:rFonts w:hint="eastAsia"/>
        </w:rPr>
        <w:t>号</w:t>
      </w:r>
      <w:r>
        <w:t>)</w:t>
      </w:r>
      <w:r>
        <w:rPr>
          <w:rFonts w:hint="eastAsia"/>
        </w:rPr>
        <w:t>、《</w:t>
      </w:r>
      <w:r>
        <w:t>(</w:t>
      </w:r>
      <w:r>
        <w:rPr>
          <w:rFonts w:hint="eastAsia"/>
        </w:rPr>
        <w:t>工业</w:t>
      </w:r>
      <w:r>
        <w:t>)</w:t>
      </w:r>
      <w:r>
        <w:rPr>
          <w:rFonts w:hint="eastAsia"/>
        </w:rPr>
        <w:t>每周休息公约》</w:t>
      </w:r>
      <w:r>
        <w:t>(</w:t>
      </w:r>
      <w:r>
        <w:rPr>
          <w:rFonts w:hint="eastAsia"/>
        </w:rPr>
        <w:t>第</w:t>
      </w:r>
      <w:r>
        <w:t>14</w:t>
      </w:r>
      <w:r>
        <w:rPr>
          <w:rFonts w:hint="eastAsia"/>
        </w:rPr>
        <w:t>号</w:t>
      </w:r>
      <w:r>
        <w:t>)</w:t>
      </w:r>
      <w:r>
        <w:rPr>
          <w:rFonts w:hint="eastAsia"/>
        </w:rPr>
        <w:t>、《</w:t>
      </w:r>
      <w:r>
        <w:t>(</w:t>
      </w:r>
      <w:r>
        <w:rPr>
          <w:rFonts w:hint="eastAsia"/>
        </w:rPr>
        <w:t>商业和办事处所</w:t>
      </w:r>
      <w:r>
        <w:t>)</w:t>
      </w:r>
      <w:r>
        <w:rPr>
          <w:rFonts w:hint="eastAsia"/>
        </w:rPr>
        <w:t>每周休息公约》</w:t>
      </w:r>
      <w:r>
        <w:t>(</w:t>
      </w:r>
      <w:r>
        <w:rPr>
          <w:rFonts w:hint="eastAsia"/>
        </w:rPr>
        <w:t>第</w:t>
      </w:r>
      <w:r>
        <w:t>106</w:t>
      </w:r>
      <w:r>
        <w:rPr>
          <w:rFonts w:hint="eastAsia"/>
        </w:rPr>
        <w:t>号</w:t>
      </w:r>
      <w:r>
        <w:t>)</w:t>
      </w:r>
      <w:r>
        <w:rPr>
          <w:rFonts w:hint="eastAsia"/>
        </w:rPr>
        <w:t>、《劳动视察公约》</w:t>
      </w:r>
      <w:r>
        <w:t>(</w:t>
      </w:r>
      <w:r>
        <w:rPr>
          <w:rFonts w:hint="eastAsia"/>
        </w:rPr>
        <w:t>第</w:t>
      </w:r>
      <w:r>
        <w:t>81</w:t>
      </w:r>
      <w:r>
        <w:rPr>
          <w:rFonts w:hint="eastAsia"/>
        </w:rPr>
        <w:t>号</w:t>
      </w:r>
      <w:r>
        <w:t>)</w:t>
      </w:r>
      <w:r>
        <w:rPr>
          <w:rFonts w:hint="eastAsia"/>
        </w:rPr>
        <w:t>和《</w:t>
      </w:r>
      <w:r>
        <w:t>(</w:t>
      </w:r>
      <w:r>
        <w:rPr>
          <w:rFonts w:hint="eastAsia"/>
        </w:rPr>
        <w:t>农业</w:t>
      </w:r>
      <w:r>
        <w:t>)</w:t>
      </w:r>
      <w:r>
        <w:rPr>
          <w:rFonts w:hint="eastAsia"/>
        </w:rPr>
        <w:t>劳动视察公约》</w:t>
      </w:r>
      <w:r>
        <w:t>(</w:t>
      </w:r>
      <w:r>
        <w:rPr>
          <w:rFonts w:hint="eastAsia"/>
        </w:rPr>
        <w:t>第</w:t>
      </w:r>
      <w:r>
        <w:t>129</w:t>
      </w:r>
      <w:r>
        <w:rPr>
          <w:rFonts w:hint="eastAsia"/>
        </w:rPr>
        <w:t>号</w:t>
      </w:r>
      <w:r>
        <w:t>)</w:t>
      </w:r>
      <w:r>
        <w:rPr>
          <w:rFonts w:hint="eastAsia"/>
        </w:rPr>
        <w:t>。摩洛哥政府在初次报告</w:t>
      </w:r>
      <w:r>
        <w:t>(E/1990/6/Add.13, 1993</w:t>
      </w:r>
      <w:r>
        <w:rPr>
          <w:rFonts w:hint="eastAsia"/>
        </w:rPr>
        <w:t>年</w:t>
      </w:r>
      <w:r>
        <w:t>4</w:t>
      </w:r>
      <w:r>
        <w:rPr>
          <w:rFonts w:hint="eastAsia"/>
        </w:rPr>
        <w:t>月</w:t>
      </w:r>
      <w:r>
        <w:t>28</w:t>
      </w:r>
      <w:r>
        <w:rPr>
          <w:rFonts w:hint="eastAsia"/>
        </w:rPr>
        <w:t>日</w:t>
      </w:r>
      <w:r>
        <w:t>)</w:t>
      </w:r>
      <w:r>
        <w:rPr>
          <w:rFonts w:hint="eastAsia"/>
        </w:rPr>
        <w:t>中提到了最近向劳工组织提交的关于《盟约》第</w:t>
      </w:r>
      <w:r>
        <w:t>7</w:t>
      </w:r>
      <w:r>
        <w:rPr>
          <w:rFonts w:hint="eastAsia"/>
        </w:rPr>
        <w:t>条条款的报告</w:t>
      </w:r>
      <w:r>
        <w:t>(</w:t>
      </w:r>
      <w:r>
        <w:rPr>
          <w:rFonts w:hint="eastAsia"/>
        </w:rPr>
        <w:t>第</w:t>
      </w:r>
      <w:r>
        <w:t>42</w:t>
      </w:r>
      <w:r>
        <w:rPr>
          <w:rFonts w:hint="eastAsia"/>
        </w:rPr>
        <w:t>至</w:t>
      </w:r>
      <w:r>
        <w:t>45</w:t>
      </w:r>
      <w:r>
        <w:rPr>
          <w:rFonts w:hint="eastAsia"/>
        </w:rPr>
        <w:t>段</w:t>
      </w:r>
      <w:r>
        <w:t>)</w:t>
      </w:r>
      <w:r>
        <w:rPr>
          <w:rFonts w:hint="eastAsia"/>
        </w:rPr>
        <w:t>。</w:t>
      </w:r>
    </w:p>
    <w:p w:rsidR="00000000" w:rsidRDefault="003D15A7">
      <w:pPr>
        <w:pStyle w:val="Heading3"/>
      </w:pPr>
      <w:r>
        <w:rPr>
          <w:u w:val="none"/>
        </w:rPr>
        <w:t xml:space="preserve">A.  </w:t>
      </w:r>
      <w:r>
        <w:rPr>
          <w:rFonts w:hint="eastAsia"/>
        </w:rPr>
        <w:t>获取报酬的权利</w:t>
      </w:r>
    </w:p>
    <w:p w:rsidR="00000000" w:rsidRDefault="003D15A7">
      <w:pPr>
        <w:pStyle w:val="NormalIndent"/>
      </w:pPr>
      <w:r>
        <w:t xml:space="preserve">103.  </w:t>
      </w:r>
      <w:r>
        <w:rPr>
          <w:rFonts w:hint="eastAsia"/>
        </w:rPr>
        <w:t>根据摩洛哥批准的关于男女之间报酬平等的第</w:t>
      </w:r>
      <w:r>
        <w:t>100</w:t>
      </w:r>
      <w:r>
        <w:rPr>
          <w:rFonts w:hint="eastAsia"/>
        </w:rPr>
        <w:t>号公约的条款和《宪法》内有关的条款，在确定工资方面，摩洛哥法律没</w:t>
      </w:r>
      <w:r>
        <w:rPr>
          <w:rFonts w:hint="eastAsia"/>
        </w:rPr>
        <w:t>有任何性别歧视。摩洛哥法律承认各方可以自由地规定报酬，但规定了支付给雇员最低法定数额的最低工资。根据生活费用标准、企业的财政情况、并考虑到工人和雇主组织的要求规定最低工资。提高最低工资水平的事务应在为此目的而设立的全国社会对话委员会的主持下和上述各组织事先进行讨论。</w:t>
      </w:r>
    </w:p>
    <w:p w:rsidR="00000000" w:rsidRDefault="003D15A7">
      <w:pPr>
        <w:pStyle w:val="NormalIndent"/>
      </w:pPr>
      <w:r>
        <w:t>104.  1994</w:t>
      </w:r>
      <w:r>
        <w:rPr>
          <w:rFonts w:hint="eastAsia"/>
        </w:rPr>
        <w:t>至</w:t>
      </w:r>
      <w:r>
        <w:t>1997</w:t>
      </w:r>
      <w:r>
        <w:rPr>
          <w:rFonts w:hint="eastAsia"/>
        </w:rPr>
        <w:t>年期间所采取的措施可以概括如下：</w:t>
      </w:r>
    </w:p>
    <w:p w:rsidR="00000000" w:rsidRDefault="003D15A7" w:rsidP="003D15A7">
      <w:pPr>
        <w:pStyle w:val="a0"/>
        <w:numPr>
          <w:ilvl w:val="0"/>
          <w:numId w:val="5"/>
        </w:numPr>
        <w:ind w:left="1531" w:hanging="510"/>
      </w:pPr>
      <w:r>
        <w:rPr>
          <w:rFonts w:hint="eastAsia"/>
        </w:rPr>
        <w:t>建立了固定工资的框架安排。在这方面，</w:t>
      </w:r>
      <w:r>
        <w:t>1996</w:t>
      </w:r>
      <w:r>
        <w:rPr>
          <w:rFonts w:hint="eastAsia"/>
        </w:rPr>
        <w:t>年</w:t>
      </w:r>
      <w:r>
        <w:t>8</w:t>
      </w:r>
      <w:r>
        <w:rPr>
          <w:rFonts w:hint="eastAsia"/>
        </w:rPr>
        <w:t>月社会伙伴之间商定的联合宣言规定通过设立包括工资委员会在内的一系列委员会规定有关安排机制；</w:t>
      </w:r>
    </w:p>
    <w:p w:rsidR="00000000" w:rsidRDefault="003D15A7" w:rsidP="003D15A7">
      <w:pPr>
        <w:pStyle w:val="a0"/>
        <w:numPr>
          <w:ilvl w:val="0"/>
          <w:numId w:val="5"/>
        </w:numPr>
        <w:spacing w:after="320"/>
        <w:ind w:left="1531" w:hanging="510"/>
        <w:textAlignment w:val="center"/>
      </w:pPr>
      <w:r>
        <w:rPr>
          <w:rFonts w:hint="eastAsia"/>
        </w:rPr>
        <w:t>颁发了从</w:t>
      </w:r>
      <w:r>
        <w:t>1996</w:t>
      </w:r>
      <w:r>
        <w:rPr>
          <w:rFonts w:hint="eastAsia"/>
        </w:rPr>
        <w:t>年</w:t>
      </w:r>
      <w:r>
        <w:t>7</w:t>
      </w:r>
      <w:r>
        <w:rPr>
          <w:rFonts w:hint="eastAsia"/>
        </w:rPr>
        <w:t>月</w:t>
      </w:r>
      <w:r>
        <w:t>1</w:t>
      </w:r>
      <w:r>
        <w:rPr>
          <w:rFonts w:hint="eastAsia"/>
        </w:rPr>
        <w:t>日起最低工资提高</w:t>
      </w:r>
      <w:r>
        <w:t>10%</w:t>
      </w:r>
      <w:r>
        <w:rPr>
          <w:rFonts w:hint="eastAsia"/>
        </w:rPr>
        <w:t>的法令。为了确保雇员能从所采取的措施中获得适当利益，工作检察员通过定期查访工作地点确保有关工资的法律得到执行。至今已经进行了</w:t>
      </w:r>
      <w:r>
        <w:t>16,894</w:t>
      </w:r>
      <w:r>
        <w:rPr>
          <w:rFonts w:hint="eastAsia"/>
        </w:rPr>
        <w:t>次视察，对违法乱纪的雇主提诉讼</w:t>
      </w:r>
      <w:r>
        <w:t>298</w:t>
      </w:r>
      <w:r>
        <w:rPr>
          <w:rFonts w:hint="eastAsia"/>
        </w:rPr>
        <w:t>起。</w:t>
      </w:r>
    </w:p>
    <w:p w:rsidR="00000000" w:rsidRDefault="003D15A7">
      <w:pPr>
        <w:pStyle w:val="Heading3"/>
      </w:pPr>
      <w:r>
        <w:br w:type="page"/>
        <w:t>1991</w:t>
      </w:r>
      <w:r>
        <w:rPr>
          <w:rFonts w:hint="eastAsia"/>
        </w:rPr>
        <w:t>至</w:t>
      </w:r>
      <w:r>
        <w:t>1997</w:t>
      </w:r>
      <w:r>
        <w:rPr>
          <w:rFonts w:hint="eastAsia"/>
        </w:rPr>
        <w:t>年间最低工资的变化</w:t>
      </w:r>
    </w:p>
    <w:tbl>
      <w:tblPr>
        <w:tblW w:w="0" w:type="auto"/>
        <w:tblInd w:w="2" w:type="dxa"/>
        <w:tblLayout w:type="fixed"/>
        <w:tblCellMar>
          <w:left w:w="56" w:type="dxa"/>
          <w:right w:w="56" w:type="dxa"/>
        </w:tblCellMar>
        <w:tblLook w:val="0000" w:firstRow="0" w:lastRow="0" w:firstColumn="0" w:lastColumn="0" w:noHBand="0" w:noVBand="0"/>
      </w:tblPr>
      <w:tblGrid>
        <w:gridCol w:w="1376"/>
        <w:gridCol w:w="1376"/>
        <w:gridCol w:w="1376"/>
        <w:gridCol w:w="1376"/>
        <w:gridCol w:w="1376"/>
        <w:gridCol w:w="1376"/>
        <w:gridCol w:w="1380"/>
      </w:tblGrid>
      <w:tr w:rsidR="00000000">
        <w:tblPrEx>
          <w:tblCellMar>
            <w:top w:w="0" w:type="dxa"/>
            <w:bottom w:w="0" w:type="dxa"/>
          </w:tblCellMar>
        </w:tblPrEx>
        <w:trPr>
          <w:cantSplit/>
        </w:trPr>
        <w:tc>
          <w:tcPr>
            <w:tcW w:w="5504"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rFonts w:hint="eastAsia"/>
                <w:sz w:val="21"/>
              </w:rPr>
              <w:t>工业、商业和服务业</w:t>
            </w:r>
          </w:p>
        </w:tc>
        <w:tc>
          <w:tcPr>
            <w:hMerge/>
            <w:tcBorders>
              <w:top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p>
        </w:tc>
        <w:tc>
          <w:tcPr>
            <w:hMerge/>
            <w:tcBorders>
              <w:top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p>
        </w:tc>
        <w:tc>
          <w:tcPr>
            <w:hMerge/>
            <w:tcBorders>
              <w:top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p>
        </w:tc>
        <w:tc>
          <w:tcPr>
            <w:tcW w:w="4132"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rFonts w:hint="eastAsia"/>
                <w:sz w:val="21"/>
              </w:rPr>
              <w:t>农</w:t>
            </w:r>
            <w:r>
              <w:rPr>
                <w:sz w:val="21"/>
              </w:rPr>
              <w:t xml:space="preserve">   </w:t>
            </w:r>
            <w:r>
              <w:rPr>
                <w:rFonts w:hint="eastAsia"/>
                <w:sz w:val="21"/>
              </w:rPr>
              <w:t>业</w:t>
            </w:r>
          </w:p>
        </w:tc>
        <w:tc>
          <w:tcPr>
            <w:hMerge/>
            <w:tcBorders>
              <w:top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p>
        </w:tc>
        <w:tc>
          <w:tcPr>
            <w:hMerge/>
            <w:tcBorders>
              <w:top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p>
        </w:tc>
      </w:tr>
      <w:tr w:rsidR="00000000">
        <w:tblPrEx>
          <w:tblCellMar>
            <w:top w:w="0" w:type="dxa"/>
            <w:bottom w:w="0" w:type="dxa"/>
          </w:tblCellMar>
        </w:tblPrEx>
        <w:trPr>
          <w:cantSplit/>
        </w:trPr>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p>
        </w:tc>
        <w:tc>
          <w:tcPr>
            <w:tcW w:w="1376" w:type="dxa"/>
            <w:tcBorders>
              <w:top w:val="single" w:sz="6" w:space="0" w:color="auto"/>
              <w:left w:val="single" w:sz="6" w:space="0" w:color="auto"/>
            </w:tcBorders>
          </w:tcPr>
          <w:p w:rsidR="00000000" w:rsidRDefault="003D15A7">
            <w:pPr>
              <w:pStyle w:val="Heading5"/>
              <w:spacing w:before="120" w:after="60" w:line="240" w:lineRule="auto"/>
              <w:jc w:val="center"/>
              <w:rPr>
                <w:rFonts w:eastAsia="SimSun"/>
                <w:sz w:val="21"/>
              </w:rPr>
            </w:pPr>
            <w:r>
              <w:rPr>
                <w:rFonts w:eastAsia="SimSun" w:hint="eastAsia"/>
                <w:sz w:val="21"/>
              </w:rPr>
              <w:t>变动率</w:t>
            </w:r>
            <w:r>
              <w:rPr>
                <w:rFonts w:eastAsia="SimSun"/>
                <w:sz w:val="21"/>
              </w:rPr>
              <w:t>%</w:t>
            </w:r>
          </w:p>
        </w:tc>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rFonts w:hint="eastAsia"/>
                <w:sz w:val="21"/>
              </w:rPr>
              <w:t>小时工资</w:t>
            </w:r>
          </w:p>
        </w:tc>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rFonts w:hint="eastAsia"/>
                <w:sz w:val="21"/>
              </w:rPr>
              <w:t>月工资</w:t>
            </w:r>
          </w:p>
        </w:tc>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rFonts w:hint="eastAsia"/>
                <w:sz w:val="21"/>
              </w:rPr>
              <w:t>变动率</w:t>
            </w:r>
            <w:r>
              <w:rPr>
                <w:sz w:val="21"/>
              </w:rPr>
              <w:t>%</w:t>
            </w:r>
          </w:p>
        </w:tc>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rFonts w:hint="eastAsia"/>
                <w:sz w:val="21"/>
              </w:rPr>
              <w:t>日工资</w:t>
            </w:r>
          </w:p>
        </w:tc>
        <w:tc>
          <w:tcPr>
            <w:tcW w:w="1380"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rFonts w:hint="eastAsia"/>
                <w:sz w:val="21"/>
              </w:rPr>
              <w:t>月工资</w:t>
            </w:r>
          </w:p>
        </w:tc>
      </w:tr>
      <w:tr w:rsidR="00000000">
        <w:tblPrEx>
          <w:tblCellMar>
            <w:top w:w="0" w:type="dxa"/>
            <w:bottom w:w="0" w:type="dxa"/>
          </w:tblCellMar>
        </w:tblPrEx>
        <w:trPr>
          <w:cantSplit/>
        </w:trPr>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textAlignment w:val="bottom"/>
              <w:rPr>
                <w:sz w:val="21"/>
              </w:rPr>
            </w:pPr>
            <w:r>
              <w:rPr>
                <w:sz w:val="21"/>
              </w:rPr>
              <w:t>1.4.1994</w:t>
            </w:r>
          </w:p>
        </w:tc>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sz w:val="21"/>
              </w:rPr>
              <w:t>10</w:t>
            </w:r>
          </w:p>
        </w:tc>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sz w:val="21"/>
              </w:rPr>
              <w:t>7.26</w:t>
            </w:r>
          </w:p>
        </w:tc>
        <w:tc>
          <w:tcPr>
            <w:tcW w:w="1376" w:type="dxa"/>
            <w:tcBorders>
              <w:top w:val="single" w:sz="6" w:space="0" w:color="auto"/>
              <w:left w:val="single" w:sz="6" w:space="0" w:color="auto"/>
            </w:tcBorders>
          </w:tcPr>
          <w:p w:rsidR="00000000" w:rsidRDefault="003D15A7">
            <w:pPr>
              <w:widowControl w:val="0"/>
              <w:tabs>
                <w:tab w:val="clear" w:pos="510"/>
                <w:tab w:val="clear" w:pos="1021"/>
                <w:tab w:val="clear" w:pos="1531"/>
                <w:tab w:val="clear" w:pos="2041"/>
                <w:tab w:val="decimal" w:pos="736"/>
              </w:tabs>
              <w:autoSpaceDE w:val="0"/>
              <w:autoSpaceDN w:val="0"/>
              <w:spacing w:before="120" w:after="60" w:line="240" w:lineRule="auto"/>
              <w:textAlignment w:val="bottom"/>
              <w:rPr>
                <w:sz w:val="21"/>
              </w:rPr>
            </w:pPr>
            <w:r>
              <w:rPr>
                <w:sz w:val="21"/>
              </w:rPr>
              <w:t>1,510.08</w:t>
            </w:r>
          </w:p>
        </w:tc>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sz w:val="21"/>
              </w:rPr>
              <w:t>10</w:t>
            </w:r>
          </w:p>
        </w:tc>
        <w:tc>
          <w:tcPr>
            <w:tcW w:w="1376"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sz w:val="21"/>
              </w:rPr>
              <w:t>37.60</w:t>
            </w:r>
          </w:p>
        </w:tc>
        <w:tc>
          <w:tcPr>
            <w:tcW w:w="1380" w:type="dxa"/>
            <w:tcBorders>
              <w:top w:val="single" w:sz="6" w:space="0" w:color="auto"/>
              <w:left w:val="single" w:sz="6" w:space="0" w:color="auto"/>
              <w:right w:val="single" w:sz="6" w:space="0" w:color="auto"/>
            </w:tcBorders>
          </w:tcPr>
          <w:p w:rsidR="00000000" w:rsidRDefault="003D15A7">
            <w:pPr>
              <w:widowControl w:val="0"/>
              <w:tabs>
                <w:tab w:val="clear" w:pos="510"/>
                <w:tab w:val="clear" w:pos="1021"/>
                <w:tab w:val="clear" w:pos="1531"/>
                <w:tab w:val="clear" w:pos="2041"/>
                <w:tab w:val="decimal" w:pos="808"/>
              </w:tabs>
              <w:autoSpaceDE w:val="0"/>
              <w:autoSpaceDN w:val="0"/>
              <w:spacing w:before="120" w:after="60" w:line="240" w:lineRule="auto"/>
              <w:textAlignment w:val="bottom"/>
              <w:rPr>
                <w:sz w:val="21"/>
              </w:rPr>
            </w:pPr>
            <w:r>
              <w:rPr>
                <w:sz w:val="21"/>
              </w:rPr>
              <w:t>977.60</w:t>
            </w:r>
          </w:p>
        </w:tc>
      </w:tr>
      <w:tr w:rsidR="00000000">
        <w:tblPrEx>
          <w:tblCellMar>
            <w:top w:w="0" w:type="dxa"/>
            <w:bottom w:w="0" w:type="dxa"/>
          </w:tblCellMar>
        </w:tblPrEx>
        <w:trPr>
          <w:cantSplit/>
        </w:trPr>
        <w:tc>
          <w:tcPr>
            <w:tcW w:w="1376"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120" w:after="60" w:line="240" w:lineRule="auto"/>
              <w:textAlignment w:val="bottom"/>
              <w:rPr>
                <w:sz w:val="21"/>
              </w:rPr>
            </w:pPr>
            <w:r>
              <w:rPr>
                <w:sz w:val="21"/>
              </w:rPr>
              <w:t>1.7.1997</w:t>
            </w:r>
          </w:p>
        </w:tc>
        <w:tc>
          <w:tcPr>
            <w:tcW w:w="1376"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sz w:val="21"/>
              </w:rPr>
              <w:t>10</w:t>
            </w:r>
          </w:p>
        </w:tc>
        <w:tc>
          <w:tcPr>
            <w:tcW w:w="1376"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sz w:val="21"/>
              </w:rPr>
              <w:t>7.98</w:t>
            </w:r>
          </w:p>
        </w:tc>
        <w:tc>
          <w:tcPr>
            <w:tcW w:w="1376" w:type="dxa"/>
            <w:tcBorders>
              <w:top w:val="single" w:sz="6" w:space="0" w:color="auto"/>
              <w:left w:val="single" w:sz="6" w:space="0" w:color="auto"/>
              <w:bottom w:val="single" w:sz="6" w:space="0" w:color="auto"/>
            </w:tcBorders>
          </w:tcPr>
          <w:p w:rsidR="00000000" w:rsidRDefault="003D15A7">
            <w:pPr>
              <w:widowControl w:val="0"/>
              <w:tabs>
                <w:tab w:val="clear" w:pos="510"/>
                <w:tab w:val="clear" w:pos="1021"/>
                <w:tab w:val="clear" w:pos="1531"/>
                <w:tab w:val="clear" w:pos="2041"/>
                <w:tab w:val="decimal" w:pos="736"/>
              </w:tabs>
              <w:autoSpaceDE w:val="0"/>
              <w:autoSpaceDN w:val="0"/>
              <w:spacing w:before="120" w:after="60" w:line="240" w:lineRule="auto"/>
              <w:textAlignment w:val="bottom"/>
              <w:rPr>
                <w:sz w:val="21"/>
              </w:rPr>
            </w:pPr>
            <w:r>
              <w:rPr>
                <w:sz w:val="21"/>
              </w:rPr>
              <w:t>1,659</w:t>
            </w:r>
          </w:p>
        </w:tc>
        <w:tc>
          <w:tcPr>
            <w:tcW w:w="1376"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sz w:val="21"/>
              </w:rPr>
              <w:t>10</w:t>
            </w:r>
          </w:p>
        </w:tc>
        <w:tc>
          <w:tcPr>
            <w:tcW w:w="1376"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120" w:after="60" w:line="240" w:lineRule="auto"/>
              <w:jc w:val="center"/>
              <w:textAlignment w:val="bottom"/>
              <w:rPr>
                <w:sz w:val="21"/>
              </w:rPr>
            </w:pPr>
            <w:r>
              <w:rPr>
                <w:sz w:val="21"/>
              </w:rPr>
              <w:t>41.36</w:t>
            </w:r>
          </w:p>
        </w:tc>
        <w:tc>
          <w:tcPr>
            <w:tcW w:w="1380" w:type="dxa"/>
            <w:tcBorders>
              <w:top w:val="single" w:sz="6" w:space="0" w:color="auto"/>
              <w:left w:val="single" w:sz="6" w:space="0" w:color="auto"/>
              <w:bottom w:val="single" w:sz="6" w:space="0" w:color="auto"/>
              <w:right w:val="single" w:sz="6" w:space="0" w:color="auto"/>
            </w:tcBorders>
          </w:tcPr>
          <w:p w:rsidR="00000000" w:rsidRDefault="003D15A7">
            <w:pPr>
              <w:widowControl w:val="0"/>
              <w:tabs>
                <w:tab w:val="clear" w:pos="510"/>
                <w:tab w:val="clear" w:pos="1021"/>
                <w:tab w:val="clear" w:pos="1531"/>
                <w:tab w:val="clear" w:pos="2041"/>
                <w:tab w:val="decimal" w:pos="808"/>
              </w:tabs>
              <w:autoSpaceDE w:val="0"/>
              <w:autoSpaceDN w:val="0"/>
              <w:spacing w:before="120" w:after="60" w:line="240" w:lineRule="auto"/>
              <w:textAlignment w:val="bottom"/>
              <w:rPr>
                <w:sz w:val="21"/>
              </w:rPr>
            </w:pPr>
            <w:r>
              <w:rPr>
                <w:sz w:val="21"/>
              </w:rPr>
              <w:t>1,075.36</w:t>
            </w:r>
          </w:p>
        </w:tc>
      </w:tr>
    </w:tbl>
    <w:p w:rsidR="00000000" w:rsidRDefault="003D15A7">
      <w:pPr>
        <w:pStyle w:val="Heading4"/>
      </w:pPr>
    </w:p>
    <w:p w:rsidR="00000000" w:rsidRDefault="003D15A7">
      <w:pPr>
        <w:pStyle w:val="Heading3"/>
      </w:pPr>
      <w:r>
        <w:rPr>
          <w:u w:val="none"/>
        </w:rPr>
        <w:t xml:space="preserve">B.  </w:t>
      </w:r>
      <w:r>
        <w:rPr>
          <w:rFonts w:hint="eastAsia"/>
        </w:rPr>
        <w:t>安全和</w:t>
      </w:r>
      <w:r>
        <w:rPr>
          <w:rFonts w:hint="eastAsia"/>
        </w:rPr>
        <w:t>健康的工作条件</w:t>
      </w:r>
    </w:p>
    <w:p w:rsidR="00000000" w:rsidRDefault="003D15A7">
      <w:pPr>
        <w:pStyle w:val="NormalIndent"/>
        <w:spacing w:after="320"/>
        <w:textAlignment w:val="center"/>
      </w:pPr>
      <w:r>
        <w:t xml:space="preserve">105.  </w:t>
      </w:r>
      <w:r>
        <w:rPr>
          <w:rFonts w:hint="eastAsia"/>
        </w:rPr>
        <w:t>摩洛哥法律载有为安全和健康工作条件特别注重预防和控制的条款。在这些立法中比较显著的是禁止儿童和妇女从事危险工作、有关工业药物的文本和关于工伤和职业病赔偿的立法。</w:t>
      </w:r>
      <w:r>
        <w:t>1947</w:t>
      </w:r>
      <w:r>
        <w:rPr>
          <w:rFonts w:hint="eastAsia"/>
        </w:rPr>
        <w:t>年</w:t>
      </w:r>
      <w:r>
        <w:t>7</w:t>
      </w:r>
      <w:r>
        <w:rPr>
          <w:rFonts w:hint="eastAsia"/>
        </w:rPr>
        <w:t>月</w:t>
      </w:r>
      <w:r>
        <w:t>2</w:t>
      </w:r>
      <w:r>
        <w:rPr>
          <w:rFonts w:hint="eastAsia"/>
        </w:rPr>
        <w:t>日关于工作条件的《法令》第</w:t>
      </w:r>
      <w:r>
        <w:t>2</w:t>
      </w:r>
      <w:r>
        <w:rPr>
          <w:rFonts w:hint="eastAsia"/>
        </w:rPr>
        <w:t>条规定雇主在提交给工作检察员的申报中必须列明危险职业。雇主负责采取措施保护工人的健康和安全，还要求雇主采取所有可能的步骤确保最合适的工作条件。</w:t>
      </w:r>
      <w:r>
        <w:t>1995</w:t>
      </w:r>
      <w:r>
        <w:rPr>
          <w:rFonts w:hint="eastAsia"/>
        </w:rPr>
        <w:t>年，就业部开始对职业危险进行实地研究，以期查明对工人健康具有高度风险的部门，这是执行全国预防政策工作的一部分。</w:t>
      </w:r>
    </w:p>
    <w:p w:rsidR="00000000" w:rsidRDefault="003D15A7">
      <w:pPr>
        <w:pStyle w:val="Heading2"/>
      </w:pPr>
      <w:r>
        <w:rPr>
          <w:rFonts w:hint="eastAsia"/>
        </w:rPr>
        <w:t>第</w:t>
      </w:r>
      <w:r>
        <w:t xml:space="preserve"> 8 </w:t>
      </w:r>
      <w:r>
        <w:rPr>
          <w:rFonts w:hint="eastAsia"/>
        </w:rPr>
        <w:t>条</w:t>
      </w:r>
    </w:p>
    <w:p w:rsidR="00000000" w:rsidRDefault="003D15A7">
      <w:pPr>
        <w:pStyle w:val="Heading3"/>
      </w:pPr>
      <w:r>
        <w:rPr>
          <w:rFonts w:hint="eastAsia"/>
        </w:rPr>
        <w:t>工</w:t>
      </w:r>
      <w:r>
        <w:t xml:space="preserve"> </w:t>
      </w:r>
      <w:r>
        <w:rPr>
          <w:rFonts w:hint="eastAsia"/>
        </w:rPr>
        <w:t>会</w:t>
      </w:r>
      <w:r>
        <w:t xml:space="preserve"> </w:t>
      </w:r>
      <w:r>
        <w:rPr>
          <w:rFonts w:hint="eastAsia"/>
        </w:rPr>
        <w:t>权</w:t>
      </w:r>
      <w:r>
        <w:t xml:space="preserve"> </w:t>
      </w:r>
      <w:r>
        <w:rPr>
          <w:rFonts w:hint="eastAsia"/>
        </w:rPr>
        <w:t>利</w:t>
      </w:r>
    </w:p>
    <w:p w:rsidR="00000000" w:rsidRDefault="003D15A7">
      <w:pPr>
        <w:pStyle w:val="NormalIndent"/>
        <w:spacing w:after="320"/>
        <w:textAlignment w:val="center"/>
      </w:pPr>
      <w:r>
        <w:t xml:space="preserve">106.  </w:t>
      </w:r>
      <w:r>
        <w:rPr>
          <w:rFonts w:hint="eastAsia"/>
        </w:rPr>
        <w:t>摩洛哥是国际劳工组织第</w:t>
      </w:r>
      <w:r>
        <w:t>98</w:t>
      </w:r>
      <w:r>
        <w:rPr>
          <w:rFonts w:hint="eastAsia"/>
        </w:rPr>
        <w:t>号公约《组织权利和集体谈判权利公约》的缔约国。摩洛哥已经向劳工组织提交了若干报告，详细论述了在《盟约》第</w:t>
      </w:r>
      <w:r>
        <w:t>8</w:t>
      </w:r>
      <w:r>
        <w:rPr>
          <w:rFonts w:hint="eastAsia"/>
        </w:rPr>
        <w:t>条方面保护工会权利所取得的进展</w:t>
      </w:r>
      <w:r>
        <w:t>(</w:t>
      </w:r>
      <w:r>
        <w:rPr>
          <w:rFonts w:hint="eastAsia"/>
        </w:rPr>
        <w:t>见</w:t>
      </w:r>
      <w:r>
        <w:t xml:space="preserve">E/1990/5/Add.13, </w:t>
      </w:r>
      <w:r>
        <w:rPr>
          <w:rFonts w:hint="eastAsia"/>
        </w:rPr>
        <w:t>第</w:t>
      </w:r>
      <w:r>
        <w:t>51</w:t>
      </w:r>
      <w:r>
        <w:rPr>
          <w:rFonts w:hint="eastAsia"/>
        </w:rPr>
        <w:t>段</w:t>
      </w:r>
      <w:r>
        <w:t>)</w:t>
      </w:r>
      <w:r>
        <w:rPr>
          <w:rFonts w:hint="eastAsia"/>
        </w:rPr>
        <w:t>。</w:t>
      </w:r>
      <w:r>
        <w:t>1957</w:t>
      </w:r>
      <w:r>
        <w:rPr>
          <w:rFonts w:hint="eastAsia"/>
        </w:rPr>
        <w:t>年</w:t>
      </w:r>
      <w:r>
        <w:t>7</w:t>
      </w:r>
      <w:r>
        <w:rPr>
          <w:rFonts w:hint="eastAsia"/>
        </w:rPr>
        <w:t>月</w:t>
      </w:r>
      <w:r>
        <w:t>16</w:t>
      </w:r>
      <w:r>
        <w:rPr>
          <w:rFonts w:hint="eastAsia"/>
        </w:rPr>
        <w:t>日有关工会的《法令》规定了自由建立工会的原则。同一条《法令》允许从事某一职业或贸易的已婚妇女参加工会，并且参加其行政和管理。工会可以在没有法令和法院裁决的情况下由其成员自愿决定解散。允许公务人员和在私营部门的工人一样建立行业组织，但负责国家安全和公共秩序的公务</w:t>
      </w:r>
      <w:r>
        <w:rPr>
          <w:rFonts w:hint="eastAsia"/>
        </w:rPr>
        <w:t>人员</w:t>
      </w:r>
      <w:r>
        <w:t>(</w:t>
      </w:r>
      <w:r>
        <w:rPr>
          <w:rFonts w:hint="eastAsia"/>
        </w:rPr>
        <w:t>武装部队，警察</w:t>
      </w:r>
      <w:r>
        <w:t>)</w:t>
      </w:r>
      <w:r>
        <w:rPr>
          <w:rFonts w:hint="eastAsia"/>
        </w:rPr>
        <w:t>除外。</w:t>
      </w:r>
    </w:p>
    <w:p w:rsidR="00000000" w:rsidRDefault="003D15A7">
      <w:pPr>
        <w:pStyle w:val="Heading4"/>
      </w:pPr>
      <w:r>
        <w:rPr>
          <w:rFonts w:hint="eastAsia"/>
        </w:rPr>
        <w:t>劳动法草案之下的工会权利</w:t>
      </w:r>
    </w:p>
    <w:p w:rsidR="00000000" w:rsidRDefault="003D15A7">
      <w:pPr>
        <w:pStyle w:val="NormalIndent"/>
      </w:pPr>
      <w:r>
        <w:t>107.  1957</w:t>
      </w:r>
      <w:r>
        <w:rPr>
          <w:rFonts w:hint="eastAsia"/>
        </w:rPr>
        <w:t>年《法令》条款已纳入劳动法草案，但作了以下若干修改：</w:t>
      </w:r>
    </w:p>
    <w:p w:rsidR="00000000" w:rsidRDefault="003D15A7" w:rsidP="003D15A7">
      <w:pPr>
        <w:pStyle w:val="a0"/>
        <w:numPr>
          <w:ilvl w:val="0"/>
          <w:numId w:val="6"/>
        </w:numPr>
        <w:ind w:left="1531" w:hanging="510"/>
      </w:pPr>
      <w:r>
        <w:rPr>
          <w:rFonts w:hint="eastAsia"/>
        </w:rPr>
        <w:t>工人和雇主可以建立所选择的组织，并成为这些组织的成员；</w:t>
      </w:r>
    </w:p>
    <w:p w:rsidR="00000000" w:rsidRDefault="003D15A7" w:rsidP="003D15A7">
      <w:pPr>
        <w:pStyle w:val="a0"/>
        <w:numPr>
          <w:ilvl w:val="0"/>
          <w:numId w:val="6"/>
        </w:numPr>
        <w:ind w:left="1531" w:hanging="510"/>
      </w:pPr>
      <w:r>
        <w:rPr>
          <w:rFonts w:hint="eastAsia"/>
        </w:rPr>
        <w:t>工会可以附属于国际工人或雇员组织；</w:t>
      </w:r>
    </w:p>
    <w:p w:rsidR="00000000" w:rsidRDefault="003D15A7" w:rsidP="003D15A7">
      <w:pPr>
        <w:pStyle w:val="a0"/>
        <w:numPr>
          <w:ilvl w:val="0"/>
          <w:numId w:val="6"/>
        </w:numPr>
        <w:ind w:left="1531" w:hanging="510"/>
      </w:pPr>
      <w:r>
        <w:rPr>
          <w:rFonts w:hint="eastAsia"/>
        </w:rPr>
        <w:t>废除了</w:t>
      </w:r>
      <w:r>
        <w:t>1957</w:t>
      </w:r>
      <w:r>
        <w:rPr>
          <w:rFonts w:hint="eastAsia"/>
        </w:rPr>
        <w:t>年《法令》内规定只有摩洛哥公民可以参加工会的条件；</w:t>
      </w:r>
    </w:p>
    <w:p w:rsidR="00000000" w:rsidRDefault="003D15A7" w:rsidP="003D15A7">
      <w:pPr>
        <w:pStyle w:val="a0"/>
        <w:numPr>
          <w:ilvl w:val="0"/>
          <w:numId w:val="6"/>
        </w:numPr>
        <w:ind w:left="1531" w:hanging="510"/>
      </w:pPr>
      <w:r>
        <w:rPr>
          <w:rFonts w:hint="eastAsia"/>
        </w:rPr>
        <w:t>在下列各方面禁止因成为工会成员而受到任何歧视：招聘、管理和分配工作、职业培训、给予福利享受、解雇和纪律措施。</w:t>
      </w:r>
    </w:p>
    <w:p w:rsidR="00000000" w:rsidRDefault="003D15A7">
      <w:pPr>
        <w:pStyle w:val="NormalIndent"/>
      </w:pPr>
      <w:r>
        <w:t xml:space="preserve">108.  </w:t>
      </w:r>
      <w:r>
        <w:rPr>
          <w:rFonts w:hint="eastAsia"/>
        </w:rPr>
        <w:t>自从提交初次报告之后，重新振兴了合作和社会对话，极大地有助于在国家和社会伙伴之间创造新的精神。在社会对</w:t>
      </w:r>
      <w:r>
        <w:rPr>
          <w:rFonts w:hint="eastAsia"/>
        </w:rPr>
        <w:t>话的框架内，</w:t>
      </w:r>
      <w:r>
        <w:t>1996</w:t>
      </w:r>
      <w:r>
        <w:rPr>
          <w:rFonts w:hint="eastAsia"/>
        </w:rPr>
        <w:t>年</w:t>
      </w:r>
      <w:r>
        <w:t>8</w:t>
      </w:r>
      <w:r>
        <w:rPr>
          <w:rFonts w:hint="eastAsia"/>
        </w:rPr>
        <w:t>月</w:t>
      </w:r>
      <w:r>
        <w:t>1</w:t>
      </w:r>
      <w:r>
        <w:rPr>
          <w:rFonts w:hint="eastAsia"/>
        </w:rPr>
        <w:t>日社会伙伴签署了一项联合宣言。以下是联合宣言内有关工会权利的原则：</w:t>
      </w:r>
    </w:p>
    <w:p w:rsidR="00000000" w:rsidRDefault="003D15A7" w:rsidP="003D15A7">
      <w:pPr>
        <w:pStyle w:val="a0"/>
        <w:numPr>
          <w:ilvl w:val="0"/>
          <w:numId w:val="7"/>
        </w:numPr>
        <w:ind w:left="1531" w:hanging="510"/>
      </w:pPr>
      <w:r>
        <w:rPr>
          <w:rFonts w:hint="eastAsia"/>
        </w:rPr>
        <w:t>确保《宪法》规定的自由行使结社自由的必要条件；</w:t>
      </w:r>
    </w:p>
    <w:p w:rsidR="00000000" w:rsidRDefault="003D15A7" w:rsidP="003D15A7">
      <w:pPr>
        <w:pStyle w:val="a0"/>
        <w:numPr>
          <w:ilvl w:val="0"/>
          <w:numId w:val="7"/>
        </w:numPr>
        <w:ind w:left="1531" w:hanging="510"/>
      </w:pPr>
      <w:r>
        <w:rPr>
          <w:rFonts w:hint="eastAsia"/>
        </w:rPr>
        <w:t>在各种各样的社会伙伴之间发展真正的伙伴关系；</w:t>
      </w:r>
    </w:p>
    <w:p w:rsidR="00000000" w:rsidRDefault="003D15A7" w:rsidP="003D15A7">
      <w:pPr>
        <w:pStyle w:val="a0"/>
        <w:numPr>
          <w:ilvl w:val="0"/>
          <w:numId w:val="7"/>
        </w:numPr>
        <w:ind w:left="1531" w:hanging="510"/>
      </w:pPr>
      <w:r>
        <w:rPr>
          <w:rFonts w:hint="eastAsia"/>
        </w:rPr>
        <w:t>尊重摩洛哥已经通过并且正在通过的社会法律和公约，特别尊重关于自由结社和保护组织权利的第</w:t>
      </w:r>
      <w:r>
        <w:t>87</w:t>
      </w:r>
      <w:r>
        <w:rPr>
          <w:rFonts w:hint="eastAsia"/>
        </w:rPr>
        <w:t>号公约和关于工人代表的第</w:t>
      </w:r>
      <w:r>
        <w:t>135</w:t>
      </w:r>
      <w:r>
        <w:rPr>
          <w:rFonts w:hint="eastAsia"/>
        </w:rPr>
        <w:t>号公约；</w:t>
      </w:r>
    </w:p>
    <w:p w:rsidR="00000000" w:rsidRDefault="003D15A7" w:rsidP="003D15A7">
      <w:pPr>
        <w:pStyle w:val="a0"/>
        <w:numPr>
          <w:ilvl w:val="0"/>
          <w:numId w:val="7"/>
        </w:numPr>
        <w:ind w:left="1531" w:hanging="510"/>
      </w:pPr>
      <w:r>
        <w:rPr>
          <w:rFonts w:hint="eastAsia"/>
        </w:rPr>
        <w:t>促进在社会伙伴合作中的集体协定；</w:t>
      </w:r>
    </w:p>
    <w:p w:rsidR="00000000" w:rsidRDefault="003D15A7" w:rsidP="003D15A7">
      <w:pPr>
        <w:pStyle w:val="a0"/>
        <w:numPr>
          <w:ilvl w:val="0"/>
          <w:numId w:val="7"/>
        </w:numPr>
        <w:ind w:left="1531" w:hanging="510"/>
      </w:pPr>
      <w:r>
        <w:rPr>
          <w:rFonts w:hint="eastAsia"/>
        </w:rPr>
        <w:t>尊重《宪法》</w:t>
      </w:r>
      <w:r>
        <w:t>(</w:t>
      </w:r>
      <w:r>
        <w:rPr>
          <w:rFonts w:hint="eastAsia"/>
        </w:rPr>
        <w:t>第</w:t>
      </w:r>
      <w:r>
        <w:t>14</w:t>
      </w:r>
      <w:r>
        <w:rPr>
          <w:rFonts w:hint="eastAsia"/>
        </w:rPr>
        <w:t>条</w:t>
      </w:r>
      <w:r>
        <w:t>)</w:t>
      </w:r>
      <w:r>
        <w:rPr>
          <w:rFonts w:hint="eastAsia"/>
        </w:rPr>
        <w:t>保障的罢工权利；</w:t>
      </w:r>
    </w:p>
    <w:p w:rsidR="00000000" w:rsidRDefault="003D15A7" w:rsidP="003D15A7">
      <w:pPr>
        <w:pStyle w:val="a0"/>
        <w:numPr>
          <w:ilvl w:val="0"/>
          <w:numId w:val="7"/>
        </w:numPr>
        <w:ind w:left="1531" w:hanging="510"/>
      </w:pPr>
      <w:r>
        <w:rPr>
          <w:rFonts w:hint="eastAsia"/>
        </w:rPr>
        <w:t>重新雇用因参加工会活动而被解雇的工人；</w:t>
      </w:r>
    </w:p>
    <w:p w:rsidR="00000000" w:rsidRDefault="003D15A7" w:rsidP="003D15A7">
      <w:pPr>
        <w:pStyle w:val="a0"/>
        <w:numPr>
          <w:ilvl w:val="0"/>
          <w:numId w:val="7"/>
        </w:numPr>
        <w:ind w:left="1531" w:hanging="510"/>
      </w:pPr>
      <w:r>
        <w:rPr>
          <w:rFonts w:hint="eastAsia"/>
        </w:rPr>
        <w:t>支持以国家和国际承认的代表标准成立的行业组织；</w:t>
      </w:r>
    </w:p>
    <w:p w:rsidR="00000000" w:rsidRDefault="003D15A7" w:rsidP="003D15A7">
      <w:pPr>
        <w:pStyle w:val="a0"/>
        <w:numPr>
          <w:ilvl w:val="0"/>
          <w:numId w:val="7"/>
        </w:numPr>
        <w:ind w:left="1531" w:hanging="510"/>
      </w:pPr>
      <w:r>
        <w:rPr>
          <w:rFonts w:hint="eastAsia"/>
        </w:rPr>
        <w:t>尊重谈判中工会代表性原则，尊</w:t>
      </w:r>
      <w:r>
        <w:rPr>
          <w:rFonts w:hint="eastAsia"/>
        </w:rPr>
        <w:t>重国家和国际一级的工人代表性。</w:t>
      </w:r>
    </w:p>
    <w:p w:rsidR="00000000" w:rsidRDefault="003D15A7">
      <w:pPr>
        <w:pStyle w:val="NormalIndent"/>
      </w:pPr>
      <w:r>
        <w:t>109.  8</w:t>
      </w:r>
      <w:r>
        <w:rPr>
          <w:rFonts w:hint="eastAsia"/>
        </w:rPr>
        <w:t>月</w:t>
      </w:r>
      <w:r>
        <w:t>1</w:t>
      </w:r>
      <w:r>
        <w:rPr>
          <w:rFonts w:hint="eastAsia"/>
        </w:rPr>
        <w:t>日的协定取得了若干重要的进展：在公共和私营部门增加了工资；提高家庭津贴；改善退休金和退休安排；通过了国家教育部教师内部晋升的特殊制度；彻底和定期审查地方、省和国家一级的劳资纠纷；扩大</w:t>
      </w:r>
      <w:r>
        <w:t>8</w:t>
      </w:r>
      <w:r>
        <w:rPr>
          <w:rFonts w:hint="eastAsia"/>
        </w:rPr>
        <w:t>月</w:t>
      </w:r>
      <w:r>
        <w:t>1</w:t>
      </w:r>
      <w:r>
        <w:rPr>
          <w:rFonts w:hint="eastAsia"/>
        </w:rPr>
        <w:t>日协定，纳入国家新闻工会和建立一个类似其他部门的特别委员会的决定；根据一系列皇家赦免令对从公共和半公共部门被解雇的人进行平反；加强和严格执行社会对话的。其他计划中的措施正在讨论之中。</w:t>
      </w:r>
    </w:p>
    <w:p w:rsidR="00000000" w:rsidRDefault="003D15A7">
      <w:pPr>
        <w:pStyle w:val="NormalIndent"/>
      </w:pPr>
      <w:r>
        <w:t xml:space="preserve">110.  </w:t>
      </w:r>
      <w:r>
        <w:rPr>
          <w:rFonts w:hint="eastAsia"/>
        </w:rPr>
        <w:t>自委任了通过社会对话进程产生的特设委员会之后重新开始了通过劳动法草案的进程。在</w:t>
      </w:r>
      <w:r>
        <w:rPr>
          <w:rFonts w:hint="eastAsia"/>
        </w:rPr>
        <w:t>社会伙伴的要求下，正在进行磋商以期对一些尚未解决的问题达成妥协。</w:t>
      </w:r>
    </w:p>
    <w:p w:rsidR="00000000" w:rsidRDefault="003D15A7">
      <w:pPr>
        <w:pStyle w:val="NormalIndent"/>
      </w:pPr>
      <w:r>
        <w:t>111.  1996</w:t>
      </w:r>
      <w:r>
        <w:rPr>
          <w:rFonts w:hint="eastAsia"/>
        </w:rPr>
        <w:t>年《宪法》重申保障罢工权利。唯一的限制</w:t>
      </w:r>
      <w:r>
        <w:t>(</w:t>
      </w:r>
      <w:r>
        <w:rPr>
          <w:rFonts w:hint="eastAsia"/>
        </w:rPr>
        <w:t>武装部队、警察</w:t>
      </w:r>
      <w:r>
        <w:t>)</w:t>
      </w:r>
      <w:r>
        <w:rPr>
          <w:rFonts w:hint="eastAsia"/>
        </w:rPr>
        <w:t>仍然符合《盟约》第</w:t>
      </w:r>
      <w:r>
        <w:t>8</w:t>
      </w:r>
      <w:r>
        <w:rPr>
          <w:rFonts w:hint="eastAsia"/>
        </w:rPr>
        <w:t>条第</w:t>
      </w:r>
      <w:r>
        <w:t>2</w:t>
      </w:r>
      <w:r>
        <w:rPr>
          <w:rFonts w:hint="eastAsia"/>
        </w:rPr>
        <w:t>款的规定。</w:t>
      </w:r>
    </w:p>
    <w:p w:rsidR="00000000" w:rsidRDefault="003D15A7">
      <w:pPr>
        <w:pStyle w:val="NormalIndent"/>
        <w:spacing w:after="320"/>
        <w:textAlignment w:val="center"/>
      </w:pPr>
      <w:r>
        <w:t xml:space="preserve">112.  </w:t>
      </w:r>
      <w:r>
        <w:rPr>
          <w:rFonts w:hint="eastAsia"/>
        </w:rPr>
        <w:t>摩洛哥政府决心加强和有关部门、机构、非政府组织的合作以期最终解决向摩洛哥王国人权咨询理事会提出的尚未解决的情况。</w:t>
      </w:r>
    </w:p>
    <w:p w:rsidR="00000000" w:rsidRDefault="003D15A7">
      <w:pPr>
        <w:pStyle w:val="Heading2"/>
      </w:pPr>
      <w:r>
        <w:rPr>
          <w:rFonts w:hint="eastAsia"/>
        </w:rPr>
        <w:t>第</w:t>
      </w:r>
      <w:r>
        <w:t xml:space="preserve"> 9 </w:t>
      </w:r>
      <w:r>
        <w:rPr>
          <w:rFonts w:hint="eastAsia"/>
        </w:rPr>
        <w:t>条</w:t>
      </w:r>
    </w:p>
    <w:p w:rsidR="00000000" w:rsidRDefault="003D15A7">
      <w:pPr>
        <w:pStyle w:val="Heading3"/>
      </w:pPr>
      <w:r>
        <w:rPr>
          <w:rFonts w:hint="eastAsia"/>
        </w:rPr>
        <w:t>社会保险权利</w:t>
      </w:r>
    </w:p>
    <w:p w:rsidR="00000000" w:rsidRDefault="003D15A7">
      <w:pPr>
        <w:pStyle w:val="NormalIndent"/>
        <w:spacing w:after="320"/>
        <w:textAlignment w:val="center"/>
      </w:pPr>
      <w:r>
        <w:t xml:space="preserve">113.  </w:t>
      </w:r>
      <w:r>
        <w:rPr>
          <w:rFonts w:hint="eastAsia"/>
        </w:rPr>
        <w:t>摩洛哥具有强制性和选择性、公共和私有基金的各种国家保险机制。</w:t>
      </w:r>
    </w:p>
    <w:p w:rsidR="00000000" w:rsidRDefault="003D15A7">
      <w:pPr>
        <w:pStyle w:val="Heading3"/>
      </w:pPr>
      <w:r>
        <w:rPr>
          <w:u w:val="none"/>
        </w:rPr>
        <w:t xml:space="preserve">A.  </w:t>
      </w:r>
      <w:r>
        <w:rPr>
          <w:rFonts w:hint="eastAsia"/>
        </w:rPr>
        <w:t>强制性基金</w:t>
      </w:r>
    </w:p>
    <w:p w:rsidR="00000000" w:rsidRDefault="003D15A7">
      <w:pPr>
        <w:pStyle w:val="NormalIndent"/>
      </w:pPr>
      <w:r>
        <w:t xml:space="preserve">114.  </w:t>
      </w:r>
      <w:r>
        <w:rPr>
          <w:rFonts w:hint="eastAsia"/>
        </w:rPr>
        <w:t>这些包括全国社会保险基金、摩洛哥退休基金和公共退休金制度。</w:t>
      </w:r>
    </w:p>
    <w:p w:rsidR="00000000" w:rsidRDefault="003D15A7">
      <w:pPr>
        <w:pStyle w:val="NormalIndent"/>
      </w:pPr>
      <w:r>
        <w:t xml:space="preserve">115.  </w:t>
      </w:r>
      <w:r>
        <w:rPr>
          <w:rFonts w:hint="eastAsia"/>
        </w:rPr>
        <w:t>社</w:t>
      </w:r>
      <w:r>
        <w:rPr>
          <w:rFonts w:hint="eastAsia"/>
        </w:rPr>
        <w:t>会保险基金是私营部门雇员得到社会保护的主要手段，规定了三种类型的救济金：家庭津贴、短期救济金，长期支付款项。基金由雇员和雇主捐款供资。</w:t>
      </w:r>
    </w:p>
    <w:p w:rsidR="00000000" w:rsidRDefault="003D15A7">
      <w:pPr>
        <w:pStyle w:val="NormalIndent"/>
      </w:pPr>
      <w:r>
        <w:t xml:space="preserve">116.  </w:t>
      </w:r>
      <w:r>
        <w:rPr>
          <w:rFonts w:hint="eastAsia"/>
        </w:rPr>
        <w:t>对工业、商业和私营部门行业的企业及其雇员而言，参加社会保险是自动和强制性的。渔民</w:t>
      </w:r>
      <w:r>
        <w:t>(</w:t>
      </w:r>
      <w:r>
        <w:rPr>
          <w:rFonts w:hint="eastAsia"/>
        </w:rPr>
        <w:t>以个人为基础</w:t>
      </w:r>
      <w:r>
        <w:t>)</w:t>
      </w:r>
      <w:r>
        <w:rPr>
          <w:rFonts w:hint="eastAsia"/>
        </w:rPr>
        <w:t>参加社会保险也是强制性的。</w:t>
      </w:r>
      <w:r>
        <w:t>1982</w:t>
      </w:r>
      <w:r>
        <w:rPr>
          <w:rFonts w:hint="eastAsia"/>
        </w:rPr>
        <w:t>年</w:t>
      </w:r>
      <w:r>
        <w:t>7</w:t>
      </w:r>
      <w:r>
        <w:rPr>
          <w:rFonts w:hint="eastAsia"/>
        </w:rPr>
        <w:t>月这项制度扩大到农业和林业部门。</w:t>
      </w:r>
      <w:r>
        <w:t>1994</w:t>
      </w:r>
      <w:r>
        <w:rPr>
          <w:rFonts w:hint="eastAsia"/>
        </w:rPr>
        <w:t>年</w:t>
      </w:r>
      <w:r>
        <w:t>6</w:t>
      </w:r>
      <w:r>
        <w:rPr>
          <w:rFonts w:hint="eastAsia"/>
        </w:rPr>
        <w:t>月，这项制度扩大到手工业</w:t>
      </w:r>
      <w:r>
        <w:t>(1993</w:t>
      </w:r>
      <w:r>
        <w:rPr>
          <w:rFonts w:hint="eastAsia"/>
        </w:rPr>
        <w:t>年</w:t>
      </w:r>
      <w:r>
        <w:t>4</w:t>
      </w:r>
      <w:r>
        <w:rPr>
          <w:rFonts w:hint="eastAsia"/>
        </w:rPr>
        <w:t>月</w:t>
      </w:r>
      <w:r>
        <w:t>29</w:t>
      </w:r>
      <w:r>
        <w:rPr>
          <w:rFonts w:hint="eastAsia"/>
        </w:rPr>
        <w:t>日法令、</w:t>
      </w:r>
      <w:r>
        <w:t>1993</w:t>
      </w:r>
      <w:r>
        <w:rPr>
          <w:rFonts w:hint="eastAsia"/>
        </w:rPr>
        <w:t>年</w:t>
      </w:r>
      <w:r>
        <w:t>5</w:t>
      </w:r>
      <w:r>
        <w:rPr>
          <w:rFonts w:hint="eastAsia"/>
        </w:rPr>
        <w:t>月</w:t>
      </w:r>
      <w:r>
        <w:t>19</w:t>
      </w:r>
      <w:r>
        <w:rPr>
          <w:rFonts w:hint="eastAsia"/>
        </w:rPr>
        <w:t>日第</w:t>
      </w:r>
      <w:r>
        <w:t>4203</w:t>
      </w:r>
      <w:r>
        <w:rPr>
          <w:rFonts w:hint="eastAsia"/>
        </w:rPr>
        <w:t>号公报，第</w:t>
      </w:r>
      <w:r>
        <w:t>193</w:t>
      </w:r>
      <w:r>
        <w:rPr>
          <w:rFonts w:hint="eastAsia"/>
        </w:rPr>
        <w:t>页</w:t>
      </w:r>
      <w:r>
        <w:t>)</w:t>
      </w:r>
      <w:r>
        <w:rPr>
          <w:rFonts w:hint="eastAsia"/>
        </w:rPr>
        <w:t>。</w:t>
      </w:r>
    </w:p>
    <w:p w:rsidR="00000000" w:rsidRDefault="003D15A7">
      <w:pPr>
        <w:pStyle w:val="NormalIndent"/>
      </w:pPr>
      <w:r>
        <w:t xml:space="preserve">117.  </w:t>
      </w:r>
      <w:r>
        <w:rPr>
          <w:rFonts w:hint="eastAsia"/>
        </w:rPr>
        <w:t>不再属于强制性安排的雇员可以自愿成为社会保险制度的成员。他们可以继续</w:t>
      </w:r>
      <w:r>
        <w:rPr>
          <w:rFonts w:hint="eastAsia"/>
        </w:rPr>
        <w:t>支付社会保险费以便维持长期</w:t>
      </w:r>
      <w:r>
        <w:t>(</w:t>
      </w:r>
      <w:r>
        <w:rPr>
          <w:rFonts w:hint="eastAsia"/>
        </w:rPr>
        <w:t>丧失工作能力、年老、幸存者</w:t>
      </w:r>
      <w:r>
        <w:t>)</w:t>
      </w:r>
      <w:r>
        <w:rPr>
          <w:rFonts w:hint="eastAsia"/>
        </w:rPr>
        <w:t>和短期</w:t>
      </w:r>
      <w:r>
        <w:t>(</w:t>
      </w:r>
      <w:r>
        <w:rPr>
          <w:rFonts w:hint="eastAsia"/>
        </w:rPr>
        <w:t>疾病类津贴、产妇津贴、死亡津贴</w:t>
      </w:r>
      <w:r>
        <w:t>)</w:t>
      </w:r>
      <w:r>
        <w:rPr>
          <w:rFonts w:hint="eastAsia"/>
        </w:rPr>
        <w:t>享受救济金的全部权利。</w:t>
      </w:r>
    </w:p>
    <w:p w:rsidR="00000000" w:rsidRDefault="003D15A7">
      <w:pPr>
        <w:pStyle w:val="NormalIndent"/>
      </w:pPr>
      <w:r>
        <w:t xml:space="preserve">118.  </w:t>
      </w:r>
      <w:r>
        <w:rPr>
          <w:rFonts w:hint="eastAsia"/>
        </w:rPr>
        <w:t>参加社会保险基金的企业数量从</w:t>
      </w:r>
      <w:r>
        <w:t>1961</w:t>
      </w:r>
      <w:r>
        <w:rPr>
          <w:rFonts w:hint="eastAsia"/>
        </w:rPr>
        <w:t>年的</w:t>
      </w:r>
      <w:r>
        <w:t>19,821</w:t>
      </w:r>
      <w:r>
        <w:rPr>
          <w:rFonts w:hint="eastAsia"/>
        </w:rPr>
        <w:t>个增加到</w:t>
      </w:r>
      <w:r>
        <w:t>1996</w:t>
      </w:r>
      <w:r>
        <w:rPr>
          <w:rFonts w:hint="eastAsia"/>
        </w:rPr>
        <w:t>年</w:t>
      </w:r>
      <w:r>
        <w:t>12</w:t>
      </w:r>
      <w:r>
        <w:rPr>
          <w:rFonts w:hint="eastAsia"/>
        </w:rPr>
        <w:t>月</w:t>
      </w:r>
      <w:r>
        <w:t>31</w:t>
      </w:r>
      <w:r>
        <w:rPr>
          <w:rFonts w:hint="eastAsia"/>
        </w:rPr>
        <w:t>日的</w:t>
      </w:r>
      <w:r>
        <w:t>67,544</w:t>
      </w:r>
      <w:r>
        <w:rPr>
          <w:rFonts w:hint="eastAsia"/>
        </w:rPr>
        <w:t>个，平均每年上升比例为</w:t>
      </w:r>
      <w:r>
        <w:t>4.55%</w:t>
      </w:r>
      <w:r>
        <w:rPr>
          <w:rFonts w:hint="eastAsia"/>
        </w:rPr>
        <w:t>。</w:t>
      </w:r>
      <w:r>
        <w:t xml:space="preserve"> </w:t>
      </w:r>
      <w:r>
        <w:rPr>
          <w:rFonts w:hint="eastAsia"/>
        </w:rPr>
        <w:t>注册登记的雇员人数从</w:t>
      </w:r>
      <w:r>
        <w:t>1961</w:t>
      </w:r>
      <w:r>
        <w:rPr>
          <w:rFonts w:hint="eastAsia"/>
        </w:rPr>
        <w:t>年的</w:t>
      </w:r>
      <w:r>
        <w:t>284,782</w:t>
      </w:r>
      <w:r>
        <w:rPr>
          <w:rFonts w:hint="eastAsia"/>
        </w:rPr>
        <w:t>人上升至</w:t>
      </w:r>
      <w:r>
        <w:t>1996</w:t>
      </w:r>
      <w:r>
        <w:rPr>
          <w:rFonts w:hint="eastAsia"/>
        </w:rPr>
        <w:t>年的</w:t>
      </w:r>
      <w:r>
        <w:t>930,000</w:t>
      </w:r>
      <w:r>
        <w:rPr>
          <w:rFonts w:hint="eastAsia"/>
        </w:rPr>
        <w:t>人，</w:t>
      </w:r>
      <w:r>
        <w:t xml:space="preserve"> </w:t>
      </w:r>
      <w:r>
        <w:rPr>
          <w:rFonts w:hint="eastAsia"/>
        </w:rPr>
        <w:t>平均年上升比例为</w:t>
      </w:r>
      <w:r>
        <w:t>3.50%</w:t>
      </w:r>
      <w:r>
        <w:rPr>
          <w:rFonts w:hint="eastAsia"/>
        </w:rPr>
        <w:t>。</w:t>
      </w:r>
    </w:p>
    <w:p w:rsidR="00000000" w:rsidRDefault="003D15A7">
      <w:pPr>
        <w:pStyle w:val="NormalIndent"/>
        <w:spacing w:after="320"/>
        <w:textAlignment w:val="center"/>
      </w:pPr>
      <w:r>
        <w:t xml:space="preserve">119.  </w:t>
      </w:r>
      <w:r>
        <w:rPr>
          <w:rFonts w:hint="eastAsia"/>
        </w:rPr>
        <w:t>摩洛哥退休基金管理公务员和军官、地方政府官员和公共机构官员的退休金制度。这项基金由雇员及其雇主提供的捐款作为基金。</w:t>
      </w:r>
    </w:p>
    <w:p w:rsidR="00000000" w:rsidRDefault="003D15A7">
      <w:pPr>
        <w:pStyle w:val="Heading3"/>
      </w:pPr>
      <w:r>
        <w:rPr>
          <w:u w:val="none"/>
        </w:rPr>
        <w:t>B.</w:t>
      </w:r>
      <w:r>
        <w:rPr>
          <w:u w:val="none"/>
        </w:rPr>
        <w:t xml:space="preserve">  </w:t>
      </w:r>
      <w:r>
        <w:rPr>
          <w:rFonts w:hint="eastAsia"/>
        </w:rPr>
        <w:t>任</w:t>
      </w:r>
      <w:r>
        <w:t xml:space="preserve"> </w:t>
      </w:r>
      <w:r>
        <w:rPr>
          <w:rFonts w:hint="eastAsia"/>
        </w:rPr>
        <w:t>择</w:t>
      </w:r>
      <w:r>
        <w:t xml:space="preserve"> </w:t>
      </w:r>
      <w:r>
        <w:rPr>
          <w:rFonts w:hint="eastAsia"/>
        </w:rPr>
        <w:t>基</w:t>
      </w:r>
      <w:r>
        <w:t xml:space="preserve"> </w:t>
      </w:r>
      <w:r>
        <w:rPr>
          <w:rFonts w:hint="eastAsia"/>
        </w:rPr>
        <w:t>金</w:t>
      </w:r>
    </w:p>
    <w:p w:rsidR="00000000" w:rsidRDefault="003D15A7">
      <w:pPr>
        <w:pStyle w:val="NormalIndent"/>
      </w:pPr>
      <w:r>
        <w:t xml:space="preserve">120.  </w:t>
      </w:r>
      <w:r>
        <w:rPr>
          <w:rFonts w:hint="eastAsia"/>
        </w:rPr>
        <w:t>任择基金，和互助社一起，主要管理卫生保健。摩洛哥行业间退休基金为私营部门的雇员提供额外的退休保险。保险公司越来越积极地参加提供额外的保护。</w:t>
      </w:r>
    </w:p>
    <w:p w:rsidR="00000000" w:rsidRDefault="003D15A7">
      <w:pPr>
        <w:pStyle w:val="NormalIndent"/>
        <w:spacing w:after="320"/>
        <w:textAlignment w:val="center"/>
      </w:pPr>
      <w:r>
        <w:t xml:space="preserve">121.  </w:t>
      </w:r>
      <w:r>
        <w:rPr>
          <w:rFonts w:hint="eastAsia"/>
        </w:rPr>
        <w:t>国家某些保险金由雇主，或由私营部门</w:t>
      </w:r>
      <w:r>
        <w:t>(</w:t>
      </w:r>
      <w:r>
        <w:rPr>
          <w:rFonts w:hint="eastAsia"/>
        </w:rPr>
        <w:t>工伤和职业病</w:t>
      </w:r>
      <w:r>
        <w:t>)</w:t>
      </w:r>
      <w:r>
        <w:rPr>
          <w:rFonts w:hint="eastAsia"/>
        </w:rPr>
        <w:t>或由公共部门</w:t>
      </w:r>
      <w:r>
        <w:t>(</w:t>
      </w:r>
      <w:r>
        <w:rPr>
          <w:rFonts w:hint="eastAsia"/>
        </w:rPr>
        <w:t>家庭津贴、工伤</w:t>
      </w:r>
      <w:r>
        <w:t>)</w:t>
      </w:r>
      <w:r>
        <w:rPr>
          <w:rFonts w:hint="eastAsia"/>
        </w:rPr>
        <w:t>的雇主管理。一些公共机构有其自己的社会保险基金。</w:t>
      </w:r>
    </w:p>
    <w:p w:rsidR="00000000" w:rsidRDefault="003D15A7">
      <w:pPr>
        <w:pStyle w:val="Heading3"/>
      </w:pPr>
      <w:r>
        <w:rPr>
          <w:u w:val="none"/>
        </w:rPr>
        <w:t xml:space="preserve">C.  </w:t>
      </w:r>
      <w:r>
        <w:rPr>
          <w:rFonts w:hint="eastAsia"/>
        </w:rPr>
        <w:t>健</w:t>
      </w:r>
      <w:r>
        <w:t xml:space="preserve"> </w:t>
      </w:r>
      <w:r>
        <w:rPr>
          <w:rFonts w:hint="eastAsia"/>
        </w:rPr>
        <w:t>康</w:t>
      </w:r>
      <w:r>
        <w:t xml:space="preserve"> </w:t>
      </w:r>
      <w:r>
        <w:rPr>
          <w:rFonts w:hint="eastAsia"/>
        </w:rPr>
        <w:t>保</w:t>
      </w:r>
      <w:r>
        <w:t xml:space="preserve"> </w:t>
      </w:r>
      <w:r>
        <w:rPr>
          <w:rFonts w:hint="eastAsia"/>
        </w:rPr>
        <w:t>险</w:t>
      </w:r>
    </w:p>
    <w:p w:rsidR="00000000" w:rsidRDefault="003D15A7">
      <w:pPr>
        <w:pStyle w:val="NormalIndent"/>
        <w:spacing w:after="320"/>
        <w:textAlignment w:val="center"/>
      </w:pPr>
      <w:r>
        <w:t xml:space="preserve">122.  </w:t>
      </w:r>
      <w:r>
        <w:rPr>
          <w:rFonts w:hint="eastAsia"/>
        </w:rPr>
        <w:t>由于健康保险没有强制性的安排，因而由保险公司和互助社共同负担救济金。保险公司在私营部门特别流行。在公共部门，</w:t>
      </w:r>
      <w:r>
        <w:t>9</w:t>
      </w:r>
      <w:r>
        <w:rPr>
          <w:rFonts w:hint="eastAsia"/>
        </w:rPr>
        <w:t>个互助社已经一起结成了一个联合基金，全国节俭组织基金</w:t>
      </w:r>
      <w:r>
        <w:rPr>
          <w:rFonts w:hint="eastAsia"/>
        </w:rPr>
        <w:t>为</w:t>
      </w:r>
      <w:r>
        <w:t>80%</w:t>
      </w:r>
      <w:r>
        <w:rPr>
          <w:rFonts w:hint="eastAsia"/>
        </w:rPr>
        <w:t>的公共部门的雇员提供保险。这个机构的目的是代表其成员及其有资格的受扶养人以节俭、相互依赖、相互援助的精神开展工作，以负担可能对人造成的风险。节俭基金有将近</w:t>
      </w:r>
      <w:r>
        <w:t>100</w:t>
      </w:r>
      <w:r>
        <w:rPr>
          <w:rFonts w:hint="eastAsia"/>
        </w:rPr>
        <w:t>万成员，</w:t>
      </w:r>
      <w:r>
        <w:t>200</w:t>
      </w:r>
      <w:r>
        <w:rPr>
          <w:rFonts w:hint="eastAsia"/>
        </w:rPr>
        <w:t>多万名其他有资格的受扶养人，这些人在国外时有权得到保健费用、第三方保险、社会基金和保险金的偿付。</w:t>
      </w:r>
    </w:p>
    <w:p w:rsidR="00000000" w:rsidRDefault="003D15A7">
      <w:pPr>
        <w:pStyle w:val="Heading3"/>
      </w:pPr>
      <w:r>
        <w:rPr>
          <w:rFonts w:hint="eastAsia"/>
        </w:rPr>
        <w:t>互助社社员人数增加情况</w:t>
      </w:r>
    </w:p>
    <w:tbl>
      <w:tblPr>
        <w:tblW w:w="0" w:type="auto"/>
        <w:tblInd w:w="2" w:type="dxa"/>
        <w:tblLayout w:type="fixed"/>
        <w:tblCellMar>
          <w:left w:w="46" w:type="dxa"/>
          <w:right w:w="46" w:type="dxa"/>
        </w:tblCellMar>
        <w:tblLook w:val="0000" w:firstRow="0" w:lastRow="0" w:firstColumn="0" w:lastColumn="0" w:noHBand="0" w:noVBand="0"/>
      </w:tblPr>
      <w:tblGrid>
        <w:gridCol w:w="1758"/>
        <w:gridCol w:w="1261"/>
        <w:gridCol w:w="1321"/>
        <w:gridCol w:w="1321"/>
        <w:gridCol w:w="1321"/>
        <w:gridCol w:w="1321"/>
        <w:gridCol w:w="1334"/>
      </w:tblGrid>
      <w:tr w:rsidR="00000000">
        <w:tblPrEx>
          <w:tblCellMar>
            <w:top w:w="0" w:type="dxa"/>
            <w:bottom w:w="0" w:type="dxa"/>
          </w:tblCellMar>
        </w:tblPrEx>
        <w:trPr>
          <w:cantSplit/>
        </w:trPr>
        <w:tc>
          <w:tcPr>
            <w:tcW w:w="1758" w:type="dxa"/>
            <w:tcBorders>
              <w:top w:val="single" w:sz="6" w:space="0" w:color="auto"/>
              <w:left w:val="single" w:sz="6" w:space="0" w:color="auto"/>
            </w:tcBorders>
          </w:tcPr>
          <w:p w:rsidR="00000000" w:rsidRDefault="003D15A7">
            <w:pPr>
              <w:spacing w:before="80"/>
              <w:jc w:val="center"/>
              <w:rPr>
                <w:sz w:val="21"/>
              </w:rPr>
            </w:pPr>
          </w:p>
        </w:tc>
        <w:tc>
          <w:tcPr>
            <w:tcW w:w="1261" w:type="dxa"/>
            <w:tcBorders>
              <w:top w:val="single" w:sz="6" w:space="0" w:color="auto"/>
              <w:left w:val="single" w:sz="6" w:space="0" w:color="auto"/>
            </w:tcBorders>
          </w:tcPr>
          <w:p w:rsidR="00000000" w:rsidRDefault="003D15A7">
            <w:pPr>
              <w:spacing w:before="80"/>
              <w:jc w:val="center"/>
              <w:rPr>
                <w:sz w:val="21"/>
              </w:rPr>
            </w:pPr>
            <w:r>
              <w:rPr>
                <w:sz w:val="21"/>
              </w:rPr>
              <w:t>1994</w:t>
            </w:r>
          </w:p>
        </w:tc>
        <w:tc>
          <w:tcPr>
            <w:tcW w:w="1321" w:type="dxa"/>
            <w:tcBorders>
              <w:top w:val="single" w:sz="6" w:space="0" w:color="auto"/>
              <w:left w:val="single" w:sz="6" w:space="0" w:color="auto"/>
            </w:tcBorders>
          </w:tcPr>
          <w:p w:rsidR="00000000" w:rsidRDefault="003D15A7">
            <w:pPr>
              <w:spacing w:before="80"/>
              <w:jc w:val="center"/>
              <w:rPr>
                <w:sz w:val="21"/>
              </w:rPr>
            </w:pPr>
            <w:r>
              <w:rPr>
                <w:sz w:val="21"/>
              </w:rPr>
              <w:t>%</w:t>
            </w:r>
          </w:p>
        </w:tc>
        <w:tc>
          <w:tcPr>
            <w:tcW w:w="1321" w:type="dxa"/>
            <w:tcBorders>
              <w:top w:val="single" w:sz="6" w:space="0" w:color="auto"/>
              <w:left w:val="single" w:sz="6" w:space="0" w:color="auto"/>
            </w:tcBorders>
          </w:tcPr>
          <w:p w:rsidR="00000000" w:rsidRDefault="003D15A7">
            <w:pPr>
              <w:spacing w:before="80"/>
              <w:jc w:val="center"/>
              <w:rPr>
                <w:sz w:val="21"/>
              </w:rPr>
            </w:pPr>
            <w:r>
              <w:rPr>
                <w:sz w:val="21"/>
              </w:rPr>
              <w:t>1995</w:t>
            </w:r>
          </w:p>
        </w:tc>
        <w:tc>
          <w:tcPr>
            <w:tcW w:w="1321" w:type="dxa"/>
            <w:tcBorders>
              <w:top w:val="single" w:sz="6" w:space="0" w:color="auto"/>
              <w:left w:val="single" w:sz="6" w:space="0" w:color="auto"/>
            </w:tcBorders>
          </w:tcPr>
          <w:p w:rsidR="00000000" w:rsidRDefault="003D15A7">
            <w:pPr>
              <w:spacing w:before="80"/>
              <w:jc w:val="center"/>
              <w:rPr>
                <w:sz w:val="21"/>
              </w:rPr>
            </w:pPr>
            <w:r>
              <w:rPr>
                <w:sz w:val="21"/>
              </w:rPr>
              <w:t>%</w:t>
            </w:r>
          </w:p>
        </w:tc>
        <w:tc>
          <w:tcPr>
            <w:tcW w:w="1321" w:type="dxa"/>
            <w:tcBorders>
              <w:top w:val="single" w:sz="6" w:space="0" w:color="auto"/>
              <w:left w:val="single" w:sz="6" w:space="0" w:color="auto"/>
            </w:tcBorders>
          </w:tcPr>
          <w:p w:rsidR="00000000" w:rsidRDefault="003D15A7">
            <w:pPr>
              <w:spacing w:before="80"/>
              <w:jc w:val="center"/>
              <w:rPr>
                <w:sz w:val="21"/>
              </w:rPr>
            </w:pPr>
            <w:r>
              <w:rPr>
                <w:sz w:val="21"/>
              </w:rPr>
              <w:t>1996</w:t>
            </w:r>
          </w:p>
        </w:tc>
        <w:tc>
          <w:tcPr>
            <w:tcW w:w="1334" w:type="dxa"/>
            <w:tcBorders>
              <w:top w:val="single" w:sz="6" w:space="0" w:color="auto"/>
              <w:left w:val="single" w:sz="6" w:space="0" w:color="auto"/>
              <w:right w:val="single" w:sz="6" w:space="0" w:color="auto"/>
            </w:tcBorders>
          </w:tcPr>
          <w:p w:rsidR="00000000" w:rsidRDefault="003D15A7">
            <w:pPr>
              <w:spacing w:before="80"/>
              <w:jc w:val="center"/>
              <w:rPr>
                <w:sz w:val="21"/>
              </w:rPr>
            </w:pPr>
            <w:r>
              <w:rPr>
                <w:sz w:val="21"/>
              </w:rPr>
              <w:t>%</w:t>
            </w:r>
          </w:p>
        </w:tc>
      </w:tr>
      <w:tr w:rsidR="00000000">
        <w:tblPrEx>
          <w:tblCellMar>
            <w:top w:w="0" w:type="dxa"/>
            <w:bottom w:w="0" w:type="dxa"/>
          </w:tblCellMar>
        </w:tblPrEx>
        <w:trPr>
          <w:cantSplit/>
        </w:trPr>
        <w:tc>
          <w:tcPr>
            <w:tcW w:w="1758" w:type="dxa"/>
            <w:tcBorders>
              <w:top w:val="single" w:sz="6" w:space="0" w:color="auto"/>
              <w:left w:val="single" w:sz="6" w:space="0" w:color="auto"/>
            </w:tcBorders>
          </w:tcPr>
          <w:p w:rsidR="00000000" w:rsidRDefault="003D15A7">
            <w:pPr>
              <w:spacing w:before="80"/>
              <w:rPr>
                <w:sz w:val="21"/>
              </w:rPr>
            </w:pPr>
            <w:r>
              <w:rPr>
                <w:rFonts w:hint="eastAsia"/>
                <w:sz w:val="21"/>
              </w:rPr>
              <w:t>社员人数</w:t>
            </w:r>
          </w:p>
        </w:tc>
        <w:tc>
          <w:tcPr>
            <w:tcW w:w="126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956"/>
              </w:tabs>
              <w:spacing w:before="80"/>
              <w:rPr>
                <w:sz w:val="21"/>
              </w:rPr>
            </w:pPr>
            <w:r>
              <w:rPr>
                <w:sz w:val="21"/>
              </w:rPr>
              <w:t>898,461</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535"/>
              </w:tabs>
              <w:spacing w:before="80"/>
              <w:rPr>
                <w:sz w:val="21"/>
              </w:rPr>
            </w:pPr>
            <w:r>
              <w:rPr>
                <w:sz w:val="21"/>
              </w:rPr>
              <w:t>32.04</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014"/>
              </w:tabs>
              <w:spacing w:before="80"/>
              <w:rPr>
                <w:sz w:val="21"/>
              </w:rPr>
            </w:pPr>
            <w:r>
              <w:rPr>
                <w:sz w:val="21"/>
              </w:rPr>
              <w:t>942,224</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653"/>
              </w:tabs>
              <w:spacing w:before="80"/>
              <w:rPr>
                <w:sz w:val="21"/>
              </w:rPr>
            </w:pPr>
            <w:r>
              <w:rPr>
                <w:sz w:val="21"/>
              </w:rPr>
              <w:t>32.01</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012"/>
              </w:tabs>
              <w:spacing w:before="80"/>
              <w:rPr>
                <w:sz w:val="21"/>
              </w:rPr>
            </w:pPr>
            <w:r>
              <w:rPr>
                <w:sz w:val="21"/>
              </w:rPr>
              <w:t>961,352</w:t>
            </w:r>
          </w:p>
        </w:tc>
        <w:tc>
          <w:tcPr>
            <w:tcW w:w="1334"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651"/>
              </w:tabs>
              <w:spacing w:before="80"/>
              <w:rPr>
                <w:sz w:val="21"/>
              </w:rPr>
            </w:pPr>
            <w:r>
              <w:rPr>
                <w:sz w:val="21"/>
              </w:rPr>
              <w:t>32.30</w:t>
            </w:r>
          </w:p>
        </w:tc>
      </w:tr>
      <w:tr w:rsidR="00000000">
        <w:tblPrEx>
          <w:tblCellMar>
            <w:top w:w="0" w:type="dxa"/>
            <w:bottom w:w="0" w:type="dxa"/>
          </w:tblCellMar>
        </w:tblPrEx>
        <w:trPr>
          <w:cantSplit/>
        </w:trPr>
        <w:tc>
          <w:tcPr>
            <w:tcW w:w="1758" w:type="dxa"/>
            <w:tcBorders>
              <w:top w:val="single" w:sz="6" w:space="0" w:color="auto"/>
              <w:left w:val="single" w:sz="6" w:space="0" w:color="auto"/>
            </w:tcBorders>
          </w:tcPr>
          <w:p w:rsidR="00000000" w:rsidRDefault="003D15A7">
            <w:pPr>
              <w:spacing w:before="80"/>
              <w:rPr>
                <w:sz w:val="21"/>
              </w:rPr>
            </w:pPr>
            <w:r>
              <w:rPr>
                <w:rFonts w:hint="eastAsia"/>
                <w:sz w:val="21"/>
              </w:rPr>
              <w:t>受益亲属：</w:t>
            </w:r>
          </w:p>
        </w:tc>
        <w:tc>
          <w:tcPr>
            <w:tcW w:w="126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956"/>
              </w:tabs>
              <w:spacing w:before="80"/>
              <w:rPr>
                <w:sz w:val="21"/>
              </w:rPr>
            </w:pPr>
            <w:r>
              <w:rPr>
                <w:sz w:val="21"/>
              </w:rPr>
              <w:t>1,905,677</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535"/>
              </w:tabs>
              <w:spacing w:before="80"/>
              <w:rPr>
                <w:sz w:val="21"/>
              </w:rPr>
            </w:pPr>
            <w:r>
              <w:rPr>
                <w:sz w:val="21"/>
              </w:rPr>
              <w:t>67.96</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014"/>
              </w:tabs>
              <w:spacing w:before="80"/>
              <w:rPr>
                <w:sz w:val="21"/>
              </w:rPr>
            </w:pPr>
            <w:r>
              <w:rPr>
                <w:sz w:val="21"/>
              </w:rPr>
              <w:t>2,001,330</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653"/>
              </w:tabs>
              <w:spacing w:before="80"/>
              <w:rPr>
                <w:sz w:val="21"/>
              </w:rPr>
            </w:pPr>
            <w:r>
              <w:rPr>
                <w:sz w:val="21"/>
              </w:rPr>
              <w:t>6</w:t>
            </w:r>
            <w:r>
              <w:rPr>
                <w:sz w:val="21"/>
              </w:rPr>
              <w:t>7.99</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012"/>
              </w:tabs>
              <w:spacing w:before="80"/>
              <w:rPr>
                <w:sz w:val="21"/>
              </w:rPr>
            </w:pPr>
            <w:r>
              <w:rPr>
                <w:sz w:val="21"/>
              </w:rPr>
              <w:t>2,015,391</w:t>
            </w:r>
          </w:p>
        </w:tc>
        <w:tc>
          <w:tcPr>
            <w:tcW w:w="1334"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651"/>
              </w:tabs>
              <w:spacing w:before="80"/>
              <w:rPr>
                <w:sz w:val="21"/>
              </w:rPr>
            </w:pPr>
            <w:r>
              <w:rPr>
                <w:sz w:val="21"/>
              </w:rPr>
              <w:t>67.70</w:t>
            </w:r>
          </w:p>
        </w:tc>
      </w:tr>
      <w:tr w:rsidR="00000000">
        <w:tblPrEx>
          <w:tblCellMar>
            <w:top w:w="0" w:type="dxa"/>
            <w:bottom w:w="0" w:type="dxa"/>
          </w:tblCellMar>
        </w:tblPrEx>
        <w:trPr>
          <w:cantSplit/>
        </w:trPr>
        <w:tc>
          <w:tcPr>
            <w:tcW w:w="1758" w:type="dxa"/>
            <w:tcBorders>
              <w:top w:val="single" w:sz="6" w:space="0" w:color="auto"/>
              <w:left w:val="single" w:sz="6" w:space="0" w:color="auto"/>
            </w:tcBorders>
          </w:tcPr>
          <w:p w:rsidR="00000000" w:rsidRDefault="003D15A7">
            <w:pPr>
              <w:spacing w:before="80"/>
              <w:rPr>
                <w:sz w:val="21"/>
              </w:rPr>
            </w:pPr>
            <w:r>
              <w:rPr>
                <w:sz w:val="21"/>
              </w:rPr>
              <w:t xml:space="preserve">  </w:t>
            </w:r>
            <w:r>
              <w:rPr>
                <w:rFonts w:hint="eastAsia"/>
                <w:sz w:val="21"/>
              </w:rPr>
              <w:t>配偶</w:t>
            </w:r>
          </w:p>
        </w:tc>
        <w:tc>
          <w:tcPr>
            <w:tcW w:w="126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956"/>
              </w:tabs>
              <w:spacing w:before="80"/>
              <w:rPr>
                <w:sz w:val="21"/>
              </w:rPr>
            </w:pPr>
            <w:r>
              <w:rPr>
                <w:sz w:val="21"/>
              </w:rPr>
              <w:t>568,610</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535"/>
              </w:tabs>
              <w:spacing w:before="80"/>
              <w:rPr>
                <w:sz w:val="21"/>
              </w:rPr>
            </w:pPr>
            <w:r>
              <w:rPr>
                <w:sz w:val="21"/>
              </w:rPr>
              <w:t>20.28</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014"/>
              </w:tabs>
              <w:spacing w:before="80"/>
              <w:rPr>
                <w:sz w:val="21"/>
              </w:rPr>
            </w:pPr>
            <w:r>
              <w:rPr>
                <w:sz w:val="21"/>
              </w:rPr>
              <w:t>616,537</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653"/>
              </w:tabs>
              <w:spacing w:before="80"/>
              <w:rPr>
                <w:sz w:val="21"/>
              </w:rPr>
            </w:pPr>
            <w:r>
              <w:rPr>
                <w:sz w:val="21"/>
              </w:rPr>
              <w:t>20.95</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012"/>
              </w:tabs>
              <w:spacing w:before="80"/>
              <w:rPr>
                <w:sz w:val="21"/>
              </w:rPr>
            </w:pPr>
            <w:r>
              <w:rPr>
                <w:sz w:val="21"/>
              </w:rPr>
              <w:t>624,050</w:t>
            </w:r>
          </w:p>
        </w:tc>
        <w:tc>
          <w:tcPr>
            <w:tcW w:w="1334"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651"/>
              </w:tabs>
              <w:spacing w:before="80"/>
              <w:rPr>
                <w:sz w:val="21"/>
              </w:rPr>
            </w:pPr>
            <w:r>
              <w:rPr>
                <w:sz w:val="21"/>
              </w:rPr>
              <w:t>20.96</w:t>
            </w:r>
          </w:p>
        </w:tc>
      </w:tr>
      <w:tr w:rsidR="00000000">
        <w:tblPrEx>
          <w:tblCellMar>
            <w:top w:w="0" w:type="dxa"/>
            <w:bottom w:w="0" w:type="dxa"/>
          </w:tblCellMar>
        </w:tblPrEx>
        <w:trPr>
          <w:cantSplit/>
        </w:trPr>
        <w:tc>
          <w:tcPr>
            <w:tcW w:w="1758" w:type="dxa"/>
            <w:tcBorders>
              <w:top w:val="single" w:sz="6" w:space="0" w:color="auto"/>
              <w:left w:val="single" w:sz="6" w:space="0" w:color="auto"/>
            </w:tcBorders>
          </w:tcPr>
          <w:p w:rsidR="00000000" w:rsidRDefault="003D15A7">
            <w:pPr>
              <w:spacing w:before="80"/>
              <w:rPr>
                <w:sz w:val="21"/>
              </w:rPr>
            </w:pPr>
            <w:r>
              <w:rPr>
                <w:sz w:val="21"/>
              </w:rPr>
              <w:t xml:space="preserve">  </w:t>
            </w:r>
            <w:r>
              <w:rPr>
                <w:rFonts w:hint="eastAsia"/>
                <w:sz w:val="21"/>
              </w:rPr>
              <w:t>子女</w:t>
            </w:r>
          </w:p>
        </w:tc>
        <w:tc>
          <w:tcPr>
            <w:tcW w:w="126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956"/>
              </w:tabs>
              <w:spacing w:before="80"/>
              <w:rPr>
                <w:sz w:val="21"/>
              </w:rPr>
            </w:pPr>
            <w:r>
              <w:rPr>
                <w:sz w:val="21"/>
              </w:rPr>
              <w:t>1,337,067</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535"/>
              </w:tabs>
              <w:spacing w:before="80"/>
              <w:rPr>
                <w:sz w:val="21"/>
              </w:rPr>
            </w:pPr>
            <w:r>
              <w:rPr>
                <w:sz w:val="21"/>
              </w:rPr>
              <w:t>47.68</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014"/>
              </w:tabs>
              <w:spacing w:before="80"/>
              <w:rPr>
                <w:sz w:val="21"/>
              </w:rPr>
            </w:pPr>
            <w:r>
              <w:rPr>
                <w:sz w:val="21"/>
              </w:rPr>
              <w:t>1,384,793</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653"/>
              </w:tabs>
              <w:spacing w:before="80"/>
              <w:rPr>
                <w:sz w:val="21"/>
              </w:rPr>
            </w:pPr>
            <w:r>
              <w:rPr>
                <w:sz w:val="21"/>
              </w:rPr>
              <w:t>47.04</w:t>
            </w:r>
          </w:p>
        </w:tc>
        <w:tc>
          <w:tcPr>
            <w:tcW w:w="1321"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012"/>
              </w:tabs>
              <w:spacing w:before="80"/>
              <w:rPr>
                <w:sz w:val="21"/>
              </w:rPr>
            </w:pPr>
            <w:r>
              <w:rPr>
                <w:sz w:val="21"/>
              </w:rPr>
              <w:t>1,391,341</w:t>
            </w:r>
          </w:p>
        </w:tc>
        <w:tc>
          <w:tcPr>
            <w:tcW w:w="1334"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651"/>
              </w:tabs>
              <w:spacing w:before="80"/>
              <w:rPr>
                <w:sz w:val="21"/>
              </w:rPr>
            </w:pPr>
            <w:r>
              <w:rPr>
                <w:sz w:val="21"/>
              </w:rPr>
              <w:t>46.74</w:t>
            </w:r>
          </w:p>
        </w:tc>
      </w:tr>
      <w:tr w:rsidR="00000000">
        <w:tblPrEx>
          <w:tblCellMar>
            <w:top w:w="0" w:type="dxa"/>
            <w:bottom w:w="0" w:type="dxa"/>
          </w:tblCellMar>
        </w:tblPrEx>
        <w:trPr>
          <w:cantSplit/>
        </w:trPr>
        <w:tc>
          <w:tcPr>
            <w:tcW w:w="1758" w:type="dxa"/>
            <w:tcBorders>
              <w:top w:val="single" w:sz="6" w:space="0" w:color="auto"/>
              <w:left w:val="single" w:sz="6" w:space="0" w:color="auto"/>
              <w:bottom w:val="single" w:sz="6" w:space="0" w:color="auto"/>
            </w:tcBorders>
          </w:tcPr>
          <w:p w:rsidR="00000000" w:rsidRDefault="003D15A7">
            <w:pPr>
              <w:spacing w:before="80"/>
              <w:rPr>
                <w:sz w:val="21"/>
              </w:rPr>
            </w:pPr>
            <w:r>
              <w:rPr>
                <w:rFonts w:hint="eastAsia"/>
                <w:sz w:val="21"/>
              </w:rPr>
              <w:t>受益人总数</w:t>
            </w:r>
          </w:p>
        </w:tc>
        <w:tc>
          <w:tcPr>
            <w:tcW w:w="1261"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956"/>
              </w:tabs>
              <w:spacing w:before="80"/>
              <w:rPr>
                <w:sz w:val="21"/>
              </w:rPr>
            </w:pPr>
            <w:r>
              <w:rPr>
                <w:sz w:val="21"/>
              </w:rPr>
              <w:t>2,804,138</w:t>
            </w:r>
          </w:p>
        </w:tc>
        <w:tc>
          <w:tcPr>
            <w:tcW w:w="1321"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535"/>
              </w:tabs>
              <w:spacing w:before="80"/>
              <w:rPr>
                <w:sz w:val="21"/>
              </w:rPr>
            </w:pPr>
            <w:r>
              <w:rPr>
                <w:sz w:val="21"/>
              </w:rPr>
              <w:t>100.00</w:t>
            </w:r>
          </w:p>
        </w:tc>
        <w:tc>
          <w:tcPr>
            <w:tcW w:w="1321"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014"/>
              </w:tabs>
              <w:spacing w:before="80"/>
              <w:rPr>
                <w:sz w:val="21"/>
              </w:rPr>
            </w:pPr>
            <w:r>
              <w:rPr>
                <w:sz w:val="21"/>
              </w:rPr>
              <w:t>2,943,554</w:t>
            </w:r>
          </w:p>
        </w:tc>
        <w:tc>
          <w:tcPr>
            <w:tcW w:w="1321"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653"/>
              </w:tabs>
              <w:spacing w:before="80"/>
              <w:rPr>
                <w:sz w:val="21"/>
              </w:rPr>
            </w:pPr>
            <w:r>
              <w:rPr>
                <w:sz w:val="21"/>
              </w:rPr>
              <w:t>100.00</w:t>
            </w:r>
          </w:p>
        </w:tc>
        <w:tc>
          <w:tcPr>
            <w:tcW w:w="1321"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012"/>
              </w:tabs>
              <w:spacing w:before="80"/>
              <w:rPr>
                <w:sz w:val="21"/>
              </w:rPr>
            </w:pPr>
            <w:r>
              <w:rPr>
                <w:sz w:val="21"/>
              </w:rPr>
              <w:t>2,976,743</w:t>
            </w:r>
          </w:p>
        </w:tc>
        <w:tc>
          <w:tcPr>
            <w:tcW w:w="1334" w:type="dxa"/>
            <w:tcBorders>
              <w:top w:val="single" w:sz="6" w:space="0" w:color="auto"/>
              <w:left w:val="single" w:sz="6" w:space="0" w:color="auto"/>
              <w:bottom w:val="single" w:sz="6" w:space="0" w:color="auto"/>
              <w:right w:val="single" w:sz="6" w:space="0" w:color="auto"/>
            </w:tcBorders>
          </w:tcPr>
          <w:p w:rsidR="00000000" w:rsidRDefault="003D15A7">
            <w:pPr>
              <w:tabs>
                <w:tab w:val="clear" w:pos="510"/>
                <w:tab w:val="clear" w:pos="1021"/>
                <w:tab w:val="clear" w:pos="1531"/>
                <w:tab w:val="clear" w:pos="2041"/>
                <w:tab w:val="decimal" w:pos="651"/>
              </w:tabs>
              <w:spacing w:before="80"/>
              <w:rPr>
                <w:sz w:val="21"/>
              </w:rPr>
            </w:pPr>
            <w:r>
              <w:rPr>
                <w:sz w:val="21"/>
              </w:rPr>
              <w:t>100.00</w:t>
            </w:r>
          </w:p>
        </w:tc>
      </w:tr>
    </w:tbl>
    <w:p w:rsidR="00000000" w:rsidRDefault="003D15A7">
      <w:pPr>
        <w:spacing w:after="240"/>
        <w:textAlignment w:val="center"/>
      </w:pPr>
    </w:p>
    <w:p w:rsidR="00000000" w:rsidRDefault="003D15A7">
      <w:pPr>
        <w:pStyle w:val="Heading2"/>
      </w:pPr>
      <w:r>
        <w:rPr>
          <w:rFonts w:hint="eastAsia"/>
        </w:rPr>
        <w:t>第</w:t>
      </w:r>
      <w:r>
        <w:t xml:space="preserve"> 10 </w:t>
      </w:r>
      <w:r>
        <w:rPr>
          <w:rFonts w:hint="eastAsia"/>
        </w:rPr>
        <w:t>条</w:t>
      </w:r>
    </w:p>
    <w:p w:rsidR="00000000" w:rsidRDefault="003D15A7">
      <w:pPr>
        <w:pStyle w:val="Heading3"/>
      </w:pPr>
      <w:r>
        <w:rPr>
          <w:rFonts w:hint="eastAsia"/>
        </w:rPr>
        <w:t>保护家庭、母亲和儿童</w:t>
      </w:r>
    </w:p>
    <w:p w:rsidR="00000000" w:rsidRDefault="003D15A7">
      <w:pPr>
        <w:pStyle w:val="Heading3"/>
      </w:pPr>
      <w:r>
        <w:rPr>
          <w:u w:val="none"/>
        </w:rPr>
        <w:t xml:space="preserve">A.  </w:t>
      </w:r>
      <w:r>
        <w:rPr>
          <w:rFonts w:hint="eastAsia"/>
        </w:rPr>
        <w:t>保</w:t>
      </w:r>
      <w:r>
        <w:t xml:space="preserve"> </w:t>
      </w:r>
      <w:r>
        <w:rPr>
          <w:rFonts w:hint="eastAsia"/>
        </w:rPr>
        <w:t>护</w:t>
      </w:r>
      <w:r>
        <w:t xml:space="preserve"> </w:t>
      </w:r>
      <w:r>
        <w:rPr>
          <w:rFonts w:hint="eastAsia"/>
        </w:rPr>
        <w:t>家</w:t>
      </w:r>
      <w:r>
        <w:t xml:space="preserve"> </w:t>
      </w:r>
      <w:r>
        <w:rPr>
          <w:rFonts w:hint="eastAsia"/>
        </w:rPr>
        <w:t>庭</w:t>
      </w:r>
    </w:p>
    <w:p w:rsidR="00000000" w:rsidRDefault="003D15A7">
      <w:pPr>
        <w:pStyle w:val="NormalIndent"/>
        <w:spacing w:after="320"/>
        <w:textAlignment w:val="center"/>
      </w:pPr>
      <w:r>
        <w:t>123.  1993</w:t>
      </w:r>
      <w:r>
        <w:rPr>
          <w:rFonts w:hint="eastAsia"/>
        </w:rPr>
        <w:t>年，对《个人地位法》进行了新的改革，加强了对妇女、未成年人和家庭的</w:t>
      </w:r>
      <w:r>
        <w:rPr>
          <w:rFonts w:hint="eastAsia"/>
        </w:rPr>
        <w:t>法律保护</w:t>
      </w:r>
      <w:r>
        <w:t>(</w:t>
      </w:r>
      <w:r>
        <w:rPr>
          <w:rFonts w:hint="eastAsia"/>
        </w:rPr>
        <w:t>见下文</w:t>
      </w:r>
      <w:r>
        <w:t>)</w:t>
      </w:r>
      <w:r>
        <w:rPr>
          <w:rFonts w:hint="eastAsia"/>
        </w:rPr>
        <w:t>。刑法通过惩罚任何形式的疏忽</w:t>
      </w:r>
      <w:r>
        <w:t>(</w:t>
      </w:r>
      <w:r>
        <w:rPr>
          <w:rFonts w:hint="eastAsia"/>
        </w:rPr>
        <w:t>道德和物质的</w:t>
      </w:r>
      <w:r>
        <w:t>)</w:t>
      </w:r>
      <w:r>
        <w:rPr>
          <w:rFonts w:hint="eastAsia"/>
        </w:rPr>
        <w:t>给予家庭特殊的保护从新的协会数量的增加可以看到，自从提交初次报告以来，代表家庭的协会采取了更加强有力的方法。其宣传教育行动已经大大地促进了对《人的地位法》的改革。</w:t>
      </w:r>
    </w:p>
    <w:p w:rsidR="00000000" w:rsidRDefault="003D15A7">
      <w:pPr>
        <w:pStyle w:val="Heading3"/>
      </w:pPr>
      <w:r>
        <w:rPr>
          <w:u w:val="none"/>
        </w:rPr>
        <w:t xml:space="preserve">B.  </w:t>
      </w:r>
      <w:r>
        <w:rPr>
          <w:rFonts w:hint="eastAsia"/>
        </w:rPr>
        <w:t>保</w:t>
      </w:r>
      <w:r>
        <w:t xml:space="preserve"> </w:t>
      </w:r>
      <w:r>
        <w:rPr>
          <w:rFonts w:hint="eastAsia"/>
        </w:rPr>
        <w:t>护</w:t>
      </w:r>
      <w:r>
        <w:t xml:space="preserve"> </w:t>
      </w:r>
      <w:r>
        <w:rPr>
          <w:rFonts w:hint="eastAsia"/>
        </w:rPr>
        <w:t>儿</w:t>
      </w:r>
      <w:r>
        <w:t xml:space="preserve"> </w:t>
      </w:r>
      <w:r>
        <w:rPr>
          <w:rFonts w:hint="eastAsia"/>
        </w:rPr>
        <w:t>童</w:t>
      </w:r>
    </w:p>
    <w:p w:rsidR="00000000" w:rsidRDefault="003D15A7">
      <w:pPr>
        <w:pStyle w:val="NormalIndent"/>
      </w:pPr>
      <w:r>
        <w:t xml:space="preserve">124.  </w:t>
      </w:r>
      <w:r>
        <w:rPr>
          <w:rFonts w:hint="eastAsia"/>
        </w:rPr>
        <w:t>应该提到，在初次报告中描述的保护儿童的法律机制</w:t>
      </w:r>
      <w:r>
        <w:t>(</w:t>
      </w:r>
      <w:r>
        <w:rPr>
          <w:rFonts w:hint="eastAsia"/>
        </w:rPr>
        <w:t>刑法、个人的地位法、劳动法</w:t>
      </w:r>
      <w:r>
        <w:t>)</w:t>
      </w:r>
      <w:r>
        <w:rPr>
          <w:rFonts w:hint="eastAsia"/>
        </w:rPr>
        <w:t>和特别自</w:t>
      </w:r>
      <w:r>
        <w:t>1993</w:t>
      </w:r>
      <w:r>
        <w:rPr>
          <w:rFonts w:hint="eastAsia"/>
        </w:rPr>
        <w:t>年以来，在政府有力支持下保护儿童协会所表现的坚定的承诺，帮助加强了儿童的形象并且在保健、营养和法律地位方面确保对儿童的保护。</w:t>
      </w:r>
    </w:p>
    <w:p w:rsidR="00000000" w:rsidRDefault="003D15A7">
      <w:pPr>
        <w:pStyle w:val="NormalIndent"/>
        <w:spacing w:after="320"/>
        <w:textAlignment w:val="center"/>
      </w:pPr>
      <w:r>
        <w:t>125.  1992</w:t>
      </w:r>
      <w:r>
        <w:rPr>
          <w:rFonts w:hint="eastAsia"/>
        </w:rPr>
        <w:t>年，摩洛哥签</w:t>
      </w:r>
      <w:r>
        <w:rPr>
          <w:rFonts w:hint="eastAsia"/>
        </w:rPr>
        <w:t>署了《儿童生存、保护和发展问题世界宣言》。</w:t>
      </w:r>
      <w:r>
        <w:t>1993</w:t>
      </w:r>
      <w:r>
        <w:rPr>
          <w:rFonts w:hint="eastAsia"/>
        </w:rPr>
        <w:t>年，摩洛哥批准了《儿童权利公约》。在这样的前提之下，摩洛哥于</w:t>
      </w:r>
      <w:r>
        <w:t>1992</w:t>
      </w:r>
      <w:r>
        <w:rPr>
          <w:rFonts w:hint="eastAsia"/>
        </w:rPr>
        <w:t>年制订了《全国行动计划》以实施有关儿童的世界范围性的协定。已经确定了一系列中期和长期的目标和战略。在机构一级，包括建立全国儿童权利大会，这个大会将每年举行会议。其主要任务是评估实施《宣言》中所取得的进展，审查所通过的战略的影响、并且查明需要进行更大努力的活动。还应该指出，已经设立了一个观察台作为大会的执行部门监督《公约》的实施情况。或许还应该提到，摩洛哥于</w:t>
      </w:r>
      <w:r>
        <w:t>1995</w:t>
      </w:r>
      <w:r>
        <w:rPr>
          <w:rFonts w:hint="eastAsia"/>
        </w:rPr>
        <w:t>年向儿童权利委员会提交了初次</w:t>
      </w:r>
      <w:r>
        <w:rPr>
          <w:rFonts w:hint="eastAsia"/>
        </w:rPr>
        <w:t>报告</w:t>
      </w:r>
      <w:r>
        <w:t>(CRC/C/28/Add.1)</w:t>
      </w:r>
      <w:r>
        <w:rPr>
          <w:rFonts w:hint="eastAsia"/>
        </w:rPr>
        <w:t>。</w:t>
      </w:r>
    </w:p>
    <w:p w:rsidR="00000000" w:rsidRDefault="003D15A7">
      <w:pPr>
        <w:pStyle w:val="Heading3"/>
      </w:pPr>
      <w:r>
        <w:rPr>
          <w:u w:val="none"/>
        </w:rPr>
        <w:br w:type="page"/>
        <w:t xml:space="preserve">C.  </w:t>
      </w:r>
      <w:r>
        <w:rPr>
          <w:rFonts w:hint="eastAsia"/>
        </w:rPr>
        <w:t>保</w:t>
      </w:r>
      <w:r>
        <w:t xml:space="preserve"> </w:t>
      </w:r>
      <w:r>
        <w:rPr>
          <w:rFonts w:hint="eastAsia"/>
        </w:rPr>
        <w:t>护</w:t>
      </w:r>
      <w:r>
        <w:t xml:space="preserve"> </w:t>
      </w:r>
      <w:r>
        <w:rPr>
          <w:rFonts w:hint="eastAsia"/>
        </w:rPr>
        <w:t>母</w:t>
      </w:r>
      <w:r>
        <w:t xml:space="preserve"> </w:t>
      </w:r>
      <w:r>
        <w:rPr>
          <w:rFonts w:hint="eastAsia"/>
        </w:rPr>
        <w:t>亲</w:t>
      </w:r>
    </w:p>
    <w:p w:rsidR="00000000" w:rsidRDefault="003D15A7">
      <w:pPr>
        <w:pStyle w:val="NormalIndent"/>
      </w:pPr>
      <w:r>
        <w:t xml:space="preserve">126.  </w:t>
      </w:r>
      <w:r>
        <w:rPr>
          <w:rFonts w:hint="eastAsia"/>
        </w:rPr>
        <w:t>根据《公约》第</w:t>
      </w:r>
      <w:r>
        <w:t>10</w:t>
      </w:r>
      <w:r>
        <w:rPr>
          <w:rFonts w:hint="eastAsia"/>
        </w:rPr>
        <w:t>条，摩洛哥的社会立法特别在产假和哺乳时间方面给予母亲特别的保护。自</w:t>
      </w:r>
      <w:r>
        <w:t>1987</w:t>
      </w:r>
      <w:r>
        <w:rPr>
          <w:rFonts w:hint="eastAsia"/>
        </w:rPr>
        <w:t>年以来，卫生部采取步骤实现了令人满意的产前和分娩承保险别，在减少产妇死亡率和围产期死亡率的运动中被视为是一个决定性的因素。在联合国计划生育计划援助下，摩洛哥继续努力改进母亲和儿童的照料以及计划生育。这些努力取得了实质性的效果。</w:t>
      </w:r>
    </w:p>
    <w:p w:rsidR="00000000" w:rsidRDefault="003D15A7">
      <w:pPr>
        <w:pStyle w:val="NormalIndent"/>
      </w:pPr>
      <w:r>
        <w:t xml:space="preserve">127.  </w:t>
      </w:r>
      <w:r>
        <w:rPr>
          <w:rFonts w:hint="eastAsia"/>
        </w:rPr>
        <w:t>审查人们对各种各样的节育方式的经验的变化表明，妇女对长期避孕方法的了解有了明显的提高。这是</w:t>
      </w:r>
      <w:r>
        <w:t>1994</w:t>
      </w:r>
      <w:r>
        <w:rPr>
          <w:rFonts w:hint="eastAsia"/>
        </w:rPr>
        <w:t>年所</w:t>
      </w:r>
      <w:r>
        <w:rPr>
          <w:rFonts w:hint="eastAsia"/>
        </w:rPr>
        <w:t>有社会经济人群中</w:t>
      </w:r>
      <w:r>
        <w:t>99%</w:t>
      </w:r>
      <w:r>
        <w:rPr>
          <w:rFonts w:hint="eastAsia"/>
        </w:rPr>
        <w:t>已婚妇女的情况。这一发展对避孕的推广起了积极的作用，避孕普及率从</w:t>
      </w:r>
      <w:r>
        <w:t>1980</w:t>
      </w:r>
      <w:r>
        <w:rPr>
          <w:rFonts w:hint="eastAsia"/>
        </w:rPr>
        <w:t>年的</w:t>
      </w:r>
      <w:r>
        <w:t>19%</w:t>
      </w:r>
      <w:r>
        <w:rPr>
          <w:rFonts w:hint="eastAsia"/>
        </w:rPr>
        <w:t>上升至</w:t>
      </w:r>
      <w:r>
        <w:t>1995</w:t>
      </w:r>
      <w:r>
        <w:rPr>
          <w:rFonts w:hint="eastAsia"/>
        </w:rPr>
        <w:t>年的</w:t>
      </w:r>
      <w:r>
        <w:t>50%</w:t>
      </w:r>
      <w:r>
        <w:rPr>
          <w:rFonts w:hint="eastAsia"/>
        </w:rPr>
        <w:t>。按照居住的地点，农村比城镇有更大的增加，增加的比例分别为</w:t>
      </w:r>
      <w:r>
        <w:t>9%</w:t>
      </w:r>
      <w:r>
        <w:rPr>
          <w:rFonts w:hint="eastAsia"/>
        </w:rPr>
        <w:t>至</w:t>
      </w:r>
      <w:r>
        <w:t>39%(+30%)</w:t>
      </w:r>
      <w:r>
        <w:rPr>
          <w:rFonts w:hint="eastAsia"/>
        </w:rPr>
        <w:t>和</w:t>
      </w:r>
      <w:r>
        <w:t>36%</w:t>
      </w:r>
      <w:r>
        <w:rPr>
          <w:rFonts w:hint="eastAsia"/>
        </w:rPr>
        <w:t>至</w:t>
      </w:r>
      <w:r>
        <w:t>64%(+28%)</w:t>
      </w:r>
      <w:r>
        <w:rPr>
          <w:rFonts w:hint="eastAsia"/>
        </w:rPr>
        <w:t>。这一变化在农村和城镇对生育水平也产生积极的影响。</w:t>
      </w:r>
    </w:p>
    <w:p w:rsidR="00000000" w:rsidRDefault="003D15A7">
      <w:pPr>
        <w:pStyle w:val="NormalIndent"/>
        <w:spacing w:after="320"/>
        <w:textAlignment w:val="center"/>
      </w:pPr>
      <w:r>
        <w:t xml:space="preserve">128.  </w:t>
      </w:r>
      <w:r>
        <w:rPr>
          <w:rFonts w:hint="eastAsia"/>
        </w:rPr>
        <w:t>关于监测怀孕和分娩的方案，尽管近几年内取得了一些进展，但所涉及的总的怀孕妇女的人数仍然是不够的。时至</w:t>
      </w:r>
      <w:r>
        <w:t>1994</w:t>
      </w:r>
      <w:r>
        <w:rPr>
          <w:rFonts w:hint="eastAsia"/>
        </w:rPr>
        <w:t>年，产前咨询比例为</w:t>
      </w:r>
      <w:r>
        <w:t>35%</w:t>
      </w:r>
      <w:r>
        <w:rPr>
          <w:rFonts w:hint="eastAsia"/>
        </w:rPr>
        <w:t>，</w:t>
      </w:r>
      <w:r>
        <w:t xml:space="preserve"> 33%</w:t>
      </w:r>
      <w:r>
        <w:rPr>
          <w:rFonts w:hint="eastAsia"/>
        </w:rPr>
        <w:t>的分娩是在公共保健机构进行的。正在努力解决农村地区的情况，那里的服务</w:t>
      </w:r>
      <w:r>
        <w:rPr>
          <w:rFonts w:hint="eastAsia"/>
        </w:rPr>
        <w:t>情况仍然是糟糕的，产前咨询比例不超过</w:t>
      </w:r>
      <w:r>
        <w:t>27%</w:t>
      </w:r>
      <w:r>
        <w:rPr>
          <w:rFonts w:hint="eastAsia"/>
        </w:rPr>
        <w:t>，而城市地区的比例为</w:t>
      </w:r>
      <w:r>
        <w:t>47%</w:t>
      </w:r>
      <w:r>
        <w:rPr>
          <w:rFonts w:hint="eastAsia"/>
        </w:rPr>
        <w:t>。产前保健，在农村地区的比例为</w:t>
      </w:r>
      <w:r>
        <w:t>45%</w:t>
      </w:r>
      <w:r>
        <w:rPr>
          <w:rFonts w:hint="eastAsia"/>
        </w:rPr>
        <w:t>，而在城市地区为</w:t>
      </w:r>
      <w:r>
        <w:t>87%</w:t>
      </w:r>
      <w:r>
        <w:rPr>
          <w:rFonts w:hint="eastAsia"/>
        </w:rPr>
        <w:t>，全国平均比例为</w:t>
      </w:r>
      <w:r>
        <w:t>63%</w:t>
      </w:r>
      <w:r>
        <w:rPr>
          <w:rFonts w:hint="eastAsia"/>
        </w:rPr>
        <w:t>。</w:t>
      </w:r>
    </w:p>
    <w:p w:rsidR="00000000" w:rsidRDefault="003D15A7">
      <w:pPr>
        <w:pStyle w:val="Heading3"/>
      </w:pPr>
      <w:r>
        <w:rPr>
          <w:rFonts w:hint="eastAsia"/>
        </w:rPr>
        <w:t>产</w:t>
      </w:r>
      <w:r>
        <w:t xml:space="preserve"> </w:t>
      </w:r>
      <w:r>
        <w:rPr>
          <w:rFonts w:hint="eastAsia"/>
        </w:rPr>
        <w:t>前</w:t>
      </w:r>
      <w:r>
        <w:t xml:space="preserve"> </w:t>
      </w:r>
      <w:r>
        <w:rPr>
          <w:rFonts w:hint="eastAsia"/>
        </w:rPr>
        <w:t>访</w:t>
      </w:r>
      <w:r>
        <w:t xml:space="preserve"> </w:t>
      </w:r>
      <w:r>
        <w:rPr>
          <w:rFonts w:hint="eastAsia"/>
        </w:rPr>
        <w:t>诊</w:t>
      </w:r>
    </w:p>
    <w:tbl>
      <w:tblPr>
        <w:tblW w:w="0" w:type="auto"/>
        <w:tblInd w:w="2" w:type="dxa"/>
        <w:tblLayout w:type="fixed"/>
        <w:tblCellMar>
          <w:left w:w="56" w:type="dxa"/>
          <w:right w:w="56" w:type="dxa"/>
        </w:tblCellMar>
        <w:tblLook w:val="0000" w:firstRow="0" w:lastRow="0" w:firstColumn="0" w:lastColumn="0" w:noHBand="0" w:noVBand="0"/>
      </w:tblPr>
      <w:tblGrid>
        <w:gridCol w:w="963"/>
        <w:gridCol w:w="963"/>
        <w:gridCol w:w="963"/>
        <w:gridCol w:w="963"/>
        <w:gridCol w:w="963"/>
        <w:gridCol w:w="963"/>
        <w:gridCol w:w="963"/>
        <w:gridCol w:w="963"/>
        <w:gridCol w:w="963"/>
        <w:gridCol w:w="966"/>
      </w:tblGrid>
      <w:tr w:rsidR="00000000">
        <w:tblPrEx>
          <w:tblCellMar>
            <w:top w:w="0" w:type="dxa"/>
            <w:bottom w:w="0" w:type="dxa"/>
          </w:tblCellMar>
        </w:tblPrEx>
        <w:trPr>
          <w:cantSplit/>
        </w:trPr>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line="240" w:lineRule="exact"/>
              <w:jc w:val="center"/>
              <w:textAlignment w:val="bottom"/>
              <w:rPr>
                <w:sz w:val="21"/>
              </w:rPr>
            </w:pPr>
            <w:r>
              <w:rPr>
                <w:rFonts w:hint="eastAsia"/>
                <w:sz w:val="21"/>
              </w:rPr>
              <w:t>环</w:t>
            </w:r>
            <w:r>
              <w:rPr>
                <w:sz w:val="21"/>
              </w:rPr>
              <w:t xml:space="preserve">  </w:t>
            </w:r>
            <w:r>
              <w:rPr>
                <w:rFonts w:hint="eastAsia"/>
                <w:sz w:val="21"/>
              </w:rPr>
              <w:t>境</w:t>
            </w:r>
          </w:p>
        </w:tc>
        <w:tc>
          <w:tcPr>
            <w:hMerge/>
            <w:tcBorders>
              <w:top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p>
        </w:tc>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sz w:val="21"/>
              </w:rPr>
              <w:t>1994</w:t>
            </w:r>
            <w:r>
              <w:rPr>
                <w:rFonts w:hint="eastAsia"/>
                <w:sz w:val="21"/>
              </w:rPr>
              <w:t>年</w:t>
            </w:r>
          </w:p>
        </w:tc>
        <w:tc>
          <w:tcPr>
            <w:hMerge/>
            <w:tcBorders>
              <w:top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p>
        </w:tc>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sz w:val="21"/>
              </w:rPr>
              <w:t>1995</w:t>
            </w:r>
            <w:r>
              <w:rPr>
                <w:rFonts w:hint="eastAsia"/>
                <w:sz w:val="21"/>
              </w:rPr>
              <w:t>年</w:t>
            </w:r>
          </w:p>
        </w:tc>
        <w:tc>
          <w:tcPr>
            <w:hMerge/>
            <w:tcBorders>
              <w:top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p>
        </w:tc>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sz w:val="21"/>
              </w:rPr>
              <w:t>1996</w:t>
            </w:r>
            <w:r>
              <w:rPr>
                <w:rFonts w:hint="eastAsia"/>
                <w:sz w:val="21"/>
              </w:rPr>
              <w:t>年</w:t>
            </w:r>
          </w:p>
        </w:tc>
        <w:tc>
          <w:tcPr>
            <w:hMerge/>
            <w:tcBorders>
              <w:top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p>
        </w:tc>
        <w:tc>
          <w:tcPr>
            <w:tcW w:w="1929"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sz w:val="21"/>
              </w:rPr>
              <w:t>1997</w:t>
            </w:r>
            <w:r>
              <w:rPr>
                <w:rFonts w:hint="eastAsia"/>
                <w:sz w:val="21"/>
              </w:rPr>
              <w:t>年</w:t>
            </w:r>
          </w:p>
        </w:tc>
        <w:tc>
          <w:tcPr>
            <w:hMerge/>
            <w:tcBorders>
              <w:top w:val="single" w:sz="6" w:space="0" w:color="auto"/>
              <w:righ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p>
        </w:tc>
      </w:tr>
      <w:tr w:rsidR="00000000">
        <w:tblPrEx>
          <w:tblCellMar>
            <w:top w:w="0" w:type="dxa"/>
            <w:bottom w:w="0" w:type="dxa"/>
          </w:tblCellMar>
        </w:tblPrEx>
        <w:trPr>
          <w:cantSplit/>
        </w:trPr>
        <w:tc>
          <w:tcPr>
            <w:tcW w:w="1926" w:type="dxa"/>
            <w:hMerge w:val="restart"/>
            <w:tcBorders>
              <w:left w:val="single" w:sz="6" w:space="0" w:color="auto"/>
            </w:tcBorders>
          </w:tcPr>
          <w:p w:rsidR="00000000" w:rsidRDefault="003D15A7">
            <w:pPr>
              <w:widowControl w:val="0"/>
              <w:tabs>
                <w:tab w:val="left" w:pos="-1440"/>
                <w:tab w:val="left" w:pos="-720"/>
              </w:tabs>
              <w:autoSpaceDE w:val="0"/>
              <w:autoSpaceDN w:val="0"/>
              <w:spacing w:before="60" w:after="110" w:line="240" w:lineRule="exact"/>
              <w:textAlignment w:val="bottom"/>
              <w:rPr>
                <w:sz w:val="21"/>
              </w:rPr>
            </w:pPr>
          </w:p>
        </w:tc>
        <w:tc>
          <w:tcPr>
            <w:hMerge/>
          </w:tcPr>
          <w:p w:rsidR="00000000" w:rsidRDefault="003D15A7">
            <w:pPr>
              <w:widowControl w:val="0"/>
              <w:tabs>
                <w:tab w:val="left" w:pos="-1440"/>
                <w:tab w:val="left" w:pos="-720"/>
              </w:tabs>
              <w:autoSpaceDE w:val="0"/>
              <w:autoSpaceDN w:val="0"/>
              <w:spacing w:before="60" w:after="110" w:line="240" w:lineRule="exact"/>
              <w:textAlignment w:val="bottom"/>
              <w:rPr>
                <w:sz w:val="21"/>
              </w:rPr>
            </w:pP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rFonts w:hint="eastAsia"/>
                <w:sz w:val="21"/>
              </w:rPr>
              <w:t>人数</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sz w:val="21"/>
              </w:rPr>
              <w:t>%</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rFonts w:hint="eastAsia"/>
                <w:sz w:val="21"/>
              </w:rPr>
              <w:t>人数</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sz w:val="21"/>
              </w:rPr>
              <w:t>%</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rFonts w:hint="eastAsia"/>
                <w:sz w:val="21"/>
              </w:rPr>
              <w:t>人数</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sz w:val="21"/>
              </w:rPr>
              <w:t>%</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rFonts w:hint="eastAsia"/>
                <w:sz w:val="21"/>
              </w:rPr>
              <w:t>人数</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60" w:after="110" w:line="240" w:lineRule="exact"/>
              <w:jc w:val="center"/>
              <w:textAlignment w:val="bottom"/>
              <w:rPr>
                <w:sz w:val="21"/>
              </w:rPr>
            </w:pPr>
            <w:r>
              <w:rPr>
                <w:sz w:val="21"/>
              </w:rPr>
              <w:t>%</w:t>
            </w:r>
          </w:p>
        </w:tc>
      </w:tr>
      <w:tr w:rsidR="00000000">
        <w:tblPrEx>
          <w:tblCellMar>
            <w:top w:w="0" w:type="dxa"/>
            <w:bottom w:w="0" w:type="dxa"/>
          </w:tblCellMar>
        </w:tblPrEx>
        <w:trPr>
          <w:cantSplit/>
        </w:trPr>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rFonts w:hint="eastAsia"/>
                <w:sz w:val="21"/>
              </w:rPr>
              <w:t>城</w:t>
            </w:r>
            <w:r>
              <w:rPr>
                <w:sz w:val="21"/>
              </w:rPr>
              <w:t xml:space="preserve">  </w:t>
            </w:r>
            <w:r>
              <w:rPr>
                <w:rFonts w:hint="eastAsia"/>
                <w:sz w:val="21"/>
              </w:rPr>
              <w:t>市</w:t>
            </w:r>
          </w:p>
        </w:tc>
        <w:tc>
          <w:tcPr>
            <w:hMerge/>
            <w:tcBorders>
              <w:top w:val="single" w:sz="6" w:space="0" w:color="auto"/>
            </w:tcBorders>
          </w:tcPr>
          <w:p w:rsidR="00000000" w:rsidRDefault="003D15A7">
            <w:pPr>
              <w:widowControl w:val="0"/>
              <w:tabs>
                <w:tab w:val="left" w:pos="-1440"/>
                <w:tab w:val="left" w:pos="-720"/>
              </w:tabs>
              <w:autoSpaceDE w:val="0"/>
              <w:autoSpaceDN w:val="0"/>
              <w:spacing w:before="60" w:after="110" w:line="240" w:lineRule="auto"/>
              <w:textAlignment w:val="bottom"/>
              <w:rPr>
                <w:sz w:val="21"/>
              </w:rPr>
            </w:pP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136,310</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47,4</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143,964</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52,3</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144,392</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51,8</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155,500</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56,0</w:t>
            </w:r>
          </w:p>
        </w:tc>
      </w:tr>
      <w:tr w:rsidR="00000000">
        <w:tblPrEx>
          <w:tblCellMar>
            <w:top w:w="0" w:type="dxa"/>
            <w:bottom w:w="0" w:type="dxa"/>
          </w:tblCellMar>
        </w:tblPrEx>
        <w:trPr>
          <w:cantSplit/>
        </w:trPr>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line="240" w:lineRule="auto"/>
              <w:textAlignment w:val="bottom"/>
              <w:rPr>
                <w:sz w:val="21"/>
              </w:rPr>
            </w:pP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textAlignment w:val="bottom"/>
              <w:rPr>
                <w:sz w:val="21"/>
              </w:rPr>
            </w:pPr>
            <w:r>
              <w:rPr>
                <w:rFonts w:hint="eastAsia"/>
                <w:sz w:val="21"/>
              </w:rPr>
              <w:t>固定</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84,373</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59,8</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96,768</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56,3</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91,566</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58,0</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105,894</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73,8</w:t>
            </w:r>
          </w:p>
        </w:tc>
      </w:tr>
      <w:tr w:rsidR="00000000">
        <w:tblPrEx>
          <w:tblCellMar>
            <w:top w:w="0" w:type="dxa"/>
            <w:bottom w:w="0" w:type="dxa"/>
          </w:tblCellMar>
        </w:tblPrEx>
        <w:trPr>
          <w:cantSplit/>
        </w:trPr>
        <w:tc>
          <w:tcPr>
            <w:tcW w:w="963" w:type="dxa"/>
            <w:tcBorders>
              <w:left w:val="single" w:sz="6" w:space="0" w:color="auto"/>
            </w:tcBorders>
          </w:tcPr>
          <w:p w:rsidR="00000000" w:rsidRDefault="003D15A7">
            <w:pPr>
              <w:widowControl w:val="0"/>
              <w:tabs>
                <w:tab w:val="left" w:pos="-1440"/>
                <w:tab w:val="left" w:pos="-720"/>
              </w:tabs>
              <w:autoSpaceDE w:val="0"/>
              <w:autoSpaceDN w:val="0"/>
              <w:spacing w:before="60" w:after="110" w:line="240" w:lineRule="auto"/>
              <w:textAlignment w:val="bottom"/>
              <w:rPr>
                <w:sz w:val="21"/>
              </w:rPr>
            </w:pPr>
            <w:r>
              <w:rPr>
                <w:rFonts w:hint="eastAsia"/>
                <w:sz w:val="21"/>
              </w:rPr>
              <w:t>农</w:t>
            </w:r>
            <w:r>
              <w:rPr>
                <w:sz w:val="21"/>
              </w:rPr>
              <w:t xml:space="preserve"> </w:t>
            </w:r>
            <w:r>
              <w:rPr>
                <w:rFonts w:hint="eastAsia"/>
                <w:sz w:val="21"/>
              </w:rPr>
              <w:t>村</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textAlignment w:val="bottom"/>
              <w:rPr>
                <w:sz w:val="21"/>
              </w:rPr>
            </w:pPr>
            <w:r>
              <w:rPr>
                <w:rFonts w:hint="eastAsia"/>
                <w:sz w:val="21"/>
              </w:rPr>
              <w:t>流动</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32,450</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11,4</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22,526</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8,8</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24,793</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9,7</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30,813</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11,2</w:t>
            </w:r>
          </w:p>
        </w:tc>
      </w:tr>
      <w:tr w:rsidR="00000000">
        <w:tblPrEx>
          <w:tblCellMar>
            <w:top w:w="0" w:type="dxa"/>
            <w:bottom w:w="0" w:type="dxa"/>
          </w:tblCellMar>
        </w:tblPrEx>
        <w:trPr>
          <w:cantSplit/>
        </w:trPr>
        <w:tc>
          <w:tcPr>
            <w:tcW w:w="963" w:type="dxa"/>
            <w:tcBorders>
              <w:left w:val="single" w:sz="6" w:space="0" w:color="auto"/>
            </w:tcBorders>
          </w:tcPr>
          <w:p w:rsidR="00000000" w:rsidRDefault="003D15A7">
            <w:pPr>
              <w:widowControl w:val="0"/>
              <w:tabs>
                <w:tab w:val="left" w:pos="-1440"/>
                <w:tab w:val="left" w:pos="-720"/>
              </w:tabs>
              <w:autoSpaceDE w:val="0"/>
              <w:autoSpaceDN w:val="0"/>
              <w:spacing w:before="60" w:after="110" w:line="240" w:lineRule="auto"/>
              <w:textAlignment w:val="bottom"/>
              <w:rPr>
                <w:sz w:val="21"/>
              </w:rPr>
            </w:pP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textAlignment w:val="bottom"/>
              <w:rPr>
                <w:sz w:val="21"/>
              </w:rPr>
            </w:pPr>
            <w:r>
              <w:rPr>
                <w:rFonts w:hint="eastAsia"/>
                <w:sz w:val="21"/>
              </w:rPr>
              <w:t>总数</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116,823</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27,4</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116,294</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27,5</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116,359</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28,2</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136,707</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32,7</w:t>
            </w:r>
          </w:p>
        </w:tc>
      </w:tr>
      <w:tr w:rsidR="00000000">
        <w:tblPrEx>
          <w:tblCellMar>
            <w:top w:w="0" w:type="dxa"/>
            <w:bottom w:w="0" w:type="dxa"/>
          </w:tblCellMar>
        </w:tblPrEx>
        <w:trPr>
          <w:cantSplit/>
        </w:trPr>
        <w:tc>
          <w:tcPr>
            <w:tcW w:w="1926" w:type="dxa"/>
            <w:hMerge w:val="restart"/>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60" w:after="110" w:line="240" w:lineRule="auto"/>
              <w:textAlignment w:val="bottom"/>
              <w:rPr>
                <w:sz w:val="21"/>
              </w:rPr>
            </w:pPr>
            <w:r>
              <w:rPr>
                <w:rFonts w:hint="eastAsia"/>
                <w:sz w:val="21"/>
              </w:rPr>
              <w:t>总</w:t>
            </w:r>
            <w:r>
              <w:rPr>
                <w:sz w:val="21"/>
              </w:rPr>
              <w:t xml:space="preserve">  </w:t>
            </w:r>
            <w:r>
              <w:rPr>
                <w:rFonts w:hint="eastAsia"/>
                <w:sz w:val="21"/>
              </w:rPr>
              <w:t>计</w:t>
            </w:r>
          </w:p>
        </w:tc>
        <w:tc>
          <w:tcPr>
            <w:hMerge/>
            <w:tcBorders>
              <w:top w:val="single" w:sz="6" w:space="0" w:color="auto"/>
              <w:bottom w:val="single" w:sz="6" w:space="0" w:color="auto"/>
            </w:tcBorders>
          </w:tcPr>
          <w:p w:rsidR="00000000" w:rsidRDefault="003D15A7">
            <w:pPr>
              <w:widowControl w:val="0"/>
              <w:tabs>
                <w:tab w:val="left" w:pos="-1440"/>
                <w:tab w:val="left" w:pos="-720"/>
              </w:tabs>
              <w:autoSpaceDE w:val="0"/>
              <w:autoSpaceDN w:val="0"/>
              <w:spacing w:before="60" w:after="110" w:line="240" w:lineRule="auto"/>
              <w:textAlignment w:val="bottom"/>
              <w:rPr>
                <w:sz w:val="21"/>
              </w:rPr>
            </w:pP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253,133</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35,4</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260,258</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37,2</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260,751</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37,7</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60" w:after="110" w:line="240" w:lineRule="auto"/>
              <w:jc w:val="right"/>
              <w:textAlignment w:val="bottom"/>
              <w:rPr>
                <w:sz w:val="21"/>
              </w:rPr>
            </w:pPr>
            <w:r>
              <w:rPr>
                <w:sz w:val="21"/>
              </w:rPr>
              <w:t>292,207</w:t>
            </w:r>
          </w:p>
        </w:tc>
        <w:tc>
          <w:tcPr>
            <w:tcW w:w="966" w:type="dxa"/>
            <w:tcBorders>
              <w:top w:val="single" w:sz="6" w:space="0" w:color="auto"/>
              <w:left w:val="single" w:sz="6" w:space="0" w:color="auto"/>
              <w:bottom w:val="single" w:sz="6" w:space="0" w:color="auto"/>
              <w:right w:val="single" w:sz="6" w:space="0" w:color="auto"/>
            </w:tcBorders>
          </w:tcPr>
          <w:p w:rsidR="00000000" w:rsidRDefault="003D15A7">
            <w:pPr>
              <w:widowControl w:val="0"/>
              <w:tabs>
                <w:tab w:val="left" w:pos="-1440"/>
                <w:tab w:val="left" w:pos="-720"/>
              </w:tabs>
              <w:autoSpaceDE w:val="0"/>
              <w:autoSpaceDN w:val="0"/>
              <w:spacing w:before="60" w:after="110" w:line="240" w:lineRule="auto"/>
              <w:jc w:val="center"/>
              <w:textAlignment w:val="bottom"/>
              <w:rPr>
                <w:sz w:val="21"/>
              </w:rPr>
            </w:pPr>
            <w:r>
              <w:rPr>
                <w:sz w:val="21"/>
              </w:rPr>
              <w:t>42,0</w:t>
            </w:r>
          </w:p>
        </w:tc>
      </w:tr>
    </w:tbl>
    <w:p w:rsidR="00000000" w:rsidRDefault="003D15A7"/>
    <w:p w:rsidR="00000000" w:rsidRDefault="003D15A7">
      <w:pPr>
        <w:pStyle w:val="Heading3"/>
      </w:pPr>
      <w:r>
        <w:br w:type="page"/>
      </w:r>
      <w:r>
        <w:rPr>
          <w:rFonts w:hint="eastAsia"/>
        </w:rPr>
        <w:t>分</w:t>
      </w:r>
      <w:r>
        <w:t xml:space="preserve">  </w:t>
      </w:r>
      <w:r>
        <w:rPr>
          <w:rFonts w:hint="eastAsia"/>
        </w:rPr>
        <w:t>娩</w:t>
      </w:r>
    </w:p>
    <w:tbl>
      <w:tblPr>
        <w:tblW w:w="0" w:type="auto"/>
        <w:tblInd w:w="2" w:type="dxa"/>
        <w:tblLayout w:type="fixed"/>
        <w:tblCellMar>
          <w:left w:w="56" w:type="dxa"/>
          <w:right w:w="56" w:type="dxa"/>
        </w:tblCellMar>
        <w:tblLook w:val="0000" w:firstRow="0" w:lastRow="0" w:firstColumn="0" w:lastColumn="0" w:noHBand="0" w:noVBand="0"/>
      </w:tblPr>
      <w:tblGrid>
        <w:gridCol w:w="1267"/>
        <w:gridCol w:w="970"/>
        <w:gridCol w:w="1070"/>
        <w:gridCol w:w="1070"/>
        <w:gridCol w:w="1070"/>
        <w:gridCol w:w="1070"/>
        <w:gridCol w:w="1070"/>
        <w:gridCol w:w="1070"/>
        <w:gridCol w:w="978"/>
      </w:tblGrid>
      <w:tr w:rsidR="00000000">
        <w:tblPrEx>
          <w:tblCellMar>
            <w:top w:w="0" w:type="dxa"/>
            <w:bottom w:w="0" w:type="dxa"/>
          </w:tblCellMar>
        </w:tblPrEx>
        <w:trPr>
          <w:cantSplit/>
        </w:trPr>
        <w:tc>
          <w:tcPr>
            <w:tcW w:w="1267" w:type="dxa"/>
            <w:tcBorders>
              <w:top w:val="single" w:sz="6" w:space="0" w:color="auto"/>
              <w:left w:val="single" w:sz="6" w:space="0" w:color="auto"/>
            </w:tcBorders>
          </w:tcPr>
          <w:p w:rsidR="00000000" w:rsidRDefault="003D15A7">
            <w:pPr>
              <w:spacing w:before="80" w:after="20" w:line="240" w:lineRule="auto"/>
              <w:jc w:val="center"/>
              <w:rPr>
                <w:sz w:val="21"/>
              </w:rPr>
            </w:pPr>
            <w:r>
              <w:rPr>
                <w:rFonts w:hint="eastAsia"/>
                <w:sz w:val="21"/>
              </w:rPr>
              <w:t>环</w:t>
            </w:r>
            <w:r>
              <w:rPr>
                <w:sz w:val="21"/>
              </w:rPr>
              <w:t xml:space="preserve">  </w:t>
            </w:r>
            <w:r>
              <w:rPr>
                <w:rFonts w:hint="eastAsia"/>
                <w:sz w:val="21"/>
              </w:rPr>
              <w:t>境</w:t>
            </w:r>
          </w:p>
        </w:tc>
        <w:tc>
          <w:tcPr>
            <w:tcW w:w="2040" w:type="dxa"/>
            <w:hMerge w:val="restart"/>
            <w:tcBorders>
              <w:top w:val="single" w:sz="6" w:space="0" w:color="auto"/>
              <w:left w:val="single" w:sz="6" w:space="0" w:color="auto"/>
            </w:tcBorders>
          </w:tcPr>
          <w:p w:rsidR="00000000" w:rsidRDefault="003D15A7">
            <w:pPr>
              <w:spacing w:before="80" w:after="20" w:line="240" w:lineRule="auto"/>
              <w:jc w:val="center"/>
              <w:rPr>
                <w:sz w:val="21"/>
              </w:rPr>
            </w:pPr>
            <w:r>
              <w:rPr>
                <w:sz w:val="21"/>
              </w:rPr>
              <w:t>1994</w:t>
            </w:r>
            <w:r>
              <w:rPr>
                <w:rFonts w:hint="eastAsia"/>
                <w:sz w:val="21"/>
              </w:rPr>
              <w:t>年</w:t>
            </w:r>
          </w:p>
        </w:tc>
        <w:tc>
          <w:tcPr>
            <w:hMerge/>
            <w:tcBorders>
              <w:top w:val="single" w:sz="6" w:space="0" w:color="auto"/>
            </w:tcBorders>
          </w:tcPr>
          <w:p w:rsidR="00000000" w:rsidRDefault="003D15A7">
            <w:pPr>
              <w:spacing w:before="80" w:after="20" w:line="240" w:lineRule="auto"/>
              <w:jc w:val="center"/>
              <w:rPr>
                <w:sz w:val="21"/>
              </w:rPr>
            </w:pPr>
          </w:p>
        </w:tc>
        <w:tc>
          <w:tcPr>
            <w:tcW w:w="2140" w:type="dxa"/>
            <w:hMerge w:val="restart"/>
            <w:tcBorders>
              <w:top w:val="single" w:sz="6" w:space="0" w:color="auto"/>
              <w:left w:val="single" w:sz="6" w:space="0" w:color="auto"/>
            </w:tcBorders>
          </w:tcPr>
          <w:p w:rsidR="00000000" w:rsidRDefault="003D15A7">
            <w:pPr>
              <w:spacing w:before="80" w:after="20" w:line="240" w:lineRule="auto"/>
              <w:jc w:val="center"/>
              <w:rPr>
                <w:sz w:val="21"/>
              </w:rPr>
            </w:pPr>
            <w:r>
              <w:rPr>
                <w:sz w:val="21"/>
              </w:rPr>
              <w:t>1995</w:t>
            </w:r>
            <w:r>
              <w:rPr>
                <w:rFonts w:hint="eastAsia"/>
                <w:sz w:val="21"/>
              </w:rPr>
              <w:t>年</w:t>
            </w:r>
          </w:p>
        </w:tc>
        <w:tc>
          <w:tcPr>
            <w:hMerge/>
            <w:tcBorders>
              <w:top w:val="single" w:sz="6" w:space="0" w:color="auto"/>
            </w:tcBorders>
          </w:tcPr>
          <w:p w:rsidR="00000000" w:rsidRDefault="003D15A7">
            <w:pPr>
              <w:spacing w:before="80" w:after="20" w:line="240" w:lineRule="auto"/>
              <w:jc w:val="center"/>
              <w:rPr>
                <w:sz w:val="21"/>
              </w:rPr>
            </w:pPr>
          </w:p>
        </w:tc>
        <w:tc>
          <w:tcPr>
            <w:tcW w:w="2140" w:type="dxa"/>
            <w:hMerge w:val="restart"/>
            <w:tcBorders>
              <w:top w:val="single" w:sz="6" w:space="0" w:color="auto"/>
              <w:left w:val="single" w:sz="6" w:space="0" w:color="auto"/>
            </w:tcBorders>
          </w:tcPr>
          <w:p w:rsidR="00000000" w:rsidRDefault="003D15A7">
            <w:pPr>
              <w:spacing w:before="80" w:after="20" w:line="240" w:lineRule="auto"/>
              <w:jc w:val="center"/>
              <w:rPr>
                <w:sz w:val="21"/>
              </w:rPr>
            </w:pPr>
            <w:r>
              <w:rPr>
                <w:sz w:val="21"/>
              </w:rPr>
              <w:t>1996</w:t>
            </w:r>
            <w:r>
              <w:rPr>
                <w:rFonts w:hint="eastAsia"/>
                <w:sz w:val="21"/>
              </w:rPr>
              <w:t>年</w:t>
            </w:r>
          </w:p>
        </w:tc>
        <w:tc>
          <w:tcPr>
            <w:hMerge/>
            <w:tcBorders>
              <w:top w:val="single" w:sz="6" w:space="0" w:color="auto"/>
            </w:tcBorders>
          </w:tcPr>
          <w:p w:rsidR="00000000" w:rsidRDefault="003D15A7">
            <w:pPr>
              <w:spacing w:before="80" w:after="20" w:line="240" w:lineRule="auto"/>
              <w:jc w:val="center"/>
              <w:rPr>
                <w:sz w:val="21"/>
              </w:rPr>
            </w:pPr>
          </w:p>
        </w:tc>
        <w:tc>
          <w:tcPr>
            <w:tcW w:w="2048" w:type="dxa"/>
            <w:hMerge w:val="restart"/>
            <w:tcBorders>
              <w:top w:val="single" w:sz="6" w:space="0" w:color="auto"/>
              <w:left w:val="single" w:sz="6" w:space="0" w:color="auto"/>
            </w:tcBorders>
          </w:tcPr>
          <w:p w:rsidR="00000000" w:rsidRDefault="003D15A7">
            <w:pPr>
              <w:spacing w:before="80" w:after="20" w:line="240" w:lineRule="auto"/>
              <w:jc w:val="center"/>
              <w:rPr>
                <w:sz w:val="21"/>
              </w:rPr>
            </w:pPr>
            <w:r>
              <w:rPr>
                <w:sz w:val="21"/>
              </w:rPr>
              <w:t>1997</w:t>
            </w:r>
            <w:r>
              <w:rPr>
                <w:rFonts w:hint="eastAsia"/>
                <w:sz w:val="21"/>
              </w:rPr>
              <w:t>年</w:t>
            </w:r>
          </w:p>
        </w:tc>
        <w:tc>
          <w:tcPr>
            <w:hMerge/>
            <w:tcBorders>
              <w:top w:val="single" w:sz="6" w:space="0" w:color="auto"/>
              <w:right w:val="single" w:sz="6" w:space="0" w:color="auto"/>
            </w:tcBorders>
          </w:tcPr>
          <w:p w:rsidR="00000000" w:rsidRDefault="003D15A7">
            <w:pPr>
              <w:spacing w:before="80" w:after="20" w:line="240" w:lineRule="auto"/>
              <w:jc w:val="center"/>
              <w:rPr>
                <w:sz w:val="21"/>
              </w:rPr>
            </w:pPr>
          </w:p>
        </w:tc>
      </w:tr>
      <w:tr w:rsidR="00000000">
        <w:tblPrEx>
          <w:tblCellMar>
            <w:top w:w="0" w:type="dxa"/>
            <w:bottom w:w="0" w:type="dxa"/>
          </w:tblCellMar>
        </w:tblPrEx>
        <w:trPr>
          <w:cantSplit/>
        </w:trPr>
        <w:tc>
          <w:tcPr>
            <w:tcW w:w="1267" w:type="dxa"/>
            <w:tcBorders>
              <w:left w:val="single" w:sz="6" w:space="0" w:color="auto"/>
            </w:tcBorders>
          </w:tcPr>
          <w:p w:rsidR="00000000" w:rsidRDefault="003D15A7">
            <w:pPr>
              <w:spacing w:before="80" w:after="20" w:line="240" w:lineRule="auto"/>
              <w:jc w:val="center"/>
              <w:rPr>
                <w:sz w:val="21"/>
              </w:rPr>
            </w:pPr>
          </w:p>
        </w:tc>
        <w:tc>
          <w:tcPr>
            <w:tcW w:w="970" w:type="dxa"/>
            <w:tcBorders>
              <w:top w:val="single" w:sz="6" w:space="0" w:color="auto"/>
              <w:left w:val="single" w:sz="6" w:space="0" w:color="auto"/>
            </w:tcBorders>
          </w:tcPr>
          <w:p w:rsidR="00000000" w:rsidRDefault="003D15A7">
            <w:pPr>
              <w:spacing w:before="80" w:after="20" w:line="240" w:lineRule="auto"/>
              <w:jc w:val="center"/>
              <w:rPr>
                <w:sz w:val="21"/>
              </w:rPr>
            </w:pPr>
            <w:r>
              <w:rPr>
                <w:rFonts w:hint="eastAsia"/>
                <w:sz w:val="21"/>
              </w:rPr>
              <w:t>数目</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rFonts w:hint="eastAsia"/>
                <w:sz w:val="21"/>
              </w:rPr>
              <w:t>数目</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rFonts w:hint="eastAsia"/>
                <w:sz w:val="21"/>
              </w:rPr>
              <w:t>数目</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rFonts w:hint="eastAsia"/>
                <w:sz w:val="21"/>
              </w:rPr>
              <w:t>数目</w:t>
            </w:r>
          </w:p>
        </w:tc>
        <w:tc>
          <w:tcPr>
            <w:tcW w:w="978" w:type="dxa"/>
            <w:tcBorders>
              <w:top w:val="single" w:sz="6" w:space="0" w:color="auto"/>
              <w:left w:val="single" w:sz="6" w:space="0" w:color="auto"/>
              <w:right w:val="single" w:sz="6" w:space="0" w:color="auto"/>
            </w:tcBorders>
          </w:tcPr>
          <w:p w:rsidR="00000000" w:rsidRDefault="003D15A7">
            <w:pPr>
              <w:spacing w:before="80" w:after="20" w:line="240" w:lineRule="auto"/>
              <w:jc w:val="center"/>
              <w:rPr>
                <w:sz w:val="21"/>
              </w:rPr>
            </w:pPr>
            <w:r>
              <w:rPr>
                <w:sz w:val="21"/>
              </w:rPr>
              <w:t>%</w:t>
            </w:r>
          </w:p>
        </w:tc>
      </w:tr>
      <w:tr w:rsidR="00000000">
        <w:tblPrEx>
          <w:tblCellMar>
            <w:top w:w="0" w:type="dxa"/>
            <w:bottom w:w="0" w:type="dxa"/>
          </w:tblCellMar>
        </w:tblPrEx>
        <w:trPr>
          <w:cantSplit/>
        </w:trPr>
        <w:tc>
          <w:tcPr>
            <w:tcW w:w="1267" w:type="dxa"/>
            <w:tcBorders>
              <w:top w:val="single" w:sz="6" w:space="0" w:color="auto"/>
              <w:left w:val="single" w:sz="6" w:space="0" w:color="auto"/>
            </w:tcBorders>
          </w:tcPr>
          <w:p w:rsidR="00000000" w:rsidRDefault="003D15A7">
            <w:pPr>
              <w:spacing w:before="80" w:after="20" w:line="240" w:lineRule="auto"/>
              <w:jc w:val="center"/>
              <w:rPr>
                <w:sz w:val="21"/>
              </w:rPr>
            </w:pPr>
            <w:r>
              <w:rPr>
                <w:rFonts w:hint="eastAsia"/>
                <w:sz w:val="21"/>
              </w:rPr>
              <w:t>城市</w:t>
            </w:r>
          </w:p>
        </w:tc>
        <w:tc>
          <w:tcPr>
            <w:tcW w:w="9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162,042</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56.3</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164,775</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59.8</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165,208</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59.3</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169,716</w:t>
            </w:r>
          </w:p>
        </w:tc>
        <w:tc>
          <w:tcPr>
            <w:tcW w:w="978" w:type="dxa"/>
            <w:tcBorders>
              <w:top w:val="single" w:sz="6" w:space="0" w:color="auto"/>
              <w:left w:val="single" w:sz="6" w:space="0" w:color="auto"/>
              <w:right w:val="single" w:sz="6" w:space="0" w:color="auto"/>
            </w:tcBorders>
          </w:tcPr>
          <w:p w:rsidR="00000000" w:rsidRDefault="003D15A7">
            <w:pPr>
              <w:spacing w:before="80" w:after="20" w:line="240" w:lineRule="auto"/>
              <w:jc w:val="center"/>
              <w:rPr>
                <w:sz w:val="21"/>
              </w:rPr>
            </w:pPr>
            <w:r>
              <w:rPr>
                <w:sz w:val="21"/>
              </w:rPr>
              <w:t>61.1</w:t>
            </w:r>
          </w:p>
        </w:tc>
      </w:tr>
      <w:tr w:rsidR="00000000">
        <w:tblPrEx>
          <w:tblCellMar>
            <w:top w:w="0" w:type="dxa"/>
            <w:bottom w:w="0" w:type="dxa"/>
          </w:tblCellMar>
        </w:tblPrEx>
        <w:trPr>
          <w:cantSplit/>
        </w:trPr>
        <w:tc>
          <w:tcPr>
            <w:tcW w:w="1267" w:type="dxa"/>
            <w:tcBorders>
              <w:top w:val="single" w:sz="6" w:space="0" w:color="auto"/>
              <w:left w:val="single" w:sz="6" w:space="0" w:color="auto"/>
            </w:tcBorders>
          </w:tcPr>
          <w:p w:rsidR="00000000" w:rsidRDefault="003D15A7">
            <w:pPr>
              <w:spacing w:before="80" w:after="20" w:line="240" w:lineRule="auto"/>
              <w:jc w:val="center"/>
              <w:rPr>
                <w:sz w:val="21"/>
              </w:rPr>
            </w:pPr>
            <w:r>
              <w:rPr>
                <w:rFonts w:hint="eastAsia"/>
                <w:sz w:val="21"/>
              </w:rPr>
              <w:t>农村</w:t>
            </w:r>
          </w:p>
        </w:tc>
        <w:tc>
          <w:tcPr>
            <w:tcW w:w="9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86,704</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20.3</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96,593</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22.1</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94,247</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22.9</w:t>
            </w:r>
          </w:p>
        </w:tc>
        <w:tc>
          <w:tcPr>
            <w:tcW w:w="107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105,670</w:t>
            </w:r>
          </w:p>
        </w:tc>
        <w:tc>
          <w:tcPr>
            <w:tcW w:w="978" w:type="dxa"/>
            <w:tcBorders>
              <w:top w:val="single" w:sz="6" w:space="0" w:color="auto"/>
              <w:left w:val="single" w:sz="6" w:space="0" w:color="auto"/>
              <w:right w:val="single" w:sz="6" w:space="0" w:color="auto"/>
            </w:tcBorders>
          </w:tcPr>
          <w:p w:rsidR="00000000" w:rsidRDefault="003D15A7">
            <w:pPr>
              <w:spacing w:before="80" w:after="20" w:line="240" w:lineRule="auto"/>
              <w:jc w:val="center"/>
              <w:rPr>
                <w:sz w:val="21"/>
              </w:rPr>
            </w:pPr>
            <w:r>
              <w:rPr>
                <w:sz w:val="21"/>
              </w:rPr>
              <w:t>25.3</w:t>
            </w:r>
          </w:p>
        </w:tc>
      </w:tr>
      <w:tr w:rsidR="00000000">
        <w:tblPrEx>
          <w:tblCellMar>
            <w:top w:w="0" w:type="dxa"/>
            <w:bottom w:w="0" w:type="dxa"/>
          </w:tblCellMar>
        </w:tblPrEx>
        <w:trPr>
          <w:cantSplit/>
        </w:trPr>
        <w:tc>
          <w:tcPr>
            <w:tcW w:w="1267" w:type="dxa"/>
            <w:tcBorders>
              <w:top w:val="single" w:sz="6" w:space="0" w:color="auto"/>
              <w:left w:val="single" w:sz="6" w:space="0" w:color="auto"/>
              <w:bottom w:val="single" w:sz="6" w:space="0" w:color="auto"/>
            </w:tcBorders>
          </w:tcPr>
          <w:p w:rsidR="00000000" w:rsidRDefault="003D15A7">
            <w:pPr>
              <w:spacing w:before="80" w:after="20" w:line="240" w:lineRule="auto"/>
              <w:jc w:val="center"/>
              <w:rPr>
                <w:sz w:val="21"/>
              </w:rPr>
            </w:pPr>
            <w:r>
              <w:rPr>
                <w:rFonts w:hint="eastAsia"/>
                <w:sz w:val="21"/>
              </w:rPr>
              <w:t>总计</w:t>
            </w:r>
          </w:p>
        </w:tc>
        <w:tc>
          <w:tcPr>
            <w:tcW w:w="970" w:type="dxa"/>
            <w:tcBorders>
              <w:top w:val="single" w:sz="6" w:space="0" w:color="auto"/>
              <w:left w:val="single" w:sz="6" w:space="0" w:color="auto"/>
              <w:bottom w:val="single" w:sz="6" w:space="0" w:color="auto"/>
            </w:tcBorders>
          </w:tcPr>
          <w:p w:rsidR="00000000" w:rsidRDefault="003D15A7">
            <w:pPr>
              <w:spacing w:before="80" w:after="20" w:line="240" w:lineRule="auto"/>
              <w:jc w:val="center"/>
              <w:rPr>
                <w:sz w:val="21"/>
              </w:rPr>
            </w:pPr>
            <w:r>
              <w:rPr>
                <w:sz w:val="21"/>
              </w:rPr>
              <w:t>248,746</w:t>
            </w:r>
          </w:p>
        </w:tc>
        <w:tc>
          <w:tcPr>
            <w:tcW w:w="1070" w:type="dxa"/>
            <w:tcBorders>
              <w:top w:val="single" w:sz="6" w:space="0" w:color="auto"/>
              <w:left w:val="single" w:sz="6" w:space="0" w:color="auto"/>
              <w:bottom w:val="single" w:sz="6" w:space="0" w:color="auto"/>
            </w:tcBorders>
          </w:tcPr>
          <w:p w:rsidR="00000000" w:rsidRDefault="003D15A7">
            <w:pPr>
              <w:spacing w:before="80" w:after="20" w:line="240" w:lineRule="auto"/>
              <w:jc w:val="center"/>
              <w:rPr>
                <w:sz w:val="21"/>
              </w:rPr>
            </w:pPr>
            <w:r>
              <w:rPr>
                <w:sz w:val="21"/>
              </w:rPr>
              <w:t>34.8</w:t>
            </w:r>
          </w:p>
        </w:tc>
        <w:tc>
          <w:tcPr>
            <w:tcW w:w="1070" w:type="dxa"/>
            <w:tcBorders>
              <w:top w:val="single" w:sz="6" w:space="0" w:color="auto"/>
              <w:left w:val="single" w:sz="6" w:space="0" w:color="auto"/>
              <w:bottom w:val="single" w:sz="6" w:space="0" w:color="auto"/>
            </w:tcBorders>
          </w:tcPr>
          <w:p w:rsidR="00000000" w:rsidRDefault="003D15A7">
            <w:pPr>
              <w:spacing w:before="80" w:after="20" w:line="240" w:lineRule="auto"/>
              <w:jc w:val="center"/>
              <w:rPr>
                <w:sz w:val="21"/>
              </w:rPr>
            </w:pPr>
            <w:r>
              <w:rPr>
                <w:sz w:val="21"/>
              </w:rPr>
              <w:t>258,368</w:t>
            </w:r>
          </w:p>
        </w:tc>
        <w:tc>
          <w:tcPr>
            <w:tcW w:w="1070" w:type="dxa"/>
            <w:tcBorders>
              <w:top w:val="single" w:sz="6" w:space="0" w:color="auto"/>
              <w:left w:val="single" w:sz="6" w:space="0" w:color="auto"/>
              <w:bottom w:val="single" w:sz="6" w:space="0" w:color="auto"/>
            </w:tcBorders>
          </w:tcPr>
          <w:p w:rsidR="00000000" w:rsidRDefault="003D15A7">
            <w:pPr>
              <w:spacing w:before="80" w:after="20" w:line="240" w:lineRule="auto"/>
              <w:jc w:val="center"/>
              <w:rPr>
                <w:sz w:val="21"/>
              </w:rPr>
            </w:pPr>
            <w:r>
              <w:rPr>
                <w:sz w:val="21"/>
              </w:rPr>
              <w:t>36.9</w:t>
            </w:r>
          </w:p>
        </w:tc>
        <w:tc>
          <w:tcPr>
            <w:tcW w:w="1070" w:type="dxa"/>
            <w:tcBorders>
              <w:top w:val="single" w:sz="6" w:space="0" w:color="auto"/>
              <w:left w:val="single" w:sz="6" w:space="0" w:color="auto"/>
              <w:bottom w:val="single" w:sz="6" w:space="0" w:color="auto"/>
            </w:tcBorders>
          </w:tcPr>
          <w:p w:rsidR="00000000" w:rsidRDefault="003D15A7">
            <w:pPr>
              <w:spacing w:before="80" w:after="20" w:line="240" w:lineRule="auto"/>
              <w:jc w:val="center"/>
              <w:rPr>
                <w:sz w:val="21"/>
              </w:rPr>
            </w:pPr>
            <w:r>
              <w:rPr>
                <w:sz w:val="21"/>
              </w:rPr>
              <w:t>259,455</w:t>
            </w:r>
          </w:p>
        </w:tc>
        <w:tc>
          <w:tcPr>
            <w:tcW w:w="1070" w:type="dxa"/>
            <w:tcBorders>
              <w:top w:val="single" w:sz="6" w:space="0" w:color="auto"/>
              <w:left w:val="single" w:sz="6" w:space="0" w:color="auto"/>
              <w:bottom w:val="single" w:sz="6" w:space="0" w:color="auto"/>
            </w:tcBorders>
          </w:tcPr>
          <w:p w:rsidR="00000000" w:rsidRDefault="003D15A7">
            <w:pPr>
              <w:spacing w:before="80" w:after="20" w:line="240" w:lineRule="auto"/>
              <w:jc w:val="center"/>
              <w:rPr>
                <w:sz w:val="21"/>
              </w:rPr>
            </w:pPr>
            <w:r>
              <w:rPr>
                <w:sz w:val="21"/>
              </w:rPr>
              <w:t>37.5</w:t>
            </w:r>
          </w:p>
        </w:tc>
        <w:tc>
          <w:tcPr>
            <w:tcW w:w="1070" w:type="dxa"/>
            <w:tcBorders>
              <w:top w:val="single" w:sz="6" w:space="0" w:color="auto"/>
              <w:left w:val="single" w:sz="6" w:space="0" w:color="auto"/>
              <w:bottom w:val="single" w:sz="6" w:space="0" w:color="auto"/>
            </w:tcBorders>
          </w:tcPr>
          <w:p w:rsidR="00000000" w:rsidRDefault="003D15A7">
            <w:pPr>
              <w:spacing w:before="80" w:after="20" w:line="240" w:lineRule="auto"/>
              <w:jc w:val="center"/>
              <w:rPr>
                <w:sz w:val="21"/>
              </w:rPr>
            </w:pPr>
            <w:r>
              <w:rPr>
                <w:sz w:val="21"/>
              </w:rPr>
              <w:t>275,386</w:t>
            </w:r>
          </w:p>
        </w:tc>
        <w:tc>
          <w:tcPr>
            <w:tcW w:w="978" w:type="dxa"/>
            <w:tcBorders>
              <w:top w:val="single" w:sz="6" w:space="0" w:color="auto"/>
              <w:left w:val="single" w:sz="6" w:space="0" w:color="auto"/>
              <w:bottom w:val="single" w:sz="6" w:space="0" w:color="auto"/>
              <w:right w:val="single" w:sz="6" w:space="0" w:color="auto"/>
            </w:tcBorders>
          </w:tcPr>
          <w:p w:rsidR="00000000" w:rsidRDefault="003D15A7">
            <w:pPr>
              <w:spacing w:before="80" w:after="20" w:line="240" w:lineRule="auto"/>
              <w:jc w:val="center"/>
              <w:rPr>
                <w:sz w:val="21"/>
              </w:rPr>
            </w:pPr>
            <w:r>
              <w:rPr>
                <w:sz w:val="21"/>
              </w:rPr>
              <w:t>39.6</w:t>
            </w:r>
          </w:p>
        </w:tc>
      </w:tr>
    </w:tbl>
    <w:p w:rsidR="00000000" w:rsidRDefault="003D15A7"/>
    <w:p w:rsidR="00000000" w:rsidRDefault="003D15A7">
      <w:pPr>
        <w:pStyle w:val="Heading3"/>
      </w:pPr>
      <w:r>
        <w:rPr>
          <w:rFonts w:hint="eastAsia"/>
        </w:rPr>
        <w:t>产</w:t>
      </w:r>
      <w:r>
        <w:t xml:space="preserve"> </w:t>
      </w:r>
      <w:r>
        <w:rPr>
          <w:rFonts w:hint="eastAsia"/>
        </w:rPr>
        <w:t>后</w:t>
      </w:r>
      <w:r>
        <w:t xml:space="preserve"> </w:t>
      </w:r>
      <w:r>
        <w:rPr>
          <w:rFonts w:hint="eastAsia"/>
        </w:rPr>
        <w:t>活</w:t>
      </w:r>
      <w:r>
        <w:t xml:space="preserve"> </w:t>
      </w:r>
      <w:r>
        <w:rPr>
          <w:rFonts w:hint="eastAsia"/>
        </w:rPr>
        <w:t>动</w:t>
      </w:r>
    </w:p>
    <w:tbl>
      <w:tblPr>
        <w:tblW w:w="0" w:type="auto"/>
        <w:tblInd w:w="2" w:type="dxa"/>
        <w:tblLayout w:type="fixed"/>
        <w:tblCellMar>
          <w:left w:w="56" w:type="dxa"/>
          <w:right w:w="56" w:type="dxa"/>
        </w:tblCellMar>
        <w:tblLook w:val="0000" w:firstRow="0" w:lastRow="0" w:firstColumn="0" w:lastColumn="0" w:noHBand="0" w:noVBand="0"/>
      </w:tblPr>
      <w:tblGrid>
        <w:gridCol w:w="963"/>
        <w:gridCol w:w="963"/>
        <w:gridCol w:w="963"/>
        <w:gridCol w:w="963"/>
        <w:gridCol w:w="963"/>
        <w:gridCol w:w="963"/>
        <w:gridCol w:w="963"/>
        <w:gridCol w:w="963"/>
        <w:gridCol w:w="963"/>
        <w:gridCol w:w="966"/>
      </w:tblGrid>
      <w:tr w:rsidR="00000000">
        <w:tblPrEx>
          <w:tblCellMar>
            <w:top w:w="0" w:type="dxa"/>
            <w:bottom w:w="0" w:type="dxa"/>
          </w:tblCellMar>
        </w:tblPrEx>
        <w:trPr>
          <w:cantSplit/>
        </w:trPr>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rFonts w:hint="eastAsia"/>
                <w:sz w:val="21"/>
              </w:rPr>
              <w:t>环</w:t>
            </w:r>
            <w:r>
              <w:rPr>
                <w:sz w:val="21"/>
              </w:rPr>
              <w:t xml:space="preserve">  </w:t>
            </w:r>
            <w:r>
              <w:rPr>
                <w:rFonts w:hint="eastAsia"/>
                <w:sz w:val="21"/>
              </w:rPr>
              <w:t>境</w:t>
            </w:r>
          </w:p>
        </w:tc>
        <w:tc>
          <w:tcPr>
            <w:hMerge/>
            <w:tcBorders>
              <w:top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1994</w:t>
            </w:r>
            <w:r>
              <w:rPr>
                <w:rFonts w:hint="eastAsia"/>
                <w:sz w:val="21"/>
              </w:rPr>
              <w:t>年</w:t>
            </w:r>
          </w:p>
        </w:tc>
        <w:tc>
          <w:tcPr>
            <w:hMerge/>
            <w:tcBorders>
              <w:top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1995</w:t>
            </w:r>
            <w:r>
              <w:rPr>
                <w:rFonts w:hint="eastAsia"/>
                <w:sz w:val="21"/>
              </w:rPr>
              <w:t>年</w:t>
            </w:r>
          </w:p>
        </w:tc>
        <w:tc>
          <w:tcPr>
            <w:hMerge/>
            <w:tcBorders>
              <w:top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1996</w:t>
            </w:r>
            <w:r>
              <w:rPr>
                <w:rFonts w:hint="eastAsia"/>
                <w:sz w:val="21"/>
              </w:rPr>
              <w:t>年</w:t>
            </w:r>
          </w:p>
        </w:tc>
        <w:tc>
          <w:tcPr>
            <w:hMerge/>
            <w:tcBorders>
              <w:top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tcW w:w="1929"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1997</w:t>
            </w:r>
            <w:r>
              <w:rPr>
                <w:rFonts w:hint="eastAsia"/>
                <w:sz w:val="21"/>
              </w:rPr>
              <w:t>年</w:t>
            </w:r>
          </w:p>
        </w:tc>
        <w:tc>
          <w:tcPr>
            <w:hMerge/>
            <w:tcBorders>
              <w:top w:val="single" w:sz="6" w:space="0" w:color="auto"/>
              <w:righ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r>
      <w:tr w:rsidR="00000000">
        <w:tblPrEx>
          <w:tblCellMar>
            <w:top w:w="0" w:type="dxa"/>
            <w:bottom w:w="0" w:type="dxa"/>
          </w:tblCellMar>
        </w:tblPrEx>
        <w:trPr>
          <w:cantSplit/>
        </w:trPr>
        <w:tc>
          <w:tcPr>
            <w:tcW w:w="1926" w:type="dxa"/>
            <w:hMerge w:val="restart"/>
            <w:tcBorders>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hMerge/>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rFonts w:hint="eastAsia"/>
                <w:sz w:val="21"/>
              </w:rPr>
              <w:t>人数</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rFonts w:hint="eastAsia"/>
                <w:sz w:val="21"/>
              </w:rPr>
              <w:t>人数</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rFonts w:hint="eastAsia"/>
                <w:sz w:val="21"/>
              </w:rPr>
              <w:t>人数</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rFonts w:hint="eastAsia"/>
                <w:sz w:val="21"/>
              </w:rPr>
              <w:t>人数</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w:t>
            </w:r>
          </w:p>
        </w:tc>
      </w:tr>
      <w:tr w:rsidR="00000000">
        <w:tblPrEx>
          <w:tblCellMar>
            <w:top w:w="0" w:type="dxa"/>
            <w:bottom w:w="0" w:type="dxa"/>
          </w:tblCellMar>
        </w:tblPrEx>
        <w:trPr>
          <w:cantSplit/>
        </w:trPr>
        <w:tc>
          <w:tcPr>
            <w:tcW w:w="1926" w:type="dxa"/>
            <w:hMerge w:val="restart"/>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rFonts w:hint="eastAsia"/>
                <w:sz w:val="21"/>
              </w:rPr>
              <w:t>城</w:t>
            </w:r>
            <w:r>
              <w:rPr>
                <w:sz w:val="21"/>
              </w:rPr>
              <w:t xml:space="preserve">  </w:t>
            </w:r>
            <w:r>
              <w:rPr>
                <w:rFonts w:hint="eastAsia"/>
                <w:sz w:val="21"/>
              </w:rPr>
              <w:t>市</w:t>
            </w:r>
          </w:p>
        </w:tc>
        <w:tc>
          <w:tcPr>
            <w:hMerge/>
            <w:tcBorders>
              <w:top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234,872</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81.6</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241,920</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87.8</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230,694</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82.8</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230</w:t>
            </w:r>
            <w:r>
              <w:rPr>
                <w:sz w:val="21"/>
              </w:rPr>
              <w:t>,954</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83.2</w:t>
            </w:r>
          </w:p>
        </w:tc>
      </w:tr>
      <w:tr w:rsidR="00000000">
        <w:tblPrEx>
          <w:tblCellMar>
            <w:top w:w="0" w:type="dxa"/>
            <w:bottom w:w="0" w:type="dxa"/>
          </w:tblCellMar>
        </w:tblPrEx>
        <w:trPr>
          <w:cantSplit/>
        </w:trPr>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textAlignment w:val="bottom"/>
              <w:rPr>
                <w:sz w:val="21"/>
              </w:rPr>
            </w:pPr>
            <w:r>
              <w:rPr>
                <w:rFonts w:hint="eastAsia"/>
                <w:sz w:val="21"/>
              </w:rPr>
              <w:t>固定</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175,667</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124.5</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181,921</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109.2</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171,701</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108.9</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180,524</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125.8</w:t>
            </w:r>
          </w:p>
        </w:tc>
      </w:tr>
      <w:tr w:rsidR="00000000">
        <w:tblPrEx>
          <w:tblCellMar>
            <w:top w:w="0" w:type="dxa"/>
            <w:bottom w:w="0" w:type="dxa"/>
          </w:tblCellMar>
        </w:tblPrEx>
        <w:trPr>
          <w:cantSplit/>
        </w:trPr>
        <w:tc>
          <w:tcPr>
            <w:tcW w:w="963" w:type="dxa"/>
            <w:tcBorders>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rFonts w:hint="eastAsia"/>
                <w:sz w:val="21"/>
              </w:rPr>
              <w:t>农</w:t>
            </w:r>
            <w:r>
              <w:rPr>
                <w:sz w:val="21"/>
              </w:rPr>
              <w:t xml:space="preserve"> </w:t>
            </w:r>
            <w:r>
              <w:rPr>
                <w:rFonts w:hint="eastAsia"/>
                <w:sz w:val="21"/>
              </w:rPr>
              <w:t>村</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textAlignment w:val="bottom"/>
              <w:rPr>
                <w:sz w:val="21"/>
              </w:rPr>
            </w:pPr>
            <w:r>
              <w:rPr>
                <w:rFonts w:hint="eastAsia"/>
                <w:sz w:val="21"/>
              </w:rPr>
              <w:t>流动</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30,725</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10.8</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24,493</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9.5</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24,102</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9.5</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29,428</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10.7</w:t>
            </w:r>
          </w:p>
        </w:tc>
      </w:tr>
      <w:tr w:rsidR="00000000">
        <w:tblPrEx>
          <w:tblCellMar>
            <w:top w:w="0" w:type="dxa"/>
            <w:bottom w:w="0" w:type="dxa"/>
          </w:tblCellMar>
        </w:tblPrEx>
        <w:trPr>
          <w:cantSplit/>
        </w:trPr>
        <w:tc>
          <w:tcPr>
            <w:tcW w:w="963" w:type="dxa"/>
            <w:tcBorders>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textAlignment w:val="bottom"/>
              <w:rPr>
                <w:sz w:val="21"/>
              </w:rPr>
            </w:pPr>
            <w:r>
              <w:rPr>
                <w:rFonts w:hint="eastAsia"/>
                <w:sz w:val="21"/>
              </w:rPr>
              <w:t>共计</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206,392</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48.4</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206,414</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48.8</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195,803</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47.5</w:t>
            </w:r>
          </w:p>
        </w:tc>
        <w:tc>
          <w:tcPr>
            <w:tcW w:w="963"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209,952</w:t>
            </w:r>
          </w:p>
        </w:tc>
        <w:tc>
          <w:tcPr>
            <w:tcW w:w="966"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50.3</w:t>
            </w:r>
          </w:p>
        </w:tc>
      </w:tr>
      <w:tr w:rsidR="00000000">
        <w:tblPrEx>
          <w:tblCellMar>
            <w:top w:w="0" w:type="dxa"/>
            <w:bottom w:w="0" w:type="dxa"/>
          </w:tblCellMar>
        </w:tblPrEx>
        <w:trPr>
          <w:cantSplit/>
        </w:trPr>
        <w:tc>
          <w:tcPr>
            <w:tcW w:w="1926" w:type="dxa"/>
            <w:hMerge w:val="restart"/>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rFonts w:hint="eastAsia"/>
                <w:sz w:val="21"/>
              </w:rPr>
              <w:t>总</w:t>
            </w:r>
            <w:r>
              <w:rPr>
                <w:sz w:val="21"/>
              </w:rPr>
              <w:t xml:space="preserve">  </w:t>
            </w:r>
            <w:r>
              <w:rPr>
                <w:rFonts w:hint="eastAsia"/>
                <w:sz w:val="21"/>
              </w:rPr>
              <w:t>计</w:t>
            </w:r>
          </w:p>
        </w:tc>
        <w:tc>
          <w:tcPr>
            <w:hMerge/>
            <w:tcBorders>
              <w:top w:val="single" w:sz="6" w:space="0" w:color="auto"/>
              <w:bottom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441,264</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61.8</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448,334</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64.2</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426,497</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61.7</w:t>
            </w:r>
          </w:p>
        </w:tc>
        <w:tc>
          <w:tcPr>
            <w:tcW w:w="963"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80" w:after="20" w:line="240" w:lineRule="auto"/>
              <w:jc w:val="right"/>
              <w:textAlignment w:val="bottom"/>
              <w:rPr>
                <w:sz w:val="21"/>
              </w:rPr>
            </w:pPr>
            <w:r>
              <w:rPr>
                <w:sz w:val="21"/>
              </w:rPr>
              <w:t>440,906</w:t>
            </w:r>
          </w:p>
        </w:tc>
        <w:tc>
          <w:tcPr>
            <w:tcW w:w="966" w:type="dxa"/>
            <w:tcBorders>
              <w:top w:val="single" w:sz="6" w:space="0" w:color="auto"/>
              <w:left w:val="single" w:sz="6" w:space="0" w:color="auto"/>
              <w:bottom w:val="single" w:sz="6" w:space="0" w:color="auto"/>
              <w:right w:val="single" w:sz="6" w:space="0" w:color="auto"/>
            </w:tcBorders>
          </w:tcPr>
          <w:p w:rsidR="00000000" w:rsidRDefault="003D15A7">
            <w:pPr>
              <w:widowControl w:val="0"/>
              <w:tabs>
                <w:tab w:val="left" w:pos="-1440"/>
                <w:tab w:val="left" w:pos="-720"/>
              </w:tabs>
              <w:autoSpaceDE w:val="0"/>
              <w:autoSpaceDN w:val="0"/>
              <w:spacing w:before="80" w:after="20" w:line="240" w:lineRule="auto"/>
              <w:jc w:val="center"/>
              <w:textAlignment w:val="bottom"/>
              <w:rPr>
                <w:sz w:val="21"/>
              </w:rPr>
            </w:pPr>
            <w:r>
              <w:rPr>
                <w:sz w:val="21"/>
              </w:rPr>
              <w:t>63.4</w:t>
            </w:r>
          </w:p>
        </w:tc>
      </w:tr>
    </w:tbl>
    <w:p w:rsidR="00000000" w:rsidRDefault="003D15A7"/>
    <w:p w:rsidR="00000000" w:rsidRDefault="003D15A7">
      <w:pPr>
        <w:pStyle w:val="Heading3"/>
      </w:pPr>
      <w:r>
        <w:rPr>
          <w:rFonts w:hint="eastAsia"/>
        </w:rPr>
        <w:t>一周岁以下婴儿免疫接种率</w:t>
      </w:r>
    </w:p>
    <w:tbl>
      <w:tblPr>
        <w:tblW w:w="0" w:type="auto"/>
        <w:tblInd w:w="2" w:type="dxa"/>
        <w:tblLayout w:type="fixed"/>
        <w:tblCellMar>
          <w:left w:w="100" w:type="dxa"/>
          <w:right w:w="100" w:type="dxa"/>
        </w:tblCellMar>
        <w:tblLook w:val="0000" w:firstRow="0" w:lastRow="0" w:firstColumn="0" w:lastColumn="0" w:noHBand="0" w:noVBand="0"/>
      </w:tblPr>
      <w:tblGrid>
        <w:gridCol w:w="2366"/>
        <w:gridCol w:w="1954"/>
        <w:gridCol w:w="2949"/>
        <w:gridCol w:w="2195"/>
      </w:tblGrid>
      <w:tr w:rsidR="00000000">
        <w:tblPrEx>
          <w:tblCellMar>
            <w:top w:w="0" w:type="dxa"/>
            <w:bottom w:w="0" w:type="dxa"/>
          </w:tblCellMar>
        </w:tblPrEx>
        <w:trPr>
          <w:cantSplit/>
        </w:trPr>
        <w:tc>
          <w:tcPr>
            <w:tcW w:w="2366" w:type="dxa"/>
            <w:tcBorders>
              <w:top w:val="single" w:sz="6" w:space="0" w:color="auto"/>
              <w:left w:val="single" w:sz="6" w:space="0" w:color="auto"/>
            </w:tcBorders>
          </w:tcPr>
          <w:p w:rsidR="00000000" w:rsidRDefault="003D15A7">
            <w:pPr>
              <w:spacing w:before="120" w:after="40" w:line="264" w:lineRule="auto"/>
              <w:jc w:val="center"/>
              <w:rPr>
                <w:sz w:val="21"/>
              </w:rPr>
            </w:pPr>
            <w:r>
              <w:rPr>
                <w:rFonts w:hint="eastAsia"/>
                <w:sz w:val="21"/>
              </w:rPr>
              <w:t>年</w:t>
            </w:r>
            <w:r>
              <w:rPr>
                <w:sz w:val="21"/>
              </w:rPr>
              <w:t xml:space="preserve">  </w:t>
            </w:r>
            <w:r>
              <w:rPr>
                <w:rFonts w:hint="eastAsia"/>
                <w:sz w:val="21"/>
              </w:rPr>
              <w:t>度</w:t>
            </w:r>
          </w:p>
        </w:tc>
        <w:tc>
          <w:tcPr>
            <w:tcW w:w="1954" w:type="dxa"/>
            <w:tcBorders>
              <w:top w:val="single" w:sz="6" w:space="0" w:color="auto"/>
              <w:left w:val="single" w:sz="6" w:space="0" w:color="auto"/>
            </w:tcBorders>
          </w:tcPr>
          <w:p w:rsidR="00000000" w:rsidRDefault="003D15A7">
            <w:pPr>
              <w:spacing w:before="120" w:after="40" w:line="264" w:lineRule="auto"/>
              <w:jc w:val="center"/>
              <w:rPr>
                <w:sz w:val="21"/>
              </w:rPr>
            </w:pPr>
            <w:r>
              <w:rPr>
                <w:rFonts w:hint="eastAsia"/>
                <w:sz w:val="21"/>
              </w:rPr>
              <w:t>卡介苗</w:t>
            </w:r>
            <w:r>
              <w:rPr>
                <w:sz w:val="21"/>
              </w:rPr>
              <w:t>(%)</w:t>
            </w:r>
          </w:p>
        </w:tc>
        <w:tc>
          <w:tcPr>
            <w:tcW w:w="2949" w:type="dxa"/>
            <w:tcBorders>
              <w:top w:val="single" w:sz="6" w:space="0" w:color="auto"/>
              <w:left w:val="single" w:sz="6" w:space="0" w:color="auto"/>
            </w:tcBorders>
          </w:tcPr>
          <w:p w:rsidR="00000000" w:rsidRDefault="003D15A7">
            <w:pPr>
              <w:spacing w:before="120" w:after="40" w:line="264" w:lineRule="auto"/>
              <w:jc w:val="center"/>
              <w:rPr>
                <w:sz w:val="21"/>
              </w:rPr>
            </w:pPr>
            <w:r>
              <w:rPr>
                <w:rFonts w:hint="eastAsia"/>
                <w:sz w:val="21"/>
              </w:rPr>
              <w:t>白喉、破伤风、百日咳</w:t>
            </w:r>
            <w:r>
              <w:rPr>
                <w:sz w:val="21"/>
              </w:rPr>
              <w:t>(%)</w:t>
            </w:r>
          </w:p>
        </w:tc>
        <w:tc>
          <w:tcPr>
            <w:tcW w:w="2195" w:type="dxa"/>
            <w:tcBorders>
              <w:top w:val="single" w:sz="6" w:space="0" w:color="auto"/>
              <w:left w:val="single" w:sz="6" w:space="0" w:color="auto"/>
              <w:right w:val="single" w:sz="6" w:space="0" w:color="auto"/>
            </w:tcBorders>
          </w:tcPr>
          <w:p w:rsidR="00000000" w:rsidRDefault="003D15A7">
            <w:pPr>
              <w:spacing w:before="120" w:after="40" w:line="264" w:lineRule="auto"/>
              <w:jc w:val="center"/>
              <w:rPr>
                <w:sz w:val="21"/>
              </w:rPr>
            </w:pPr>
            <w:r>
              <w:rPr>
                <w:rFonts w:hint="eastAsia"/>
                <w:sz w:val="21"/>
              </w:rPr>
              <w:t>天花</w:t>
            </w:r>
            <w:r>
              <w:rPr>
                <w:sz w:val="21"/>
              </w:rPr>
              <w:t>(%)</w:t>
            </w:r>
          </w:p>
        </w:tc>
      </w:tr>
      <w:tr w:rsidR="00000000">
        <w:tblPrEx>
          <w:tblCellMar>
            <w:top w:w="0" w:type="dxa"/>
            <w:bottom w:w="0" w:type="dxa"/>
          </w:tblCellMar>
        </w:tblPrEx>
        <w:trPr>
          <w:cantSplit/>
        </w:trPr>
        <w:tc>
          <w:tcPr>
            <w:tcW w:w="2366" w:type="dxa"/>
            <w:tcBorders>
              <w:top w:val="single" w:sz="6" w:space="0" w:color="auto"/>
              <w:left w:val="single" w:sz="6" w:space="0" w:color="auto"/>
            </w:tcBorders>
          </w:tcPr>
          <w:p w:rsidR="00000000" w:rsidRDefault="003D15A7">
            <w:pPr>
              <w:spacing w:before="120" w:after="40" w:line="264" w:lineRule="auto"/>
              <w:jc w:val="center"/>
              <w:rPr>
                <w:sz w:val="21"/>
              </w:rPr>
            </w:pPr>
            <w:r>
              <w:rPr>
                <w:sz w:val="21"/>
              </w:rPr>
              <w:t>1994</w:t>
            </w:r>
            <w:r>
              <w:rPr>
                <w:rFonts w:hint="eastAsia"/>
                <w:sz w:val="21"/>
              </w:rPr>
              <w:t>年</w:t>
            </w:r>
          </w:p>
        </w:tc>
        <w:tc>
          <w:tcPr>
            <w:tcW w:w="1954" w:type="dxa"/>
            <w:tcBorders>
              <w:top w:val="single" w:sz="6" w:space="0" w:color="auto"/>
              <w:left w:val="single" w:sz="6" w:space="0" w:color="auto"/>
            </w:tcBorders>
          </w:tcPr>
          <w:p w:rsidR="00000000" w:rsidRDefault="003D15A7">
            <w:pPr>
              <w:spacing w:before="120" w:after="40" w:line="264" w:lineRule="auto"/>
              <w:jc w:val="center"/>
              <w:rPr>
                <w:sz w:val="21"/>
              </w:rPr>
            </w:pPr>
            <w:r>
              <w:rPr>
                <w:sz w:val="21"/>
              </w:rPr>
              <w:t>93</w:t>
            </w:r>
          </w:p>
        </w:tc>
        <w:tc>
          <w:tcPr>
            <w:tcW w:w="2949" w:type="dxa"/>
            <w:tcBorders>
              <w:top w:val="single" w:sz="6" w:space="0" w:color="auto"/>
              <w:left w:val="single" w:sz="6" w:space="0" w:color="auto"/>
            </w:tcBorders>
          </w:tcPr>
          <w:p w:rsidR="00000000" w:rsidRDefault="003D15A7">
            <w:pPr>
              <w:spacing w:before="120" w:after="40" w:line="264" w:lineRule="auto"/>
              <w:jc w:val="center"/>
              <w:rPr>
                <w:sz w:val="21"/>
              </w:rPr>
            </w:pPr>
            <w:r>
              <w:rPr>
                <w:sz w:val="21"/>
              </w:rPr>
              <w:t>87</w:t>
            </w:r>
          </w:p>
        </w:tc>
        <w:tc>
          <w:tcPr>
            <w:tcW w:w="2195" w:type="dxa"/>
            <w:tcBorders>
              <w:top w:val="single" w:sz="6" w:space="0" w:color="auto"/>
              <w:left w:val="single" w:sz="6" w:space="0" w:color="auto"/>
              <w:right w:val="single" w:sz="6" w:space="0" w:color="auto"/>
            </w:tcBorders>
          </w:tcPr>
          <w:p w:rsidR="00000000" w:rsidRDefault="003D15A7">
            <w:pPr>
              <w:spacing w:before="120" w:after="40" w:line="264" w:lineRule="auto"/>
              <w:jc w:val="center"/>
              <w:rPr>
                <w:sz w:val="21"/>
              </w:rPr>
            </w:pPr>
            <w:r>
              <w:rPr>
                <w:sz w:val="21"/>
              </w:rPr>
              <w:t>87</w:t>
            </w:r>
          </w:p>
        </w:tc>
      </w:tr>
      <w:tr w:rsidR="00000000">
        <w:tblPrEx>
          <w:tblCellMar>
            <w:top w:w="0" w:type="dxa"/>
            <w:bottom w:w="0" w:type="dxa"/>
          </w:tblCellMar>
        </w:tblPrEx>
        <w:trPr>
          <w:cantSplit/>
        </w:trPr>
        <w:tc>
          <w:tcPr>
            <w:tcW w:w="2366" w:type="dxa"/>
            <w:tcBorders>
              <w:top w:val="single" w:sz="6" w:space="0" w:color="auto"/>
              <w:left w:val="single" w:sz="6" w:space="0" w:color="auto"/>
            </w:tcBorders>
          </w:tcPr>
          <w:p w:rsidR="00000000" w:rsidRDefault="003D15A7">
            <w:pPr>
              <w:spacing w:before="120" w:after="40" w:line="264" w:lineRule="auto"/>
              <w:jc w:val="center"/>
              <w:rPr>
                <w:sz w:val="21"/>
              </w:rPr>
            </w:pPr>
            <w:r>
              <w:rPr>
                <w:sz w:val="21"/>
              </w:rPr>
              <w:t>1995</w:t>
            </w:r>
            <w:r>
              <w:rPr>
                <w:rFonts w:hint="eastAsia"/>
                <w:sz w:val="21"/>
              </w:rPr>
              <w:t>年</w:t>
            </w:r>
          </w:p>
        </w:tc>
        <w:tc>
          <w:tcPr>
            <w:tcW w:w="1954" w:type="dxa"/>
            <w:tcBorders>
              <w:top w:val="single" w:sz="6" w:space="0" w:color="auto"/>
              <w:left w:val="single" w:sz="6" w:space="0" w:color="auto"/>
            </w:tcBorders>
          </w:tcPr>
          <w:p w:rsidR="00000000" w:rsidRDefault="003D15A7">
            <w:pPr>
              <w:spacing w:before="120" w:after="40" w:line="264" w:lineRule="auto"/>
              <w:jc w:val="center"/>
              <w:rPr>
                <w:sz w:val="21"/>
              </w:rPr>
            </w:pPr>
            <w:r>
              <w:rPr>
                <w:sz w:val="21"/>
              </w:rPr>
              <w:t>93</w:t>
            </w:r>
          </w:p>
        </w:tc>
        <w:tc>
          <w:tcPr>
            <w:tcW w:w="2949" w:type="dxa"/>
            <w:tcBorders>
              <w:top w:val="single" w:sz="6" w:space="0" w:color="auto"/>
              <w:left w:val="single" w:sz="6" w:space="0" w:color="auto"/>
            </w:tcBorders>
          </w:tcPr>
          <w:p w:rsidR="00000000" w:rsidRDefault="003D15A7">
            <w:pPr>
              <w:spacing w:before="120" w:after="40" w:line="264" w:lineRule="auto"/>
              <w:jc w:val="center"/>
              <w:rPr>
                <w:sz w:val="21"/>
              </w:rPr>
            </w:pPr>
            <w:r>
              <w:rPr>
                <w:sz w:val="21"/>
              </w:rPr>
              <w:t>90</w:t>
            </w:r>
          </w:p>
        </w:tc>
        <w:tc>
          <w:tcPr>
            <w:tcW w:w="2195" w:type="dxa"/>
            <w:tcBorders>
              <w:top w:val="single" w:sz="6" w:space="0" w:color="auto"/>
              <w:left w:val="single" w:sz="6" w:space="0" w:color="auto"/>
              <w:right w:val="single" w:sz="6" w:space="0" w:color="auto"/>
            </w:tcBorders>
          </w:tcPr>
          <w:p w:rsidR="00000000" w:rsidRDefault="003D15A7">
            <w:pPr>
              <w:spacing w:before="120" w:after="40" w:line="264" w:lineRule="auto"/>
              <w:jc w:val="center"/>
              <w:rPr>
                <w:sz w:val="21"/>
              </w:rPr>
            </w:pPr>
            <w:r>
              <w:rPr>
                <w:sz w:val="21"/>
              </w:rPr>
              <w:t>88</w:t>
            </w:r>
          </w:p>
        </w:tc>
      </w:tr>
      <w:tr w:rsidR="00000000">
        <w:tblPrEx>
          <w:tblCellMar>
            <w:top w:w="0" w:type="dxa"/>
            <w:bottom w:w="0" w:type="dxa"/>
          </w:tblCellMar>
        </w:tblPrEx>
        <w:trPr>
          <w:cantSplit/>
        </w:trPr>
        <w:tc>
          <w:tcPr>
            <w:tcW w:w="2366" w:type="dxa"/>
            <w:tcBorders>
              <w:top w:val="single" w:sz="6" w:space="0" w:color="auto"/>
              <w:left w:val="single" w:sz="6" w:space="0" w:color="auto"/>
              <w:bottom w:val="single" w:sz="6" w:space="0" w:color="auto"/>
            </w:tcBorders>
          </w:tcPr>
          <w:p w:rsidR="00000000" w:rsidRDefault="003D15A7">
            <w:pPr>
              <w:spacing w:before="120" w:after="40" w:line="264" w:lineRule="auto"/>
              <w:jc w:val="center"/>
              <w:rPr>
                <w:sz w:val="21"/>
              </w:rPr>
            </w:pPr>
            <w:r>
              <w:rPr>
                <w:sz w:val="21"/>
              </w:rPr>
              <w:t>1996</w:t>
            </w:r>
            <w:r>
              <w:rPr>
                <w:rFonts w:hint="eastAsia"/>
                <w:sz w:val="21"/>
              </w:rPr>
              <w:t>年</w:t>
            </w:r>
          </w:p>
        </w:tc>
        <w:tc>
          <w:tcPr>
            <w:tcW w:w="1954" w:type="dxa"/>
            <w:tcBorders>
              <w:top w:val="single" w:sz="6" w:space="0" w:color="auto"/>
              <w:left w:val="single" w:sz="6" w:space="0" w:color="auto"/>
              <w:bottom w:val="single" w:sz="6" w:space="0" w:color="auto"/>
            </w:tcBorders>
          </w:tcPr>
          <w:p w:rsidR="00000000" w:rsidRDefault="003D15A7">
            <w:pPr>
              <w:spacing w:before="120" w:after="40" w:line="264" w:lineRule="auto"/>
              <w:jc w:val="center"/>
              <w:rPr>
                <w:sz w:val="21"/>
              </w:rPr>
            </w:pPr>
            <w:r>
              <w:rPr>
                <w:sz w:val="21"/>
              </w:rPr>
              <w:t>96</w:t>
            </w:r>
          </w:p>
        </w:tc>
        <w:tc>
          <w:tcPr>
            <w:tcW w:w="2949" w:type="dxa"/>
            <w:tcBorders>
              <w:top w:val="single" w:sz="6" w:space="0" w:color="auto"/>
              <w:left w:val="single" w:sz="6" w:space="0" w:color="auto"/>
              <w:bottom w:val="single" w:sz="6" w:space="0" w:color="auto"/>
            </w:tcBorders>
          </w:tcPr>
          <w:p w:rsidR="00000000" w:rsidRDefault="003D15A7">
            <w:pPr>
              <w:spacing w:before="120" w:after="40" w:line="264" w:lineRule="auto"/>
              <w:jc w:val="center"/>
              <w:rPr>
                <w:sz w:val="21"/>
              </w:rPr>
            </w:pPr>
            <w:r>
              <w:rPr>
                <w:sz w:val="21"/>
              </w:rPr>
              <w:t>95</w:t>
            </w:r>
          </w:p>
        </w:tc>
        <w:tc>
          <w:tcPr>
            <w:tcW w:w="2195" w:type="dxa"/>
            <w:tcBorders>
              <w:top w:val="single" w:sz="6" w:space="0" w:color="auto"/>
              <w:left w:val="single" w:sz="6" w:space="0" w:color="auto"/>
              <w:bottom w:val="single" w:sz="6" w:space="0" w:color="auto"/>
              <w:right w:val="single" w:sz="6" w:space="0" w:color="auto"/>
            </w:tcBorders>
          </w:tcPr>
          <w:p w:rsidR="00000000" w:rsidRDefault="003D15A7">
            <w:pPr>
              <w:spacing w:before="120" w:after="40" w:line="264" w:lineRule="auto"/>
              <w:jc w:val="center"/>
              <w:rPr>
                <w:sz w:val="21"/>
              </w:rPr>
            </w:pPr>
            <w:r>
              <w:rPr>
                <w:sz w:val="21"/>
              </w:rPr>
              <w:t>93</w:t>
            </w:r>
          </w:p>
        </w:tc>
      </w:tr>
    </w:tbl>
    <w:p w:rsidR="00000000" w:rsidRDefault="003D15A7">
      <w:pPr>
        <w:spacing w:after="320"/>
        <w:jc w:val="center"/>
        <w:textAlignment w:val="center"/>
        <w:rPr>
          <w:u w:val="single"/>
        </w:rPr>
      </w:pPr>
    </w:p>
    <w:p w:rsidR="00000000" w:rsidRDefault="003D15A7">
      <w:pPr>
        <w:spacing w:after="160"/>
        <w:jc w:val="center"/>
        <w:textAlignment w:val="center"/>
      </w:pPr>
      <w:r>
        <w:rPr>
          <w:u w:val="single"/>
        </w:rPr>
        <w:t>1997</w:t>
      </w:r>
      <w:r>
        <w:rPr>
          <w:rFonts w:hint="eastAsia"/>
          <w:u w:val="single"/>
        </w:rPr>
        <w:t>年免疫接种率</w:t>
      </w:r>
      <w:r>
        <w:rPr>
          <w:u w:val="single"/>
        </w:rPr>
        <w:br/>
      </w:r>
      <w:r>
        <w:t>(</w:t>
      </w:r>
      <w:r>
        <w:rPr>
          <w:rFonts w:hint="eastAsia"/>
        </w:rPr>
        <w:t>临时数据</w:t>
      </w:r>
      <w:r>
        <w:t>)</w:t>
      </w:r>
    </w:p>
    <w:tbl>
      <w:tblPr>
        <w:tblW w:w="0" w:type="auto"/>
        <w:tblInd w:w="2" w:type="dxa"/>
        <w:tblLayout w:type="fixed"/>
        <w:tblCellMar>
          <w:left w:w="100" w:type="dxa"/>
          <w:right w:w="100" w:type="dxa"/>
        </w:tblCellMar>
        <w:tblLook w:val="0000" w:firstRow="0" w:lastRow="0" w:firstColumn="0" w:lastColumn="0" w:noHBand="0" w:noVBand="0"/>
      </w:tblPr>
      <w:tblGrid>
        <w:gridCol w:w="3000"/>
        <w:gridCol w:w="3360"/>
        <w:gridCol w:w="3108"/>
      </w:tblGrid>
      <w:tr w:rsidR="00000000">
        <w:tblPrEx>
          <w:tblCellMar>
            <w:top w:w="0" w:type="dxa"/>
            <w:bottom w:w="0" w:type="dxa"/>
          </w:tblCellMar>
        </w:tblPrEx>
        <w:trPr>
          <w:cantSplit/>
        </w:trPr>
        <w:tc>
          <w:tcPr>
            <w:tcW w:w="3000" w:type="dxa"/>
            <w:tcBorders>
              <w:top w:val="single" w:sz="6" w:space="0" w:color="auto"/>
              <w:left w:val="single" w:sz="6" w:space="0" w:color="auto"/>
            </w:tcBorders>
          </w:tcPr>
          <w:p w:rsidR="00000000" w:rsidRDefault="003D15A7">
            <w:pPr>
              <w:widowControl w:val="0"/>
              <w:tabs>
                <w:tab w:val="left" w:pos="-1440"/>
                <w:tab w:val="left" w:pos="-720"/>
              </w:tabs>
              <w:autoSpaceDE w:val="0"/>
              <w:autoSpaceDN w:val="0"/>
              <w:spacing w:before="120" w:after="40"/>
              <w:jc w:val="center"/>
              <w:textAlignment w:val="bottom"/>
              <w:rPr>
                <w:sz w:val="21"/>
              </w:rPr>
            </w:pPr>
            <w:r>
              <w:rPr>
                <w:rFonts w:hint="eastAsia"/>
                <w:sz w:val="21"/>
              </w:rPr>
              <w:t>卡</w:t>
            </w:r>
            <w:r>
              <w:rPr>
                <w:sz w:val="21"/>
              </w:rPr>
              <w:t xml:space="preserve"> </w:t>
            </w:r>
            <w:r>
              <w:rPr>
                <w:rFonts w:hint="eastAsia"/>
                <w:sz w:val="21"/>
              </w:rPr>
              <w:t>介</w:t>
            </w:r>
            <w:r>
              <w:rPr>
                <w:sz w:val="21"/>
              </w:rPr>
              <w:t xml:space="preserve"> </w:t>
            </w:r>
            <w:r>
              <w:rPr>
                <w:rFonts w:hint="eastAsia"/>
                <w:sz w:val="21"/>
              </w:rPr>
              <w:t>苗</w:t>
            </w:r>
          </w:p>
        </w:tc>
        <w:tc>
          <w:tcPr>
            <w:tcW w:w="3360" w:type="dxa"/>
            <w:tcBorders>
              <w:top w:val="single" w:sz="6" w:space="0" w:color="auto"/>
              <w:left w:val="single" w:sz="6" w:space="0" w:color="auto"/>
            </w:tcBorders>
          </w:tcPr>
          <w:p w:rsidR="00000000" w:rsidRDefault="003D15A7">
            <w:pPr>
              <w:spacing w:before="120" w:after="40"/>
              <w:jc w:val="center"/>
              <w:rPr>
                <w:sz w:val="21"/>
              </w:rPr>
            </w:pPr>
            <w:r>
              <w:rPr>
                <w:rFonts w:hint="eastAsia"/>
                <w:sz w:val="21"/>
              </w:rPr>
              <w:t>白喉、破伤风、百日咳</w:t>
            </w:r>
          </w:p>
        </w:tc>
        <w:tc>
          <w:tcPr>
            <w:tcW w:w="3108" w:type="dxa"/>
            <w:tcBorders>
              <w:top w:val="single" w:sz="6" w:space="0" w:color="auto"/>
              <w:left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40"/>
              <w:jc w:val="center"/>
              <w:textAlignment w:val="bottom"/>
              <w:rPr>
                <w:sz w:val="21"/>
              </w:rPr>
            </w:pPr>
            <w:r>
              <w:rPr>
                <w:rFonts w:hint="eastAsia"/>
                <w:sz w:val="21"/>
              </w:rPr>
              <w:t>天</w:t>
            </w:r>
            <w:r>
              <w:rPr>
                <w:sz w:val="21"/>
              </w:rPr>
              <w:t xml:space="preserve">  </w:t>
            </w:r>
            <w:r>
              <w:rPr>
                <w:rFonts w:hint="eastAsia"/>
                <w:sz w:val="21"/>
              </w:rPr>
              <w:t>花</w:t>
            </w:r>
          </w:p>
        </w:tc>
      </w:tr>
      <w:tr w:rsidR="00000000">
        <w:tblPrEx>
          <w:tblCellMar>
            <w:top w:w="0" w:type="dxa"/>
            <w:bottom w:w="0" w:type="dxa"/>
          </w:tblCellMar>
        </w:tblPrEx>
        <w:trPr>
          <w:cantSplit/>
        </w:trPr>
        <w:tc>
          <w:tcPr>
            <w:tcW w:w="3000"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120" w:after="40"/>
              <w:jc w:val="center"/>
              <w:textAlignment w:val="bottom"/>
              <w:rPr>
                <w:rFonts w:hAnsi="Courier New"/>
                <w:sz w:val="21"/>
              </w:rPr>
            </w:pPr>
            <w:r>
              <w:rPr>
                <w:rFonts w:hAnsi="Courier New"/>
                <w:sz w:val="21"/>
              </w:rPr>
              <w:t>591,257</w:t>
            </w:r>
          </w:p>
        </w:tc>
        <w:tc>
          <w:tcPr>
            <w:tcW w:w="3360" w:type="dxa"/>
            <w:tcBorders>
              <w:top w:val="single" w:sz="6" w:space="0" w:color="auto"/>
              <w:left w:val="single" w:sz="6" w:space="0" w:color="auto"/>
              <w:bottom w:val="single" w:sz="6" w:space="0" w:color="auto"/>
            </w:tcBorders>
          </w:tcPr>
          <w:p w:rsidR="00000000" w:rsidRDefault="003D15A7">
            <w:pPr>
              <w:widowControl w:val="0"/>
              <w:tabs>
                <w:tab w:val="left" w:pos="-1440"/>
                <w:tab w:val="left" w:pos="-720"/>
              </w:tabs>
              <w:autoSpaceDE w:val="0"/>
              <w:autoSpaceDN w:val="0"/>
              <w:spacing w:before="120" w:after="40"/>
              <w:jc w:val="center"/>
              <w:textAlignment w:val="bottom"/>
              <w:rPr>
                <w:rFonts w:hAnsi="Courier New"/>
                <w:sz w:val="21"/>
              </w:rPr>
            </w:pPr>
            <w:r>
              <w:rPr>
                <w:rFonts w:hAnsi="Courier New"/>
                <w:sz w:val="21"/>
              </w:rPr>
              <w:t>555,279</w:t>
            </w:r>
          </w:p>
        </w:tc>
        <w:tc>
          <w:tcPr>
            <w:tcW w:w="3108" w:type="dxa"/>
            <w:tcBorders>
              <w:top w:val="single" w:sz="6" w:space="0" w:color="auto"/>
              <w:left w:val="single" w:sz="6" w:space="0" w:color="auto"/>
              <w:bottom w:val="single" w:sz="6" w:space="0" w:color="auto"/>
              <w:right w:val="single" w:sz="6" w:space="0" w:color="auto"/>
            </w:tcBorders>
          </w:tcPr>
          <w:p w:rsidR="00000000" w:rsidRDefault="003D15A7">
            <w:pPr>
              <w:widowControl w:val="0"/>
              <w:tabs>
                <w:tab w:val="left" w:pos="-1440"/>
                <w:tab w:val="left" w:pos="-720"/>
              </w:tabs>
              <w:autoSpaceDE w:val="0"/>
              <w:autoSpaceDN w:val="0"/>
              <w:spacing w:before="120" w:after="40"/>
              <w:jc w:val="center"/>
              <w:textAlignment w:val="bottom"/>
              <w:rPr>
                <w:rFonts w:hAnsi="Courier New"/>
                <w:sz w:val="21"/>
              </w:rPr>
            </w:pPr>
            <w:r>
              <w:rPr>
                <w:rFonts w:hAnsi="Courier New"/>
                <w:sz w:val="21"/>
              </w:rPr>
              <w:t>538,737</w:t>
            </w:r>
          </w:p>
        </w:tc>
      </w:tr>
    </w:tbl>
    <w:p w:rsidR="00000000" w:rsidRDefault="003D15A7">
      <w:pPr>
        <w:pStyle w:val="Heading2"/>
      </w:pPr>
      <w:r>
        <w:rPr>
          <w:rFonts w:hint="eastAsia"/>
        </w:rPr>
        <w:t>第</w:t>
      </w:r>
      <w:r>
        <w:t xml:space="preserve"> 11 </w:t>
      </w:r>
      <w:r>
        <w:rPr>
          <w:rFonts w:hint="eastAsia"/>
        </w:rPr>
        <w:t>条</w:t>
      </w:r>
    </w:p>
    <w:p w:rsidR="00000000" w:rsidRDefault="003D15A7">
      <w:pPr>
        <w:pStyle w:val="Heading3"/>
        <w:spacing w:after="160"/>
        <w:textAlignment w:val="center"/>
      </w:pPr>
      <w:r>
        <w:rPr>
          <w:rFonts w:hint="eastAsia"/>
        </w:rPr>
        <w:t>获得适足生活水准的权利</w:t>
      </w:r>
    </w:p>
    <w:p w:rsidR="00000000" w:rsidRDefault="003D15A7">
      <w:pPr>
        <w:pStyle w:val="NormalIndent"/>
        <w:spacing w:after="320"/>
        <w:textAlignment w:val="center"/>
      </w:pPr>
      <w:r>
        <w:t xml:space="preserve">129.  </w:t>
      </w:r>
      <w:r>
        <w:rPr>
          <w:rFonts w:hint="eastAsia"/>
        </w:rPr>
        <w:t>摩洛哥政府继续努力进一步改善其公民的生活水准</w:t>
      </w:r>
      <w:r>
        <w:t>(</w:t>
      </w:r>
      <w:r>
        <w:rPr>
          <w:rFonts w:hint="eastAsia"/>
        </w:rPr>
        <w:t>另请参阅有关第</w:t>
      </w:r>
      <w:r>
        <w:t>7</w:t>
      </w:r>
      <w:r>
        <w:rPr>
          <w:rFonts w:hint="eastAsia"/>
        </w:rPr>
        <w:t>条的章节，薪水和工资方面取得的进展</w:t>
      </w:r>
      <w:r>
        <w:t>)</w:t>
      </w:r>
      <w:r>
        <w:rPr>
          <w:rFonts w:hint="eastAsia"/>
        </w:rPr>
        <w:t>。为提高国家雇员的工资和增加其家庭津贴，地方当局和公共机构要求从</w:t>
      </w:r>
      <w:r>
        <w:t>19</w:t>
      </w:r>
      <w:r>
        <w:t>96</w:t>
      </w:r>
      <w:r>
        <w:rPr>
          <w:rFonts w:hint="eastAsia"/>
        </w:rPr>
        <w:t>年起的两年内从预算中拨款</w:t>
      </w:r>
      <w:r>
        <w:t>320</w:t>
      </w:r>
      <w:r>
        <w:rPr>
          <w:rFonts w:hint="eastAsia"/>
        </w:rPr>
        <w:t>亿迪拉姆。还应该提到，基本的生活必需品由特别的国家基金提供补贴。</w:t>
      </w:r>
    </w:p>
    <w:p w:rsidR="00000000" w:rsidRDefault="003D15A7">
      <w:pPr>
        <w:pStyle w:val="Heading3"/>
        <w:spacing w:after="160"/>
        <w:textAlignment w:val="center"/>
      </w:pPr>
      <w:r>
        <w:rPr>
          <w:u w:val="none"/>
        </w:rPr>
        <w:t xml:space="preserve">A.  </w:t>
      </w:r>
      <w:r>
        <w:rPr>
          <w:rFonts w:hint="eastAsia"/>
        </w:rPr>
        <w:t>获得适足食物的权利</w:t>
      </w:r>
    </w:p>
    <w:p w:rsidR="00000000" w:rsidRDefault="003D15A7">
      <w:pPr>
        <w:pStyle w:val="NormalIndent"/>
        <w:rPr>
          <w:spacing w:val="6"/>
        </w:rPr>
      </w:pPr>
      <w:r>
        <w:rPr>
          <w:spacing w:val="6"/>
        </w:rPr>
        <w:t xml:space="preserve">130.  </w:t>
      </w:r>
      <w:r>
        <w:rPr>
          <w:rFonts w:hint="eastAsia"/>
          <w:spacing w:val="6"/>
        </w:rPr>
        <w:t>获得适足粮食的权利是政府给予极其优先考虑的基本权利。正在采取若干步骤彻底地实施这一权利。摩洛哥通过若干年的努力已经实现了一定水平的自足。鉴于其海洋和农业资源的潜力，摩洛哥继续努力发展农村地区和渔业，把其作为关键部门。</w:t>
      </w:r>
    </w:p>
    <w:p w:rsidR="00000000" w:rsidRDefault="003D15A7">
      <w:pPr>
        <w:pStyle w:val="NormalIndent"/>
      </w:pPr>
      <w:r>
        <w:t xml:space="preserve">131.  </w:t>
      </w:r>
      <w:r>
        <w:rPr>
          <w:rFonts w:hint="eastAsia"/>
        </w:rPr>
        <w:t>如何管理不稳定的农业，是该国面临的主要经济挑战。已经制订了一项解决不稳定性的战略，并且已经开始实施。这一战略的基础是</w:t>
      </w:r>
      <w:r>
        <w:t xml:space="preserve">(a) </w:t>
      </w:r>
      <w:r>
        <w:rPr>
          <w:rFonts w:hint="eastAsia"/>
        </w:rPr>
        <w:t>实施一项坚决的政策</w:t>
      </w:r>
      <w:r>
        <w:rPr>
          <w:rFonts w:hint="eastAsia"/>
        </w:rPr>
        <w:t>改进水利资源的开发；</w:t>
      </w:r>
      <w:r>
        <w:t xml:space="preserve">(b) </w:t>
      </w:r>
      <w:r>
        <w:rPr>
          <w:rFonts w:hint="eastAsia"/>
        </w:rPr>
        <w:t>加强全国设施在贫瘠地区开展有关农业的研究；</w:t>
      </w:r>
      <w:r>
        <w:t xml:space="preserve">(c) </w:t>
      </w:r>
      <w:r>
        <w:rPr>
          <w:rFonts w:hint="eastAsia"/>
        </w:rPr>
        <w:t>为实现可靠的粮食供应，采取持续有效的政策；和</w:t>
      </w:r>
      <w:r>
        <w:t xml:space="preserve">(d) </w:t>
      </w:r>
      <w:r>
        <w:rPr>
          <w:rFonts w:hint="eastAsia"/>
        </w:rPr>
        <w:t>对可能遭到各种灾害的经济行为者</w:t>
      </w:r>
      <w:r>
        <w:t>(</w:t>
      </w:r>
      <w:r>
        <w:rPr>
          <w:rFonts w:hint="eastAsia"/>
        </w:rPr>
        <w:t>农民、牲畜饲养人、食品加工公司等</w:t>
      </w:r>
      <w:r>
        <w:t>)</w:t>
      </w:r>
      <w:r>
        <w:rPr>
          <w:rFonts w:hint="eastAsia"/>
        </w:rPr>
        <w:t>采取始终一致的态度。已采取步骤，主要通过免税和债务重新安排等方式援助小块农田经营者。</w:t>
      </w:r>
    </w:p>
    <w:p w:rsidR="00000000" w:rsidRDefault="003D15A7">
      <w:pPr>
        <w:pStyle w:val="NormalIndent"/>
      </w:pPr>
      <w:r>
        <w:t xml:space="preserve">132.  </w:t>
      </w:r>
      <w:r>
        <w:rPr>
          <w:rFonts w:hint="eastAsia"/>
        </w:rPr>
        <w:t>尽管气候经常恶劣，已经采取了很大的努力确保在农村地区供应饮用水。但是，在城镇和农村继续存在着差异。往往是在困难的条件下向农村人口提供饮用水，且成功的比例很低：</w:t>
      </w:r>
      <w:r>
        <w:t>1990</w:t>
      </w:r>
      <w:r>
        <w:rPr>
          <w:rFonts w:hint="eastAsia"/>
        </w:rPr>
        <w:t>年为</w:t>
      </w:r>
      <w:r>
        <w:t>14%</w:t>
      </w:r>
      <w:r>
        <w:rPr>
          <w:rFonts w:hint="eastAsia"/>
        </w:rPr>
        <w:t>、</w:t>
      </w:r>
      <w:r>
        <w:t>1994</w:t>
      </w:r>
      <w:r>
        <w:rPr>
          <w:rFonts w:hint="eastAsia"/>
        </w:rPr>
        <w:t>年为</w:t>
      </w:r>
      <w:r>
        <w:t>18%</w:t>
      </w:r>
      <w:r>
        <w:rPr>
          <w:rFonts w:hint="eastAsia"/>
        </w:rPr>
        <w:t>、</w:t>
      </w:r>
      <w:r>
        <w:t>1997</w:t>
      </w:r>
      <w:r>
        <w:rPr>
          <w:rFonts w:hint="eastAsia"/>
        </w:rPr>
        <w:t>年为</w:t>
      </w:r>
      <w:r>
        <w:t>32%</w:t>
      </w:r>
      <w:r>
        <w:rPr>
          <w:rFonts w:hint="eastAsia"/>
        </w:rPr>
        <w:t>。</w:t>
      </w:r>
      <w:r>
        <w:rPr>
          <w:rFonts w:hint="eastAsia"/>
        </w:rPr>
        <w:t>为了改进这一状况，政府已经发起了为农村人口大量提供饮用水的范围广泛的方案</w:t>
      </w:r>
      <w:r>
        <w:t>(</w:t>
      </w:r>
      <w:r>
        <w:rPr>
          <w:rFonts w:hint="eastAsia"/>
        </w:rPr>
        <w:t>大量供水方案</w:t>
      </w:r>
      <w:r>
        <w:t>)</w:t>
      </w:r>
      <w:r>
        <w:rPr>
          <w:rFonts w:hint="eastAsia"/>
        </w:rPr>
        <w:t>，这个方案的主要目标是改进农村地区的饮用水供应。目标是在</w:t>
      </w:r>
      <w:r>
        <w:t>2003</w:t>
      </w:r>
      <w:r>
        <w:rPr>
          <w:rFonts w:hint="eastAsia"/>
        </w:rPr>
        <w:t>年之前实现</w:t>
      </w:r>
      <w:r>
        <w:t>80%</w:t>
      </w:r>
      <w:r>
        <w:rPr>
          <w:rFonts w:hint="eastAsia"/>
        </w:rPr>
        <w:t>的供水比例。</w:t>
      </w:r>
    </w:p>
    <w:p w:rsidR="00000000" w:rsidRDefault="003D15A7">
      <w:pPr>
        <w:pStyle w:val="NormalIndent"/>
      </w:pPr>
      <w:r>
        <w:t xml:space="preserve">133.  </w:t>
      </w:r>
      <w:r>
        <w:rPr>
          <w:rFonts w:hint="eastAsia"/>
        </w:rPr>
        <w:t>摩洛哥意识到可靠地向农村和城市人口提供粮食和饮用水所涉及的种种问题，已经开始了一项建设储水结构的方案，这个方案包括</w:t>
      </w:r>
      <w:r>
        <w:t xml:space="preserve">(a) </w:t>
      </w:r>
      <w:r>
        <w:rPr>
          <w:rFonts w:hint="eastAsia"/>
        </w:rPr>
        <w:t>在</w:t>
      </w:r>
      <w:r>
        <w:t>2000</w:t>
      </w:r>
      <w:r>
        <w:rPr>
          <w:rFonts w:hint="eastAsia"/>
        </w:rPr>
        <w:t>年之前每年建造一个水坝，在</w:t>
      </w:r>
      <w:r>
        <w:t>2000</w:t>
      </w:r>
      <w:r>
        <w:rPr>
          <w:rFonts w:hint="eastAsia"/>
        </w:rPr>
        <w:t>之后每年建造两个大水坝；</w:t>
      </w:r>
      <w:r>
        <w:t xml:space="preserve">(b) </w:t>
      </w:r>
      <w:r>
        <w:rPr>
          <w:rFonts w:hint="eastAsia"/>
        </w:rPr>
        <w:t>中等水坝主要用来改进农村地区的供水情况或者灌溉大约</w:t>
      </w:r>
      <w:r>
        <w:t>1,000</w:t>
      </w:r>
      <w:r>
        <w:rPr>
          <w:rFonts w:hint="eastAsia"/>
        </w:rPr>
        <w:t>公顷的土地；和</w:t>
      </w:r>
      <w:r>
        <w:t xml:space="preserve">(c) </w:t>
      </w:r>
      <w:r>
        <w:rPr>
          <w:rFonts w:hint="eastAsia"/>
        </w:rPr>
        <w:t>在上述结构不适合需求的地点建立小型水坝</w:t>
      </w:r>
      <w:r>
        <w:rPr>
          <w:rFonts w:hint="eastAsia"/>
        </w:rPr>
        <w:t>。</w:t>
      </w:r>
    </w:p>
    <w:p w:rsidR="00000000" w:rsidRDefault="003D15A7">
      <w:pPr>
        <w:pStyle w:val="NormalIndent"/>
        <w:spacing w:after="320"/>
        <w:textAlignment w:val="center"/>
      </w:pPr>
      <w:r>
        <w:t xml:space="preserve">134.  </w:t>
      </w:r>
      <w:r>
        <w:rPr>
          <w:rFonts w:hint="eastAsia"/>
        </w:rPr>
        <w:t>近几年来，政府已经开展了若干主动行动开发农村地区。</w:t>
      </w:r>
      <w:r>
        <w:t>1995</w:t>
      </w:r>
      <w:r>
        <w:rPr>
          <w:rFonts w:hint="eastAsia"/>
        </w:rPr>
        <w:t>年这些活动产生了一项在</w:t>
      </w:r>
      <w:r>
        <w:t>7</w:t>
      </w:r>
      <w:r>
        <w:rPr>
          <w:rFonts w:hint="eastAsia"/>
        </w:rPr>
        <w:t>年至</w:t>
      </w:r>
      <w:r>
        <w:t>9</w:t>
      </w:r>
      <w:r>
        <w:rPr>
          <w:rFonts w:hint="eastAsia"/>
        </w:rPr>
        <w:t>年的时间内建造</w:t>
      </w:r>
      <w:r>
        <w:t>11,236</w:t>
      </w:r>
      <w:r>
        <w:rPr>
          <w:rFonts w:hint="eastAsia"/>
        </w:rPr>
        <w:t>公里的全国农村筑路方案。时至</w:t>
      </w:r>
      <w:r>
        <w:t>1997</w:t>
      </w:r>
      <w:r>
        <w:rPr>
          <w:rFonts w:hint="eastAsia"/>
        </w:rPr>
        <w:t>年</w:t>
      </w:r>
      <w:r>
        <w:t>9</w:t>
      </w:r>
      <w:r>
        <w:rPr>
          <w:rFonts w:hint="eastAsia"/>
        </w:rPr>
        <w:t>月已建造的道路总长度为</w:t>
      </w:r>
      <w:r>
        <w:t>2,696</w:t>
      </w:r>
      <w:r>
        <w:rPr>
          <w:rFonts w:hint="eastAsia"/>
        </w:rPr>
        <w:t>公里，其中</w:t>
      </w:r>
      <w:r>
        <w:t>2,150</w:t>
      </w:r>
      <w:r>
        <w:rPr>
          <w:rFonts w:hint="eastAsia"/>
        </w:rPr>
        <w:t>公里已经投入使用。这个方案除其经济影响之外，目的在于改进农村生活条件。这些道路能够更快地到达医疗中心，社会服务设施和市场。并且还能尽快地到达学校，其结果是能够得到高质量的保健照料，并且特别能够在女孩中提高入学率。</w:t>
      </w:r>
    </w:p>
    <w:p w:rsidR="00000000" w:rsidRDefault="003D15A7">
      <w:pPr>
        <w:pStyle w:val="NormalIndent"/>
        <w:keepNext/>
        <w:keepLines/>
        <w:tabs>
          <w:tab w:val="clear" w:pos="510"/>
          <w:tab w:val="clear" w:pos="1021"/>
          <w:tab w:val="clear" w:pos="1531"/>
          <w:tab w:val="clear" w:pos="2041"/>
        </w:tabs>
        <w:spacing w:after="320"/>
        <w:jc w:val="center"/>
        <w:rPr>
          <w:u w:val="single"/>
        </w:rPr>
      </w:pPr>
      <w:r>
        <w:t xml:space="preserve">B.  </w:t>
      </w:r>
      <w:r>
        <w:rPr>
          <w:rFonts w:hint="eastAsia"/>
          <w:u w:val="single"/>
        </w:rPr>
        <w:t>适足住房的权利</w:t>
      </w:r>
    </w:p>
    <w:p w:rsidR="00000000" w:rsidRDefault="003D15A7">
      <w:pPr>
        <w:pStyle w:val="NormalIndent"/>
      </w:pPr>
      <w:r>
        <w:t xml:space="preserve">135.  </w:t>
      </w:r>
      <w:r>
        <w:rPr>
          <w:rFonts w:hint="eastAsia"/>
        </w:rPr>
        <w:t>摩洛哥在改进城市生活条件和预防性保健照料</w:t>
      </w:r>
      <w:r>
        <w:rPr>
          <w:rFonts w:hint="eastAsia"/>
        </w:rPr>
        <w:t>方面取得了重大的进展。但是，和发展水平相似的国家相比，某些社会指数仍然是薄弱的。适足的住房权利和促进更好的生活条件是政府优先考虑的中心。根据全国青年和未来理事会所进行的研究，摩洛哥在</w:t>
      </w:r>
      <w:r>
        <w:t>2010</w:t>
      </w:r>
      <w:r>
        <w:rPr>
          <w:rFonts w:hint="eastAsia"/>
        </w:rPr>
        <w:t>年之前每年需要建造大约</w:t>
      </w:r>
      <w:r>
        <w:t>180,000</w:t>
      </w:r>
      <w:r>
        <w:rPr>
          <w:rFonts w:hint="eastAsia"/>
        </w:rPr>
        <w:t>处住房。由于农村人口在</w:t>
      </w:r>
      <w:r>
        <w:t>2010</w:t>
      </w:r>
      <w:r>
        <w:rPr>
          <w:rFonts w:hint="eastAsia"/>
        </w:rPr>
        <w:t>年前将会下降，可以说城市人口将占该需求的大部分</w:t>
      </w:r>
      <w:r>
        <w:t>(</w:t>
      </w:r>
      <w:r>
        <w:rPr>
          <w:rFonts w:hint="eastAsia"/>
        </w:rPr>
        <w:t>大约</w:t>
      </w:r>
      <w:r>
        <w:t>170,000</w:t>
      </w:r>
      <w:r>
        <w:rPr>
          <w:rFonts w:hint="eastAsia"/>
        </w:rPr>
        <w:t>处住房</w:t>
      </w:r>
      <w:r>
        <w:t>)</w:t>
      </w:r>
      <w:r>
        <w:rPr>
          <w:rFonts w:hint="eastAsia"/>
        </w:rPr>
        <w:t>。研究表明，最近阶段每年所建造的房屋不到</w:t>
      </w:r>
      <w:r>
        <w:t>70,000</w:t>
      </w:r>
      <w:r>
        <w:rPr>
          <w:rFonts w:hint="eastAsia"/>
        </w:rPr>
        <w:t>栋。因而造成了每年</w:t>
      </w:r>
      <w:r>
        <w:t>100,000</w:t>
      </w:r>
      <w:r>
        <w:rPr>
          <w:rFonts w:hint="eastAsia"/>
        </w:rPr>
        <w:t>住房的短缺。这还表明，摩洛哥</w:t>
      </w:r>
      <w:r>
        <w:t>400</w:t>
      </w:r>
      <w:r>
        <w:rPr>
          <w:rFonts w:hint="eastAsia"/>
        </w:rPr>
        <w:t>万住房内，</w:t>
      </w:r>
      <w:r>
        <w:t>220</w:t>
      </w:r>
      <w:r>
        <w:rPr>
          <w:rFonts w:hint="eastAsia"/>
        </w:rPr>
        <w:t>万</w:t>
      </w:r>
      <w:r>
        <w:t>(</w:t>
      </w:r>
      <w:r>
        <w:rPr>
          <w:rFonts w:hint="eastAsia"/>
        </w:rPr>
        <w:t>其中</w:t>
      </w:r>
      <w:r>
        <w:t>74%</w:t>
      </w:r>
      <w:r>
        <w:rPr>
          <w:rFonts w:hint="eastAsia"/>
        </w:rPr>
        <w:t>在农村地区</w:t>
      </w:r>
      <w:r>
        <w:t>)</w:t>
      </w:r>
      <w:r>
        <w:rPr>
          <w:rFonts w:hint="eastAsia"/>
        </w:rPr>
        <w:t>没有管道供水，几乎</w:t>
      </w:r>
      <w:r>
        <w:t>20</w:t>
      </w:r>
      <w:r>
        <w:t>0</w:t>
      </w:r>
      <w:r>
        <w:rPr>
          <w:rFonts w:hint="eastAsia"/>
        </w:rPr>
        <w:t>万</w:t>
      </w:r>
      <w:r>
        <w:t>(78%</w:t>
      </w:r>
      <w:r>
        <w:rPr>
          <w:rFonts w:hint="eastAsia"/>
        </w:rPr>
        <w:t>在农村地区</w:t>
      </w:r>
      <w:r>
        <w:t>)</w:t>
      </w:r>
      <w:r>
        <w:rPr>
          <w:rFonts w:hint="eastAsia"/>
        </w:rPr>
        <w:t>没有电。</w:t>
      </w:r>
    </w:p>
    <w:p w:rsidR="00000000" w:rsidRDefault="003D15A7">
      <w:pPr>
        <w:pStyle w:val="NormalIndent"/>
      </w:pPr>
      <w:r>
        <w:t xml:space="preserve">136.  </w:t>
      </w:r>
      <w:r>
        <w:rPr>
          <w:rFonts w:hint="eastAsia"/>
        </w:rPr>
        <w:t>当局特别注意住房政策和更好的生活条件</w:t>
      </w:r>
      <w:r>
        <w:rPr>
          <w:rFonts w:hint="eastAsia"/>
          <w:spacing w:val="-40"/>
        </w:rPr>
        <w:t>——</w:t>
      </w:r>
      <w:r>
        <w:t xml:space="preserve"> </w:t>
      </w:r>
      <w:r>
        <w:rPr>
          <w:rFonts w:hint="eastAsia"/>
        </w:rPr>
        <w:t>把它作为社会进步的一个基本组成部分。在以下</w:t>
      </w:r>
      <w:r>
        <w:t>5</w:t>
      </w:r>
      <w:r>
        <w:rPr>
          <w:rFonts w:hint="eastAsia"/>
        </w:rPr>
        <w:t>个主要方面已显示了令人鼓舞的结果：</w:t>
      </w:r>
    </w:p>
    <w:p w:rsidR="00000000" w:rsidRDefault="003D15A7" w:rsidP="003D15A7">
      <w:pPr>
        <w:pStyle w:val="a0"/>
        <w:numPr>
          <w:ilvl w:val="0"/>
          <w:numId w:val="8"/>
        </w:numPr>
        <w:ind w:left="1531" w:hanging="510"/>
      </w:pPr>
      <w:r>
        <w:rPr>
          <w:rFonts w:hint="eastAsia"/>
        </w:rPr>
        <w:t>强化措施解决不健康的生活条件。主要成就是重建了许多不符合规章制度的住房，并且开始了翻新陈旧结构的方案；</w:t>
      </w:r>
    </w:p>
    <w:p w:rsidR="00000000" w:rsidRDefault="003D15A7" w:rsidP="003D15A7">
      <w:pPr>
        <w:pStyle w:val="a0"/>
        <w:numPr>
          <w:ilvl w:val="0"/>
          <w:numId w:val="8"/>
        </w:numPr>
        <w:ind w:left="1531" w:hanging="510"/>
      </w:pPr>
      <w:r>
        <w:rPr>
          <w:rFonts w:hint="eastAsia"/>
        </w:rPr>
        <w:t>促进社会住房。为人口中处于最不利地位的人建造</w:t>
      </w:r>
      <w:r>
        <w:t>20</w:t>
      </w:r>
      <w:r>
        <w:rPr>
          <w:rFonts w:hint="eastAsia"/>
        </w:rPr>
        <w:t>万住房的方案标志着摩洛哥社会住房政策的一个新的起点；</w:t>
      </w:r>
    </w:p>
    <w:p w:rsidR="00000000" w:rsidRDefault="003D15A7" w:rsidP="003D15A7">
      <w:pPr>
        <w:pStyle w:val="a0"/>
        <w:numPr>
          <w:ilvl w:val="0"/>
          <w:numId w:val="8"/>
        </w:numPr>
        <w:ind w:left="1531" w:hanging="510"/>
      </w:pPr>
      <w:r>
        <w:rPr>
          <w:rFonts w:hint="eastAsia"/>
        </w:rPr>
        <w:t>改进农村生活条件。政府试图合并有关各方的努力，以完成尚未完成的农村方案，并且特别优先考虑农村地区的统一发展。政府允许财政系统更加积极地向农</w:t>
      </w:r>
      <w:r>
        <w:rPr>
          <w:rFonts w:hint="eastAsia"/>
        </w:rPr>
        <w:t>村住房提供信贷，通过旨在帮助农村地区建造低成本住房的程序</w:t>
      </w:r>
      <w:r>
        <w:t>(</w:t>
      </w:r>
      <w:r>
        <w:rPr>
          <w:rFonts w:hint="eastAsia"/>
        </w:rPr>
        <w:t>优惠利率或直接援助</w:t>
      </w:r>
      <w:r>
        <w:t>)</w:t>
      </w:r>
      <w:r>
        <w:rPr>
          <w:rFonts w:hint="eastAsia"/>
        </w:rPr>
        <w:t>支持政府的行动；</w:t>
      </w:r>
    </w:p>
    <w:p w:rsidR="00000000" w:rsidRDefault="003D15A7" w:rsidP="003D15A7">
      <w:pPr>
        <w:pStyle w:val="a0"/>
        <w:numPr>
          <w:ilvl w:val="0"/>
          <w:numId w:val="8"/>
        </w:numPr>
        <w:ind w:left="1531" w:hanging="510"/>
      </w:pPr>
      <w:r>
        <w:rPr>
          <w:rFonts w:hint="eastAsia"/>
        </w:rPr>
        <w:t>促进私有住房；和</w:t>
      </w:r>
    </w:p>
    <w:p w:rsidR="00000000" w:rsidRDefault="003D15A7" w:rsidP="003D15A7">
      <w:pPr>
        <w:pStyle w:val="a0"/>
        <w:numPr>
          <w:ilvl w:val="0"/>
          <w:numId w:val="8"/>
        </w:numPr>
        <w:ind w:left="1531" w:hanging="510"/>
      </w:pPr>
      <w:r>
        <w:rPr>
          <w:rFonts w:hint="eastAsia"/>
        </w:rPr>
        <w:t>加强地方社区的作用。</w:t>
      </w:r>
    </w:p>
    <w:p w:rsidR="00000000" w:rsidRDefault="003D15A7">
      <w:r>
        <w:rPr>
          <w:rFonts w:hint="eastAsia"/>
        </w:rPr>
        <w:t>在</w:t>
      </w:r>
      <w:r>
        <w:t>1993</w:t>
      </w:r>
      <w:r>
        <w:rPr>
          <w:rFonts w:hint="eastAsia"/>
        </w:rPr>
        <w:t>年和</w:t>
      </w:r>
      <w:r>
        <w:t>1996</w:t>
      </w:r>
      <w:r>
        <w:rPr>
          <w:rFonts w:hint="eastAsia"/>
        </w:rPr>
        <w:t>年之间，建房许可证的数量从</w:t>
      </w:r>
      <w:r>
        <w:t>29,307</w:t>
      </w:r>
      <w:r>
        <w:rPr>
          <w:rFonts w:hint="eastAsia"/>
        </w:rPr>
        <w:t>个增加至</w:t>
      </w:r>
      <w:r>
        <w:t>39,160</w:t>
      </w:r>
      <w:r>
        <w:rPr>
          <w:rFonts w:hint="eastAsia"/>
        </w:rPr>
        <w:t>个，</w:t>
      </w:r>
      <w:r>
        <w:t xml:space="preserve"> </w:t>
      </w:r>
      <w:r>
        <w:rPr>
          <w:rFonts w:hint="eastAsia"/>
        </w:rPr>
        <w:t>提高了</w:t>
      </w:r>
      <w:r>
        <w:t>33.6%</w:t>
      </w:r>
      <w:r>
        <w:rPr>
          <w:rFonts w:hint="eastAsia"/>
        </w:rPr>
        <w:t>。结果，在</w:t>
      </w:r>
      <w:r>
        <w:t>1996</w:t>
      </w:r>
      <w:r>
        <w:rPr>
          <w:rFonts w:hint="eastAsia"/>
        </w:rPr>
        <w:t>年建造了</w:t>
      </w:r>
      <w:r>
        <w:t>104,787</w:t>
      </w:r>
      <w:r>
        <w:rPr>
          <w:rFonts w:hint="eastAsia"/>
        </w:rPr>
        <w:t>栋住房，与此相比，</w:t>
      </w:r>
      <w:r>
        <w:t>1993</w:t>
      </w:r>
      <w:r>
        <w:rPr>
          <w:rFonts w:hint="eastAsia"/>
        </w:rPr>
        <w:t>年仅建造了</w:t>
      </w:r>
      <w:r>
        <w:t>53,460</w:t>
      </w:r>
      <w:r>
        <w:rPr>
          <w:rFonts w:hint="eastAsia"/>
        </w:rPr>
        <w:t>栋住房。</w:t>
      </w:r>
    </w:p>
    <w:p w:rsidR="00000000" w:rsidRDefault="003D15A7">
      <w:pPr>
        <w:pStyle w:val="NormalIndent"/>
      </w:pPr>
      <w:r>
        <w:t xml:space="preserve">137.  </w:t>
      </w:r>
      <w:r>
        <w:rPr>
          <w:rFonts w:hint="eastAsia"/>
        </w:rPr>
        <w:t>此外，政府的种种努力改善了家庭生活条件。尽管变化的速度和程度取决于居住的环境，但住房便利设施项目的数据表明生活条件有所改善。</w:t>
      </w:r>
    </w:p>
    <w:p w:rsidR="00000000" w:rsidRDefault="003D15A7">
      <w:pPr>
        <w:pStyle w:val="NormalIndent"/>
      </w:pPr>
      <w:r>
        <w:t>138.  1994</w:t>
      </w:r>
      <w:r>
        <w:rPr>
          <w:rFonts w:hint="eastAsia"/>
        </w:rPr>
        <w:t>年城市地区</w:t>
      </w:r>
      <w:r>
        <w:t>86%</w:t>
      </w:r>
      <w:r>
        <w:rPr>
          <w:rFonts w:hint="eastAsia"/>
        </w:rPr>
        <w:t>的</w:t>
      </w:r>
      <w:r>
        <w:rPr>
          <w:rFonts w:hint="eastAsia"/>
        </w:rPr>
        <w:t>家庭居住在砖砌楼房内，而在</w:t>
      </w:r>
      <w:r>
        <w:t>1985</w:t>
      </w:r>
      <w:r>
        <w:rPr>
          <w:rFonts w:hint="eastAsia"/>
        </w:rPr>
        <w:t>年只有</w:t>
      </w:r>
      <w:r>
        <w:t>79%</w:t>
      </w:r>
      <w:r>
        <w:rPr>
          <w:rFonts w:hint="eastAsia"/>
        </w:rPr>
        <w:t>，</w:t>
      </w:r>
      <w:r>
        <w:t>1971</w:t>
      </w:r>
      <w:r>
        <w:rPr>
          <w:rFonts w:hint="eastAsia"/>
        </w:rPr>
        <w:t>年只有</w:t>
      </w:r>
      <w:r>
        <w:t>74%</w:t>
      </w:r>
      <w:r>
        <w:rPr>
          <w:rFonts w:hint="eastAsia"/>
        </w:rPr>
        <w:t>。与居住在其他类型的楼房内的家庭相比，居住在摩洛哥式住房和别墅的家庭增加的比较快：</w:t>
      </w:r>
      <w:r>
        <w:t>75.8%</w:t>
      </w:r>
      <w:r>
        <w:rPr>
          <w:rFonts w:hint="eastAsia"/>
        </w:rPr>
        <w:t>的家庭居住在摩洛哥式住房和别墅内，而在</w:t>
      </w:r>
      <w:r>
        <w:t>1985</w:t>
      </w:r>
      <w:r>
        <w:rPr>
          <w:rFonts w:hint="eastAsia"/>
        </w:rPr>
        <w:t>年只有</w:t>
      </w:r>
      <w:r>
        <w:t>67.7%</w:t>
      </w:r>
      <w:r>
        <w:rPr>
          <w:rFonts w:hint="eastAsia"/>
        </w:rPr>
        <w:t>。相反，</w:t>
      </w:r>
      <w:r>
        <w:t>1994</w:t>
      </w:r>
      <w:r>
        <w:rPr>
          <w:rFonts w:hint="eastAsia"/>
        </w:rPr>
        <w:t>年居住在公寓内的家庭比例下降</w:t>
      </w:r>
      <w:r>
        <w:t>(1994</w:t>
      </w:r>
      <w:r>
        <w:rPr>
          <w:rFonts w:hint="eastAsia"/>
        </w:rPr>
        <w:t>年占所有家庭的</w:t>
      </w:r>
      <w:r>
        <w:t>10.5%</w:t>
      </w:r>
      <w:r>
        <w:rPr>
          <w:rFonts w:hint="eastAsia"/>
        </w:rPr>
        <w:t>，而在</w:t>
      </w:r>
      <w:r>
        <w:t>1985</w:t>
      </w:r>
      <w:r>
        <w:rPr>
          <w:rFonts w:hint="eastAsia"/>
        </w:rPr>
        <w:t>年占</w:t>
      </w:r>
      <w:r>
        <w:t>13%)</w:t>
      </w:r>
      <w:r>
        <w:rPr>
          <w:rFonts w:hint="eastAsia"/>
        </w:rPr>
        <w:t>。</w:t>
      </w:r>
    </w:p>
    <w:p w:rsidR="00000000" w:rsidRDefault="003D15A7">
      <w:pPr>
        <w:pStyle w:val="NormalIndent"/>
      </w:pPr>
      <w:r>
        <w:t xml:space="preserve">139.  </w:t>
      </w:r>
      <w:r>
        <w:rPr>
          <w:rFonts w:hint="eastAsia"/>
        </w:rPr>
        <w:t>就其他被界定为危房或简陋住房的问题而言，数字表明居住在这类住房内的家庭数从</w:t>
      </w:r>
      <w:r>
        <w:t>1997</w:t>
      </w:r>
      <w:r>
        <w:rPr>
          <w:rFonts w:hint="eastAsia"/>
        </w:rPr>
        <w:t>年的</w:t>
      </w:r>
      <w:r>
        <w:t>26.4%</w:t>
      </w:r>
      <w:r>
        <w:rPr>
          <w:rFonts w:hint="eastAsia"/>
        </w:rPr>
        <w:t>下降至</w:t>
      </w:r>
      <w:r>
        <w:t>1994</w:t>
      </w:r>
      <w:r>
        <w:rPr>
          <w:rFonts w:hint="eastAsia"/>
        </w:rPr>
        <w:t>年的</w:t>
      </w:r>
      <w:r>
        <w:t>13.7%</w:t>
      </w:r>
      <w:r>
        <w:rPr>
          <w:rFonts w:hint="eastAsia"/>
        </w:rPr>
        <w:t>。居住在木房和土坯房内的家庭在</w:t>
      </w:r>
      <w:r>
        <w:t>1971</w:t>
      </w:r>
      <w:r>
        <w:rPr>
          <w:rFonts w:hint="eastAsia"/>
        </w:rPr>
        <w:t>年占城市</w:t>
      </w:r>
      <w:r>
        <w:rPr>
          <w:rFonts w:hint="eastAsia"/>
        </w:rPr>
        <w:t>家庭的</w:t>
      </w:r>
      <w:r>
        <w:t>21.4%</w:t>
      </w:r>
      <w:r>
        <w:rPr>
          <w:rFonts w:hint="eastAsia"/>
        </w:rPr>
        <w:t>，至</w:t>
      </w:r>
      <w:r>
        <w:t>1994</w:t>
      </w:r>
      <w:r>
        <w:rPr>
          <w:rFonts w:hint="eastAsia"/>
        </w:rPr>
        <w:t>年下降了</w:t>
      </w:r>
      <w:r>
        <w:t>9%</w:t>
      </w:r>
      <w:r>
        <w:rPr>
          <w:rFonts w:hint="eastAsia"/>
        </w:rPr>
        <w:t>以上</w:t>
      </w:r>
      <w:r>
        <w:t>(12.1%)</w:t>
      </w:r>
      <w:r>
        <w:rPr>
          <w:rFonts w:hint="eastAsia"/>
        </w:rPr>
        <w:t>。建筑质量的相对改进是由于国家采取了改进住房的行动，特别由于在</w:t>
      </w:r>
      <w:r>
        <w:t>1970</w:t>
      </w:r>
      <w:r>
        <w:rPr>
          <w:rFonts w:hint="eastAsia"/>
        </w:rPr>
        <w:t>年代中期实施了房屋建筑政策。</w:t>
      </w:r>
    </w:p>
    <w:p w:rsidR="00000000" w:rsidRDefault="003D15A7">
      <w:pPr>
        <w:pStyle w:val="NormalIndent"/>
      </w:pPr>
      <w:r>
        <w:t xml:space="preserve">140.  </w:t>
      </w:r>
      <w:r>
        <w:rPr>
          <w:rFonts w:hint="eastAsia"/>
        </w:rPr>
        <w:t>关于住房的设备和便利设施，</w:t>
      </w:r>
      <w:r>
        <w:t>1994</w:t>
      </w:r>
      <w:r>
        <w:rPr>
          <w:rFonts w:hint="eastAsia"/>
        </w:rPr>
        <w:t>年进行的人口和住房普查表明，有所改进。有自来水的城市家庭数从</w:t>
      </w:r>
      <w:r>
        <w:t>1982</w:t>
      </w:r>
      <w:r>
        <w:rPr>
          <w:rFonts w:hint="eastAsia"/>
        </w:rPr>
        <w:t>年的</w:t>
      </w:r>
      <w:r>
        <w:t>62.9%</w:t>
      </w:r>
      <w:r>
        <w:rPr>
          <w:rFonts w:hint="eastAsia"/>
        </w:rPr>
        <w:t>上升至</w:t>
      </w:r>
      <w:r>
        <w:t>1994</w:t>
      </w:r>
      <w:r>
        <w:rPr>
          <w:rFonts w:hint="eastAsia"/>
        </w:rPr>
        <w:t>年的</w:t>
      </w:r>
      <w:r>
        <w:t>74.2%</w:t>
      </w:r>
      <w:r>
        <w:rPr>
          <w:rFonts w:hint="eastAsia"/>
        </w:rPr>
        <w:t>。在同一阶段，有供电设备的城市家庭比例从</w:t>
      </w:r>
      <w:r>
        <w:t>74.4%</w:t>
      </w:r>
      <w:r>
        <w:rPr>
          <w:rFonts w:hint="eastAsia"/>
        </w:rPr>
        <w:t>上升至</w:t>
      </w:r>
      <w:r>
        <w:t>80.7%</w:t>
      </w:r>
      <w:r>
        <w:rPr>
          <w:rFonts w:hint="eastAsia"/>
        </w:rPr>
        <w:t>。</w:t>
      </w:r>
    </w:p>
    <w:p w:rsidR="00000000" w:rsidRDefault="003D15A7">
      <w:pPr>
        <w:pStyle w:val="NormalIndent"/>
      </w:pPr>
      <w:r>
        <w:t xml:space="preserve">141.  </w:t>
      </w:r>
      <w:r>
        <w:rPr>
          <w:rFonts w:hint="eastAsia"/>
        </w:rPr>
        <w:t>最后，城市住房改进的另一个指数是拥有住房的使用者人数和可能拥有住房的家庭有所增加；这个比例从</w:t>
      </w:r>
      <w:r>
        <w:t>1982</w:t>
      </w:r>
      <w:r>
        <w:rPr>
          <w:rFonts w:hint="eastAsia"/>
        </w:rPr>
        <w:t>年的</w:t>
      </w:r>
      <w:r>
        <w:t>40.9%</w:t>
      </w:r>
      <w:r>
        <w:rPr>
          <w:rFonts w:hint="eastAsia"/>
        </w:rPr>
        <w:t>上</w:t>
      </w:r>
      <w:r>
        <w:rPr>
          <w:rFonts w:hint="eastAsia"/>
        </w:rPr>
        <w:t>升至</w:t>
      </w:r>
      <w:r>
        <w:t>1994</w:t>
      </w:r>
      <w:r>
        <w:rPr>
          <w:rFonts w:hint="eastAsia"/>
        </w:rPr>
        <w:t>年的</w:t>
      </w:r>
      <w:r>
        <w:t>48.5%</w:t>
      </w:r>
      <w:r>
        <w:rPr>
          <w:rFonts w:hint="eastAsia"/>
        </w:rPr>
        <w:t>。其必然结果是，支付租金的家庭比例从</w:t>
      </w:r>
      <w:r>
        <w:t>1982</w:t>
      </w:r>
      <w:r>
        <w:rPr>
          <w:rFonts w:hint="eastAsia"/>
        </w:rPr>
        <w:t>年的</w:t>
      </w:r>
      <w:r>
        <w:t>46%</w:t>
      </w:r>
      <w:r>
        <w:rPr>
          <w:rFonts w:hint="eastAsia"/>
        </w:rPr>
        <w:t>降至</w:t>
      </w:r>
      <w:r>
        <w:t>1994</w:t>
      </w:r>
      <w:r>
        <w:rPr>
          <w:rFonts w:hint="eastAsia"/>
        </w:rPr>
        <w:t>年</w:t>
      </w:r>
      <w:r>
        <w:t>35%</w:t>
      </w:r>
      <w:r>
        <w:rPr>
          <w:rFonts w:hint="eastAsia"/>
        </w:rPr>
        <w:t>。</w:t>
      </w:r>
    </w:p>
    <w:p w:rsidR="00000000" w:rsidRDefault="003D15A7">
      <w:pPr>
        <w:pStyle w:val="NormalIndent"/>
      </w:pPr>
      <w:r>
        <w:t xml:space="preserve">142.  </w:t>
      </w:r>
      <w:r>
        <w:rPr>
          <w:rFonts w:hint="eastAsia"/>
        </w:rPr>
        <w:t>在农村地区，</w:t>
      </w:r>
      <w:r>
        <w:t>1994</w:t>
      </w:r>
      <w:r>
        <w:rPr>
          <w:rFonts w:hint="eastAsia"/>
        </w:rPr>
        <w:t>年的普查表明大部分人居住在土坯房和木房内，占所有家庭的</w:t>
      </w:r>
      <w:r>
        <w:t>78%</w:t>
      </w:r>
      <w:r>
        <w:rPr>
          <w:rFonts w:hint="eastAsia"/>
        </w:rPr>
        <w:t>。但是，在近几年内，砖砌住房的数字有所增加，因而在永久性建筑内的农村家庭的比例从</w:t>
      </w:r>
      <w:r>
        <w:t>1985</w:t>
      </w:r>
      <w:r>
        <w:rPr>
          <w:rFonts w:hint="eastAsia"/>
        </w:rPr>
        <w:t>年的</w:t>
      </w:r>
      <w:r>
        <w:t>14%</w:t>
      </w:r>
      <w:r>
        <w:rPr>
          <w:rFonts w:hint="eastAsia"/>
        </w:rPr>
        <w:t>上升至</w:t>
      </w:r>
      <w:r>
        <w:t>1994</w:t>
      </w:r>
      <w:r>
        <w:rPr>
          <w:rFonts w:hint="eastAsia"/>
        </w:rPr>
        <w:t>年的</w:t>
      </w:r>
      <w:r>
        <w:t>22%</w:t>
      </w:r>
      <w:r>
        <w:rPr>
          <w:rFonts w:hint="eastAsia"/>
        </w:rPr>
        <w:t>。</w:t>
      </w:r>
    </w:p>
    <w:p w:rsidR="00000000" w:rsidRDefault="003D15A7">
      <w:pPr>
        <w:pStyle w:val="NormalIndent"/>
        <w:spacing w:after="320"/>
        <w:textAlignment w:val="center"/>
      </w:pPr>
      <w:r>
        <w:t xml:space="preserve">143.  </w:t>
      </w:r>
      <w:r>
        <w:rPr>
          <w:rFonts w:hint="eastAsia"/>
        </w:rPr>
        <w:t>最近的普查还表明房屋内拥有自来水和电力等基本设施方面也有了一些改善。从全国饮用水机构获得管道水的家庭比例从</w:t>
      </w:r>
      <w:r>
        <w:t>1982</w:t>
      </w:r>
      <w:r>
        <w:rPr>
          <w:rFonts w:hint="eastAsia"/>
        </w:rPr>
        <w:t>年的</w:t>
      </w:r>
      <w:r>
        <w:t>2.2%</w:t>
      </w:r>
      <w:r>
        <w:rPr>
          <w:rFonts w:hint="eastAsia"/>
        </w:rPr>
        <w:t>上升至</w:t>
      </w:r>
      <w:r>
        <w:t>1994</w:t>
      </w:r>
      <w:r>
        <w:rPr>
          <w:rFonts w:hint="eastAsia"/>
        </w:rPr>
        <w:t>年的</w:t>
      </w:r>
      <w:r>
        <w:t>4%</w:t>
      </w:r>
      <w:r>
        <w:rPr>
          <w:rFonts w:hint="eastAsia"/>
        </w:rPr>
        <w:t>。在电力方面，在两次普查间隔阶</w:t>
      </w:r>
      <w:r>
        <w:rPr>
          <w:rFonts w:hint="eastAsia"/>
        </w:rPr>
        <w:t>段内，和电力网相连的农村家庭数字增加了一倍</w:t>
      </w:r>
      <w:r>
        <w:t>(1994</w:t>
      </w:r>
      <w:r>
        <w:rPr>
          <w:rFonts w:hint="eastAsia"/>
        </w:rPr>
        <w:t>年为</w:t>
      </w:r>
      <w:r>
        <w:t>9.7%</w:t>
      </w:r>
      <w:r>
        <w:rPr>
          <w:rFonts w:hint="eastAsia"/>
        </w:rPr>
        <w:t>，而</w:t>
      </w:r>
      <w:r>
        <w:t>1982</w:t>
      </w:r>
      <w:r>
        <w:rPr>
          <w:rFonts w:hint="eastAsia"/>
        </w:rPr>
        <w:t>年只有</w:t>
      </w:r>
      <w:r>
        <w:t>4.5%)</w:t>
      </w:r>
      <w:r>
        <w:rPr>
          <w:rFonts w:hint="eastAsia"/>
        </w:rPr>
        <w:t>。</w:t>
      </w:r>
    </w:p>
    <w:p w:rsidR="00000000" w:rsidRDefault="003D15A7">
      <w:pPr>
        <w:pStyle w:val="Heading2"/>
        <w:spacing w:after="160"/>
        <w:textAlignment w:val="center"/>
      </w:pPr>
      <w:r>
        <w:rPr>
          <w:rFonts w:hint="eastAsia"/>
        </w:rPr>
        <w:t>第</w:t>
      </w:r>
      <w:r>
        <w:t xml:space="preserve"> 12 </w:t>
      </w:r>
      <w:r>
        <w:rPr>
          <w:rFonts w:hint="eastAsia"/>
        </w:rPr>
        <w:t>条</w:t>
      </w:r>
    </w:p>
    <w:p w:rsidR="00000000" w:rsidRDefault="003D15A7">
      <w:pPr>
        <w:pStyle w:val="Heading3"/>
        <w:spacing w:after="240"/>
        <w:textAlignment w:val="center"/>
      </w:pPr>
      <w:r>
        <w:rPr>
          <w:rFonts w:hint="eastAsia"/>
        </w:rPr>
        <w:t>身心健康的权利</w:t>
      </w:r>
    </w:p>
    <w:p w:rsidR="00000000" w:rsidRDefault="003D15A7">
      <w:pPr>
        <w:pStyle w:val="Heading3"/>
        <w:spacing w:after="160"/>
        <w:textAlignment w:val="center"/>
      </w:pPr>
      <w:r>
        <w:rPr>
          <w:u w:val="none"/>
        </w:rPr>
        <w:t xml:space="preserve">A.  </w:t>
      </w:r>
      <w:r>
        <w:rPr>
          <w:rFonts w:hint="eastAsia"/>
        </w:rPr>
        <w:t>摩洛哥的卫生政策</w:t>
      </w:r>
    </w:p>
    <w:p w:rsidR="00000000" w:rsidRDefault="003D15A7">
      <w:r>
        <w:tab/>
        <w:t xml:space="preserve">144.  </w:t>
      </w:r>
      <w:r>
        <w:rPr>
          <w:rFonts w:hint="eastAsia"/>
        </w:rPr>
        <w:t>考虑到人口压力和变化的影响，对选择所带来的限制、参与者的作用和卫生部门提供资金和行政机制等问题，卫生政策的目的是为了纠正全国卫生系统内的不平衡问题，使保健照料的提供更加有效和平等。因此，摩洛哥的卫生政策解决五个主要问题：</w:t>
      </w:r>
      <w:r>
        <w:t xml:space="preserve">(a) </w:t>
      </w:r>
      <w:r>
        <w:rPr>
          <w:rFonts w:hint="eastAsia"/>
        </w:rPr>
        <w:t>更加有效地调动和使用资源；</w:t>
      </w:r>
      <w:r>
        <w:t xml:space="preserve">(b) </w:t>
      </w:r>
      <w:r>
        <w:rPr>
          <w:rFonts w:hint="eastAsia"/>
        </w:rPr>
        <w:t>就卫生事务在公共和私营部门建立新的关系；</w:t>
      </w:r>
      <w:r>
        <w:t xml:space="preserve">(c) </w:t>
      </w:r>
      <w:r>
        <w:rPr>
          <w:rFonts w:hint="eastAsia"/>
        </w:rPr>
        <w:t>精简管理和调整整个卫生保健制度；</w:t>
      </w:r>
      <w:r>
        <w:t>(d</w:t>
      </w:r>
      <w:r>
        <w:t xml:space="preserve">) </w:t>
      </w:r>
      <w:r>
        <w:rPr>
          <w:rFonts w:hint="eastAsia"/>
        </w:rPr>
        <w:t>在限制开支的情况下改进服务；和</w:t>
      </w:r>
      <w:r>
        <w:t xml:space="preserve">(e) </w:t>
      </w:r>
      <w:r>
        <w:rPr>
          <w:rFonts w:hint="eastAsia"/>
        </w:rPr>
        <w:t>地方社区的参与。</w:t>
      </w:r>
    </w:p>
    <w:p w:rsidR="00000000" w:rsidRDefault="003D15A7">
      <w:pPr>
        <w:spacing w:after="240"/>
        <w:textAlignment w:val="center"/>
      </w:pPr>
      <w:r>
        <w:tab/>
        <w:t>145.  1997-98</w:t>
      </w:r>
      <w:r>
        <w:rPr>
          <w:rFonts w:hint="eastAsia"/>
        </w:rPr>
        <w:t>年拨给卫生的公共资金的比例为</w:t>
      </w:r>
      <w:r>
        <w:t>12%</w:t>
      </w:r>
      <w:r>
        <w:rPr>
          <w:rFonts w:hint="eastAsia"/>
        </w:rPr>
        <w:t>。</w:t>
      </w:r>
      <w:r>
        <w:t>1997-98</w:t>
      </w:r>
      <w:r>
        <w:rPr>
          <w:rFonts w:hint="eastAsia"/>
        </w:rPr>
        <w:t>年公共卫生投资贷款比前一个财政年度增加了</w:t>
      </w:r>
      <w:r>
        <w:t>31.39%</w:t>
      </w:r>
      <w:r>
        <w:rPr>
          <w:rFonts w:hint="eastAsia"/>
        </w:rPr>
        <w:t>。社会保护机构的份额在给予社会部门的所有贷款中占</w:t>
      </w:r>
      <w:r>
        <w:t>20%</w:t>
      </w:r>
      <w:r>
        <w:rPr>
          <w:rFonts w:hint="eastAsia"/>
        </w:rPr>
        <w:t>，这主要由于在改进公务员退休制度之后，国家提高了对摩洛哥行业间退休基金的捐助。</w:t>
      </w:r>
    </w:p>
    <w:p w:rsidR="00000000" w:rsidRDefault="003D15A7">
      <w:pPr>
        <w:pStyle w:val="Heading3"/>
        <w:spacing w:after="240"/>
        <w:textAlignment w:val="center"/>
      </w:pPr>
      <w:r>
        <w:rPr>
          <w:u w:val="none"/>
        </w:rPr>
        <w:t xml:space="preserve">B.  </w:t>
      </w:r>
      <w:r>
        <w:rPr>
          <w:rFonts w:hint="eastAsia"/>
        </w:rPr>
        <w:t>母亲和儿童保健</w:t>
      </w:r>
    </w:p>
    <w:p w:rsidR="00000000" w:rsidRDefault="003D15A7">
      <w:r>
        <w:tab/>
        <w:t xml:space="preserve">146.  </w:t>
      </w:r>
      <w:r>
        <w:rPr>
          <w:rFonts w:hint="eastAsia"/>
        </w:rPr>
        <w:t>为了保护母亲的健康和降低婴儿死亡率，政府继续执行各种各样的疫苗接种免疫方案。一岁以下儿童对六种目标疾病</w:t>
      </w:r>
      <w:r>
        <w:t>(</w:t>
      </w:r>
      <w:r>
        <w:rPr>
          <w:rFonts w:hint="eastAsia"/>
        </w:rPr>
        <w:t>白喉、破伤风、小儿麻痹症、百日咳、麻疹和结核病</w:t>
      </w:r>
      <w:r>
        <w:t>)</w:t>
      </w:r>
      <w:r>
        <w:rPr>
          <w:rFonts w:hint="eastAsia"/>
        </w:rPr>
        <w:t>的疫苗接种比例从</w:t>
      </w:r>
      <w:r>
        <w:t>1987</w:t>
      </w:r>
      <w:r>
        <w:rPr>
          <w:rFonts w:hint="eastAsia"/>
        </w:rPr>
        <w:t>年的</w:t>
      </w:r>
      <w:r>
        <w:t>50%(</w:t>
      </w:r>
      <w:r>
        <w:rPr>
          <w:rFonts w:hint="eastAsia"/>
        </w:rPr>
        <w:t>城市地区为</w:t>
      </w:r>
      <w:r>
        <w:t>83%</w:t>
      </w:r>
      <w:r>
        <w:rPr>
          <w:rFonts w:hint="eastAsia"/>
        </w:rPr>
        <w:t>，</w:t>
      </w:r>
      <w:r>
        <w:t xml:space="preserve"> </w:t>
      </w:r>
      <w:r>
        <w:rPr>
          <w:rFonts w:hint="eastAsia"/>
        </w:rPr>
        <w:t>农村地区为</w:t>
      </w:r>
      <w:r>
        <w:t>41%)</w:t>
      </w:r>
      <w:r>
        <w:rPr>
          <w:rFonts w:hint="eastAsia"/>
        </w:rPr>
        <w:t>上升至</w:t>
      </w:r>
      <w:r>
        <w:t>1994</w:t>
      </w:r>
      <w:r>
        <w:rPr>
          <w:rFonts w:hint="eastAsia"/>
        </w:rPr>
        <w:t>年的</w:t>
      </w:r>
      <w:r>
        <w:t>80%(</w:t>
      </w:r>
      <w:r>
        <w:rPr>
          <w:rFonts w:hint="eastAsia"/>
        </w:rPr>
        <w:t>城市地区为</w:t>
      </w:r>
      <w:r>
        <w:t>92%</w:t>
      </w:r>
      <w:r>
        <w:rPr>
          <w:rFonts w:hint="eastAsia"/>
        </w:rPr>
        <w:t>，农村地区为</w:t>
      </w:r>
      <w:r>
        <w:t>68%)</w:t>
      </w:r>
      <w:r>
        <w:rPr>
          <w:rFonts w:hint="eastAsia"/>
        </w:rPr>
        <w:t>。</w:t>
      </w:r>
    </w:p>
    <w:p w:rsidR="00000000" w:rsidRDefault="003D15A7">
      <w:r>
        <w:tab/>
        <w:t xml:space="preserve">147.  </w:t>
      </w:r>
      <w:r>
        <w:rPr>
          <w:rFonts w:hint="eastAsia"/>
        </w:rPr>
        <w:t>关于解决腹泻病的措施，</w:t>
      </w:r>
      <w:r>
        <w:t>1994</w:t>
      </w:r>
      <w:r>
        <w:rPr>
          <w:rFonts w:hint="eastAsia"/>
        </w:rPr>
        <w:t>年一岁以下患有腹泻的</w:t>
      </w:r>
      <w:r>
        <w:t>471,130</w:t>
      </w:r>
      <w:r>
        <w:rPr>
          <w:rFonts w:hint="eastAsia"/>
        </w:rPr>
        <w:t>名儿童得到了治疗，此外，在</w:t>
      </w:r>
      <w:r>
        <w:t>12</w:t>
      </w:r>
      <w:r>
        <w:rPr>
          <w:rFonts w:hint="eastAsia"/>
        </w:rPr>
        <w:t>个月至</w:t>
      </w:r>
      <w:r>
        <w:t>23</w:t>
      </w:r>
      <w:r>
        <w:rPr>
          <w:rFonts w:hint="eastAsia"/>
        </w:rPr>
        <w:t>个月年龄组内有</w:t>
      </w:r>
      <w:r>
        <w:t>353,737</w:t>
      </w:r>
      <w:r>
        <w:rPr>
          <w:rFonts w:hint="eastAsia"/>
        </w:rPr>
        <w:t>名儿童得到治疗，在</w:t>
      </w:r>
      <w:r>
        <w:t>20</w:t>
      </w:r>
      <w:r>
        <w:rPr>
          <w:rFonts w:hint="eastAsia"/>
        </w:rPr>
        <w:t>个月至</w:t>
      </w:r>
      <w:r>
        <w:t>59</w:t>
      </w:r>
      <w:r>
        <w:rPr>
          <w:rFonts w:hint="eastAsia"/>
        </w:rPr>
        <w:t>个月的儿童中间，有</w:t>
      </w:r>
      <w:r>
        <w:t>289,669</w:t>
      </w:r>
      <w:r>
        <w:rPr>
          <w:rFonts w:hint="eastAsia"/>
        </w:rPr>
        <w:t>名儿童得到治疗。通过重新采用对两岁以下患有腹泻儿童推广口服补液的</w:t>
      </w:r>
      <w:r>
        <w:t>1988</w:t>
      </w:r>
      <w:r>
        <w:rPr>
          <w:rFonts w:hint="eastAsia"/>
        </w:rPr>
        <w:t>年方案加强这些行动。</w:t>
      </w:r>
      <w:r>
        <w:t>1994</w:t>
      </w:r>
      <w:r>
        <w:rPr>
          <w:rFonts w:hint="eastAsia"/>
        </w:rPr>
        <w:t>年，</w:t>
      </w:r>
      <w:r>
        <w:t>42%</w:t>
      </w:r>
      <w:r>
        <w:rPr>
          <w:rFonts w:hint="eastAsia"/>
        </w:rPr>
        <w:t>的儿童得到了在他们患腹泻之前同样数量的水份，</w:t>
      </w:r>
      <w:r>
        <w:t>55%</w:t>
      </w:r>
      <w:r>
        <w:rPr>
          <w:rFonts w:hint="eastAsia"/>
        </w:rPr>
        <w:t>的儿童得到更多数量的水份，其中</w:t>
      </w:r>
      <w:r>
        <w:t>71%</w:t>
      </w:r>
      <w:r>
        <w:rPr>
          <w:rFonts w:hint="eastAsia"/>
        </w:rPr>
        <w:t>接受治疗。</w:t>
      </w:r>
    </w:p>
    <w:p w:rsidR="00000000" w:rsidRDefault="003D15A7">
      <w:pPr>
        <w:pStyle w:val="Heading3"/>
        <w:spacing w:after="160"/>
        <w:textAlignment w:val="center"/>
      </w:pPr>
      <w:r>
        <w:br w:type="page"/>
      </w:r>
      <w:r>
        <w:rPr>
          <w:rFonts w:hint="eastAsia"/>
        </w:rPr>
        <w:t>接受腹泻症治疗儿童人数</w:t>
      </w:r>
    </w:p>
    <w:p w:rsidR="00000000" w:rsidRDefault="003D15A7">
      <w:pPr>
        <w:spacing w:after="160"/>
        <w:ind w:left="510"/>
        <w:textAlignment w:val="center"/>
      </w:pPr>
      <w:r>
        <w:t>(</w:t>
      </w:r>
      <w:r>
        <w:rPr>
          <w:rFonts w:hint="eastAsia"/>
        </w:rPr>
        <w:t>一</w:t>
      </w:r>
      <w:r>
        <w:t xml:space="preserve">)  </w:t>
      </w:r>
      <w:r>
        <w:rPr>
          <w:rFonts w:hint="eastAsia"/>
          <w:u w:val="single"/>
        </w:rPr>
        <w:t>以年龄分列</w:t>
      </w:r>
    </w:p>
    <w:tbl>
      <w:tblPr>
        <w:tblW w:w="0" w:type="auto"/>
        <w:tblInd w:w="2" w:type="dxa"/>
        <w:tblLayout w:type="fixed"/>
        <w:tblCellMar>
          <w:left w:w="56" w:type="dxa"/>
          <w:right w:w="56" w:type="dxa"/>
        </w:tblCellMar>
        <w:tblLook w:val="0000" w:firstRow="0" w:lastRow="0" w:firstColumn="0" w:lastColumn="0" w:noHBand="0" w:noVBand="0"/>
      </w:tblPr>
      <w:tblGrid>
        <w:gridCol w:w="1927"/>
        <w:gridCol w:w="1927"/>
        <w:gridCol w:w="1927"/>
        <w:gridCol w:w="1927"/>
        <w:gridCol w:w="1929"/>
      </w:tblGrid>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rFonts w:hint="eastAsia"/>
                <w:sz w:val="21"/>
              </w:rPr>
              <w:t>年</w:t>
            </w:r>
            <w:r>
              <w:rPr>
                <w:sz w:val="21"/>
              </w:rPr>
              <w:t xml:space="preserve">  </w:t>
            </w:r>
            <w:r>
              <w:rPr>
                <w:rFonts w:hint="eastAsia"/>
                <w:sz w:val="21"/>
              </w:rPr>
              <w:t>度</w:t>
            </w:r>
          </w:p>
        </w:tc>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 xml:space="preserve">0-11 </w:t>
            </w:r>
            <w:r>
              <w:rPr>
                <w:rFonts w:hint="eastAsia"/>
                <w:sz w:val="21"/>
              </w:rPr>
              <w:t>月</w:t>
            </w:r>
          </w:p>
        </w:tc>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 xml:space="preserve">12-23 </w:t>
            </w:r>
            <w:r>
              <w:rPr>
                <w:rFonts w:hint="eastAsia"/>
                <w:sz w:val="21"/>
              </w:rPr>
              <w:t>月</w:t>
            </w:r>
          </w:p>
        </w:tc>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 xml:space="preserve">24-59 </w:t>
            </w:r>
            <w:r>
              <w:rPr>
                <w:rFonts w:hint="eastAsia"/>
                <w:sz w:val="21"/>
              </w:rPr>
              <w:t>月</w:t>
            </w:r>
          </w:p>
        </w:tc>
        <w:tc>
          <w:tcPr>
            <w:tcW w:w="1929" w:type="dxa"/>
            <w:tcBorders>
              <w:top w:val="single" w:sz="6" w:space="0" w:color="auto"/>
              <w:left w:val="single" w:sz="6" w:space="0" w:color="auto"/>
              <w:right w:val="single" w:sz="6" w:space="0" w:color="auto"/>
            </w:tcBorders>
          </w:tcPr>
          <w:p w:rsidR="00000000" w:rsidRDefault="003D15A7">
            <w:pPr>
              <w:spacing w:before="120" w:after="40" w:line="240" w:lineRule="auto"/>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1992</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305,588</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210,374</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127,374</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643,950</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1993</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405,417</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305,149</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236,990</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947,556</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1994</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428,185</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330,322</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268,719</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1,027,266</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1995</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383,649</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296,184</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244,514</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924,547</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1996</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375,015</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30</w:t>
            </w:r>
            <w:r>
              <w:rPr>
                <w:sz w:val="21"/>
              </w:rPr>
              <w:t>3,206</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234,169</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912,390</w:t>
            </w:r>
          </w:p>
        </w:tc>
      </w:tr>
      <w:tr w:rsidR="00000000">
        <w:tblPrEx>
          <w:tblCellMar>
            <w:top w:w="0" w:type="dxa"/>
            <w:bottom w:w="0" w:type="dxa"/>
          </w:tblCellMar>
        </w:tblPrEx>
        <w:trPr>
          <w:cantSplit/>
        </w:trPr>
        <w:tc>
          <w:tcPr>
            <w:tcW w:w="1927" w:type="dxa"/>
            <w:tcBorders>
              <w:top w:val="single" w:sz="6" w:space="0" w:color="auto"/>
              <w:left w:val="single" w:sz="6" w:space="0" w:color="auto"/>
              <w:bottom w:val="single" w:sz="6" w:space="0" w:color="auto"/>
            </w:tcBorders>
          </w:tcPr>
          <w:p w:rsidR="00000000" w:rsidRDefault="003D15A7">
            <w:pPr>
              <w:spacing w:before="120" w:after="40" w:line="240" w:lineRule="auto"/>
              <w:jc w:val="center"/>
              <w:rPr>
                <w:sz w:val="21"/>
              </w:rPr>
            </w:pPr>
            <w:r>
              <w:rPr>
                <w:sz w:val="21"/>
              </w:rPr>
              <w:t>1997</w:t>
            </w:r>
            <w:r>
              <w:rPr>
                <w:rFonts w:hint="eastAsia"/>
                <w:sz w:val="21"/>
              </w:rPr>
              <w:t>年</w:t>
            </w:r>
          </w:p>
        </w:tc>
        <w:tc>
          <w:tcPr>
            <w:tcW w:w="1927"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211,588</w:t>
            </w:r>
          </w:p>
        </w:tc>
        <w:tc>
          <w:tcPr>
            <w:tcW w:w="1927"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178,470</w:t>
            </w:r>
          </w:p>
        </w:tc>
        <w:tc>
          <w:tcPr>
            <w:tcW w:w="1927"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134,186</w:t>
            </w:r>
          </w:p>
        </w:tc>
        <w:tc>
          <w:tcPr>
            <w:tcW w:w="1929" w:type="dxa"/>
            <w:tcBorders>
              <w:top w:val="single" w:sz="6" w:space="0" w:color="auto"/>
              <w:left w:val="single" w:sz="6" w:space="0" w:color="auto"/>
              <w:bottom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524,244</w:t>
            </w:r>
          </w:p>
        </w:tc>
      </w:tr>
    </w:tbl>
    <w:p w:rsidR="00000000" w:rsidRDefault="003D15A7"/>
    <w:p w:rsidR="00000000" w:rsidRDefault="003D15A7">
      <w:pPr>
        <w:spacing w:after="160"/>
        <w:ind w:left="510"/>
        <w:textAlignment w:val="center"/>
        <w:rPr>
          <w:u w:val="single"/>
        </w:rPr>
      </w:pPr>
      <w:r>
        <w:t>(</w:t>
      </w:r>
      <w:r>
        <w:rPr>
          <w:rFonts w:hint="eastAsia"/>
        </w:rPr>
        <w:t>二</w:t>
      </w:r>
      <w:r>
        <w:t xml:space="preserve">)  </w:t>
      </w:r>
      <w:r>
        <w:rPr>
          <w:rFonts w:hint="eastAsia"/>
          <w:u w:val="single"/>
        </w:rPr>
        <w:t>按腹泻症分类</w:t>
      </w:r>
    </w:p>
    <w:tbl>
      <w:tblPr>
        <w:tblW w:w="0" w:type="auto"/>
        <w:tblInd w:w="2" w:type="dxa"/>
        <w:tblLayout w:type="fixed"/>
        <w:tblCellMar>
          <w:left w:w="56" w:type="dxa"/>
          <w:right w:w="56" w:type="dxa"/>
        </w:tblCellMar>
        <w:tblLook w:val="0000" w:firstRow="0" w:lastRow="0" w:firstColumn="0" w:lastColumn="0" w:noHBand="0" w:noVBand="0"/>
      </w:tblPr>
      <w:tblGrid>
        <w:gridCol w:w="1927"/>
        <w:gridCol w:w="1927"/>
        <w:gridCol w:w="1927"/>
        <w:gridCol w:w="2043"/>
        <w:gridCol w:w="1813"/>
      </w:tblGrid>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rFonts w:hint="eastAsia"/>
                <w:sz w:val="21"/>
              </w:rPr>
              <w:t>年</w:t>
            </w:r>
            <w:r>
              <w:rPr>
                <w:sz w:val="21"/>
              </w:rPr>
              <w:t xml:space="preserve">  </w:t>
            </w:r>
            <w:r>
              <w:rPr>
                <w:rFonts w:hint="eastAsia"/>
                <w:sz w:val="21"/>
              </w:rPr>
              <w:t>度</w:t>
            </w:r>
          </w:p>
        </w:tc>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rFonts w:hint="eastAsia"/>
                <w:sz w:val="21"/>
              </w:rPr>
              <w:t>新病例</w:t>
            </w:r>
          </w:p>
        </w:tc>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rFonts w:hint="eastAsia"/>
                <w:sz w:val="21"/>
              </w:rPr>
              <w:t>原有病例</w:t>
            </w:r>
          </w:p>
        </w:tc>
        <w:tc>
          <w:tcPr>
            <w:tcW w:w="2043" w:type="dxa"/>
            <w:tcBorders>
              <w:top w:val="single" w:sz="6" w:space="0" w:color="auto"/>
              <w:left w:val="single" w:sz="6" w:space="0" w:color="auto"/>
            </w:tcBorders>
          </w:tcPr>
          <w:p w:rsidR="00000000" w:rsidRDefault="003D15A7">
            <w:pPr>
              <w:spacing w:before="120" w:after="40" w:line="240" w:lineRule="auto"/>
              <w:jc w:val="center"/>
              <w:rPr>
                <w:sz w:val="21"/>
              </w:rPr>
            </w:pPr>
            <w:r>
              <w:rPr>
                <w:rFonts w:hint="eastAsia"/>
                <w:sz w:val="21"/>
              </w:rPr>
              <w:t>顽固病例</w:t>
            </w:r>
          </w:p>
        </w:tc>
        <w:tc>
          <w:tcPr>
            <w:tcW w:w="1813" w:type="dxa"/>
            <w:tcBorders>
              <w:top w:val="single" w:sz="6" w:space="0" w:color="auto"/>
              <w:left w:val="single" w:sz="6" w:space="0" w:color="auto"/>
              <w:right w:val="single" w:sz="6" w:space="0" w:color="auto"/>
            </w:tcBorders>
          </w:tcPr>
          <w:p w:rsidR="00000000" w:rsidRDefault="003D15A7">
            <w:pPr>
              <w:spacing w:before="120" w:after="40" w:line="240" w:lineRule="auto"/>
              <w:jc w:val="center"/>
              <w:rPr>
                <w:sz w:val="21"/>
              </w:rPr>
            </w:pPr>
            <w:r>
              <w:rPr>
                <w:rFonts w:hint="eastAsia"/>
                <w:sz w:val="21"/>
              </w:rPr>
              <w:t>总</w:t>
            </w:r>
            <w:r>
              <w:rPr>
                <w:sz w:val="21"/>
              </w:rPr>
              <w:t xml:space="preserve">  </w:t>
            </w:r>
            <w:r>
              <w:rPr>
                <w:rFonts w:hint="eastAsia"/>
                <w:sz w:val="21"/>
              </w:rPr>
              <w:t>计</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1992</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605,108</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33,851</w:t>
            </w:r>
          </w:p>
        </w:tc>
        <w:tc>
          <w:tcPr>
            <w:tcW w:w="2043"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4,991</w:t>
            </w:r>
          </w:p>
        </w:tc>
        <w:tc>
          <w:tcPr>
            <w:tcW w:w="1813"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643,950</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1993</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903,963</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39,293</w:t>
            </w:r>
          </w:p>
        </w:tc>
        <w:tc>
          <w:tcPr>
            <w:tcW w:w="2043"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4,300</w:t>
            </w:r>
          </w:p>
        </w:tc>
        <w:tc>
          <w:tcPr>
            <w:tcW w:w="1813"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947,556</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1994</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988,668</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34,592</w:t>
            </w:r>
          </w:p>
        </w:tc>
        <w:tc>
          <w:tcPr>
            <w:tcW w:w="2043"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3,966</w:t>
            </w:r>
          </w:p>
        </w:tc>
        <w:tc>
          <w:tcPr>
            <w:tcW w:w="1813"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1,027,266</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1995</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890,249</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31,293</w:t>
            </w:r>
          </w:p>
        </w:tc>
        <w:tc>
          <w:tcPr>
            <w:tcW w:w="2043"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51,798</w:t>
            </w:r>
          </w:p>
        </w:tc>
        <w:tc>
          <w:tcPr>
            <w:tcW w:w="1813"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924,547</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1996</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884</w:t>
            </w:r>
            <w:r>
              <w:rPr>
                <w:sz w:val="21"/>
              </w:rPr>
              <w:t>,672</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25,540</w:t>
            </w:r>
          </w:p>
        </w:tc>
        <w:tc>
          <w:tcPr>
            <w:tcW w:w="2043"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2,178</w:t>
            </w:r>
          </w:p>
        </w:tc>
        <w:tc>
          <w:tcPr>
            <w:tcW w:w="1813"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912,390</w:t>
            </w:r>
          </w:p>
        </w:tc>
      </w:tr>
      <w:tr w:rsidR="00000000">
        <w:tblPrEx>
          <w:tblCellMar>
            <w:top w:w="0" w:type="dxa"/>
            <w:bottom w:w="0" w:type="dxa"/>
          </w:tblCellMar>
        </w:tblPrEx>
        <w:trPr>
          <w:cantSplit/>
        </w:trPr>
        <w:tc>
          <w:tcPr>
            <w:tcW w:w="1927" w:type="dxa"/>
            <w:tcBorders>
              <w:top w:val="single" w:sz="6" w:space="0" w:color="auto"/>
              <w:left w:val="single" w:sz="6" w:space="0" w:color="auto"/>
              <w:bottom w:val="single" w:sz="6" w:space="0" w:color="auto"/>
            </w:tcBorders>
          </w:tcPr>
          <w:p w:rsidR="00000000" w:rsidRDefault="003D15A7">
            <w:pPr>
              <w:spacing w:before="120" w:after="40" w:line="240" w:lineRule="auto"/>
              <w:jc w:val="center"/>
              <w:rPr>
                <w:sz w:val="21"/>
              </w:rPr>
            </w:pPr>
            <w:r>
              <w:rPr>
                <w:sz w:val="21"/>
              </w:rPr>
              <w:t>1997</w:t>
            </w:r>
            <w:r>
              <w:rPr>
                <w:rFonts w:hint="eastAsia"/>
                <w:sz w:val="21"/>
              </w:rPr>
              <w:t>年</w:t>
            </w:r>
          </w:p>
        </w:tc>
        <w:tc>
          <w:tcPr>
            <w:tcW w:w="1927"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510,052</w:t>
            </w:r>
          </w:p>
        </w:tc>
        <w:tc>
          <w:tcPr>
            <w:tcW w:w="1927"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12,756</w:t>
            </w:r>
          </w:p>
        </w:tc>
        <w:tc>
          <w:tcPr>
            <w:tcW w:w="2043"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1,436</w:t>
            </w:r>
          </w:p>
        </w:tc>
        <w:tc>
          <w:tcPr>
            <w:tcW w:w="1813" w:type="dxa"/>
            <w:tcBorders>
              <w:top w:val="single" w:sz="6" w:space="0" w:color="auto"/>
              <w:left w:val="single" w:sz="6" w:space="0" w:color="auto"/>
              <w:bottom w:val="single" w:sz="6" w:space="0" w:color="auto"/>
              <w:right w:val="single" w:sz="6" w:space="0" w:color="auto"/>
            </w:tcBorders>
          </w:tcPr>
          <w:p w:rsidR="00000000" w:rsidRDefault="003D15A7">
            <w:pPr>
              <w:tabs>
                <w:tab w:val="clear" w:pos="510"/>
                <w:tab w:val="clear" w:pos="1021"/>
                <w:tab w:val="clear" w:pos="1531"/>
                <w:tab w:val="clear" w:pos="2041"/>
                <w:tab w:val="decimal" w:pos="1377"/>
              </w:tabs>
              <w:spacing w:before="120" w:after="40" w:line="240" w:lineRule="auto"/>
              <w:rPr>
                <w:sz w:val="21"/>
              </w:rPr>
            </w:pPr>
            <w:r>
              <w:rPr>
                <w:sz w:val="21"/>
              </w:rPr>
              <w:t>524,244</w:t>
            </w:r>
          </w:p>
        </w:tc>
      </w:tr>
    </w:tbl>
    <w:p w:rsidR="00000000" w:rsidRDefault="003D15A7"/>
    <w:p w:rsidR="00000000" w:rsidRDefault="003D15A7">
      <w:pPr>
        <w:spacing w:after="160"/>
        <w:ind w:left="510"/>
        <w:textAlignment w:val="center"/>
      </w:pPr>
      <w:r>
        <w:t>(</w:t>
      </w:r>
      <w:r>
        <w:rPr>
          <w:rFonts w:hint="eastAsia"/>
        </w:rPr>
        <w:t>三</w:t>
      </w:r>
      <w:r>
        <w:t xml:space="preserve">)  </w:t>
      </w:r>
      <w:r>
        <w:rPr>
          <w:rFonts w:hint="eastAsia"/>
          <w:u w:val="single"/>
        </w:rPr>
        <w:t>按脱水程度分列</w:t>
      </w:r>
    </w:p>
    <w:tbl>
      <w:tblPr>
        <w:tblW w:w="0" w:type="auto"/>
        <w:tblInd w:w="2" w:type="dxa"/>
        <w:tblLayout w:type="fixed"/>
        <w:tblCellMar>
          <w:left w:w="56" w:type="dxa"/>
          <w:right w:w="56" w:type="dxa"/>
        </w:tblCellMar>
        <w:tblLook w:val="0000" w:firstRow="0" w:lastRow="0" w:firstColumn="0" w:lastColumn="0" w:noHBand="0" w:noVBand="0"/>
      </w:tblPr>
      <w:tblGrid>
        <w:gridCol w:w="1927"/>
        <w:gridCol w:w="1927"/>
        <w:gridCol w:w="1927"/>
        <w:gridCol w:w="1927"/>
        <w:gridCol w:w="1929"/>
      </w:tblGrid>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rFonts w:hint="eastAsia"/>
                <w:sz w:val="21"/>
              </w:rPr>
              <w:t>年</w:t>
            </w:r>
            <w:r>
              <w:rPr>
                <w:sz w:val="21"/>
              </w:rPr>
              <w:t xml:space="preserve">  </w:t>
            </w:r>
            <w:r>
              <w:rPr>
                <w:rFonts w:hint="eastAsia"/>
                <w:sz w:val="21"/>
              </w:rPr>
              <w:t>度</w:t>
            </w:r>
          </w:p>
        </w:tc>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A</w:t>
            </w:r>
          </w:p>
        </w:tc>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B</w:t>
            </w:r>
          </w:p>
        </w:tc>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C</w:t>
            </w:r>
          </w:p>
        </w:tc>
        <w:tc>
          <w:tcPr>
            <w:tcW w:w="1929" w:type="dxa"/>
            <w:tcBorders>
              <w:top w:val="single" w:sz="6" w:space="0" w:color="auto"/>
              <w:left w:val="single" w:sz="6" w:space="0" w:color="auto"/>
              <w:right w:val="single" w:sz="6" w:space="0" w:color="auto"/>
            </w:tcBorders>
          </w:tcPr>
          <w:p w:rsidR="00000000" w:rsidRDefault="003D15A7">
            <w:pPr>
              <w:spacing w:before="120" w:after="40" w:line="240" w:lineRule="auto"/>
              <w:jc w:val="center"/>
              <w:rPr>
                <w:sz w:val="21"/>
              </w:rPr>
            </w:pPr>
            <w:r>
              <w:rPr>
                <w:rFonts w:hint="eastAsia"/>
                <w:sz w:val="21"/>
              </w:rPr>
              <w:t>总计</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1992</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611,938</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29,312</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2,700</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643,950</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1993</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919,915</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25,681</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1,960</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947,556</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1994</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1,006,806</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18,788</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1,632</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1,027,226</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1995</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901,294</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21,740</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1,474</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924,547</w:t>
            </w:r>
          </w:p>
        </w:tc>
      </w:tr>
      <w:tr w:rsidR="00000000">
        <w:tblPrEx>
          <w:tblCellMar>
            <w:top w:w="0" w:type="dxa"/>
            <w:bottom w:w="0" w:type="dxa"/>
          </w:tblCellMar>
        </w:tblPrEx>
        <w:trPr>
          <w:cantSplit/>
        </w:trPr>
        <w:tc>
          <w:tcPr>
            <w:tcW w:w="1927" w:type="dxa"/>
            <w:tcBorders>
              <w:top w:val="single" w:sz="6" w:space="0" w:color="auto"/>
              <w:left w:val="single" w:sz="6" w:space="0" w:color="auto"/>
            </w:tcBorders>
          </w:tcPr>
          <w:p w:rsidR="00000000" w:rsidRDefault="003D15A7">
            <w:pPr>
              <w:spacing w:before="120" w:after="40" w:line="240" w:lineRule="auto"/>
              <w:jc w:val="center"/>
              <w:rPr>
                <w:sz w:val="21"/>
              </w:rPr>
            </w:pPr>
            <w:r>
              <w:rPr>
                <w:sz w:val="21"/>
              </w:rPr>
              <w:t>1996</w:t>
            </w:r>
            <w:r>
              <w:rPr>
                <w:rFonts w:hint="eastAsia"/>
                <w:sz w:val="21"/>
              </w:rPr>
              <w:t>年</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883,275</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27</w:t>
            </w:r>
            <w:r>
              <w:rPr>
                <w:sz w:val="21"/>
              </w:rPr>
              <w:t>,700</w:t>
            </w:r>
          </w:p>
        </w:tc>
        <w:tc>
          <w:tcPr>
            <w:tcW w:w="1927"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1,415</w:t>
            </w:r>
          </w:p>
        </w:tc>
        <w:tc>
          <w:tcPr>
            <w:tcW w:w="1929"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912,390</w:t>
            </w:r>
          </w:p>
        </w:tc>
      </w:tr>
      <w:tr w:rsidR="00000000">
        <w:tblPrEx>
          <w:tblCellMar>
            <w:top w:w="0" w:type="dxa"/>
            <w:bottom w:w="0" w:type="dxa"/>
          </w:tblCellMar>
        </w:tblPrEx>
        <w:trPr>
          <w:cantSplit/>
        </w:trPr>
        <w:tc>
          <w:tcPr>
            <w:tcW w:w="1927" w:type="dxa"/>
            <w:tcBorders>
              <w:top w:val="single" w:sz="6" w:space="0" w:color="auto"/>
              <w:left w:val="single" w:sz="6" w:space="0" w:color="auto"/>
              <w:bottom w:val="single" w:sz="6" w:space="0" w:color="auto"/>
            </w:tcBorders>
          </w:tcPr>
          <w:p w:rsidR="00000000" w:rsidRDefault="003D15A7">
            <w:pPr>
              <w:spacing w:before="120" w:after="40" w:line="240" w:lineRule="auto"/>
              <w:jc w:val="center"/>
              <w:rPr>
                <w:sz w:val="21"/>
              </w:rPr>
            </w:pPr>
            <w:r>
              <w:rPr>
                <w:sz w:val="21"/>
              </w:rPr>
              <w:t>1997</w:t>
            </w:r>
            <w:r>
              <w:rPr>
                <w:rFonts w:hint="eastAsia"/>
                <w:sz w:val="21"/>
              </w:rPr>
              <w:t>年</w:t>
            </w:r>
          </w:p>
        </w:tc>
        <w:tc>
          <w:tcPr>
            <w:tcW w:w="1927"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506,642</w:t>
            </w:r>
          </w:p>
        </w:tc>
        <w:tc>
          <w:tcPr>
            <w:tcW w:w="1927"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16,166</w:t>
            </w:r>
          </w:p>
        </w:tc>
        <w:tc>
          <w:tcPr>
            <w:tcW w:w="1927"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1,436</w:t>
            </w:r>
          </w:p>
        </w:tc>
        <w:tc>
          <w:tcPr>
            <w:tcW w:w="1929" w:type="dxa"/>
            <w:tcBorders>
              <w:top w:val="single" w:sz="6" w:space="0" w:color="auto"/>
              <w:left w:val="single" w:sz="6" w:space="0" w:color="auto"/>
              <w:bottom w:val="single" w:sz="6" w:space="0" w:color="auto"/>
              <w:right w:val="single" w:sz="6" w:space="0" w:color="auto"/>
            </w:tcBorders>
          </w:tcPr>
          <w:p w:rsidR="00000000" w:rsidRDefault="003D15A7">
            <w:pPr>
              <w:tabs>
                <w:tab w:val="clear" w:pos="510"/>
                <w:tab w:val="clear" w:pos="1021"/>
                <w:tab w:val="clear" w:pos="1531"/>
                <w:tab w:val="clear" w:pos="2041"/>
                <w:tab w:val="decimal" w:pos="1257"/>
              </w:tabs>
              <w:spacing w:before="120" w:after="40" w:line="240" w:lineRule="auto"/>
              <w:rPr>
                <w:sz w:val="21"/>
              </w:rPr>
            </w:pPr>
            <w:r>
              <w:rPr>
                <w:sz w:val="21"/>
              </w:rPr>
              <w:t>524,244</w:t>
            </w:r>
          </w:p>
        </w:tc>
      </w:tr>
    </w:tbl>
    <w:p w:rsidR="00000000" w:rsidRDefault="003D15A7">
      <w:pPr>
        <w:pStyle w:val="Heading3"/>
      </w:pPr>
      <w:r>
        <w:rPr>
          <w:u w:val="none"/>
        </w:rPr>
        <w:t xml:space="preserve">C.  </w:t>
      </w:r>
      <w:r>
        <w:rPr>
          <w:rFonts w:hint="eastAsia"/>
        </w:rPr>
        <w:t>流行病和传染病控制计划</w:t>
      </w:r>
    </w:p>
    <w:p w:rsidR="00000000" w:rsidRDefault="003D15A7">
      <w:pPr>
        <w:spacing w:after="320"/>
        <w:textAlignment w:val="center"/>
      </w:pPr>
      <w:r>
        <w:tab/>
        <w:t xml:space="preserve">148.  </w:t>
      </w:r>
      <w:r>
        <w:rPr>
          <w:rFonts w:hint="eastAsia"/>
        </w:rPr>
        <w:t>已经发起了范围广泛的方案以便有效地消除这些疾病。这些方案包括消除结核病、麻风病、艾滋病和性传染疾病等方案。和联合国专门机构</w:t>
      </w:r>
      <w:r>
        <w:t>(</w:t>
      </w:r>
      <w:r>
        <w:rPr>
          <w:rFonts w:hint="eastAsia"/>
        </w:rPr>
        <w:t>卫生组织、粮农组织、原子能机构、人口活动基金</w:t>
      </w:r>
      <w:r>
        <w:t>)</w:t>
      </w:r>
      <w:r>
        <w:rPr>
          <w:rFonts w:hint="eastAsia"/>
        </w:rPr>
        <w:t>和美国艾滋病组织等进行紧密的合作，对这些方案进行监督。最后，应该提到若干非政府组织在保健方面，特别在消除艾滋病、结核病和糖尿病等活动中发挥了重要作用。</w:t>
      </w:r>
    </w:p>
    <w:p w:rsidR="00000000" w:rsidRDefault="003D15A7">
      <w:pPr>
        <w:pStyle w:val="Heading2"/>
        <w:spacing w:after="240"/>
        <w:textAlignment w:val="center"/>
      </w:pPr>
      <w:r>
        <w:rPr>
          <w:rFonts w:hint="eastAsia"/>
        </w:rPr>
        <w:t>第</w:t>
      </w:r>
      <w:r>
        <w:t xml:space="preserve"> 13 </w:t>
      </w:r>
      <w:r>
        <w:rPr>
          <w:rFonts w:hint="eastAsia"/>
        </w:rPr>
        <w:t>条</w:t>
      </w:r>
    </w:p>
    <w:p w:rsidR="00000000" w:rsidRDefault="003D15A7">
      <w:pPr>
        <w:pStyle w:val="Heading3"/>
        <w:spacing w:after="240"/>
        <w:textAlignment w:val="center"/>
      </w:pPr>
      <w:r>
        <w:rPr>
          <w:rFonts w:hint="eastAsia"/>
        </w:rPr>
        <w:t>受教育的权利</w:t>
      </w:r>
    </w:p>
    <w:p w:rsidR="00000000" w:rsidRDefault="003D15A7">
      <w:pPr>
        <w:pStyle w:val="Heading3"/>
      </w:pPr>
      <w:r>
        <w:rPr>
          <w:u w:val="none"/>
        </w:rPr>
        <w:t>A.</w:t>
      </w:r>
      <w:r>
        <w:rPr>
          <w:u w:val="none"/>
        </w:rPr>
        <w:t xml:space="preserve">  </w:t>
      </w:r>
      <w:r>
        <w:rPr>
          <w:rFonts w:hint="eastAsia"/>
        </w:rPr>
        <w:t>摩洛哥的教育政策</w:t>
      </w:r>
    </w:p>
    <w:p w:rsidR="00000000" w:rsidRDefault="003D15A7">
      <w:r>
        <w:tab/>
        <w:t xml:space="preserve">149.  </w:t>
      </w:r>
      <w:r>
        <w:rPr>
          <w:rFonts w:hint="eastAsia"/>
        </w:rPr>
        <w:t>教育政策是以若干法律规定或者正式宣布的原则为基础的，主要有：</w:t>
      </w:r>
      <w:r>
        <w:t xml:space="preserve">(a) </w:t>
      </w:r>
      <w:r>
        <w:rPr>
          <w:rFonts w:hint="eastAsia"/>
        </w:rPr>
        <w:t>所有人有得到教育和培训的权利</w:t>
      </w:r>
      <w:r>
        <w:t>(</w:t>
      </w:r>
      <w:r>
        <w:rPr>
          <w:rFonts w:hint="eastAsia"/>
        </w:rPr>
        <w:t>《宪法》第</w:t>
      </w:r>
      <w:r>
        <w:t>13</w:t>
      </w:r>
      <w:r>
        <w:rPr>
          <w:rFonts w:hint="eastAsia"/>
        </w:rPr>
        <w:t>条</w:t>
      </w:r>
      <w:r>
        <w:t>)</w:t>
      </w:r>
      <w:r>
        <w:rPr>
          <w:rFonts w:hint="eastAsia"/>
        </w:rPr>
        <w:t>；</w:t>
      </w:r>
      <w:r>
        <w:t xml:space="preserve">(b) </w:t>
      </w:r>
      <w:r>
        <w:rPr>
          <w:rFonts w:hint="eastAsia"/>
        </w:rPr>
        <w:t>对</w:t>
      </w:r>
      <w:r>
        <w:t>7</w:t>
      </w:r>
      <w:r>
        <w:rPr>
          <w:rFonts w:hint="eastAsia"/>
        </w:rPr>
        <w:t>岁至</w:t>
      </w:r>
      <w:r>
        <w:t>13</w:t>
      </w:r>
      <w:r>
        <w:rPr>
          <w:rFonts w:hint="eastAsia"/>
        </w:rPr>
        <w:t>岁的所有摩洛哥儿童进行义务教育</w:t>
      </w:r>
      <w:r>
        <w:t>(1963</w:t>
      </w:r>
      <w:r>
        <w:rPr>
          <w:rFonts w:hint="eastAsia"/>
        </w:rPr>
        <w:t>年</w:t>
      </w:r>
      <w:r>
        <w:t>11</w:t>
      </w:r>
      <w:r>
        <w:rPr>
          <w:rFonts w:hint="eastAsia"/>
        </w:rPr>
        <w:t>月</w:t>
      </w:r>
      <w:r>
        <w:t>13</w:t>
      </w:r>
      <w:r>
        <w:rPr>
          <w:rFonts w:hint="eastAsia"/>
        </w:rPr>
        <w:t>日法令第</w:t>
      </w:r>
      <w:r>
        <w:t>163.071</w:t>
      </w:r>
      <w:r>
        <w:rPr>
          <w:rFonts w:hint="eastAsia"/>
        </w:rPr>
        <w:t>号</w:t>
      </w:r>
      <w:r>
        <w:t>)1985-86</w:t>
      </w:r>
      <w:r>
        <w:rPr>
          <w:rFonts w:hint="eastAsia"/>
        </w:rPr>
        <w:t>年的改革把这规定扩大为九年基本义务教育；和</w:t>
      </w:r>
      <w:r>
        <w:t xml:space="preserve">(c) </w:t>
      </w:r>
      <w:r>
        <w:rPr>
          <w:rFonts w:hint="eastAsia"/>
        </w:rPr>
        <w:t>所有层次和所有类型的公共教育为免费教育。</w:t>
      </w:r>
    </w:p>
    <w:p w:rsidR="00000000" w:rsidRDefault="003D15A7">
      <w:r>
        <w:tab/>
        <w:t xml:space="preserve">150.  </w:t>
      </w:r>
      <w:r>
        <w:rPr>
          <w:rFonts w:hint="eastAsia"/>
        </w:rPr>
        <w:t>摩洛哥教育制度有三个主要目的：</w:t>
      </w:r>
    </w:p>
    <w:p w:rsidR="00000000" w:rsidRDefault="003D15A7" w:rsidP="003D15A7">
      <w:pPr>
        <w:pStyle w:val="a0"/>
        <w:numPr>
          <w:ilvl w:val="0"/>
          <w:numId w:val="9"/>
        </w:numPr>
        <w:ind w:left="1531" w:hanging="510"/>
      </w:pPr>
      <w:r>
        <w:rPr>
          <w:rFonts w:hint="eastAsia"/>
        </w:rPr>
        <w:t>文化：教育应为一代又一代人打下自己的文化基础，并帮助他们了解世界上其他的文化和文明。教育还应当向一代又一代人</w:t>
      </w:r>
      <w:r>
        <w:rPr>
          <w:rFonts w:hint="eastAsia"/>
        </w:rPr>
        <w:t>传授摩洛哥固有固有的宗教和道德价值，并教育他们尊重其他宗教和所有其他形式的信仰。</w:t>
      </w:r>
    </w:p>
    <w:p w:rsidR="00000000" w:rsidRDefault="003D15A7" w:rsidP="003D15A7">
      <w:pPr>
        <w:pStyle w:val="a0"/>
        <w:numPr>
          <w:ilvl w:val="0"/>
          <w:numId w:val="9"/>
        </w:numPr>
        <w:ind w:left="1531" w:hanging="510"/>
      </w:pPr>
      <w:r>
        <w:rPr>
          <w:rFonts w:hint="eastAsia"/>
        </w:rPr>
        <w:t>社会：教育应被视为是社会前进的重要因素。教育在帮助公民理解其生活，在政治生活中发挥积极作用，在促进社会向前发展和实现人口和环境平衡之中发挥极为重要的作用。</w:t>
      </w:r>
    </w:p>
    <w:p w:rsidR="00000000" w:rsidRDefault="003D15A7" w:rsidP="003D15A7">
      <w:pPr>
        <w:pStyle w:val="a0"/>
        <w:numPr>
          <w:ilvl w:val="0"/>
          <w:numId w:val="9"/>
        </w:numPr>
        <w:ind w:left="1531" w:hanging="510"/>
      </w:pPr>
      <w:r>
        <w:rPr>
          <w:rFonts w:hint="eastAsia"/>
        </w:rPr>
        <w:t>经济：教育被认为是经济发展的一个基本因素。教育提高职业标准、培训管理人员和提高国家生产力和财富。</w:t>
      </w:r>
    </w:p>
    <w:p w:rsidR="00000000" w:rsidRDefault="003D15A7">
      <w:r>
        <w:tab/>
        <w:t xml:space="preserve">151.  </w:t>
      </w:r>
      <w:r>
        <w:rPr>
          <w:rFonts w:hint="eastAsia"/>
        </w:rPr>
        <w:t>摩洛哥自独立以来确立的</w:t>
      </w:r>
      <w:r>
        <w:t>4</w:t>
      </w:r>
      <w:r>
        <w:rPr>
          <w:rFonts w:hint="eastAsia"/>
        </w:rPr>
        <w:t>个目标中已有</w:t>
      </w:r>
      <w:r>
        <w:t>3</w:t>
      </w:r>
      <w:r>
        <w:rPr>
          <w:rFonts w:hint="eastAsia"/>
        </w:rPr>
        <w:t>个得到实现：统一几乎整个教育部门、教学大纲阿拉伯化和建立一个彻底的摩洛哥教师队伍。</w:t>
      </w:r>
    </w:p>
    <w:p w:rsidR="00000000" w:rsidRDefault="003D15A7">
      <w:pPr>
        <w:spacing w:after="320"/>
        <w:textAlignment w:val="center"/>
      </w:pPr>
      <w:r>
        <w:tab/>
        <w:t xml:space="preserve">152.  </w:t>
      </w:r>
      <w:r>
        <w:rPr>
          <w:rFonts w:hint="eastAsia"/>
        </w:rPr>
        <w:t>从国家预算拨给全国教育部的</w:t>
      </w:r>
      <w:r>
        <w:rPr>
          <w:rFonts w:hint="eastAsia"/>
        </w:rPr>
        <w:t>份额，从向教育的私人投资者提供的种种便利</w:t>
      </w:r>
      <w:r>
        <w:t>(</w:t>
      </w:r>
      <w:r>
        <w:rPr>
          <w:rFonts w:hint="eastAsia"/>
        </w:rPr>
        <w:t>尽管国家仍然是教育的主要资金提供者</w:t>
      </w:r>
      <w:r>
        <w:t>)</w:t>
      </w:r>
      <w:r>
        <w:rPr>
          <w:rFonts w:hint="eastAsia"/>
        </w:rPr>
        <w:t>可看到对教育部门的重视。</w:t>
      </w:r>
      <w:r>
        <w:t>1997-98</w:t>
      </w:r>
      <w:r>
        <w:rPr>
          <w:rFonts w:hint="eastAsia"/>
        </w:rPr>
        <w:t>年，教育方面的开支占整个预算的</w:t>
      </w:r>
      <w:r>
        <w:t>20.91%</w:t>
      </w:r>
      <w:r>
        <w:rPr>
          <w:rFonts w:hint="eastAsia"/>
        </w:rPr>
        <w:t>，这只包括基本和中等教育，因为国家为高等教育、科学研究和文化提供不同的资金。基本教育第一阶段的教育预算的份额为</w:t>
      </w:r>
      <w:r>
        <w:t>37%</w:t>
      </w:r>
      <w:r>
        <w:rPr>
          <w:rFonts w:hint="eastAsia"/>
        </w:rPr>
        <w:t>，剩余部分拨给第二阶段基本教育和中等教育。</w:t>
      </w:r>
    </w:p>
    <w:p w:rsidR="00000000" w:rsidRDefault="003D15A7">
      <w:pPr>
        <w:pStyle w:val="Heading3"/>
      </w:pPr>
      <w:r>
        <w:rPr>
          <w:u w:val="none"/>
        </w:rPr>
        <w:t xml:space="preserve">B.  </w:t>
      </w:r>
      <w:r>
        <w:rPr>
          <w:rFonts w:hint="eastAsia"/>
        </w:rPr>
        <w:t>中小学教育的发展</w:t>
      </w:r>
    </w:p>
    <w:p w:rsidR="00000000" w:rsidRDefault="003D15A7">
      <w:pPr>
        <w:pStyle w:val="Heading3"/>
      </w:pPr>
      <w:r>
        <w:rPr>
          <w:u w:val="none"/>
        </w:rPr>
        <w:t xml:space="preserve">1.  </w:t>
      </w:r>
      <w:r>
        <w:rPr>
          <w:rFonts w:hint="eastAsia"/>
        </w:rPr>
        <w:t>法定教育</w:t>
      </w:r>
    </w:p>
    <w:p w:rsidR="00000000" w:rsidRDefault="003D15A7">
      <w:pPr>
        <w:pStyle w:val="Heading4"/>
      </w:pPr>
      <w:r>
        <w:rPr>
          <w:u w:val="none"/>
        </w:rPr>
        <w:t>(a)</w:t>
      </w:r>
      <w:r>
        <w:rPr>
          <w:u w:val="none"/>
        </w:rPr>
        <w:tab/>
      </w:r>
      <w:r>
        <w:rPr>
          <w:rFonts w:hint="eastAsia"/>
        </w:rPr>
        <w:t>基本公立教育第一阶段</w:t>
      </w:r>
    </w:p>
    <w:p w:rsidR="00000000" w:rsidRDefault="003D15A7">
      <w:r>
        <w:tab/>
        <w:t>153.  1997-1998</w:t>
      </w:r>
      <w:r>
        <w:rPr>
          <w:rFonts w:hint="eastAsia"/>
        </w:rPr>
        <w:t>年基本公立教育第一阶段的学生人数达到</w:t>
      </w:r>
      <w:r>
        <w:t>3,191,000</w:t>
      </w:r>
      <w:r>
        <w:rPr>
          <w:rFonts w:hint="eastAsia"/>
        </w:rPr>
        <w:t>人，与</w:t>
      </w:r>
      <w:r>
        <w:t>1993-94</w:t>
      </w:r>
      <w:r>
        <w:rPr>
          <w:rFonts w:hint="eastAsia"/>
        </w:rPr>
        <w:t>年相比，总共提</w:t>
      </w:r>
      <w:r>
        <w:rPr>
          <w:rFonts w:hint="eastAsia"/>
        </w:rPr>
        <w:t>高了</w:t>
      </w:r>
      <w:r>
        <w:t>15.2%</w:t>
      </w:r>
      <w:r>
        <w:rPr>
          <w:rFonts w:hint="eastAsia"/>
        </w:rPr>
        <w:t>。在</w:t>
      </w:r>
      <w:r>
        <w:t>1993-94</w:t>
      </w:r>
      <w:r>
        <w:rPr>
          <w:rFonts w:hint="eastAsia"/>
        </w:rPr>
        <w:t>年间，只有</w:t>
      </w:r>
      <w:r>
        <w:t>2,769,000</w:t>
      </w:r>
      <w:r>
        <w:rPr>
          <w:rFonts w:hint="eastAsia"/>
        </w:rPr>
        <w:t>名学生。第一基本阶段的全日制教育的儿童为</w:t>
      </w:r>
      <w:r>
        <w:t>68%</w:t>
      </w:r>
      <w:r>
        <w:rPr>
          <w:rFonts w:hint="eastAsia"/>
        </w:rPr>
        <w:t>，公立教育其他各阶段的儿童为</w:t>
      </w:r>
      <w:r>
        <w:t>69.6%</w:t>
      </w:r>
      <w:r>
        <w:rPr>
          <w:rFonts w:hint="eastAsia"/>
        </w:rPr>
        <w:t>。</w:t>
      </w:r>
      <w:r>
        <w:t>1997-98</w:t>
      </w:r>
      <w:r>
        <w:rPr>
          <w:rFonts w:hint="eastAsia"/>
        </w:rPr>
        <w:t>年间国家基本教育第一阶段的总的百分比是</w:t>
      </w:r>
      <w:r>
        <w:t>83.2%</w:t>
      </w:r>
      <w:r>
        <w:rPr>
          <w:rFonts w:hint="eastAsia"/>
        </w:rPr>
        <w:t>，而在</w:t>
      </w:r>
      <w:r>
        <w:t>1993-94</w:t>
      </w:r>
      <w:r>
        <w:rPr>
          <w:rFonts w:hint="eastAsia"/>
        </w:rPr>
        <w:t>年间为</w:t>
      </w:r>
      <w:r>
        <w:t>70.5%</w:t>
      </w:r>
      <w:r>
        <w:rPr>
          <w:rFonts w:hint="eastAsia"/>
        </w:rPr>
        <w:t>，提高了</w:t>
      </w:r>
      <w:r>
        <w:t>12.7%</w:t>
      </w:r>
      <w:r>
        <w:rPr>
          <w:rFonts w:hint="eastAsia"/>
        </w:rPr>
        <w:t>。公立和私立教育一起，</w:t>
      </w:r>
      <w:r>
        <w:t>1997-1998</w:t>
      </w:r>
      <w:r>
        <w:rPr>
          <w:rFonts w:hint="eastAsia"/>
        </w:rPr>
        <w:t>年整个百分比为</w:t>
      </w:r>
      <w:r>
        <w:t>86.7%</w:t>
      </w:r>
      <w:r>
        <w:rPr>
          <w:rFonts w:hint="eastAsia"/>
        </w:rPr>
        <w:t>。</w:t>
      </w:r>
    </w:p>
    <w:p w:rsidR="00000000" w:rsidRDefault="003D15A7">
      <w:r>
        <w:tab/>
        <w:t>154.  1997</w:t>
      </w:r>
      <w:r>
        <w:rPr>
          <w:rFonts w:hint="eastAsia"/>
        </w:rPr>
        <w:t>年</w:t>
      </w:r>
      <w:r>
        <w:t>9</w:t>
      </w:r>
      <w:r>
        <w:rPr>
          <w:rFonts w:hint="eastAsia"/>
        </w:rPr>
        <w:t>月，进入基本教育第一年的儿童总数为</w:t>
      </w:r>
      <w:r>
        <w:t>563,000</w:t>
      </w:r>
      <w:r>
        <w:rPr>
          <w:rFonts w:hint="eastAsia"/>
        </w:rPr>
        <w:t>人。在</w:t>
      </w:r>
      <w:r>
        <w:t>1993-1994</w:t>
      </w:r>
      <w:r>
        <w:rPr>
          <w:rFonts w:hint="eastAsia"/>
        </w:rPr>
        <w:t>学年期间只有</w:t>
      </w:r>
      <w:r>
        <w:t>539,700</w:t>
      </w:r>
      <w:r>
        <w:rPr>
          <w:rFonts w:hint="eastAsia"/>
        </w:rPr>
        <w:t>人。这说明学生人数增加了</w:t>
      </w:r>
      <w:r>
        <w:t>4%</w:t>
      </w:r>
      <w:r>
        <w:rPr>
          <w:rFonts w:hint="eastAsia"/>
        </w:rPr>
        <w:t>。在</w:t>
      </w:r>
      <w:r>
        <w:t>1997-1998</w:t>
      </w:r>
      <w:r>
        <w:rPr>
          <w:rFonts w:hint="eastAsia"/>
        </w:rPr>
        <w:t>年间，私</w:t>
      </w:r>
      <w:r>
        <w:rPr>
          <w:rFonts w:hint="eastAsia"/>
        </w:rPr>
        <w:t>立基础教育第一年的新生入学人数为</w:t>
      </w:r>
      <w:r>
        <w:t>33,000</w:t>
      </w:r>
      <w:r>
        <w:rPr>
          <w:rFonts w:hint="eastAsia"/>
        </w:rPr>
        <w:t>人。</w:t>
      </w:r>
    </w:p>
    <w:p w:rsidR="00000000" w:rsidRDefault="003D15A7">
      <w:r>
        <w:tab/>
        <w:t xml:space="preserve">155.  </w:t>
      </w:r>
      <w:r>
        <w:rPr>
          <w:rFonts w:hint="eastAsia"/>
        </w:rPr>
        <w:t>尽管正常的第一年入学年龄为</w:t>
      </w:r>
      <w:r>
        <w:t>7</w:t>
      </w:r>
      <w:r>
        <w:rPr>
          <w:rFonts w:hint="eastAsia"/>
        </w:rPr>
        <w:t>岁，但儿童可以早一些或晚一些入学，这将根据有没有位置而定。</w:t>
      </w:r>
      <w:r>
        <w:t>1997-1998</w:t>
      </w:r>
      <w:r>
        <w:rPr>
          <w:rFonts w:hint="eastAsia"/>
        </w:rPr>
        <w:t>年记载的全国范围公立和私立学校的一般入学率为</w:t>
      </w:r>
      <w:r>
        <w:t>95.3%(1993-1994</w:t>
      </w:r>
      <w:r>
        <w:rPr>
          <w:rFonts w:hint="eastAsia"/>
        </w:rPr>
        <w:t>年为</w:t>
      </w:r>
      <w:r>
        <w:t>86.5%)</w:t>
      </w:r>
      <w:r>
        <w:rPr>
          <w:rFonts w:hint="eastAsia"/>
        </w:rPr>
        <w:t>，</w:t>
      </w:r>
      <w:r>
        <w:t>1997-1998</w:t>
      </w:r>
      <w:r>
        <w:rPr>
          <w:rFonts w:hint="eastAsia"/>
        </w:rPr>
        <w:t>年，这个比例在公立教育方面提高至</w:t>
      </w:r>
      <w:r>
        <w:t>88.6%(1993-1994</w:t>
      </w:r>
      <w:r>
        <w:rPr>
          <w:rFonts w:hint="eastAsia"/>
        </w:rPr>
        <w:t>年为</w:t>
      </w:r>
      <w:r>
        <w:t>82.5%)</w:t>
      </w:r>
      <w:r>
        <w:rPr>
          <w:rFonts w:hint="eastAsia"/>
        </w:rPr>
        <w:t>。</w:t>
      </w:r>
    </w:p>
    <w:p w:rsidR="00000000" w:rsidRDefault="003D15A7">
      <w:r>
        <w:tab/>
        <w:t xml:space="preserve">156.  </w:t>
      </w:r>
      <w:r>
        <w:rPr>
          <w:rFonts w:hint="eastAsia"/>
        </w:rPr>
        <w:t>然而，在农村地区努力推广基本教育受到了若干地理、经济和文化性质的限制</w:t>
      </w:r>
      <w:r>
        <w:t>(</w:t>
      </w:r>
      <w:r>
        <w:rPr>
          <w:rFonts w:hint="eastAsia"/>
        </w:rPr>
        <w:t>缺乏通讯方式、居住分散、某些地区处于山区等等</w:t>
      </w:r>
      <w:r>
        <w:t>)</w:t>
      </w:r>
      <w:r>
        <w:rPr>
          <w:rFonts w:hint="eastAsia"/>
        </w:rPr>
        <w:t>。尽管有这些困难，</w:t>
      </w:r>
      <w:r>
        <w:t>19</w:t>
      </w:r>
      <w:r>
        <w:t>97-1998</w:t>
      </w:r>
      <w:r>
        <w:rPr>
          <w:rFonts w:hint="eastAsia"/>
        </w:rPr>
        <w:t>年农村地区的入学率为</w:t>
      </w:r>
      <w:r>
        <w:t>84.6%</w:t>
      </w:r>
      <w:r>
        <w:rPr>
          <w:rFonts w:hint="eastAsia"/>
        </w:rPr>
        <w:t>，女孩的入学率为</w:t>
      </w:r>
      <w:r>
        <w:t>75.2%</w:t>
      </w:r>
      <w:r>
        <w:rPr>
          <w:rFonts w:hint="eastAsia"/>
        </w:rPr>
        <w:t>。</w:t>
      </w:r>
    </w:p>
    <w:p w:rsidR="00000000" w:rsidRDefault="003D15A7">
      <w:pPr>
        <w:spacing w:after="320"/>
        <w:textAlignment w:val="center"/>
      </w:pPr>
      <w:r>
        <w:tab/>
        <w:t xml:space="preserve">157.  </w:t>
      </w:r>
      <w:r>
        <w:rPr>
          <w:rFonts w:hint="eastAsia"/>
        </w:rPr>
        <w:t>为了改进向学生提供的基本教育，</w:t>
      </w:r>
      <w:r>
        <w:t>1985</w:t>
      </w:r>
      <w:r>
        <w:rPr>
          <w:rFonts w:hint="eastAsia"/>
        </w:rPr>
        <w:t>年的改革把基本教育从</w:t>
      </w:r>
      <w:r>
        <w:t>6</w:t>
      </w:r>
      <w:r>
        <w:rPr>
          <w:rFonts w:hint="eastAsia"/>
        </w:rPr>
        <w:t>年扩至</w:t>
      </w:r>
      <w:r>
        <w:t>9</w:t>
      </w:r>
      <w:r>
        <w:rPr>
          <w:rFonts w:hint="eastAsia"/>
        </w:rPr>
        <w:t>年，与此同时，还提高了通过基本教育学生人数和进入基本教育第二阶段的学生人数。因此，基础阶段第一年入学的学生升至基础教育第六年和最后一年的学生比例为</w:t>
      </w:r>
      <w:r>
        <w:t>65%(80%</w:t>
      </w:r>
      <w:r>
        <w:rPr>
          <w:rFonts w:hint="eastAsia"/>
        </w:rPr>
        <w:t>的学生进入基本教育的第七年</w:t>
      </w:r>
      <w:r>
        <w:t>)</w:t>
      </w:r>
      <w:r>
        <w:rPr>
          <w:rFonts w:hint="eastAsia"/>
        </w:rPr>
        <w:t>。</w:t>
      </w:r>
    </w:p>
    <w:p w:rsidR="00000000" w:rsidRDefault="003D15A7">
      <w:pPr>
        <w:pStyle w:val="Heading4"/>
      </w:pPr>
      <w:r>
        <w:rPr>
          <w:u w:val="none"/>
        </w:rPr>
        <w:t>(b)</w:t>
      </w:r>
      <w:r>
        <w:rPr>
          <w:u w:val="none"/>
        </w:rPr>
        <w:tab/>
      </w:r>
      <w:r>
        <w:rPr>
          <w:rFonts w:hint="eastAsia"/>
        </w:rPr>
        <w:t>基本公立教育第二阶段</w:t>
      </w:r>
    </w:p>
    <w:p w:rsidR="00000000" w:rsidRDefault="003D15A7">
      <w:pPr>
        <w:spacing w:after="320"/>
        <w:textAlignment w:val="center"/>
      </w:pPr>
      <w:r>
        <w:tab/>
        <w:t xml:space="preserve">158.  </w:t>
      </w:r>
      <w:r>
        <w:rPr>
          <w:rFonts w:hint="eastAsia"/>
        </w:rPr>
        <w:t>在</w:t>
      </w:r>
      <w:r>
        <w:t>1997-98</w:t>
      </w:r>
      <w:r>
        <w:rPr>
          <w:rFonts w:hint="eastAsia"/>
        </w:rPr>
        <w:t>年间，在基本教育第二阶段就学的学生人数为</w:t>
      </w:r>
      <w:r>
        <w:t>1,008,000</w:t>
      </w:r>
      <w:r>
        <w:rPr>
          <w:rFonts w:hint="eastAsia"/>
        </w:rPr>
        <w:t>人次，而在</w:t>
      </w:r>
      <w:r>
        <w:t>1993-94</w:t>
      </w:r>
      <w:r>
        <w:rPr>
          <w:rFonts w:hint="eastAsia"/>
        </w:rPr>
        <w:t>年为</w:t>
      </w:r>
      <w:r>
        <w:t>863,000</w:t>
      </w:r>
      <w:r>
        <w:rPr>
          <w:rFonts w:hint="eastAsia"/>
        </w:rPr>
        <w:t>人次</w:t>
      </w:r>
      <w:r>
        <w:rPr>
          <w:rFonts w:hint="eastAsia"/>
        </w:rPr>
        <w:t>，提高了</w:t>
      </w:r>
      <w:r>
        <w:t>16.8%</w:t>
      </w:r>
      <w:r>
        <w:rPr>
          <w:rFonts w:hint="eastAsia"/>
        </w:rPr>
        <w:t>。</w:t>
      </w:r>
      <w:r>
        <w:t>1996-97</w:t>
      </w:r>
      <w:r>
        <w:rPr>
          <w:rFonts w:hint="eastAsia"/>
        </w:rPr>
        <w:t>年相应年龄组</w:t>
      </w:r>
      <w:r>
        <w:t>(13-15</w:t>
      </w:r>
      <w:r>
        <w:rPr>
          <w:rFonts w:hint="eastAsia"/>
        </w:rPr>
        <w:t>岁</w:t>
      </w:r>
      <w:r>
        <w:t>)</w:t>
      </w:r>
      <w:r>
        <w:rPr>
          <w:rFonts w:hint="eastAsia"/>
        </w:rPr>
        <w:t>的入学率为</w:t>
      </w:r>
      <w:r>
        <w:t>45.5%</w:t>
      </w:r>
      <w:r>
        <w:rPr>
          <w:rFonts w:hint="eastAsia"/>
        </w:rPr>
        <w:t>。第二阶段的入学率为</w:t>
      </w:r>
      <w:r>
        <w:t>31%</w:t>
      </w:r>
      <w:r>
        <w:rPr>
          <w:rFonts w:hint="eastAsia"/>
        </w:rPr>
        <w:t>。</w:t>
      </w:r>
      <w:r>
        <w:t>1996-97</w:t>
      </w:r>
      <w:r>
        <w:rPr>
          <w:rFonts w:hint="eastAsia"/>
        </w:rPr>
        <w:t>年接受全日制教育的儿童总百分比为</w:t>
      </w:r>
      <w:r>
        <w:t>49.4%</w:t>
      </w:r>
      <w:r>
        <w:rPr>
          <w:rFonts w:hint="eastAsia"/>
        </w:rPr>
        <w:t>，而在</w:t>
      </w:r>
      <w:r>
        <w:t>1993-94</w:t>
      </w:r>
      <w:r>
        <w:rPr>
          <w:rFonts w:hint="eastAsia"/>
        </w:rPr>
        <w:t>年为</w:t>
      </w:r>
      <w:r>
        <w:t>45.6%</w:t>
      </w:r>
      <w:r>
        <w:rPr>
          <w:rFonts w:hint="eastAsia"/>
        </w:rPr>
        <w:t>，提高了</w:t>
      </w:r>
      <w:r>
        <w:t>3.8%</w:t>
      </w:r>
      <w:r>
        <w:rPr>
          <w:rFonts w:hint="eastAsia"/>
        </w:rPr>
        <w:t>。第二阶段总的入学率从</w:t>
      </w:r>
      <w:r>
        <w:t>1993-94</w:t>
      </w:r>
      <w:r>
        <w:rPr>
          <w:rFonts w:hint="eastAsia"/>
        </w:rPr>
        <w:t>年的</w:t>
      </w:r>
      <w:r>
        <w:t>41.9%</w:t>
      </w:r>
      <w:r>
        <w:rPr>
          <w:rFonts w:hint="eastAsia"/>
        </w:rPr>
        <w:t>上升至</w:t>
      </w:r>
      <w:r>
        <w:t>1996-97</w:t>
      </w:r>
      <w:r>
        <w:rPr>
          <w:rFonts w:hint="eastAsia"/>
        </w:rPr>
        <w:t>年的</w:t>
      </w:r>
      <w:r>
        <w:t>44.8%</w:t>
      </w:r>
      <w:r>
        <w:rPr>
          <w:rFonts w:hint="eastAsia"/>
        </w:rPr>
        <w:t>。在这个阶段，</w:t>
      </w:r>
      <w:r>
        <w:t>74%</w:t>
      </w:r>
      <w:r>
        <w:rPr>
          <w:rFonts w:hint="eastAsia"/>
        </w:rPr>
        <w:t>的七年级学生进入九年级，但截至</w:t>
      </w:r>
      <w:r>
        <w:t>1997</w:t>
      </w:r>
      <w:r>
        <w:rPr>
          <w:rFonts w:hint="eastAsia"/>
        </w:rPr>
        <w:t>年</w:t>
      </w:r>
      <w:r>
        <w:t>6</w:t>
      </w:r>
      <w:r>
        <w:rPr>
          <w:rFonts w:hint="eastAsia"/>
        </w:rPr>
        <w:t>月在全国范围内转入中等教育的比例没有超过</w:t>
      </w:r>
      <w:r>
        <w:t>43.8%</w:t>
      </w:r>
      <w:r>
        <w:rPr>
          <w:rFonts w:hint="eastAsia"/>
        </w:rPr>
        <w:t>。</w:t>
      </w:r>
    </w:p>
    <w:p w:rsidR="00000000" w:rsidRDefault="003D15A7">
      <w:pPr>
        <w:pStyle w:val="Heading4"/>
      </w:pPr>
      <w:r>
        <w:rPr>
          <w:u w:val="none"/>
        </w:rPr>
        <w:t xml:space="preserve">(c)  </w:t>
      </w:r>
      <w:r>
        <w:rPr>
          <w:rFonts w:hint="eastAsia"/>
        </w:rPr>
        <w:t>公立中等教育</w:t>
      </w:r>
    </w:p>
    <w:p w:rsidR="00000000" w:rsidRDefault="003D15A7">
      <w:pPr>
        <w:spacing w:after="320"/>
        <w:textAlignment w:val="center"/>
      </w:pPr>
      <w:r>
        <w:tab/>
        <w:t xml:space="preserve">159.  </w:t>
      </w:r>
      <w:r>
        <w:rPr>
          <w:rFonts w:hint="eastAsia"/>
        </w:rPr>
        <w:t>在</w:t>
      </w:r>
      <w:r>
        <w:t>1997-98</w:t>
      </w:r>
      <w:r>
        <w:rPr>
          <w:rFonts w:hint="eastAsia"/>
        </w:rPr>
        <w:t>年间，入学于公立中等教育的学生为</w:t>
      </w:r>
      <w:r>
        <w:t>411,0</w:t>
      </w:r>
      <w:r>
        <w:t>00</w:t>
      </w:r>
      <w:r>
        <w:rPr>
          <w:rFonts w:hint="eastAsia"/>
        </w:rPr>
        <w:t>人次，而在</w:t>
      </w:r>
      <w:r>
        <w:t>1993-94</w:t>
      </w:r>
      <w:r>
        <w:rPr>
          <w:rFonts w:hint="eastAsia"/>
        </w:rPr>
        <w:t>年间为</w:t>
      </w:r>
      <w:r>
        <w:t>363,000</w:t>
      </w:r>
      <w:r>
        <w:rPr>
          <w:rFonts w:hint="eastAsia"/>
        </w:rPr>
        <w:t>人次，提高了</w:t>
      </w:r>
      <w:r>
        <w:t>13.2%</w:t>
      </w:r>
      <w:r>
        <w:rPr>
          <w:rFonts w:hint="eastAsia"/>
        </w:rPr>
        <w:t>。在</w:t>
      </w:r>
      <w:r>
        <w:t>1997-98</w:t>
      </w:r>
      <w:r>
        <w:rPr>
          <w:rFonts w:hint="eastAsia"/>
        </w:rPr>
        <w:t>年间，仅技校的学生人数为</w:t>
      </w:r>
      <w:r>
        <w:t>21,600</w:t>
      </w:r>
      <w:r>
        <w:rPr>
          <w:rFonts w:hint="eastAsia"/>
        </w:rPr>
        <w:t>人次，与</w:t>
      </w:r>
      <w:r>
        <w:t>1993-94</w:t>
      </w:r>
      <w:r>
        <w:rPr>
          <w:rFonts w:hint="eastAsia"/>
        </w:rPr>
        <w:t>年的</w:t>
      </w:r>
      <w:r>
        <w:t>15,200</w:t>
      </w:r>
      <w:r>
        <w:rPr>
          <w:rFonts w:hint="eastAsia"/>
        </w:rPr>
        <w:t>名学生的总数相比提高了</w:t>
      </w:r>
      <w:r>
        <w:t>42%</w:t>
      </w:r>
      <w:r>
        <w:rPr>
          <w:rFonts w:hint="eastAsia"/>
        </w:rPr>
        <w:t>。在这个阶段没有落后于其年龄组的学生的平均年龄是</w:t>
      </w:r>
      <w:r>
        <w:t>16-18</w:t>
      </w:r>
      <w:r>
        <w:rPr>
          <w:rFonts w:hint="eastAsia"/>
        </w:rPr>
        <w:t>岁。被作为一个单个实体接受中等教育的儿童的百分比为</w:t>
      </w:r>
      <w:r>
        <w:t>13.2%(1993-94</w:t>
      </w:r>
      <w:r>
        <w:rPr>
          <w:rFonts w:hint="eastAsia"/>
        </w:rPr>
        <w:t>年为</w:t>
      </w:r>
      <w:r>
        <w:t>11.3%)</w:t>
      </w:r>
      <w:r>
        <w:rPr>
          <w:rFonts w:hint="eastAsia"/>
        </w:rPr>
        <w:t>。总的入学比例从</w:t>
      </w:r>
      <w:r>
        <w:t>1993-94</w:t>
      </w:r>
      <w:r>
        <w:rPr>
          <w:rFonts w:hint="eastAsia"/>
        </w:rPr>
        <w:t>年的</w:t>
      </w:r>
      <w:r>
        <w:t>19.6%</w:t>
      </w:r>
      <w:r>
        <w:rPr>
          <w:rFonts w:hint="eastAsia"/>
        </w:rPr>
        <w:t>上升至</w:t>
      </w:r>
      <w:r>
        <w:t>1996-97</w:t>
      </w:r>
      <w:r>
        <w:rPr>
          <w:rFonts w:hint="eastAsia"/>
        </w:rPr>
        <w:t>年的</w:t>
      </w:r>
      <w:r>
        <w:t>21.4%</w:t>
      </w:r>
      <w:r>
        <w:rPr>
          <w:rFonts w:hint="eastAsia"/>
        </w:rPr>
        <w:t>。在中等教育阶段第一年入学的学生中有</w:t>
      </w:r>
      <w:r>
        <w:t>66.8%</w:t>
      </w:r>
      <w:r>
        <w:rPr>
          <w:rFonts w:hint="eastAsia"/>
        </w:rPr>
        <w:t>升至第三和最后一年，其中</w:t>
      </w:r>
      <w:r>
        <w:t>47.2%</w:t>
      </w:r>
      <w:r>
        <w:rPr>
          <w:rFonts w:hint="eastAsia"/>
        </w:rPr>
        <w:t>获得毕业证书。</w:t>
      </w:r>
    </w:p>
    <w:p w:rsidR="00000000" w:rsidRDefault="003D15A7">
      <w:pPr>
        <w:pStyle w:val="Heading3"/>
      </w:pPr>
      <w:r>
        <w:rPr>
          <w:u w:val="none"/>
        </w:rPr>
        <w:t xml:space="preserve">2.  </w:t>
      </w:r>
      <w:r>
        <w:rPr>
          <w:rFonts w:hint="eastAsia"/>
        </w:rPr>
        <w:t>非法定教育</w:t>
      </w:r>
    </w:p>
    <w:p w:rsidR="00000000" w:rsidRDefault="003D15A7">
      <w:pPr>
        <w:spacing w:after="120"/>
      </w:pPr>
      <w:r>
        <w:tab/>
        <w:t xml:space="preserve">160.  </w:t>
      </w:r>
      <w:r>
        <w:rPr>
          <w:rFonts w:hint="eastAsia"/>
        </w:rPr>
        <w:t>尽管作了种种努力，但摩洛哥的文盲比例仍非常高，占</w:t>
      </w:r>
      <w:r>
        <w:t>10</w:t>
      </w:r>
      <w:r>
        <w:rPr>
          <w:rFonts w:hint="eastAsia"/>
        </w:rPr>
        <w:t>岁以上人口的</w:t>
      </w:r>
      <w:r>
        <w:t>55%(</w:t>
      </w:r>
      <w:r>
        <w:rPr>
          <w:rFonts w:hint="eastAsia"/>
        </w:rPr>
        <w:t>根据</w:t>
      </w:r>
      <w:r>
        <w:t>1994</w:t>
      </w:r>
      <w:r>
        <w:rPr>
          <w:rFonts w:hint="eastAsia"/>
        </w:rPr>
        <w:t>年的普查</w:t>
      </w:r>
      <w:r>
        <w:t>)</w:t>
      </w:r>
      <w:r>
        <w:rPr>
          <w:rFonts w:hint="eastAsia"/>
        </w:rPr>
        <w:t>。这种情况促使国家教育部建立一个非法定教育方案。尽管这个方案辅助法定教育系统，帮助推广和支持教育，但在目标、原则和方法方面不同，其他非法定教育的目的是：</w:t>
      </w:r>
    </w:p>
    <w:p w:rsidR="00000000" w:rsidRDefault="003D15A7" w:rsidP="003D15A7">
      <w:pPr>
        <w:pStyle w:val="a0"/>
        <w:numPr>
          <w:ilvl w:val="0"/>
          <w:numId w:val="10"/>
        </w:numPr>
        <w:ind w:left="1531" w:hanging="510"/>
      </w:pPr>
      <w:r>
        <w:rPr>
          <w:rFonts w:hint="eastAsia"/>
        </w:rPr>
        <w:t>促进社会专业结合和在公民权利和义务方面加强机会平等；</w:t>
      </w:r>
    </w:p>
    <w:p w:rsidR="00000000" w:rsidRDefault="003D15A7" w:rsidP="003D15A7">
      <w:pPr>
        <w:pStyle w:val="a0"/>
        <w:numPr>
          <w:ilvl w:val="0"/>
          <w:numId w:val="10"/>
        </w:numPr>
        <w:ind w:left="1531" w:hanging="510"/>
      </w:pPr>
      <w:r>
        <w:rPr>
          <w:rFonts w:hint="eastAsia"/>
        </w:rPr>
        <w:t>为逐渐在摩洛哥消除文盲建立一个新的教育形式；</w:t>
      </w:r>
    </w:p>
    <w:p w:rsidR="00000000" w:rsidRDefault="003D15A7" w:rsidP="003D15A7">
      <w:pPr>
        <w:pStyle w:val="a0"/>
        <w:numPr>
          <w:ilvl w:val="0"/>
          <w:numId w:val="10"/>
        </w:numPr>
        <w:ind w:left="1531" w:hanging="510"/>
      </w:pPr>
      <w:r>
        <w:rPr>
          <w:rFonts w:hint="eastAsia"/>
        </w:rPr>
        <w:t>为全体人民提供教育；</w:t>
      </w:r>
    </w:p>
    <w:p w:rsidR="00000000" w:rsidRDefault="003D15A7" w:rsidP="003D15A7">
      <w:pPr>
        <w:pStyle w:val="a0"/>
        <w:numPr>
          <w:ilvl w:val="0"/>
          <w:numId w:val="10"/>
        </w:numPr>
        <w:ind w:left="1531" w:hanging="510"/>
      </w:pPr>
      <w:r>
        <w:rPr>
          <w:rFonts w:hint="eastAsia"/>
        </w:rPr>
        <w:t>把</w:t>
      </w:r>
      <w:r>
        <w:t>8</w:t>
      </w:r>
      <w:r>
        <w:rPr>
          <w:rFonts w:hint="eastAsia"/>
        </w:rPr>
        <w:t>至</w:t>
      </w:r>
      <w:r>
        <w:t>16</w:t>
      </w:r>
      <w:r>
        <w:rPr>
          <w:rFonts w:hint="eastAsia"/>
        </w:rPr>
        <w:t>岁的青少年重新纳入法定教育、职业培训和工作生活；</w:t>
      </w:r>
    </w:p>
    <w:p w:rsidR="00000000" w:rsidRDefault="003D15A7" w:rsidP="003D15A7">
      <w:pPr>
        <w:pStyle w:val="a0"/>
        <w:numPr>
          <w:ilvl w:val="0"/>
          <w:numId w:val="10"/>
        </w:numPr>
        <w:ind w:left="1531" w:hanging="510"/>
      </w:pPr>
      <w:r>
        <w:rPr>
          <w:rFonts w:hint="eastAsia"/>
        </w:rPr>
        <w:t>向合格的青年人提供帮助国家发展的机遇促进他们的</w:t>
      </w:r>
      <w:r>
        <w:rPr>
          <w:rFonts w:hint="eastAsia"/>
        </w:rPr>
        <w:t>就业；</w:t>
      </w:r>
    </w:p>
    <w:p w:rsidR="00000000" w:rsidRDefault="003D15A7" w:rsidP="003D15A7">
      <w:pPr>
        <w:pStyle w:val="a0"/>
        <w:numPr>
          <w:ilvl w:val="0"/>
          <w:numId w:val="10"/>
        </w:numPr>
        <w:ind w:left="1531" w:hanging="510"/>
      </w:pPr>
      <w:r>
        <w:rPr>
          <w:rFonts w:hint="eastAsia"/>
        </w:rPr>
        <w:t>邀请和动员政府组织、非政府组织和民间社团为实现全民教育的目的而努力。</w:t>
      </w:r>
    </w:p>
    <w:p w:rsidR="00000000" w:rsidRDefault="003D15A7">
      <w:pPr>
        <w:spacing w:after="320"/>
        <w:textAlignment w:val="center"/>
      </w:pPr>
      <w:r>
        <w:tab/>
        <w:t xml:space="preserve">161.  </w:t>
      </w:r>
      <w:r>
        <w:rPr>
          <w:rFonts w:hint="eastAsia"/>
        </w:rPr>
        <w:t>接受这一教育的主要对象是</w:t>
      </w:r>
      <w:r>
        <w:t>8</w:t>
      </w:r>
      <w:r>
        <w:rPr>
          <w:rFonts w:hint="eastAsia"/>
        </w:rPr>
        <w:t>岁至</w:t>
      </w:r>
      <w:r>
        <w:t>16</w:t>
      </w:r>
      <w:r>
        <w:rPr>
          <w:rFonts w:hint="eastAsia"/>
        </w:rPr>
        <w:t>岁的儿童，但不排除成年人。这类儿童有的从来没有上过学，有的过早地离开学校。应优先考虑居住在农村地区和居住在城镇附近的人口。应该特别注意处在动荡不定和困难环境下的儿童和青年人</w:t>
      </w:r>
      <w:r>
        <w:t>(</w:t>
      </w:r>
      <w:r>
        <w:rPr>
          <w:rFonts w:hint="eastAsia"/>
        </w:rPr>
        <w:t>街头流浪儿童、在监狱中的儿童等等</w:t>
      </w:r>
      <w:r>
        <w:t>)</w:t>
      </w:r>
      <w:r>
        <w:rPr>
          <w:rFonts w:hint="eastAsia"/>
        </w:rPr>
        <w:t>、工作的儿童和青年人</w:t>
      </w:r>
      <w:r>
        <w:t>(</w:t>
      </w:r>
      <w:r>
        <w:rPr>
          <w:rFonts w:hint="eastAsia"/>
        </w:rPr>
        <w:t>手工艺贸易、小型商业等等</w:t>
      </w:r>
      <w:r>
        <w:t>)</w:t>
      </w:r>
      <w:r>
        <w:rPr>
          <w:rFonts w:hint="eastAsia"/>
        </w:rPr>
        <w:t>、农村人口</w:t>
      </w:r>
      <w:r>
        <w:t>(</w:t>
      </w:r>
      <w:r>
        <w:rPr>
          <w:rFonts w:hint="eastAsia"/>
        </w:rPr>
        <w:t>儿童、青年人、成年人</w:t>
      </w:r>
      <w:r>
        <w:t>)</w:t>
      </w:r>
      <w:r>
        <w:rPr>
          <w:rFonts w:hint="eastAsia"/>
        </w:rPr>
        <w:t>和妇女</w:t>
      </w:r>
      <w:r>
        <w:t>(</w:t>
      </w:r>
      <w:r>
        <w:rPr>
          <w:rFonts w:hint="eastAsia"/>
        </w:rPr>
        <w:t>家庭主妇、在家里工作的女孩等等</w:t>
      </w:r>
      <w:r>
        <w:t>)</w:t>
      </w:r>
      <w:r>
        <w:rPr>
          <w:rFonts w:hint="eastAsia"/>
        </w:rPr>
        <w:t>。在提到的所有类别中，应尽最大努力使女孩受益。</w:t>
      </w:r>
    </w:p>
    <w:p w:rsidR="00000000" w:rsidRDefault="003D15A7">
      <w:pPr>
        <w:pStyle w:val="Heading4"/>
      </w:pPr>
      <w:r>
        <w:rPr>
          <w:rFonts w:hint="eastAsia"/>
        </w:rPr>
        <w:t>为残疾儿</w:t>
      </w:r>
      <w:r>
        <w:rPr>
          <w:rFonts w:hint="eastAsia"/>
        </w:rPr>
        <w:t>童开设混合班教育</w:t>
      </w:r>
    </w:p>
    <w:p w:rsidR="00000000" w:rsidRDefault="003D15A7">
      <w:pPr>
        <w:spacing w:after="320"/>
        <w:textAlignment w:val="center"/>
      </w:pPr>
      <w:r>
        <w:tab/>
        <w:t xml:space="preserve">162.  </w:t>
      </w:r>
      <w:r>
        <w:rPr>
          <w:rFonts w:hint="eastAsia"/>
        </w:rPr>
        <w:t>根据全民教育的原则，教育部在和残疾人高级委员会的合作之下制订了一项行动计划，把患有智力残疾和听力、视力损伤的儿童混合编入公共学校。这个方案的另一个目的是在公民权利和义务方面促进残疾儿童的社会专业结合和加强机会平等。</w:t>
      </w:r>
    </w:p>
    <w:p w:rsidR="00000000" w:rsidRDefault="003D15A7">
      <w:pPr>
        <w:pStyle w:val="Heading3"/>
      </w:pPr>
      <w:r>
        <w:rPr>
          <w:u w:val="none"/>
        </w:rPr>
        <w:t xml:space="preserve">3.  </w:t>
      </w:r>
      <w:r>
        <w:rPr>
          <w:rFonts w:hint="eastAsia"/>
        </w:rPr>
        <w:t>改进教学质量</w:t>
      </w:r>
    </w:p>
    <w:p w:rsidR="00000000" w:rsidRDefault="003D15A7">
      <w:pPr>
        <w:spacing w:after="320"/>
        <w:textAlignment w:val="center"/>
      </w:pPr>
      <w:r>
        <w:tab/>
        <w:t xml:space="preserve">163.  </w:t>
      </w:r>
      <w:r>
        <w:rPr>
          <w:rFonts w:hint="eastAsia"/>
        </w:rPr>
        <w:t>为了改进教学质量，教育部把特别着重于人口、人权和环境的新教材纳入教学大纲。</w:t>
      </w:r>
    </w:p>
    <w:p w:rsidR="00000000" w:rsidRDefault="003D15A7">
      <w:pPr>
        <w:pStyle w:val="Heading4"/>
      </w:pPr>
      <w:r>
        <w:rPr>
          <w:u w:val="none"/>
        </w:rPr>
        <w:t>(a)</w:t>
      </w:r>
      <w:r>
        <w:rPr>
          <w:u w:val="none"/>
        </w:rPr>
        <w:tab/>
      </w:r>
      <w:r>
        <w:rPr>
          <w:rFonts w:hint="eastAsia"/>
        </w:rPr>
        <w:t>关于人口的教育</w:t>
      </w:r>
    </w:p>
    <w:p w:rsidR="00000000" w:rsidRDefault="003D15A7">
      <w:pPr>
        <w:spacing w:after="320"/>
        <w:textAlignment w:val="center"/>
      </w:pPr>
      <w:r>
        <w:tab/>
        <w:t xml:space="preserve">164.  </w:t>
      </w:r>
      <w:r>
        <w:rPr>
          <w:rFonts w:hint="eastAsia"/>
        </w:rPr>
        <w:t>有关人口的教育项目是和人口活动基金合作的范围广大的方案的一部分。其目标是把这一课目在教育部内制度化，方法是通过多科</w:t>
      </w:r>
      <w:r>
        <w:rPr>
          <w:rFonts w:hint="eastAsia"/>
        </w:rPr>
        <w:t>目的做法使学生、教师和父母认识摩洛哥人口因素和经济、社会、文化和环境现实相互作用的方式。这个方案在早期阶段涉及基本教育，今年将扩至中等教育，其重点是生育卫生、两性之间关系和持续发展。</w:t>
      </w:r>
    </w:p>
    <w:p w:rsidR="00000000" w:rsidRDefault="003D15A7">
      <w:pPr>
        <w:pStyle w:val="Heading4"/>
      </w:pPr>
      <w:r>
        <w:rPr>
          <w:u w:val="none"/>
        </w:rPr>
        <w:t>(b)</w:t>
      </w:r>
      <w:r>
        <w:rPr>
          <w:u w:val="none"/>
        </w:rPr>
        <w:tab/>
      </w:r>
      <w:r>
        <w:rPr>
          <w:rFonts w:hint="eastAsia"/>
        </w:rPr>
        <w:t>有关人权的教育</w:t>
      </w:r>
    </w:p>
    <w:p w:rsidR="00000000" w:rsidRDefault="003D15A7">
      <w:pPr>
        <w:spacing w:after="320"/>
        <w:textAlignment w:val="center"/>
      </w:pPr>
      <w:r>
        <w:tab/>
        <w:t xml:space="preserve">165.  </w:t>
      </w:r>
      <w:r>
        <w:rPr>
          <w:rFonts w:hint="eastAsia"/>
        </w:rPr>
        <w:t>这个项目是和负责人权的部门、联合国人权事务高级专员办事处和欧洲委员会一起发起的，目前处于筹备阶段。在试验阶段，这个项目将在一组抽样学校内予以实施，计划在</w:t>
      </w:r>
      <w:r>
        <w:t>1998-99</w:t>
      </w:r>
      <w:r>
        <w:rPr>
          <w:rFonts w:hint="eastAsia"/>
        </w:rPr>
        <w:t>学年开始时开始试验阶段。</w:t>
      </w:r>
    </w:p>
    <w:p w:rsidR="00000000" w:rsidRDefault="003D15A7">
      <w:pPr>
        <w:pStyle w:val="Heading4"/>
      </w:pPr>
      <w:r>
        <w:rPr>
          <w:u w:val="none"/>
        </w:rPr>
        <w:t>(c)</w:t>
      </w:r>
      <w:r>
        <w:rPr>
          <w:u w:val="none"/>
        </w:rPr>
        <w:tab/>
      </w:r>
      <w:r>
        <w:rPr>
          <w:rFonts w:hint="eastAsia"/>
        </w:rPr>
        <w:t>关于环境的教育</w:t>
      </w:r>
    </w:p>
    <w:p w:rsidR="00000000" w:rsidRDefault="003D15A7">
      <w:pPr>
        <w:spacing w:after="320"/>
        <w:textAlignment w:val="center"/>
      </w:pPr>
      <w:r>
        <w:tab/>
        <w:t xml:space="preserve">166.  </w:t>
      </w:r>
      <w:r>
        <w:rPr>
          <w:rFonts w:hint="eastAsia"/>
        </w:rPr>
        <w:t>教育部正在开展能使学生认识环境问题的计划。在这方面，应该提到</w:t>
      </w:r>
      <w:r>
        <w:rPr>
          <w:rFonts w:hint="eastAsia"/>
        </w:rPr>
        <w:t>由环境部和全国饮用水机构开展的行动计划，和与美国全国海洋与大气管理局一起开展的提高认识和环境研究的全球方案。其目的是利用因特网为学生、教师和科学家设立国际网络以便研究全球环境。已经挑选了</w:t>
      </w:r>
      <w:r>
        <w:t>14</w:t>
      </w:r>
      <w:r>
        <w:rPr>
          <w:rFonts w:hint="eastAsia"/>
        </w:rPr>
        <w:t>所学校参加这个方案。</w:t>
      </w:r>
    </w:p>
    <w:p w:rsidR="00000000" w:rsidRDefault="003D15A7">
      <w:pPr>
        <w:pStyle w:val="Heading3"/>
      </w:pPr>
      <w:r>
        <w:rPr>
          <w:u w:val="none"/>
        </w:rPr>
        <w:t xml:space="preserve">C.  </w:t>
      </w:r>
      <w:r>
        <w:rPr>
          <w:rFonts w:hint="eastAsia"/>
        </w:rPr>
        <w:t>在农村地区促进学校教育</w:t>
      </w:r>
    </w:p>
    <w:p w:rsidR="00000000" w:rsidRDefault="003D15A7">
      <w:pPr>
        <w:pStyle w:val="Heading3"/>
      </w:pPr>
      <w:r>
        <w:rPr>
          <w:u w:val="none"/>
        </w:rPr>
        <w:t xml:space="preserve">1.  </w:t>
      </w:r>
      <w:r>
        <w:rPr>
          <w:rFonts w:hint="eastAsia"/>
        </w:rPr>
        <w:t>在农村条件下发展学校教育</w:t>
      </w:r>
    </w:p>
    <w:p w:rsidR="00000000" w:rsidRDefault="003D15A7">
      <w:pPr>
        <w:spacing w:after="320"/>
        <w:textAlignment w:val="center"/>
      </w:pPr>
      <w:r>
        <w:tab/>
        <w:t xml:space="preserve">167.  </w:t>
      </w:r>
      <w:r>
        <w:rPr>
          <w:rFonts w:hint="eastAsia"/>
        </w:rPr>
        <w:t>国家教育部已经发起了一项发展自治、负责、有效、符合当地情况的农村社区学校的战略。这项战略把人力资源放在所有这些问题的中心，把培训作为农村地区持续发展的重点。此外，这个方案还涉及扩大和改进学校教育、保持学生就学和学校在重点</w:t>
      </w:r>
      <w:r>
        <w:rPr>
          <w:rFonts w:hint="eastAsia"/>
        </w:rPr>
        <w:t>领域内的绩效。这项战略将分四个阶段执行：筹备阶段</w:t>
      </w:r>
      <w:r>
        <w:t>(1995</w:t>
      </w:r>
      <w:r>
        <w:rPr>
          <w:rFonts w:hint="eastAsia"/>
        </w:rPr>
        <w:t>年</w:t>
      </w:r>
      <w:r>
        <w:t>)</w:t>
      </w:r>
      <w:r>
        <w:rPr>
          <w:rFonts w:hint="eastAsia"/>
        </w:rPr>
        <w:t>、试验阶段</w:t>
      </w:r>
      <w:r>
        <w:t>(1996-97</w:t>
      </w:r>
      <w:r>
        <w:rPr>
          <w:rFonts w:hint="eastAsia"/>
        </w:rPr>
        <w:t>年</w:t>
      </w:r>
      <w:r>
        <w:t>)</w:t>
      </w:r>
      <w:r>
        <w:rPr>
          <w:rFonts w:hint="eastAsia"/>
        </w:rPr>
        <w:t>、扩大阶段</w:t>
      </w:r>
      <w:r>
        <w:t>(1998-99</w:t>
      </w:r>
      <w:r>
        <w:rPr>
          <w:rFonts w:hint="eastAsia"/>
        </w:rPr>
        <w:t>年</w:t>
      </w:r>
      <w:r>
        <w:t>)</w:t>
      </w:r>
      <w:r>
        <w:rPr>
          <w:rFonts w:hint="eastAsia"/>
        </w:rPr>
        <w:t>和推广阶段</w:t>
      </w:r>
      <w:r>
        <w:t>(</w:t>
      </w:r>
      <w:r>
        <w:rPr>
          <w:rFonts w:hint="eastAsia"/>
        </w:rPr>
        <w:t>从</w:t>
      </w:r>
      <w:r>
        <w:t>2000</w:t>
      </w:r>
      <w:r>
        <w:rPr>
          <w:rFonts w:hint="eastAsia"/>
        </w:rPr>
        <w:t>年起</w:t>
      </w:r>
      <w:r>
        <w:t>)</w:t>
      </w:r>
      <w:r>
        <w:rPr>
          <w:rFonts w:hint="eastAsia"/>
        </w:rPr>
        <w:t>。</w:t>
      </w:r>
      <w:r>
        <w:t>1996</w:t>
      </w:r>
      <w:r>
        <w:rPr>
          <w:rFonts w:hint="eastAsia"/>
        </w:rPr>
        <w:t>年在</w:t>
      </w:r>
      <w:r>
        <w:t>10</w:t>
      </w:r>
      <w:r>
        <w:rPr>
          <w:rFonts w:hint="eastAsia"/>
        </w:rPr>
        <w:t>个试点办事处开始了这个项目。大多数参与伙伴是各部、国际和地区组织、非政府组织、学生的家长和社区。合作工作把重点放在培训教育方案的参与者和帮助女孩得到教育的资源。</w:t>
      </w:r>
    </w:p>
    <w:p w:rsidR="00000000" w:rsidRDefault="003D15A7">
      <w:pPr>
        <w:pStyle w:val="Heading3"/>
      </w:pPr>
      <w:r>
        <w:rPr>
          <w:u w:val="none"/>
        </w:rPr>
        <w:t xml:space="preserve">2.  </w:t>
      </w:r>
      <w:r>
        <w:rPr>
          <w:rFonts w:hint="eastAsia"/>
        </w:rPr>
        <w:t>社会优先事项方案</w:t>
      </w:r>
    </w:p>
    <w:p w:rsidR="00000000" w:rsidRDefault="003D15A7">
      <w:r>
        <w:tab/>
        <w:t xml:space="preserve">168.  </w:t>
      </w:r>
      <w:r>
        <w:rPr>
          <w:rFonts w:hint="eastAsia"/>
        </w:rPr>
        <w:t>社会优先事项方案</w:t>
      </w:r>
      <w:r>
        <w:t>1(PPS 1</w:t>
      </w:r>
      <w:r>
        <w:rPr>
          <w:rFonts w:hint="eastAsia"/>
        </w:rPr>
        <w:t>或</w:t>
      </w:r>
      <w:r>
        <w:t>BAJ 1)</w:t>
      </w:r>
      <w:r>
        <w:rPr>
          <w:rFonts w:hint="eastAsia"/>
        </w:rPr>
        <w:t>是为了促进政府的社会战略而发起的。这项战略的目的是向最为贫困的人提供最多的社会服务、并且改进他们参</w:t>
      </w:r>
      <w:r>
        <w:rPr>
          <w:rFonts w:hint="eastAsia"/>
        </w:rPr>
        <w:t>加经济生产活动的可能性。跨部门的</w:t>
      </w:r>
      <w:r>
        <w:t>PPS/BAJ</w:t>
      </w:r>
      <w:r>
        <w:rPr>
          <w:rFonts w:hint="eastAsia"/>
        </w:rPr>
        <w:t>方案主要是针对</w:t>
      </w:r>
      <w:r>
        <w:t>14</w:t>
      </w:r>
      <w:r>
        <w:rPr>
          <w:rFonts w:hint="eastAsia"/>
        </w:rPr>
        <w:t>个处于最不利地位和城市化程度最低的省份。人口的</w:t>
      </w:r>
      <w:r>
        <w:t>27%(7,100,000</w:t>
      </w:r>
      <w:r>
        <w:rPr>
          <w:rFonts w:hint="eastAsia"/>
        </w:rPr>
        <w:t>人</w:t>
      </w:r>
      <w:r>
        <w:t>)</w:t>
      </w:r>
      <w:r>
        <w:rPr>
          <w:rFonts w:hint="eastAsia"/>
        </w:rPr>
        <w:t>居住在这些省份。</w:t>
      </w:r>
    </w:p>
    <w:p w:rsidR="00000000" w:rsidRDefault="003D15A7">
      <w:r>
        <w:tab/>
        <w:t xml:space="preserve">169.  </w:t>
      </w:r>
      <w:r>
        <w:rPr>
          <w:rFonts w:hint="eastAsia"/>
        </w:rPr>
        <w:t>基本教育的组成成分是发展人力资源，方法是向那些被剥夺教育和识字机会的人提供教育和识字机会。这个项目的目标是支持国家的种种努力，在质量和数量方面改进教育制度，使教育绩效赶上经济状况类似的其他国家。五年项目包括着眼于以下目标的五个部分：</w:t>
      </w:r>
    </w:p>
    <w:p w:rsidR="00000000" w:rsidRDefault="003D15A7" w:rsidP="003D15A7">
      <w:pPr>
        <w:pStyle w:val="a0"/>
        <w:numPr>
          <w:ilvl w:val="0"/>
          <w:numId w:val="11"/>
        </w:numPr>
        <w:ind w:left="1531" w:hanging="510"/>
      </w:pPr>
      <w:r>
        <w:rPr>
          <w:rFonts w:hint="eastAsia"/>
        </w:rPr>
        <w:t>在边远农村地区提高可使用的教室的数量以便改进获得和保持接受基本教育的比例；</w:t>
      </w:r>
    </w:p>
    <w:p w:rsidR="00000000" w:rsidRDefault="003D15A7" w:rsidP="003D15A7">
      <w:pPr>
        <w:pStyle w:val="a0"/>
        <w:numPr>
          <w:ilvl w:val="0"/>
          <w:numId w:val="11"/>
        </w:numPr>
        <w:ind w:left="1531" w:hanging="510"/>
      </w:pPr>
      <w:r>
        <w:rPr>
          <w:rFonts w:hint="eastAsia"/>
        </w:rPr>
        <w:t>消除男孩和女孩入学率之间的差距</w:t>
      </w:r>
      <w:r>
        <w:rPr>
          <w:rFonts w:hint="eastAsia"/>
        </w:rPr>
        <w:t>；</w:t>
      </w:r>
    </w:p>
    <w:p w:rsidR="00000000" w:rsidRDefault="003D15A7" w:rsidP="003D15A7">
      <w:pPr>
        <w:pStyle w:val="a0"/>
        <w:numPr>
          <w:ilvl w:val="0"/>
          <w:numId w:val="11"/>
        </w:numPr>
        <w:ind w:left="1531" w:hanging="510"/>
      </w:pPr>
      <w:r>
        <w:rPr>
          <w:rFonts w:hint="eastAsia"/>
        </w:rPr>
        <w:t>提高教育质量；</w:t>
      </w:r>
    </w:p>
    <w:p w:rsidR="00000000" w:rsidRDefault="003D15A7" w:rsidP="003D15A7">
      <w:pPr>
        <w:pStyle w:val="a0"/>
        <w:numPr>
          <w:ilvl w:val="0"/>
          <w:numId w:val="11"/>
        </w:numPr>
        <w:ind w:left="1531" w:hanging="510"/>
      </w:pPr>
      <w:r>
        <w:rPr>
          <w:rFonts w:hint="eastAsia"/>
        </w:rPr>
        <w:t>改进政府识字方案的效率；</w:t>
      </w:r>
    </w:p>
    <w:p w:rsidR="00000000" w:rsidRDefault="003D15A7" w:rsidP="003D15A7">
      <w:pPr>
        <w:pStyle w:val="a0"/>
        <w:numPr>
          <w:ilvl w:val="0"/>
          <w:numId w:val="11"/>
        </w:numPr>
        <w:spacing w:after="320"/>
        <w:ind w:left="1531" w:hanging="510"/>
        <w:textAlignment w:val="center"/>
      </w:pPr>
      <w:r>
        <w:rPr>
          <w:rFonts w:hint="eastAsia"/>
        </w:rPr>
        <w:t>向国家教育部提供技术支持，以便实施部门行动计划，达到为优先事项提供资源和合理化使用预算的目的。</w:t>
      </w:r>
    </w:p>
    <w:p w:rsidR="00000000" w:rsidRDefault="003D15A7">
      <w:pPr>
        <w:pStyle w:val="Heading3"/>
      </w:pPr>
      <w:r>
        <w:rPr>
          <w:u w:val="none"/>
        </w:rPr>
        <w:t xml:space="preserve">D.  </w:t>
      </w:r>
      <w:r>
        <w:rPr>
          <w:rFonts w:hint="eastAsia"/>
        </w:rPr>
        <w:t>高</w:t>
      </w:r>
      <w:r>
        <w:t xml:space="preserve"> </w:t>
      </w:r>
      <w:r>
        <w:rPr>
          <w:rFonts w:hint="eastAsia"/>
        </w:rPr>
        <w:t>等</w:t>
      </w:r>
      <w:r>
        <w:t xml:space="preserve"> </w:t>
      </w:r>
      <w:r>
        <w:rPr>
          <w:rFonts w:hint="eastAsia"/>
        </w:rPr>
        <w:t>教</w:t>
      </w:r>
      <w:r>
        <w:t xml:space="preserve"> </w:t>
      </w:r>
      <w:r>
        <w:rPr>
          <w:rFonts w:hint="eastAsia"/>
        </w:rPr>
        <w:t>育</w:t>
      </w:r>
    </w:p>
    <w:p w:rsidR="00000000" w:rsidRDefault="003D15A7">
      <w:r>
        <w:tab/>
        <w:t xml:space="preserve">170.  </w:t>
      </w:r>
      <w:r>
        <w:rPr>
          <w:rFonts w:hint="eastAsia"/>
        </w:rPr>
        <w:t>摩洛哥高等教育政策的目的是根据每个人的能力向其提供这一层次的教育。因而，凡是在学术方面达到入学要求的学生都有权利享受高等教育</w:t>
      </w:r>
      <w:r>
        <w:t>(</w:t>
      </w:r>
      <w:r>
        <w:rPr>
          <w:rFonts w:hint="eastAsia"/>
        </w:rPr>
        <w:t>不限额教育机构的学位和限额教育机构的学位加择优录取程序</w:t>
      </w:r>
      <w:r>
        <w:t>)</w:t>
      </w:r>
      <w:r>
        <w:rPr>
          <w:rFonts w:hint="eastAsia"/>
        </w:rPr>
        <w:t>。</w:t>
      </w:r>
    </w:p>
    <w:p w:rsidR="00000000" w:rsidRDefault="003D15A7">
      <w:r>
        <w:tab/>
        <w:t xml:space="preserve">171.  </w:t>
      </w:r>
      <w:r>
        <w:rPr>
          <w:rFonts w:hint="eastAsia"/>
        </w:rPr>
        <w:t>为了使更多的学生能够受到高等教育，国家通过给予奖学金和津贴的方式援助学生享用学校的膳宿。</w:t>
      </w:r>
      <w:r>
        <w:t>1996</w:t>
      </w:r>
      <w:r>
        <w:rPr>
          <w:rFonts w:hint="eastAsia"/>
        </w:rPr>
        <w:t>至</w:t>
      </w:r>
      <w:r>
        <w:t>97</w:t>
      </w:r>
      <w:r>
        <w:rPr>
          <w:rFonts w:hint="eastAsia"/>
        </w:rPr>
        <w:t>年间，对学生的这种支持占高等教</w:t>
      </w:r>
      <w:r>
        <w:rPr>
          <w:rFonts w:hint="eastAsia"/>
        </w:rPr>
        <w:t>育业务预算的</w:t>
      </w:r>
      <w:r>
        <w:t>30% (7.54</w:t>
      </w:r>
      <w:r>
        <w:rPr>
          <w:rFonts w:hint="eastAsia"/>
        </w:rPr>
        <w:t>亿迪拉姆</w:t>
      </w:r>
      <w:r>
        <w:t>)</w:t>
      </w:r>
      <w:r>
        <w:rPr>
          <w:rFonts w:hint="eastAsia"/>
        </w:rPr>
        <w:t>以上。</w:t>
      </w:r>
    </w:p>
    <w:p w:rsidR="00000000" w:rsidRDefault="003D15A7">
      <w:r>
        <w:tab/>
        <w:t xml:space="preserve">172.  </w:t>
      </w:r>
      <w:r>
        <w:rPr>
          <w:rFonts w:hint="eastAsia"/>
        </w:rPr>
        <w:t>国家几乎提供所有高等教育的资金。私营部门的参与仍然非常有限</w:t>
      </w:r>
      <w:r>
        <w:t>(</w:t>
      </w:r>
      <w:r>
        <w:rPr>
          <w:rFonts w:hint="eastAsia"/>
        </w:rPr>
        <w:t>就学生人数而言为</w:t>
      </w:r>
      <w:r>
        <w:t>3%)</w:t>
      </w:r>
      <w:r>
        <w:rPr>
          <w:rFonts w:hint="eastAsia"/>
        </w:rPr>
        <w:t>。</w:t>
      </w:r>
      <w:r>
        <w:t>1997</w:t>
      </w:r>
      <w:r>
        <w:rPr>
          <w:rFonts w:hint="eastAsia"/>
        </w:rPr>
        <w:t>至</w:t>
      </w:r>
      <w:r>
        <w:t>98</w:t>
      </w:r>
      <w:r>
        <w:rPr>
          <w:rFonts w:hint="eastAsia"/>
        </w:rPr>
        <w:t>年间国家把预算的</w:t>
      </w:r>
      <w:r>
        <w:t>4.5%</w:t>
      </w:r>
      <w:r>
        <w:rPr>
          <w:rFonts w:hint="eastAsia"/>
        </w:rPr>
        <w:t>拨给高等教育，而在</w:t>
      </w:r>
      <w:r>
        <w:t>1994</w:t>
      </w:r>
      <w:r>
        <w:rPr>
          <w:rFonts w:hint="eastAsia"/>
        </w:rPr>
        <w:t>年只有</w:t>
      </w:r>
      <w:r>
        <w:t>4%</w:t>
      </w:r>
      <w:r>
        <w:rPr>
          <w:rFonts w:hint="eastAsia"/>
        </w:rPr>
        <w:t>。如果把在教育机构内为管理培训提供的拨款也考虑在内，这个数字还要高。</w:t>
      </w:r>
    </w:p>
    <w:p w:rsidR="00000000" w:rsidRDefault="003D15A7">
      <w:r>
        <w:tab/>
        <w:t xml:space="preserve">173.  </w:t>
      </w:r>
      <w:r>
        <w:rPr>
          <w:rFonts w:hint="eastAsia"/>
        </w:rPr>
        <w:t>在过去四年内，由于当局的种种努力，高等教育在数量上大大增加。这一发展为所有经济部门培养高层次技术和行政管理人员发挥了极大的作用。这还增加了公共和私营部门摩洛哥管理人员的人数。尤其是在教育系统内摩洛哥教师的的比</w:t>
      </w:r>
      <w:r>
        <w:rPr>
          <w:rFonts w:hint="eastAsia"/>
        </w:rPr>
        <w:t>例大大增加</w:t>
      </w:r>
      <w:r>
        <w:t>(</w:t>
      </w:r>
      <w:r>
        <w:rPr>
          <w:rFonts w:hint="eastAsia"/>
        </w:rPr>
        <w:t>基本教育、中等教育和高层次教育</w:t>
      </w:r>
      <w:r>
        <w:t>)</w:t>
      </w:r>
      <w:r>
        <w:rPr>
          <w:rFonts w:hint="eastAsia"/>
        </w:rPr>
        <w:t>。特别在过去十年内，教育机构的普及和培训可能性的丰富多样帮助了这一制度大大扩展。与此同时，妇女参与高等教育也取得了很大的进展。</w:t>
      </w:r>
    </w:p>
    <w:p w:rsidR="00000000" w:rsidRDefault="003D15A7">
      <w:pPr>
        <w:spacing w:after="320"/>
        <w:textAlignment w:val="center"/>
      </w:pPr>
      <w:r>
        <w:tab/>
        <w:t xml:space="preserve">174.  </w:t>
      </w:r>
      <w:r>
        <w:rPr>
          <w:rFonts w:hint="eastAsia"/>
        </w:rPr>
        <w:t>高等教育的扩大和在该领域所取得的进展显然体现在三个主要参数的变化之中：学生总人数、毕业生增加人数和教师水平的提高。</w:t>
      </w:r>
    </w:p>
    <w:p w:rsidR="00000000" w:rsidRDefault="003D15A7">
      <w:pPr>
        <w:pStyle w:val="Heading4"/>
      </w:pPr>
      <w:r>
        <w:rPr>
          <w:rFonts w:hint="eastAsia"/>
        </w:rPr>
        <w:t>学生人数增加</w:t>
      </w:r>
    </w:p>
    <w:p w:rsidR="00000000" w:rsidRDefault="003D15A7">
      <w:r>
        <w:tab/>
        <w:t>175.  1996</w:t>
      </w:r>
      <w:r>
        <w:rPr>
          <w:rFonts w:hint="eastAsia"/>
        </w:rPr>
        <w:t>年至</w:t>
      </w:r>
      <w:r>
        <w:t>97</w:t>
      </w:r>
      <w:r>
        <w:rPr>
          <w:rFonts w:hint="eastAsia"/>
        </w:rPr>
        <w:t>年间，整个高等教育学生人数为</w:t>
      </w:r>
      <w:r>
        <w:t>28</w:t>
      </w:r>
      <w:r>
        <w:rPr>
          <w:rFonts w:hint="eastAsia"/>
        </w:rPr>
        <w:t>万人次，自从</w:t>
      </w:r>
      <w:r>
        <w:t>1960</w:t>
      </w:r>
      <w:r>
        <w:rPr>
          <w:rFonts w:hint="eastAsia"/>
        </w:rPr>
        <w:t>年以来平均每年增长</w:t>
      </w:r>
      <w:r>
        <w:t>11%</w:t>
      </w:r>
      <w:r>
        <w:rPr>
          <w:rFonts w:hint="eastAsia"/>
        </w:rPr>
        <w:t>，同一时期女生人数年平均增长率为</w:t>
      </w:r>
      <w:r>
        <w:t>15%</w:t>
      </w:r>
      <w:r>
        <w:rPr>
          <w:rFonts w:hint="eastAsia"/>
        </w:rPr>
        <w:t>。这一增长主要是由于获得毕业学位的人数增加，这些人是</w:t>
      </w:r>
      <w:r>
        <w:rPr>
          <w:rFonts w:hint="eastAsia"/>
        </w:rPr>
        <w:t>高等教育的潜在市场。其人数从</w:t>
      </w:r>
      <w:r>
        <w:t>1973</w:t>
      </w:r>
      <w:r>
        <w:rPr>
          <w:rFonts w:hint="eastAsia"/>
        </w:rPr>
        <w:t>年的</w:t>
      </w:r>
      <w:r>
        <w:t>7,800</w:t>
      </w:r>
      <w:r>
        <w:rPr>
          <w:rFonts w:hint="eastAsia"/>
        </w:rPr>
        <w:t>名上升至</w:t>
      </w:r>
      <w:r>
        <w:t>1997</w:t>
      </w:r>
      <w:r>
        <w:rPr>
          <w:rFonts w:hint="eastAsia"/>
        </w:rPr>
        <w:t>年的</w:t>
      </w:r>
      <w:r>
        <w:t>68,300</w:t>
      </w:r>
      <w:r>
        <w:rPr>
          <w:rFonts w:hint="eastAsia"/>
        </w:rPr>
        <w:t>人。从每年入学人数测定，高等教育的需求每年增长</w:t>
      </w:r>
      <w:r>
        <w:t>9.0%</w:t>
      </w:r>
      <w:r>
        <w:rPr>
          <w:rFonts w:hint="eastAsia"/>
        </w:rPr>
        <w:t>，和同一时期毕业学位获得者的人数的增加一致</w:t>
      </w:r>
      <w:r>
        <w:t>(9.4%)</w:t>
      </w:r>
      <w:r>
        <w:rPr>
          <w:rFonts w:hint="eastAsia"/>
        </w:rPr>
        <w:t>。</w:t>
      </w:r>
    </w:p>
    <w:p w:rsidR="00000000" w:rsidRDefault="003D15A7">
      <w:pPr>
        <w:spacing w:after="320"/>
        <w:textAlignment w:val="center"/>
      </w:pPr>
      <w:r>
        <w:tab/>
        <w:t xml:space="preserve">176.  </w:t>
      </w:r>
      <w:r>
        <w:rPr>
          <w:rFonts w:hint="eastAsia"/>
        </w:rPr>
        <w:t>高等教育由三个子系统组成：大学教育、管理培训和私营高等教育。</w:t>
      </w:r>
      <w:r>
        <w:t>90%</w:t>
      </w:r>
      <w:r>
        <w:rPr>
          <w:rFonts w:hint="eastAsia"/>
        </w:rPr>
        <w:t>以上的学生招入公立大学高等教育。录取私立高等教育的人数仅占</w:t>
      </w:r>
      <w:r>
        <w:t>3.3%</w:t>
      </w:r>
      <w:r>
        <w:rPr>
          <w:rFonts w:hint="eastAsia"/>
        </w:rPr>
        <w:t>，其余人员就读于管理培训机构，其中包括那些为教师提供管理培训的机构</w:t>
      </w:r>
      <w:r>
        <w:t>(</w:t>
      </w:r>
      <w:r>
        <w:rPr>
          <w:rFonts w:hint="eastAsia"/>
        </w:rPr>
        <w:t>也属于公立机构</w:t>
      </w:r>
      <w:r>
        <w:t>)</w:t>
      </w:r>
      <w:r>
        <w:rPr>
          <w:rFonts w:hint="eastAsia"/>
        </w:rPr>
        <w:t>。每年新的合格的学位证书获得者招入高等教育。在</w:t>
      </w:r>
      <w:r>
        <w:t>1996</w:t>
      </w:r>
      <w:r>
        <w:rPr>
          <w:rFonts w:hint="eastAsia"/>
        </w:rPr>
        <w:t>至</w:t>
      </w:r>
      <w:r>
        <w:t>97</w:t>
      </w:r>
      <w:r>
        <w:rPr>
          <w:rFonts w:hint="eastAsia"/>
        </w:rPr>
        <w:t>年间，通过</w:t>
      </w:r>
      <w:r>
        <w:t>1996</w:t>
      </w:r>
      <w:r>
        <w:rPr>
          <w:rFonts w:hint="eastAsia"/>
        </w:rPr>
        <w:t>年毕业生学</w:t>
      </w:r>
      <w:r>
        <w:rPr>
          <w:rFonts w:hint="eastAsia"/>
        </w:rPr>
        <w:t>位考试的人中间只有</w:t>
      </w:r>
      <w:r>
        <w:t>91%</w:t>
      </w:r>
      <w:r>
        <w:rPr>
          <w:rFonts w:hint="eastAsia"/>
        </w:rPr>
        <w:t>的人招入大学高等教育系统。</w:t>
      </w:r>
    </w:p>
    <w:p w:rsidR="00000000" w:rsidRDefault="003D15A7">
      <w:pPr>
        <w:pStyle w:val="Heading4"/>
      </w:pPr>
      <w:r>
        <w:rPr>
          <w:rFonts w:hint="eastAsia"/>
        </w:rPr>
        <w:t>毕业生人数增加</w:t>
      </w:r>
    </w:p>
    <w:p w:rsidR="00000000" w:rsidRDefault="003D15A7">
      <w:pPr>
        <w:spacing w:after="320"/>
        <w:textAlignment w:val="center"/>
      </w:pPr>
      <w:r>
        <w:tab/>
        <w:t xml:space="preserve">177.  </w:t>
      </w:r>
      <w:r>
        <w:rPr>
          <w:rFonts w:hint="eastAsia"/>
        </w:rPr>
        <w:t>从摩洛哥教育系统培养的毕业生的人数也可以看到，摩洛哥高等教育系统的扩大。</w:t>
      </w:r>
      <w:r>
        <w:t>1995</w:t>
      </w:r>
      <w:r>
        <w:rPr>
          <w:rFonts w:hint="eastAsia"/>
        </w:rPr>
        <w:t>年至</w:t>
      </w:r>
      <w:r>
        <w:t>1996</w:t>
      </w:r>
      <w:r>
        <w:rPr>
          <w:rFonts w:hint="eastAsia"/>
        </w:rPr>
        <w:t>年大学生毕业人数是</w:t>
      </w:r>
      <w:r>
        <w:t>24,380</w:t>
      </w:r>
      <w:r>
        <w:rPr>
          <w:rFonts w:hint="eastAsia"/>
        </w:rPr>
        <w:t>人</w:t>
      </w:r>
      <w:r>
        <w:t>(</w:t>
      </w:r>
      <w:r>
        <w:rPr>
          <w:rFonts w:hint="eastAsia"/>
        </w:rPr>
        <w:t>包括</w:t>
      </w:r>
      <w:r>
        <w:t>860</w:t>
      </w:r>
      <w:r>
        <w:rPr>
          <w:rFonts w:hint="eastAsia"/>
        </w:rPr>
        <w:t>名第三阶段毕业生</w:t>
      </w:r>
      <w:r>
        <w:t>)</w:t>
      </w:r>
      <w:r>
        <w:rPr>
          <w:rFonts w:hint="eastAsia"/>
        </w:rPr>
        <w:t>而在</w:t>
      </w:r>
      <w:r>
        <w:t>1960</w:t>
      </w:r>
      <w:r>
        <w:rPr>
          <w:rFonts w:hint="eastAsia"/>
        </w:rPr>
        <w:t>至</w:t>
      </w:r>
      <w:r>
        <w:t>61</w:t>
      </w:r>
      <w:r>
        <w:rPr>
          <w:rFonts w:hint="eastAsia"/>
        </w:rPr>
        <w:t>年只有</w:t>
      </w:r>
      <w:r>
        <w:t>130</w:t>
      </w:r>
      <w:r>
        <w:rPr>
          <w:rFonts w:hint="eastAsia"/>
        </w:rPr>
        <w:t>人。如果把完成管理培训，包括教师培训的人数考虑在内，总数为</w:t>
      </w:r>
      <w:r>
        <w:t>34,300</w:t>
      </w:r>
      <w:r>
        <w:rPr>
          <w:rFonts w:hint="eastAsia"/>
        </w:rPr>
        <w:t>人次。绝大多数人选学艺术和人文学科。第二个比较热门的学科是法律和政治科学，然后是科学。但是，应该指出，在</w:t>
      </w:r>
      <w:r>
        <w:t>1995</w:t>
      </w:r>
      <w:r>
        <w:rPr>
          <w:rFonts w:hint="eastAsia"/>
        </w:rPr>
        <w:t>年和</w:t>
      </w:r>
      <w:r>
        <w:t>1996</w:t>
      </w:r>
      <w:r>
        <w:rPr>
          <w:rFonts w:hint="eastAsia"/>
        </w:rPr>
        <w:t>年之间攻读科学的大学毕业生比例是</w:t>
      </w:r>
      <w:r>
        <w:t>26.6%</w:t>
      </w:r>
      <w:r>
        <w:rPr>
          <w:rFonts w:hint="eastAsia"/>
        </w:rPr>
        <w:t>，而在</w:t>
      </w:r>
      <w:r>
        <w:t>19</w:t>
      </w:r>
      <w:r>
        <w:t>70</w:t>
      </w:r>
      <w:r>
        <w:rPr>
          <w:rFonts w:hint="eastAsia"/>
        </w:rPr>
        <w:t>和</w:t>
      </w:r>
      <w:r>
        <w:t>1971</w:t>
      </w:r>
      <w:r>
        <w:rPr>
          <w:rFonts w:hint="eastAsia"/>
        </w:rPr>
        <w:t>年间为</w:t>
      </w:r>
      <w:r>
        <w:t>3%</w:t>
      </w:r>
      <w:r>
        <w:rPr>
          <w:rFonts w:hint="eastAsia"/>
        </w:rPr>
        <w:t>。攻读科学的毕业生的人数是在</w:t>
      </w:r>
      <w:r>
        <w:t>1980</w:t>
      </w:r>
      <w:r>
        <w:rPr>
          <w:rFonts w:hint="eastAsia"/>
        </w:rPr>
        <w:t>年代后期开始急剧上升的。这反映了当局对科学技术培训的特别重视。</w:t>
      </w:r>
      <w:r>
        <w:t>1995</w:t>
      </w:r>
      <w:r>
        <w:rPr>
          <w:rFonts w:hint="eastAsia"/>
        </w:rPr>
        <w:t>至</w:t>
      </w:r>
      <w:r>
        <w:t>1996</w:t>
      </w:r>
      <w:r>
        <w:rPr>
          <w:rFonts w:hint="eastAsia"/>
        </w:rPr>
        <w:t>年，女大学毕业生占总数的</w:t>
      </w:r>
      <w:r>
        <w:t>39.4%</w:t>
      </w:r>
      <w:r>
        <w:rPr>
          <w:rFonts w:hint="eastAsia"/>
        </w:rPr>
        <w:t>，而在</w:t>
      </w:r>
      <w:r>
        <w:t>1993</w:t>
      </w:r>
      <w:r>
        <w:rPr>
          <w:rFonts w:hint="eastAsia"/>
        </w:rPr>
        <w:t>至</w:t>
      </w:r>
      <w:r>
        <w:t>1994</w:t>
      </w:r>
      <w:r>
        <w:rPr>
          <w:rFonts w:hint="eastAsia"/>
        </w:rPr>
        <w:t>年间是</w:t>
      </w:r>
      <w:r>
        <w:t>39%</w:t>
      </w:r>
      <w:r>
        <w:rPr>
          <w:rFonts w:hint="eastAsia"/>
        </w:rPr>
        <w:t>。</w:t>
      </w:r>
    </w:p>
    <w:p w:rsidR="00000000" w:rsidRDefault="003D15A7">
      <w:pPr>
        <w:pStyle w:val="Heading4"/>
      </w:pPr>
      <w:r>
        <w:rPr>
          <w:rFonts w:hint="eastAsia"/>
        </w:rPr>
        <w:t>工作人员增加</w:t>
      </w:r>
    </w:p>
    <w:p w:rsidR="00000000" w:rsidRDefault="003D15A7">
      <w:r>
        <w:tab/>
        <w:t>178.  1996</w:t>
      </w:r>
      <w:r>
        <w:rPr>
          <w:rFonts w:hint="eastAsia"/>
        </w:rPr>
        <w:t>年和</w:t>
      </w:r>
      <w:r>
        <w:t>1997</w:t>
      </w:r>
      <w:r>
        <w:rPr>
          <w:rFonts w:hint="eastAsia"/>
        </w:rPr>
        <w:t>年间，高等教育各部分的教师学生比例</w:t>
      </w:r>
      <w:r>
        <w:t>(</w:t>
      </w:r>
      <w:r>
        <w:rPr>
          <w:rFonts w:hint="eastAsia"/>
        </w:rPr>
        <w:t>大学和管理培训</w:t>
      </w:r>
      <w:r>
        <w:t>)</w:t>
      </w:r>
      <w:r>
        <w:rPr>
          <w:rFonts w:hint="eastAsia"/>
        </w:rPr>
        <w:t>是</w:t>
      </w:r>
      <w:r>
        <w:t>1:20</w:t>
      </w:r>
      <w:r>
        <w:rPr>
          <w:rFonts w:hint="eastAsia"/>
        </w:rPr>
        <w:t>。在管理培训机构内，教师和学生的比例是</w:t>
      </w:r>
      <w:r>
        <w:t>5.8:1,</w:t>
      </w:r>
      <w:r>
        <w:rPr>
          <w:rFonts w:hint="eastAsia"/>
        </w:rPr>
        <w:t>在高等教育的大学内学生和教师的比例是</w:t>
      </w:r>
      <w:r>
        <w:t>26.6:1</w:t>
      </w:r>
      <w:r>
        <w:rPr>
          <w:rFonts w:hint="eastAsia"/>
        </w:rPr>
        <w:t>。在</w:t>
      </w:r>
      <w:r>
        <w:t>1993</w:t>
      </w:r>
      <w:r>
        <w:rPr>
          <w:rFonts w:hint="eastAsia"/>
        </w:rPr>
        <w:t>至</w:t>
      </w:r>
      <w:r>
        <w:t>1994</w:t>
      </w:r>
      <w:r>
        <w:rPr>
          <w:rFonts w:hint="eastAsia"/>
        </w:rPr>
        <w:t>年间，大学内的学生和教师的比例是</w:t>
      </w:r>
      <w:r>
        <w:t>31:1</w:t>
      </w:r>
      <w:r>
        <w:rPr>
          <w:rFonts w:hint="eastAsia"/>
        </w:rPr>
        <w:t>。</w:t>
      </w:r>
    </w:p>
    <w:p w:rsidR="00000000" w:rsidRDefault="003D15A7">
      <w:r>
        <w:tab/>
        <w:t xml:space="preserve">179.  </w:t>
      </w:r>
      <w:r>
        <w:rPr>
          <w:rFonts w:hint="eastAsia"/>
        </w:rPr>
        <w:t>通过持续努</w:t>
      </w:r>
      <w:r>
        <w:rPr>
          <w:rFonts w:hint="eastAsia"/>
        </w:rPr>
        <w:t>力招聘具有研究资格的教师来提高教职人员水平。大学高等教育内的教师人数在</w:t>
      </w:r>
      <w:r>
        <w:t>1961</w:t>
      </w:r>
      <w:r>
        <w:rPr>
          <w:rFonts w:hint="eastAsia"/>
        </w:rPr>
        <w:t>至</w:t>
      </w:r>
      <w:r>
        <w:t>1962</w:t>
      </w:r>
      <w:r>
        <w:rPr>
          <w:rFonts w:hint="eastAsia"/>
        </w:rPr>
        <w:t>年为</w:t>
      </w:r>
      <w:r>
        <w:t>172</w:t>
      </w:r>
      <w:r>
        <w:rPr>
          <w:rFonts w:hint="eastAsia"/>
        </w:rPr>
        <w:t>人次</w:t>
      </w:r>
      <w:r>
        <w:t>(81%</w:t>
      </w:r>
      <w:r>
        <w:rPr>
          <w:rFonts w:hint="eastAsia"/>
        </w:rPr>
        <w:t>来自海外</w:t>
      </w:r>
      <w:r>
        <w:t>)</w:t>
      </w:r>
      <w:r>
        <w:rPr>
          <w:rFonts w:hint="eastAsia"/>
        </w:rPr>
        <w:t>，到</w:t>
      </w:r>
      <w:r>
        <w:t>1996</w:t>
      </w:r>
      <w:r>
        <w:rPr>
          <w:rFonts w:hint="eastAsia"/>
        </w:rPr>
        <w:t>至</w:t>
      </w:r>
      <w:r>
        <w:t>1997</w:t>
      </w:r>
      <w:r>
        <w:rPr>
          <w:rFonts w:hint="eastAsia"/>
        </w:rPr>
        <w:t>年，教师人数达</w:t>
      </w:r>
      <w:r>
        <w:t>9,600</w:t>
      </w:r>
      <w:r>
        <w:rPr>
          <w:rFonts w:hint="eastAsia"/>
        </w:rPr>
        <w:t>人次</w:t>
      </w:r>
      <w:r>
        <w:t>(</w:t>
      </w:r>
      <w:r>
        <w:rPr>
          <w:rFonts w:hint="eastAsia"/>
        </w:rPr>
        <w:t>其中</w:t>
      </w:r>
      <w:r>
        <w:t>2,270</w:t>
      </w:r>
      <w:r>
        <w:rPr>
          <w:rFonts w:hint="eastAsia"/>
        </w:rPr>
        <w:t>名女教师，外籍教师不到</w:t>
      </w:r>
      <w:r>
        <w:t>1%</w:t>
      </w:r>
      <w:r>
        <w:rPr>
          <w:rFonts w:hint="eastAsia"/>
        </w:rPr>
        <w:t>。</w:t>
      </w:r>
      <w:r>
        <w:t>)</w:t>
      </w:r>
      <w:r>
        <w:rPr>
          <w:rFonts w:hint="eastAsia"/>
        </w:rPr>
        <w:t>自</w:t>
      </w:r>
      <w:r>
        <w:t>1994</w:t>
      </w:r>
      <w:r>
        <w:rPr>
          <w:rFonts w:hint="eastAsia"/>
        </w:rPr>
        <w:t>年以来，国家招聘大学高等教育的教师人数是</w:t>
      </w:r>
      <w:r>
        <w:t>2,034</w:t>
      </w:r>
      <w:r>
        <w:rPr>
          <w:rFonts w:hint="eastAsia"/>
        </w:rPr>
        <w:t>名，比例为每年</w:t>
      </w:r>
      <w:r>
        <w:t>678</w:t>
      </w:r>
      <w:r>
        <w:rPr>
          <w:rFonts w:hint="eastAsia"/>
        </w:rPr>
        <w:t>人。</w:t>
      </w:r>
    </w:p>
    <w:p w:rsidR="00000000" w:rsidRDefault="003D15A7">
      <w:r>
        <w:tab/>
        <w:t xml:space="preserve">180.  </w:t>
      </w:r>
      <w:r>
        <w:rPr>
          <w:rFonts w:hint="eastAsia"/>
        </w:rPr>
        <w:t>摩洛哥高等教育发展最为积极的方面之一是在该国所有经济区域建立的大学中心有效地在全国一级促进权力下放。大学城的数量从</w:t>
      </w:r>
      <w:r>
        <w:t>1960</w:t>
      </w:r>
      <w:r>
        <w:rPr>
          <w:rFonts w:hint="eastAsia"/>
        </w:rPr>
        <w:t>至</w:t>
      </w:r>
      <w:r>
        <w:t>61</w:t>
      </w:r>
      <w:r>
        <w:rPr>
          <w:rFonts w:hint="eastAsia"/>
        </w:rPr>
        <w:t>年的</w:t>
      </w:r>
      <w:r>
        <w:t>2</w:t>
      </w:r>
      <w:r>
        <w:rPr>
          <w:rFonts w:hint="eastAsia"/>
        </w:rPr>
        <w:t>个上升至</w:t>
      </w:r>
      <w:r>
        <w:t>1996</w:t>
      </w:r>
      <w:r>
        <w:rPr>
          <w:rFonts w:hint="eastAsia"/>
        </w:rPr>
        <w:t>年至</w:t>
      </w:r>
      <w:r>
        <w:t>97</w:t>
      </w:r>
      <w:r>
        <w:rPr>
          <w:rFonts w:hint="eastAsia"/>
        </w:rPr>
        <w:t>年</w:t>
      </w:r>
      <w:r>
        <w:t>17</w:t>
      </w:r>
      <w:r>
        <w:rPr>
          <w:rFonts w:hint="eastAsia"/>
        </w:rPr>
        <w:t>个。同一时期，高等教育大学学院的</w:t>
      </w:r>
      <w:r>
        <w:rPr>
          <w:rFonts w:hint="eastAsia"/>
        </w:rPr>
        <w:t>数量从</w:t>
      </w:r>
      <w:r>
        <w:t>6</w:t>
      </w:r>
      <w:r>
        <w:rPr>
          <w:rFonts w:hint="eastAsia"/>
        </w:rPr>
        <w:t>个上升至</w:t>
      </w:r>
      <w:r>
        <w:t>63</w:t>
      </w:r>
      <w:r>
        <w:rPr>
          <w:rFonts w:hint="eastAsia"/>
        </w:rPr>
        <w:t>个，</w:t>
      </w:r>
      <w:r>
        <w:t>1997</w:t>
      </w:r>
      <w:r>
        <w:rPr>
          <w:rFonts w:hint="eastAsia"/>
        </w:rPr>
        <w:t>至</w:t>
      </w:r>
      <w:r>
        <w:t>98</w:t>
      </w:r>
      <w:r>
        <w:rPr>
          <w:rFonts w:hint="eastAsia"/>
        </w:rPr>
        <w:t>年上升至</w:t>
      </w:r>
      <w:r>
        <w:t>68</w:t>
      </w:r>
      <w:r>
        <w:rPr>
          <w:rFonts w:hint="eastAsia"/>
        </w:rPr>
        <w:t>个。如果把管理培训机构，特别是那些为教师提供管理培训的机构考虑在内，进行高等教育的机构和城市的数量则更大。在同一时期内，大学的数量从</w:t>
      </w:r>
      <w:r>
        <w:t>2</w:t>
      </w:r>
      <w:r>
        <w:rPr>
          <w:rFonts w:hint="eastAsia"/>
        </w:rPr>
        <w:t>个上升至</w:t>
      </w:r>
      <w:r>
        <w:t>13</w:t>
      </w:r>
      <w:r>
        <w:rPr>
          <w:rFonts w:hint="eastAsia"/>
        </w:rPr>
        <w:t>个，而后在</w:t>
      </w:r>
      <w:r>
        <w:t>1997</w:t>
      </w:r>
      <w:r>
        <w:rPr>
          <w:rFonts w:hint="eastAsia"/>
        </w:rPr>
        <w:t>至</w:t>
      </w:r>
      <w:r>
        <w:t>98</w:t>
      </w:r>
      <w:r>
        <w:rPr>
          <w:rFonts w:hint="eastAsia"/>
        </w:rPr>
        <w:t>年之间上升至</w:t>
      </w:r>
      <w:r>
        <w:t>14</w:t>
      </w:r>
      <w:r>
        <w:rPr>
          <w:rFonts w:hint="eastAsia"/>
        </w:rPr>
        <w:t>个。</w:t>
      </w:r>
    </w:p>
    <w:p w:rsidR="00000000" w:rsidRDefault="003D15A7">
      <w:r>
        <w:tab/>
        <w:t xml:space="preserve">181.  </w:t>
      </w:r>
      <w:r>
        <w:rPr>
          <w:rFonts w:hint="eastAsia"/>
        </w:rPr>
        <w:t>为了使培训适应经济的需要，并且帮助毕业生轻松地融入这一体系，在</w:t>
      </w:r>
      <w:r>
        <w:t>1980</w:t>
      </w:r>
      <w:r>
        <w:rPr>
          <w:rFonts w:hint="eastAsia"/>
        </w:rPr>
        <w:t>年代初采取了高等教育多样化政策，并在</w:t>
      </w:r>
      <w:r>
        <w:t>1990</w:t>
      </w:r>
      <w:r>
        <w:rPr>
          <w:rFonts w:hint="eastAsia"/>
        </w:rPr>
        <w:t>年初期加紧予以实施。创建了</w:t>
      </w:r>
      <w:r>
        <w:t>7</w:t>
      </w:r>
      <w:r>
        <w:rPr>
          <w:rFonts w:hint="eastAsia"/>
        </w:rPr>
        <w:t>所高等技术学院、</w:t>
      </w:r>
      <w:r>
        <w:t>7</w:t>
      </w:r>
      <w:r>
        <w:rPr>
          <w:rFonts w:hint="eastAsia"/>
        </w:rPr>
        <w:t>个科技和技术系、</w:t>
      </w:r>
      <w:r>
        <w:t>3</w:t>
      </w:r>
      <w:r>
        <w:rPr>
          <w:rFonts w:hint="eastAsia"/>
        </w:rPr>
        <w:t>个全国性商业和管理学院、一个应用艺术和手工艺学院和两个医学和药物系。其地理位置</w:t>
      </w:r>
      <w:r>
        <w:rPr>
          <w:rFonts w:hint="eastAsia"/>
        </w:rPr>
        <w:t>的确定考虑到每个东道城市的具体特征和疏散分布的因素。新的培训主动行动的目标是：</w:t>
      </w:r>
    </w:p>
    <w:p w:rsidR="00000000" w:rsidRDefault="003D15A7" w:rsidP="003D15A7">
      <w:pPr>
        <w:pStyle w:val="a0"/>
        <w:numPr>
          <w:ilvl w:val="0"/>
          <w:numId w:val="12"/>
        </w:numPr>
        <w:ind w:left="1531" w:hanging="510"/>
      </w:pPr>
      <w:r>
        <w:rPr>
          <w:rFonts w:hint="eastAsia"/>
        </w:rPr>
        <w:t>加强科学技术科目和信息技术的培训；</w:t>
      </w:r>
    </w:p>
    <w:p w:rsidR="00000000" w:rsidRDefault="003D15A7" w:rsidP="003D15A7">
      <w:pPr>
        <w:pStyle w:val="a0"/>
        <w:numPr>
          <w:ilvl w:val="0"/>
          <w:numId w:val="12"/>
        </w:numPr>
        <w:ind w:left="1531" w:hanging="510"/>
      </w:pPr>
      <w:r>
        <w:rPr>
          <w:rFonts w:hint="eastAsia"/>
        </w:rPr>
        <w:t>在技术专业培训中提供选择多样化以期帮助学生直接投入工作生活；</w:t>
      </w:r>
    </w:p>
    <w:p w:rsidR="00000000" w:rsidRDefault="003D15A7" w:rsidP="003D15A7">
      <w:pPr>
        <w:pStyle w:val="a0"/>
        <w:numPr>
          <w:ilvl w:val="0"/>
          <w:numId w:val="12"/>
        </w:numPr>
        <w:ind w:left="1531" w:hanging="510"/>
      </w:pPr>
      <w:r>
        <w:rPr>
          <w:rFonts w:hint="eastAsia"/>
        </w:rPr>
        <w:t>调整培训和研究使之和地区一级的经济部门的问题相一致；</w:t>
      </w:r>
    </w:p>
    <w:p w:rsidR="00000000" w:rsidRDefault="003D15A7" w:rsidP="003D15A7">
      <w:pPr>
        <w:pStyle w:val="a0"/>
        <w:numPr>
          <w:ilvl w:val="0"/>
          <w:numId w:val="12"/>
        </w:numPr>
        <w:ind w:left="1531" w:hanging="510"/>
      </w:pPr>
      <w:r>
        <w:rPr>
          <w:rFonts w:hint="eastAsia"/>
        </w:rPr>
        <w:t>采用新的方法和方案培训具有建立中小型企业本领和能力的学生。</w:t>
      </w:r>
    </w:p>
    <w:p w:rsidR="00000000" w:rsidRDefault="003D15A7">
      <w:r>
        <w:tab/>
        <w:t xml:space="preserve">182.  </w:t>
      </w:r>
      <w:r>
        <w:rPr>
          <w:rFonts w:hint="eastAsia"/>
        </w:rPr>
        <w:t>还可通过所申请的学位在过去的学院内得到更多样化的培训。这些课程将在科学、艺术和法律学位的第二轮进行。其主要目标是对这些机构注入新的动力，使它们和经济社会环境有一个新的关系。</w:t>
      </w:r>
    </w:p>
    <w:p w:rsidR="00000000" w:rsidRDefault="003D15A7">
      <w:r>
        <w:tab/>
        <w:t xml:space="preserve">183.  </w:t>
      </w:r>
      <w:r>
        <w:rPr>
          <w:rFonts w:hint="eastAsia"/>
        </w:rPr>
        <w:t>摩洛哥高等教育最大</w:t>
      </w:r>
      <w:r>
        <w:rPr>
          <w:rFonts w:hint="eastAsia"/>
        </w:rPr>
        <w:t>的成就之一是提高了从低下收入背景脱颖而出的管理阶级的社会地位，并帮助提高了妇女的地位。在</w:t>
      </w:r>
      <w:r>
        <w:t>1996</w:t>
      </w:r>
      <w:r>
        <w:rPr>
          <w:rFonts w:hint="eastAsia"/>
        </w:rPr>
        <w:t>至</w:t>
      </w:r>
      <w:r>
        <w:t>97</w:t>
      </w:r>
      <w:r>
        <w:rPr>
          <w:rFonts w:hint="eastAsia"/>
        </w:rPr>
        <w:t>年间，学生中约</w:t>
      </w:r>
      <w:r>
        <w:t>41.4%</w:t>
      </w:r>
      <w:r>
        <w:rPr>
          <w:rFonts w:hint="eastAsia"/>
        </w:rPr>
        <w:t>是女生。在医学、药物学和艺术方面，女生比例超过了</w:t>
      </w:r>
      <w:r>
        <w:t>50%</w:t>
      </w:r>
      <w:r>
        <w:rPr>
          <w:rFonts w:hint="eastAsia"/>
        </w:rPr>
        <w:t>：在牙医方面为</w:t>
      </w:r>
      <w:r>
        <w:t>67.7%</w:t>
      </w:r>
      <w:r>
        <w:rPr>
          <w:rFonts w:hint="eastAsia"/>
        </w:rPr>
        <w:t>、在医学和药物学方面为</w:t>
      </w:r>
      <w:r>
        <w:t>54.4%</w:t>
      </w:r>
      <w:r>
        <w:rPr>
          <w:rFonts w:hint="eastAsia"/>
        </w:rPr>
        <w:t>、在艺术学科方面为</w:t>
      </w:r>
      <w:r>
        <w:t>51.4%</w:t>
      </w:r>
      <w:r>
        <w:rPr>
          <w:rFonts w:hint="eastAsia"/>
        </w:rPr>
        <w:t>。在经济和法律学方面，</w:t>
      </w:r>
      <w:r>
        <w:t>40.5%</w:t>
      </w:r>
      <w:r>
        <w:rPr>
          <w:rFonts w:hint="eastAsia"/>
        </w:rPr>
        <w:t>的学生是女生。商业和行政管理方面的女生比例是</w:t>
      </w:r>
      <w:r>
        <w:t>43.2%</w:t>
      </w:r>
      <w:r>
        <w:rPr>
          <w:rFonts w:hint="eastAsia"/>
        </w:rPr>
        <w:t>。在科学技术学科方面，在技术方面，女生的比例为</w:t>
      </w:r>
      <w:r>
        <w:t>36.4%</w:t>
      </w:r>
      <w:r>
        <w:rPr>
          <w:rFonts w:hint="eastAsia"/>
        </w:rPr>
        <w:t>，科学为</w:t>
      </w:r>
      <w:r>
        <w:t>30%</w:t>
      </w:r>
      <w:r>
        <w:rPr>
          <w:rFonts w:hint="eastAsia"/>
        </w:rPr>
        <w:t>，科学技术为</w:t>
      </w:r>
      <w:r>
        <w:t>27%</w:t>
      </w:r>
      <w:r>
        <w:rPr>
          <w:rFonts w:hint="eastAsia"/>
        </w:rPr>
        <w:t>、工程科学为</w:t>
      </w:r>
      <w:r>
        <w:t>20%</w:t>
      </w:r>
      <w:r>
        <w:rPr>
          <w:rFonts w:hint="eastAsia"/>
        </w:rPr>
        <w:t>。</w:t>
      </w:r>
      <w:r>
        <w:t>1996</w:t>
      </w:r>
      <w:r>
        <w:rPr>
          <w:rFonts w:hint="eastAsia"/>
        </w:rPr>
        <w:t>至</w:t>
      </w:r>
      <w:r>
        <w:t>97</w:t>
      </w:r>
      <w:r>
        <w:rPr>
          <w:rFonts w:hint="eastAsia"/>
        </w:rPr>
        <w:t>年间第三轮课程入学学生中</w:t>
      </w:r>
      <w:r>
        <w:t>31%</w:t>
      </w:r>
      <w:r>
        <w:rPr>
          <w:rFonts w:hint="eastAsia"/>
        </w:rPr>
        <w:t>是女生。</w:t>
      </w:r>
      <w:r>
        <w:t>1</w:t>
      </w:r>
      <w:r>
        <w:t>995</w:t>
      </w:r>
      <w:r>
        <w:rPr>
          <w:rFonts w:hint="eastAsia"/>
        </w:rPr>
        <w:t>至</w:t>
      </w:r>
      <w:r>
        <w:t>96</w:t>
      </w:r>
      <w:r>
        <w:rPr>
          <w:rFonts w:hint="eastAsia"/>
        </w:rPr>
        <w:t>年间</w:t>
      </w:r>
      <w:r>
        <w:t>,39%</w:t>
      </w:r>
      <w:r>
        <w:rPr>
          <w:rFonts w:hint="eastAsia"/>
        </w:rPr>
        <w:t>的高等教育毕业生是女生</w:t>
      </w:r>
      <w:r>
        <w:t>,1995</w:t>
      </w:r>
      <w:r>
        <w:rPr>
          <w:rFonts w:hint="eastAsia"/>
        </w:rPr>
        <w:t>至</w:t>
      </w:r>
      <w:r>
        <w:t>96</w:t>
      </w:r>
      <w:r>
        <w:rPr>
          <w:rFonts w:hint="eastAsia"/>
        </w:rPr>
        <w:t>年间</w:t>
      </w:r>
      <w:r>
        <w:t>,24.4%</w:t>
      </w:r>
      <w:r>
        <w:rPr>
          <w:rFonts w:hint="eastAsia"/>
        </w:rPr>
        <w:t>的大学教学人员是妇女，而在</w:t>
      </w:r>
      <w:r>
        <w:t>1993</w:t>
      </w:r>
      <w:r>
        <w:rPr>
          <w:rFonts w:hint="eastAsia"/>
        </w:rPr>
        <w:t>至</w:t>
      </w:r>
      <w:r>
        <w:t>94</w:t>
      </w:r>
      <w:r>
        <w:rPr>
          <w:rFonts w:hint="eastAsia"/>
        </w:rPr>
        <w:t>年为</w:t>
      </w:r>
      <w:r>
        <w:t>22%</w:t>
      </w:r>
      <w:r>
        <w:rPr>
          <w:rFonts w:hint="eastAsia"/>
        </w:rPr>
        <w:t>。</w:t>
      </w:r>
    </w:p>
    <w:p w:rsidR="00000000" w:rsidRDefault="003D15A7">
      <w:r>
        <w:tab/>
        <w:t xml:space="preserve">184.  </w:t>
      </w:r>
      <w:r>
        <w:rPr>
          <w:rFonts w:hint="eastAsia"/>
        </w:rPr>
        <w:t>为了扩大高等教育的目标，与此同时向新近合格的学位获得者，特别是那些来自贫困地区的学位获得者提供充分利用高等教育的机会，国家向学生提供援助，方式有奖学金、食物和住房、保健医疗和文化体育设施。招入高等教育的所有学生都有权申请奖学金。</w:t>
      </w:r>
      <w:r>
        <w:t>1994</w:t>
      </w:r>
      <w:r>
        <w:rPr>
          <w:rFonts w:hint="eastAsia"/>
        </w:rPr>
        <w:t>年大学奖学金的预算是</w:t>
      </w:r>
      <w:r>
        <w:t>6</w:t>
      </w:r>
      <w:r>
        <w:rPr>
          <w:rFonts w:hint="eastAsia"/>
        </w:rPr>
        <w:t>亿迪拉姆，占大学教育业务预算的</w:t>
      </w:r>
      <w:r>
        <w:t>27%</w:t>
      </w:r>
      <w:r>
        <w:rPr>
          <w:rFonts w:hint="eastAsia"/>
        </w:rPr>
        <w:t>左右。自</w:t>
      </w:r>
      <w:r>
        <w:t>1994</w:t>
      </w:r>
      <w:r>
        <w:rPr>
          <w:rFonts w:hint="eastAsia"/>
        </w:rPr>
        <w:t>以来，执行了合理使用奖学金制度的政策，通过向来自低收入家</w:t>
      </w:r>
      <w:r>
        <w:rPr>
          <w:rFonts w:hint="eastAsia"/>
        </w:rPr>
        <w:t>庭的学生提供奖学金的方法达到更公平的目的。尽管实施了合理化的政策，在</w:t>
      </w:r>
      <w:r>
        <w:t>1996</w:t>
      </w:r>
      <w:r>
        <w:rPr>
          <w:rFonts w:hint="eastAsia"/>
        </w:rPr>
        <w:t>至</w:t>
      </w:r>
      <w:r>
        <w:t>97</w:t>
      </w:r>
      <w:r>
        <w:rPr>
          <w:rFonts w:hint="eastAsia"/>
        </w:rPr>
        <w:t>年间</w:t>
      </w:r>
      <w:r>
        <w:t>75%</w:t>
      </w:r>
      <w:r>
        <w:rPr>
          <w:rFonts w:hint="eastAsia"/>
        </w:rPr>
        <w:t>的奖学金申请者得到奖学金，大学奖学金预算仍然是</w:t>
      </w:r>
      <w:r>
        <w:t>6</w:t>
      </w:r>
      <w:r>
        <w:rPr>
          <w:rFonts w:hint="eastAsia"/>
        </w:rPr>
        <w:t>亿迪拉姆。得到奖学金的学生人数是</w:t>
      </w:r>
      <w:r>
        <w:t>146,000</w:t>
      </w:r>
      <w:r>
        <w:rPr>
          <w:rFonts w:hint="eastAsia"/>
        </w:rPr>
        <w:t>人，占大学高等教育学生人数的</w:t>
      </w:r>
      <w:r>
        <w:t>58%</w:t>
      </w:r>
      <w:r>
        <w:rPr>
          <w:rFonts w:hint="eastAsia"/>
        </w:rPr>
        <w:t>以上。居住在学生宿舍的学生人数是</w:t>
      </w:r>
      <w:r>
        <w:t>33,682</w:t>
      </w:r>
      <w:r>
        <w:rPr>
          <w:rFonts w:hint="eastAsia"/>
        </w:rPr>
        <w:t>人</w:t>
      </w:r>
      <w:r>
        <w:t>(</w:t>
      </w:r>
      <w:r>
        <w:rPr>
          <w:rFonts w:hint="eastAsia"/>
        </w:rPr>
        <w:t>占总人数的</w:t>
      </w:r>
      <w:r>
        <w:t>13%)</w:t>
      </w:r>
      <w:r>
        <w:rPr>
          <w:rFonts w:hint="eastAsia"/>
        </w:rPr>
        <w:t>，膳食供应的数量估计为</w:t>
      </w:r>
      <w:r>
        <w:t>629</w:t>
      </w:r>
      <w:r>
        <w:rPr>
          <w:rFonts w:hint="eastAsia"/>
        </w:rPr>
        <w:t>万。</w:t>
      </w:r>
    </w:p>
    <w:p w:rsidR="00000000" w:rsidRDefault="003D15A7">
      <w:pPr>
        <w:spacing w:after="320"/>
        <w:textAlignment w:val="center"/>
      </w:pPr>
      <w:r>
        <w:tab/>
        <w:t>185.  1997</w:t>
      </w:r>
      <w:r>
        <w:rPr>
          <w:rFonts w:hint="eastAsia"/>
        </w:rPr>
        <w:t>至</w:t>
      </w:r>
      <w:r>
        <w:t>98</w:t>
      </w:r>
      <w:r>
        <w:rPr>
          <w:rFonts w:hint="eastAsia"/>
        </w:rPr>
        <w:t>年间大学高等教育预算约为</w:t>
      </w:r>
      <w:r>
        <w:t>33</w:t>
      </w:r>
      <w:r>
        <w:rPr>
          <w:rFonts w:hint="eastAsia"/>
        </w:rPr>
        <w:t>亿零六百万迪拉姆，即国家预算的</w:t>
      </w:r>
      <w:r>
        <w:t>4.5%</w:t>
      </w:r>
      <w:r>
        <w:rPr>
          <w:rFonts w:hint="eastAsia"/>
        </w:rPr>
        <w:t>，而在</w:t>
      </w:r>
      <w:r>
        <w:t>1993</w:t>
      </w:r>
      <w:r>
        <w:rPr>
          <w:rFonts w:hint="eastAsia"/>
        </w:rPr>
        <w:t>至</w:t>
      </w:r>
      <w:r>
        <w:t>1994</w:t>
      </w:r>
      <w:r>
        <w:rPr>
          <w:rFonts w:hint="eastAsia"/>
        </w:rPr>
        <w:t>年间为</w:t>
      </w:r>
      <w:r>
        <w:t>4%</w:t>
      </w:r>
      <w:r>
        <w:rPr>
          <w:rFonts w:hint="eastAsia"/>
        </w:rPr>
        <w:t>，</w:t>
      </w:r>
      <w:r>
        <w:t>1979</w:t>
      </w:r>
      <w:r>
        <w:rPr>
          <w:rFonts w:hint="eastAsia"/>
        </w:rPr>
        <w:t>至</w:t>
      </w:r>
      <w:r>
        <w:t>80</w:t>
      </w:r>
      <w:r>
        <w:rPr>
          <w:rFonts w:hint="eastAsia"/>
        </w:rPr>
        <w:t>年间为</w:t>
      </w:r>
      <w:r>
        <w:t>3.2%</w:t>
      </w:r>
      <w:r>
        <w:rPr>
          <w:rFonts w:hint="eastAsia"/>
        </w:rPr>
        <w:t>。这些数字表明了摩洛哥当局尽了极大</w:t>
      </w:r>
      <w:r>
        <w:rPr>
          <w:rFonts w:hint="eastAsia"/>
        </w:rPr>
        <w:t>的努力在平等的基础上向所有人提供高等教育。</w:t>
      </w:r>
    </w:p>
    <w:p w:rsidR="00000000" w:rsidRDefault="003D15A7">
      <w:pPr>
        <w:pStyle w:val="Heading3"/>
      </w:pPr>
      <w:r>
        <w:rPr>
          <w:u w:val="none"/>
        </w:rPr>
        <w:t xml:space="preserve">E.  </w:t>
      </w:r>
      <w:r>
        <w:rPr>
          <w:rFonts w:hint="eastAsia"/>
        </w:rPr>
        <w:t>选择教育机构的权利</w:t>
      </w:r>
    </w:p>
    <w:p w:rsidR="00000000" w:rsidRDefault="003D15A7">
      <w:pPr>
        <w:spacing w:after="320"/>
        <w:textAlignment w:val="center"/>
      </w:pPr>
      <w:r>
        <w:tab/>
        <w:t xml:space="preserve">186.  </w:t>
      </w:r>
      <w:r>
        <w:rPr>
          <w:rFonts w:hint="eastAsia"/>
        </w:rPr>
        <w:t>家长可以自由地根据其选择送子女去公立或私立学校。摩洛哥法律没有任何条款阻止自由行使这一权利或者行使开设或指导学校的权利。</w:t>
      </w:r>
    </w:p>
    <w:p w:rsidR="00000000" w:rsidRDefault="003D15A7">
      <w:pPr>
        <w:pStyle w:val="Heading3"/>
      </w:pPr>
      <w:r>
        <w:rPr>
          <w:u w:val="none"/>
        </w:rPr>
        <w:t xml:space="preserve">F.  </w:t>
      </w:r>
      <w:r>
        <w:rPr>
          <w:rFonts w:hint="eastAsia"/>
        </w:rPr>
        <w:t>成人教育和扫盲</w:t>
      </w:r>
    </w:p>
    <w:p w:rsidR="00000000" w:rsidRDefault="003D15A7">
      <w:r>
        <w:tab/>
        <w:t xml:space="preserve">187.  </w:t>
      </w:r>
      <w:r>
        <w:rPr>
          <w:rFonts w:hint="eastAsia"/>
        </w:rPr>
        <w:t>在开展扫盲运动的框架内，就业部制定了具体和一般性质的项目和方案。一般扫盲方案包括摩洛哥王国所有省份、人口的所有范畴、每年从</w:t>
      </w:r>
      <w:r>
        <w:t>10</w:t>
      </w:r>
      <w:r>
        <w:rPr>
          <w:rFonts w:hint="eastAsia"/>
        </w:rPr>
        <w:t>月</w:t>
      </w:r>
      <w:r>
        <w:t>1</w:t>
      </w:r>
      <w:r>
        <w:rPr>
          <w:rFonts w:hint="eastAsia"/>
        </w:rPr>
        <w:t>日开始，为期为</w:t>
      </w:r>
      <w:r>
        <w:t>9</w:t>
      </w:r>
      <w:r>
        <w:rPr>
          <w:rFonts w:hint="eastAsia"/>
        </w:rPr>
        <w:t>个月。扫盲运动分两个层次：基本阶段</w:t>
      </w:r>
      <w:r>
        <w:t>(</w:t>
      </w:r>
      <w:r>
        <w:rPr>
          <w:rFonts w:hint="eastAsia"/>
        </w:rPr>
        <w:t>第一年</w:t>
      </w:r>
      <w:r>
        <w:t>)</w:t>
      </w:r>
      <w:r>
        <w:rPr>
          <w:rFonts w:hint="eastAsia"/>
        </w:rPr>
        <w:t>和补充阶段</w:t>
      </w:r>
      <w:r>
        <w:t>(</w:t>
      </w:r>
      <w:r>
        <w:rPr>
          <w:rFonts w:hint="eastAsia"/>
        </w:rPr>
        <w:t>第二年</w:t>
      </w:r>
      <w:r>
        <w:t>)</w:t>
      </w:r>
      <w:r>
        <w:rPr>
          <w:rFonts w:hint="eastAsia"/>
        </w:rPr>
        <w:t>请参见以下题为扫盲运动概述的表格</w:t>
      </w:r>
      <w:r>
        <w:t>(1994</w:t>
      </w:r>
      <w:r>
        <w:rPr>
          <w:rFonts w:hint="eastAsia"/>
        </w:rPr>
        <w:t>至</w:t>
      </w:r>
      <w:r>
        <w:t>1997</w:t>
      </w:r>
      <w:r>
        <w:rPr>
          <w:rFonts w:hint="eastAsia"/>
        </w:rPr>
        <w:t>年</w:t>
      </w:r>
      <w:r>
        <w:t>)</w:t>
      </w:r>
      <w:r>
        <w:rPr>
          <w:rFonts w:hint="eastAsia"/>
        </w:rPr>
        <w:t>。</w:t>
      </w:r>
    </w:p>
    <w:p w:rsidR="00000000" w:rsidRDefault="003D15A7">
      <w:pPr>
        <w:spacing w:after="320"/>
        <w:textAlignment w:val="center"/>
      </w:pPr>
      <w:r>
        <w:tab/>
        <w:t xml:space="preserve">188.  </w:t>
      </w:r>
      <w:r>
        <w:rPr>
          <w:rFonts w:hint="eastAsia"/>
        </w:rPr>
        <w:t>社会优先事项方案</w:t>
      </w:r>
      <w:r>
        <w:t>(BAJI)</w:t>
      </w:r>
      <w:r>
        <w:rPr>
          <w:rFonts w:hint="eastAsia"/>
        </w:rPr>
        <w:t>涉及农村地区。</w:t>
      </w:r>
      <w:r>
        <w:t>1997</w:t>
      </w:r>
      <w:r>
        <w:rPr>
          <w:rFonts w:hint="eastAsia"/>
        </w:rPr>
        <w:t>年开始进行磋商以期招聘国际专家帮助就业部。这个方案在全国</w:t>
      </w:r>
      <w:r>
        <w:t>14</w:t>
      </w:r>
      <w:r>
        <w:rPr>
          <w:rFonts w:hint="eastAsia"/>
        </w:rPr>
        <w:t>个处于最不利地位的省份试点进行。这个方案的目标有三个方面：制订和检验有关以科学方法进行职业补习和岗位补习的新战略、介绍概念和每年帮助</w:t>
      </w:r>
      <w:r>
        <w:t>4</w:t>
      </w:r>
      <w:r>
        <w:rPr>
          <w:rFonts w:hint="eastAsia"/>
        </w:rPr>
        <w:t>万人识字，以每个省份</w:t>
      </w:r>
      <w:r>
        <w:t>3,000</w:t>
      </w:r>
      <w:r>
        <w:rPr>
          <w:rFonts w:hint="eastAsia"/>
        </w:rPr>
        <w:t>人为基础。</w:t>
      </w:r>
    </w:p>
    <w:p w:rsidR="00000000" w:rsidRDefault="003D15A7">
      <w:pPr>
        <w:pStyle w:val="Heading3"/>
      </w:pPr>
      <w:r>
        <w:rPr>
          <w:u w:val="none"/>
        </w:rPr>
        <w:t xml:space="preserve">G.  </w:t>
      </w:r>
      <w:r>
        <w:rPr>
          <w:rFonts w:hint="eastAsia"/>
        </w:rPr>
        <w:t>具</w:t>
      </w:r>
      <w:r>
        <w:t xml:space="preserve"> </w:t>
      </w:r>
      <w:r>
        <w:rPr>
          <w:rFonts w:hint="eastAsia"/>
        </w:rPr>
        <w:t>体</w:t>
      </w:r>
      <w:r>
        <w:t xml:space="preserve"> </w:t>
      </w:r>
      <w:r>
        <w:rPr>
          <w:rFonts w:hint="eastAsia"/>
        </w:rPr>
        <w:t>项</w:t>
      </w:r>
      <w:r>
        <w:t xml:space="preserve"> </w:t>
      </w:r>
      <w:r>
        <w:rPr>
          <w:rFonts w:hint="eastAsia"/>
        </w:rPr>
        <w:t>目</w:t>
      </w:r>
    </w:p>
    <w:p w:rsidR="00000000" w:rsidRDefault="003D15A7">
      <w:pPr>
        <w:pStyle w:val="Heading3"/>
      </w:pPr>
      <w:r>
        <w:rPr>
          <w:u w:val="none"/>
        </w:rPr>
        <w:t xml:space="preserve">1.  </w:t>
      </w:r>
      <w:r>
        <w:rPr>
          <w:rFonts w:hint="eastAsia"/>
        </w:rPr>
        <w:t>项目</w:t>
      </w:r>
      <w:r>
        <w:t>MOR/93/P 12</w:t>
      </w:r>
    </w:p>
    <w:p w:rsidR="00000000" w:rsidRDefault="003D15A7">
      <w:r>
        <w:tab/>
        <w:t xml:space="preserve">189.  </w:t>
      </w:r>
      <w:r>
        <w:rPr>
          <w:rFonts w:hint="eastAsia"/>
        </w:rPr>
        <w:t>在和人口活动基金合作的框架内发起这个项目以实现：</w:t>
      </w:r>
    </w:p>
    <w:p w:rsidR="00000000" w:rsidRDefault="003D15A7" w:rsidP="003D15A7">
      <w:pPr>
        <w:pStyle w:val="a0"/>
        <w:numPr>
          <w:ilvl w:val="0"/>
          <w:numId w:val="13"/>
        </w:numPr>
        <w:ind w:left="1531" w:hanging="510"/>
      </w:pPr>
      <w:r>
        <w:rPr>
          <w:rFonts w:hint="eastAsia"/>
        </w:rPr>
        <w:t>培训</w:t>
      </w:r>
      <w:r>
        <w:t>40</w:t>
      </w:r>
      <w:r>
        <w:rPr>
          <w:rFonts w:hint="eastAsia"/>
        </w:rPr>
        <w:t>名管理工作人员</w:t>
      </w:r>
      <w:r>
        <w:t>,8</w:t>
      </w:r>
      <w:r>
        <w:rPr>
          <w:rFonts w:hint="eastAsia"/>
        </w:rPr>
        <w:t>名女性地区福利中心协调员、</w:t>
      </w:r>
      <w:r>
        <w:t>480</w:t>
      </w:r>
      <w:r>
        <w:rPr>
          <w:rFonts w:hint="eastAsia"/>
        </w:rPr>
        <w:t>名女性教育和工作中心监督员</w:t>
      </w:r>
      <w:r>
        <w:rPr>
          <w:rFonts w:hint="eastAsia"/>
        </w:rPr>
        <w:t>和</w:t>
      </w:r>
      <w:r>
        <w:t>240</w:t>
      </w:r>
      <w:r>
        <w:rPr>
          <w:rFonts w:hint="eastAsia"/>
        </w:rPr>
        <w:t>名女性教育和工作中心领导人；</w:t>
      </w:r>
    </w:p>
    <w:p w:rsidR="00000000" w:rsidRDefault="003D15A7" w:rsidP="003D15A7">
      <w:pPr>
        <w:pStyle w:val="a0"/>
        <w:numPr>
          <w:ilvl w:val="0"/>
          <w:numId w:val="13"/>
        </w:numPr>
        <w:ind w:left="1531" w:hanging="510"/>
      </w:pPr>
      <w:r>
        <w:rPr>
          <w:rFonts w:hint="eastAsia"/>
        </w:rPr>
        <w:t>在</w:t>
      </w:r>
      <w:r>
        <w:t>12</w:t>
      </w:r>
      <w:r>
        <w:rPr>
          <w:rFonts w:hint="eastAsia"/>
        </w:rPr>
        <w:t>个省份为岗位补习阶段的教师举办</w:t>
      </w:r>
      <w:r>
        <w:t>12</w:t>
      </w:r>
      <w:r>
        <w:rPr>
          <w:rFonts w:hint="eastAsia"/>
        </w:rPr>
        <w:t>个培训研讨会</w:t>
      </w:r>
      <w:r>
        <w:t>(</w:t>
      </w:r>
      <w:r>
        <w:rPr>
          <w:rFonts w:hint="eastAsia"/>
        </w:rPr>
        <w:t>每个研讨会</w:t>
      </w:r>
      <w:r>
        <w:t>40</w:t>
      </w:r>
      <w:r>
        <w:rPr>
          <w:rFonts w:hint="eastAsia"/>
        </w:rPr>
        <w:t>人</w:t>
      </w:r>
      <w:r>
        <w:t>)</w:t>
      </w:r>
      <w:r>
        <w:rPr>
          <w:rFonts w:hint="eastAsia"/>
        </w:rPr>
        <w:t>；</w:t>
      </w:r>
    </w:p>
    <w:p w:rsidR="00000000" w:rsidRDefault="003D15A7" w:rsidP="003D15A7">
      <w:pPr>
        <w:pStyle w:val="a0"/>
        <w:numPr>
          <w:ilvl w:val="0"/>
          <w:numId w:val="13"/>
        </w:numPr>
        <w:ind w:left="1531" w:hanging="510"/>
      </w:pPr>
      <w:r>
        <w:rPr>
          <w:rFonts w:hint="eastAsia"/>
        </w:rPr>
        <w:t>出版</w:t>
      </w:r>
      <w:r>
        <w:t>231,000</w:t>
      </w:r>
      <w:r>
        <w:rPr>
          <w:rFonts w:hint="eastAsia"/>
        </w:rPr>
        <w:t>本阅读书本；和</w:t>
      </w:r>
    </w:p>
    <w:p w:rsidR="00000000" w:rsidRDefault="003D15A7" w:rsidP="003D15A7">
      <w:pPr>
        <w:pStyle w:val="a0"/>
        <w:numPr>
          <w:ilvl w:val="0"/>
          <w:numId w:val="13"/>
        </w:numPr>
        <w:spacing w:after="320"/>
        <w:ind w:left="1531" w:hanging="510"/>
        <w:textAlignment w:val="center"/>
      </w:pPr>
      <w:r>
        <w:rPr>
          <w:rFonts w:hint="eastAsia"/>
        </w:rPr>
        <w:t>为</w:t>
      </w:r>
      <w:r>
        <w:t>770</w:t>
      </w:r>
      <w:r>
        <w:rPr>
          <w:rFonts w:hint="eastAsia"/>
        </w:rPr>
        <w:t>名女教师进行进修培训。</w:t>
      </w:r>
    </w:p>
    <w:p w:rsidR="00000000" w:rsidRDefault="003D15A7">
      <w:pPr>
        <w:pStyle w:val="Heading3"/>
      </w:pPr>
      <w:r>
        <w:rPr>
          <w:u w:val="none"/>
        </w:rPr>
        <w:t xml:space="preserve">2.  </w:t>
      </w:r>
      <w:r>
        <w:t>MOR/97/</w:t>
      </w:r>
      <w:r>
        <w:rPr>
          <w:rFonts w:hint="eastAsia"/>
        </w:rPr>
        <w:t>项目</w:t>
      </w:r>
      <w:r>
        <w:t>P 07</w:t>
      </w:r>
    </w:p>
    <w:p w:rsidR="00000000" w:rsidRDefault="003D15A7">
      <w:r>
        <w:tab/>
        <w:t xml:space="preserve">190.  </w:t>
      </w:r>
      <w:r>
        <w:rPr>
          <w:rFonts w:hint="eastAsia"/>
        </w:rPr>
        <w:t>根据生育保健全国次级方案，这个项目在</w:t>
      </w:r>
      <w:r>
        <w:t>1997</w:t>
      </w:r>
      <w:r>
        <w:rPr>
          <w:rFonts w:hint="eastAsia"/>
        </w:rPr>
        <w:t>至</w:t>
      </w:r>
      <w:r>
        <w:t>2001</w:t>
      </w:r>
      <w:r>
        <w:rPr>
          <w:rFonts w:hint="eastAsia"/>
        </w:rPr>
        <w:t>年期间在和人口活动基金合作的框架之内予以实施，这个方案涉及到</w:t>
      </w:r>
      <w:r>
        <w:t>10</w:t>
      </w:r>
      <w:r>
        <w:rPr>
          <w:rFonts w:hint="eastAsia"/>
        </w:rPr>
        <w:t>个处于最不利地位的省份。其目标是：</w:t>
      </w:r>
    </w:p>
    <w:p w:rsidR="00000000" w:rsidRDefault="003D15A7" w:rsidP="003D15A7">
      <w:pPr>
        <w:pStyle w:val="a0"/>
        <w:numPr>
          <w:ilvl w:val="0"/>
          <w:numId w:val="14"/>
        </w:numPr>
        <w:ind w:left="1531" w:hanging="510"/>
      </w:pPr>
      <w:r>
        <w:rPr>
          <w:rFonts w:hint="eastAsia"/>
        </w:rPr>
        <w:t>提高育龄妇女和女孩人口因素和生育保健方面的认识；</w:t>
      </w:r>
    </w:p>
    <w:p w:rsidR="00000000" w:rsidRDefault="003D15A7" w:rsidP="003D15A7">
      <w:pPr>
        <w:pStyle w:val="a0"/>
        <w:numPr>
          <w:ilvl w:val="0"/>
          <w:numId w:val="14"/>
        </w:numPr>
        <w:ind w:left="1531" w:hanging="510"/>
      </w:pPr>
      <w:r>
        <w:rPr>
          <w:rFonts w:hint="eastAsia"/>
        </w:rPr>
        <w:t>开展普遍的人口教育；</w:t>
      </w:r>
    </w:p>
    <w:p w:rsidR="00000000" w:rsidRDefault="003D15A7" w:rsidP="003D15A7">
      <w:pPr>
        <w:pStyle w:val="a0"/>
        <w:numPr>
          <w:ilvl w:val="0"/>
          <w:numId w:val="14"/>
        </w:numPr>
        <w:ind w:left="1531" w:hanging="510"/>
      </w:pPr>
      <w:r>
        <w:rPr>
          <w:rFonts w:hint="eastAsia"/>
        </w:rPr>
        <w:t>为</w:t>
      </w:r>
      <w:r>
        <w:t>108</w:t>
      </w:r>
      <w:r>
        <w:rPr>
          <w:rFonts w:hint="eastAsia"/>
        </w:rPr>
        <w:t>个福利中心培训</w:t>
      </w:r>
      <w:r>
        <w:t>300</w:t>
      </w:r>
      <w:r>
        <w:rPr>
          <w:rFonts w:hint="eastAsia"/>
        </w:rPr>
        <w:t>名女性监督员；</w:t>
      </w:r>
    </w:p>
    <w:p w:rsidR="00000000" w:rsidRDefault="003D15A7" w:rsidP="003D15A7">
      <w:pPr>
        <w:pStyle w:val="a0"/>
        <w:numPr>
          <w:ilvl w:val="0"/>
          <w:numId w:val="14"/>
        </w:numPr>
        <w:ind w:left="1531" w:hanging="510"/>
      </w:pPr>
      <w:r>
        <w:rPr>
          <w:rFonts w:hint="eastAsia"/>
        </w:rPr>
        <w:t>在</w:t>
      </w:r>
      <w:r>
        <w:t>7.5</w:t>
      </w:r>
      <w:r>
        <w:rPr>
          <w:rFonts w:hint="eastAsia"/>
        </w:rPr>
        <w:t>万名</w:t>
      </w:r>
      <w:r>
        <w:rPr>
          <w:rFonts w:hint="eastAsia"/>
        </w:rPr>
        <w:t>妇女与女孩中和</w:t>
      </w:r>
      <w:r>
        <w:t>10</w:t>
      </w:r>
      <w:r>
        <w:rPr>
          <w:rFonts w:hint="eastAsia"/>
        </w:rPr>
        <w:t>万名青年中扫除文盲，并且使他们认识到生育保健的重要性及其结果；</w:t>
      </w:r>
    </w:p>
    <w:p w:rsidR="00000000" w:rsidRDefault="003D15A7" w:rsidP="003D15A7">
      <w:pPr>
        <w:pStyle w:val="a0"/>
        <w:numPr>
          <w:ilvl w:val="0"/>
          <w:numId w:val="14"/>
        </w:numPr>
        <w:spacing w:after="320"/>
        <w:ind w:left="1531" w:hanging="510"/>
        <w:textAlignment w:val="center"/>
      </w:pPr>
      <w:r>
        <w:rPr>
          <w:rFonts w:hint="eastAsia"/>
        </w:rPr>
        <w:t>审查所使用的教材，以期纳入有关生育保健和卫生的材料。</w:t>
      </w:r>
    </w:p>
    <w:p w:rsidR="00000000" w:rsidRDefault="003D15A7">
      <w:pPr>
        <w:pStyle w:val="Heading3"/>
      </w:pPr>
      <w:r>
        <w:rPr>
          <w:u w:val="none"/>
        </w:rPr>
        <w:t xml:space="preserve">3.  </w:t>
      </w:r>
      <w:r>
        <w:rPr>
          <w:rFonts w:hint="eastAsia"/>
          <w:u w:val="none"/>
        </w:rPr>
        <w:t>“</w:t>
      </w:r>
      <w:r>
        <w:rPr>
          <w:rFonts w:hint="eastAsia"/>
        </w:rPr>
        <w:t>教育</w:t>
      </w:r>
      <w:r>
        <w:t>V</w:t>
      </w:r>
      <w:r>
        <w:rPr>
          <w:rFonts w:hint="eastAsia"/>
        </w:rPr>
        <w:t>”项目</w:t>
      </w:r>
    </w:p>
    <w:p w:rsidR="00000000" w:rsidRDefault="003D15A7">
      <w:r>
        <w:tab/>
        <w:t xml:space="preserve">191.  </w:t>
      </w:r>
      <w:r>
        <w:rPr>
          <w:rFonts w:hint="eastAsia"/>
        </w:rPr>
        <w:t>和非洲开发银行和粮农组织进行合作发起了这个项目，这个项目主要是在农村地区扫除文盲，其目的是：</w:t>
      </w:r>
    </w:p>
    <w:p w:rsidR="00000000" w:rsidRDefault="003D15A7" w:rsidP="003D15A7">
      <w:pPr>
        <w:pStyle w:val="a0"/>
        <w:numPr>
          <w:ilvl w:val="0"/>
          <w:numId w:val="15"/>
        </w:numPr>
        <w:ind w:left="1531" w:hanging="510"/>
      </w:pPr>
      <w:r>
        <w:rPr>
          <w:rFonts w:hint="eastAsia"/>
        </w:rPr>
        <w:t>通过使用流动单元为妇女和女孩提供街坊扫盲方案；</w:t>
      </w:r>
    </w:p>
    <w:p w:rsidR="00000000" w:rsidRDefault="003D15A7" w:rsidP="003D15A7">
      <w:pPr>
        <w:pStyle w:val="a0"/>
        <w:numPr>
          <w:ilvl w:val="0"/>
          <w:numId w:val="15"/>
        </w:numPr>
        <w:ind w:left="1531" w:hanging="510"/>
      </w:pPr>
      <w:r>
        <w:rPr>
          <w:rFonts w:hint="eastAsia"/>
        </w:rPr>
        <w:t>对在</w:t>
      </w:r>
      <w:r>
        <w:t>31</w:t>
      </w:r>
      <w:r>
        <w:rPr>
          <w:rFonts w:hint="eastAsia"/>
        </w:rPr>
        <w:t>个农场合作社工作的</w:t>
      </w:r>
      <w:r>
        <w:t>40,000</w:t>
      </w:r>
      <w:r>
        <w:rPr>
          <w:rFonts w:hint="eastAsia"/>
        </w:rPr>
        <w:t>名妇女和</w:t>
      </w:r>
      <w:r>
        <w:t>1,550</w:t>
      </w:r>
      <w:r>
        <w:rPr>
          <w:rFonts w:hint="eastAsia"/>
        </w:rPr>
        <w:t>名女孩进行扫盲；</w:t>
      </w:r>
    </w:p>
    <w:p w:rsidR="00000000" w:rsidRDefault="003D15A7" w:rsidP="003D15A7">
      <w:pPr>
        <w:pStyle w:val="a0"/>
        <w:numPr>
          <w:ilvl w:val="0"/>
          <w:numId w:val="15"/>
        </w:numPr>
        <w:spacing w:after="320"/>
        <w:ind w:left="1531" w:hanging="510"/>
        <w:textAlignment w:val="center"/>
      </w:pPr>
      <w:r>
        <w:rPr>
          <w:rFonts w:hint="eastAsia"/>
        </w:rPr>
        <w:t>制定和出版特殊的教材。</w:t>
      </w:r>
    </w:p>
    <w:p w:rsidR="00000000" w:rsidRDefault="003D15A7">
      <w:pPr>
        <w:pStyle w:val="Heading3"/>
      </w:pPr>
      <w:r>
        <w:t>1994</w:t>
      </w:r>
      <w:r>
        <w:rPr>
          <w:rFonts w:hint="eastAsia"/>
        </w:rPr>
        <w:t>至</w:t>
      </w:r>
      <w:r>
        <w:t>97</w:t>
      </w:r>
      <w:r>
        <w:rPr>
          <w:rFonts w:hint="eastAsia"/>
        </w:rPr>
        <w:t>年扫盲计划概要</w:t>
      </w:r>
    </w:p>
    <w:tbl>
      <w:tblPr>
        <w:tblW w:w="0" w:type="auto"/>
        <w:tblInd w:w="2" w:type="dxa"/>
        <w:tblLayout w:type="fixed"/>
        <w:tblCellMar>
          <w:left w:w="56" w:type="dxa"/>
          <w:right w:w="56" w:type="dxa"/>
        </w:tblCellMar>
        <w:tblLook w:val="0000" w:firstRow="0" w:lastRow="0" w:firstColumn="0" w:lastColumn="0" w:noHBand="0" w:noVBand="0"/>
      </w:tblPr>
      <w:tblGrid>
        <w:gridCol w:w="2400"/>
        <w:gridCol w:w="1730"/>
        <w:gridCol w:w="1730"/>
        <w:gridCol w:w="1730"/>
        <w:gridCol w:w="2046"/>
      </w:tblGrid>
      <w:tr w:rsidR="00000000">
        <w:tblPrEx>
          <w:tblCellMar>
            <w:top w:w="0" w:type="dxa"/>
            <w:bottom w:w="0" w:type="dxa"/>
          </w:tblCellMar>
        </w:tblPrEx>
        <w:trPr>
          <w:cantSplit/>
        </w:trPr>
        <w:tc>
          <w:tcPr>
            <w:tcW w:w="2400" w:type="dxa"/>
            <w:tcBorders>
              <w:top w:val="single" w:sz="6" w:space="0" w:color="auto"/>
              <w:left w:val="single" w:sz="6" w:space="0" w:color="auto"/>
            </w:tcBorders>
          </w:tcPr>
          <w:p w:rsidR="00000000" w:rsidRDefault="003D15A7">
            <w:pPr>
              <w:spacing w:before="80" w:after="20" w:line="240" w:lineRule="auto"/>
              <w:jc w:val="center"/>
              <w:rPr>
                <w:sz w:val="21"/>
              </w:rPr>
            </w:pPr>
            <w:r>
              <w:rPr>
                <w:rFonts w:hint="eastAsia"/>
                <w:sz w:val="21"/>
              </w:rPr>
              <w:t>计</w:t>
            </w:r>
            <w:r>
              <w:rPr>
                <w:sz w:val="21"/>
              </w:rPr>
              <w:t xml:space="preserve">  </w:t>
            </w:r>
            <w:r>
              <w:rPr>
                <w:rFonts w:hint="eastAsia"/>
                <w:sz w:val="21"/>
              </w:rPr>
              <w:t>划</w:t>
            </w:r>
          </w:p>
        </w:tc>
        <w:tc>
          <w:tcPr>
            <w:tcW w:w="173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1994/95</w:t>
            </w:r>
            <w:r>
              <w:rPr>
                <w:rFonts w:hint="eastAsia"/>
                <w:sz w:val="21"/>
              </w:rPr>
              <w:t>年</w:t>
            </w:r>
          </w:p>
        </w:tc>
        <w:tc>
          <w:tcPr>
            <w:tcW w:w="173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1995/96</w:t>
            </w:r>
            <w:r>
              <w:rPr>
                <w:rFonts w:hint="eastAsia"/>
                <w:sz w:val="21"/>
              </w:rPr>
              <w:t>年</w:t>
            </w:r>
          </w:p>
        </w:tc>
        <w:tc>
          <w:tcPr>
            <w:tcW w:w="1730" w:type="dxa"/>
            <w:tcBorders>
              <w:top w:val="single" w:sz="6" w:space="0" w:color="auto"/>
              <w:left w:val="single" w:sz="6" w:space="0" w:color="auto"/>
            </w:tcBorders>
          </w:tcPr>
          <w:p w:rsidR="00000000" w:rsidRDefault="003D15A7">
            <w:pPr>
              <w:spacing w:before="80" w:after="20" w:line="240" w:lineRule="auto"/>
              <w:jc w:val="center"/>
              <w:rPr>
                <w:sz w:val="21"/>
              </w:rPr>
            </w:pPr>
            <w:r>
              <w:rPr>
                <w:sz w:val="21"/>
              </w:rPr>
              <w:t>1996/97</w:t>
            </w:r>
            <w:r>
              <w:rPr>
                <w:rFonts w:hint="eastAsia"/>
                <w:sz w:val="21"/>
              </w:rPr>
              <w:t>年</w:t>
            </w:r>
          </w:p>
        </w:tc>
        <w:tc>
          <w:tcPr>
            <w:tcW w:w="2046" w:type="dxa"/>
            <w:tcBorders>
              <w:top w:val="single" w:sz="6" w:space="0" w:color="auto"/>
              <w:left w:val="single" w:sz="6" w:space="0" w:color="auto"/>
              <w:right w:val="single" w:sz="6" w:space="0" w:color="auto"/>
            </w:tcBorders>
          </w:tcPr>
          <w:p w:rsidR="00000000" w:rsidRDefault="003D15A7">
            <w:pPr>
              <w:spacing w:before="80" w:after="20" w:line="240" w:lineRule="auto"/>
              <w:jc w:val="center"/>
              <w:rPr>
                <w:sz w:val="21"/>
              </w:rPr>
            </w:pPr>
            <w:r>
              <w:rPr>
                <w:rFonts w:hint="eastAsia"/>
                <w:sz w:val="21"/>
              </w:rPr>
              <w:t>总</w:t>
            </w:r>
            <w:r>
              <w:rPr>
                <w:sz w:val="21"/>
              </w:rPr>
              <w:t xml:space="preserve"> </w:t>
            </w:r>
            <w:r>
              <w:rPr>
                <w:sz w:val="21"/>
              </w:rPr>
              <w:t xml:space="preserve"> </w:t>
            </w:r>
            <w:r>
              <w:rPr>
                <w:rFonts w:hint="eastAsia"/>
                <w:sz w:val="21"/>
              </w:rPr>
              <w:t>计</w:t>
            </w:r>
            <w:r>
              <w:rPr>
                <w:sz w:val="21"/>
              </w:rPr>
              <w:br/>
              <w:t>1994</w:t>
            </w:r>
            <w:r>
              <w:rPr>
                <w:rFonts w:hint="eastAsia"/>
                <w:sz w:val="21"/>
              </w:rPr>
              <w:t>至</w:t>
            </w:r>
            <w:r>
              <w:rPr>
                <w:sz w:val="21"/>
              </w:rPr>
              <w:t>1997</w:t>
            </w:r>
            <w:r>
              <w:rPr>
                <w:rFonts w:hint="eastAsia"/>
                <w:sz w:val="21"/>
              </w:rPr>
              <w:t>年</w:t>
            </w:r>
          </w:p>
        </w:tc>
      </w:tr>
      <w:tr w:rsidR="00000000">
        <w:tblPrEx>
          <w:tblCellMar>
            <w:top w:w="0" w:type="dxa"/>
            <w:bottom w:w="0" w:type="dxa"/>
          </w:tblCellMar>
        </w:tblPrEx>
        <w:trPr>
          <w:cantSplit/>
        </w:trPr>
        <w:tc>
          <w:tcPr>
            <w:tcW w:w="2400" w:type="dxa"/>
            <w:tcBorders>
              <w:top w:val="single" w:sz="6" w:space="0" w:color="auto"/>
              <w:left w:val="single" w:sz="6" w:space="0" w:color="auto"/>
            </w:tcBorders>
          </w:tcPr>
          <w:p w:rsidR="00000000" w:rsidRDefault="003D15A7">
            <w:pPr>
              <w:spacing w:before="80" w:after="20" w:line="240" w:lineRule="auto"/>
              <w:ind w:left="113"/>
              <w:rPr>
                <w:sz w:val="21"/>
              </w:rPr>
            </w:pPr>
            <w:r>
              <w:rPr>
                <w:rFonts w:hint="eastAsia"/>
                <w:sz w:val="21"/>
              </w:rPr>
              <w:t>基本阶段</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68,416</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78,037</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86,353</w:t>
            </w:r>
          </w:p>
        </w:tc>
        <w:tc>
          <w:tcPr>
            <w:tcW w:w="2046"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54"/>
              </w:tabs>
              <w:spacing w:before="80" w:after="20" w:line="240" w:lineRule="auto"/>
              <w:rPr>
                <w:sz w:val="21"/>
              </w:rPr>
            </w:pPr>
            <w:r>
              <w:rPr>
                <w:sz w:val="21"/>
              </w:rPr>
              <w:t>224,806</w:t>
            </w:r>
          </w:p>
        </w:tc>
      </w:tr>
      <w:tr w:rsidR="00000000">
        <w:tblPrEx>
          <w:tblCellMar>
            <w:top w:w="0" w:type="dxa"/>
            <w:bottom w:w="0" w:type="dxa"/>
          </w:tblCellMar>
        </w:tblPrEx>
        <w:trPr>
          <w:cantSplit/>
        </w:trPr>
        <w:tc>
          <w:tcPr>
            <w:tcW w:w="2400" w:type="dxa"/>
            <w:tcBorders>
              <w:top w:val="single" w:sz="6" w:space="0" w:color="auto"/>
              <w:left w:val="single" w:sz="6" w:space="0" w:color="auto"/>
            </w:tcBorders>
          </w:tcPr>
          <w:p w:rsidR="00000000" w:rsidRDefault="003D15A7">
            <w:pPr>
              <w:spacing w:before="80" w:after="20" w:line="240" w:lineRule="auto"/>
              <w:ind w:left="113"/>
              <w:rPr>
                <w:sz w:val="21"/>
              </w:rPr>
            </w:pPr>
            <w:r>
              <w:rPr>
                <w:rFonts w:hint="eastAsia"/>
                <w:sz w:val="21"/>
              </w:rPr>
              <w:t>补充阶段</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23,156</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29,453</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32,262</w:t>
            </w:r>
          </w:p>
        </w:tc>
        <w:tc>
          <w:tcPr>
            <w:tcW w:w="2046"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54"/>
              </w:tabs>
              <w:spacing w:before="80" w:after="20" w:line="240" w:lineRule="auto"/>
              <w:rPr>
                <w:sz w:val="21"/>
              </w:rPr>
            </w:pPr>
            <w:r>
              <w:rPr>
                <w:sz w:val="21"/>
              </w:rPr>
              <w:t>92,874</w:t>
            </w:r>
          </w:p>
        </w:tc>
      </w:tr>
      <w:tr w:rsidR="00000000">
        <w:tblPrEx>
          <w:tblCellMar>
            <w:top w:w="0" w:type="dxa"/>
            <w:bottom w:w="0" w:type="dxa"/>
          </w:tblCellMar>
        </w:tblPrEx>
        <w:trPr>
          <w:cantSplit/>
        </w:trPr>
        <w:tc>
          <w:tcPr>
            <w:tcW w:w="2400" w:type="dxa"/>
            <w:tcBorders>
              <w:top w:val="single" w:sz="6" w:space="0" w:color="auto"/>
              <w:left w:val="single" w:sz="6" w:space="0" w:color="auto"/>
            </w:tcBorders>
          </w:tcPr>
          <w:p w:rsidR="00000000" w:rsidRDefault="003D15A7">
            <w:pPr>
              <w:spacing w:before="80" w:after="20" w:line="240" w:lineRule="auto"/>
              <w:ind w:left="113"/>
              <w:rPr>
                <w:sz w:val="21"/>
              </w:rPr>
            </w:pPr>
            <w:r>
              <w:rPr>
                <w:rFonts w:hint="eastAsia"/>
                <w:sz w:val="21"/>
              </w:rPr>
              <w:t>男子</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51,013</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59,474</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68,500</w:t>
            </w:r>
          </w:p>
        </w:tc>
        <w:tc>
          <w:tcPr>
            <w:tcW w:w="2046"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54"/>
              </w:tabs>
              <w:spacing w:before="80" w:after="20" w:line="240" w:lineRule="auto"/>
              <w:rPr>
                <w:sz w:val="21"/>
              </w:rPr>
            </w:pPr>
            <w:r>
              <w:rPr>
                <w:sz w:val="21"/>
              </w:rPr>
              <w:t>135,375</w:t>
            </w:r>
          </w:p>
        </w:tc>
      </w:tr>
      <w:tr w:rsidR="00000000">
        <w:tblPrEx>
          <w:tblCellMar>
            <w:top w:w="0" w:type="dxa"/>
            <w:bottom w:w="0" w:type="dxa"/>
          </w:tblCellMar>
        </w:tblPrEx>
        <w:trPr>
          <w:cantSplit/>
        </w:trPr>
        <w:tc>
          <w:tcPr>
            <w:tcW w:w="2400" w:type="dxa"/>
            <w:tcBorders>
              <w:top w:val="single" w:sz="6" w:space="0" w:color="auto"/>
              <w:left w:val="single" w:sz="6" w:space="0" w:color="auto"/>
            </w:tcBorders>
          </w:tcPr>
          <w:p w:rsidR="00000000" w:rsidRDefault="003D15A7">
            <w:pPr>
              <w:spacing w:before="80" w:after="20" w:line="240" w:lineRule="auto"/>
              <w:ind w:left="113"/>
              <w:rPr>
                <w:sz w:val="21"/>
              </w:rPr>
            </w:pPr>
            <w:r>
              <w:rPr>
                <w:rFonts w:hint="eastAsia"/>
                <w:sz w:val="21"/>
              </w:rPr>
              <w:t>妇女</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40,562</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48,016</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50,115</w:t>
            </w:r>
          </w:p>
        </w:tc>
        <w:tc>
          <w:tcPr>
            <w:tcW w:w="2046"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54"/>
              </w:tabs>
              <w:spacing w:before="80" w:after="20" w:line="240" w:lineRule="auto"/>
              <w:rPr>
                <w:sz w:val="21"/>
              </w:rPr>
            </w:pPr>
            <w:r>
              <w:rPr>
                <w:sz w:val="21"/>
              </w:rPr>
              <w:t>164,305</w:t>
            </w:r>
          </w:p>
        </w:tc>
      </w:tr>
      <w:tr w:rsidR="00000000">
        <w:tblPrEx>
          <w:tblCellMar>
            <w:top w:w="0" w:type="dxa"/>
            <w:bottom w:w="0" w:type="dxa"/>
          </w:tblCellMar>
        </w:tblPrEx>
        <w:trPr>
          <w:cantSplit/>
        </w:trPr>
        <w:tc>
          <w:tcPr>
            <w:tcW w:w="2400" w:type="dxa"/>
            <w:tcBorders>
              <w:top w:val="single" w:sz="6" w:space="0" w:color="auto"/>
              <w:left w:val="single" w:sz="6" w:space="0" w:color="auto"/>
            </w:tcBorders>
          </w:tcPr>
          <w:p w:rsidR="00000000" w:rsidRDefault="003D15A7">
            <w:pPr>
              <w:spacing w:before="80" w:after="20" w:line="240" w:lineRule="auto"/>
              <w:ind w:left="113"/>
              <w:rPr>
                <w:sz w:val="21"/>
              </w:rPr>
            </w:pPr>
            <w:r>
              <w:rPr>
                <w:rFonts w:hint="eastAsia"/>
                <w:sz w:val="21"/>
              </w:rPr>
              <w:t>农村地区</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37,144</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46,822</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50,868</w:t>
            </w:r>
          </w:p>
        </w:tc>
        <w:tc>
          <w:tcPr>
            <w:tcW w:w="2046"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54"/>
              </w:tabs>
              <w:spacing w:before="80" w:after="20" w:line="240" w:lineRule="auto"/>
              <w:rPr>
                <w:sz w:val="21"/>
              </w:rPr>
            </w:pPr>
            <w:r>
              <w:rPr>
                <w:sz w:val="21"/>
              </w:rPr>
              <w:t>134,834</w:t>
            </w:r>
          </w:p>
        </w:tc>
      </w:tr>
      <w:tr w:rsidR="00000000">
        <w:tblPrEx>
          <w:tblCellMar>
            <w:top w:w="0" w:type="dxa"/>
            <w:bottom w:w="0" w:type="dxa"/>
          </w:tblCellMar>
        </w:tblPrEx>
        <w:trPr>
          <w:cantSplit/>
        </w:trPr>
        <w:tc>
          <w:tcPr>
            <w:tcW w:w="2400" w:type="dxa"/>
            <w:tcBorders>
              <w:top w:val="single" w:sz="6" w:space="0" w:color="auto"/>
              <w:left w:val="single" w:sz="6" w:space="0" w:color="auto"/>
            </w:tcBorders>
          </w:tcPr>
          <w:p w:rsidR="00000000" w:rsidRDefault="003D15A7">
            <w:pPr>
              <w:spacing w:before="80" w:after="20" w:line="240" w:lineRule="auto"/>
              <w:ind w:left="113"/>
              <w:rPr>
                <w:sz w:val="21"/>
              </w:rPr>
            </w:pPr>
            <w:r>
              <w:rPr>
                <w:rFonts w:hint="eastAsia"/>
                <w:sz w:val="21"/>
              </w:rPr>
              <w:t>城市地区</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54,431</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60,668</w:t>
            </w:r>
          </w:p>
        </w:tc>
        <w:tc>
          <w:tcPr>
            <w:tcW w:w="1730" w:type="dxa"/>
            <w:tcBorders>
              <w:top w:val="single" w:sz="6" w:space="0" w:color="auto"/>
              <w:left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67,747</w:t>
            </w:r>
          </w:p>
        </w:tc>
        <w:tc>
          <w:tcPr>
            <w:tcW w:w="2046" w:type="dxa"/>
            <w:tcBorders>
              <w:top w:val="single" w:sz="6" w:space="0" w:color="auto"/>
              <w:left w:val="single" w:sz="6" w:space="0" w:color="auto"/>
              <w:right w:val="single" w:sz="6" w:space="0" w:color="auto"/>
            </w:tcBorders>
          </w:tcPr>
          <w:p w:rsidR="00000000" w:rsidRDefault="003D15A7">
            <w:pPr>
              <w:tabs>
                <w:tab w:val="clear" w:pos="510"/>
                <w:tab w:val="clear" w:pos="1021"/>
                <w:tab w:val="clear" w:pos="1531"/>
                <w:tab w:val="clear" w:pos="2041"/>
                <w:tab w:val="decimal" w:pos="1354"/>
              </w:tabs>
              <w:spacing w:before="80" w:after="20" w:line="240" w:lineRule="auto"/>
              <w:rPr>
                <w:sz w:val="21"/>
              </w:rPr>
            </w:pPr>
            <w:r>
              <w:rPr>
                <w:sz w:val="21"/>
              </w:rPr>
              <w:t>182,846</w:t>
            </w:r>
          </w:p>
        </w:tc>
      </w:tr>
      <w:tr w:rsidR="00000000">
        <w:tblPrEx>
          <w:tblCellMar>
            <w:top w:w="0" w:type="dxa"/>
            <w:bottom w:w="0" w:type="dxa"/>
          </w:tblCellMar>
        </w:tblPrEx>
        <w:trPr>
          <w:cantSplit/>
        </w:trPr>
        <w:tc>
          <w:tcPr>
            <w:tcW w:w="2400" w:type="dxa"/>
            <w:tcBorders>
              <w:top w:val="single" w:sz="6" w:space="0" w:color="auto"/>
              <w:left w:val="single" w:sz="6" w:space="0" w:color="auto"/>
              <w:bottom w:val="single" w:sz="6" w:space="0" w:color="auto"/>
            </w:tcBorders>
          </w:tcPr>
          <w:p w:rsidR="00000000" w:rsidRDefault="003D15A7">
            <w:pPr>
              <w:spacing w:before="80" w:after="20" w:line="240" w:lineRule="auto"/>
              <w:ind w:left="113"/>
              <w:rPr>
                <w:sz w:val="21"/>
              </w:rPr>
            </w:pPr>
            <w:r>
              <w:rPr>
                <w:rFonts w:hint="eastAsia"/>
                <w:sz w:val="21"/>
              </w:rPr>
              <w:t>受益者总数</w:t>
            </w:r>
          </w:p>
        </w:tc>
        <w:tc>
          <w:tcPr>
            <w:tcW w:w="1730"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91,557</w:t>
            </w:r>
          </w:p>
        </w:tc>
        <w:tc>
          <w:tcPr>
            <w:tcW w:w="1730"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107,490</w:t>
            </w:r>
          </w:p>
        </w:tc>
        <w:tc>
          <w:tcPr>
            <w:tcW w:w="1730" w:type="dxa"/>
            <w:tcBorders>
              <w:top w:val="single" w:sz="6" w:space="0" w:color="auto"/>
              <w:left w:val="single" w:sz="6" w:space="0" w:color="auto"/>
              <w:bottom w:val="single" w:sz="6" w:space="0" w:color="auto"/>
            </w:tcBorders>
          </w:tcPr>
          <w:p w:rsidR="00000000" w:rsidRDefault="003D15A7">
            <w:pPr>
              <w:tabs>
                <w:tab w:val="clear" w:pos="510"/>
                <w:tab w:val="clear" w:pos="1021"/>
                <w:tab w:val="clear" w:pos="1531"/>
                <w:tab w:val="clear" w:pos="2041"/>
                <w:tab w:val="decimal" w:pos="1144"/>
              </w:tabs>
              <w:spacing w:before="80" w:after="20" w:line="240" w:lineRule="auto"/>
              <w:rPr>
                <w:sz w:val="21"/>
              </w:rPr>
            </w:pPr>
            <w:r>
              <w:rPr>
                <w:sz w:val="21"/>
              </w:rPr>
              <w:t>118,615</w:t>
            </w:r>
          </w:p>
        </w:tc>
        <w:tc>
          <w:tcPr>
            <w:tcW w:w="2046" w:type="dxa"/>
            <w:tcBorders>
              <w:top w:val="single" w:sz="6" w:space="0" w:color="auto"/>
              <w:left w:val="single" w:sz="6" w:space="0" w:color="auto"/>
              <w:bottom w:val="single" w:sz="6" w:space="0" w:color="auto"/>
              <w:right w:val="single" w:sz="6" w:space="0" w:color="auto"/>
            </w:tcBorders>
          </w:tcPr>
          <w:p w:rsidR="00000000" w:rsidRDefault="003D15A7">
            <w:pPr>
              <w:tabs>
                <w:tab w:val="clear" w:pos="510"/>
                <w:tab w:val="clear" w:pos="1021"/>
                <w:tab w:val="clear" w:pos="1531"/>
                <w:tab w:val="clear" w:pos="2041"/>
                <w:tab w:val="decimal" w:pos="1354"/>
              </w:tabs>
              <w:spacing w:before="80" w:after="20" w:line="240" w:lineRule="auto"/>
              <w:rPr>
                <w:sz w:val="21"/>
              </w:rPr>
            </w:pPr>
            <w:r>
              <w:rPr>
                <w:sz w:val="21"/>
              </w:rPr>
              <w:t>317,680</w:t>
            </w:r>
          </w:p>
        </w:tc>
      </w:tr>
    </w:tbl>
    <w:p w:rsidR="00000000" w:rsidRDefault="003D15A7">
      <w:pPr>
        <w:pStyle w:val="Heading2"/>
      </w:pPr>
      <w:r>
        <w:rPr>
          <w:rFonts w:hint="eastAsia"/>
        </w:rPr>
        <w:t>第</w:t>
      </w:r>
      <w:r>
        <w:t xml:space="preserve"> 15 </w:t>
      </w:r>
      <w:r>
        <w:rPr>
          <w:rFonts w:hint="eastAsia"/>
        </w:rPr>
        <w:t>条</w:t>
      </w:r>
    </w:p>
    <w:p w:rsidR="00000000" w:rsidRDefault="003D15A7">
      <w:pPr>
        <w:pStyle w:val="Heading3"/>
      </w:pPr>
      <w:r>
        <w:rPr>
          <w:rFonts w:hint="eastAsia"/>
        </w:rPr>
        <w:t>参加文化生活的权利</w:t>
      </w:r>
    </w:p>
    <w:p w:rsidR="00000000" w:rsidRDefault="003D15A7">
      <w:pPr>
        <w:pStyle w:val="Heading3"/>
      </w:pPr>
      <w:r>
        <w:rPr>
          <w:u w:val="none"/>
        </w:rPr>
        <w:t xml:space="preserve">A.  </w:t>
      </w:r>
      <w:r>
        <w:rPr>
          <w:rFonts w:hint="eastAsia"/>
        </w:rPr>
        <w:t>摩洛哥的文化政策</w:t>
      </w:r>
    </w:p>
    <w:p w:rsidR="00000000" w:rsidRDefault="003D15A7">
      <w:pPr>
        <w:spacing w:after="320"/>
        <w:textAlignment w:val="center"/>
      </w:pPr>
      <w:r>
        <w:tab/>
        <w:t xml:space="preserve">192.  </w:t>
      </w:r>
      <w:r>
        <w:rPr>
          <w:rFonts w:hint="eastAsia"/>
        </w:rPr>
        <w:t>文化部继续严格遵照《盟约》的条款执行使所有公民在没有歧视的情况下充分享有其权利的战略。</w:t>
      </w:r>
    </w:p>
    <w:p w:rsidR="00000000" w:rsidRDefault="003D15A7">
      <w:pPr>
        <w:pStyle w:val="Heading3"/>
      </w:pPr>
      <w:r>
        <w:rPr>
          <w:u w:val="none"/>
        </w:rPr>
        <w:t xml:space="preserve">1.  </w:t>
      </w:r>
      <w:r>
        <w:rPr>
          <w:rFonts w:hint="eastAsia"/>
        </w:rPr>
        <w:t>农村环境下的文化生活</w:t>
      </w:r>
    </w:p>
    <w:p w:rsidR="00000000" w:rsidRDefault="003D15A7">
      <w:r>
        <w:tab/>
        <w:t xml:space="preserve">193.  </w:t>
      </w:r>
      <w:r>
        <w:rPr>
          <w:rFonts w:hint="eastAsia"/>
        </w:rPr>
        <w:t>在使所有公民参加文化生活、促进改进农村生活条件、以期改善文化服务和设施的地理分布的政策框架内，文化部在执行把农村地区置于政府战略中心的皇家指示时，和地方社区进行合作发起了广泛地在农村中心建立和装备图书馆的方案。文化部提供工作人员、书籍和设备，由地方社区建造场所。</w:t>
      </w:r>
    </w:p>
    <w:p w:rsidR="00000000" w:rsidRDefault="003D15A7">
      <w:r>
        <w:tab/>
        <w:t xml:space="preserve">194.  </w:t>
      </w:r>
      <w:r>
        <w:rPr>
          <w:rFonts w:hint="eastAsia"/>
        </w:rPr>
        <w:t>同样，除了各种协会和非政</w:t>
      </w:r>
      <w:r>
        <w:rPr>
          <w:rFonts w:hint="eastAsia"/>
        </w:rPr>
        <w:t>府组织发起的主动行动之外，为使农村人口享受全国文化果实，文化部于</w:t>
      </w:r>
      <w:r>
        <w:t>1998</w:t>
      </w:r>
      <w:r>
        <w:rPr>
          <w:rFonts w:hint="eastAsia"/>
        </w:rPr>
        <w:t>年</w:t>
      </w:r>
      <w:r>
        <w:t>1</w:t>
      </w:r>
      <w:r>
        <w:rPr>
          <w:rFonts w:hint="eastAsia"/>
        </w:rPr>
        <w:t>月发起了一个持续进行的艺术文化节方案</w:t>
      </w:r>
      <w:r>
        <w:t>(</w:t>
      </w:r>
      <w:r>
        <w:rPr>
          <w:rFonts w:hint="eastAsia"/>
        </w:rPr>
        <w:t>儿童日戏、小节目、音乐会等等</w:t>
      </w:r>
      <w:r>
        <w:t>)</w:t>
      </w:r>
      <w:r>
        <w:rPr>
          <w:rFonts w:hint="eastAsia"/>
        </w:rPr>
        <w:t>，目的在于在整个王国，特别在农村和小城镇提高文化的形象。</w:t>
      </w:r>
    </w:p>
    <w:p w:rsidR="00000000" w:rsidRDefault="003D15A7">
      <w:r>
        <w:tab/>
        <w:t xml:space="preserve">195.  </w:t>
      </w:r>
      <w:r>
        <w:rPr>
          <w:rFonts w:hint="eastAsia"/>
        </w:rPr>
        <w:t>在普及文化生活和文化生活民主化的框架之内，考虑到文化在经济社会发展中的作用，并且根据关于地区组织的</w:t>
      </w:r>
      <w:r>
        <w:t>47</w:t>
      </w:r>
      <w:r>
        <w:rPr>
          <w:rFonts w:hint="eastAsia"/>
        </w:rPr>
        <w:t>—</w:t>
      </w:r>
      <w:r>
        <w:t>96</w:t>
      </w:r>
      <w:r>
        <w:rPr>
          <w:rFonts w:hint="eastAsia"/>
        </w:rPr>
        <w:t>号法令，为使农村地区享受适当的文化设施，已经建立了负责教育和文化事务的常设委员会，作为</w:t>
      </w:r>
      <w:r>
        <w:t>16</w:t>
      </w:r>
      <w:r>
        <w:rPr>
          <w:rFonts w:hint="eastAsia"/>
        </w:rPr>
        <w:t>个最近建立的地区理事会的一个部分。</w:t>
      </w:r>
    </w:p>
    <w:p w:rsidR="00000000" w:rsidRDefault="003D15A7">
      <w:pPr>
        <w:pStyle w:val="Heading3"/>
        <w:spacing w:before="320"/>
        <w:textAlignment w:val="center"/>
      </w:pPr>
      <w:r>
        <w:rPr>
          <w:u w:val="none"/>
        </w:rPr>
        <w:t xml:space="preserve">2.  </w:t>
      </w:r>
      <w:r>
        <w:rPr>
          <w:rFonts w:hint="eastAsia"/>
        </w:rPr>
        <w:t>社区参与文化生活</w:t>
      </w:r>
    </w:p>
    <w:p w:rsidR="00000000" w:rsidRDefault="003D15A7">
      <w:r>
        <w:tab/>
        <w:t xml:space="preserve">196.  </w:t>
      </w:r>
      <w:r>
        <w:rPr>
          <w:rFonts w:hint="eastAsia"/>
        </w:rPr>
        <w:t>根据关于加强普及的皇家</w:t>
      </w:r>
      <w:r>
        <w:rPr>
          <w:rFonts w:hint="eastAsia"/>
        </w:rPr>
        <w:t>指示和为了使所有公民参加文化生活和促进私营部门的文化，已采用了以下各项措施。</w:t>
      </w:r>
    </w:p>
    <w:p w:rsidR="00000000" w:rsidRDefault="003D15A7">
      <w:pPr>
        <w:pStyle w:val="Heading4"/>
        <w:spacing w:before="320"/>
        <w:textAlignment w:val="center"/>
      </w:pPr>
      <w:r>
        <w:rPr>
          <w:u w:val="none"/>
        </w:rPr>
        <w:t>(a)</w:t>
      </w:r>
      <w:r>
        <w:rPr>
          <w:u w:val="none"/>
        </w:rPr>
        <w:tab/>
      </w:r>
      <w:r>
        <w:rPr>
          <w:rFonts w:hint="eastAsia"/>
        </w:rPr>
        <w:t>建立文化高级理事会和地区理事会</w:t>
      </w:r>
    </w:p>
    <w:p w:rsidR="00000000" w:rsidRDefault="003D15A7">
      <w:r>
        <w:tab/>
        <w:t xml:space="preserve">197.  </w:t>
      </w:r>
      <w:r>
        <w:rPr>
          <w:rFonts w:hint="eastAsia"/>
        </w:rPr>
        <w:t>在普及文化生活和文化生活民主化的框架内，根据</w:t>
      </w:r>
      <w:r>
        <w:t>1995</w:t>
      </w:r>
      <w:r>
        <w:rPr>
          <w:rFonts w:hint="eastAsia"/>
        </w:rPr>
        <w:t>年</w:t>
      </w:r>
      <w:r>
        <w:t>1</w:t>
      </w:r>
      <w:r>
        <w:rPr>
          <w:rFonts w:hint="eastAsia"/>
        </w:rPr>
        <w:t>月</w:t>
      </w:r>
      <w:r>
        <w:t>21</w:t>
      </w:r>
      <w:r>
        <w:rPr>
          <w:rFonts w:hint="eastAsia"/>
        </w:rPr>
        <w:t>日第</w:t>
      </w:r>
      <w:r>
        <w:t>2-94-288</w:t>
      </w:r>
      <w:r>
        <w:rPr>
          <w:rFonts w:hint="eastAsia"/>
        </w:rPr>
        <w:t>号法令建立了高级文化理事会和地区理事会。国王陛下担任这些机构的荣誉主席，以表明他对作为发展基本因素的文化的重视。这些咨询机构由所有有关的社会伙伴的代表组成</w:t>
      </w:r>
      <w:r>
        <w:t>(</w:t>
      </w:r>
      <w:r>
        <w:rPr>
          <w:rFonts w:hint="eastAsia"/>
        </w:rPr>
        <w:t>地方社区、文化协会和工会、私营和银行部门。文艺和文学界人士等等</w:t>
      </w:r>
      <w:r>
        <w:t>)</w:t>
      </w:r>
      <w:r>
        <w:rPr>
          <w:rFonts w:hint="eastAsia"/>
        </w:rPr>
        <w:t>是对文化政策进行讨论和确定文化行动方向和首要项目的独特讲坛。文化高级理事会的工</w:t>
      </w:r>
      <w:r>
        <w:rPr>
          <w:rFonts w:hint="eastAsia"/>
        </w:rPr>
        <w:t>作由地区文化理事会在地方一级进行安排，地方文化理事会除其他事项外负责评估群众的文化要求、促进地区文化活动和提出有关文化政策和战略的建议。</w:t>
      </w:r>
    </w:p>
    <w:p w:rsidR="00000000" w:rsidRDefault="003D15A7">
      <w:pPr>
        <w:pStyle w:val="Heading4"/>
        <w:spacing w:before="320"/>
        <w:textAlignment w:val="center"/>
      </w:pPr>
      <w:r>
        <w:rPr>
          <w:u w:val="none"/>
        </w:rPr>
        <w:t>(b)</w:t>
      </w:r>
      <w:r>
        <w:rPr>
          <w:u w:val="none"/>
        </w:rPr>
        <w:tab/>
      </w:r>
      <w:r>
        <w:rPr>
          <w:rFonts w:hint="eastAsia"/>
        </w:rPr>
        <w:t>促进和发展文化赞助</w:t>
      </w:r>
    </w:p>
    <w:p w:rsidR="00000000" w:rsidRDefault="003D15A7">
      <w:pPr>
        <w:spacing w:after="320"/>
        <w:textAlignment w:val="center"/>
      </w:pPr>
      <w:r>
        <w:tab/>
        <w:t xml:space="preserve">198.  </w:t>
      </w:r>
      <w:r>
        <w:rPr>
          <w:rFonts w:hint="eastAsia"/>
        </w:rPr>
        <w:t>和大多数国家一样，提供给文化的财政资源远远不能满足对文化活动日益高涨的需求。面临这一缺口，并意识到可由民众社会、私营部门、地方社区及其他部门单位进行捐款为城乡公民的利益促进文化，文化大臣办公厅把赞助纳入其基本文化政策目标之内。为达到这个目的，和科教文组织合作举办了一系列短会，标题是摩洛哥的文化和赞助：文化和赞助安排的实际考虑。这项</w:t>
      </w:r>
      <w:r>
        <w:rPr>
          <w:rFonts w:hint="eastAsia"/>
        </w:rPr>
        <w:t>活动汇集了来自摩洛哥和国外的商业、创作人员和艺术家、文化机构领导人、研究员、大学讲师和专家。会议的主要目的是担任媒介在各种各样潜在的文化赞助捐助者之间促成新的联系，巩固发展现有的赞助实际经验并且查明机会、实际方法和发展的前景。</w:t>
      </w:r>
    </w:p>
    <w:p w:rsidR="00000000" w:rsidRDefault="003D15A7">
      <w:pPr>
        <w:pStyle w:val="Heading3"/>
      </w:pPr>
      <w:r>
        <w:rPr>
          <w:u w:val="none"/>
        </w:rPr>
        <w:t xml:space="preserve">B.  </w:t>
      </w:r>
      <w:r>
        <w:rPr>
          <w:rFonts w:hint="eastAsia"/>
        </w:rPr>
        <w:t>保护、发展和传播文化</w:t>
      </w:r>
    </w:p>
    <w:p w:rsidR="00000000" w:rsidRDefault="003D15A7">
      <w:pPr>
        <w:pStyle w:val="Heading3"/>
      </w:pPr>
      <w:r>
        <w:rPr>
          <w:u w:val="none"/>
        </w:rPr>
        <w:t xml:space="preserve">1.  </w:t>
      </w:r>
      <w:r>
        <w:rPr>
          <w:rFonts w:hint="eastAsia"/>
        </w:rPr>
        <w:t>保护文化遗产</w:t>
      </w:r>
    </w:p>
    <w:p w:rsidR="00000000" w:rsidRDefault="003D15A7">
      <w:r>
        <w:tab/>
        <w:t xml:space="preserve">199.  </w:t>
      </w:r>
      <w:r>
        <w:rPr>
          <w:rFonts w:hint="eastAsia"/>
        </w:rPr>
        <w:t>保护、理解和发展文化遗产是文化部的首要目的。这实现这一点，文化部开展了若干行动。</w:t>
      </w:r>
    </w:p>
    <w:p w:rsidR="00000000" w:rsidRDefault="003D15A7">
      <w:pPr>
        <w:pStyle w:val="Heading4"/>
        <w:spacing w:before="320"/>
        <w:textAlignment w:val="center"/>
      </w:pPr>
      <w:r>
        <w:rPr>
          <w:u w:val="none"/>
        </w:rPr>
        <w:t>(a)</w:t>
      </w:r>
      <w:r>
        <w:rPr>
          <w:u w:val="none"/>
        </w:rPr>
        <w:tab/>
      </w:r>
      <w:r>
        <w:rPr>
          <w:rFonts w:hint="eastAsia"/>
        </w:rPr>
        <w:t>历史遗址</w:t>
      </w:r>
    </w:p>
    <w:p w:rsidR="00000000" w:rsidRDefault="003D15A7">
      <w:r>
        <w:tab/>
        <w:t xml:space="preserve">200.  </w:t>
      </w:r>
      <w:r>
        <w:rPr>
          <w:rFonts w:hint="eastAsia"/>
        </w:rPr>
        <w:t>文化部开展了若干行动保护和恢复王国各个地区不同时代的历史遗址：泥土建筑</w:t>
      </w:r>
      <w:r>
        <w:t>(Taourirt</w:t>
      </w:r>
      <w:r>
        <w:rPr>
          <w:rFonts w:hint="eastAsia"/>
        </w:rPr>
        <w:t>，</w:t>
      </w:r>
      <w:r>
        <w:t>Rissani</w:t>
      </w:r>
      <w:r>
        <w:t>)</w:t>
      </w:r>
      <w:r>
        <w:rPr>
          <w:rFonts w:hint="eastAsia"/>
        </w:rPr>
        <w:t>、麦地那土墙和大门</w:t>
      </w:r>
      <w:r>
        <w:t>(Sale</w:t>
      </w:r>
      <w:r>
        <w:rPr>
          <w:rFonts w:hint="eastAsia"/>
        </w:rPr>
        <w:t>，</w:t>
      </w:r>
      <w:r>
        <w:t>Rabat</w:t>
      </w:r>
      <w:r>
        <w:rPr>
          <w:rFonts w:hint="eastAsia"/>
        </w:rPr>
        <w:t>，</w:t>
      </w:r>
      <w:r>
        <w:t>Taroudante)</w:t>
      </w:r>
      <w:r>
        <w:rPr>
          <w:rFonts w:hint="eastAsia"/>
        </w:rPr>
        <w:t>，麦得萨斯</w:t>
      </w:r>
      <w:r>
        <w:t>(Marrakech</w:t>
      </w:r>
      <w:r>
        <w:rPr>
          <w:rFonts w:hint="eastAsia"/>
        </w:rPr>
        <w:t>的</w:t>
      </w:r>
      <w:r>
        <w:t>Ben Youssef</w:t>
      </w:r>
      <w:r>
        <w:rPr>
          <w:rFonts w:hint="eastAsia"/>
        </w:rPr>
        <w:t>和</w:t>
      </w:r>
      <w:r>
        <w:t>Sale</w:t>
      </w:r>
      <w:r>
        <w:rPr>
          <w:rFonts w:hint="eastAsia"/>
        </w:rPr>
        <w:t>的</w:t>
      </w:r>
      <w:r>
        <w:t>Meridinide)</w:t>
      </w:r>
      <w:r>
        <w:rPr>
          <w:rFonts w:hint="eastAsia"/>
        </w:rPr>
        <w:t>；其中一些行动通过赞助得到资助。</w:t>
      </w:r>
    </w:p>
    <w:p w:rsidR="00000000" w:rsidRDefault="003D15A7">
      <w:pPr>
        <w:pStyle w:val="Heading4"/>
        <w:spacing w:before="320"/>
        <w:textAlignment w:val="center"/>
      </w:pPr>
      <w:r>
        <w:rPr>
          <w:u w:val="none"/>
        </w:rPr>
        <w:t>(b)</w:t>
      </w:r>
      <w:r>
        <w:rPr>
          <w:u w:val="none"/>
        </w:rPr>
        <w:tab/>
      </w:r>
      <w:r>
        <w:rPr>
          <w:rFonts w:hint="eastAsia"/>
        </w:rPr>
        <w:t>博物馆</w:t>
      </w:r>
    </w:p>
    <w:p w:rsidR="00000000" w:rsidRDefault="003D15A7">
      <w:r>
        <w:tab/>
        <w:t xml:space="preserve">201.  </w:t>
      </w:r>
      <w:r>
        <w:rPr>
          <w:rFonts w:hint="eastAsia"/>
        </w:rPr>
        <w:t>在这方面开展的许多行动包括对文化部获得的收藏品进行编目、通过定期庆祝国际博物馆日提高公众的认识，并且起草有关管理私立博物馆的规章制度。已经对外开放了两个私立博物馆，一个在萨尔</w:t>
      </w:r>
      <w:r>
        <w:t>(1995</w:t>
      </w:r>
      <w:r>
        <w:rPr>
          <w:rFonts w:hint="eastAsia"/>
        </w:rPr>
        <w:t>年</w:t>
      </w:r>
      <w:r>
        <w:t>)</w:t>
      </w:r>
      <w:r>
        <w:rPr>
          <w:rFonts w:hint="eastAsia"/>
        </w:rPr>
        <w:t>，另一个在马拉加什</w:t>
      </w:r>
      <w:r>
        <w:t>(1997</w:t>
      </w:r>
      <w:r>
        <w:rPr>
          <w:rFonts w:hint="eastAsia"/>
        </w:rPr>
        <w:t>年</w:t>
      </w:r>
      <w:r>
        <w:t>)</w:t>
      </w:r>
      <w:r>
        <w:rPr>
          <w:rFonts w:hint="eastAsia"/>
        </w:rPr>
        <w:t>。</w:t>
      </w:r>
    </w:p>
    <w:p w:rsidR="00000000" w:rsidRDefault="003D15A7">
      <w:pPr>
        <w:pStyle w:val="Heading4"/>
        <w:spacing w:before="320"/>
        <w:textAlignment w:val="center"/>
      </w:pPr>
      <w:r>
        <w:rPr>
          <w:u w:val="none"/>
        </w:rPr>
        <w:t>(c)</w:t>
      </w:r>
      <w:r>
        <w:rPr>
          <w:u w:val="none"/>
        </w:rPr>
        <w:tab/>
      </w:r>
      <w:r>
        <w:rPr>
          <w:rFonts w:hint="eastAsia"/>
        </w:rPr>
        <w:t>对文化遗产进行编目</w:t>
      </w:r>
    </w:p>
    <w:p w:rsidR="00000000" w:rsidRDefault="003D15A7">
      <w:r>
        <w:tab/>
        <w:t xml:space="preserve">202.  </w:t>
      </w:r>
      <w:r>
        <w:rPr>
          <w:rFonts w:hint="eastAsia"/>
        </w:rPr>
        <w:t>在这方面开展的活动的重点是：</w:t>
      </w:r>
      <w:r>
        <w:rPr>
          <w:rFonts w:hint="eastAsia"/>
        </w:rPr>
        <w:t>对艺术、风俗习惯和口头传说建立一个数据库；对于实用艺术和工艺以及传统的技术进行编目；组织工作组到王国各个地区进行编目工作；向公众进行宣传并且传播有关文化遗产的知识。</w:t>
      </w:r>
    </w:p>
    <w:p w:rsidR="00000000" w:rsidRDefault="003D15A7">
      <w:pPr>
        <w:pStyle w:val="Heading4"/>
        <w:spacing w:before="320"/>
        <w:textAlignment w:val="center"/>
      </w:pPr>
      <w:r>
        <w:rPr>
          <w:u w:val="none"/>
        </w:rPr>
        <w:t>(d)</w:t>
      </w:r>
      <w:r>
        <w:rPr>
          <w:u w:val="none"/>
        </w:rPr>
        <w:tab/>
      </w:r>
      <w:r>
        <w:rPr>
          <w:rFonts w:hint="eastAsia"/>
        </w:rPr>
        <w:t>世界遗产</w:t>
      </w:r>
    </w:p>
    <w:p w:rsidR="00000000" w:rsidRDefault="003D15A7">
      <w:r>
        <w:tab/>
        <w:t xml:space="preserve">203.  </w:t>
      </w:r>
      <w:r>
        <w:rPr>
          <w:rFonts w:hint="eastAsia"/>
        </w:rPr>
        <w:t>摩洛哥极其重视保护文化遗产。在这个前提下，摩洛哥批准了</w:t>
      </w:r>
      <w:r>
        <w:t>1975</w:t>
      </w:r>
      <w:r>
        <w:rPr>
          <w:rFonts w:hint="eastAsia"/>
        </w:rPr>
        <w:t>年《关于保护世界文化和自然遗产公约》，并且把摩洛哥的一些文化遗产纳入教科文组织世界遗产清单之内：在费萨的麦地那</w:t>
      </w:r>
      <w:r>
        <w:t>(1981</w:t>
      </w:r>
      <w:r>
        <w:rPr>
          <w:rFonts w:hint="eastAsia"/>
        </w:rPr>
        <w:t>年</w:t>
      </w:r>
      <w:r>
        <w:t>)</w:t>
      </w:r>
      <w:r>
        <w:rPr>
          <w:rFonts w:hint="eastAsia"/>
        </w:rPr>
        <w:t>、在马拉加什的麦地那</w:t>
      </w:r>
      <w:r>
        <w:t>(1985</w:t>
      </w:r>
      <w:r>
        <w:rPr>
          <w:rFonts w:hint="eastAsia"/>
        </w:rPr>
        <w:t>年</w:t>
      </w:r>
      <w:r>
        <w:t>)</w:t>
      </w:r>
      <w:r>
        <w:rPr>
          <w:rFonts w:hint="eastAsia"/>
        </w:rPr>
        <w:t>、在艾本哈都的卡斯巴赫</w:t>
      </w:r>
      <w:r>
        <w:t>(1987</w:t>
      </w:r>
      <w:r>
        <w:rPr>
          <w:rFonts w:hint="eastAsia"/>
        </w:rPr>
        <w:t>年</w:t>
      </w:r>
      <w:r>
        <w:t>)</w:t>
      </w:r>
      <w:r>
        <w:rPr>
          <w:rFonts w:hint="eastAsia"/>
        </w:rPr>
        <w:t>、在梅肯斯的麦地纳</w:t>
      </w:r>
      <w:r>
        <w:t>(1996</w:t>
      </w:r>
      <w:r>
        <w:rPr>
          <w:rFonts w:hint="eastAsia"/>
        </w:rPr>
        <w:t>年</w:t>
      </w:r>
      <w:r>
        <w:t>)</w:t>
      </w:r>
      <w:r>
        <w:rPr>
          <w:rFonts w:hint="eastAsia"/>
        </w:rPr>
        <w:t>、泰托安和沃鲁比利斯</w:t>
      </w:r>
      <w:r>
        <w:t>(19</w:t>
      </w:r>
      <w:r>
        <w:t>97</w:t>
      </w:r>
      <w:r>
        <w:rPr>
          <w:rFonts w:hint="eastAsia"/>
        </w:rPr>
        <w:t>年</w:t>
      </w:r>
      <w:r>
        <w:t>)</w:t>
      </w:r>
      <w:r>
        <w:rPr>
          <w:rFonts w:hint="eastAsia"/>
        </w:rPr>
        <w:t>。此外，教科文组织宣布在马拉加什的贾玛芬纳广场是世界文化遗产的一部分。</w:t>
      </w:r>
    </w:p>
    <w:p w:rsidR="00000000" w:rsidRDefault="003D15A7">
      <w:pPr>
        <w:pStyle w:val="Heading3"/>
        <w:spacing w:before="320"/>
        <w:textAlignment w:val="center"/>
      </w:pPr>
      <w:r>
        <w:rPr>
          <w:u w:val="none"/>
        </w:rPr>
        <w:t xml:space="preserve">2.  </w:t>
      </w:r>
      <w:r>
        <w:rPr>
          <w:rFonts w:hint="eastAsia"/>
        </w:rPr>
        <w:t>促进书籍和图书馆</w:t>
      </w:r>
    </w:p>
    <w:p w:rsidR="00000000" w:rsidRDefault="003D15A7">
      <w:r>
        <w:tab/>
        <w:t xml:space="preserve">204.  </w:t>
      </w:r>
      <w:r>
        <w:rPr>
          <w:rFonts w:hint="eastAsia"/>
        </w:rPr>
        <w:t>作为支持文学和艺术努力的一个方法，并且为了继续开展几年前开始的全国主动行动，文化部每年颁发摩洛哥书籍奖和大功勋奖</w:t>
      </w:r>
      <w:r>
        <w:t>(</w:t>
      </w:r>
      <w:r>
        <w:rPr>
          <w:rFonts w:hint="eastAsia"/>
        </w:rPr>
        <w:t>在王储希迪·默哈麦得陛下积极主持之下</w:t>
      </w:r>
      <w:r>
        <w:t>)</w:t>
      </w:r>
      <w:r>
        <w:rPr>
          <w:rFonts w:hint="eastAsia"/>
        </w:rPr>
        <w:t>和原稿和文件哈桑二世，目的是为了保护摩洛哥国家遗产的文字部分。</w:t>
      </w:r>
    </w:p>
    <w:p w:rsidR="00000000" w:rsidRDefault="003D15A7">
      <w:r>
        <w:tab/>
        <w:t xml:space="preserve">205.  </w:t>
      </w:r>
      <w:r>
        <w:rPr>
          <w:rFonts w:hint="eastAsia"/>
        </w:rPr>
        <w:t>为了保护有关书籍的道义和物质利益，并且由于教科文组织把</w:t>
      </w:r>
      <w:r>
        <w:t>4</w:t>
      </w:r>
      <w:r>
        <w:rPr>
          <w:rFonts w:hint="eastAsia"/>
        </w:rPr>
        <w:t>月</w:t>
      </w:r>
      <w:r>
        <w:t>23</w:t>
      </w:r>
      <w:r>
        <w:rPr>
          <w:rFonts w:hint="eastAsia"/>
        </w:rPr>
        <w:t>日定为世界书籍和版权日，每年在王国各地举行若干活动以纪念这个节日</w:t>
      </w:r>
      <w:r>
        <w:t>(</w:t>
      </w:r>
      <w:r>
        <w:rPr>
          <w:rFonts w:hint="eastAsia"/>
        </w:rPr>
        <w:t>从</w:t>
      </w:r>
      <w:r>
        <w:t>4</w:t>
      </w:r>
      <w:r>
        <w:rPr>
          <w:rFonts w:hint="eastAsia"/>
        </w:rPr>
        <w:t>月</w:t>
      </w:r>
      <w:r>
        <w:t>23</w:t>
      </w:r>
      <w:r>
        <w:rPr>
          <w:rFonts w:hint="eastAsia"/>
        </w:rPr>
        <w:t>日至</w:t>
      </w:r>
      <w:r>
        <w:t>30</w:t>
      </w:r>
      <w:r>
        <w:rPr>
          <w:rFonts w:hint="eastAsia"/>
        </w:rPr>
        <w:t>日举行书籍节</w:t>
      </w:r>
      <w:r>
        <w:t>)</w:t>
      </w:r>
      <w:r>
        <w:rPr>
          <w:rFonts w:hint="eastAsia"/>
        </w:rPr>
        <w:t>，</w:t>
      </w:r>
      <w:r>
        <w:rPr>
          <w:rFonts w:hint="eastAsia"/>
        </w:rPr>
        <w:t>以期提高公众对文化的认识并且普遍宏扬文化，特别促进图书的发展。</w:t>
      </w:r>
    </w:p>
    <w:p w:rsidR="00000000" w:rsidRDefault="003D15A7">
      <w:pPr>
        <w:pStyle w:val="Heading3"/>
        <w:spacing w:before="320"/>
        <w:textAlignment w:val="center"/>
      </w:pPr>
      <w:r>
        <w:rPr>
          <w:u w:val="none"/>
        </w:rPr>
        <w:t xml:space="preserve">3.  </w:t>
      </w:r>
      <w:r>
        <w:rPr>
          <w:rFonts w:hint="eastAsia"/>
        </w:rPr>
        <w:t>对文化协会的支持</w:t>
      </w:r>
    </w:p>
    <w:p w:rsidR="00000000" w:rsidRDefault="003D15A7">
      <w:pPr>
        <w:spacing w:after="320"/>
        <w:textAlignment w:val="center"/>
      </w:pPr>
      <w:r>
        <w:tab/>
        <w:t xml:space="preserve">206.  </w:t>
      </w:r>
      <w:r>
        <w:rPr>
          <w:rFonts w:hint="eastAsia"/>
        </w:rPr>
        <w:t>文化部对若干文化协会给予道义上和财政上的支持。文化部还参加这些协会的若干活动，并且鼓励这些协会促进文化部每年开展的许多文化主动行动。这样，一个相当规模的基础设施已经建立，为文化协会提供了一定的表达空间。青年俱乐部</w:t>
      </w:r>
      <w:r>
        <w:rPr>
          <w:rFonts w:hint="eastAsia"/>
          <w:spacing w:val="-40"/>
        </w:rPr>
        <w:t>——</w:t>
      </w:r>
      <w:r>
        <w:t xml:space="preserve"> </w:t>
      </w:r>
      <w:r>
        <w:rPr>
          <w:rFonts w:hint="eastAsia"/>
        </w:rPr>
        <w:t>真正的青年活动中心</w:t>
      </w:r>
      <w:r>
        <w:rPr>
          <w:rFonts w:hint="eastAsia"/>
          <w:spacing w:val="-40"/>
        </w:rPr>
        <w:t>——</w:t>
      </w:r>
      <w:r>
        <w:t xml:space="preserve"> </w:t>
      </w:r>
      <w:r>
        <w:rPr>
          <w:rFonts w:hint="eastAsia"/>
        </w:rPr>
        <w:t>俱乐部的数量从</w:t>
      </w:r>
      <w:r>
        <w:t>1994</w:t>
      </w:r>
      <w:r>
        <w:rPr>
          <w:rFonts w:hint="eastAsia"/>
        </w:rPr>
        <w:t>年</w:t>
      </w:r>
      <w:r>
        <w:t>242</w:t>
      </w:r>
      <w:r>
        <w:rPr>
          <w:rFonts w:hint="eastAsia"/>
        </w:rPr>
        <w:t>个上升至</w:t>
      </w:r>
      <w:r>
        <w:t>1997</w:t>
      </w:r>
      <w:r>
        <w:rPr>
          <w:rFonts w:hint="eastAsia"/>
        </w:rPr>
        <w:t>年</w:t>
      </w:r>
      <w:r>
        <w:t>267</w:t>
      </w:r>
      <w:r>
        <w:rPr>
          <w:rFonts w:hint="eastAsia"/>
        </w:rPr>
        <w:t>个。使用这些俱乐部和中心的人数从</w:t>
      </w:r>
      <w:r>
        <w:t>1994</w:t>
      </w:r>
      <w:r>
        <w:rPr>
          <w:rFonts w:hint="eastAsia"/>
        </w:rPr>
        <w:t>年的</w:t>
      </w:r>
      <w:r>
        <w:t>2,526,626</w:t>
      </w:r>
      <w:r>
        <w:rPr>
          <w:rFonts w:hint="eastAsia"/>
        </w:rPr>
        <w:t>人上升至</w:t>
      </w:r>
      <w:r>
        <w:t>1997</w:t>
      </w:r>
      <w:r>
        <w:rPr>
          <w:rFonts w:hint="eastAsia"/>
        </w:rPr>
        <w:t>年的</w:t>
      </w:r>
      <w:r>
        <w:t>2,767,019</w:t>
      </w:r>
      <w:r>
        <w:rPr>
          <w:rFonts w:hint="eastAsia"/>
        </w:rPr>
        <w:t>人。同样，</w:t>
      </w:r>
      <w:r>
        <w:t>9</w:t>
      </w:r>
      <w:r>
        <w:t>6,670</w:t>
      </w:r>
      <w:r>
        <w:rPr>
          <w:rFonts w:hint="eastAsia"/>
        </w:rPr>
        <w:t>名青年人使用接待中心所提供的服务。这些接待中心欢迎到摩洛哥各地旅游和参观的青年团体和参加教育、文化或其活动的青年团体。</w:t>
      </w:r>
    </w:p>
    <w:p w:rsidR="00000000" w:rsidRDefault="003D15A7">
      <w:pPr>
        <w:pStyle w:val="Heading3"/>
      </w:pPr>
      <w:r>
        <w:rPr>
          <w:u w:val="none"/>
        </w:rPr>
        <w:t xml:space="preserve">C.  </w:t>
      </w:r>
      <w:r>
        <w:rPr>
          <w:rFonts w:hint="eastAsia"/>
        </w:rPr>
        <w:t>鼓励和发展国际合作和国际交往</w:t>
      </w:r>
    </w:p>
    <w:p w:rsidR="00000000" w:rsidRDefault="003D15A7">
      <w:pPr>
        <w:spacing w:after="320"/>
        <w:textAlignment w:val="center"/>
      </w:pPr>
      <w:r>
        <w:tab/>
        <w:t xml:space="preserve">207.  </w:t>
      </w:r>
      <w:r>
        <w:rPr>
          <w:rFonts w:hint="eastAsia"/>
        </w:rPr>
        <w:t>为了在摩洛哥王国和兄弟国家之间建立友好和合作的纽带，为了在世界各地保持和加强摩洛哥文化特征，文化大臣办公厅除了组织文化周和参加国际文化会议和节日之外，正在提高其和国际机构和国际文化基金会的文化和艺术合作层次。在这方面，最近比较特殊的是为三种文化和宗教</w:t>
      </w:r>
      <w:r>
        <w:t>(</w:t>
      </w:r>
      <w:r>
        <w:rPr>
          <w:rFonts w:hint="eastAsia"/>
        </w:rPr>
        <w:t>穆斯林、犹太教和基督教</w:t>
      </w:r>
      <w:r>
        <w:t>)</w:t>
      </w:r>
      <w:r>
        <w:rPr>
          <w:rFonts w:hint="eastAsia"/>
        </w:rPr>
        <w:t>之间的对话建立了摩洛哥</w:t>
      </w:r>
      <w:r>
        <w:rPr>
          <w:rFonts w:hint="eastAsia"/>
          <w:spacing w:val="-40"/>
        </w:rPr>
        <w:t>——</w:t>
      </w:r>
      <w:r>
        <w:t xml:space="preserve"> </w:t>
      </w:r>
      <w:r>
        <w:rPr>
          <w:rFonts w:hint="eastAsia"/>
        </w:rPr>
        <w:t>安达卢西亚基金会，其总部设</w:t>
      </w:r>
      <w:r>
        <w:rPr>
          <w:rFonts w:hint="eastAsia"/>
        </w:rPr>
        <w:t>在塞维尔的摩洛哥馆内。基金会主要促进对摩洛哥始终非常重要的宗教之间和文化之间对话的原则。</w:t>
      </w:r>
    </w:p>
    <w:p w:rsidR="00000000" w:rsidRDefault="003D15A7">
      <w:pPr>
        <w:pStyle w:val="Heading3"/>
      </w:pPr>
      <w:r>
        <w:br w:type="page"/>
      </w:r>
      <w:r>
        <w:rPr>
          <w:rFonts w:hint="eastAsia"/>
        </w:rPr>
        <w:t>结</w:t>
      </w:r>
      <w:r>
        <w:t xml:space="preserve">  </w:t>
      </w:r>
      <w:r>
        <w:rPr>
          <w:rFonts w:hint="eastAsia"/>
        </w:rPr>
        <w:t>论</w:t>
      </w:r>
    </w:p>
    <w:p w:rsidR="00000000" w:rsidRDefault="003D15A7">
      <w:r>
        <w:tab/>
        <w:t xml:space="preserve">208.  </w:t>
      </w:r>
      <w:r>
        <w:rPr>
          <w:rFonts w:hint="eastAsia"/>
        </w:rPr>
        <w:t>根据《经济、社会和文化权利盟约》的条款，摩洛哥继续努力确保充分实施《盟约》内所确认的经济、社会和文化权利。自</w:t>
      </w:r>
      <w:r>
        <w:t>1993</w:t>
      </w:r>
      <w:r>
        <w:rPr>
          <w:rFonts w:hint="eastAsia"/>
        </w:rPr>
        <w:t>年摩洛哥提交初次报告</w:t>
      </w:r>
      <w:r>
        <w:t>(E/1990/5/Add.13)</w:t>
      </w:r>
      <w:r>
        <w:rPr>
          <w:rFonts w:hint="eastAsia"/>
        </w:rPr>
        <w:t>以后，摩洛哥社会的进展突出表现在发生了大规模的变化，促进提高有利于经济、社会文化权利的行动。重大的进展是：控制了人口增长改善了生活水准、通过新的宪法发展了政治机构、新政府根据权力交替的制度继任</w:t>
      </w:r>
      <w:r>
        <w:rPr>
          <w:rFonts w:hint="eastAsia"/>
          <w:spacing w:val="-40"/>
        </w:rPr>
        <w:t>——</w:t>
      </w:r>
      <w:r>
        <w:t xml:space="preserve"> </w:t>
      </w:r>
      <w:r>
        <w:rPr>
          <w:rFonts w:hint="eastAsia"/>
        </w:rPr>
        <w:t>这是摩洛哥政治生活现代化进程</w:t>
      </w:r>
      <w:r>
        <w:rPr>
          <w:rFonts w:hint="eastAsia"/>
        </w:rPr>
        <w:t>中的一个历史性的发展。在政府和社会伙伴之间签署了</w:t>
      </w:r>
      <w:r>
        <w:t>1996</w:t>
      </w:r>
      <w:r>
        <w:rPr>
          <w:rFonts w:hint="eastAsia"/>
        </w:rPr>
        <w:t>年</w:t>
      </w:r>
      <w:r>
        <w:t>8</w:t>
      </w:r>
      <w:r>
        <w:rPr>
          <w:rFonts w:hint="eastAsia"/>
        </w:rPr>
        <w:t>月</w:t>
      </w:r>
      <w:r>
        <w:t>1</w:t>
      </w:r>
      <w:r>
        <w:rPr>
          <w:rFonts w:hint="eastAsia"/>
        </w:rPr>
        <w:t>日协定之后促进了社会对话，活跃了协商进程、逐渐解放了民众团体，提高了民众团体参加经济社会和文化发展，从而取得了比较显著的成就。在社会方面取得的真正的进展反映在预算拨款的提高。</w:t>
      </w:r>
    </w:p>
    <w:p w:rsidR="00000000" w:rsidRDefault="003D15A7">
      <w:r>
        <w:tab/>
        <w:t xml:space="preserve">209.  </w:t>
      </w:r>
      <w:r>
        <w:rPr>
          <w:rFonts w:hint="eastAsia"/>
        </w:rPr>
        <w:t>然而，只有在大大地削减外债的情况下，才有可能使这些努力达到预期的结果。由于摩洛哥连年遭到旱灾，外债的负担越来越沉重。未偿付的外债数额已从国内生产总值的</w:t>
      </w:r>
      <w:r>
        <w:t>67.9%</w:t>
      </w:r>
      <w:r>
        <w:rPr>
          <w:rFonts w:hint="eastAsia"/>
        </w:rPr>
        <w:t>降至</w:t>
      </w:r>
      <w:r>
        <w:t>1997</w:t>
      </w:r>
      <w:r>
        <w:rPr>
          <w:rFonts w:hint="eastAsia"/>
        </w:rPr>
        <w:t>年的</w:t>
      </w:r>
      <w:r>
        <w:t>58.3%</w:t>
      </w:r>
      <w:r>
        <w:rPr>
          <w:rFonts w:hint="eastAsia"/>
        </w:rPr>
        <w:t>。这一结果部分是由于法国和西班牙所作的安排，把一部分债务转为投资。并还靠</w:t>
      </w:r>
      <w:r>
        <w:rPr>
          <w:rFonts w:hint="eastAsia"/>
        </w:rPr>
        <w:t>通过预先支付部分昂贵的债务总额取得的。尽管作了种种明显的努力，但债务的水平仍然很高，支付外债的费用</w:t>
      </w:r>
      <w:r>
        <w:t>(</w:t>
      </w:r>
      <w:r>
        <w:rPr>
          <w:rFonts w:hint="eastAsia"/>
        </w:rPr>
        <w:t>还本偿息</w:t>
      </w:r>
      <w:r>
        <w:t>)</w:t>
      </w:r>
      <w:r>
        <w:rPr>
          <w:rFonts w:hint="eastAsia"/>
        </w:rPr>
        <w:t>继续占国际收支的</w:t>
      </w:r>
      <w:r>
        <w:t>28%</w:t>
      </w:r>
      <w:r>
        <w:rPr>
          <w:rFonts w:hint="eastAsia"/>
        </w:rPr>
        <w:t>。而降低国外债务影响了国内公共债务。国内公共债务</w:t>
      </w:r>
      <w:r>
        <w:t>1997</w:t>
      </w:r>
      <w:r>
        <w:rPr>
          <w:rFonts w:hint="eastAsia"/>
        </w:rPr>
        <w:t>年定为国内生产总值的</w:t>
      </w:r>
      <w:r>
        <w:t>39%</w:t>
      </w:r>
      <w:r>
        <w:rPr>
          <w:rFonts w:hint="eastAsia"/>
        </w:rPr>
        <w:t>以便偿付预算赤字和外部财政的入不敷出。</w:t>
      </w:r>
    </w:p>
    <w:p w:rsidR="00000000" w:rsidRDefault="003D15A7">
      <w:r>
        <w:tab/>
        <w:t xml:space="preserve">210.  </w:t>
      </w:r>
      <w:r>
        <w:rPr>
          <w:rFonts w:hint="eastAsia"/>
        </w:rPr>
        <w:t>然而摩洛哥政府出于鼓励参与的战略和实际意义的远见出发，牢牢地兼顾各种基本要素，坚决地把其社会方案作为首要考虑项目。这些社会方案本身的规模范围对摩洛哥就是一个极大的挑战。随附</w:t>
      </w:r>
      <w:r>
        <w:t>1998</w:t>
      </w:r>
      <w:r>
        <w:rPr>
          <w:rFonts w:hint="eastAsia"/>
        </w:rPr>
        <w:t>至</w:t>
      </w:r>
      <w:r>
        <w:t>99</w:t>
      </w:r>
      <w:r>
        <w:rPr>
          <w:rFonts w:hint="eastAsia"/>
        </w:rPr>
        <w:t>年财政法的经济财政报告清楚地表明了这一点。在这份报告中摩洛</w:t>
      </w:r>
      <w:r>
        <w:rPr>
          <w:rFonts w:hint="eastAsia"/>
        </w:rPr>
        <w:t>哥政府从下面几方面论述其社会战略：</w:t>
      </w:r>
    </w:p>
    <w:p w:rsidR="00000000" w:rsidRDefault="003D15A7">
      <w:pPr>
        <w:ind w:left="1021"/>
      </w:pPr>
      <w:r>
        <w:tab/>
      </w:r>
      <w:r>
        <w:rPr>
          <w:rFonts w:hint="eastAsia"/>
        </w:rPr>
        <w:t>“在社会方面，除了制订一份涉及全国所有各方就业的契约之外，政府优先考虑的主要领域是解决失业、贫困、不平等和社会排斥等问题的措施、促进扫盲和基本教育、改进基本卫生保健、改革社会福利和支持社会住房。</w:t>
      </w:r>
    </w:p>
    <w:p w:rsidR="00000000" w:rsidRDefault="003D15A7">
      <w:pPr>
        <w:ind w:left="1021"/>
      </w:pPr>
      <w:r>
        <w:tab/>
      </w:r>
      <w:r>
        <w:rPr>
          <w:rFonts w:hint="eastAsia"/>
        </w:rPr>
        <w:t>在统一方式的框架内实施这些计划取决于社会开支的地理和部门分布的变化。而社会开支的目标对象是社会中最为贫困和最为脆弱的阶层，特别是在农村地区和城镇边缘地区的这些人群。</w:t>
      </w:r>
    </w:p>
    <w:p w:rsidR="00000000" w:rsidRDefault="003D15A7">
      <w:pPr>
        <w:ind w:left="1021"/>
      </w:pPr>
      <w:r>
        <w:tab/>
      </w:r>
      <w:r>
        <w:rPr>
          <w:rFonts w:hint="eastAsia"/>
        </w:rPr>
        <w:t>政府将彻底改革社会开支机制以便使最不利的人群受益。政府将建立一项制度，查明在保健、营养、住房和福利援助方面应</w:t>
      </w:r>
      <w:r>
        <w:rPr>
          <w:rFonts w:hint="eastAsia"/>
        </w:rPr>
        <w:t>免费从国家得到社会服务的各类人口。</w:t>
      </w:r>
    </w:p>
    <w:p w:rsidR="00000000" w:rsidRDefault="003D15A7">
      <w:pPr>
        <w:ind w:left="1021"/>
      </w:pPr>
      <w:r>
        <w:tab/>
      </w:r>
      <w:r>
        <w:rPr>
          <w:rFonts w:hint="eastAsia"/>
        </w:rPr>
        <w:t>社会战略还计划加强妇女的地位，发挥其创造潜力，解决她们所遭受的所有形式的歧视。其目的是保护家庭、儿童和残疾人。</w:t>
      </w:r>
    </w:p>
    <w:p w:rsidR="00000000" w:rsidRDefault="003D15A7">
      <w:pPr>
        <w:ind w:left="1021"/>
      </w:pPr>
      <w:r>
        <w:tab/>
      </w:r>
      <w:r>
        <w:rPr>
          <w:rFonts w:hint="eastAsia"/>
        </w:rPr>
        <w:t>为达到这个目的，政府将制订儿童法，加强旨在保护儿童免遭暴力和虐待的方案，改进目前向残疾公民提供照料、培训和援助的结构。</w:t>
      </w:r>
    </w:p>
    <w:p w:rsidR="00000000" w:rsidRDefault="003D15A7">
      <w:pPr>
        <w:ind w:left="1021"/>
      </w:pPr>
      <w:r>
        <w:tab/>
      </w:r>
      <w:r>
        <w:rPr>
          <w:rFonts w:hint="eastAsia"/>
        </w:rPr>
        <w:t>社会发展基金和调动国民透明机制的建立将加强这个社会战略。”</w:t>
      </w:r>
    </w:p>
    <w:p w:rsidR="00000000" w:rsidRDefault="003D15A7"/>
    <w:p w:rsidR="00000000" w:rsidRDefault="003D15A7">
      <w:pPr>
        <w:jc w:val="center"/>
      </w:pPr>
      <w:r>
        <w:t>--  --  --  --  --</w:t>
      </w:r>
    </w:p>
    <w:p w:rsidR="00000000" w:rsidRDefault="003D15A7"/>
    <w:p w:rsidR="00000000" w:rsidRDefault="003D15A7"/>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D15A7">
      <w:pPr>
        <w:keepNext/>
        <w:spacing w:before="320" w:after="240"/>
        <w:jc w:val="center"/>
      </w:pPr>
      <w:r>
        <w:rPr>
          <w:rFonts w:hint="eastAsia"/>
          <w:u w:val="single"/>
        </w:rPr>
        <w:t>注</w:t>
      </w:r>
    </w:p>
  </w:endnote>
  <w:endnote w:type="continuationSeparator" w:id="0">
    <w:p w:rsidR="00000000" w:rsidRDefault="003D15A7">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长城仿宋">
    <w:charset w:val="86"/>
    <w:family w:val="modern"/>
    <w:pitch w:val="fixed"/>
    <w:sig w:usb0="00000001" w:usb1="080E0000" w:usb2="00000010" w:usb3="00000000" w:csb0="00040000" w:csb1="00000000"/>
  </w:font>
  <w:font w:name="长城楷体">
    <w:charset w:val="86"/>
    <w:family w:val="modern"/>
    <w:pitch w:val="fixed"/>
    <w:sig w:usb0="00000001" w:usb1="080E0000" w:usb2="00000010" w:usb3="00000000" w:csb0="00040000" w:csb1="00000000"/>
  </w:font>
  <w:font w:name="Univers Bold">
    <w:altName w:val="Arial Rounded MT Bold"/>
    <w:panose1 w:val="00000000000000000000"/>
    <w:charset w:val="00"/>
    <w:family w:val="swiss"/>
    <w:notTrueType/>
    <w:pitch w:val="default"/>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15A7">
    <w:pPr>
      <w:pStyle w:val="Footer"/>
      <w:rPr>
        <w:rFonts w:ascii="Courier" w:hAnsi="Courier"/>
      </w:rPr>
    </w:pPr>
    <w:r>
      <w:rPr>
        <w:rFonts w:ascii="Courier" w:hAnsi="Courier"/>
      </w:rPr>
      <w:t>GE. 99-40074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D15A7">
      <w:pPr>
        <w:spacing w:line="240" w:lineRule="auto"/>
      </w:pPr>
      <w:r>
        <w:separator/>
      </w:r>
    </w:p>
  </w:footnote>
  <w:footnote w:type="continuationSeparator" w:id="0">
    <w:p w:rsidR="00000000" w:rsidRDefault="003D15A7">
      <w:pPr>
        <w:spacing w:line="240" w:lineRule="auto"/>
      </w:pPr>
      <w:r>
        <w:continuationSeparator/>
      </w:r>
    </w:p>
  </w:footnote>
  <w:footnote w:id="1">
    <w:p w:rsidR="00000000" w:rsidRDefault="003D15A7">
      <w:pPr>
        <w:pStyle w:val="FootnoteText"/>
      </w:pPr>
      <w:r>
        <w:rPr>
          <w:rStyle w:val="FootnoteReference"/>
          <w:vertAlign w:val="baseline"/>
        </w:rPr>
        <w:t>*</w:t>
      </w:r>
      <w:r>
        <w:tab/>
      </w:r>
      <w:r>
        <w:rPr>
          <w:rFonts w:hint="eastAsia"/>
        </w:rPr>
        <w:t>经济、社会和文化权利委员会在第十次会议上</w:t>
      </w:r>
      <w:r>
        <w:t>(</w:t>
      </w:r>
      <w:r>
        <w:rPr>
          <w:rFonts w:hint="eastAsia"/>
        </w:rPr>
        <w:t>见</w:t>
      </w:r>
      <w:r>
        <w:t>E/C.12/1994/SR.8-10)</w:t>
      </w:r>
      <w:r>
        <w:rPr>
          <w:rFonts w:hint="eastAsia"/>
        </w:rPr>
        <w:t>审议了摩洛哥政府提交的有关第</w:t>
      </w:r>
      <w:r>
        <w:t>1</w:t>
      </w:r>
      <w:r>
        <w:rPr>
          <w:rFonts w:hint="eastAsia"/>
        </w:rPr>
        <w:t>条至第</w:t>
      </w:r>
      <w:r>
        <w:t>15</w:t>
      </w:r>
      <w:r>
        <w:rPr>
          <w:rFonts w:hint="eastAsia"/>
        </w:rPr>
        <w:t>条所涉</w:t>
      </w:r>
      <w:r>
        <w:rPr>
          <w:rFonts w:hint="eastAsia"/>
        </w:rPr>
        <w:t>权利的初次报告</w:t>
      </w:r>
      <w:r>
        <w:t>(E/1990/5/Add.13)</w:t>
      </w:r>
      <w:r>
        <w:rPr>
          <w:rFonts w:eastAsia="SimSun" w:hint="eastAsia"/>
        </w:rPr>
        <w:t>。</w:t>
      </w:r>
    </w:p>
  </w:footnote>
  <w:footnote w:id="2">
    <w:p w:rsidR="00000000" w:rsidRDefault="003D15A7">
      <w:pPr>
        <w:pStyle w:val="FootnoteText"/>
        <w:rPr>
          <w:rFonts w:eastAsia="SimSun"/>
        </w:rPr>
      </w:pPr>
      <w:r>
        <w:rPr>
          <w:rStyle w:val="FootnoteReference"/>
          <w:vertAlign w:val="baseline"/>
        </w:rPr>
        <w:t>**</w:t>
      </w:r>
      <w:r>
        <w:tab/>
      </w:r>
      <w:r>
        <w:rPr>
          <w:rFonts w:hint="eastAsia"/>
        </w:rPr>
        <w:t>核心文件</w:t>
      </w:r>
      <w:r>
        <w:t>(HRI/CORE/1/Add.23)</w:t>
      </w:r>
      <w:r>
        <w:rPr>
          <w:rFonts w:hint="eastAsia"/>
        </w:rPr>
        <w:t>载有根据缔约国报告第一部分准则提交的资料</w:t>
      </w:r>
      <w:r>
        <w:rPr>
          <w:rFonts w:eastAsia="SimSun" w:hint="eastAsia"/>
        </w:rPr>
        <w:t>。</w:t>
      </w:r>
    </w:p>
    <w:p w:rsidR="00000000" w:rsidRDefault="003D15A7">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15A7">
    <w:pPr>
      <w:pStyle w:val="1R2"/>
      <w:framePr w:w="0" w:hRule="auto" w:hSpace="0" w:wrap="auto" w:vAnchor="margin" w:hAnchor="text" w:xAlign="left" w:yAlign="inline"/>
    </w:pPr>
    <w:r>
      <w:t>E/1990/6/Add.20</w:t>
    </w:r>
  </w:p>
  <w:p w:rsidR="00000000" w:rsidRDefault="003D15A7">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15A7">
    <w:pPr>
      <w:pStyle w:val="1R2"/>
      <w:framePr w:w="0" w:hRule="auto" w:hSpace="0" w:wrap="auto" w:vAnchor="margin" w:hAnchor="text" w:xAlign="left" w:yAlign="inline"/>
    </w:pPr>
    <w:r>
      <w:tab/>
    </w:r>
    <w:r>
      <w:tab/>
    </w:r>
    <w:r>
      <w:tab/>
    </w:r>
    <w:r>
      <w:tab/>
      <w:t>E/1990/6/Add.20</w:t>
    </w:r>
  </w:p>
  <w:p w:rsidR="00000000" w:rsidRDefault="003D15A7">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D15A7">
    <w:pPr>
      <w:pStyle w:val="a"/>
    </w:pPr>
    <w:r>
      <w:rPr>
        <w:noProof/>
      </w:rPr>
      <w:pict>
        <v:rect id="_x0000_s1025" style="position:absolute;left:0;text-align:left;margin-left:541.05pt;margin-top:59.05pt;width:30.05pt;height:36pt;z-index:-5;mso-position-horizontal-relative:page;mso-position-vertical-relative:page" o:allowincell="f" filled="f" stroked="f" strokeweight="0">
          <v:textbox inset="0,0,0,0">
            <w:txbxContent>
              <w:p w:rsidR="00000000" w:rsidRDefault="003D15A7">
                <w:pPr>
                  <w:pStyle w:val="1R1"/>
                  <w:rPr>
                    <w:rFonts w:ascii="Univers Bold" w:hAnsi="Univers Bold"/>
                  </w:rPr>
                </w:pPr>
                <w:r>
                  <w:t>E</w:t>
                </w:r>
              </w:p>
            </w:txbxContent>
          </v:textbox>
          <w10:wrap anchorx="page" anchory="page"/>
        </v:rect>
      </w:pict>
    </w:r>
  </w:p>
  <w:p w:rsidR="00000000" w:rsidRDefault="003D15A7">
    <w:pPr>
      <w:pStyle w:val="a"/>
      <w:spacing w:after="160"/>
    </w:pPr>
    <w:r>
      <w:fldChar w:fldCharType="begin"/>
    </w:r>
    <w:r>
      <w:instrText xml:space="preserve">PRIVATE </w:instrText>
    </w:r>
    <w:r>
      <w:fldChar w:fldCharType="end"/>
    </w:r>
  </w:p>
  <w:p w:rsidR="00000000" w:rsidRDefault="003D15A7">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3D15A7">
    <w:pPr>
      <w:pStyle w:val="a"/>
    </w:pPr>
    <w:r>
      <w:pict>
        <v:rect id="_x0000_s1029" style="position:absolute;left:0;text-align:left;margin-left:66.7pt;margin-top:110.5pt;width:65.05pt;height:55.55pt;z-index:-1;mso-position-horizontal-relative:page;mso-position-vertical-relative:page" o:allowincell="f" filled="f" stroked="f" strokeweight="0">
          <v:textbox inset="0,0,0,0">
            <w:txbxContent>
              <w:p w:rsidR="00000000" w:rsidRDefault="003D15A7">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55.5pt">
                      <v:imagedata r:id="rId1" o:title="" croptop="-108f" cropbottom="-92f" cropleft="-3349f" cropright="-3349f"/>
                    </v:shape>
                  </w:pict>
                </w:r>
              </w:p>
            </w:txbxContent>
          </v:textbox>
          <w10:wrap anchorx="page" anchory="page"/>
        </v:rect>
      </w:pict>
    </w:r>
  </w:p>
  <w:p w:rsidR="00000000" w:rsidRDefault="003D15A7">
    <w:pPr>
      <w:pStyle w:val="1R2"/>
      <w:framePr w:wrap="around"/>
    </w:pPr>
    <w:r>
      <w:t>Distr.</w:t>
    </w:r>
  </w:p>
  <w:p w:rsidR="00000000" w:rsidRDefault="003D15A7">
    <w:pPr>
      <w:pStyle w:val="1R2"/>
      <w:framePr w:wrap="around"/>
    </w:pPr>
    <w:r>
      <w:t>GENERAL</w:t>
    </w:r>
  </w:p>
  <w:p w:rsidR="00000000" w:rsidRDefault="003D15A7">
    <w:pPr>
      <w:pStyle w:val="1R2"/>
      <w:framePr w:wrap="around"/>
    </w:pPr>
  </w:p>
  <w:p w:rsidR="00000000" w:rsidRDefault="003D15A7">
    <w:pPr>
      <w:pStyle w:val="1R2"/>
      <w:framePr w:wrap="around"/>
    </w:pPr>
    <w:r>
      <w:t>E/1990/6/Add.20</w:t>
    </w:r>
  </w:p>
  <w:p w:rsidR="00000000" w:rsidRDefault="003D15A7">
    <w:pPr>
      <w:pStyle w:val="1R2"/>
      <w:framePr w:wrap="around"/>
    </w:pPr>
    <w:r>
      <w:t>6 January 1999</w:t>
    </w:r>
  </w:p>
  <w:p w:rsidR="00000000" w:rsidRDefault="003D15A7">
    <w:pPr>
      <w:pStyle w:val="1R2"/>
      <w:framePr w:wrap="around"/>
    </w:pPr>
    <w:r>
      <w:t>CHINESE</w:t>
    </w:r>
  </w:p>
  <w:p w:rsidR="00000000" w:rsidRDefault="003D15A7">
    <w:pPr>
      <w:pStyle w:val="1R2"/>
      <w:framePr w:wrap="around"/>
    </w:pPr>
    <w:r>
      <w:t>Original:FRENCH</w:t>
    </w:r>
  </w:p>
  <w:p w:rsidR="00000000" w:rsidRDefault="003D15A7">
    <w:pPr>
      <w:pStyle w:val="a"/>
    </w:pPr>
  </w:p>
  <w:p w:rsidR="00000000" w:rsidRDefault="003D15A7">
    <w:pPr>
      <w:pStyle w:val="a"/>
    </w:pPr>
  </w:p>
  <w:p w:rsidR="00000000" w:rsidRDefault="003D15A7">
    <w:pPr>
      <w:pStyle w:val="a"/>
    </w:pPr>
    <w:r>
      <w:pict>
        <v:rect id="_x0000_s1027" style="position:absolute;left:0;text-align:left;margin-left:151.05pt;margin-top:121.45pt;width:192.05pt;height:31.25pt;z-index:-3;mso-position-horizontal-relative:page;mso-position-vertical-relative:page" o:allowincell="f" filled="f" stroked="f" strokeweight="0">
          <v:textbox inset="0,0,0,0">
            <w:txbxContent>
              <w:p w:rsidR="00000000" w:rsidRDefault="003D15A7">
                <w:pPr>
                  <w:pStyle w:val="1m1"/>
                </w:pPr>
                <w:r>
                  <w:rPr>
                    <w:rFonts w:hint="eastAsia"/>
                  </w:rPr>
                  <w:t>经济及社会理事会</w:t>
                </w:r>
              </w:p>
            </w:txbxContent>
          </v:textbox>
          <w10:wrap anchorx="page" anchory="page"/>
        </v:rect>
      </w:pict>
    </w:r>
  </w:p>
  <w:p w:rsidR="00000000" w:rsidRDefault="003D15A7">
    <w:pPr>
      <w:pStyle w:val="a"/>
    </w:pPr>
    <w:r>
      <w:pict>
        <v:rect id="_x0000_s1028" style="position:absolute;left:0;text-align:left;margin-left:-12pt;margin-top:235.85pt;width:492.05pt;height:.05pt;z-index:-2;mso-position-horizontal-relative:margin;mso-position-vertical-relative:page" o:allowincell="f" fillcolor="black" strokeweight="4pt">
          <v:fill color2="black"/>
          <w10:wrap anchorx="margin" anchory="page"/>
        </v:rect>
      </w:pict>
    </w:r>
  </w:p>
  <w:p w:rsidR="00000000" w:rsidRDefault="003D15A7">
    <w:pPr>
      <w:pStyle w:val="a"/>
    </w:pPr>
  </w:p>
  <w:p w:rsidR="00000000" w:rsidRDefault="003D15A7">
    <w:pPr>
      <w:pStyle w:val="a"/>
    </w:pPr>
  </w:p>
  <w:p w:rsidR="00000000" w:rsidRDefault="003D15A7">
    <w:pPr>
      <w:pStyle w:val="a"/>
    </w:pPr>
    <w:r>
      <w:fldChar w:fldCharType="begin"/>
    </w:r>
    <w:r>
      <w:instrText>ADVANCE \Y 252.30</w:instrText>
    </w:r>
    <w:r>
      <w:fldChar w:fldCharType="end"/>
    </w:r>
  </w:p>
  <w:p w:rsidR="00000000" w:rsidRDefault="003D15A7">
    <w:pPr>
      <w:pStyle w:val="a"/>
    </w:pPr>
  </w:p>
  <w:p w:rsidR="00000000" w:rsidRDefault="003D15A7">
    <w:pPr>
      <w:pStyle w:val="a"/>
    </w:pPr>
  </w:p>
  <w:p w:rsidR="00000000" w:rsidRDefault="003D15A7">
    <w:pPr>
      <w:pStyle w:val="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D06CC"/>
    <w:multiLevelType w:val="singleLevel"/>
    <w:tmpl w:val="FFFFFFFF"/>
    <w:lvl w:ilvl="0">
      <w:start w:val="1"/>
      <w:numFmt w:val="lowerLetter"/>
      <w:lvlText w:val="(%1)"/>
      <w:legacy w:legacy="1" w:legacySpace="0" w:legacyIndent="425"/>
      <w:lvlJc w:val="left"/>
      <w:pPr>
        <w:ind w:left="1446" w:hanging="425"/>
      </w:pPr>
    </w:lvl>
  </w:abstractNum>
  <w:abstractNum w:abstractNumId="1">
    <w:nsid w:val="1BDD3664"/>
    <w:multiLevelType w:val="singleLevel"/>
    <w:tmpl w:val="FFFFFFFF"/>
    <w:lvl w:ilvl="0">
      <w:start w:val="1"/>
      <w:numFmt w:val="lowerLetter"/>
      <w:lvlText w:val="(%1)"/>
      <w:legacy w:legacy="1" w:legacySpace="0" w:legacyIndent="425"/>
      <w:lvlJc w:val="left"/>
      <w:pPr>
        <w:ind w:left="1446" w:hanging="425"/>
      </w:pPr>
    </w:lvl>
  </w:abstractNum>
  <w:abstractNum w:abstractNumId="2">
    <w:nsid w:val="1C021FBD"/>
    <w:multiLevelType w:val="singleLevel"/>
    <w:tmpl w:val="FFFFFFFF"/>
    <w:lvl w:ilvl="0">
      <w:start w:val="1"/>
      <w:numFmt w:val="lowerLetter"/>
      <w:lvlText w:val="(%1)"/>
      <w:legacy w:legacy="1" w:legacySpace="0" w:legacyIndent="425"/>
      <w:lvlJc w:val="left"/>
      <w:pPr>
        <w:ind w:left="1446" w:hanging="425"/>
      </w:pPr>
    </w:lvl>
  </w:abstractNum>
  <w:abstractNum w:abstractNumId="3">
    <w:nsid w:val="1F7F0AED"/>
    <w:multiLevelType w:val="singleLevel"/>
    <w:tmpl w:val="FFFFFFFF"/>
    <w:lvl w:ilvl="0">
      <w:start w:val="1"/>
      <w:numFmt w:val="lowerLetter"/>
      <w:lvlText w:val="(%1)"/>
      <w:legacy w:legacy="1" w:legacySpace="0" w:legacyIndent="425"/>
      <w:lvlJc w:val="left"/>
      <w:pPr>
        <w:ind w:left="1446" w:hanging="425"/>
      </w:pPr>
    </w:lvl>
  </w:abstractNum>
  <w:abstractNum w:abstractNumId="4">
    <w:nsid w:val="3C0018A6"/>
    <w:multiLevelType w:val="singleLevel"/>
    <w:tmpl w:val="FFFFFFFF"/>
    <w:lvl w:ilvl="0">
      <w:start w:val="1"/>
      <w:numFmt w:val="lowerLetter"/>
      <w:lvlText w:val="(%1)"/>
      <w:legacy w:legacy="1" w:legacySpace="0" w:legacyIndent="425"/>
      <w:lvlJc w:val="left"/>
      <w:pPr>
        <w:ind w:left="1446" w:hanging="425"/>
      </w:pPr>
    </w:lvl>
  </w:abstractNum>
  <w:abstractNum w:abstractNumId="5">
    <w:nsid w:val="3CB409B3"/>
    <w:multiLevelType w:val="singleLevel"/>
    <w:tmpl w:val="FFFFFFFF"/>
    <w:lvl w:ilvl="0">
      <w:start w:val="1"/>
      <w:numFmt w:val="lowerLetter"/>
      <w:lvlText w:val="(%1)"/>
      <w:legacy w:legacy="1" w:legacySpace="0" w:legacyIndent="425"/>
      <w:lvlJc w:val="left"/>
      <w:pPr>
        <w:ind w:left="1446" w:hanging="425"/>
      </w:pPr>
    </w:lvl>
  </w:abstractNum>
  <w:abstractNum w:abstractNumId="6">
    <w:nsid w:val="454D4D01"/>
    <w:multiLevelType w:val="singleLevel"/>
    <w:tmpl w:val="FFFFFFFF"/>
    <w:lvl w:ilvl="0">
      <w:start w:val="1"/>
      <w:numFmt w:val="lowerLetter"/>
      <w:lvlText w:val="(%1)"/>
      <w:legacy w:legacy="1" w:legacySpace="0" w:legacyIndent="425"/>
      <w:lvlJc w:val="left"/>
      <w:pPr>
        <w:ind w:left="1446" w:hanging="425"/>
      </w:pPr>
    </w:lvl>
  </w:abstractNum>
  <w:abstractNum w:abstractNumId="7">
    <w:nsid w:val="492B479E"/>
    <w:multiLevelType w:val="singleLevel"/>
    <w:tmpl w:val="FFFFFFFF"/>
    <w:lvl w:ilvl="0">
      <w:start w:val="1"/>
      <w:numFmt w:val="lowerLetter"/>
      <w:lvlText w:val="(%1)"/>
      <w:legacy w:legacy="1" w:legacySpace="0" w:legacyIndent="425"/>
      <w:lvlJc w:val="left"/>
      <w:pPr>
        <w:ind w:left="1446" w:hanging="425"/>
      </w:pPr>
    </w:lvl>
  </w:abstractNum>
  <w:abstractNum w:abstractNumId="8">
    <w:nsid w:val="4F12390E"/>
    <w:multiLevelType w:val="singleLevel"/>
    <w:tmpl w:val="FFFFFFFF"/>
    <w:lvl w:ilvl="0">
      <w:start w:val="1"/>
      <w:numFmt w:val="lowerLetter"/>
      <w:lvlText w:val="(%1)"/>
      <w:legacy w:legacy="1" w:legacySpace="0" w:legacyIndent="425"/>
      <w:lvlJc w:val="left"/>
      <w:pPr>
        <w:ind w:left="1446" w:hanging="425"/>
      </w:pPr>
    </w:lvl>
  </w:abstractNum>
  <w:abstractNum w:abstractNumId="9">
    <w:nsid w:val="54C13152"/>
    <w:multiLevelType w:val="singleLevel"/>
    <w:tmpl w:val="FFFFFFFF"/>
    <w:lvl w:ilvl="0">
      <w:start w:val="1"/>
      <w:numFmt w:val="lowerLetter"/>
      <w:lvlText w:val="(%1)"/>
      <w:legacy w:legacy="1" w:legacySpace="0" w:legacyIndent="425"/>
      <w:lvlJc w:val="left"/>
      <w:pPr>
        <w:ind w:left="1446" w:hanging="425"/>
      </w:pPr>
    </w:lvl>
  </w:abstractNum>
  <w:abstractNum w:abstractNumId="10">
    <w:nsid w:val="57C15298"/>
    <w:multiLevelType w:val="singleLevel"/>
    <w:tmpl w:val="FFFFFFFF"/>
    <w:lvl w:ilvl="0">
      <w:start w:val="1"/>
      <w:numFmt w:val="lowerLetter"/>
      <w:lvlText w:val="(%1)"/>
      <w:legacy w:legacy="1" w:legacySpace="0" w:legacyIndent="425"/>
      <w:lvlJc w:val="left"/>
      <w:pPr>
        <w:ind w:left="1446" w:hanging="425"/>
      </w:pPr>
    </w:lvl>
  </w:abstractNum>
  <w:abstractNum w:abstractNumId="11">
    <w:nsid w:val="58382BB5"/>
    <w:multiLevelType w:val="singleLevel"/>
    <w:tmpl w:val="FFFFFFFF"/>
    <w:lvl w:ilvl="0">
      <w:start w:val="1"/>
      <w:numFmt w:val="lowerLetter"/>
      <w:lvlText w:val="(%1)"/>
      <w:legacy w:legacy="1" w:legacySpace="0" w:legacyIndent="425"/>
      <w:lvlJc w:val="left"/>
      <w:pPr>
        <w:ind w:left="1446" w:hanging="425"/>
      </w:pPr>
    </w:lvl>
  </w:abstractNum>
  <w:abstractNum w:abstractNumId="12">
    <w:nsid w:val="5EEC5F2D"/>
    <w:multiLevelType w:val="singleLevel"/>
    <w:tmpl w:val="FFFFFFFF"/>
    <w:lvl w:ilvl="0">
      <w:start w:val="1"/>
      <w:numFmt w:val="lowerLetter"/>
      <w:lvlText w:val="(%1)"/>
      <w:legacy w:legacy="1" w:legacySpace="0" w:legacyIndent="425"/>
      <w:lvlJc w:val="left"/>
      <w:pPr>
        <w:ind w:left="1446" w:hanging="425"/>
      </w:pPr>
    </w:lvl>
  </w:abstractNum>
  <w:abstractNum w:abstractNumId="13">
    <w:nsid w:val="65361034"/>
    <w:multiLevelType w:val="singleLevel"/>
    <w:tmpl w:val="FFFFFFFF"/>
    <w:lvl w:ilvl="0">
      <w:start w:val="1"/>
      <w:numFmt w:val="lowerLetter"/>
      <w:lvlText w:val="(%1)"/>
      <w:legacy w:legacy="1" w:legacySpace="0" w:legacyIndent="425"/>
      <w:lvlJc w:val="left"/>
      <w:pPr>
        <w:ind w:left="1446" w:hanging="425"/>
      </w:pPr>
    </w:lvl>
  </w:abstractNum>
  <w:abstractNum w:abstractNumId="14">
    <w:nsid w:val="6DD27036"/>
    <w:multiLevelType w:val="singleLevel"/>
    <w:tmpl w:val="FFFFFFFF"/>
    <w:lvl w:ilvl="0">
      <w:start w:val="1"/>
      <w:numFmt w:val="lowerLetter"/>
      <w:lvlText w:val="(%1)"/>
      <w:legacy w:legacy="1" w:legacySpace="0" w:legacyIndent="425"/>
      <w:lvlJc w:val="left"/>
      <w:pPr>
        <w:ind w:left="1446" w:hanging="425"/>
      </w:pPr>
    </w:lvl>
  </w:abstractNum>
  <w:num w:numId="1">
    <w:abstractNumId w:val="0"/>
  </w:num>
  <w:num w:numId="2">
    <w:abstractNumId w:val="12"/>
  </w:num>
  <w:num w:numId="3">
    <w:abstractNumId w:val="1"/>
  </w:num>
  <w:num w:numId="4">
    <w:abstractNumId w:val="8"/>
  </w:num>
  <w:num w:numId="5">
    <w:abstractNumId w:val="2"/>
  </w:num>
  <w:num w:numId="6">
    <w:abstractNumId w:val="5"/>
  </w:num>
  <w:num w:numId="7">
    <w:abstractNumId w:val="7"/>
  </w:num>
  <w:num w:numId="8">
    <w:abstractNumId w:val="4"/>
  </w:num>
  <w:num w:numId="9">
    <w:abstractNumId w:val="10"/>
  </w:num>
  <w:num w:numId="10">
    <w:abstractNumId w:val="13"/>
  </w:num>
  <w:num w:numId="11">
    <w:abstractNumId w:val="6"/>
  </w:num>
  <w:num w:numId="12">
    <w:abstractNumId w:val="14"/>
  </w:num>
  <w:num w:numId="13">
    <w:abstractNumId w:val="3"/>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ttachedTemplate r:id="rId1"/>
  <w:doNotTrackMoves/>
  <w:defaultTabStop w:val="510"/>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hdrShapeDefaults>
    <o:shapedefaults v:ext="edit" spidmax="1030"/>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15A7"/>
    <w:rsid w:val="003D15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510"/>
        <w:tab w:val="left" w:pos="1021"/>
        <w:tab w:val="left" w:pos="1531"/>
        <w:tab w:val="left" w:pos="2041"/>
      </w:tabs>
      <w:adjustRightInd w:val="0"/>
      <w:spacing w:line="336" w:lineRule="auto"/>
      <w:jc w:val="both"/>
      <w:textAlignment w:val="baseline"/>
    </w:pPr>
    <w:rPr>
      <w:spacing w:val="10"/>
      <w:kern w:val="24"/>
      <w:sz w:val="24"/>
      <w:lang w:val="en-US" w:eastAsia="zh-CN"/>
    </w:rPr>
  </w:style>
  <w:style w:type="paragraph" w:styleId="Heading1">
    <w:name w:val="heading 1"/>
    <w:basedOn w:val="Normal"/>
    <w:next w:val="Normal"/>
    <w:qFormat/>
    <w:pPr>
      <w:keepNext/>
      <w:keepLines/>
      <w:widowControl w:val="0"/>
      <w:tabs>
        <w:tab w:val="clear" w:pos="510"/>
        <w:tab w:val="clear" w:pos="1021"/>
        <w:tab w:val="clear" w:pos="1531"/>
        <w:tab w:val="clear" w:pos="2041"/>
      </w:tabs>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tabs>
        <w:tab w:val="clear" w:pos="510"/>
        <w:tab w:val="clear" w:pos="1021"/>
        <w:tab w:val="clear" w:pos="1531"/>
        <w:tab w:val="clear" w:pos="2041"/>
      </w:tabs>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tabs>
        <w:tab w:val="clear" w:pos="510"/>
        <w:tab w:val="clear" w:pos="1021"/>
        <w:tab w:val="clear" w:pos="1531"/>
        <w:tab w:val="clear" w:pos="2041"/>
      </w:tabs>
      <w:spacing w:after="320"/>
      <w:jc w:val="center"/>
      <w:outlineLvl w:val="2"/>
    </w:pPr>
    <w:rPr>
      <w:color w:val="000000"/>
      <w:kern w:val="28"/>
      <w:u w:val="single"/>
    </w:rPr>
  </w:style>
  <w:style w:type="paragraph" w:styleId="Heading4">
    <w:name w:val="heading 4"/>
    <w:basedOn w:val="Normal"/>
    <w:next w:val="Normal"/>
    <w:qFormat/>
    <w:pPr>
      <w:keepNext/>
      <w:keepLines/>
      <w:widowControl w:val="0"/>
      <w:tabs>
        <w:tab w:val="left" w:pos="510"/>
        <w:tab w:val="left" w:pos="1021"/>
        <w:tab w:val="left" w:pos="1531"/>
        <w:tab w:val="left" w:pos="2041"/>
      </w:tabs>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510"/>
        <w:tab w:val="left" w:pos="1021"/>
        <w:tab w:val="left" w:pos="1531"/>
        <w:tab w:val="left" w:pos="2041"/>
        <w:tab w:val="left" w:pos="2552"/>
      </w:tabs>
      <w:spacing w:after="240"/>
      <w:outlineLvl w:val="4"/>
    </w:pPr>
    <w:rPr>
      <w:rFonts w:eastAsia="SimHei"/>
    </w:rPr>
  </w:style>
  <w:style w:type="paragraph" w:styleId="Heading6">
    <w:name w:val="heading 6"/>
    <w:basedOn w:val="Normal"/>
    <w:next w:val="Normal"/>
    <w:qFormat/>
    <w:pPr>
      <w:keepNext/>
      <w:keepLines/>
      <w:widowControl w:val="0"/>
      <w:spacing w:after="240"/>
      <w:outlineLvl w:val="5"/>
    </w:pPr>
  </w:style>
  <w:style w:type="paragraph" w:styleId="Heading7">
    <w:name w:val="heading 7"/>
    <w:basedOn w:val="Normal"/>
    <w:next w:val="Normal"/>
    <w:qFormat/>
    <w:pPr>
      <w:keepNext/>
      <w:keepLines/>
      <w:tabs>
        <w:tab w:val="clear" w:pos="1531"/>
        <w:tab w:val="clear" w:pos="2041"/>
        <w:tab w:val="left" w:pos="510"/>
        <w:tab w:val="left" w:pos="1021"/>
        <w:tab w:val="left" w:pos="1191"/>
      </w:tabs>
      <w:spacing w:after="20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pacing w:val="0"/>
      <w:sz w:val="20"/>
    </w:rPr>
  </w:style>
  <w:style w:type="paragraph" w:styleId="Footer">
    <w:name w:val="footer"/>
    <w:semiHidden/>
    <w:pPr>
      <w:widowControl w:val="0"/>
      <w:adjustRightInd w:val="0"/>
      <w:spacing w:line="288" w:lineRule="auto"/>
      <w:textAlignment w:val="baseline"/>
    </w:pPr>
    <w:rPr>
      <w:rFonts w:ascii="Courier New" w:hAnsi="Courier New"/>
      <w:noProof/>
      <w:lang w:eastAsia="zh-CN"/>
    </w:rPr>
  </w:style>
  <w:style w:type="character" w:styleId="PageNumber">
    <w:name w:val="page number"/>
    <w:semiHidden/>
    <w:rPr>
      <w:rFonts w:ascii="Courier" w:eastAsia="长城仿宋" w:hAnsi="Courier"/>
      <w:sz w:val="20"/>
    </w:rPr>
  </w:style>
  <w:style w:type="paragraph" w:styleId="FootnoteText">
    <w:name w:val="footnote text"/>
    <w:basedOn w:val="Normal"/>
    <w:semiHidden/>
    <w:pPr>
      <w:spacing w:line="288" w:lineRule="auto"/>
      <w:ind w:firstLine="510"/>
    </w:pPr>
    <w:rPr>
      <w:rFonts w:eastAsia="长城楷体"/>
      <w:spacing w:val="0"/>
    </w:rPr>
  </w:style>
  <w:style w:type="character" w:styleId="FootnoteReference">
    <w:name w:val="footnote reference"/>
    <w:semiHidden/>
    <w:rPr>
      <w:vertAlign w:val="superscript"/>
    </w:rPr>
  </w:style>
  <w:style w:type="paragraph" w:customStyle="1" w:styleId="a">
    <w:name w:val="首页页眉"/>
    <w:basedOn w:val="Normal"/>
    <w:pPr>
      <w:tabs>
        <w:tab w:val="clear" w:pos="510"/>
        <w:tab w:val="clear" w:pos="1021"/>
        <w:tab w:val="clear" w:pos="1531"/>
        <w:tab w:val="clear" w:pos="2041"/>
      </w:tabs>
      <w:suppressAutoHyphens/>
      <w:spacing w:line="288" w:lineRule="auto"/>
    </w:pPr>
    <w:rPr>
      <w:rFonts w:ascii="Univers Bold" w:hAnsi="Univers Bold"/>
    </w:rPr>
  </w:style>
  <w:style w:type="paragraph" w:customStyle="1" w:styleId="a0">
    <w:name w:val="悬挂(a)"/>
    <w:basedOn w:val="Normal"/>
    <w:pPr>
      <w:ind w:left="1531" w:hanging="510"/>
    </w:pPr>
  </w:style>
  <w:style w:type="paragraph" w:styleId="NormalIndent">
    <w:name w:val="Normal Indent"/>
    <w:basedOn w:val="Normal"/>
    <w:semiHidden/>
    <w:pPr>
      <w:ind w:firstLine="510"/>
    </w:pPr>
  </w:style>
  <w:style w:type="paragraph" w:customStyle="1" w:styleId="a1">
    <w:name w:val="悬挂(一)"/>
    <w:basedOn w:val="Normal"/>
    <w:pPr>
      <w:ind w:left="1531" w:hanging="510"/>
    </w:pPr>
  </w:style>
  <w:style w:type="paragraph" w:customStyle="1" w:styleId="a2">
    <w:name w:val="目录页次"/>
    <w:pPr>
      <w:widowControl w:val="0"/>
      <w:tabs>
        <w:tab w:val="left" w:pos="510"/>
        <w:tab w:val="left" w:pos="1021"/>
        <w:tab w:val="left" w:pos="1531"/>
        <w:tab w:val="left" w:pos="2041"/>
        <w:tab w:val="right" w:leader="dot" w:pos="8392"/>
        <w:tab w:val="right" w:pos="9185"/>
      </w:tabs>
      <w:adjustRightInd w:val="0"/>
      <w:spacing w:line="336" w:lineRule="auto"/>
      <w:jc w:val="both"/>
      <w:textAlignment w:val="baseline"/>
    </w:pPr>
    <w:rPr>
      <w:noProof/>
      <w:spacing w:val="10"/>
      <w:kern w:val="24"/>
      <w:sz w:val="24"/>
      <w:lang w:eastAsia="zh-CN"/>
    </w:rPr>
  </w:style>
  <w:style w:type="paragraph" w:customStyle="1" w:styleId="1L">
    <w:name w:val="页眉1L"/>
    <w:basedOn w:val="Normal"/>
    <w:pPr>
      <w:framePr w:w="1542" w:h="627" w:hSpace="180" w:wrap="around" w:vAnchor="page" w:hAnchor="page" w:x="1469" w:y="1390"/>
      <w:tabs>
        <w:tab w:val="clear" w:pos="510"/>
        <w:tab w:val="clear" w:pos="1021"/>
        <w:tab w:val="clear" w:pos="1531"/>
        <w:tab w:val="clear" w:pos="2041"/>
      </w:tabs>
      <w:spacing w:line="240" w:lineRule="auto"/>
    </w:pPr>
    <w:rPr>
      <w:rFonts w:ascii="SimHei" w:eastAsia="SimHei"/>
      <w:spacing w:val="60"/>
      <w:sz w:val="32"/>
    </w:rPr>
  </w:style>
  <w:style w:type="paragraph" w:customStyle="1" w:styleId="1R1">
    <w:name w:val="页眉1R1"/>
    <w:basedOn w:val="Normal"/>
    <w:pPr>
      <w:tabs>
        <w:tab w:val="clear" w:pos="510"/>
        <w:tab w:val="clear" w:pos="1021"/>
        <w:tab w:val="clear" w:pos="1531"/>
        <w:tab w:val="clear" w:pos="2041"/>
      </w:tabs>
      <w:suppressAutoHyphens/>
      <w:spacing w:line="240" w:lineRule="auto"/>
    </w:pPr>
    <w:rPr>
      <w:rFonts w:ascii="Univers (WN)" w:hAnsi="Univers (WN)"/>
      <w:b/>
      <w:sz w:val="60"/>
    </w:rPr>
  </w:style>
  <w:style w:type="paragraph" w:customStyle="1" w:styleId="1m2">
    <w:name w:val="页眉1m2"/>
    <w:basedOn w:val="Normal"/>
    <w:pPr>
      <w:tabs>
        <w:tab w:val="clear" w:pos="510"/>
        <w:tab w:val="clear" w:pos="1021"/>
        <w:tab w:val="clear" w:pos="1531"/>
        <w:tab w:val="clear" w:pos="2041"/>
      </w:tabs>
      <w:suppressAutoHyphens/>
      <w:spacing w:line="360" w:lineRule="auto"/>
      <w:jc w:val="left"/>
    </w:pPr>
    <w:rPr>
      <w:rFonts w:ascii="SimHei" w:eastAsia="SimHei"/>
      <w:spacing w:val="60"/>
      <w:sz w:val="40"/>
    </w:rPr>
  </w:style>
  <w:style w:type="paragraph" w:customStyle="1" w:styleId="1m1">
    <w:name w:val="页眉1m1"/>
    <w:basedOn w:val="1m2"/>
    <w:rPr>
      <w:spacing w:val="40"/>
    </w:rPr>
  </w:style>
  <w:style w:type="paragraph" w:customStyle="1" w:styleId="1R2">
    <w:name w:val="页眉1R2"/>
    <w:basedOn w:val="Normal"/>
    <w:pPr>
      <w:framePr w:w="3101" w:h="1977" w:hSpace="180" w:wrap="around" w:vAnchor="page" w:hAnchor="page" w:x="8549" w:y="2638"/>
      <w:tabs>
        <w:tab w:val="clear" w:pos="510"/>
        <w:tab w:val="clear" w:pos="1021"/>
        <w:tab w:val="clear" w:pos="1531"/>
        <w:tab w:val="clear" w:pos="2041"/>
        <w:tab w:val="left" w:pos="1202"/>
        <w:tab w:val="left" w:pos="6124"/>
        <w:tab w:val="left" w:pos="6634"/>
        <w:tab w:val="left" w:pos="7144"/>
        <w:tab w:val="left" w:pos="7655"/>
        <w:tab w:val="left" w:pos="8165"/>
      </w:tabs>
      <w:spacing w:line="288" w:lineRule="auto"/>
      <w:jc w:val="left"/>
    </w:pPr>
    <w:rPr>
      <w:rFonts w:ascii="Courier" w:hAnsi="Courier"/>
      <w:sz w:val="20"/>
    </w:rPr>
  </w:style>
  <w:style w:type="paragraph" w:customStyle="1" w:styleId="a3">
    <w:name w:val="目录段页次"/>
    <w:pPr>
      <w:widowControl w:val="0"/>
      <w:tabs>
        <w:tab w:val="left" w:pos="510"/>
        <w:tab w:val="left" w:pos="1021"/>
        <w:tab w:val="left" w:pos="1531"/>
        <w:tab w:val="left" w:pos="2041"/>
        <w:tab w:val="right" w:leader="dot" w:pos="6804"/>
        <w:tab w:val="right" w:pos="7371"/>
        <w:tab w:val="center" w:pos="7541"/>
        <w:tab w:val="left" w:pos="7711"/>
        <w:tab w:val="right" w:pos="9185"/>
      </w:tabs>
      <w:adjustRightInd w:val="0"/>
      <w:spacing w:line="336" w:lineRule="auto"/>
      <w:jc w:val="both"/>
      <w:textAlignment w:val="baseline"/>
    </w:pPr>
    <w:rPr>
      <w:noProof/>
      <w:spacing w:val="10"/>
      <w:kern w:val="24"/>
      <w:sz w:val="24"/>
      <w:lang w:eastAsia="zh-CN"/>
    </w:rPr>
  </w:style>
  <w:style w:type="paragraph" w:customStyle="1" w:styleId="UNLOGO">
    <w:name w:val="UNLOGO"/>
    <w:basedOn w:val="Normal"/>
    <w:pPr>
      <w:tabs>
        <w:tab w:val="clear" w:pos="510"/>
        <w:tab w:val="clear" w:pos="1021"/>
        <w:tab w:val="clear" w:pos="1531"/>
        <w:tab w:val="clear" w:pos="2041"/>
      </w:tabs>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jc w:val="both"/>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widowControl w:val="0"/>
      <w:tabs>
        <w:tab w:val="clear" w:pos="6124"/>
        <w:tab w:val="clear" w:pos="6634"/>
        <w:tab w:val="clear" w:pos="7144"/>
        <w:tab w:val="clear" w:pos="7655"/>
        <w:tab w:val="clear" w:pos="8165"/>
      </w:tabs>
      <w:jc w:val="center"/>
    </w:pPr>
    <w:rPr>
      <w:rFonts w:ascii="Times New Roman" w:hAnsi="Times New Roman"/>
    </w:rPr>
  </w:style>
  <w:style w:type="paragraph" w:customStyle="1" w:styleId="a5">
    <w:name w:val="悬挂"/>
    <w:basedOn w:val="Normal"/>
    <w:pPr>
      <w:ind w:left="510" w:hanging="510"/>
    </w:pPr>
  </w:style>
  <w:style w:type="paragraph" w:customStyle="1" w:styleId="a6">
    <w:name w:val="悬挂符号－"/>
    <w:basedOn w:val="a5"/>
  </w:style>
  <w:style w:type="paragraph" w:customStyle="1" w:styleId="a7">
    <w:name w:val="目录段次"/>
    <w:pPr>
      <w:widowControl w:val="0"/>
      <w:tabs>
        <w:tab w:val="left" w:pos="510"/>
        <w:tab w:val="left" w:pos="1021"/>
        <w:tab w:val="left" w:pos="1531"/>
        <w:tab w:val="left" w:pos="2041"/>
        <w:tab w:val="right" w:leader="dot" w:pos="7677"/>
        <w:tab w:val="right" w:pos="8335"/>
        <w:tab w:val="center" w:pos="8505"/>
        <w:tab w:val="left" w:pos="8675"/>
      </w:tabs>
      <w:adjustRightInd w:val="0"/>
      <w:spacing w:line="336" w:lineRule="auto"/>
      <w:jc w:val="both"/>
      <w:textAlignment w:val="baseline"/>
    </w:pPr>
    <w:rPr>
      <w:noProof/>
      <w:spacing w:val="10"/>
      <w:kern w:val="24"/>
      <w:sz w:val="24"/>
      <w:lang w:eastAsia="zh-CN"/>
    </w:rPr>
  </w:style>
  <w:style w:type="paragraph" w:customStyle="1" w:styleId="a8">
    <w:name w:val="悬挂符号●"/>
    <w:basedOn w:val="a5"/>
  </w:style>
  <w:style w:type="paragraph" w:customStyle="1" w:styleId="x">
    <w:name w:val="悬挂[(x)"/>
    <w:basedOn w:val="Normal"/>
    <w:pPr>
      <w:ind w:left="1531" w:hanging="595"/>
    </w:pPr>
  </w:style>
  <w:style w:type="paragraph" w:customStyle="1" w:styleId="12cm">
    <w:name w:val="12cm落款"/>
    <w:pPr>
      <w:keepLines/>
      <w:widowControl w:val="0"/>
      <w:tabs>
        <w:tab w:val="left" w:pos="7314"/>
        <w:tab w:val="left" w:pos="7825"/>
        <w:tab w:val="left" w:pos="8335"/>
        <w:tab w:val="left" w:pos="8845"/>
      </w:tabs>
      <w:adjustRightInd w:val="0"/>
      <w:spacing w:before="160" w:after="280" w:line="288" w:lineRule="auto"/>
      <w:ind w:left="6804"/>
      <w:jc w:val="both"/>
      <w:textAlignment w:val="baseline"/>
    </w:pPr>
    <w:rPr>
      <w:noProof/>
      <w:spacing w:val="10"/>
      <w:kern w:val="24"/>
      <w:sz w:val="24"/>
      <w:lang w:eastAsia="zh-CN"/>
    </w:rPr>
  </w:style>
  <w:style w:type="paragraph" w:customStyle="1" w:styleId="9cm">
    <w:name w:val="9cm落款"/>
    <w:basedOn w:val="Normal"/>
    <w:pPr>
      <w:keepLines/>
      <w:widowControl w:val="0"/>
      <w:tabs>
        <w:tab w:val="left" w:pos="6124"/>
        <w:tab w:val="left" w:pos="6634"/>
        <w:tab w:val="left" w:pos="7144"/>
        <w:tab w:val="left" w:pos="7655"/>
        <w:tab w:val="left" w:pos="8165"/>
        <w:tab w:val="left" w:pos="8675"/>
      </w:tabs>
      <w:spacing w:before="160" w:after="280" w:line="288" w:lineRule="auto"/>
      <w:ind w:left="5103"/>
    </w:pPr>
  </w:style>
  <w:style w:type="paragraph" w:customStyle="1" w:styleId="1">
    <w:name w:val="悬挂(1)"/>
    <w:basedOn w:val="Normal"/>
    <w:pPr>
      <w:ind w:left="1531" w:hanging="510"/>
    </w:pPr>
  </w:style>
  <w:style w:type="paragraph" w:customStyle="1" w:styleId="x0">
    <w:name w:val="悬挂“(x)"/>
    <w:basedOn w:val="a0"/>
    <w:pPr>
      <w:ind w:left="1530" w:hanging="765"/>
    </w:pPr>
  </w:style>
  <w:style w:type="character" w:styleId="EndnoteReference">
    <w:name w:val="endnote reference"/>
    <w:semiHidden/>
    <w:rPr>
      <w:color w:val="FF0000"/>
      <w:vertAlign w:val="superscript"/>
    </w:rPr>
  </w:style>
  <w:style w:type="paragraph" w:customStyle="1" w:styleId="a9">
    <w:name w:val="黑体标题"/>
    <w:next w:val="Normal"/>
    <w:pPr>
      <w:keepNext/>
      <w:keepLines/>
      <w:widowControl w:val="0"/>
      <w:adjustRightInd w:val="0"/>
      <w:spacing w:after="320" w:line="336" w:lineRule="auto"/>
      <w:jc w:val="center"/>
      <w:textAlignment w:val="baseline"/>
    </w:pPr>
    <w:rPr>
      <w:rFonts w:eastAsia="SimHei"/>
      <w:noProof/>
      <w:spacing w:val="10"/>
      <w:kern w:val="24"/>
      <w:sz w:val="24"/>
      <w:lang w:eastAsia="zh-CN"/>
    </w:rPr>
  </w:style>
  <w:style w:type="paragraph" w:customStyle="1" w:styleId="aa">
    <w:name w:val="黑体"/>
    <w:basedOn w:val="Normal"/>
    <w:rPr>
      <w:rFonts w:eastAsia="SimHei"/>
    </w:rPr>
  </w:style>
  <w:style w:type="paragraph" w:customStyle="1" w:styleId="ab">
    <w:name w:val="楷体"/>
    <w:basedOn w:val="Normal"/>
    <w:rPr>
      <w:rFonts w:eastAsia="长城楷体"/>
      <w:spacing w:val="0"/>
    </w:rPr>
  </w:style>
  <w:style w:type="paragraph" w:customStyle="1" w:styleId="ac">
    <w:name w:val="目录"/>
    <w:basedOn w:val="Normal"/>
    <w:pPr>
      <w:widowControl w:val="0"/>
      <w:tabs>
        <w:tab w:val="clear" w:pos="1021"/>
        <w:tab w:val="clear" w:pos="1531"/>
        <w:tab w:val="clear" w:pos="2041"/>
        <w:tab w:val="left" w:pos="510"/>
        <w:tab w:val="left" w:pos="7201"/>
        <w:tab w:val="left" w:pos="7711"/>
        <w:tab w:val="left" w:pos="8618"/>
        <w:tab w:val="right" w:pos="9356"/>
      </w:tabs>
      <w:spacing w:line="360" w:lineRule="auto"/>
    </w:pPr>
    <w:rPr>
      <w:rFonts w:eastAsia="长城仿宋"/>
      <w:spacing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WIN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137</TotalTime>
  <Pages>13</Pages>
  <Words>6155</Words>
  <Characters>6765</Characters>
  <Application>Microsoft Office Word</Application>
  <DocSecurity>4</DocSecurity>
  <Lines>273</Lines>
  <Paragraphs>143</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DUY</dc:creator>
  <cp:keywords/>
  <cp:lastModifiedBy>DUY</cp:lastModifiedBy>
  <cp:revision>17</cp:revision>
  <cp:lastPrinted>1999-06-07T10:25:00Z</cp:lastPrinted>
  <dcterms:created xsi:type="dcterms:W3CDTF">1999-06-03T13:23:00Z</dcterms:created>
  <dcterms:modified xsi:type="dcterms:W3CDTF">1999-06-07T10:27:00Z</dcterms:modified>
</cp:coreProperties>
</file>