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2"/>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sz w:val="2"/>
        </w:rPr>
        <w:commentReference w:id="0"/>
      </w:r>
    </w:p>
    <w:p w:rsidR="00000000" w:rsidRDefault="00000000">
      <w:pPr>
        <w:pStyle w:val="H1"/>
        <w:spacing w:line="240" w:lineRule="exact"/>
      </w:pPr>
      <w:r>
        <w:t>Комитет по ликвидации дискриминации</w:t>
      </w:r>
    </w:p>
    <w:p w:rsidR="00000000" w:rsidRDefault="00000000">
      <w:pPr>
        <w:pStyle w:val="H1"/>
        <w:spacing w:line="240" w:lineRule="exact"/>
      </w:pPr>
      <w:r>
        <w:t>в отношении женщин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rPr>
      </w:pPr>
    </w:p>
    <w:p w:rsidR="00000000" w:rsidRDefault="00000000">
      <w:pPr>
        <w:pStyle w:val="SingleTxt"/>
        <w:spacing w:after="0" w:line="120" w:lineRule="auto"/>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Рассмотрение докладов, представленных государствами-участниками в соответствии</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со статьей 18 Конвенции о ликвидации всех</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форм дискриминации в отношении женщин</w:t>
      </w:r>
    </w:p>
    <w:p w:rsidR="00000000" w:rsidRDefault="00000000">
      <w:pPr>
        <w:spacing w:line="300" w:lineRule="exact"/>
      </w:pPr>
    </w:p>
    <w:p w:rsidR="00000000" w:rsidRDefault="00000000">
      <w:pPr>
        <w:pStyle w:val="H1"/>
        <w:tabs>
          <w:tab w:val="left" w:pos="475"/>
          <w:tab w:val="left" w:pos="1022"/>
          <w:tab w:val="left" w:pos="1267"/>
          <w:tab w:val="left" w:pos="1742"/>
        </w:tabs>
        <w:spacing w:line="240" w:lineRule="exact"/>
      </w:pPr>
      <w:r>
        <w:tab/>
      </w:r>
      <w:r>
        <w:tab/>
      </w:r>
      <w:r>
        <w:tab/>
        <w:t>Пятый периодический доклад</w:t>
      </w:r>
    </w:p>
    <w:p w:rsidR="00000000" w:rsidRDefault="00000000">
      <w:pPr>
        <w:pStyle w:val="H1"/>
        <w:tabs>
          <w:tab w:val="left" w:pos="475"/>
          <w:tab w:val="left" w:pos="1022"/>
          <w:tab w:val="left" w:pos="1267"/>
          <w:tab w:val="left" w:pos="1742"/>
        </w:tabs>
        <w:spacing w:line="240" w:lineRule="exact"/>
      </w:pPr>
      <w:r>
        <w:tab/>
      </w:r>
      <w:r>
        <w:tab/>
      </w:r>
      <w:r>
        <w:tab/>
        <w:t>государств-участников</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
        <w:rPr>
          <w:spacing w:val="4"/>
          <w:sz w:val="24"/>
        </w:rPr>
        <w:tab/>
      </w:r>
      <w:r>
        <w:rPr>
          <w:spacing w:val="4"/>
          <w:sz w:val="24"/>
        </w:rPr>
        <w:tab/>
        <w:t>Франция</w:t>
      </w:r>
      <w:r>
        <w:rPr>
          <w:rStyle w:val="FootnoteReference"/>
          <w:b w:val="0"/>
        </w:rPr>
        <w:footnoteReference w:customMarkFollows="1" w:id="1"/>
        <w:t>*</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spacing w:line="480" w:lineRule="auto"/>
        <w:rPr>
          <w:sz w:val="10"/>
        </w:rPr>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480" w:lineRule="auto"/>
        <w:ind w:left="1267" w:right="1260" w:hanging="1267"/>
      </w:pPr>
      <w:r>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74"/>
        <w:gridCol w:w="35"/>
        <w:gridCol w:w="533"/>
      </w:tblGrid>
      <w:tr w:rsidR="00000000">
        <w:tblPrEx>
          <w:tblCellMar>
            <w:top w:w="0" w:type="dxa"/>
            <w:left w:w="0" w:type="dxa"/>
            <w:bottom w:w="0" w:type="dxa"/>
            <w:right w:w="0" w:type="dxa"/>
          </w:tblCellMar>
        </w:tblPrEx>
        <w:tc>
          <w:tcPr>
            <w:tcW w:w="1060" w:type="dxa"/>
          </w:tcPr>
          <w:p w:rsidR="00000000" w:rsidRDefault="00000000">
            <w:pPr>
              <w:spacing w:after="120"/>
              <w:jc w:val="right"/>
              <w:rPr>
                <w:i/>
                <w:sz w:val="14"/>
              </w:rPr>
            </w:pPr>
          </w:p>
        </w:tc>
        <w:tc>
          <w:tcPr>
            <w:tcW w:w="7315" w:type="dxa"/>
          </w:tcPr>
          <w:p w:rsidR="00000000" w:rsidRDefault="00000000">
            <w:pPr>
              <w:spacing w:after="120"/>
              <w:rPr>
                <w:i/>
                <w:sz w:val="14"/>
              </w:rPr>
            </w:pPr>
          </w:p>
        </w:tc>
        <w:tc>
          <w:tcPr>
            <w:tcW w:w="1009" w:type="dxa"/>
            <w:gridSpan w:val="2"/>
          </w:tcPr>
          <w:p w:rsidR="00000000" w:rsidRDefault="00000000">
            <w:pPr>
              <w:spacing w:after="120"/>
              <w:jc w:val="right"/>
              <w:rPr>
                <w:i/>
                <w:sz w:val="14"/>
              </w:rPr>
            </w:pPr>
          </w:p>
        </w:tc>
        <w:tc>
          <w:tcPr>
            <w:tcW w:w="533" w:type="dxa"/>
            <w:vAlign w:val="bottom"/>
          </w:tcPr>
          <w:p w:rsidR="00000000" w:rsidRDefault="00000000">
            <w:pPr>
              <w:spacing w:after="120"/>
              <w:jc w:val="right"/>
              <w:rPr>
                <w:i/>
                <w:sz w:val="14"/>
              </w:rPr>
            </w:pPr>
            <w:r>
              <w:rPr>
                <w:i/>
                <w:sz w:val="14"/>
              </w:rPr>
              <w:t>Стр.</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right" w:pos="783"/>
                <w:tab w:val="right" w:leader="dot" w:pos="9360"/>
              </w:tabs>
              <w:spacing w:after="120"/>
              <w:rPr>
                <w:spacing w:val="60"/>
                <w:sz w:val="17"/>
              </w:rPr>
            </w:pPr>
            <w:r>
              <w:t>Предисловие</w:t>
            </w:r>
            <w:r>
              <w:rPr>
                <w:spacing w:val="60"/>
                <w:sz w:val="17"/>
              </w:rP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8289" w:type="dxa"/>
            <w:gridSpan w:val="2"/>
          </w:tcPr>
          <w:p w:rsidR="00000000" w:rsidRDefault="00000000">
            <w:pPr>
              <w:tabs>
                <w:tab w:val="right" w:pos="1080"/>
                <w:tab w:val="left" w:pos="1296"/>
                <w:tab w:val="left" w:pos="1728"/>
                <w:tab w:val="right" w:leader="dot" w:pos="9331"/>
              </w:tabs>
              <w:spacing w:after="120"/>
            </w:pPr>
            <w:r>
              <w:t>Часть первая: Национальные условия</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4</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right" w:leader="dot" w:pos="9331"/>
              </w:tabs>
              <w:spacing w:after="120"/>
            </w:pPr>
            <w:r>
              <w:t>Введение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6</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right" w:pos="1080"/>
                <w:tab w:val="left" w:pos="1296"/>
                <w:tab w:val="left" w:pos="1728"/>
                <w:tab w:val="right" w:leader="dot" w:pos="9331"/>
              </w:tabs>
              <w:spacing w:after="120"/>
            </w:pPr>
            <w:r>
              <w:t>Часть вторая: Положения Конвенции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13</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right" w:pos="1080"/>
                <w:tab w:val="left" w:pos="1296"/>
                <w:tab w:val="left" w:pos="1728"/>
                <w:tab w:val="right" w:leader="dot" w:pos="9331"/>
              </w:tabs>
              <w:spacing w:after="120"/>
            </w:pPr>
            <w:r>
              <w:t>Положение дел с оговорками Франции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14</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1.</w:t>
            </w:r>
            <w:r>
              <w:tab/>
              <w:t>Борьба против дискриминации: эффективное использование документов, позволяющих вести борьбу против дискриминации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15</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Статьи 2 и 3.</w:t>
            </w:r>
            <w:r>
              <w:tab/>
              <w:t>Улучшение положения женщин</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19</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4.</w:t>
            </w:r>
            <w:r>
              <w:tab/>
              <w:t>Временные меры, направленные на ускорение установления равенства м</w:t>
            </w:r>
            <w:r>
              <w:t>е</w:t>
            </w:r>
            <w:r>
              <w:t>жду мужчинами и женщинами</w:t>
            </w:r>
            <w:r>
              <w:tab/>
              <w:t>25</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25</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5.</w:t>
            </w:r>
            <w:r>
              <w:tab/>
              <w:t>Преодоление стереотипов</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30</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6.</w:t>
            </w:r>
            <w:r>
              <w:tab/>
              <w:t>Проституция и торговля женщинами</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33</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7.</w:t>
            </w:r>
            <w:r>
              <w:tab/>
              <w:t>Политическая и общественная жизнь</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39</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8.</w:t>
            </w:r>
            <w:r>
              <w:tab/>
              <w:t>Представительство на международном уровне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45</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9.</w:t>
            </w:r>
            <w:r>
              <w:tab/>
              <w:t>Гражданство</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47</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10.</w:t>
            </w:r>
            <w:r>
              <w:tab/>
              <w:t>Образование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48</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11.</w:t>
            </w:r>
            <w:r>
              <w:tab/>
              <w:t>Занятость</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56</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12.</w:t>
            </w:r>
            <w:r>
              <w:tab/>
              <w:t>Здравоохранение</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73</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13.</w:t>
            </w:r>
            <w:r>
              <w:tab/>
              <w:t>Социальные и экономические преимущества</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90</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14.</w:t>
            </w:r>
            <w:r>
              <w:tab/>
              <w:t>Сельские районы</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94</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15.</w:t>
            </w:r>
            <w:r>
              <w:tab/>
              <w:t>Равенство перед законом</w:t>
            </w:r>
            <w:r>
              <w:tab/>
              <w:t>96</w:t>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96</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left" w:pos="1296"/>
                <w:tab w:val="left" w:pos="1728"/>
                <w:tab w:val="right" w:leader="dot" w:pos="9331"/>
              </w:tabs>
              <w:spacing w:after="120"/>
              <w:ind w:left="1280" w:hanging="1280"/>
            </w:pPr>
            <w:r>
              <w:t>Статья 16.</w:t>
            </w:r>
            <w:r>
              <w:tab/>
              <w:t>Брачное и семейное право</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97</w:t>
            </w:r>
          </w:p>
        </w:tc>
      </w:tr>
      <w:tr w:rsidR="00000000">
        <w:tblPrEx>
          <w:tblCellMar>
            <w:top w:w="0" w:type="dxa"/>
            <w:left w:w="0" w:type="dxa"/>
            <w:bottom w:w="0" w:type="dxa"/>
            <w:right w:w="0" w:type="dxa"/>
          </w:tblCellMar>
        </w:tblPrEx>
        <w:tc>
          <w:tcPr>
            <w:tcW w:w="1060" w:type="dxa"/>
          </w:tcPr>
          <w:p w:rsidR="00000000" w:rsidRDefault="00000000">
            <w:pPr>
              <w:tabs>
                <w:tab w:val="right" w:pos="1080"/>
                <w:tab w:val="left" w:pos="1296"/>
                <w:tab w:val="left" w:pos="1800"/>
                <w:tab w:val="left" w:pos="2232"/>
                <w:tab w:val="left" w:pos="2592"/>
                <w:tab w:val="left" w:pos="3024"/>
                <w:tab w:val="left" w:pos="3456"/>
                <w:tab w:val="left" w:pos="3888"/>
              </w:tabs>
              <w:spacing w:after="120"/>
              <w:rPr>
                <w:lang w:val="en-US"/>
              </w:rPr>
            </w:pPr>
          </w:p>
        </w:tc>
        <w:tc>
          <w:tcPr>
            <w:tcW w:w="8289" w:type="dxa"/>
            <w:gridSpan w:val="2"/>
          </w:tcPr>
          <w:p w:rsidR="00000000" w:rsidRDefault="00000000">
            <w:pPr>
              <w:tabs>
                <w:tab w:val="right" w:pos="1080"/>
                <w:tab w:val="left" w:pos="1296"/>
                <w:tab w:val="left" w:pos="1728"/>
                <w:tab w:val="right" w:leader="dot" w:pos="9331"/>
              </w:tabs>
              <w:spacing w:after="120"/>
            </w:pPr>
            <w:r>
              <w:t>Перечень приложений</w:t>
            </w:r>
            <w:r>
              <w:tab/>
            </w:r>
          </w:p>
        </w:tc>
        <w:tc>
          <w:tcPr>
            <w:tcW w:w="35" w:type="dxa"/>
          </w:tcPr>
          <w:p w:rsidR="00000000" w:rsidRDefault="00000000">
            <w:pPr>
              <w:tabs>
                <w:tab w:val="right" w:pos="1080"/>
                <w:tab w:val="left" w:pos="1296"/>
                <w:tab w:val="left" w:pos="1800"/>
                <w:tab w:val="left" w:pos="2232"/>
                <w:tab w:val="left" w:pos="2592"/>
                <w:tab w:val="left" w:pos="3024"/>
                <w:tab w:val="left" w:pos="3456"/>
                <w:tab w:val="left" w:pos="3888"/>
              </w:tabs>
              <w:spacing w:after="120"/>
            </w:pPr>
          </w:p>
        </w:tc>
        <w:tc>
          <w:tcPr>
            <w:tcW w:w="533" w:type="dxa"/>
            <w:vAlign w:val="bottom"/>
          </w:tcPr>
          <w:p w:rsidR="00000000" w:rsidRDefault="00000000">
            <w:pPr>
              <w:tabs>
                <w:tab w:val="right" w:pos="1080"/>
                <w:tab w:val="left" w:pos="1296"/>
                <w:tab w:val="left" w:pos="1800"/>
                <w:tab w:val="left" w:pos="2232"/>
                <w:tab w:val="left" w:pos="2592"/>
                <w:tab w:val="left" w:pos="3024"/>
                <w:tab w:val="left" w:pos="3456"/>
                <w:tab w:val="left" w:pos="3888"/>
              </w:tabs>
              <w:spacing w:after="120"/>
              <w:jc w:val="right"/>
            </w:pPr>
            <w:r>
              <w:t>101</w:t>
            </w:r>
          </w:p>
        </w:tc>
      </w:tr>
    </w:tbl>
    <w:p w:rsidR="00000000" w:rsidRDefault="00000000">
      <w:pPr>
        <w:pStyle w:val="SingleTxt"/>
        <w:spacing w:line="480" w:lineRule="auto"/>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53" w:hanging="1267"/>
        <w:rPr>
          <w:lang w:val="en-US"/>
        </w:rPr>
      </w:pPr>
      <w:r>
        <w:tab/>
      </w:r>
      <w:r>
        <w:tab/>
        <w:t>Предисловие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Настоящий доклад является Пятым периодическим докладом Франции, представляемым в Комитет по ликвидации дискриминации в отношении же</w:t>
      </w:r>
      <w:r>
        <w:t>н</w:t>
      </w:r>
      <w:r>
        <w:t>щин. В нем обновляются ранее представленные данные, касавшиеся периода 1993</w:t>
      </w:r>
      <w:r>
        <w:noBreakHyphen/>
        <w:t>1999 годов.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В докладе излагается политика, проводимая правительством Франции в области осуществления Конвенции о ликвидации всех форм дискриминации в отношении женщин, и показаны изменения позитивного французского права в том, что касается прав женщин, равноправия между мужчинами и женщинами и борьбы против дискриминации по признаку пола. В нем учитываются рек</w:t>
      </w:r>
      <w:r>
        <w:t>о</w:t>
      </w:r>
      <w:r>
        <w:t>мендации Комитета, в частности в отношении реализации специальных пр</w:t>
      </w:r>
      <w:r>
        <w:t>о</w:t>
      </w:r>
      <w:r>
        <w:t>грамм для женщин-иммигрантов и рассказывается о положении с оговорками, а также о национальных мерах по выполнению рекомендаций, содержащихся в 12 стратегических задачах, принятых на четвертой Всемирной конференции по пол</w:t>
      </w:r>
      <w:r>
        <w:t>о</w:t>
      </w:r>
      <w:r>
        <w:t>жению женщин, состоявшейся в Пекине в сентябре 1995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Подготовка этого документа является плодом усилий всех ведомств, з</w:t>
      </w:r>
      <w:r>
        <w:t>а</w:t>
      </w:r>
      <w:r>
        <w:t>нимающихся тематикой Конвенции о ликвидации всех форм дискриминации в отношении женщин. Он также представлялся Национальной консультативной комиссии по правам человека и главным французским объединениям фемин</w:t>
      </w:r>
      <w:r>
        <w:t>и</w:t>
      </w:r>
      <w:r>
        <w:t>стских и женских организаций.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Pr>
          <w:lang w:val="fr-CA"/>
        </w:rPr>
      </w:pPr>
      <w:r>
        <w:t>Часть первая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rPr>
          <w:lang w:val="fr-CA"/>
        </w:rPr>
      </w:pPr>
      <w:r>
        <w:t>Национальные условия</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1741" w:right="1260" w:hanging="720"/>
        <w:jc w:val="both"/>
      </w:pPr>
      <w:r>
        <w:tab/>
        <w:t>1.</w:t>
      </w:r>
      <w:r>
        <w:tab/>
        <w:t>Последние изменения в законодательстве: принятые законодательные документы, направленные на укреп</w:t>
      </w:r>
      <w:r>
        <w:rPr>
          <w:lang w:val="en-US"/>
        </w:rPr>
        <w:t>-</w:t>
      </w:r>
      <w:r>
        <w:t>ление равноправия между женщинами и мужчинами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Со времени представления Комитету предыдущего доклада был принят ряд новых законодательных актов, направленных на увеличение равноправия между женщинами и мужчинами и укрепления основных прав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217" w:hanging="950"/>
      </w:pPr>
      <w:r>
        <w:tab/>
        <w:t>-</w:t>
      </w:r>
      <w:r>
        <w:tab/>
        <w:t>Закон № 99-574 от 9 июля 1999 года, касающийся учреждения стат</w:t>
      </w:r>
      <w:r>
        <w:t>у</w:t>
      </w:r>
      <w:r>
        <w:t>са супруги</w:t>
      </w:r>
      <w:r>
        <w:rPr>
          <w:lang w:val="en-US"/>
        </w:rPr>
        <w:t> </w:t>
      </w:r>
      <w:r>
        <w:t>-</w:t>
      </w:r>
      <w:r>
        <w:rPr>
          <w:lang w:val="en-US"/>
        </w:rPr>
        <w:t xml:space="preserve"> </w:t>
      </w:r>
      <w:r>
        <w:t>сотрудницы сельскохозяйственного предприятия.</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217" w:hanging="950"/>
      </w:pPr>
      <w:r>
        <w:tab/>
        <w:t>-</w:t>
      </w:r>
      <w:r>
        <w:tab/>
        <w:t>Закон № 2000-493 от 6 июня 2000 года, направленный на содействие равному доступу женщин и мужчин к выборным должн</w:t>
      </w:r>
      <w:r>
        <w:t>о</w:t>
      </w:r>
      <w:r>
        <w:t>стям.</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217" w:hanging="950"/>
      </w:pPr>
      <w:r>
        <w:tab/>
        <w:t>-</w:t>
      </w:r>
      <w:r>
        <w:tab/>
        <w:t>Закон № 2000-627 от 6 июля 2000 года об изменении закона № 84</w:t>
      </w:r>
      <w:r>
        <w:noBreakHyphen/>
        <w:t>610 от 16 июля 1984 года, касающегося организации и разв</w:t>
      </w:r>
      <w:r>
        <w:t>и</w:t>
      </w:r>
      <w:r>
        <w:t>тия деятельности в области физкультуры и спорта (статья 8 и по</w:t>
      </w:r>
      <w:r>
        <w:t>д</w:t>
      </w:r>
      <w:r>
        <w:t xml:space="preserve">пункт 16 раздела </w:t>
      </w:r>
      <w:r>
        <w:rPr>
          <w:lang w:val="en-US"/>
        </w:rPr>
        <w:t>III</w:t>
      </w:r>
      <w:r>
        <w:t>).</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217" w:hanging="950"/>
      </w:pPr>
      <w:r>
        <w:tab/>
        <w:t>-</w:t>
      </w:r>
      <w:r>
        <w:tab/>
        <w:t>Закон № 2001-1 от 3 января 2001 года, касающийся наделения прав</w:t>
      </w:r>
      <w:r>
        <w:t>и</w:t>
      </w:r>
      <w:r>
        <w:t>тельства полномочиями выносить постановления о введении в де</w:t>
      </w:r>
      <w:r>
        <w:t>й</w:t>
      </w:r>
      <w:r>
        <w:t>ствие директив Европейского сообщества, в том числе директивы 92/85 от 19 о</w:t>
      </w:r>
      <w:r>
        <w:t>к</w:t>
      </w:r>
      <w:r>
        <w:t>тября 1992 года.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217" w:hanging="950"/>
      </w:pPr>
      <w:r>
        <w:tab/>
        <w:t>-</w:t>
      </w:r>
      <w:r>
        <w:tab/>
        <w:t>Закон № 2002-73 от 17 января 2002 года об общественном обновл</w:t>
      </w:r>
      <w:r>
        <w:t>е</w:t>
      </w:r>
      <w:r>
        <w:t>нии.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217" w:hanging="950"/>
      </w:pPr>
      <w:r>
        <w:tab/>
        <w:t>-</w:t>
      </w:r>
      <w:r>
        <w:tab/>
        <w:t>Закон № 2001-397 от 9 мая 2001 года, касающийся равноправия ме</w:t>
      </w:r>
      <w:r>
        <w:t>ж</w:t>
      </w:r>
      <w:r>
        <w:t>ду женщинами и мужчинами в области профессиональной деятел</w:t>
      </w:r>
      <w:r>
        <w:t>ь</w:t>
      </w:r>
      <w:r>
        <w:t>ности.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217" w:hanging="950"/>
      </w:pPr>
      <w:r>
        <w:tab/>
        <w:t>-</w:t>
      </w:r>
      <w:r>
        <w:tab/>
        <w:t>Закон № 2001-588 от 4 июля 2001 года, касающийся добровольного прерывания беременности и контрацепции.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217" w:hanging="950"/>
      </w:pPr>
      <w:r>
        <w:tab/>
        <w:t>-</w:t>
      </w:r>
      <w:r>
        <w:tab/>
        <w:t>Закон № 2001-1066 от 16 ноября 2001 года, касающийся борьбы пр</w:t>
      </w:r>
      <w:r>
        <w:t>о</w:t>
      </w:r>
      <w:r>
        <w:t>тив дискриминации.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217" w:hanging="950"/>
      </w:pPr>
      <w:r>
        <w:tab/>
        <w:t>-</w:t>
      </w:r>
      <w:r>
        <w:tab/>
        <w:t>Закон № 2001-1135 от 3 декабря 2001 года, касающийся прав пер</w:t>
      </w:r>
      <w:r>
        <w:t>е</w:t>
      </w:r>
      <w:r>
        <w:t>жившего супруга и детей, рожденных вне брака, и обновляющий различные положения наследственного права.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217" w:hanging="950"/>
      </w:pPr>
      <w:r>
        <w:tab/>
        <w:t>-</w:t>
      </w:r>
      <w:r>
        <w:tab/>
        <w:t>Закон № 2001-1246 от 21 декабря 2001 года о финансировании соц</w:t>
      </w:r>
      <w:r>
        <w:t>и</w:t>
      </w:r>
      <w:r>
        <w:t>ального обеспечения на 2002 год, вводящий отпуск отца по уходу за ребенком (статья 55).</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217" w:hanging="950"/>
      </w:pPr>
      <w:r>
        <w:tab/>
        <w:t>-</w:t>
      </w:r>
      <w:r>
        <w:tab/>
        <w:t>Закон № 2002-93 от 4 марта 2002 года, касающийся доступа к да</w:t>
      </w:r>
      <w:r>
        <w:t>н</w:t>
      </w:r>
      <w:r>
        <w:t>ным о происхождении усыновленных или удочеренных лиц и детей, находящихся на государственном попечении.</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217" w:hanging="950"/>
      </w:pPr>
      <w:r>
        <w:tab/>
        <w:t>-</w:t>
      </w:r>
      <w:r>
        <w:tab/>
        <w:t>Закон № 2002-305 от 4 марта 2002 года, касающийся прав и обяза</w:t>
      </w:r>
      <w:r>
        <w:t>н</w:t>
      </w:r>
      <w:r>
        <w:t>ностей родителей.</w:t>
      </w:r>
    </w:p>
    <w:p w:rsidR="00000000" w:rsidRDefault="00000000">
      <w:pPr>
        <w:pStyle w:val="SingleTxt"/>
        <w:keepNe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2217" w:hanging="950"/>
      </w:pPr>
      <w:r>
        <w:tab/>
        <w:t>-</w:t>
      </w:r>
      <w:r>
        <w:tab/>
        <w:t>Закон № 2002-304 от 4 марта 2002 года, касающийся фамилии.</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H1"/>
        <w:tabs>
          <w:tab w:val="righ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exact"/>
        <w:ind w:left="2288" w:right="1260" w:hanging="1267"/>
      </w:pPr>
      <w:r>
        <w:tab/>
        <w:t>2.</w:t>
      </w:r>
      <w:r>
        <w:tab/>
        <w:t>Национальные механизмы</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firstLine="3"/>
      </w:pPr>
      <w:r>
        <w:tab/>
        <w:t>Созданные ранее организационные структуры, представленные в пред</w:t>
      </w:r>
      <w:r>
        <w:t>ы</w:t>
      </w:r>
      <w:r>
        <w:t>дущем докладе, не претерпели существенных изменений и продолжили возл</w:t>
      </w:r>
      <w:r>
        <w:t>о</w:t>
      </w:r>
      <w:r>
        <w:t>женную на них работу.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1264" w:firstLine="3"/>
      </w:pPr>
      <w:r>
        <w:tab/>
        <w:t>В то же время следует отметить, что название Службы по правам женщин министерства занятости и солидарности на основании указа от 21 июля 2000 года было изменено на "Служба по правам женщин и вопросам равенс</w:t>
      </w:r>
      <w:r>
        <w:t>т</w:t>
      </w:r>
      <w:r>
        <w:t>ва". Кроме того, была усилена сеть ее служащих. Во всех департаментах введ</w:t>
      </w:r>
      <w:r>
        <w:t>е</w:t>
      </w:r>
      <w:r>
        <w:t>на должность ответственного за эти вопросы.</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rPr>
          <w:sz w:val="10"/>
          <w:lang w:val="fr-CA"/>
        </w:rPr>
      </w:pPr>
      <w:r>
        <w:rPr>
          <w:sz w:val="10"/>
          <w:lang w:val="fr-CA"/>
        </w:rPr>
        <w:br w:type="page"/>
      </w:r>
    </w:p>
    <w:p w:rsidR="00000000" w:rsidRDefault="00000000">
      <w:pPr>
        <w:pStyle w:val="HCh"/>
        <w:tabs>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ind w:left="792"/>
        <w:rPr>
          <w:lang w:val="fr-CA"/>
        </w:rPr>
      </w:pPr>
      <w:r>
        <w:tab/>
      </w:r>
      <w:r>
        <w:tab/>
        <w:t>Введение</w:t>
      </w:r>
    </w:p>
    <w:p w:rsidR="00000000" w:rsidRDefault="00000000">
      <w:pPr>
        <w:pStyle w:val="SingleTxt"/>
        <w:spacing w:after="0" w:line="180" w:lineRule="auto"/>
        <w:rPr>
          <w:sz w:val="10"/>
        </w:rPr>
      </w:pPr>
    </w:p>
    <w:p w:rsidR="00000000" w:rsidRDefault="00000000">
      <w:pPr>
        <w:pStyle w:val="SingleTxt"/>
        <w:spacing w:after="0" w:line="180" w:lineRule="auto"/>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С января 1993 года, т.е. со времени, когда Франция представила в Комитет по ликвидации дискриминации в отношении женщин свой предыдущий до</w:t>
      </w:r>
      <w:r>
        <w:t>к</w:t>
      </w:r>
      <w:r>
        <w:t>лад, государство провело ряд крупных реформ, направленных на полное фа</w:t>
      </w:r>
      <w:r>
        <w:t>к</w:t>
      </w:r>
      <w:r>
        <w:t>тическое осуществление принципа равенства между женщинами и мужч</w:t>
      </w:r>
      <w:r>
        <w:t>и</w:t>
      </w:r>
      <w:r>
        <w:t>нами.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pPr>
      <w:r>
        <w:tab/>
        <w:t>Равенство между женщинами и мужчинами перед законом с правовой точки зрения уже достигнуто и стало принципом, закрепленным в Констит</w:t>
      </w:r>
      <w:r>
        <w:t>у</w:t>
      </w:r>
      <w:r>
        <w:t>ции. Принципы правового характера были дополнены новыми положениями о равноправии женщин и мужчин, содержащимися в Амстердамском договоре, изменяющем Договор о Европейском союзе и Договор, учреждающий Евр</w:t>
      </w:r>
      <w:r>
        <w:t>о</w:t>
      </w:r>
      <w:r>
        <w:t>пейское сообщество. Амстердамский договор был ратифицирован Францией 23 марта 1999 года, и его положения стали частью внутригосударственного права Франции с момента его вступления в силу 1 мая 1999 года.</w:t>
      </w:r>
    </w:p>
    <w:p w:rsidR="00000000" w:rsidRDefault="00000000">
      <w:pPr>
        <w:pStyle w:val="SingleTxt"/>
      </w:pPr>
      <w:r>
        <w:tab/>
        <w:t>Таким образом, достижение равноправия между мужчинами и женщинами закрепляется в качестве общей цели Сообщества (статья 2); цель эта должна учитываться во всех политических мероприятиях Сообщества (статья 3); вкл</w:t>
      </w:r>
      <w:r>
        <w:t>ю</w:t>
      </w:r>
      <w:r>
        <w:t>чено общее положение о недискриминации (статья 13), кроме того, усиливаю</w:t>
      </w:r>
      <w:r>
        <w:t>т</w:t>
      </w:r>
      <w:r>
        <w:t>ся положения о равном обращении с женщинами и мужчинами в вопросах найма и трудовых отношений (статья 137), включая, в частности, понятие ра</w:t>
      </w:r>
      <w:r>
        <w:t>в</w:t>
      </w:r>
      <w:r>
        <w:t>ноценного труда и возможность принятия конкретных мер, "направленных на содействие профессиональной деятельности лиц недопредставленного пола либо на предупреждение или компенсирование ущерба их профессиональной карь</w:t>
      </w:r>
      <w:r>
        <w:t>е</w:t>
      </w:r>
      <w:r>
        <w:t>ре" (статья 141).</w:t>
      </w:r>
    </w:p>
    <w:p w:rsidR="00000000" w:rsidRDefault="00000000">
      <w:pPr>
        <w:pStyle w:val="SingleTxt"/>
      </w:pPr>
      <w:r>
        <w:tab/>
        <w:t>Правительство Франции в 1999 году приняло решение сделать равенство между женщинами и мужчинами одной из основ обновления общественной жизни и французского общества. Стала проводиться в жизнь активная полит</w:t>
      </w:r>
      <w:r>
        <w:t>и</w:t>
      </w:r>
      <w:r>
        <w:t>ка по превращению равенства де-юре в равенство де-факто.</w:t>
      </w:r>
    </w:p>
    <w:p w:rsidR="00000000" w:rsidRDefault="00000000">
      <w:pPr>
        <w:pStyle w:val="SingleTxt"/>
      </w:pPr>
      <w:r>
        <w:tab/>
        <w:t>В рамках правительственной программы действий, разработанной Ме</w:t>
      </w:r>
      <w:r>
        <w:t>ж</w:t>
      </w:r>
      <w:r>
        <w:t>ведомственным комитетом по правам женщин весной 2000 года, были опред</w:t>
      </w:r>
      <w:r>
        <w:t>е</w:t>
      </w:r>
      <w:r>
        <w:t>лены три приоритетных направления работы:</w:t>
      </w:r>
    </w:p>
    <w:p w:rsidR="00000000" w:rsidRDefault="00000000">
      <w:pPr>
        <w:pStyle w:val="SingleTxt"/>
      </w:pPr>
      <w:r>
        <w:tab/>
        <w:t>-</w:t>
      </w:r>
      <w:r>
        <w:tab/>
        <w:t>доступ женщин к ответственным должностям,</w:t>
      </w:r>
    </w:p>
    <w:p w:rsidR="00000000" w:rsidRDefault="00000000">
      <w:pPr>
        <w:pStyle w:val="SingleTxt"/>
        <w:ind w:left="2218" w:hanging="951"/>
      </w:pPr>
      <w:r>
        <w:tab/>
        <w:t>-</w:t>
      </w:r>
      <w:r>
        <w:tab/>
        <w:t>равенство в области профессиональной деятельности и обеспечение разумного сочетания профессиональной деятельности и семейной жизни,</w:t>
      </w:r>
    </w:p>
    <w:p w:rsidR="00000000" w:rsidRDefault="00000000">
      <w:pPr>
        <w:pStyle w:val="SingleTxt"/>
      </w:pPr>
      <w:r>
        <w:tab/>
        <w:t>-</w:t>
      </w:r>
      <w:r>
        <w:tab/>
        <w:t xml:space="preserve">основные права женщин и борьба против насилия. </w:t>
      </w:r>
    </w:p>
    <w:p w:rsidR="00000000" w:rsidRDefault="00000000">
      <w:pPr>
        <w:pStyle w:val="SingleTxt"/>
      </w:pPr>
      <w:r>
        <w:tab/>
        <w:t>Все принимаемые меры вписываются в глобальный подход, которому по</w:t>
      </w:r>
      <w:r>
        <w:noBreakHyphen/>
        <w:t>прежнему уделяется важнейшее внимание и исходная посылка которого с</w:t>
      </w:r>
      <w:r>
        <w:t>о</w:t>
      </w:r>
      <w:r>
        <w:t>стоит в том, что в вопросах достижения равенства между женщинами и му</w:t>
      </w:r>
      <w:r>
        <w:t>ж</w:t>
      </w:r>
      <w:r>
        <w:t>чинами следует учитывать взаимодействие различных факторов – экономич</w:t>
      </w:r>
      <w:r>
        <w:t>е</w:t>
      </w:r>
      <w:r>
        <w:t>ских, политических и социальных. Речь больше не идет только о том, чтобы компенсировать неравенство конкретными мерами в отношении женщин, а о том, чтобы гендерная проблематика стала неотъемлемой частью государстве</w:t>
      </w:r>
      <w:r>
        <w:t>н</w:t>
      </w:r>
      <w:r>
        <w:t>ной политики и, как следствие этого, никакие действия государства не прив</w:t>
      </w:r>
      <w:r>
        <w:t>о</w:t>
      </w:r>
      <w:r>
        <w:t>дили бы к нераве</w:t>
      </w:r>
      <w:r>
        <w:t>н</w:t>
      </w:r>
      <w:r>
        <w:t>ству.</w:t>
      </w:r>
    </w:p>
    <w:p w:rsidR="00000000" w:rsidRDefault="00000000">
      <w:pPr>
        <w:pStyle w:val="SingleTxt"/>
      </w:pPr>
      <w:r>
        <w:tab/>
        <w:t>Правительство стремилось предать гласности вопросы, касающиеся п</w:t>
      </w:r>
      <w:r>
        <w:t>о</w:t>
      </w:r>
      <w:r>
        <w:t>ложения женщин и мужчин, путем подготовки соответствующих статистич</w:t>
      </w:r>
      <w:r>
        <w:t>е</w:t>
      </w:r>
      <w:r>
        <w:t>ских данных или проведения обследований и стремилось привлечь внимание различных действующих лиц, занимающихся публичной политикой. С тем чт</w:t>
      </w:r>
      <w:r>
        <w:t>о</w:t>
      </w:r>
      <w:r>
        <w:t>бы осветить место женщины в общественной, экономической и политической жизни, в октябре 2001 года был опубликован первый статистический доклад под назван</w:t>
      </w:r>
      <w:r>
        <w:t>и</w:t>
      </w:r>
      <w:r>
        <w:t>ем "Взгляд на вопросы равенства".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rPr>
          <w:lang w:val="en-GB"/>
        </w:rPr>
        <w:tab/>
      </w:r>
      <w:r>
        <w:t>Кроме того, правительство в своей деятельности опиралось на бюдже</w:t>
      </w:r>
      <w:r>
        <w:t>т</w:t>
      </w:r>
      <w:r>
        <w:t>ный документ, касающийся прав женщин и вопросов равенства, который п</w:t>
      </w:r>
      <w:r>
        <w:t>о</w:t>
      </w:r>
      <w:r>
        <w:t>зволяет провести анализ бюджетной деятельности государства в разбивке по министерствам в том, что касается равенства между женщинами и мужчинами. Этот документ - "Желтые страницы" бюджета - является своего рода инстр</w:t>
      </w:r>
      <w:r>
        <w:t>у</w:t>
      </w:r>
      <w:r>
        <w:t>ментом выверки государственной деятельности в том плане, что он может сп</w:t>
      </w:r>
      <w:r>
        <w:t>о</w:t>
      </w:r>
      <w:r>
        <w:t>собствовать ориентации или переориентации этой деятельности в целях пов</w:t>
      </w:r>
      <w:r>
        <w:t>ы</w:t>
      </w:r>
      <w:r>
        <w:t>шения равенства между женщинами и мужчинами и достижения подлинного равенства.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На заседаниях Совета министров в</w:t>
      </w:r>
      <w:r>
        <w:rPr>
          <w:lang w:val="en-US"/>
        </w:rPr>
        <w:t xml:space="preserve"> </w:t>
      </w:r>
      <w:r>
        <w:t>марте</w:t>
      </w:r>
      <w:r>
        <w:rPr>
          <w:lang w:val="en-US"/>
        </w:rPr>
        <w:t> </w:t>
      </w:r>
      <w:r>
        <w:t>2001 года и марте</w:t>
      </w:r>
      <w:r>
        <w:rPr>
          <w:lang w:val="en-US"/>
        </w:rPr>
        <w:t> </w:t>
      </w:r>
      <w:r>
        <w:t>2002 года дважды подводились итоги этой деятельности правительства, в которой учас</w:t>
      </w:r>
      <w:r>
        <w:t>т</w:t>
      </w:r>
      <w:r>
        <w:t>вовали многие министерства. Эти</w:t>
      </w:r>
      <w:r>
        <w:rPr>
          <w:lang w:val="en-US"/>
        </w:rPr>
        <w:t> </w:t>
      </w:r>
      <w:r>
        <w:t>итоги показали, что в указанных трех пр</w:t>
      </w:r>
      <w:r>
        <w:t>и</w:t>
      </w:r>
      <w:r>
        <w:t>оритетных областях были достигнуты существенные сдвиги.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rPr>
          <w:sz w:val="24"/>
        </w:rPr>
      </w:pPr>
      <w:r>
        <w:rPr>
          <w:b/>
          <w:sz w:val="24"/>
          <w:lang w:val="en-GB"/>
        </w:rPr>
        <w:t>1.</w:t>
      </w:r>
      <w:r>
        <w:rPr>
          <w:b/>
          <w:sz w:val="24"/>
          <w:lang w:val="en-GB"/>
        </w:rPr>
        <w:tab/>
      </w:r>
      <w:r>
        <w:rPr>
          <w:b/>
          <w:sz w:val="24"/>
        </w:rPr>
        <w:t>ПРОДОЛЖИТЬ ПРИНЯТИЕ МЕР ПО ОБЕСПЕЧЕНИЮ ДОСТУПА ЖЕНЩИН К ОТВЕТСТВЕННЫМ ДОЛЖНОСТЯМ</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lang w:val="en-GB"/>
        </w:rPr>
      </w:pPr>
      <w:r>
        <w:sym w:font="Wingdings" w:char="F09F"/>
      </w:r>
      <w:r>
        <w:tab/>
        <w:t>Обеспечение равенства в политической жизни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Пересмотр Конституции, голосование по которому состоялось в июне</w:t>
      </w:r>
      <w:r>
        <w:rPr>
          <w:lang w:val="en-US"/>
        </w:rPr>
        <w:t xml:space="preserve"> </w:t>
      </w:r>
      <w:r>
        <w:t>1999 года, и принятие соответствующего закона 6 июня 2000 года, в результате чего был закреплен принцип равного доступа женщин и мужчин к выборным должностям, явились важнейшим шагом вперед в обеспечении сбалансирова</w:t>
      </w:r>
      <w:r>
        <w:t>н</w:t>
      </w:r>
      <w:r>
        <w:t>ного участия мужчин и женщин в политической жизни.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Со времени принятия закона от 6 июня 2000 года, касающегося "равного доступа женщин и мужчин к выборным должностям", дважды были проведены выборы, которые показали, что там, где применяется этот закон, он оказывает положительное воздействие на роль женщин в жизни государства. В</w:t>
      </w:r>
      <w:r>
        <w:rPr>
          <w:lang w:val="en-US"/>
        </w:rPr>
        <w:t> </w:t>
      </w:r>
      <w:r>
        <w:t>краткосрочном плане намерение правительства состояло в том, чтобы пр</w:t>
      </w:r>
      <w:r>
        <w:t>и</w:t>
      </w:r>
      <w:r>
        <w:t>влечь женщин в выборные органы местного и национального значения и в</w:t>
      </w:r>
      <w:r>
        <w:t>ы</w:t>
      </w:r>
      <w:r>
        <w:t>звать тем самым глубокие изменения в политической жизни. Поскольку в зак</w:t>
      </w:r>
      <w:r>
        <w:t>о</w:t>
      </w:r>
      <w:r>
        <w:t>нодательной и нормативной деятельности будут использоваться опыт и знания женщин, применение этого закона должно было бы также стать источником изменений в экономической, социальной и культурной жизни.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sym w:font="Wingdings" w:char="F09F"/>
      </w:r>
      <w:r>
        <w:tab/>
        <w:t>Обеспечение равенства в общественной жизни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Стремление правительства проводить политику по обеспечению равенс</w:t>
      </w:r>
      <w:r>
        <w:t>т</w:t>
      </w:r>
      <w:r>
        <w:t>ва нашло свое отражение и в сфере общественной жизни. В</w:t>
      </w:r>
      <w:r>
        <w:rPr>
          <w:lang w:val="en-US"/>
        </w:rPr>
        <w:t> </w:t>
      </w:r>
      <w:r>
        <w:t>июле 2001 года г</w:t>
      </w:r>
      <w:r>
        <w:t>о</w:t>
      </w:r>
      <w:r>
        <w:t>сударство подписало с общественными организациями хартию, согласно кот</w:t>
      </w:r>
      <w:r>
        <w:t>о</w:t>
      </w:r>
      <w:r>
        <w:t>рой подписавшие стороны обязуются повысить сбалансированность между женщинами и мужчинами при осуществлении общественных функций. Отныне координационный орган общественных организаций, занимающийся правами женщин, принимает участие в работе постоянной конференции координацио</w:t>
      </w:r>
      <w:r>
        <w:t>н</w:t>
      </w:r>
      <w:r>
        <w:t>ных органов общественных организаций.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Кроме того, министерство занятости и солидарности провело совместно с общественными организациями анализ вклада женских и феминистских орг</w:t>
      </w:r>
      <w:r>
        <w:t>а</w:t>
      </w:r>
      <w:r>
        <w:t>низаций в происходящую в обществе дискуссию и участие женщин в принятии решений.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sym w:font="Wingdings" w:char="F09F"/>
      </w:r>
      <w:r>
        <w:tab/>
        <w:t>Обеспечение равенства в выборах в профессиональные выборные органы, представительные органы и на ответственные государственные должн</w:t>
      </w:r>
      <w:r>
        <w:t>о</w:t>
      </w:r>
      <w:r>
        <w:t>сти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Правительство предприняло шаги по обеспечению более сбалансирова</w:t>
      </w:r>
      <w:r>
        <w:t>н</w:t>
      </w:r>
      <w:r>
        <w:t>ной представленности мужчин и женщин в различных секторах.</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w:t>
      </w:r>
      <w:r>
        <w:rPr>
          <w:lang w:val="en-US"/>
        </w:rPr>
        <w:t> </w:t>
      </w:r>
      <w:r>
        <w:t>законе от 9 мая 2001 года о равноправии в области профессиональной деятельности предусматривается, что начиная с выборов в прюдомальные суды 2002 года в организациях наблюдается такая пропорция женщин и мужчин, к</w:t>
      </w:r>
      <w:r>
        <w:t>о</w:t>
      </w:r>
      <w:r>
        <w:t>торая позволяет сократить разрыв между представленностью женщин в изб</w:t>
      </w:r>
      <w:r>
        <w:t>и</w:t>
      </w:r>
      <w:r>
        <w:t>рательных списках и их долей среди избирателей. Кроме того, 3 мая 2002 года был принят декрет о назначении административными органами членов суда присяжных и отборочных комитетов, где было закреплено, что в списки тех членов этих органов, которые назначаются государством, должно вноситься не менее трети лиц каждого пола.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Были разработаны многолетние планы выдвижения женщин на ответс</w:t>
      </w:r>
      <w:r>
        <w:t>т</w:t>
      </w:r>
      <w:r>
        <w:t xml:space="preserve">венные должности государственной службы. </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sz w:val="24"/>
        </w:rPr>
      </w:pPr>
      <w:r>
        <w:rPr>
          <w:b/>
          <w:sz w:val="24"/>
        </w:rPr>
        <w:t>2.</w:t>
      </w:r>
      <w:r>
        <w:rPr>
          <w:b/>
          <w:sz w:val="24"/>
        </w:rPr>
        <w:tab/>
        <w:t>СОДЕЙСТВОВАТЬ РАВЕНСТВУ В ОБЛАСТИ ПРОФЕС</w:t>
      </w:r>
      <w:r>
        <w:rPr>
          <w:b/>
          <w:sz w:val="24"/>
          <w:lang w:val="en-US"/>
        </w:rPr>
        <w:t>-</w:t>
      </w:r>
      <w:r>
        <w:rPr>
          <w:b/>
          <w:sz w:val="24"/>
        </w:rPr>
        <w:t>СИОНАЛЬНОЙ ДЕЯТЕЛЬНОСТИ И БОЛЕЕ РАЗУМНОМУ СОЧЕТАНИЮ ПРОФЕССИОНАЛЬНОЙ ДЕЯТЕЛЬНОСТИ И СЕМЕЙНОЙ ЖИЗНИ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Для</w:t>
      </w:r>
      <w:r>
        <w:rPr>
          <w:lang w:val="en-US"/>
        </w:rPr>
        <w:t> </w:t>
      </w:r>
      <w:r>
        <w:t>выполнения задач по обеспечению равенства в области професси</w:t>
      </w:r>
      <w:r>
        <w:t>о</w:t>
      </w:r>
      <w:r>
        <w:t>нальной деятельности правительство сделало упор на двух направлениях де</w:t>
      </w:r>
      <w:r>
        <w:t>я</w:t>
      </w:r>
      <w:r>
        <w:t>тельности: принятии конкретных законов и укреплении партнерских отнош</w:t>
      </w:r>
      <w:r>
        <w:t>е</w:t>
      </w:r>
      <w:r>
        <w:t>ний.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sym w:font="Wingdings" w:char="F09F"/>
      </w:r>
      <w:r>
        <w:tab/>
        <w:t>Равенство в области профессиональной деятельности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Закон от 9 мая 2001 года направлен на расширение общественного диал</w:t>
      </w:r>
      <w:r>
        <w:t>о</w:t>
      </w:r>
      <w:r>
        <w:t>га по вопросам профессионального равенства в отраслях и на предприятиях: в нем придается большое значение общим условиям занятости и профессионал</w:t>
      </w:r>
      <w:r>
        <w:t>ь</w:t>
      </w:r>
      <w:r>
        <w:t>ной подготовки женщин и мужчин на предприятиях, а равенство в области профессиональной деятельности рассматривается в качестве основного вопр</w:t>
      </w:r>
      <w:r>
        <w:t>о</w:t>
      </w:r>
      <w:r>
        <w:t>са на коллективных переговорах как на уровне отраслей, так и на уровне пре</w:t>
      </w:r>
      <w:r>
        <w:t>д</w:t>
      </w:r>
      <w:r>
        <w:t>приятий, где введена практика обязательного проведения коллективных пер</w:t>
      </w:r>
      <w:r>
        <w:t>е</w:t>
      </w:r>
      <w:r>
        <w:t>говоров. Улучшение положения женщин на предприятиях является частью гл</w:t>
      </w:r>
      <w:r>
        <w:t>о</w:t>
      </w:r>
      <w:r>
        <w:t>бальной стратегии развития и должно благоприятно сказаться как на мужчинах и женщинах, относящихся к категории наемных работников, так и на целях производства.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sym w:font="Wingdings" w:char="F09F"/>
      </w:r>
      <w:r>
        <w:tab/>
        <w:t>Борьба с дискриминацией и домогательством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w:t>
      </w:r>
      <w:r>
        <w:rPr>
          <w:lang w:val="en-US"/>
        </w:rPr>
        <w:t> </w:t>
      </w:r>
      <w:r>
        <w:t>законе от 6 ноября 2001 года, касающемся борьбы против дискримин</w:t>
      </w:r>
      <w:r>
        <w:t>а</w:t>
      </w:r>
      <w:r>
        <w:t>ции, предусматривается регламентация бремени доказывания, в результате к</w:t>
      </w:r>
      <w:r>
        <w:t>о</w:t>
      </w:r>
      <w:r>
        <w:t>торой на работодателя возлагается обоснование того, что соответствующая м</w:t>
      </w:r>
      <w:r>
        <w:t>е</w:t>
      </w:r>
      <w:r>
        <w:t>ра была принята по объективным причинам, а также уточняются понятия пр</w:t>
      </w:r>
      <w:r>
        <w:t>я</w:t>
      </w:r>
      <w:r>
        <w:t>мой и косвенной дискриминации.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Кроме того, закон от 9 мая 2001 года о равенстве в области професси</w:t>
      </w:r>
      <w:r>
        <w:t>о</w:t>
      </w:r>
      <w:r>
        <w:t>нальной деятельности и закон от 17 января 2002 года, называемый "Законом об общественном обновлении", направлены на расширение понятия "сексуальное домогательство"; при этом в них отменяется понятие "превышение власти" и включаются в их сферу действия кандидаты на занятие соответствующих должностей, на прохождение стажировки или курсов профессиональной подг</w:t>
      </w:r>
      <w:r>
        <w:t>о</w:t>
      </w:r>
      <w:r>
        <w:t>товки на рабочем месте. Кроме</w:t>
      </w:r>
      <w:r>
        <w:rPr>
          <w:lang w:val="en-US"/>
        </w:rPr>
        <w:t xml:space="preserve"> </w:t>
      </w:r>
      <w:r>
        <w:t>того, в этих законах расширяется круг непр</w:t>
      </w:r>
      <w:r>
        <w:t>а</w:t>
      </w:r>
      <w:r>
        <w:t>вомерных действий, совершаемых в отношении жертв домогательства, лиц, явившихся свидетелями домогательства или сообщивших о нем: отныне з</w:t>
      </w:r>
      <w:r>
        <w:t>а</w:t>
      </w:r>
      <w:r>
        <w:t>прещены не только санкции и увольнения, но и "любые дискриминационные меры", как прямые, так и косвенные, в том, что касается оплаты труда, профе</w:t>
      </w:r>
      <w:r>
        <w:t>с</w:t>
      </w:r>
      <w:r>
        <w:t>сиональной подготовки и т.д.</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sym w:font="Wingdings" w:char="F09F"/>
      </w:r>
      <w:r>
        <w:tab/>
        <w:t>Укрепление партнерских отношений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w:t>
      </w:r>
      <w:r>
        <w:rPr>
          <w:lang w:val="en-US"/>
        </w:rPr>
        <w:t> </w:t>
      </w:r>
      <w:r>
        <w:t>ходе периода, охватываемого настоящим докладом, было подписано множество протоколов о сотрудничестве, направленных на борьбу с неравенс</w:t>
      </w:r>
      <w:r>
        <w:t>т</w:t>
      </w:r>
      <w:r>
        <w:t>вом между женщинами и мужчинами, которое еще сохраняется на рынке труда, содействие равному доступу женщин к профессиональной подготовке, ведущей к присвоению квалификации, и более эффективное использование полученного опыта. Были также подписаны соглашения в области создания предприятий.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Эти</w:t>
      </w:r>
      <w:r>
        <w:rPr>
          <w:lang w:val="en-US"/>
        </w:rPr>
        <w:t> </w:t>
      </w:r>
      <w:r>
        <w:t>соглашения были подписаны министерством занятости и солидарн</w:t>
      </w:r>
      <w:r>
        <w:t>о</w:t>
      </w:r>
      <w:r>
        <w:t>сти с государственными и частными партнерами, занимающимися самыми ра</w:t>
      </w:r>
      <w:r>
        <w:t>з</w:t>
      </w:r>
      <w:r>
        <w:t>личными областями деятельности. В качестве примера можно привести Н</w:t>
      </w:r>
      <w:r>
        <w:t>а</w:t>
      </w:r>
      <w:r>
        <w:t>циональное агентство по вопросам улучшения условий труда (АНАКТ), Ме</w:t>
      </w:r>
      <w:r>
        <w:t>ж</w:t>
      </w:r>
      <w:r>
        <w:t>ведомственное управление по вопросам городов, Национальную ассоциацию по профессиональной подготовке взрослых (АФПА), Федерацию предприятий системы торговли и распределения и Агентство по вопросам создания пре</w:t>
      </w:r>
      <w:r>
        <w:t>д</w:t>
      </w:r>
      <w:r>
        <w:t>приятий (АПКЕ).</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Были подписаны соглашения о привлечении женщин в некоторые отрасли, сталкивающиеся с трудностями на рынке труда, в частности в строительство и транспорт. В</w:t>
      </w:r>
      <w:r>
        <w:rPr>
          <w:lang w:val="en-US"/>
        </w:rPr>
        <w:t> </w:t>
      </w:r>
      <w:r>
        <w:t>феврале 2001 года было подписано соглашение между Федерац</w:t>
      </w:r>
      <w:r>
        <w:t>и</w:t>
      </w:r>
      <w:r>
        <w:t>ей по делам строительства, министром оснащения, транспорта и жилищного строительства, министром-делегатом по вопросам профессионального обуч</w:t>
      </w:r>
      <w:r>
        <w:t>е</w:t>
      </w:r>
      <w:r>
        <w:t>ния и государственным секретарем по правам женщин и вопросам професси</w:t>
      </w:r>
      <w:r>
        <w:t>о</w:t>
      </w:r>
      <w:r>
        <w:t>нальной подготовки.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Эта</w:t>
      </w:r>
      <w:r>
        <w:rPr>
          <w:lang w:val="en-US"/>
        </w:rPr>
        <w:t> </w:t>
      </w:r>
      <w:r>
        <w:t>политика укрепления партнерских отношений сопровождается шир</w:t>
      </w:r>
      <w:r>
        <w:t>о</w:t>
      </w:r>
      <w:r>
        <w:t>кой информационной кампанией, направленной на привлечение женщин к з</w:t>
      </w:r>
      <w:r>
        <w:t>а</w:t>
      </w:r>
      <w:r>
        <w:t>нятию профессиями, в которых традиционно работают мужчины.</w:t>
      </w:r>
    </w:p>
    <w:p w:rsidR="00000000" w:rsidRDefault="00000000">
      <w:pPr>
        <w:keepNext/>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sym w:font="Wingdings" w:char="F09F"/>
      </w:r>
      <w:r>
        <w:tab/>
        <w:t>Обеспечение разумного сочетания профессиональной деятельности и с</w:t>
      </w:r>
      <w:r>
        <w:t>е</w:t>
      </w:r>
      <w:r>
        <w:t>мейной жизни</w:t>
      </w:r>
    </w:p>
    <w:p w:rsidR="00000000" w:rsidRDefault="00000000">
      <w:pPr>
        <w:keepNext/>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Во</w:t>
      </w:r>
      <w:r>
        <w:rPr>
          <w:lang w:val="en-US"/>
        </w:rPr>
        <w:t> </w:t>
      </w:r>
      <w:r>
        <w:t>время своего председательства в Европейском союзе в</w:t>
      </w:r>
      <w:r>
        <w:rPr>
          <w:lang w:val="en-US"/>
        </w:rPr>
        <w:t> </w:t>
      </w:r>
      <w:r>
        <w:t>2000 году Франция включала вопрос об обеспечении разумного сочетания семейной жи</w:t>
      </w:r>
      <w:r>
        <w:t>з</w:t>
      </w:r>
      <w:r>
        <w:t>ни и профессиональной деятельности в число вопросов, подлежащих рассмо</w:t>
      </w:r>
      <w:r>
        <w:t>т</w:t>
      </w:r>
      <w:r>
        <w:t>рению. Действительно, в повседневной жизни женщины, как представляется, имеют большие нагрузки по сравнению с мужчинами, что негативно сказыв</w:t>
      </w:r>
      <w:r>
        <w:t>а</w:t>
      </w:r>
      <w:r>
        <w:t>ется на их профессиональном росте. В</w:t>
      </w:r>
      <w:r>
        <w:rPr>
          <w:lang w:val="en-US"/>
        </w:rPr>
        <w:t> </w:t>
      </w:r>
      <w:r>
        <w:t>силу эволюции отношений в сфере тр</w:t>
      </w:r>
      <w:r>
        <w:t>у</w:t>
      </w:r>
      <w:r>
        <w:t>да и моделей распределения семейных обязанностей вопросы увязывания с</w:t>
      </w:r>
      <w:r>
        <w:t>е</w:t>
      </w:r>
      <w:r>
        <w:t xml:space="preserve">мейной жизни и профессиональной деятельности, давно рассматривающиеся в качестве центральных с точки зрения подхода к роли мужчин и женщин в семье и обществе, стали ставиться более широко.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Труд женщин, действительно, создает богатства и является мощным фа</w:t>
      </w:r>
      <w:r>
        <w:t>к</w:t>
      </w:r>
      <w:r>
        <w:t>тором роста, порождая различные потребности, виды деятельности и занятий и удовлетворяя различные требования. Процесс становится все более необрат</w:t>
      </w:r>
      <w:r>
        <w:t>и</w:t>
      </w:r>
      <w:r>
        <w:t>мым, поскольку женщины все чаще являются одновременно матерями и рабо</w:t>
      </w:r>
      <w:r>
        <w:t>т</w:t>
      </w:r>
      <w:r>
        <w:t>ницами, причем это, хотя и в различной степени, относится ко всем европе</w:t>
      </w:r>
      <w:r>
        <w:t>й</w:t>
      </w:r>
      <w:r>
        <w:t>ским странам. А между тем сегодня увязывание различных сторон семейной и профессиональной жизни чаще всего остается задачей, лежащей исключител</w:t>
      </w:r>
      <w:r>
        <w:t>ь</w:t>
      </w:r>
      <w:r>
        <w:t>но на женщинах.</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Во</w:t>
      </w:r>
      <w:r>
        <w:rPr>
          <w:lang w:val="en-US"/>
        </w:rPr>
        <w:t> </w:t>
      </w:r>
      <w:r>
        <w:t>время своего председательства в Европейском союзе (во втором пол</w:t>
      </w:r>
      <w:r>
        <w:t>у</w:t>
      </w:r>
      <w:r>
        <w:t>годии 2002 года) Франция представила доклад на эту тему. После этого Совет Европейского союза принял резолюцию, предусматривающую девять колич</w:t>
      </w:r>
      <w:r>
        <w:t>е</w:t>
      </w:r>
      <w:r>
        <w:t>ственных и качественных показателей оценки.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На</w:t>
      </w:r>
      <w:r>
        <w:rPr>
          <w:lang w:val="en-US"/>
        </w:rPr>
        <w:t> </w:t>
      </w:r>
      <w:r>
        <w:t>национальном уровне в сентябре 2001 года была проведена первая правительственная конференция, посвященная вопросу о каждодневном соч</w:t>
      </w:r>
      <w:r>
        <w:t>е</w:t>
      </w:r>
      <w:r>
        <w:t>тании профессиональной деятельности и семейной жизни. Были подготовлены различные доклады и представлены практические предложения (в</w:t>
      </w:r>
      <w:r>
        <w:rPr>
          <w:lang w:val="en-US"/>
        </w:rPr>
        <w:t> </w:t>
      </w:r>
      <w:r>
        <w:t>частности, о создании в коммунах с населением свыше 20 тыс. человек бюро, занимающи</w:t>
      </w:r>
      <w:r>
        <w:t>х</w:t>
      </w:r>
      <w:r>
        <w:t>ся вопросами более эффективного увязывания времени работы администрати</w:t>
      </w:r>
      <w:r>
        <w:t>в</w:t>
      </w:r>
      <w:r>
        <w:t>ных учреждений и частных предприятий с потребностями семейной и профе</w:t>
      </w:r>
      <w:r>
        <w:t>с</w:t>
      </w:r>
      <w:r>
        <w:t>сиональной жизни).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Кроме того, Институт по вопросам городов, созданный в январе 2001 года, включил в число своих первых вопросов для изучения вопрос об обеспечении разумного сочетания профессиональной деятельности и семейной жизни с точки зрения равенства между женщинами и мужчинами.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Министр-делегат по вопросам семьи, детства и инвалидов организовал 11 октября 2001 года семинар по вопросу об учитывании предприятиями м</w:t>
      </w:r>
      <w:r>
        <w:t>о</w:t>
      </w:r>
      <w:r>
        <w:t>ментов, связанных с более разумным сочетанием семейной жизни и профе</w:t>
      </w:r>
      <w:r>
        <w:t>с</w:t>
      </w:r>
      <w:r>
        <w:t>сиональной деятельности, на котором был изучен вопрос о тех конкретных м</w:t>
      </w:r>
      <w:r>
        <w:t>е</w:t>
      </w:r>
      <w:r>
        <w:t>рах, которые можно принять в рамках общественных отношений на предпр</w:t>
      </w:r>
      <w:r>
        <w:t>и</w:t>
      </w:r>
      <w:r>
        <w:t>ятиях для того, чтобы лучше учесть проблемы увязывания семейной и профе</w:t>
      </w:r>
      <w:r>
        <w:t>с</w:t>
      </w:r>
      <w:r>
        <w:t>сиональной жизни.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Наконец, закон об общественном обновлении от 17 января 2002 года ввел отпуск для отцов продолжительностью в 11</w:t>
      </w:r>
      <w:r>
        <w:rPr>
          <w:lang w:val="en-US"/>
        </w:rPr>
        <w:t> </w:t>
      </w:r>
      <w:r>
        <w:t>рабочих дней, назначение которого состоит в том, чтобы дать возможность отцам принимать более активное уч</w:t>
      </w:r>
      <w:r>
        <w:t>а</w:t>
      </w:r>
      <w:r>
        <w:t xml:space="preserve">стие в выполнении родительских обязанностей и тем самым добиться большей сбалансированности между профессиональной и семейной жизнью как для них самих, так и для их супругов. </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sz w:val="24"/>
        </w:rPr>
      </w:pPr>
      <w:r>
        <w:rPr>
          <w:b/>
          <w:sz w:val="24"/>
        </w:rPr>
        <w:t>3.</w:t>
      </w:r>
      <w:r>
        <w:rPr>
          <w:b/>
          <w:sz w:val="24"/>
        </w:rPr>
        <w:tab/>
        <w:t>УСИЛИТЬ СОБЛЮДЕНИЕ ОСНОВНЫХ ПРАВ ЖЕНЩИН И АКТИВИЗИРОВАТЬ БОРЬБУ ПРОТИВ НАСИЛИЯ</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rPr>
          <w:lang w:val="en-GB"/>
        </w:rPr>
      </w:pPr>
      <w:r>
        <w:sym w:font="Wingdings" w:char="F09F"/>
      </w:r>
      <w:r>
        <w:tab/>
        <w:t>Что касается доступа к личным и социальным правам, то основным ш</w:t>
      </w:r>
      <w:r>
        <w:t>а</w:t>
      </w:r>
      <w:r>
        <w:t>гом, предпринятым французским правительством, является принятие н</w:t>
      </w:r>
      <w:r>
        <w:t>о</w:t>
      </w:r>
      <w:r>
        <w:t>вого закона о контрацепции и</w:t>
      </w:r>
      <w:r>
        <w:rPr>
          <w:lang w:val="en-GB"/>
        </w:rPr>
        <w:t xml:space="preserve"> </w:t>
      </w:r>
      <w:r>
        <w:t>добровольном прерывании беременности (ДПБ).</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Важнейшие позитивные сдвиги, закрепленные законом от 4 июля 2001 года о добровольном прерывании беременности и контрацепции, касаю</w:t>
      </w:r>
      <w:r>
        <w:t>т</w:t>
      </w:r>
      <w:r>
        <w:t>ся, главным образом, информации и полового воспитания в школах, колледжах и лицеях, а также выписывания и выдачи контрацептивов несовершеннолетним без согласия лиц, осуществляющих родительские права. С</w:t>
      </w:r>
      <w:r>
        <w:rPr>
          <w:lang w:val="en-US"/>
        </w:rPr>
        <w:t> </w:t>
      </w:r>
      <w:r>
        <w:t>другой стороны, в нем содержатся положения о ДПБ, в том числе об увеличении установленного законом срока с 10 до 12</w:t>
      </w:r>
      <w:r>
        <w:rPr>
          <w:lang w:val="en-US"/>
        </w:rPr>
        <w:t> </w:t>
      </w:r>
      <w:r>
        <w:t>недель; возможности для несовершеннолетних же</w:t>
      </w:r>
      <w:r>
        <w:t>н</w:t>
      </w:r>
      <w:r>
        <w:t>щин не информировать лиц, осуществляющих родительские права; распр</w:t>
      </w:r>
      <w:r>
        <w:t>о</w:t>
      </w:r>
      <w:r>
        <w:t>странении правонарушения, заключающегося в препятствии ДПБ, на морал</w:t>
      </w:r>
      <w:r>
        <w:t>ь</w:t>
      </w:r>
      <w:r>
        <w:t>ное и психологическое давление, угрозы или акты запугивания в отношении работников учреждений, практикующих эти виды вмешательства, женщин, о</w:t>
      </w:r>
      <w:r>
        <w:t>б</w:t>
      </w:r>
      <w:r>
        <w:t>ращающихся за помощью в эти учреждения, и их окружения.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w:t>
      </w:r>
      <w:r>
        <w:rPr>
          <w:lang w:val="en-US"/>
        </w:rPr>
        <w:t xml:space="preserve"> </w:t>
      </w:r>
      <w:r>
        <w:t>январе 2002 года была начата новая информационная кампания по в</w:t>
      </w:r>
      <w:r>
        <w:t>о</w:t>
      </w:r>
      <w:r>
        <w:t>просам контрацепции, основанная на местных мероприятиях по повышению информированности с помощью брошюр и плакатов, а также на радиосообщ</w:t>
      </w:r>
      <w:r>
        <w:t>е</w:t>
      </w:r>
      <w:r>
        <w:t>ниях.</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sym w:font="Wingdings" w:char="F09F"/>
      </w:r>
      <w:r>
        <w:tab/>
        <w:t>Борьба против насилия являлась одной из основных задач правительства. В</w:t>
      </w:r>
      <w:r>
        <w:rPr>
          <w:lang w:val="en-US"/>
        </w:rPr>
        <w:t> </w:t>
      </w:r>
      <w:r>
        <w:t>этой области были предприняты различные действия.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 xml:space="preserve">Был развернут </w:t>
      </w:r>
      <w:r>
        <w:rPr>
          <w:i/>
        </w:rPr>
        <w:t>национальный опрос по вопросу о насилии в отношении женщин</w:t>
      </w:r>
      <w:r>
        <w:t>, которым была охвачена выборка из примерно 7 тыс. женщин в во</w:t>
      </w:r>
      <w:r>
        <w:t>з</w:t>
      </w:r>
      <w:r>
        <w:t>расте от 20 до 59</w:t>
      </w:r>
      <w:r>
        <w:rPr>
          <w:lang w:val="en-US"/>
        </w:rPr>
        <w:t> </w:t>
      </w:r>
      <w:r>
        <w:t>лет; полученные данные были весьма красноречивыми: пр</w:t>
      </w:r>
      <w:r>
        <w:t>и</w:t>
      </w:r>
      <w:r>
        <w:t>мерно одна женщина из десяти сообщала о случаях насилия в браке (физич</w:t>
      </w:r>
      <w:r>
        <w:t>е</w:t>
      </w:r>
      <w:r>
        <w:t>ского, сексуального, словесного, психологического), имевшего место в течение последних 12</w:t>
      </w:r>
      <w:r>
        <w:rPr>
          <w:lang w:val="en-US"/>
        </w:rPr>
        <w:t> </w:t>
      </w:r>
      <w:r>
        <w:t>месяцев. Примерно одна женщина из десяти в течение своей жизни подвергалась сексуальной агрессии. Примерно две женщины из десяти сообщали о психологическом давлении на месте работы.</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w:t>
      </w:r>
      <w:r>
        <w:rPr>
          <w:lang w:val="en-US"/>
        </w:rPr>
        <w:t> </w:t>
      </w:r>
      <w:r>
        <w:t>этих условиях Государственный секретарь по правам женщин и вопр</w:t>
      </w:r>
      <w:r>
        <w:t>о</w:t>
      </w:r>
      <w:r>
        <w:t xml:space="preserve">сам профессиональной подготовки провела в январе 2001 года национальные слушания по вопросам насилия в отношении женщин. Она провозгласила </w:t>
      </w:r>
      <w:r>
        <w:rPr>
          <w:i/>
        </w:rPr>
        <w:t>межведомственный план действий</w:t>
      </w:r>
      <w:r>
        <w:t>, состоящий из следующих четырех осно</w:t>
      </w:r>
      <w:r>
        <w:t>в</w:t>
      </w:r>
      <w:r>
        <w:t>ных направлений деятельности: укрепление сетей, проведение информацио</w:t>
      </w:r>
      <w:r>
        <w:t>н</w:t>
      </w:r>
      <w:r>
        <w:t>ной кампании, разработка профилактических мер и мер по оказанию помощи, формирование партнерских отношений с местными администрати</w:t>
      </w:r>
      <w:r>
        <w:t>в</w:t>
      </w:r>
      <w:r>
        <w:t>но</w:t>
      </w:r>
      <w:r>
        <w:rPr>
          <w:lang w:val="en-US"/>
        </w:rPr>
        <w:noBreakHyphen/>
      </w:r>
      <w:r>
        <w:t>территориальными образованиями. К</w:t>
      </w:r>
      <w:r>
        <w:rPr>
          <w:lang w:val="en-US"/>
        </w:rPr>
        <w:t> </w:t>
      </w:r>
      <w:r>
        <w:t>выполнению этого плана подключены министерства занятости и солидарности, юстиции, обороны, национального образования, внутренних дел и оснащения, транспорта и жилищного стро</w:t>
      </w:r>
      <w:r>
        <w:t>и</w:t>
      </w:r>
      <w:r>
        <w:t>тельства. В</w:t>
      </w:r>
      <w:r>
        <w:rPr>
          <w:lang w:val="en-US"/>
        </w:rPr>
        <w:t> </w:t>
      </w:r>
      <w:r>
        <w:t>соответствии с этим планом в 2001 году была разработана инфо</w:t>
      </w:r>
      <w:r>
        <w:t>р</w:t>
      </w:r>
      <w:r>
        <w:t>мационная кампания под новым лозунгом "Жертвы насилия не должны мо</w:t>
      </w:r>
      <w:r>
        <w:t>л</w:t>
      </w:r>
      <w:r>
        <w:t>чать".</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 xml:space="preserve">Параллельно с этим была развернута </w:t>
      </w:r>
      <w:r>
        <w:rPr>
          <w:i/>
        </w:rPr>
        <w:t>инициатива, направленная на об</w:t>
      </w:r>
      <w:r>
        <w:rPr>
          <w:i/>
        </w:rPr>
        <w:t>у</w:t>
      </w:r>
      <w:r>
        <w:rPr>
          <w:i/>
        </w:rPr>
        <w:t>стройство центров приема и размещения женщин, явившихся жертвами н</w:t>
      </w:r>
      <w:r>
        <w:rPr>
          <w:i/>
        </w:rPr>
        <w:t>а</w:t>
      </w:r>
      <w:r>
        <w:rPr>
          <w:i/>
        </w:rPr>
        <w:t>силия.</w:t>
      </w:r>
      <w:r>
        <w:t xml:space="preserve"> Она должна позволить определить критерии предоставляемых ими услуг для совершенствования сложившейся практики и проработки вопросов, на к</w:t>
      </w:r>
      <w:r>
        <w:t>о</w:t>
      </w:r>
      <w:r>
        <w:t>торых будут строиться договорные отношения с государством.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i/>
        </w:rPr>
        <w:t>Насилию в школе</w:t>
      </w:r>
      <w:r>
        <w:t xml:space="preserve"> было посвящено соглашение, подписанное в</w:t>
      </w:r>
      <w:r>
        <w:rPr>
          <w:lang w:val="en-US"/>
        </w:rPr>
        <w:t> </w:t>
      </w:r>
      <w:r>
        <w:t>феврале 2000 года между министерствами национального образования, занятости и с</w:t>
      </w:r>
      <w:r>
        <w:t>о</w:t>
      </w:r>
      <w:r>
        <w:t>лидарности и сельского хозяйства и содержащее 30 предложений по борьбе против сексуального насилия в школьных учреждениях. Цель состоит в нал</w:t>
      </w:r>
      <w:r>
        <w:t>а</w:t>
      </w:r>
      <w:r>
        <w:t>живании работы на местах, направленной на то, чтобы лучше понять проблемы школьников и заняться их решением.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i/>
        </w:rPr>
        <w:t>Торговля людьми</w:t>
      </w:r>
      <w:r>
        <w:t xml:space="preserve"> также является предметом серьезной озабоченности французского правительства. Соответствующий законопроект был представлен в парламент, который не успел его рассмотреть до окончания своего срока по</w:t>
      </w:r>
      <w:r>
        <w:t>л</w:t>
      </w:r>
      <w:r>
        <w:t>номочий. В</w:t>
      </w:r>
      <w:r>
        <w:rPr>
          <w:lang w:val="en-US"/>
        </w:rPr>
        <w:t> </w:t>
      </w:r>
      <w:r>
        <w:t>этом законопроекте предусматривается установление наказуемости торговли людьми, а также выдача временного разрешения на жительство жер</w:t>
      </w:r>
      <w:r>
        <w:t>т</w:t>
      </w:r>
      <w:r>
        <w:t>вам торговли, которые соглашаются подать жалобу или выступить свидетелем против лица, виновного, по их мнению, в нарушении соответствующего зак</w:t>
      </w:r>
      <w:r>
        <w:t>о</w:t>
      </w:r>
      <w:r>
        <w:t>нодательства.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w:t>
      </w:r>
      <w:r>
        <w:rPr>
          <w:lang w:val="en-US"/>
        </w:rPr>
        <w:t> </w:t>
      </w:r>
      <w:r>
        <w:t xml:space="preserve">Уголовный кодекс были внесены новые положения, касающиеся </w:t>
      </w:r>
      <w:r>
        <w:rPr>
          <w:i/>
        </w:rPr>
        <w:t>пр</w:t>
      </w:r>
      <w:r>
        <w:rPr>
          <w:i/>
        </w:rPr>
        <w:t>о</w:t>
      </w:r>
      <w:r>
        <w:rPr>
          <w:i/>
        </w:rPr>
        <w:t>ституции несовершеннолетних</w:t>
      </w:r>
      <w:r>
        <w:t>, в целях устранения пробела в правовых но</w:t>
      </w:r>
      <w:r>
        <w:t>р</w:t>
      </w:r>
      <w:r>
        <w:t>мах применительно к ситуации, когда проституцией занималось несоверше</w:t>
      </w:r>
      <w:r>
        <w:t>н</w:t>
      </w:r>
      <w:r>
        <w:t>нолетнее лицо в возрасте от 15 до 18 лет. Предусмотрено особое правонаруш</w:t>
      </w:r>
      <w:r>
        <w:t>е</w:t>
      </w:r>
      <w:r>
        <w:t>ние для лиц, прибегающих к услугам несовершеннолетних проституток. Это первый случай, когда во французском законодательстве было предусмотрено наказание для "клиентов", а не только для сутенера, что представляет собой заметный шаг вперед.</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i/>
        </w:rPr>
        <w:t xml:space="preserve">Образ женщин в рекламе </w:t>
      </w:r>
      <w:r>
        <w:t>и его возможная связь с нарушениями основных прав женщин изучались группой экспертов, созданной по инициативе Госуда</w:t>
      </w:r>
      <w:r>
        <w:t>р</w:t>
      </w:r>
      <w:r>
        <w:t>ственного секретаря по правам женщин и вопросам профессиональной подг</w:t>
      </w:r>
      <w:r>
        <w:t>о</w:t>
      </w:r>
      <w:r>
        <w:t>товки. Эта группа разработала предложения по четырем направлениям: пов</w:t>
      </w:r>
      <w:r>
        <w:t>ы</w:t>
      </w:r>
      <w:r>
        <w:t>шение ответственности профессиональных работников этой сферы путем до</w:t>
      </w:r>
      <w:r>
        <w:t>б</w:t>
      </w:r>
      <w:r>
        <w:t>ровольного соблюдения норм самодисциплины; обновление закона о печати 1881 года, позволяющего наказывать посягательство на образ женщин, выр</w:t>
      </w:r>
      <w:r>
        <w:t>а</w:t>
      </w:r>
      <w:r>
        <w:t>жающееся в подстрекательстве к дискриминации; повышение возможности общественности повлиять на эту ситуацию словом и делом, в частности через общественные организации, борющиеся против насилия в отношении женщин и против дискриминации; принятие мер, способствующих проведению общ</w:t>
      </w:r>
      <w:r>
        <w:t>е</w:t>
      </w:r>
      <w:r>
        <w:t>ственной дискуссии по этому вопросу.</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pPr>
      <w:r>
        <w:br w:type="page"/>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rPr>
          <w:lang w:val="en-GB"/>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rPr>
          <w:lang w:val="en-GB"/>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rPr>
          <w:lang w:val="en-GB"/>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rPr>
          <w:lang w:val="en-GB"/>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pPr>
    </w:p>
    <w:tbl>
      <w:tblPr>
        <w:tblW w:w="0" w:type="auto"/>
        <w:tblInd w:w="1703" w:type="dxa"/>
        <w:tblLayout w:type="fixed"/>
        <w:tblLook w:val="0000" w:firstRow="0" w:lastRow="0" w:firstColumn="0" w:lastColumn="0" w:noHBand="0" w:noVBand="0"/>
      </w:tblPr>
      <w:tblGrid>
        <w:gridCol w:w="5229"/>
      </w:tblGrid>
      <w:tr w:rsidR="00000000">
        <w:tblPrEx>
          <w:tblCellMar>
            <w:top w:w="0" w:type="dxa"/>
            <w:bottom w:w="0" w:type="dxa"/>
          </w:tblCellMar>
        </w:tblPrEx>
        <w:trPr>
          <w:trHeight w:val="1300"/>
        </w:trPr>
        <w:tc>
          <w:tcPr>
            <w:tcW w:w="5229" w:type="dxa"/>
            <w:vAlign w:val="center"/>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rPr>
                <w:b/>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line="310" w:lineRule="exact"/>
              <w:jc w:val="center"/>
              <w:rPr>
                <w:b/>
                <w:sz w:val="28"/>
              </w:rPr>
            </w:pPr>
            <w:r>
              <w:rPr>
                <w:b/>
                <w:sz w:val="28"/>
              </w:rPr>
              <w:t>ЧАСТЬ ВТОРАЯ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line="270" w:lineRule="exact"/>
              <w:jc w:val="center"/>
              <w:rPr>
                <w:b/>
                <w:sz w:val="24"/>
              </w:rPr>
            </w:pPr>
            <w:r>
              <w:rPr>
                <w:b/>
                <w:sz w:val="24"/>
              </w:rPr>
              <w:t>Положения Конве</w:t>
            </w:r>
            <w:r>
              <w:rPr>
                <w:b/>
                <w:sz w:val="24"/>
              </w:rPr>
              <w:t>н</w:t>
            </w:r>
            <w:r>
              <w:rPr>
                <w:b/>
                <w:sz w:val="24"/>
              </w:rPr>
              <w:t>ции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rPr>
                <w:b/>
              </w:rPr>
            </w:pPr>
          </w:p>
        </w:tc>
      </w:tr>
    </w:tbl>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center"/>
        <w:rPr>
          <w:b/>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sz w:val="10"/>
          <w:lang w:val="en-US"/>
        </w:rPr>
      </w:pPr>
      <w:r>
        <w:br w:type="page"/>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310" w:lineRule="exact"/>
        <w:ind w:left="1267" w:right="1267"/>
        <w:jc w:val="center"/>
        <w:rPr>
          <w:b/>
          <w:sz w:val="28"/>
          <w:lang w:val="en-GB"/>
        </w:rPr>
      </w:pPr>
      <w:r>
        <w:rPr>
          <w:b/>
          <w:sz w:val="28"/>
        </w:rPr>
        <w:t>ПОЛОЖЕНИЕ ДЕЛ С ОГОВОРКАМИ ФРАНЦИИ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До настоящего времени сохраняются оговорки по некоторым подпунктам четырех статей Конвенции. В</w:t>
      </w:r>
      <w:r>
        <w:rPr>
          <w:lang w:val="en-US"/>
        </w:rPr>
        <w:t> </w:t>
      </w:r>
      <w:r>
        <w:t>то же время принятие в последнее время фра</w:t>
      </w:r>
      <w:r>
        <w:t>н</w:t>
      </w:r>
      <w:r>
        <w:t>цузским парламентом ряду законов способствовало развитию французского права по целому ряду затронутых вопросов.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rPr>
          <w:b/>
          <w:u w:val="single"/>
        </w:rPr>
      </w:pPr>
      <w:r>
        <w:sym w:font="Wingdings" w:char="F09F"/>
      </w:r>
      <w:r>
        <w:tab/>
      </w:r>
      <w:r>
        <w:rPr>
          <w:b/>
          <w:u w:val="single"/>
        </w:rPr>
        <w:t>Относительно общей оговорки к статье 5</w:t>
      </w:r>
      <w:r>
        <w:rPr>
          <w:b/>
          <w:u w:val="single"/>
          <w:lang w:val="en-GB"/>
        </w:rPr>
        <w:t>b</w:t>
      </w:r>
      <w:r>
        <w:rPr>
          <w:b/>
          <w:u w:val="single"/>
        </w:rPr>
        <w:t xml:space="preserve"> и статье 16</w:t>
      </w:r>
      <w:r>
        <w:rPr>
          <w:b/>
          <w:u w:val="single"/>
        </w:rPr>
        <w:noBreakHyphen/>
        <w:t>1</w:t>
      </w:r>
      <w:r>
        <w:rPr>
          <w:b/>
          <w:u w:val="single"/>
          <w:lang w:val="en-GB"/>
        </w:rPr>
        <w:t>d</w:t>
      </w:r>
      <w:r>
        <w:rPr>
          <w:b/>
          <w:u w:val="single"/>
        </w:rPr>
        <w:t>, касающе</w:t>
      </w:r>
      <w:r>
        <w:rPr>
          <w:b/>
          <w:u w:val="single"/>
        </w:rPr>
        <w:t>й</w:t>
      </w:r>
      <w:r>
        <w:rPr>
          <w:b/>
          <w:u w:val="single"/>
        </w:rPr>
        <w:t>ся общего осуществления родительских прав и обязанностей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Законом</w:t>
      </w:r>
      <w:r>
        <w:rPr>
          <w:lang w:val="en-US"/>
        </w:rPr>
        <w:t> </w:t>
      </w:r>
      <w:r>
        <w:t>№ 2002-305 от 4 марта 2002 года, касающимся прав и обязанн</w:t>
      </w:r>
      <w:r>
        <w:t>о</w:t>
      </w:r>
      <w:r>
        <w:t>стей родителей, вводятся равная ответственность обоих родителей по отнош</w:t>
      </w:r>
      <w:r>
        <w:t>е</w:t>
      </w:r>
      <w:r>
        <w:t>нию к своим детям и общие нормы совместного осуществления родительских прав и обязанностей независимо от семейного положения родителей с того м</w:t>
      </w:r>
      <w:r>
        <w:t>о</w:t>
      </w:r>
      <w:r>
        <w:t>мента, как происхождение ребенка от данных отца и матери устанавливается в течение года, следующего за его рождением. Закон также предусматривает возможность организации после развода родителей поочередного проживания ребенка у каждого из них, если это соответствует его интересам.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Таким образом, Франция, как представляется, добилась соответствия п</w:t>
      </w:r>
      <w:r>
        <w:t>о</w:t>
      </w:r>
      <w:r>
        <w:t>ложениям статьи 5</w:t>
      </w:r>
      <w:r>
        <w:rPr>
          <w:lang w:val="en-GB"/>
        </w:rPr>
        <w:t>b</w:t>
      </w:r>
      <w:r>
        <w:t>.</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sym w:font="Wingdings" w:char="F09F"/>
      </w:r>
      <w:r>
        <w:tab/>
      </w:r>
      <w:r>
        <w:rPr>
          <w:b/>
          <w:u w:val="single"/>
        </w:rPr>
        <w:t>Относительно технических оговорок к статье 14</w:t>
      </w:r>
      <w:r>
        <w:rPr>
          <w:b/>
          <w:u w:val="single"/>
        </w:rPr>
        <w:noBreakHyphen/>
        <w:t>2с и 14</w:t>
      </w:r>
      <w:r>
        <w:rPr>
          <w:b/>
          <w:u w:val="single"/>
        </w:rPr>
        <w:noBreakHyphen/>
        <w:t>2</w:t>
      </w:r>
      <w:r>
        <w:rPr>
          <w:b/>
          <w:u w:val="single"/>
          <w:lang w:val="en-GB"/>
        </w:rPr>
        <w:t>h</w:t>
      </w:r>
      <w:r>
        <w:rPr>
          <w:b/>
          <w:u w:val="single"/>
        </w:rPr>
        <w:t>, каса</w:t>
      </w:r>
      <w:r>
        <w:rPr>
          <w:b/>
          <w:u w:val="single"/>
        </w:rPr>
        <w:t>ю</w:t>
      </w:r>
      <w:r>
        <w:rPr>
          <w:b/>
          <w:u w:val="single"/>
        </w:rPr>
        <w:t>щихся женщин и</w:t>
      </w:r>
      <w:r>
        <w:rPr>
          <w:b/>
          <w:u w:val="single"/>
          <w:lang w:val="en-GB"/>
        </w:rPr>
        <w:t xml:space="preserve"> </w:t>
      </w:r>
      <w:r>
        <w:rPr>
          <w:b/>
          <w:u w:val="single"/>
        </w:rPr>
        <w:t>сельской местности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За рассматриваемый период в этой области не произошло никаких изм</w:t>
      </w:r>
      <w:r>
        <w:t>е</w:t>
      </w:r>
      <w:r>
        <w:t>нений.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987" w:right="1267" w:hanging="720"/>
        <w:jc w:val="both"/>
        <w:rPr>
          <w:b/>
          <w:u w:val="single"/>
        </w:rPr>
      </w:pPr>
      <w:r>
        <w:sym w:font="Wingdings" w:char="F09F"/>
      </w:r>
      <w:r>
        <w:tab/>
      </w:r>
      <w:r>
        <w:rPr>
          <w:b/>
          <w:u w:val="single"/>
        </w:rPr>
        <w:t>Относительно оговорки, касающейся статьи 16</w:t>
      </w:r>
      <w:r>
        <w:rPr>
          <w:b/>
          <w:u w:val="single"/>
        </w:rPr>
        <w:noBreakHyphen/>
        <w:t>1</w:t>
      </w:r>
      <w:r>
        <w:rPr>
          <w:b/>
          <w:u w:val="single"/>
          <w:lang w:val="en-GB"/>
        </w:rPr>
        <w:t>g</w:t>
      </w:r>
      <w:r>
        <w:rPr>
          <w:b/>
          <w:u w:val="single"/>
        </w:rPr>
        <w:t xml:space="preserve"> о выборе фамилии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Законом № 2002-304 от 4 марта 2002 года, касающимся фамилии, пред</w:t>
      </w:r>
      <w:r>
        <w:t>у</w:t>
      </w:r>
      <w:r>
        <w:t>сматривается, что родители могут отныне выбрать фамилию своего ребенка путем совместного письменного заявления, которое вручается служащему, в</w:t>
      </w:r>
      <w:r>
        <w:t>е</w:t>
      </w:r>
      <w:r>
        <w:t>дающему актами гражданского состояния. Таковой может быть либо фамилия отца, либо фамилия матери, либо обе их фамилии в порядке, который они в</w:t>
      </w:r>
      <w:r>
        <w:t>ы</w:t>
      </w:r>
      <w:r>
        <w:t>бирают по собственному усмотрению при условии одной фамилии для каждого из них. Фамилия, данная первому ребенку четы родителей, остается за всеми будущими общими детьми. В</w:t>
      </w:r>
      <w:r>
        <w:rPr>
          <w:lang w:val="en-US"/>
        </w:rPr>
        <w:t> </w:t>
      </w:r>
      <w:r>
        <w:t>то же время при отсутствии выбора со стороны родителей и в случае несогласия между ними ребенок автоматически получает фамилию своего отца.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rPr>
          <w:b/>
          <w:u w:val="single"/>
        </w:rPr>
      </w:pPr>
      <w:r>
        <w:sym w:font="Wingdings" w:char="F09F"/>
      </w:r>
      <w:r>
        <w:tab/>
      </w:r>
      <w:r>
        <w:rPr>
          <w:b/>
          <w:u w:val="single"/>
        </w:rPr>
        <w:t>Относительно оговорки к статье 29 о способе урегулирования споров, к</w:t>
      </w:r>
      <w:r>
        <w:rPr>
          <w:b/>
          <w:u w:val="single"/>
        </w:rPr>
        <w:t>а</w:t>
      </w:r>
      <w:r>
        <w:rPr>
          <w:b/>
          <w:u w:val="single"/>
        </w:rPr>
        <w:t>сающихся</w:t>
      </w:r>
      <w:r>
        <w:rPr>
          <w:b/>
          <w:u w:val="single"/>
          <w:lang w:val="en-GB"/>
        </w:rPr>
        <w:t xml:space="preserve"> </w:t>
      </w:r>
      <w:r>
        <w:rPr>
          <w:b/>
          <w:u w:val="single"/>
        </w:rPr>
        <w:t>применения и толкования Конвенции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За рассматриваемый период в этой области не произошло никаких изм</w:t>
      </w:r>
      <w:r>
        <w:t>е</w:t>
      </w:r>
      <w:r>
        <w:t>нений.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sz w:val="10"/>
          <w:lang w:val="en-US"/>
        </w:rPr>
      </w:pPr>
      <w:r>
        <w:br w:type="page"/>
      </w: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310" w:lineRule="exact"/>
        <w:ind w:left="1267" w:right="1267"/>
        <w:jc w:val="center"/>
        <w:rPr>
          <w:b/>
          <w:sz w:val="28"/>
        </w:rPr>
      </w:pPr>
      <w:r>
        <w:rPr>
          <w:b/>
          <w:sz w:val="28"/>
        </w:rPr>
        <w:t>СТАТЬЯ 1</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center"/>
        <w:rPr>
          <w:b/>
          <w:i/>
          <w:sz w:val="24"/>
        </w:rPr>
      </w:pPr>
      <w:r>
        <w:rPr>
          <w:b/>
          <w:i/>
          <w:sz w:val="24"/>
        </w:rPr>
        <w:t>Борьба против дискриминации:</w:t>
      </w:r>
      <w:r>
        <w:rPr>
          <w:b/>
          <w:i/>
          <w:sz w:val="24"/>
          <w:lang w:val="en-US"/>
        </w:rPr>
        <w:t xml:space="preserve"> </w:t>
      </w:r>
      <w:r>
        <w:rPr>
          <w:b/>
          <w:i/>
          <w:sz w:val="24"/>
        </w:rPr>
        <w:t>эффективное использование документов,</w:t>
      </w:r>
      <w:r>
        <w:rPr>
          <w:b/>
          <w:i/>
          <w:sz w:val="24"/>
          <w:lang w:val="en-US"/>
        </w:rPr>
        <w:t xml:space="preserve"> </w:t>
      </w:r>
      <w:r>
        <w:rPr>
          <w:b/>
          <w:i/>
          <w:sz w:val="24"/>
        </w:rPr>
        <w:t>позволяющих вести борьбу против дискримин</w:t>
      </w:r>
      <w:r>
        <w:rPr>
          <w:b/>
          <w:i/>
          <w:sz w:val="24"/>
        </w:rPr>
        <w:t>а</w:t>
      </w:r>
      <w:r>
        <w:rPr>
          <w:b/>
          <w:i/>
          <w:sz w:val="24"/>
        </w:rPr>
        <w:t>ции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Франция принимает активное участие в европейских инициативах в о</w:t>
      </w:r>
      <w:r>
        <w:t>б</w:t>
      </w:r>
      <w:r>
        <w:t>ласти борьбы с дискриминацией, проводя одновременно соответствующую п</w:t>
      </w:r>
      <w:r>
        <w:t>о</w:t>
      </w:r>
      <w:r>
        <w:t>литику на национальном уровне.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sz w:val="24"/>
        </w:rPr>
      </w:pPr>
      <w:r>
        <w:rPr>
          <w:b/>
          <w:i/>
          <w:sz w:val="24"/>
        </w:rPr>
        <w:t>1.</w:t>
      </w:r>
      <w:r>
        <w:rPr>
          <w:b/>
          <w:i/>
          <w:sz w:val="24"/>
        </w:rPr>
        <w:tab/>
        <w:t>Оборотная сторона равенства: дискриминация</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рамках Европейского союза на основе статьи 13 Амстердамского дог</w:t>
      </w:r>
      <w:r>
        <w:t>о</w:t>
      </w:r>
      <w:r>
        <w:t>вора о Европейском союзе были приняты две директивы</w:t>
      </w:r>
      <w:r>
        <w:rPr>
          <w:rStyle w:val="FootnoteReference"/>
        </w:rPr>
        <w:footnoteReference w:id="2"/>
      </w:r>
      <w:r>
        <w:t xml:space="preserve"> и программа дейс</w:t>
      </w:r>
      <w:r>
        <w:t>т</w:t>
      </w:r>
      <w:r>
        <w:t>вий. Первый из этих документов касается осуществления принципа равенства обращения между людьми без различия по признаку расы или этнического происхождения, а второй</w:t>
      </w:r>
      <w:r>
        <w:rPr>
          <w:lang w:val="en-US"/>
        </w:rPr>
        <w:t> </w:t>
      </w:r>
      <w:r>
        <w:t>-</w:t>
      </w:r>
      <w:r>
        <w:rPr>
          <w:lang w:val="en-US"/>
        </w:rPr>
        <w:t> </w:t>
      </w:r>
      <w:r>
        <w:t>создания общей основы для обеспечения равного обращения в сфере занятости и труда. Эти директивы не посвящены непосре</w:t>
      </w:r>
      <w:r>
        <w:t>д</w:t>
      </w:r>
      <w:r>
        <w:t>ственно дискриминации по признаку пола, однако обеспечение равенства ме</w:t>
      </w:r>
      <w:r>
        <w:t>ж</w:t>
      </w:r>
      <w:r>
        <w:t>ду мужчинами и женщинами рассматривается в качестве сквозной задачи. Ан</w:t>
      </w:r>
      <w:r>
        <w:t>а</w:t>
      </w:r>
      <w:r>
        <w:t>логичным образом в программе действий Сообщества в области борьбы против дискриминации говорится о необходимости борьбы против дискриминации, "в том числе дискриминации, затрагивающей различные аспекты".</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Дискриминация по признаку пола непосредственно рассматривалась в д</w:t>
      </w:r>
      <w:r>
        <w:t>и</w:t>
      </w:r>
      <w:r>
        <w:t>рективе, в которой впервые давалось определение косвенной дискриминации и затрагивался вопрос об изменении бремени доказывания: директиве</w:t>
      </w:r>
      <w:r>
        <w:rPr>
          <w:lang w:val="en-US"/>
        </w:rPr>
        <w:t> </w:t>
      </w:r>
      <w:r>
        <w:t>97/80 С</w:t>
      </w:r>
      <w:r>
        <w:t>о</w:t>
      </w:r>
      <w:r>
        <w:t>вета от 15 декабря 1997 года, касающейся бремени доказывания в делах о ди</w:t>
      </w:r>
      <w:r>
        <w:t>с</w:t>
      </w:r>
      <w:r>
        <w:t>криминации по признаку пола. Кроме того, в настоящее время продолжается работа по пересмотру директивы 76/207, касающейся равных условий для мужчин и женщин в том, что касается доступа к занятости, профессиональной подготовки и продвижения по службе, а</w:t>
      </w:r>
      <w:r>
        <w:rPr>
          <w:lang w:val="en-US"/>
        </w:rPr>
        <w:t> </w:t>
      </w:r>
      <w:r>
        <w:t>также условий труда и вводящей, в ч</w:t>
      </w:r>
      <w:r>
        <w:t>а</w:t>
      </w:r>
      <w:r>
        <w:t>стности, определения прямой и косвенной дискриминации, а также сексизма и сексуального домогательства.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На</w:t>
      </w:r>
      <w:r>
        <w:rPr>
          <w:lang w:val="en-US"/>
        </w:rPr>
        <w:t> </w:t>
      </w:r>
      <w:r>
        <w:t>национальном уровне, если брать более недавний период, в зак</w:t>
      </w:r>
      <w:r>
        <w:t>о</w:t>
      </w:r>
      <w:r>
        <w:t>не</w:t>
      </w:r>
      <w:r>
        <w:rPr>
          <w:lang w:val="en-US"/>
        </w:rPr>
        <w:t> </w:t>
      </w:r>
      <w:r>
        <w:t>№ 2001-1066 от 16 ноября 2001 года, касающемся борьбы против дискрим</w:t>
      </w:r>
      <w:r>
        <w:t>и</w:t>
      </w:r>
      <w:r>
        <w:t>нации, которым вводятся в действие положения директивы 97/80, предусма</w:t>
      </w:r>
      <w:r>
        <w:t>т</w:t>
      </w:r>
      <w:r>
        <w:t>ривается регламентация бремени доказывания во всех случаях дискриминации, будь то прямой или косвенной, по признаку пола, а также в случае дискрим</w:t>
      </w:r>
      <w:r>
        <w:t>и</w:t>
      </w:r>
      <w:r>
        <w:t>нации в области занятости. Этим законом запрещается дискриминация в отн</w:t>
      </w:r>
      <w:r>
        <w:t>о</w:t>
      </w:r>
      <w:r>
        <w:t>шении доступа к занятости или профессиональной подготовке. Кроме того, к основаниям дискриминации, уже включенным в Кодекс законов о труде (пр</w:t>
      </w:r>
      <w:r>
        <w:t>о</w:t>
      </w:r>
      <w:r>
        <w:t>исхождение, пол, обычаи, семейное положение, этническая, национальная или расовая принадлежность, политические взгляды, профсоюзная деятельность или деятельность по линии касс взаимопомощи, религиозные убеждения, с</w:t>
      </w:r>
      <w:r>
        <w:t>о</w:t>
      </w:r>
      <w:r>
        <w:t>стояние здоровья или инвалидность), были добавлены сексуальная ориентация, возраст, внешность и фамилия.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Во</w:t>
      </w:r>
      <w:r>
        <w:rPr>
          <w:lang w:val="en-US"/>
        </w:rPr>
        <w:t> </w:t>
      </w:r>
      <w:r>
        <w:t>французском позитивном праве дискриминация определяется как ра</w:t>
      </w:r>
      <w:r>
        <w:t>з</w:t>
      </w:r>
      <w:r>
        <w:t>личие, независимо от его характера, проводимое между физическими или юр</w:t>
      </w:r>
      <w:r>
        <w:t>и</w:t>
      </w:r>
      <w:r>
        <w:t>дическими лицами на различных основаниях, перечисленных в статье</w:t>
      </w:r>
      <w:r>
        <w:rPr>
          <w:lang w:val="en-US"/>
        </w:rPr>
        <w:t> </w:t>
      </w:r>
      <w:r>
        <w:t>225-1</w:t>
      </w:r>
      <w:r>
        <w:rPr>
          <w:rStyle w:val="FootnoteReference"/>
        </w:rPr>
        <w:footnoteReference w:id="3"/>
      </w:r>
      <w:r>
        <w:t xml:space="preserve"> Уголовного кодекса, и применяющееся в отношении областей, ограничительно определенных в статье 225-2 Уголовного кодекса, таких, как наем, увольнение, предоставление товаров и услуг или экономическая деятельность. Согласно этому определению, дискриминация является добровольном актом, ключевое значение в котором имеет умышленность действия. В</w:t>
      </w:r>
      <w:r>
        <w:rPr>
          <w:lang w:val="en-US"/>
        </w:rPr>
        <w:t> </w:t>
      </w:r>
      <w:r>
        <w:t>Кодексе законов о труде имеется ряд статей, в которых запрещается дискриминация, но в то же время не дается ее определение, и сфера применения которых является более шир</w:t>
      </w:r>
      <w:r>
        <w:t>о</w:t>
      </w:r>
      <w:r>
        <w:t>кой, нежели сфера применения соответствующих положений уголовного права. В</w:t>
      </w:r>
      <w:r>
        <w:rPr>
          <w:lang w:val="en-US"/>
        </w:rPr>
        <w:t> </w:t>
      </w:r>
      <w:r>
        <w:t>нем, например, рассматривается дискриминация, касающаяся продвижения по службе лиц наемного труда.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Этот юридический механизм борьбы против дискриминации до недавнего времени не получал реального применения как в области уголовного, так и в области гражданского судопроизводства в силу недостаточного использования правовых норм и трудностей, связанных с бременем доказывания.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Таким образом, внутригосударственное право официально закрепляет р</w:t>
      </w:r>
      <w:r>
        <w:t>а</w:t>
      </w:r>
      <w:r>
        <w:t>венство, предполагающее отсутствие любой дискриминации на каком бы то ни было основании. Тем не менее это официальное и абстрактное закрепление принципа равенства странным образом сосуществует с появлением конкретных случаев неравенства и дискриминации. Они вытекают, скорее, не из намерения подвергнуть дискриминации, а из социальных и экономических процессов, к</w:t>
      </w:r>
      <w:r>
        <w:t>о</w:t>
      </w:r>
      <w:r>
        <w:t>торые не всегда четко прослеживаются.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Таким образом, для эффективной реализации принципа равенства между мужчинами и женщинами, являющегося основой общественного договора, тр</w:t>
      </w:r>
      <w:r>
        <w:t>е</w:t>
      </w:r>
      <w:r>
        <w:t>буется, чтобы условия этого договора были проверены социальными реалиями, чтобы тем самым конкретно убедиться в отсутствии всякой дискриминации во всех областях общественной жизни. Это, в частности, подразумевает принятие любых позитивных мер, как нормативных, так и иного характера, в целях и</w:t>
      </w:r>
      <w:r>
        <w:t>с</w:t>
      </w:r>
      <w:r>
        <w:t>правления случаев фактического неравенства.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sz w:val="24"/>
        </w:rPr>
      </w:pPr>
      <w:r>
        <w:rPr>
          <w:b/>
          <w:i/>
          <w:sz w:val="24"/>
        </w:rPr>
        <w:t>2.</w:t>
      </w:r>
      <w:r>
        <w:rPr>
          <w:b/>
          <w:i/>
          <w:sz w:val="24"/>
        </w:rPr>
        <w:tab/>
        <w:t>Дискриминация: последовательная работа по выработке определения с использованием различных, но однонапра</w:t>
      </w:r>
      <w:r>
        <w:rPr>
          <w:b/>
          <w:i/>
          <w:sz w:val="24"/>
        </w:rPr>
        <w:t>в</w:t>
      </w:r>
      <w:r>
        <w:rPr>
          <w:b/>
          <w:i/>
          <w:sz w:val="24"/>
        </w:rPr>
        <w:t>ленных подходов</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rPr>
          <w:i/>
        </w:rPr>
        <w:t>Прямая дискриминация</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Четкое определение прямой дискриминации было впервые дано в дире</w:t>
      </w:r>
      <w:r>
        <w:t>к</w:t>
      </w:r>
      <w:r>
        <w:t>тиве от 29 июня 2000 года, касающейся осуществления принципа равного о</w:t>
      </w:r>
      <w:r>
        <w:t>б</w:t>
      </w:r>
      <w:r>
        <w:t>ращения с людьми без различия расы или этнического происхождения: "прямая дискриминация имеет место тогда, когда какое-либо лицо по причине его расы или этнического происхождения получает менее благоприятное обращение, чем какое-либо другое лицо в настоящем, прошлом или будущем в сопостав</w:t>
      </w:r>
      <w:r>
        <w:t>и</w:t>
      </w:r>
      <w:r>
        <w:t>мой ситуации". Это определение прямой дискриминации дается в документе, связанном с дискриминацией по признаку расы или этнического происхожд</w:t>
      </w:r>
      <w:r>
        <w:t>е</w:t>
      </w:r>
      <w:r>
        <w:t>ния, и воспроизводится в директиве от 27 ноября 2000 года, касающейся созд</w:t>
      </w:r>
      <w:r>
        <w:t>а</w:t>
      </w:r>
      <w:r>
        <w:t>ния общих условий по обеспечению равного режима в области трудоустройс</w:t>
      </w:r>
      <w:r>
        <w:t>т</w:t>
      </w:r>
      <w:r>
        <w:t>ва и в сфере труда, документе, посвященном, в частности, дискриминации по пр</w:t>
      </w:r>
      <w:r>
        <w:t>и</w:t>
      </w:r>
      <w:r>
        <w:t>знаку сексуальной ориентации, возраста или инвалидности.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Это определение, в основе которого лежит разница в обращении в ущерб какому-либо лицу или группе лиц, является новым по своему характеру в силу того, что оно учитывает ситуации, которые существуют, имели место в пр</w:t>
      </w:r>
      <w:r>
        <w:t>о</w:t>
      </w:r>
      <w:r>
        <w:t>шлом и могут иметь место в будущем.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В юридической науке был постепенно разработан такой подход к дискр</w:t>
      </w:r>
      <w:r>
        <w:t>и</w:t>
      </w:r>
      <w:r>
        <w:t>минации, при котором принимаются во внимание последствия проводимого различия в отношении лиц или групп лиц. Такой подход позволяет также охв</w:t>
      </w:r>
      <w:r>
        <w:t>а</w:t>
      </w:r>
      <w:r>
        <w:t>тить все ситуации с участием как отдельных лиц, так и групп лиц, при которых могут быть выявлены практика или процессы (носящие часто косвенный х</w:t>
      </w:r>
      <w:r>
        <w:t>а</w:t>
      </w:r>
      <w:r>
        <w:t>рактер) проведения различия или отбора под маской отсутствия намерения проводить дискриминацию. В</w:t>
      </w:r>
      <w:r>
        <w:rPr>
          <w:lang w:val="en-US"/>
        </w:rPr>
        <w:t> </w:t>
      </w:r>
      <w:r>
        <w:t>качестве примера можно привести постоянный разрыв в уровне оплаты труда между женщинами и мужчинами (соответс</w:t>
      </w:r>
      <w:r>
        <w:t>т</w:t>
      </w:r>
      <w:r>
        <w:t>вующий среднемировой показатель составляет около 25%), объясняющийся частично структурой занятости (концентрацией женщин в некоторых секторах и среди некоторых категорий служащих), а также занятостью неполный раб</w:t>
      </w:r>
      <w:r>
        <w:t>о</w:t>
      </w:r>
      <w:r>
        <w:t>чий день, характерной главным образом для женщин, следствием которой явл</w:t>
      </w:r>
      <w:r>
        <w:t>я</w:t>
      </w:r>
      <w:r>
        <w:t>ется значительная концентрация женщин на низкооплачиваемых работах.</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i/>
        </w:rPr>
      </w:pPr>
      <w:r>
        <w:rPr>
          <w:i/>
        </w:rPr>
        <w:t>Косвенная дискриминация</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Согласно постоянной практике Суда европейских сообществ впервые з</w:t>
      </w:r>
      <w:r>
        <w:t>а</w:t>
      </w:r>
      <w:r>
        <w:t>крепленной в директиве от 15 декабря 1997 года, касающейся бремени доказ</w:t>
      </w:r>
      <w:r>
        <w:t>ы</w:t>
      </w:r>
      <w:r>
        <w:t>вания в случаях дискриминации по признаку пола, косвенная дискриминация "существует тогда, когда на первый взгляд нейтральное положение, критерий или практика затрагивают большее число лиц одного пола, за исключением тех случаев, когда это положение, критерий или практика являются надлежащими и необходимыми и могут быть оправданы объективными факторами, не зав</w:t>
      </w:r>
      <w:r>
        <w:t>и</w:t>
      </w:r>
      <w:r>
        <w:t>сящими от пола заинтересованных лиц".</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Подобное определение наделяет судью важнейшими средствами для того, чтобы определить наличие дискриминации, которая имеет место, но не проя</w:t>
      </w:r>
      <w:r>
        <w:t>в</w:t>
      </w:r>
      <w:r>
        <w:t>ляется в явной форме. В</w:t>
      </w:r>
      <w:r>
        <w:rPr>
          <w:lang w:val="en-US"/>
        </w:rPr>
        <w:t> </w:t>
      </w:r>
      <w:r>
        <w:t>результате у него появится возможность проверить, несмотря на внешнее равенство в обращении, связанное с той или иной мерой или тем или иным механизмом, их конкретное воздействие на соответству</w:t>
      </w:r>
      <w:r>
        <w:t>ю</w:t>
      </w:r>
      <w:r>
        <w:t>щую группу лиц. Для</w:t>
      </w:r>
      <w:r>
        <w:rPr>
          <w:lang w:val="en-US"/>
        </w:rPr>
        <w:t> </w:t>
      </w:r>
      <w:r>
        <w:t>этого подхода характерно проведение сравнительного анализа, а конкретно для случаев дискриминации по признакам пола</w:t>
      </w:r>
      <w:r>
        <w:rPr>
          <w:lang w:val="en-US"/>
        </w:rPr>
        <w:t> </w:t>
      </w:r>
      <w:r>
        <w:t>-</w:t>
      </w:r>
      <w:r>
        <w:rPr>
          <w:lang w:val="en-US"/>
        </w:rPr>
        <w:t> </w:t>
      </w:r>
      <w:r>
        <w:t>количественного анализа. Речь, в частности, идет о том, чтобы проверить д</w:t>
      </w:r>
      <w:r>
        <w:t>о</w:t>
      </w:r>
      <w:r>
        <w:t>лю женщин, на которых негативно сказалась какая-либо мера, принятая в о</w:t>
      </w:r>
      <w:r>
        <w:t>т</w:t>
      </w:r>
      <w:r>
        <w:t>ношении группы мужчин, находящихся в аналогичной ситуации.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Кстати, этот логика умозаключений в отношении косвенной дискримин</w:t>
      </w:r>
      <w:r>
        <w:t>а</w:t>
      </w:r>
      <w:r>
        <w:t>ции была применена французским судьей, в частности, в постановлении Ка</w:t>
      </w:r>
      <w:r>
        <w:t>с</w:t>
      </w:r>
      <w:r>
        <w:t>сационного суда от 12 февраля 1997 года по делу ООО "Юзэ Шампиньон" пр</w:t>
      </w:r>
      <w:r>
        <w:t>о</w:t>
      </w:r>
      <w:r>
        <w:t>тив г</w:t>
      </w:r>
      <w:r>
        <w:rPr>
          <w:lang w:val="en-US"/>
        </w:rPr>
        <w:noBreakHyphen/>
      </w:r>
      <w:r>
        <w:t>жи</w:t>
      </w:r>
      <w:r>
        <w:rPr>
          <w:lang w:val="en-US"/>
        </w:rPr>
        <w:t> </w:t>
      </w:r>
      <w:r>
        <w:t>Дуар и г</w:t>
      </w:r>
      <w:r>
        <w:rPr>
          <w:lang w:val="en-US"/>
        </w:rPr>
        <w:noBreakHyphen/>
      </w:r>
      <w:r>
        <w:t>жи</w:t>
      </w:r>
      <w:r>
        <w:rPr>
          <w:lang w:val="en-US"/>
        </w:rPr>
        <w:t> </w:t>
      </w:r>
      <w:r>
        <w:t>Додель. В</w:t>
      </w:r>
      <w:r>
        <w:rPr>
          <w:lang w:val="en-US"/>
        </w:rPr>
        <w:t> </w:t>
      </w:r>
      <w:r>
        <w:t>данном случае эти две женщины возражали против различия в почасовой заработной плате между ними и мужчиной-грузчиком. Палата по рассмотрению социальных дел Кассационного суда строила свой анализ не на традиционном сравнении работников из числа му</w:t>
      </w:r>
      <w:r>
        <w:t>ж</w:t>
      </w:r>
      <w:r>
        <w:t>чин и женщин, взятых в отдельности, а сопоставила положение в области зар</w:t>
      </w:r>
      <w:r>
        <w:t>а</w:t>
      </w:r>
      <w:r>
        <w:t>ботной платы двух отдельных групп: группы грузчиков, занимающихся сорт</w:t>
      </w:r>
      <w:r>
        <w:t>и</w:t>
      </w:r>
      <w:r>
        <w:t>ровкой грибов, где большинство составляют женщины, с одной стороны, и группы грузчиков, занимающихся погрузкой и выгрузкой ящиков, состоящей из рабочих</w:t>
      </w:r>
      <w:r>
        <w:rPr>
          <w:lang w:val="en-US"/>
        </w:rPr>
        <w:noBreakHyphen/>
      </w:r>
      <w:r>
        <w:t>мужчин, с другой. На</w:t>
      </w:r>
      <w:r>
        <w:rPr>
          <w:lang w:val="en-US"/>
        </w:rPr>
        <w:t> </w:t>
      </w:r>
      <w:r>
        <w:t>основании статистического анализа высшая с</w:t>
      </w:r>
      <w:r>
        <w:t>у</w:t>
      </w:r>
      <w:r>
        <w:t>дебная инстанция постановила, что апелляционный суд обоснованно принял решение о том, что "мужчины, занимающие ту же должность грузчиков, что и женщины, систематически получали более высокую заработную плату".</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w:t>
      </w:r>
      <w:r>
        <w:rPr>
          <w:lang w:val="en-US"/>
        </w:rPr>
        <w:t> </w:t>
      </w:r>
      <w:r>
        <w:t>пересмотренной директиве 76/207 применительно к определению ко</w:t>
      </w:r>
      <w:r>
        <w:t>с</w:t>
      </w:r>
      <w:r>
        <w:t>венной дискриминации по примеру двух директив</w:t>
      </w:r>
      <w:r>
        <w:rPr>
          <w:lang w:val="en-US"/>
        </w:rPr>
        <w:t xml:space="preserve"> </w:t>
      </w:r>
      <w:r>
        <w:t>2000 года во главу угла ст</w:t>
      </w:r>
      <w:r>
        <w:t>а</w:t>
      </w:r>
      <w:r>
        <w:t>вится качественный подход. В</w:t>
      </w:r>
      <w:r>
        <w:rPr>
          <w:lang w:val="en-US"/>
        </w:rPr>
        <w:t> </w:t>
      </w:r>
      <w:r>
        <w:t>законе от 17 ноября 2001 года, касающемся борьбы против дискриминации, определение косвенной дискриминации не д</w:t>
      </w:r>
      <w:r>
        <w:t>а</w:t>
      </w:r>
      <w:r>
        <w:t>ется. Таким образом, как это следует из эволюции судебной практики Суда е</w:t>
      </w:r>
      <w:r>
        <w:t>в</w:t>
      </w:r>
      <w:r>
        <w:t>ропейских сообществ, по-видимому, возможны оба подхода</w:t>
      </w:r>
      <w:r>
        <w:rPr>
          <w:lang w:val="en-US"/>
        </w:rPr>
        <w:t> </w:t>
      </w:r>
      <w:r>
        <w:t>-</w:t>
      </w:r>
      <w:r>
        <w:rPr>
          <w:lang w:val="en-US"/>
        </w:rPr>
        <w:t> </w:t>
      </w:r>
      <w:r>
        <w:t>как количестве</w:t>
      </w:r>
      <w:r>
        <w:t>н</w:t>
      </w:r>
      <w:r>
        <w:t>ный, так и качественный.</w:t>
      </w:r>
    </w:p>
    <w:p w:rsidR="00000000" w:rsidRDefault="00000000">
      <w:pPr>
        <w:pStyle w:val="SingleTxt"/>
        <w:spacing w:after="0" w:line="180" w:lineRule="auto"/>
        <w:rPr>
          <w:sz w:val="10"/>
          <w:lang w:val="en-US"/>
        </w:rPr>
      </w:pPr>
      <w:r>
        <w:rPr>
          <w:b/>
        </w:rPr>
        <w:br w:type="page"/>
      </w: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310" w:lineRule="exact"/>
        <w:ind w:left="1267" w:right="1267"/>
        <w:jc w:val="center"/>
        <w:rPr>
          <w:b/>
          <w:sz w:val="32"/>
        </w:rPr>
      </w:pPr>
      <w:r>
        <w:rPr>
          <w:b/>
          <w:sz w:val="32"/>
        </w:rPr>
        <w:t>СТАТЬИ 2 И 3</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center"/>
        <w:rPr>
          <w:b/>
          <w:i/>
          <w:sz w:val="24"/>
        </w:rPr>
      </w:pPr>
      <w:r>
        <w:rPr>
          <w:b/>
          <w:i/>
          <w:sz w:val="24"/>
        </w:rPr>
        <w:t>Улучшение положения женщин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sz w:val="24"/>
        </w:rPr>
      </w:pPr>
      <w:r>
        <w:rPr>
          <w:b/>
          <w:sz w:val="24"/>
          <w:lang w:val="en-GB"/>
        </w:rPr>
        <w:t>I</w:t>
      </w:r>
      <w:r>
        <w:rPr>
          <w:b/>
          <w:sz w:val="24"/>
        </w:rPr>
        <w:t>.</w:t>
      </w:r>
      <w:r>
        <w:rPr>
          <w:b/>
          <w:sz w:val="24"/>
        </w:rPr>
        <w:tab/>
      </w:r>
      <w:r>
        <w:rPr>
          <w:b/>
          <w:sz w:val="24"/>
          <w:u w:val="single"/>
        </w:rPr>
        <w:t>Активная политика, направленная на расширение прав женщин и содействие равенству между женщинами и мужчинами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Активная политика правительства в области расширения прав женщин и содействия равенству между женщинами и мужчинами в общественной, эк</w:t>
      </w:r>
      <w:r>
        <w:t>о</w:t>
      </w:r>
      <w:r>
        <w:t>номической и политической жизни страны осуществляется в соответствии с приоритетными направлениями действий, намеченными 8 марта 2000 года Межведомственным комитетом по правам женщин. В</w:t>
      </w:r>
      <w:r>
        <w:rPr>
          <w:lang w:val="en-US"/>
        </w:rPr>
        <w:t> </w:t>
      </w:r>
      <w:r>
        <w:t>основе осуществления этой политики обеспечения равенства лежит двойной подход, имеющий общую и конкретную составляющие. Общий подход, основывающийся на межведо</w:t>
      </w:r>
      <w:r>
        <w:t>м</w:t>
      </w:r>
      <w:r>
        <w:t>ственных партнерских отношениях, предполагает учет потребностей мужчин и женщин с момента разработки государственной политики. Он</w:t>
      </w:r>
      <w:r>
        <w:rPr>
          <w:lang w:val="en-US"/>
        </w:rPr>
        <w:t xml:space="preserve"> </w:t>
      </w:r>
      <w:r>
        <w:t>дополняется конкретным подходом, то есть разработкой и осуществлением позитивных мер в отношении женщин в целях установления фактического равенства между женщинами и мужчинами.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результате правительство выбрало три направления действий, в основе которых являются, в частности, рекомендации, принятые государств</w:t>
      </w:r>
      <w:r>
        <w:t>а</w:t>
      </w:r>
      <w:r>
        <w:t>ми</w:t>
      </w:r>
      <w:r>
        <w:rPr>
          <w:lang w:val="en-US"/>
        </w:rPr>
        <w:noBreakHyphen/>
      </w:r>
      <w:r>
        <w:t>членами на четвертой Всемирной конференции по положению женщин. Эти три направления деятельности призваны поощрять и укреплять де</w:t>
      </w:r>
      <w:r>
        <w:rPr>
          <w:lang w:val="en-US"/>
        </w:rPr>
        <w:noBreakHyphen/>
      </w:r>
      <w:r>
        <w:t>юре и де</w:t>
      </w:r>
      <w:r>
        <w:rPr>
          <w:lang w:val="en-US"/>
        </w:rPr>
        <w:noBreakHyphen/>
      </w:r>
      <w:r>
        <w:t>факто равенство между женщинами и мужчинами на национальном уровне:</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sym w:font="Wingdings" w:char="F0D8"/>
      </w:r>
      <w:r>
        <w:tab/>
        <w:t>равенство в политической области, а также на государственной службе, в ра</w:t>
      </w:r>
      <w:r>
        <w:t>м</w:t>
      </w:r>
      <w:r>
        <w:t>ках общественных организаций и профсоюзов;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sym w:font="Wingdings" w:char="F0D8"/>
      </w:r>
      <w:r>
        <w:tab/>
        <w:t>профессиональное равенство, вклад женщин в экономическую деятел</w:t>
      </w:r>
      <w:r>
        <w:t>ь</w:t>
      </w:r>
      <w:r>
        <w:t>ность и более эффективное управление временем как фактором жизни;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sym w:font="Wingdings" w:char="F0D8"/>
      </w:r>
      <w:r>
        <w:tab/>
        <w:t>повышение роли женщин в культурной жизни и обеспечение доступа к таким основным правам, как права, касающиеся контрацепции, добр</w:t>
      </w:r>
      <w:r>
        <w:t>о</w:t>
      </w:r>
      <w:r>
        <w:t>вольного пр</w:t>
      </w:r>
      <w:r>
        <w:t>е</w:t>
      </w:r>
      <w:r>
        <w:t>рывания беременности и борьбы против насилия.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При выполнении этих задач правительство придерживается политики расширения прав женщин и обеспечения равенства между женщинами и му</w:t>
      </w:r>
      <w:r>
        <w:t>ж</w:t>
      </w:r>
      <w:r>
        <w:t>чинами. Оно использовало сочетание двух важнейших факторов для осущест</w:t>
      </w:r>
      <w:r>
        <w:t>в</w:t>
      </w:r>
      <w:r>
        <w:t>ления государственной политики в области обеспечения равенства, каковыми являются применение средств, находящихся в распоряжении государства, и эффективное приобщение частных лиц к борьбе против дискриминации.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Кроме того, в отношении женщин-иммигрантов или вышедших из среды иммигрантов будут разрабатываться также конкретные меры, поскольку же</w:t>
      </w:r>
      <w:r>
        <w:t>н</w:t>
      </w:r>
      <w:r>
        <w:t>щины иностранного происхождения могут являться объектом двойной дискр</w:t>
      </w:r>
      <w:r>
        <w:t>и</w:t>
      </w:r>
      <w:r>
        <w:t>минации.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sz w:val="24"/>
        </w:rPr>
      </w:pPr>
      <w:r>
        <w:rPr>
          <w:b/>
          <w:sz w:val="24"/>
          <w:lang w:val="en-GB"/>
        </w:rPr>
        <w:t>II.</w:t>
      </w:r>
      <w:r>
        <w:rPr>
          <w:b/>
          <w:sz w:val="24"/>
          <w:lang w:val="en-GB"/>
        </w:rPr>
        <w:tab/>
      </w:r>
      <w:r>
        <w:rPr>
          <w:b/>
          <w:sz w:val="24"/>
          <w:u w:val="single"/>
        </w:rPr>
        <w:t>Увеличение арсенала средств, применяемых государством для обеспечения равенства между мужчинами и женщ</w:t>
      </w:r>
      <w:r>
        <w:rPr>
          <w:b/>
          <w:sz w:val="24"/>
          <w:u w:val="single"/>
        </w:rPr>
        <w:t>и</w:t>
      </w:r>
      <w:r>
        <w:rPr>
          <w:b/>
          <w:sz w:val="24"/>
          <w:u w:val="single"/>
        </w:rPr>
        <w:t>нами</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keepNext/>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i/>
          <w:sz w:val="24"/>
        </w:rPr>
      </w:pPr>
      <w:r>
        <w:rPr>
          <w:b/>
          <w:i/>
          <w:sz w:val="24"/>
        </w:rPr>
        <w:t>1.</w:t>
      </w:r>
      <w:r>
        <w:rPr>
          <w:b/>
          <w:i/>
          <w:sz w:val="24"/>
        </w:rPr>
        <w:tab/>
        <w:t>Изменения работы статистических служб государства</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keepNext/>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циркуляре от 8 марта 2000 года премьер-министр обратился к местным органам власти с просьбой изменить работу своих статистических служб, чт</w:t>
      </w:r>
      <w:r>
        <w:t>о</w:t>
      </w:r>
      <w:r>
        <w:t>бы повысить информированность о соответствующем положении мужчин и женщин, и возложил координацию этой работы на Национальный институт статистики и экономических исследований (ИНСЕЕ). Отныне на ИНСЕЕ во</w:t>
      </w:r>
      <w:r>
        <w:t>з</w:t>
      </w:r>
      <w:r>
        <w:t>ложена задача ежегодной подготовки сводной выкладки, охватывающей все в</w:t>
      </w:r>
      <w:r>
        <w:t>о</w:t>
      </w:r>
      <w:r>
        <w:t>просы, касающиеся равенства между женщинами и мужчинами. Службе по правам женщин и вопросам равенства поручено подготавливать ежегодный доклад на основе этого сводного документа. В</w:t>
      </w:r>
      <w:r>
        <w:rPr>
          <w:lang w:val="en-US"/>
        </w:rPr>
        <w:t> </w:t>
      </w:r>
      <w:r>
        <w:t>результате в октябре 2001 года была издана первая брошюра по "ключевым показателям обеспечения равенс</w:t>
      </w:r>
      <w:r>
        <w:t>т</w:t>
      </w:r>
      <w:r>
        <w:t>ва между женщинами и мужчинами", которая в настоящее время обновляется.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Первый доклад ИНСЕЕ, озаглавленный "Взгляды на равенство", вышел в июле 2001 года. Он</w:t>
      </w:r>
      <w:r>
        <w:rPr>
          <w:lang w:val="en-US"/>
        </w:rPr>
        <w:t> </w:t>
      </w:r>
      <w:r>
        <w:t>позволяет изучить соответствующее положение женщин и мужчин по многим аспектам. Первый годовой доклад Службы по правам же</w:t>
      </w:r>
      <w:r>
        <w:t>н</w:t>
      </w:r>
      <w:r>
        <w:t>щин и вопросам равенства находится в процессе подготовки, причем его пу</w:t>
      </w:r>
      <w:r>
        <w:t>б</w:t>
      </w:r>
      <w:r>
        <w:t>ликация предусмотрена на осень 2001 года.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sz w:val="24"/>
        </w:rPr>
      </w:pPr>
      <w:r>
        <w:rPr>
          <w:b/>
          <w:i/>
          <w:sz w:val="24"/>
        </w:rPr>
        <w:t>2.</w:t>
      </w:r>
      <w:r>
        <w:rPr>
          <w:b/>
          <w:i/>
          <w:sz w:val="24"/>
        </w:rPr>
        <w:tab/>
        <w:t>Бюджетный документ, отражающий финансовую де</w:t>
      </w:r>
      <w:r>
        <w:rPr>
          <w:b/>
          <w:i/>
          <w:sz w:val="24"/>
        </w:rPr>
        <w:t>я</w:t>
      </w:r>
      <w:r>
        <w:rPr>
          <w:b/>
          <w:i/>
          <w:sz w:val="24"/>
        </w:rPr>
        <w:t>тельность государства по обеспечению прав женщин и р</w:t>
      </w:r>
      <w:r>
        <w:rPr>
          <w:b/>
          <w:i/>
          <w:sz w:val="24"/>
        </w:rPr>
        <w:t>а</w:t>
      </w:r>
      <w:r>
        <w:rPr>
          <w:b/>
          <w:i/>
          <w:sz w:val="24"/>
        </w:rPr>
        <w:t>венства: "желтые стр</w:t>
      </w:r>
      <w:r>
        <w:rPr>
          <w:b/>
          <w:i/>
          <w:sz w:val="24"/>
        </w:rPr>
        <w:t>а</w:t>
      </w:r>
      <w:r>
        <w:rPr>
          <w:b/>
          <w:i/>
          <w:sz w:val="24"/>
        </w:rPr>
        <w:t>ницы" бюджета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При голосовании по финансовому закону на 2000 год члены французского парламента приняли решение о том, что отныне правительство будет ежегодно одновременно с проектом финансового закона представлять материалы, свид</w:t>
      </w:r>
      <w:r>
        <w:t>е</w:t>
      </w:r>
      <w:r>
        <w:t>тельствующие о финансовой деятельности в интересах прав женщин и обесп</w:t>
      </w:r>
      <w:r>
        <w:t>е</w:t>
      </w:r>
      <w:r>
        <w:t>чения равенства между женщинами и мужчинами.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Так появилось новое информационное приложение к государственному бюджету: "желтые страницы", касающиеся вопросов прав женщин и обеспеч</w:t>
      </w:r>
      <w:r>
        <w:t>е</w:t>
      </w:r>
      <w:r>
        <w:t>ния равенства. Общим для этих информационных приложений является то, что в них делается попытка показать деятельность государства в области финансов и параллельно дать более или менее подробный анализ проводимой деятельн</w:t>
      </w:r>
      <w:r>
        <w:t>о</w:t>
      </w:r>
      <w:r>
        <w:t>сти в такой области, которая затрагивает все министерства и ведомства или многие из них.</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принципе они затрагивают те сектора, в которых требуется принятие конкретных мер или в которых проводятся сквозные мероприятия. Обеспеч</w:t>
      </w:r>
      <w:r>
        <w:t>е</w:t>
      </w:r>
      <w:r>
        <w:t>ние равенства между женщинами и мужчинами является такой сферой, которая полностью отвечает этим критериям, учитывая тот глобальный подход, кот</w:t>
      </w:r>
      <w:r>
        <w:t>о</w:t>
      </w:r>
      <w:r>
        <w:t>рый правительство со всей решительностью постановило принять в этой о</w:t>
      </w:r>
      <w:r>
        <w:t>б</w:t>
      </w:r>
      <w:r>
        <w:t>ласти. Важно отметить, что этот бюджетный документ имеет под собой закон</w:t>
      </w:r>
      <w:r>
        <w:t>о</w:t>
      </w:r>
      <w:r>
        <w:t xml:space="preserve">дательную основу, что обеспечивает его долговременность.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Стремление законодательной власти добиться более эффективного пров</w:t>
      </w:r>
      <w:r>
        <w:t>е</w:t>
      </w:r>
      <w:r>
        <w:t>дения количественной оценки и контроля при обсуждении закона о финансах, финансовой деятельности в интересах прав женщин и равенства между же</w:t>
      </w:r>
      <w:r>
        <w:t>н</w:t>
      </w:r>
      <w:r>
        <w:t>щинами и мужчинами, сочеталось с заявленной волей правительства проводить в этой области решительную и динамичную политику. Таким образом, "желтые страницы" бюджета отвечают многим задачам, являясь одновременно средс</w:t>
      </w:r>
      <w:r>
        <w:t>т</w:t>
      </w:r>
      <w:r>
        <w:t>вом информации и контроля, позволяя предать гласности результаты активной политики, провести количественную оценку осуществления этой политики и выявить ее недостатки с точки зрения бюджета.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"Желтые страницы" бюджета, касающиеся вопросов равенства, являются важнейшим средством претворения в практику государственных мер. Будучи одновременно средством учета гендерной проблематики и оценки воздействия государственной политики на мужчин и женщин, "желтые страницы" бюджета представляют собой средство претворения в практику государственной пол</w:t>
      </w:r>
      <w:r>
        <w:t>и</w:t>
      </w:r>
      <w:r>
        <w:t>тики. Они могут тем самым дать возможность направлять или переориентир</w:t>
      </w:r>
      <w:r>
        <w:t>о</w:t>
      </w:r>
      <w:r>
        <w:t>вать государственную деятельность таким образом, чтобы равенство между женщинами и мужчинами развивалось и эффективно претворялось в практику.</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sz w:val="24"/>
        </w:rPr>
      </w:pPr>
      <w:r>
        <w:rPr>
          <w:b/>
          <w:i/>
          <w:sz w:val="24"/>
        </w:rPr>
        <w:t>3.</w:t>
      </w:r>
      <w:r>
        <w:rPr>
          <w:b/>
          <w:i/>
          <w:sz w:val="24"/>
        </w:rPr>
        <w:tab/>
        <w:t>Укрепление децентрализованной сети по правам женщин и вопросам р</w:t>
      </w:r>
      <w:r>
        <w:rPr>
          <w:b/>
          <w:i/>
          <w:sz w:val="24"/>
        </w:rPr>
        <w:t>а</w:t>
      </w:r>
      <w:r>
        <w:rPr>
          <w:b/>
          <w:i/>
          <w:sz w:val="24"/>
        </w:rPr>
        <w:t>венства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Благодаря созданию 17</w:t>
      </w:r>
      <w:r>
        <w:rPr>
          <w:lang w:val="en-US"/>
        </w:rPr>
        <w:t> </w:t>
      </w:r>
      <w:r>
        <w:t>должностей в соответствии с законом о финансах 2001 года были заполнены вакантные должности сотрудников, занимающихся правами женщин и вопросами равенства на уровне департаментов. Таким обр</w:t>
      </w:r>
      <w:r>
        <w:t>а</w:t>
      </w:r>
      <w:r>
        <w:t>зом, отныне каждый район и каждый департамент располагает человеком, о</w:t>
      </w:r>
      <w:r>
        <w:t>т</w:t>
      </w:r>
      <w:r>
        <w:t>ветственным за осуществление правительственной программы в области ра</w:t>
      </w:r>
      <w:r>
        <w:t>с</w:t>
      </w:r>
      <w:r>
        <w:t>ширения равенства между женщинами и мужчинами.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Министры внутренних дел и занятости и солидарности и Государстве</w:t>
      </w:r>
      <w:r>
        <w:t>н</w:t>
      </w:r>
      <w:r>
        <w:t>ный секретарь по правам женщин и вопросам профессиональной подготовки 2 февраля 2001 года совместно подписали циркуляр, в котором учитывается эволюция задач децентрализованной сети по правам женщин и вопросам р</w:t>
      </w:r>
      <w:r>
        <w:t>а</w:t>
      </w:r>
      <w:r>
        <w:t>венства. В</w:t>
      </w:r>
      <w:r>
        <w:rPr>
          <w:lang w:val="en-US"/>
        </w:rPr>
        <w:t> </w:t>
      </w:r>
      <w:r>
        <w:t>нем излагаются условия деятельности региональных делегатов и уполномоченных департаментов по правам женщин и вопросам равенства, а</w:t>
      </w:r>
      <w:r>
        <w:rPr>
          <w:lang w:val="en-US"/>
        </w:rPr>
        <w:t> </w:t>
      </w:r>
      <w:r>
        <w:t>также их задачи в том, что касается осуществления политики по обеспечению равенства на местном уровне.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sz w:val="24"/>
        </w:rPr>
      </w:pPr>
      <w:r>
        <w:rPr>
          <w:b/>
          <w:sz w:val="24"/>
          <w:lang w:val="en-GB"/>
        </w:rPr>
        <w:t>III.</w:t>
      </w:r>
      <w:r>
        <w:rPr>
          <w:b/>
          <w:sz w:val="24"/>
          <w:lang w:val="en-GB"/>
        </w:rPr>
        <w:tab/>
      </w:r>
      <w:r>
        <w:rPr>
          <w:b/>
          <w:sz w:val="24"/>
          <w:u w:val="single"/>
        </w:rPr>
        <w:t>Конкретные меры в отношении женщин-иммигрантов</w:t>
      </w:r>
      <w:r>
        <w:rPr>
          <w:rStyle w:val="FootnoteReference"/>
          <w:b/>
          <w:sz w:val="24"/>
          <w:u w:val="single"/>
        </w:rPr>
        <w:footnoteReference w:id="4"/>
      </w:r>
      <w:r>
        <w:rPr>
          <w:b/>
          <w:sz w:val="24"/>
          <w:u w:val="single"/>
        </w:rPr>
        <w:t xml:space="preserve"> или выше</w:t>
      </w:r>
      <w:r>
        <w:rPr>
          <w:b/>
          <w:sz w:val="24"/>
          <w:u w:val="single"/>
        </w:rPr>
        <w:t>д</w:t>
      </w:r>
      <w:r>
        <w:rPr>
          <w:b/>
          <w:sz w:val="24"/>
          <w:u w:val="single"/>
        </w:rPr>
        <w:t>ших из среды иммигрантов</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Дискриминация, которой подвергаются женщины, в отношении лиц ин</w:t>
      </w:r>
      <w:r>
        <w:t>о</w:t>
      </w:r>
      <w:r>
        <w:t>странного происхождения нередко принимает более острые формы. Потребн</w:t>
      </w:r>
      <w:r>
        <w:t>о</w:t>
      </w:r>
      <w:r>
        <w:t>сти женщин-иммигрантов учитываются при принятии целого ряда конкретных мер, касающихся будь то доступа к информации и осведомленности о правах, интеграции в рынок труда или же информации о традиционной практике.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sz w:val="24"/>
        </w:rPr>
      </w:pPr>
      <w:r>
        <w:rPr>
          <w:b/>
          <w:i/>
          <w:sz w:val="24"/>
        </w:rPr>
        <w:t>1.</w:t>
      </w:r>
      <w:r>
        <w:rPr>
          <w:b/>
          <w:i/>
          <w:sz w:val="24"/>
        </w:rPr>
        <w:tab/>
        <w:t>Прием женщин, прибывающих впервые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Специальные социальные службы (Социальная служба по оказанию п</w:t>
      </w:r>
      <w:r>
        <w:t>о</w:t>
      </w:r>
      <w:r>
        <w:t>мощи иммигрантам и Объединение по оказанию социальных услуг семьям м</w:t>
      </w:r>
      <w:r>
        <w:t>и</w:t>
      </w:r>
      <w:r>
        <w:t>грантов - АССФАМ) предлагают, в частности женщинам, прибывающим впе</w:t>
      </w:r>
      <w:r>
        <w:t>р</w:t>
      </w:r>
      <w:r>
        <w:t>вые, коллективную помощь в плане предоставления информации и вовлечения в жизнь общества. Принимаемые в связи с этим меры направлены на:</w:t>
      </w:r>
    </w:p>
    <w:p w:rsidR="00000000" w:rsidRDefault="00000000">
      <w:pPr>
        <w:tabs>
          <w:tab w:val="left" w:pos="810"/>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облегчение доступа к правам и ознакомление с образом и условиями жи</w:t>
      </w:r>
      <w:r>
        <w:t>з</w:t>
      </w:r>
      <w:r>
        <w:t>ни во Франции с использованием языкового подхода;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w:t>
      </w:r>
      <w:r>
        <w:tab/>
        <w:t>содействие доступу к системе норм общего права;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w:t>
      </w:r>
      <w:r>
        <w:tab/>
        <w:t>подготовку к самостоятельному решению вопросов.</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sz w:val="24"/>
        </w:rPr>
      </w:pPr>
      <w:r>
        <w:rPr>
          <w:b/>
          <w:i/>
          <w:sz w:val="24"/>
        </w:rPr>
        <w:t>2.</w:t>
      </w:r>
      <w:r>
        <w:rPr>
          <w:b/>
          <w:i/>
          <w:sz w:val="24"/>
        </w:rPr>
        <w:tab/>
        <w:t>Посредничество: роль женщин-посредников</w:t>
      </w:r>
    </w:p>
    <w:p w:rsidR="00000000" w:rsidRDefault="00000000">
      <w:pPr>
        <w:pStyle w:val="SingleTxt"/>
        <w:spacing w:after="0" w:line="270" w:lineRule="exact"/>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Органы государственной власти проводили работу по выявлению и поо</w:t>
      </w:r>
      <w:r>
        <w:t>щ</w:t>
      </w:r>
      <w:r>
        <w:t>рению деятельности женщин-посредников, или социально-культурных меди</w:t>
      </w:r>
      <w:r>
        <w:t>а</w:t>
      </w:r>
      <w:r>
        <w:t>торов, играющих важнейшую роль в вопросах вовлечения в жизнь общества и борьбы против дискриминации, особенно применительно к женщинам, спосо</w:t>
      </w:r>
      <w:r>
        <w:t>б</w:t>
      </w:r>
      <w:r>
        <w:t>ствуя установлению связи иммигрантов с государственными службами (охрана материнства и младенчества, касса по выплате семейных пособий, больницы, школы, мэрия и т.д…)</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Выполняя вначале главным образом функции переводчиков, женщины-посредники, которых в настоящее время насчитывается около тысячи человек и которые работают примерно в 300</w:t>
      </w:r>
      <w:r>
        <w:rPr>
          <w:lang w:val="en-US"/>
        </w:rPr>
        <w:t> </w:t>
      </w:r>
      <w:r>
        <w:t>общественных организациях, стали выпо</w:t>
      </w:r>
      <w:r>
        <w:t>л</w:t>
      </w:r>
      <w:r>
        <w:t>нять самые различные обязанности: от приема, предоставления информации, ориентирования людей до посредничества в вопросах улаживания конфликтов с административными органами, соседями или школой и проведения местных культурно-массовых мероприятий (создание дискуссионных групп, организ</w:t>
      </w:r>
      <w:r>
        <w:t>а</w:t>
      </w:r>
      <w:r>
        <w:t>ция праздников кварталов и т.д….)</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 годами эта работа также получила организационное оформление. Це</w:t>
      </w:r>
      <w:r>
        <w:t>н</w:t>
      </w:r>
      <w:r>
        <w:t>тром подготовки кадров для пригородных районов был подготовлен справо</w:t>
      </w:r>
      <w:r>
        <w:t>ч</w:t>
      </w:r>
      <w:r>
        <w:t>ник по профессиям, а коллективом авторов, созданном на базе общественной организации ФИА</w:t>
      </w:r>
      <w:r>
        <w:rPr>
          <w:lang w:val="en-US"/>
        </w:rPr>
        <w:noBreakHyphen/>
      </w:r>
      <w:r>
        <w:t>ИСМ (Объединение ассоциаций и служб в интересах же</w:t>
      </w:r>
      <w:r>
        <w:t>н</w:t>
      </w:r>
      <w:r>
        <w:t>щин-мигрантов)</w:t>
      </w:r>
      <w:r>
        <w:rPr>
          <w:lang w:val="en-US"/>
        </w:rPr>
        <w:t> </w:t>
      </w:r>
      <w:r>
        <w:t>-</w:t>
      </w:r>
      <w:r>
        <w:rPr>
          <w:lang w:val="en-US"/>
        </w:rPr>
        <w:t> </w:t>
      </w:r>
      <w:r>
        <w:t>руководство и устав деятельности по социально-культурному посредничеству. Последняя из этих организаций на протяжении примерно двух лет налаживает совместную работу на уровне департаментов в целях повыш</w:t>
      </w:r>
      <w:r>
        <w:t>е</w:t>
      </w:r>
      <w:r>
        <w:t>ния информированности общественных организаций, содействия обменам м</w:t>
      </w:r>
      <w:r>
        <w:t>е</w:t>
      </w:r>
      <w:r>
        <w:t>жду ними и обеспечения соответствующего контроля. Различные организации также возобновили работу по подготовке специалистов.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Деятельность органов государственной власти по оказанию соответс</w:t>
      </w:r>
      <w:r>
        <w:t>т</w:t>
      </w:r>
      <w:r>
        <w:t>вующей помощи связана с участием в организации курсов подготовки, позв</w:t>
      </w:r>
      <w:r>
        <w:t>о</w:t>
      </w:r>
      <w:r>
        <w:t>ляющих повысить знания этих женщин-посредников и расширить круг их де</w:t>
      </w:r>
      <w:r>
        <w:t>я</w:t>
      </w:r>
      <w:r>
        <w:t>тельности, оказанием поддержки общественным организациям, включением этого профиля в программу создания в течение трех лет (2000</w:t>
      </w:r>
      <w:r>
        <w:rPr>
          <w:lang w:val="en-US"/>
        </w:rPr>
        <w:noBreakHyphen/>
      </w:r>
      <w:r>
        <w:t>2003 годы) 10 000</w:t>
      </w:r>
      <w:r>
        <w:rPr>
          <w:lang w:val="en-US"/>
        </w:rPr>
        <w:t> </w:t>
      </w:r>
      <w:r>
        <w:t xml:space="preserve">должностей посредников, частично субсидируемых государством. </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sz w:val="24"/>
        </w:rPr>
      </w:pPr>
      <w:r>
        <w:rPr>
          <w:b/>
          <w:i/>
          <w:sz w:val="24"/>
        </w:rPr>
        <w:t>3.</w:t>
      </w:r>
      <w:r>
        <w:rPr>
          <w:b/>
          <w:i/>
          <w:sz w:val="24"/>
        </w:rPr>
        <w:tab/>
        <w:t>Доступ к занятости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2000/01 году министр занятости и солидарности принял решение о н</w:t>
      </w:r>
      <w:r>
        <w:t>а</w:t>
      </w:r>
      <w:r>
        <w:t>лаживании систематического обмена информацией, с тем чтобы определить главные направления деятельности в интересах женщин-иммигрантов на 2002 год. Вопросам занятости было уделено особое внимание в силу того, что положение женщин-иммигрантов на рынке труда вызывает озабоченность, п</w:t>
      </w:r>
      <w:r>
        <w:t>о</w:t>
      </w:r>
      <w:r>
        <w:t>скольку оно отличается нестабильностью и связано с дискриминацией. Более того, не исключено, что положение женщин в этой сфере ухудшается, что ус</w:t>
      </w:r>
      <w:r>
        <w:t>у</w:t>
      </w:r>
      <w:r>
        <w:t>губляет уже отмечавшиеся в сфере занятости явления сегрегации, дисквалиф</w:t>
      </w:r>
      <w:r>
        <w:t>и</w:t>
      </w:r>
      <w:r>
        <w:t>кации и распространение этнического подхода.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результате было принято решение оказать финансовую поддержку пр</w:t>
      </w:r>
      <w:r>
        <w:t>о</w:t>
      </w:r>
      <w:r>
        <w:t>ведению ряда изысканий и осуществлению ряда проектов, целью которых я</w:t>
      </w:r>
      <w:r>
        <w:t>в</w:t>
      </w:r>
      <w:r>
        <w:t>ляется создание фонда знаний, на которых основывались бы будущие исслед</w:t>
      </w:r>
      <w:r>
        <w:t>о</w:t>
      </w:r>
      <w:r>
        <w:t>вания. Институт наук о человеке подготовил библиографическое исследование под названием "Интеграция в разбивке по слоям общества и дискриминация женщин-иммигрантов и девушек иностранного происхождения с точки зрения трудоустройства". С</w:t>
      </w:r>
      <w:r>
        <w:rPr>
          <w:lang w:val="en-US"/>
        </w:rPr>
        <w:t> </w:t>
      </w:r>
      <w:r>
        <w:t>другой стороны, подготавливается исследование проце</w:t>
      </w:r>
      <w:r>
        <w:t>с</w:t>
      </w:r>
      <w:r>
        <w:t>сов, наблюдающихся при двойной дискриминации, причем этому вопросу уд</w:t>
      </w:r>
      <w:r>
        <w:t>е</w:t>
      </w:r>
      <w:r>
        <w:t xml:space="preserve">ляется большое внимание в рамках программы </w:t>
      </w:r>
      <w:r>
        <w:rPr>
          <w:lang w:val="en-GB"/>
        </w:rPr>
        <w:t>EQUAL</w:t>
      </w:r>
      <w:r>
        <w:t>, развернутой по ин</w:t>
      </w:r>
      <w:r>
        <w:t>и</w:t>
      </w:r>
      <w:r>
        <w:t>циативе Сообщества.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Параллельно с этой работой была создана рабочая группа, основная зад</w:t>
      </w:r>
      <w:r>
        <w:t>а</w:t>
      </w:r>
      <w:r>
        <w:t>ча которой состояла в согласованном использовании европейских средств, в</w:t>
      </w:r>
      <w:r>
        <w:t>ы</w:t>
      </w:r>
      <w:r>
        <w:t>деленных на направление 5 (цель 3 Европейского социального фонда) для пр</w:t>
      </w:r>
      <w:r>
        <w:t>и</w:t>
      </w:r>
      <w:r>
        <w:t>нятия "конкретных мер по улучшению доступа и расширению участия женщин на рынке труда". Работа этой группы позволила изучить все инициативы С</w:t>
      </w:r>
      <w:r>
        <w:t>о</w:t>
      </w:r>
      <w:r>
        <w:t>общества, предпринимавшиеся в 1994</w:t>
      </w:r>
      <w:r>
        <w:rPr>
          <w:lang w:val="en-US"/>
        </w:rPr>
        <w:noBreakHyphen/>
      </w:r>
      <w:r>
        <w:t>1999 годах, и извлечь соответствующий опыт.</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Был проведен широкий анализ языковой проблемы исходя из того, что н</w:t>
      </w:r>
      <w:r>
        <w:t>е</w:t>
      </w:r>
      <w:r>
        <w:t>достаточное знание французского языка во многих отношениях является о</w:t>
      </w:r>
      <w:r>
        <w:t>с</w:t>
      </w:r>
      <w:r>
        <w:t>новной причиной дискриминации. Была начата важная работа, цель которой состояла, с одной стороны, в том, чтобы оценить эффективность языковой по</w:t>
      </w:r>
      <w:r>
        <w:t>д</w:t>
      </w:r>
      <w:r>
        <w:t>готовки и, с другой, чтобы подумать о возможном признании права на обучение языку принимающей страны. В</w:t>
      </w:r>
      <w:r>
        <w:rPr>
          <w:lang w:val="en-US"/>
        </w:rPr>
        <w:t> </w:t>
      </w:r>
      <w:r>
        <w:t>связи с этим особое внимание будет уделяться женщинам-иммигрантам в силу тех препятствий, с которыми они сталкиваются при трудоустройстве и получении доступа к языковой подготовке, в основе ч</w:t>
      </w:r>
      <w:r>
        <w:t>е</w:t>
      </w:r>
      <w:r>
        <w:t xml:space="preserve">го нередко лежит их семейное положение или давление традиций их общины.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 2002 года будет работать аналитическая группа, состоящая из руков</w:t>
      </w:r>
      <w:r>
        <w:t>о</w:t>
      </w:r>
      <w:r>
        <w:t>дителя и экспертов по этому вопросу, которая будет создана на договорных у</w:t>
      </w:r>
      <w:r>
        <w:t>с</w:t>
      </w:r>
      <w:r>
        <w:t>ловиях и на конкурентной основе. Ее</w:t>
      </w:r>
      <w:r>
        <w:rPr>
          <w:lang w:val="en-US"/>
        </w:rPr>
        <w:t> </w:t>
      </w:r>
      <w:r>
        <w:t>работа позволит провести анализ особого положения женщин-иммигрантов с точки зрения трудоустройства и доступа к профессиональной подготовке, условий занятости, профессионального роста и будет способствовать принятию согласованных мер в интересах же</w:t>
      </w:r>
      <w:r>
        <w:t>н</w:t>
      </w:r>
      <w:r>
        <w:t>щин.</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Наконец, шефство, представляющее собой форму индивидуальной пом</w:t>
      </w:r>
      <w:r>
        <w:t>о</w:t>
      </w:r>
      <w:r>
        <w:t>щи молодым людям при поиске работы и в течение первых недель работы, в</w:t>
      </w:r>
      <w:r>
        <w:rPr>
          <w:lang w:val="en-US"/>
        </w:rPr>
        <w:t> </w:t>
      </w:r>
      <w:r>
        <w:t>2002 году будет распространено на людей в возрасте старше 26 лет. При этом, будут учитываться интересы женщин, составляющих в настоящее время свыше 60% лиц, которым оказывается шефство.</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sz w:val="24"/>
        </w:rPr>
      </w:pPr>
      <w:r>
        <w:rPr>
          <w:b/>
          <w:i/>
          <w:sz w:val="24"/>
        </w:rPr>
        <w:t>4.</w:t>
      </w:r>
      <w:r>
        <w:rPr>
          <w:b/>
          <w:i/>
          <w:sz w:val="24"/>
        </w:rPr>
        <w:tab/>
        <w:t>Принятие мер, направленных на то, чтобы женщины, принадлежащие к полигамным семьям, получили доступ к отдельному жилищу: распространение брошюры инфо</w:t>
      </w:r>
      <w:r>
        <w:rPr>
          <w:b/>
          <w:i/>
          <w:sz w:val="24"/>
        </w:rPr>
        <w:t>р</w:t>
      </w:r>
      <w:r>
        <w:rPr>
          <w:b/>
          <w:i/>
          <w:sz w:val="24"/>
        </w:rPr>
        <w:t>мационного характера</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keepNext/>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Циркуляр министерства внутренних дел от 25 апреля 2000 года, каса</w:t>
      </w:r>
      <w:r>
        <w:t>ю</w:t>
      </w:r>
      <w:r>
        <w:t>щийся возобновления вида на жительство лиц иностранного происхождения, относящихся к полигамным семьям, связан, в частности, с вопросом о прин</w:t>
      </w:r>
      <w:r>
        <w:t>я</w:t>
      </w:r>
      <w:r>
        <w:t>тии мер, направленных на предоставление доступа к отдельному жилищу же</w:t>
      </w:r>
      <w:r>
        <w:t>н</w:t>
      </w:r>
      <w:r>
        <w:t>щинам, принадлежащим к полигамным семьям. Этот вопрос сложен с юрид</w:t>
      </w:r>
      <w:r>
        <w:t>и</w:t>
      </w:r>
      <w:r>
        <w:t>ческой точки зрения, имеет весьма символическое значение с точки зрения п</w:t>
      </w:r>
      <w:r>
        <w:t>о</w:t>
      </w:r>
      <w:r>
        <w:t>литики вовлечения в жизнь общества и статуса женщин и является весьма д</w:t>
      </w:r>
      <w:r>
        <w:t>е</w:t>
      </w:r>
      <w:r>
        <w:t>ликатным для различных представителей тех слоев населения, которые он з</w:t>
      </w:r>
      <w:r>
        <w:t>а</w:t>
      </w:r>
      <w:r>
        <w:t>трагивает.</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результате было сочтено необходимым подготовить информационную брошюру по этому вопросу, предназначенную, главным образом, для работн</w:t>
      </w:r>
      <w:r>
        <w:t>и</w:t>
      </w:r>
      <w:r>
        <w:t>ков социальной сферы, в которой содержалась бы полезная информация, п</w:t>
      </w:r>
      <w:r>
        <w:t>о</w:t>
      </w:r>
      <w:r>
        <w:t>зволяющая им оказывать помощь женщинами, желающим выйти из полига</w:t>
      </w:r>
      <w:r>
        <w:t>м</w:t>
      </w:r>
      <w:r>
        <w:t>ной семьи. Цель состояла в том, чтобы подготовить пособие, которое можно было бы непосредственно использовать и которое было бы как можно более четким и ясным.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этих целях с 19 июня 2001 года начала свою работу рабочая группа, с</w:t>
      </w:r>
      <w:r>
        <w:t>о</w:t>
      </w:r>
      <w:r>
        <w:t>стоящая из представителей всех соответствующих министерств. После мног</w:t>
      </w:r>
      <w:r>
        <w:t>о</w:t>
      </w:r>
      <w:r>
        <w:t>численных дискуссий был подготовлен окончательный вариант документа "Чтобы выйти из полигамии", одобренный всеми участниками группы. Этот документ получит весьма широкое распространение (10 000</w:t>
      </w:r>
      <w:r>
        <w:rPr>
          <w:lang w:val="en-US"/>
        </w:rPr>
        <w:t> </w:t>
      </w:r>
      <w:r>
        <w:t>экземпляров) ср</w:t>
      </w:r>
      <w:r>
        <w:t>е</w:t>
      </w:r>
      <w:r>
        <w:t xml:space="preserve">ди иммигрантов, практикующих полигамию. </w:t>
      </w:r>
    </w:p>
    <w:p w:rsidR="00000000" w:rsidRDefault="00000000">
      <w:pPr>
        <w:pStyle w:val="SingleTxt"/>
        <w:spacing w:after="0" w:line="180" w:lineRule="auto"/>
        <w:rPr>
          <w:sz w:val="10"/>
          <w:lang w:val="en-US"/>
        </w:rPr>
      </w:pPr>
      <w:r>
        <w:rPr>
          <w:b/>
          <w:lang w:val="en-US"/>
        </w:rPr>
        <w:br w:type="page"/>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310" w:lineRule="exact"/>
        <w:ind w:left="1267" w:right="1267"/>
        <w:jc w:val="center"/>
        <w:rPr>
          <w:b/>
          <w:sz w:val="28"/>
        </w:rPr>
      </w:pPr>
      <w:r>
        <w:rPr>
          <w:b/>
          <w:sz w:val="28"/>
        </w:rPr>
        <w:t>СТАТЬЯ 4</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center"/>
        <w:rPr>
          <w:b/>
          <w:i/>
          <w:sz w:val="24"/>
        </w:rPr>
      </w:pPr>
      <w:r>
        <w:rPr>
          <w:b/>
          <w:i/>
          <w:sz w:val="24"/>
        </w:rPr>
        <w:t>Временные меры, направленные на ускорение установления р</w:t>
      </w:r>
      <w:r>
        <w:rPr>
          <w:b/>
          <w:i/>
          <w:sz w:val="24"/>
        </w:rPr>
        <w:t>а</w:t>
      </w:r>
      <w:r>
        <w:rPr>
          <w:b/>
          <w:i/>
          <w:sz w:val="24"/>
        </w:rPr>
        <w:t>венства м</w:t>
      </w:r>
      <w:r>
        <w:rPr>
          <w:b/>
          <w:i/>
          <w:sz w:val="24"/>
        </w:rPr>
        <w:t>е</w:t>
      </w:r>
      <w:r>
        <w:rPr>
          <w:b/>
          <w:i/>
          <w:sz w:val="24"/>
        </w:rPr>
        <w:t>жду мужчинами и женщинами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sz w:val="24"/>
          <w:u w:val="single"/>
        </w:rPr>
      </w:pPr>
      <w:r>
        <w:rPr>
          <w:b/>
          <w:sz w:val="24"/>
          <w:lang w:val="en-GB"/>
        </w:rPr>
        <w:t>I</w:t>
      </w:r>
      <w:r>
        <w:rPr>
          <w:b/>
          <w:sz w:val="24"/>
        </w:rPr>
        <w:t>.</w:t>
      </w:r>
      <w:r>
        <w:rPr>
          <w:b/>
          <w:sz w:val="24"/>
        </w:rPr>
        <w:tab/>
      </w:r>
      <w:r>
        <w:rPr>
          <w:b/>
          <w:sz w:val="24"/>
          <w:u w:val="single"/>
        </w:rPr>
        <w:t>Равенство: конкретная мера, направленная на расшир</w:t>
      </w:r>
      <w:r>
        <w:rPr>
          <w:b/>
          <w:sz w:val="24"/>
          <w:u w:val="single"/>
        </w:rPr>
        <w:t>е</w:t>
      </w:r>
      <w:r>
        <w:rPr>
          <w:b/>
          <w:sz w:val="24"/>
          <w:u w:val="single"/>
        </w:rPr>
        <w:t>ние участия женщин в принятии решений</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i/>
          <w:sz w:val="24"/>
        </w:rPr>
      </w:pPr>
      <w:r>
        <w:rPr>
          <w:b/>
          <w:i/>
          <w:sz w:val="24"/>
        </w:rPr>
        <w:t>1.</w:t>
      </w:r>
      <w:r>
        <w:rPr>
          <w:b/>
          <w:i/>
          <w:sz w:val="24"/>
        </w:rPr>
        <w:tab/>
        <w:t>Равенство в политической жизни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Нормы, введенные в результате пересмотра Конституции в 1999 году, б</w:t>
      </w:r>
      <w:r>
        <w:t>ы</w:t>
      </w:r>
      <w:r>
        <w:t>ли дополнены законом № 2000-493 от 6 июня 2000 года, направленным на с</w:t>
      </w:r>
      <w:r>
        <w:t>о</w:t>
      </w:r>
      <w:r>
        <w:t>действие равному доступу женщин и мужчин к выборным должностям.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Правительство высказалось в пользу равенства (50%</w:t>
      </w:r>
      <w:r>
        <w:rPr>
          <w:lang w:val="en-US"/>
        </w:rPr>
        <w:t> </w:t>
      </w:r>
      <w:r>
        <w:t>кандидатов от му</w:t>
      </w:r>
      <w:r>
        <w:t>ж</w:t>
      </w:r>
      <w:r>
        <w:t>чин и женщин). Так, в этом законе предусматриваются следующие положения: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в отношении выборов в два тура в рамках многомандатной мажоритарной избирательной системы (муниципальные выборы в коммунах с населен</w:t>
      </w:r>
      <w:r>
        <w:t>и</w:t>
      </w:r>
      <w:r>
        <w:t>ем свыше 3 500</w:t>
      </w:r>
      <w:r>
        <w:rPr>
          <w:lang w:val="en-US"/>
        </w:rPr>
        <w:t> </w:t>
      </w:r>
      <w:r>
        <w:t>человек и региональные выборы) разрыв между числом кандидатов от женщин и мужчин не может превышать одного человека. В</w:t>
      </w:r>
      <w:r>
        <w:rPr>
          <w:lang w:val="en-US"/>
        </w:rPr>
        <w:t> </w:t>
      </w:r>
      <w:r>
        <w:t>рамках каждой полной группы из шести кандидатов при представлении списка должно включаться равное число кандидатов обоих полов;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в отношении выборов в один тур в рамках многомандатной мажоритарной избирательной системы (выборы в европейские органы и часть выборов в Сенат) разрыв между числом кандидатов обоих полов не может прев</w:t>
      </w:r>
      <w:r>
        <w:t>ы</w:t>
      </w:r>
      <w:r>
        <w:t>шать одного человека. В</w:t>
      </w:r>
      <w:r>
        <w:rPr>
          <w:lang w:val="en-US"/>
        </w:rPr>
        <w:t> </w:t>
      </w:r>
      <w:r>
        <w:t>каждый список поочередно вносится один ка</w:t>
      </w:r>
      <w:r>
        <w:t>н</w:t>
      </w:r>
      <w:r>
        <w:t xml:space="preserve">дидат либо от мужчин, либо от женщин.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Кроме того, в отношении выборов в законодательные органы, чтобы д</w:t>
      </w:r>
      <w:r>
        <w:t>о</w:t>
      </w:r>
      <w:r>
        <w:t>биться непосредственного участия политических объединений в обновлении французской политической жизни, в законе предусматривается денежный штраф в отношении тех, кто не будет соблюдать принцип равенства кандидатур и не представит 50%</w:t>
      </w:r>
      <w:r>
        <w:rPr>
          <w:lang w:val="en-US"/>
        </w:rPr>
        <w:t> </w:t>
      </w:r>
      <w:r>
        <w:t>кандидатов от мужчин и женщин (</w:t>
      </w:r>
      <w:r>
        <w:rPr>
          <w:u w:val="single"/>
        </w:rPr>
        <w:t>+</w:t>
      </w:r>
      <w:r>
        <w:t> 2%).</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законе представлены простые механизмы, обеспечиваются сбалансир</w:t>
      </w:r>
      <w:r>
        <w:t>о</w:t>
      </w:r>
      <w:r>
        <w:t>ванность между обязательными мерами и положениями финансового характера и не ставится под сомнение существующая система проведения выборов.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Эти новые положения были впервые претворены в практику во время м</w:t>
      </w:r>
      <w:r>
        <w:t>у</w:t>
      </w:r>
      <w:r>
        <w:t>ниципальных выборов, состоявшихся в марте 2001 года. Доля муниципальных советников из числа женщин почти удвоилась. В</w:t>
      </w:r>
      <w:r>
        <w:rPr>
          <w:lang w:val="en-US"/>
        </w:rPr>
        <w:t> </w:t>
      </w:r>
      <w:r>
        <w:t>результате в коммунах с нас</w:t>
      </w:r>
      <w:r>
        <w:t>е</w:t>
      </w:r>
      <w:r>
        <w:t>лением свыше 3 500</w:t>
      </w:r>
      <w:r>
        <w:rPr>
          <w:lang w:val="en-US"/>
        </w:rPr>
        <w:t> </w:t>
      </w:r>
      <w:r>
        <w:t>человек на долю женщин приходится 47,5%</w:t>
      </w:r>
      <w:r>
        <w:rPr>
          <w:lang w:val="en-US"/>
        </w:rPr>
        <w:t> </w:t>
      </w:r>
      <w:r>
        <w:t>советников, в то время как ранее этот показатель составлял 25%.</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В то же время число женщин, избранных мэрами этих коммун, остается весьма незначительным. В</w:t>
      </w:r>
      <w:r>
        <w:rPr>
          <w:lang w:val="en-US"/>
        </w:rPr>
        <w:t> </w:t>
      </w:r>
      <w:r>
        <w:t>коммунах с населением свыше 3 500</w:t>
      </w:r>
      <w:r>
        <w:rPr>
          <w:lang w:val="en-US"/>
        </w:rPr>
        <w:t> </w:t>
      </w:r>
      <w:r>
        <w:t>человек их н</w:t>
      </w:r>
      <w:r>
        <w:t>а</w:t>
      </w:r>
      <w:r>
        <w:t>считывается 171 человек или 6,6% от общего числа мэров по сравнению с 4,95% в 1995 году, что соответствует росту на 1,65%. Следует отметить, что в отличие от предыдущих выборов, чем больше община, тем выше доля женщин, избранных мэрами.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i/>
          <w:sz w:val="24"/>
        </w:rPr>
      </w:pPr>
      <w:r>
        <w:rPr>
          <w:b/>
          <w:i/>
          <w:sz w:val="24"/>
        </w:rPr>
        <w:t>2.</w:t>
      </w:r>
      <w:r>
        <w:rPr>
          <w:b/>
          <w:i/>
          <w:sz w:val="24"/>
        </w:rPr>
        <w:tab/>
        <w:t>Равенство в хозяйственных и социальных органах и в ра</w:t>
      </w:r>
      <w:r>
        <w:rPr>
          <w:b/>
          <w:i/>
          <w:sz w:val="24"/>
        </w:rPr>
        <w:t>м</w:t>
      </w:r>
      <w:r>
        <w:rPr>
          <w:b/>
          <w:i/>
          <w:sz w:val="24"/>
        </w:rPr>
        <w:t>ках обществе</w:t>
      </w:r>
      <w:r>
        <w:rPr>
          <w:b/>
          <w:i/>
          <w:sz w:val="24"/>
        </w:rPr>
        <w:t>н</w:t>
      </w:r>
      <w:r>
        <w:rPr>
          <w:b/>
          <w:i/>
          <w:sz w:val="24"/>
        </w:rPr>
        <w:t>ного диалога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rPr>
          <w:sz w:val="16"/>
          <w:lang w:val="en-GB"/>
        </w:rPr>
        <w:sym w:font="Wingdings" w:char="F06E"/>
      </w:r>
      <w:r>
        <w:rPr>
          <w:lang w:val="en-GB"/>
        </w:rPr>
        <w:tab/>
        <w:t>8 </w:t>
      </w:r>
      <w:r>
        <w:t>марта 2000 года премьер-министр обратился в Экономический и соц</w:t>
      </w:r>
      <w:r>
        <w:t>и</w:t>
      </w:r>
      <w:r>
        <w:t>альный совет с просьбой провести анализ роли женщин в хозяйственных и соц</w:t>
      </w:r>
      <w:r>
        <w:t>и</w:t>
      </w:r>
      <w:r>
        <w:t>альных органах и в рамках общественного диалога.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 xml:space="preserve">Обследование, проведенное среди женщин, являющихся руководителями предприятий, выявило те трудности, с которыми сталкиваются женщины при получении доступа на ответственные должности: сегрегация по профессиям, дискриминация в заработной плате, сочетание профессиональной деятельности и семейной жизни.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подготовленном докладе предлагаются конкретные меры по преодол</w:t>
      </w:r>
      <w:r>
        <w:t>е</w:t>
      </w:r>
      <w:r>
        <w:t>нию существующего неравенства в оплате труда; его авторы выступают за т</w:t>
      </w:r>
      <w:r>
        <w:t>а</w:t>
      </w:r>
      <w:r>
        <w:t>кую политику в вопросах семейной жизни, которая была бы направлена на расширение структур приема малолетних детей, и предлагают более равное распределение семейных обязанностей между женщинами и мужчинами. Соо</w:t>
      </w:r>
      <w:r>
        <w:t>т</w:t>
      </w:r>
      <w:r>
        <w:t>ветствующее заключение было принято Экономическим и социальным советом 20 декабря 2000 года.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rPr>
          <w:sz w:val="16"/>
        </w:rPr>
        <w:sym w:font="Wingdings" w:char="F06E"/>
      </w:r>
      <w:r>
        <w:tab/>
        <w:t>Высший совет по обеспечению равноправия в области профессиональной деятельности создал в 2000 году рабочую группу по вопросу о роли же</w:t>
      </w:r>
      <w:r>
        <w:t>н</w:t>
      </w:r>
      <w:r>
        <w:t>щин в профсоюзных и профессиональных организациях, в которую вошли представ</w:t>
      </w:r>
      <w:r>
        <w:t>и</w:t>
      </w:r>
      <w:r>
        <w:t>тели всех социальных партнеров.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Был внимательно изучен вопрос о доступе женщин к выборным должн</w:t>
      </w:r>
      <w:r>
        <w:t>о</w:t>
      </w:r>
      <w:r>
        <w:t>стям персонала, ответственным должностям в различных органах по принятию решений в профсоюзных организациях, должностям членов прюдомального суда, а также в административные советы паритетных органов социального обе</w:t>
      </w:r>
      <w:r>
        <w:t>с</w:t>
      </w:r>
      <w:r>
        <w:t xml:space="preserve">печения.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20 декабря 2000 года было вынесено соответствующее заключение. Нек</w:t>
      </w:r>
      <w:r>
        <w:t>о</w:t>
      </w:r>
      <w:r>
        <w:t>торые предложения Высшего совета по обеспечения равноправия в области профессиональной деятельности нашли свое отражение в положениях закона, касающегося равноправия женщин и мужчин в области профессиональной де</w:t>
      </w:r>
      <w:r>
        <w:t>я</w:t>
      </w:r>
      <w:r>
        <w:t>тельности, обнародованного 9 мая 2001 года. Так, например, в нем оговарив</w:t>
      </w:r>
      <w:r>
        <w:t>а</w:t>
      </w:r>
      <w:r>
        <w:t>ется, что при обновлении прюдомальных судов профсоюзные организации должны составлять списки кандидатов таким образом, чтобы способствовать увеличению доли женщин на выборных должностях. Аналогичным образом в том, что касается выборов в профессиональные органы, профсоюзные орган</w:t>
      </w:r>
      <w:r>
        <w:t>и</w:t>
      </w:r>
      <w:r>
        <w:t>зации при подготовке согласительного протокола по выборам представител</w:t>
      </w:r>
      <w:r>
        <w:t>ь</w:t>
      </w:r>
      <w:r>
        <w:t>ных органов изучают пути и средства достижения сбалансированной предста</w:t>
      </w:r>
      <w:r>
        <w:t>в</w:t>
      </w:r>
      <w:r>
        <w:t>ленности женщин и мужчин в списках кандидатур. Наконец, на предприятиях, на которых занято не менее 200 работников, комитет предприятия создает к</w:t>
      </w:r>
      <w:r>
        <w:t>о</w:t>
      </w:r>
      <w:r>
        <w:t>миссию по обеспечению равноправия в профессиональной деятельности.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i/>
          <w:sz w:val="24"/>
        </w:rPr>
      </w:pPr>
      <w:r>
        <w:rPr>
          <w:b/>
          <w:i/>
          <w:sz w:val="24"/>
        </w:rPr>
        <w:t>3.</w:t>
      </w:r>
      <w:r>
        <w:rPr>
          <w:b/>
          <w:i/>
          <w:sz w:val="24"/>
        </w:rPr>
        <w:tab/>
        <w:t>Равенство на государственной службе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Некоторые из предложений, высказанных в докладе под названием "З</w:t>
      </w:r>
      <w:r>
        <w:t>а</w:t>
      </w:r>
      <w:r>
        <w:t>мещение высших должностей государственной службы: к равенству между мужчинами и женщинами", представленном 16 февраля 1999 года министру г</w:t>
      </w:r>
      <w:r>
        <w:t>о</w:t>
      </w:r>
      <w:r>
        <w:t>сударственной администрации и государственной реформы, были осуществл</w:t>
      </w:r>
      <w:r>
        <w:t>е</w:t>
      </w:r>
      <w:r>
        <w:t>ны в 2000</w:t>
      </w:r>
      <w:r>
        <w:noBreakHyphen/>
        <w:t>2001 годах.</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Так, например, в законе от 9 мая 2001 года, касающемся обеспечения ра</w:t>
      </w:r>
      <w:r>
        <w:t>в</w:t>
      </w:r>
      <w:r>
        <w:t>ноправия между женщинами и мужчинами в профессиональной деятельности, предусматривается сбалансированная представленность женщин и мужчин на государственной службе в составе конкурсных комиссий и комиссий по пров</w:t>
      </w:r>
      <w:r>
        <w:t>е</w:t>
      </w:r>
      <w:r>
        <w:t>дению профессиональных экзаменов, а также в консультативных органах - административных паритетных комиссиях, технических паритетных комисс</w:t>
      </w:r>
      <w:r>
        <w:t>и</w:t>
      </w:r>
      <w:r>
        <w:t>ях, комитетах по вопросам гигиены и безопасности - в том, что касается тех их членов, которые представляют администрацию.</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Кроме того, во исполнение циркуляра премьер</w:t>
      </w:r>
      <w:r>
        <w:noBreakHyphen/>
        <w:t>министра от 6 марта 2000 года большинство министерств разработали и представили в свои техн</w:t>
      </w:r>
      <w:r>
        <w:t>и</w:t>
      </w:r>
      <w:r>
        <w:t xml:space="preserve">ческие паритетные комитеты долгосрочные планы улучшения доступа женщин на высшие должности государственной службы.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Во исполнение циркуляра министра государственной администрации и государственной реформы от 5 декабря 2000 года каждое министерство назн</w:t>
      </w:r>
      <w:r>
        <w:t>а</w:t>
      </w:r>
      <w:r>
        <w:t>чает координатора деятельности по всем вопросам, связанным с положением женщин.</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Наконец, 10 ноября 2000 года был создан экспертно</w:t>
      </w:r>
      <w:r>
        <w:noBreakHyphen/>
        <w:t>управленческий к</w:t>
      </w:r>
      <w:r>
        <w:t>о</w:t>
      </w:r>
      <w:r>
        <w:t>митет по обеспечению равного доступа женщин и мужчин на высшие должн</w:t>
      </w:r>
      <w:r>
        <w:t>о</w:t>
      </w:r>
      <w:r>
        <w:t>сти государственной службы.</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Этому экспертно-управленческому комитету поручено собрать соответс</w:t>
      </w:r>
      <w:r>
        <w:t>т</w:t>
      </w:r>
      <w:r>
        <w:t>вующую информацию по вопросам профессиональной подготовки, набора и продвижения по службе в связи с поступлением женщин на государственную службу или при развитии их карьеры. На него также возложены выявление причин дискриминации, наносящей ущерб доступу женщин на высшие гос</w:t>
      </w:r>
      <w:r>
        <w:t>у</w:t>
      </w:r>
      <w:r>
        <w:t>дарственные должности, вынесение рекомендаций по исправлению выявле</w:t>
      </w:r>
      <w:r>
        <w:t>н</w:t>
      </w:r>
      <w:r>
        <w:t>ных случаев неравенства, оценка воздействия принимаемых мер и обеспечение контроля за осуществлением своих рекомендаций и мер, принимаемых в этой области на экспериментальной основе, а также распространение их результ</w:t>
      </w:r>
      <w:r>
        <w:t>а</w:t>
      </w:r>
      <w:r>
        <w:t>тов. Он состоит из 19 членов, назначаемых на пятилетний срок министром г</w:t>
      </w:r>
      <w:r>
        <w:t>о</w:t>
      </w:r>
      <w:r>
        <w:t>сударственной администрации и государственной реформы.</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В докладе, представленном 29 июня 2001 года, комитет определяет круг исследований (целый ряд которых уже осуществляется), касающихся конкур</w:t>
      </w:r>
      <w:r>
        <w:t>с</w:t>
      </w:r>
      <w:r>
        <w:t>ных экзаменов в специальные высшие учебные заведения (Институт политич</w:t>
      </w:r>
      <w:r>
        <w:t>е</w:t>
      </w:r>
      <w:r>
        <w:t>ских наук в Париже, Национальная школа управления, Политехническая шк</w:t>
      </w:r>
      <w:r>
        <w:t>о</w:t>
      </w:r>
      <w:r>
        <w:t>ла…) или продвижения по службе (директора больниц…). Кроме того, он в</w:t>
      </w:r>
      <w:r>
        <w:t>ы</w:t>
      </w:r>
      <w:r>
        <w:t>ступает за то, чтобы при изменении и сокращении рабочего времени учитыв</w:t>
      </w:r>
      <w:r>
        <w:t>а</w:t>
      </w:r>
      <w:r>
        <w:t>лось и обеспечивалось более разумное сочетание семейной и общественной жизни с профессиональной деятельностью и принимались меры, направленные на то, чтобы способствовать тем самым обеспечению равноправия женщин и мужчин в профессиональной деятельности.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sz w:val="24"/>
        </w:rPr>
      </w:pPr>
      <w:r>
        <w:rPr>
          <w:b/>
          <w:i/>
          <w:sz w:val="24"/>
        </w:rPr>
        <w:t>4.</w:t>
      </w:r>
      <w:r>
        <w:rPr>
          <w:b/>
          <w:i/>
          <w:sz w:val="24"/>
        </w:rPr>
        <w:tab/>
        <w:t>Равенство в общественной деятельности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Согласно обследованию, касающемуся общественной деятельности фра</w:t>
      </w:r>
      <w:r>
        <w:t>н</w:t>
      </w:r>
      <w:r>
        <w:t>цузов, проведенному в декабре 1998 года Центром по изучению условий жи</w:t>
      </w:r>
      <w:r>
        <w:t>з</w:t>
      </w:r>
      <w:r>
        <w:t>ни, в то время как 46% мужчин являлись членами, по крайней мере, одной о</w:t>
      </w:r>
      <w:r>
        <w:t>б</w:t>
      </w:r>
      <w:r>
        <w:t>щественной организации, в отношении женщин этот показатель составлял лишь 34%. В то же время отмечалось, что на протяжении нескольких десятил</w:t>
      </w:r>
      <w:r>
        <w:t>е</w:t>
      </w:r>
      <w:r>
        <w:t>тий общественная деятельность женщин имела тенденцию к расширению.</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Кроме того, было отмечено, что внутри самих общественных организаций женщины занимали ответственные должности реже, чем мужчины.</w:t>
      </w:r>
    </w:p>
    <w:p w:rsidR="00000000" w:rsidRDefault="00000000">
      <w:pPr>
        <w:numPr>
          <w:ilvl w:val="0"/>
          <w:numId w:val="290"/>
        </w:numPr>
        <w:tabs>
          <w:tab w:val="clear" w:pos="720"/>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9" w:right="1267" w:hanging="482"/>
        <w:jc w:val="both"/>
      </w:pPr>
      <w:r>
        <w:t>В сентябре 2000 года межведомственная делегация по вопросам социал</w:t>
      </w:r>
      <w:r>
        <w:t>ь</w:t>
      </w:r>
      <w:r>
        <w:t>ных новшеств и социальной сферы и Служба по правам женщин и вопр</w:t>
      </w:r>
      <w:r>
        <w:t>о</w:t>
      </w:r>
      <w:r>
        <w:t>сам равенства совместно с представителями Национального совета по в</w:t>
      </w:r>
      <w:r>
        <w:t>о</w:t>
      </w:r>
      <w:r>
        <w:t>просам общественной жизни и Постоянной конференции по координации деятельности общественных организаций создали аналитическую группу по вопросу об участии женщин в общественной жизни, которая организ</w:t>
      </w:r>
      <w:r>
        <w:t>о</w:t>
      </w:r>
      <w:r>
        <w:t>вала семинар по проблемам участия женщин в общес</w:t>
      </w:r>
      <w:r>
        <w:t>т</w:t>
      </w:r>
      <w:r>
        <w:t>венной жизни.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Этот семинар, состоявшийся 26 апреля 2001 года, был посвящен вкладу женских и феминистских общественных организаций в общественные диску</w:t>
      </w:r>
      <w:r>
        <w:t>с</w:t>
      </w:r>
      <w:r>
        <w:t>сии и участию женщин в принятии решений общественных организаций.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Изучение места и роли женщин в общественной деятельности продо</w:t>
      </w:r>
      <w:r>
        <w:t>л</w:t>
      </w:r>
      <w:r>
        <w:t>жится в рамках проведения специальных дней по изучению этого вопроса и обследования, касающегося оценки обязанностей женщин в общественных о</w:t>
      </w:r>
      <w:r>
        <w:t>р</w:t>
      </w:r>
      <w:r>
        <w:t>ганизациях.</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rPr>
          <w:sz w:val="16"/>
          <w:lang w:val="en-GB"/>
        </w:rPr>
        <w:sym w:font="Wingdings" w:char="F06E"/>
      </w:r>
      <w:r>
        <w:rPr>
          <w:lang w:val="en-GB"/>
        </w:rPr>
        <w:tab/>
      </w:r>
      <w:r>
        <w:t>Государство уже ввело стимулы для занятия женщинами ответственных должностей в общественных организациях. Так, в циркуляре пр</w:t>
      </w:r>
      <w:r>
        <w:t>е</w:t>
      </w:r>
      <w:r>
        <w:t>мьер</w:t>
      </w:r>
      <w:r>
        <w:noBreakHyphen/>
        <w:t>министра от 1 декабря 2000 года, касающемся долгосрочных согл</w:t>
      </w:r>
      <w:r>
        <w:t>а</w:t>
      </w:r>
      <w:r>
        <w:t>шений о задачах между государством и общественными организациями, предусматривается, что в эти соглашения отныне будут включаться пр</w:t>
      </w:r>
      <w:r>
        <w:t>я</w:t>
      </w:r>
      <w:r>
        <w:t>мые рекомендации, касающиеся обеспечения сбалансированной пре</w:t>
      </w:r>
      <w:r>
        <w:t>д</w:t>
      </w:r>
      <w:r>
        <w:t>ставленности женщин и мужчин в руководящих органах общественных орг</w:t>
      </w:r>
      <w:r>
        <w:t>а</w:t>
      </w:r>
      <w:r>
        <w:t>низаций</w:t>
      </w:r>
      <w:r>
        <w:noBreakHyphen/>
        <w:t>партнеров.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rPr>
          <w:sz w:val="16"/>
          <w:lang w:val="en-GB"/>
        </w:rPr>
        <w:sym w:font="Wingdings" w:char="F06E"/>
      </w:r>
      <w:r>
        <w:rPr>
          <w:lang w:val="en-GB"/>
        </w:rPr>
        <w:tab/>
      </w:r>
      <w:r>
        <w:t>Кроме того, Национальный фонд развития общественных организаций принял решение о приоритетном финансировании исследований, позв</w:t>
      </w:r>
      <w:r>
        <w:t>о</w:t>
      </w:r>
      <w:r>
        <w:t>ляющих лучше изучить в статистическом и качественном аспекте место женщин в общественной жизни, и предусматривает проведение профе</w:t>
      </w:r>
      <w:r>
        <w:t>с</w:t>
      </w:r>
      <w:r>
        <w:t>сиональной подготовки, способствующей обеспечению равного доступа женщин и мужчин на ответственные дол</w:t>
      </w:r>
      <w:r>
        <w:t>ж</w:t>
      </w:r>
      <w:r>
        <w:t>ности.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742" w:right="1267" w:hanging="475"/>
        <w:jc w:val="both"/>
      </w:pPr>
      <w:r>
        <w:rPr>
          <w:sz w:val="16"/>
          <w:lang w:val="en-GB"/>
        </w:rPr>
        <w:sym w:font="Wingdings" w:char="F06E"/>
      </w:r>
      <w:r>
        <w:rPr>
          <w:lang w:val="en-GB"/>
        </w:rPr>
        <w:tab/>
      </w:r>
      <w:r>
        <w:t>Наконец, в рамках празднования столетия со дня принятия закона 1901 года, касающегося договора об общественных организациях, гос</w:t>
      </w:r>
      <w:r>
        <w:t>у</w:t>
      </w:r>
      <w:r>
        <w:t>дарство и общественные организации 1 июля 2001 года подписали хартию о взаимных обязательствах. В этой хартии признается фундаментальная роль общественной жизни в нашей стране и подтверждаются партнерские отношения между государством и общественными организациями. По</w:t>
      </w:r>
      <w:r>
        <w:t>д</w:t>
      </w:r>
      <w:r>
        <w:t>писавшие стороны, в частности, обязуются обеспечить более сбалансир</w:t>
      </w:r>
      <w:r>
        <w:t>о</w:t>
      </w:r>
      <w:r>
        <w:t>ванную представленность женщин и мужчин на ответственных должн</w:t>
      </w:r>
      <w:r>
        <w:t>о</w:t>
      </w:r>
      <w:r>
        <w:t>стях.</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sz w:val="24"/>
        </w:rPr>
      </w:pPr>
      <w:r>
        <w:rPr>
          <w:b/>
          <w:sz w:val="24"/>
          <w:lang w:val="en-GB"/>
        </w:rPr>
        <w:t>II</w:t>
      </w:r>
      <w:r>
        <w:rPr>
          <w:b/>
          <w:sz w:val="24"/>
        </w:rPr>
        <w:t>.</w:t>
      </w:r>
      <w:r>
        <w:rPr>
          <w:b/>
          <w:sz w:val="24"/>
        </w:rPr>
        <w:tab/>
      </w:r>
      <w:r>
        <w:rPr>
          <w:b/>
          <w:sz w:val="24"/>
          <w:u w:val="single"/>
        </w:rPr>
        <w:t>Защита материнства: новые меры вводят в действие е</w:t>
      </w:r>
      <w:r>
        <w:rPr>
          <w:b/>
          <w:sz w:val="24"/>
          <w:u w:val="single"/>
        </w:rPr>
        <w:t>в</w:t>
      </w:r>
      <w:r>
        <w:rPr>
          <w:b/>
          <w:sz w:val="24"/>
          <w:u w:val="single"/>
        </w:rPr>
        <w:t>ропейскую директиву</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keepNext/>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Закон № 2001</w:t>
      </w:r>
      <w:r>
        <w:noBreakHyphen/>
        <w:t>1 от 3 января 2001 года, наделяющий правительство полн</w:t>
      </w:r>
      <w:r>
        <w:t>о</w:t>
      </w:r>
      <w:r>
        <w:t>мочиями ввести в действие с помощью указов директивы Сообщества, в том числе директиву 92/85 от 19 октября 1992 года, направлен на то, чтобы приве</w:t>
      </w:r>
      <w:r>
        <w:t>с</w:t>
      </w:r>
      <w:r>
        <w:t>ти французское законодательство в соответствие с указанной директивой. Сл</w:t>
      </w:r>
      <w:r>
        <w:t>е</w:t>
      </w:r>
      <w:r>
        <w:t>дует отметить, что 6 августа 1999 года Европейская комиссия направила Фра</w:t>
      </w:r>
      <w:r>
        <w:t>н</w:t>
      </w:r>
      <w:r>
        <w:t xml:space="preserve">ции обоснованное заключение в связи с невведением в действие во внутреннем законодательстве пункта 3 статьи 5 директивы 92/85.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этой статье предусматривается, что, если при оценке рисков, с котор</w:t>
      </w:r>
      <w:r>
        <w:t>ы</w:t>
      </w:r>
      <w:r>
        <w:t>ми сталкивается работница, являющаяся беременной, недавно родившая ребе</w:t>
      </w:r>
      <w:r>
        <w:t>н</w:t>
      </w:r>
      <w:r>
        <w:t>ка или являющаяся кормящей матерью, обнаруживается, что она подвергается воздействию физических, химических или биологических веществ, работод</w:t>
      </w:r>
      <w:r>
        <w:t>а</w:t>
      </w:r>
      <w:r>
        <w:t>тель должен принять все необходимые меры для того, чтобы эта работница больше не сталкивалась с таким риском.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этих целях работодатель должен изменить условия и/или время работы. Если это невозможно, он должен принять необходимые меры для того, чтобы заинтересованное лицо перешло на другую должность; если эти два варианта невозможны, работница освобождается от работы.</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Проектом указа вводится соответствующая статья в кодекс законов о тр</w:t>
      </w:r>
      <w:r>
        <w:t>у</w:t>
      </w:r>
      <w:r>
        <w:t>де (статья </w:t>
      </w:r>
      <w:r>
        <w:rPr>
          <w:lang w:val="en-GB"/>
        </w:rPr>
        <w:t>L</w:t>
      </w:r>
      <w:r>
        <w:t>. 122</w:t>
      </w:r>
      <w:r>
        <w:noBreakHyphen/>
        <w:t>25</w:t>
      </w:r>
      <w:r>
        <w:noBreakHyphen/>
        <w:t>1</w:t>
      </w:r>
      <w:r>
        <w:noBreakHyphen/>
        <w:t>2), в которой отражено соответствующее положение д</w:t>
      </w:r>
      <w:r>
        <w:t>и</w:t>
      </w:r>
      <w:r>
        <w:t>рективы 92/85.</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Если беременная работница, работница, вышедшая на работу по оконч</w:t>
      </w:r>
      <w:r>
        <w:t>а</w:t>
      </w:r>
      <w:r>
        <w:t>нии послеродового отпуска, или работница, являющаяся кормящей матерью, подвергается рискам, несовместимым с ее здоровьем и безопасностью, работ</w:t>
      </w:r>
      <w:r>
        <w:t>о</w:t>
      </w:r>
      <w:r>
        <w:t>датель должен на основе заключений врача предприятия предложить ей соо</w:t>
      </w:r>
      <w:r>
        <w:t>т</w:t>
      </w:r>
      <w:r>
        <w:t>ветствующие изменения в ее рабочих функциях или перевести ее на другую работу. Этот перевод не должен сопровождаться каким-либо снижением оплаты труда.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Если работодатель не может предложить другое рабочее место, он должен обосновать причины, препятствующие восстановлению на работе соответс</w:t>
      </w:r>
      <w:r>
        <w:t>т</w:t>
      </w:r>
      <w:r>
        <w:t>вующей работницы.</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таком случае трудовой договор этой работницы будет прерван и на нее будет распространяться гарантия оплаты труда, предусматриваемая в соглаш</w:t>
      </w:r>
      <w:r>
        <w:t>е</w:t>
      </w:r>
      <w:r>
        <w:t>нии о помесячной оплате труда от 10 декабря 1977 года, являющемся прилож</w:t>
      </w:r>
      <w:r>
        <w:t>е</w:t>
      </w:r>
      <w:r>
        <w:t>нием к закону от 19 января 1978 года, в котором предусматривается возмещ</w:t>
      </w:r>
      <w:r>
        <w:t>е</w:t>
      </w:r>
      <w:r>
        <w:t>ние, включающее выплаты по линии социального страхования в случае боле</w:t>
      </w:r>
      <w:r>
        <w:t>з</w:t>
      </w:r>
      <w:r>
        <w:t>ни, а также выплата нанимателем примерно 90% оклада (условие трехлетнего трудового стажа, предусмотренное в соглашении о помесячной оплате труда, в данном случае не применимо).</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Само собой разумеется, что в этом случае продолжают действовать пол</w:t>
      </w:r>
      <w:r>
        <w:t>о</w:t>
      </w:r>
      <w:r>
        <w:t>жения, касающиеся отпуска по материнству и запрещения работы женщин две недели до и шесть недель после родов.</w:t>
      </w:r>
    </w:p>
    <w:p w:rsidR="00000000" w:rsidRDefault="00000000">
      <w:pPr>
        <w:pStyle w:val="SingleTxt"/>
        <w:spacing w:after="0" w:line="180" w:lineRule="auto"/>
        <w:rPr>
          <w:sz w:val="10"/>
          <w:lang w:val="en-US"/>
        </w:rPr>
      </w:pPr>
      <w:r>
        <w:rPr>
          <w:b/>
        </w:rPr>
        <w:br w:type="page"/>
      </w: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310" w:lineRule="exact"/>
        <w:ind w:left="1267" w:right="1267"/>
        <w:jc w:val="center"/>
        <w:rPr>
          <w:b/>
          <w:sz w:val="28"/>
        </w:rPr>
      </w:pPr>
      <w:r>
        <w:rPr>
          <w:b/>
          <w:sz w:val="28"/>
        </w:rPr>
        <w:t>СТАТЬЯ 5</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center"/>
        <w:rPr>
          <w:b/>
          <w:i/>
          <w:sz w:val="24"/>
        </w:rPr>
      </w:pPr>
      <w:r>
        <w:rPr>
          <w:b/>
          <w:i/>
          <w:sz w:val="24"/>
        </w:rPr>
        <w:t>Преодоление стереотипов</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center"/>
        <w:rPr>
          <w:b/>
          <w:i/>
          <w:sz w:val="24"/>
        </w:rPr>
      </w:pPr>
      <w:r>
        <w:rPr>
          <w:b/>
          <w:i/>
          <w:sz w:val="24"/>
        </w:rPr>
        <w:t xml:space="preserve"> (</w:t>
      </w:r>
      <w:r>
        <w:rPr>
          <w:b/>
          <w:i/>
          <w:sz w:val="24"/>
          <w:u w:val="single"/>
        </w:rPr>
        <w:t>Внимание: оговорка Франции касается статьи 5</w:t>
      </w:r>
      <w:r>
        <w:rPr>
          <w:b/>
          <w:i/>
          <w:sz w:val="24"/>
          <w:u w:val="single"/>
          <w:lang w:val="en-GB"/>
        </w:rPr>
        <w:t>b</w:t>
      </w:r>
      <w:r>
        <w:rPr>
          <w:b/>
          <w:i/>
          <w:sz w:val="24"/>
        </w:rPr>
        <w:t>)</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sz w:val="24"/>
        </w:rPr>
      </w:pPr>
      <w:r>
        <w:rPr>
          <w:b/>
          <w:sz w:val="24"/>
          <w:lang w:val="en-GB"/>
        </w:rPr>
        <w:t>I.</w:t>
      </w:r>
      <w:r>
        <w:rPr>
          <w:b/>
          <w:sz w:val="24"/>
        </w:rPr>
        <w:tab/>
      </w:r>
      <w:r>
        <w:rPr>
          <w:b/>
          <w:sz w:val="24"/>
          <w:u w:val="single"/>
        </w:rPr>
        <w:t>Относительно социально-культурных моделей поведения</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rPr>
          <w:b/>
        </w:rPr>
        <w:t>Изображение женщин в рекламе: борьба против насилия и дискримин</w:t>
      </w:r>
      <w:r>
        <w:rPr>
          <w:b/>
        </w:rPr>
        <w:t>а</w:t>
      </w:r>
      <w:r>
        <w:rPr>
          <w:b/>
        </w:rPr>
        <w:t>ции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На протяжении нескольких лет, и особенно часто начиная с 2001 года, в рекламе появляются такие изображения женщин, которые многими считаются унизительными и оскорбительными и к тому же могут рассматриваться как п</w:t>
      </w:r>
      <w:r>
        <w:t>о</w:t>
      </w:r>
      <w:r>
        <w:t>сягающие на достоинство человеческой личности, поскольку ряд изображений побуждают к насилию в отношении женщин или к дискриминации по признаку пола. Тем самым прежде всего был определен приоритетный характер изучения вопроса об образе женщин, создаваемом рекламой.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результате в марте 2001 года была создана рабочая группа под эгидой Государственного секретариата по правам женщин и вопросам профессионал</w:t>
      </w:r>
      <w:r>
        <w:t>ь</w:t>
      </w:r>
      <w:r>
        <w:t>ной подготовки, которой было поручено представить доклад Государственному секретарю по правам женщин и вопросам профессиональной подготовки в и</w:t>
      </w:r>
      <w:r>
        <w:t>ю</w:t>
      </w:r>
      <w:r>
        <w:t>ле 2001 года. Этот доклад после проведения серии обсуждений должен был с</w:t>
      </w:r>
      <w:r>
        <w:t>о</w:t>
      </w:r>
      <w:r>
        <w:t>держать информацию о рекламе, наносящей ущерб образу женщин, и предл</w:t>
      </w:r>
      <w:r>
        <w:t>о</w:t>
      </w:r>
      <w:r>
        <w:t>жения, направленные прежде всего на изменение соответствующей практики, но и могущие также касаться изменения существующей правовой и договорной базы.</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состав этой рабочей группы вошли представители соответствующих министерств и ведомств, а также от гражданского общества: министерства з</w:t>
      </w:r>
      <w:r>
        <w:t>а</w:t>
      </w:r>
      <w:r>
        <w:t>нятости и солидарности (Служба по правам женщин и вопросам равенства), ряда интересующихся этим вопросом ведомств (Управление по вопросам ра</w:t>
      </w:r>
      <w:r>
        <w:t>з</w:t>
      </w:r>
      <w:r>
        <w:t>вития средств массовой информации, отдел премьер-министра, предоставле</w:t>
      </w:r>
      <w:r>
        <w:t>н</w:t>
      </w:r>
      <w:r>
        <w:t>ный в распоряжения министерства культуры и коммуникации, консультанты от министерства юстиции), парламентской группы по правам женщин и вопросам равенства возможностей между женщинами и мужчинами Национального со</w:t>
      </w:r>
      <w:r>
        <w:t>б</w:t>
      </w:r>
      <w:r>
        <w:t>рания, Наблюдательного комитета по вопросам равноправия женщин и му</w:t>
      </w:r>
      <w:r>
        <w:t>ж</w:t>
      </w:r>
      <w:r>
        <w:t>чин, Управления по контролю за рекламой, Ассоциации женщин-журналисток, а также женщины-ученые.</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Государство, проводящее в тесном сотрудничестве с общественными о</w:t>
      </w:r>
      <w:r>
        <w:t>р</w:t>
      </w:r>
      <w:r>
        <w:t>ганизациями политику предупреждения и пресечения насилия в отношении женщин, сочло необходимым провести оперативное изучение этого явления, выражающегося в том, что в рекламе женщины подаются в ограниченном ко</w:t>
      </w:r>
      <w:r>
        <w:t>н</w:t>
      </w:r>
      <w:r>
        <w:t>тексте и в подчиненном положении.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Рабочая группа задалась вопросом о эволюции нравов и вытекающих из них требований к уважению человеческой личности. Изучение рекламы дол</w:t>
      </w:r>
      <w:r>
        <w:t>ж</w:t>
      </w:r>
      <w:r>
        <w:t>но поводиться с учетом важнейшей общественной задачи предупреждения н</w:t>
      </w:r>
      <w:r>
        <w:t>а</w:t>
      </w:r>
      <w:r>
        <w:t>силия и борьбы против дискриминации в отношении женщин.</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Рабочая группа провела обсуждение вопроса со всеми категориями рабо</w:t>
      </w:r>
      <w:r>
        <w:t>т</w:t>
      </w:r>
      <w:r>
        <w:t>ников этой профессии (издателями рекламных материалов, расклейщиками рекламных объявлений, лицами, помещающими объявления в средствах масс</w:t>
      </w:r>
      <w:r>
        <w:t>о</w:t>
      </w:r>
      <w:r>
        <w:t xml:space="preserve">вой информации), общественными организациями, занимающимися вопросами защиты прав женщин, объединениями потребителей, квалифицированными специалистами. Группа представила свой доклад министру 11 июля 2001 года.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Этот доклад состоит из двух частей: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резюме собранной информации о рекламе, наносящей ущерб образу же</w:t>
      </w:r>
      <w:r>
        <w:t>н</w:t>
      </w:r>
      <w:r>
        <w:t>щин в силу возможного побуждения к насилию или к дискриминации по признаку пола;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предложения по изменению сложившейся практики или действующей прав</w:t>
      </w:r>
      <w:r>
        <w:t>о</w:t>
      </w:r>
      <w:r>
        <w:t>вой базы.</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Эти предложения сводятся к четырем главным аспектам: повышение о</w:t>
      </w:r>
      <w:r>
        <w:t>т</w:t>
      </w:r>
      <w:r>
        <w:t>ветственности работников рекламы (тех, кто создает ее, помещает в средствах массовой информации и распространяет) путем добровольного соблюдения с</w:t>
      </w:r>
      <w:r>
        <w:t>о</w:t>
      </w:r>
      <w:r>
        <w:t>ответствующих норм самодисциплины; обновление действующих законов и нормативных актов, которое позволило бы наказывать на нанесение ущерба образу женщин путем побуждения к дискриминации; расширение возможн</w:t>
      </w:r>
      <w:r>
        <w:t>о</w:t>
      </w:r>
      <w:r>
        <w:t>стей гражданского общества словом и делом повлиять на эту ситуацию, в час</w:t>
      </w:r>
      <w:r>
        <w:t>т</w:t>
      </w:r>
      <w:r>
        <w:t>ности через посредство общественных организаций, занимающихся борьбой против насилия и дискриминации в отношении женщин; принятие мер, н</w:t>
      </w:r>
      <w:r>
        <w:t>а</w:t>
      </w:r>
      <w:r>
        <w:t>правленных на проведение общественной дискуссии по вопросу об образе женщин, создаваемом рекламой.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Организация, ведающая вопросам самодисциплины работников рекламы во Франции, - Управление по контролю за рекламой (УКР) - учла результаты работы группы экспертов при разработке новой рекомендации, касающейся "Образа человеческой личности". Этот новый документ, обнародованный 16 октября 2001 года, закладывает основу для вынесения консультативных з</w:t>
      </w:r>
      <w:r>
        <w:t>а</w:t>
      </w:r>
      <w:r>
        <w:t>ключений со стороны УКР и заменяет прежнюю рекомендацию об "Образе женщины", которая действовала с 1975 года и устарела в силу изменений, пр</w:t>
      </w:r>
      <w:r>
        <w:t>о</w:t>
      </w:r>
      <w:r>
        <w:t xml:space="preserve">изошедших во французском обществе за время двух последних десятилетий. В новую рекомендацию включены, в частности, новые положения, касающиеся понятия прямого и косвенного насилия, подчинения и зависимости, а также стереотипов полового, социального и расового характера. </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sz w:val="24"/>
        </w:rPr>
      </w:pPr>
      <w:r>
        <w:rPr>
          <w:b/>
          <w:sz w:val="24"/>
          <w:lang w:val="en-GB"/>
        </w:rPr>
        <w:t>II.</w:t>
      </w:r>
      <w:r>
        <w:rPr>
          <w:b/>
          <w:sz w:val="24"/>
          <w:lang w:val="en-GB"/>
        </w:rPr>
        <w:tab/>
      </w:r>
      <w:r>
        <w:rPr>
          <w:b/>
          <w:sz w:val="24"/>
          <w:u w:val="single"/>
        </w:rPr>
        <w:t>О семейных обязанностях: реформа родительских прав и обязанностей, закрепляющая понятие совместного в</w:t>
      </w:r>
      <w:r>
        <w:rPr>
          <w:b/>
          <w:sz w:val="24"/>
          <w:u w:val="single"/>
        </w:rPr>
        <w:t>ы</w:t>
      </w:r>
      <w:r>
        <w:rPr>
          <w:b/>
          <w:sz w:val="24"/>
          <w:u w:val="single"/>
        </w:rPr>
        <w:t>полнения родительских обязанн</w:t>
      </w:r>
      <w:r>
        <w:rPr>
          <w:b/>
          <w:sz w:val="24"/>
          <w:u w:val="single"/>
        </w:rPr>
        <w:t>о</w:t>
      </w:r>
      <w:r>
        <w:rPr>
          <w:b/>
          <w:sz w:val="24"/>
          <w:u w:val="single"/>
        </w:rPr>
        <w:t>стей</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4 марта 2002 года был принят закон № 2002-305, касающийся родител</w:t>
      </w:r>
      <w:r>
        <w:t>ь</w:t>
      </w:r>
      <w:r>
        <w:t>ских прав и обязанностей. При внесении этого законодательного изменения Франция руководствовалась статьей 5</w:t>
      </w:r>
      <w:r>
        <w:rPr>
          <w:lang w:val="en-GB"/>
        </w:rPr>
        <w:t>b</w:t>
      </w:r>
      <w:r>
        <w:t>. В этом законе предполагается разр</w:t>
      </w:r>
      <w:r>
        <w:t>е</w:t>
      </w:r>
      <w:r>
        <w:t>шить применение понятия совместных родительских прав и обязанностей, о</w:t>
      </w:r>
      <w:r>
        <w:t>с</w:t>
      </w:r>
      <w:r>
        <w:t>новывающегося на тройном принципе: равенство между родителями, равенство между детьми и право ребенка на обоих своих родителей. То обстоятельство, находятся ли родители в браке или нет, не должно иметь последствий для форм осуществления родительских прав и об</w:t>
      </w:r>
      <w:r>
        <w:t>я</w:t>
      </w:r>
      <w:r>
        <w:t>занностей.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Некоторые положения этого документа направлены на обеспечение с</w:t>
      </w:r>
      <w:r>
        <w:t>о</w:t>
      </w:r>
      <w:r>
        <w:t>хранности и устойчивости родственных связей при соблюдении принципа уч</w:t>
      </w:r>
      <w:r>
        <w:t>а</w:t>
      </w:r>
      <w:r>
        <w:t>стия и ответственности, который, в частности, находит свое выражение в п</w:t>
      </w:r>
      <w:r>
        <w:t>о</w:t>
      </w:r>
      <w:r>
        <w:t>ощрении и торжественном отмечании признания отцовства и материнства, с</w:t>
      </w:r>
      <w:r>
        <w:t>о</w:t>
      </w:r>
      <w:r>
        <w:t>гласовании действий при установлении отцовства и материнства, сокращении числа случаев и сроков возможного оспаривания родственных связей. Анал</w:t>
      </w:r>
      <w:r>
        <w:t>о</w:t>
      </w:r>
      <w:r>
        <w:t>гичным образом подтверждается принцип придания соответствующего статуса родительским соглашениям, касающимся организации жизни детей, в частн</w:t>
      </w:r>
      <w:r>
        <w:t>о</w:t>
      </w:r>
      <w:r>
        <w:t>сти при разводе родителей. В связи с этим закреплена роль семейного посре</w:t>
      </w:r>
      <w:r>
        <w:t>д</w:t>
      </w:r>
      <w:r>
        <w:t xml:space="preserve">ничества.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Наконец, внесение в законодательство этого изменения позволяет в по</w:t>
      </w:r>
      <w:r>
        <w:t>л</w:t>
      </w:r>
      <w:r>
        <w:t>ной мере применять Международную конвенцию по правам ребенка, ратиф</w:t>
      </w:r>
      <w:r>
        <w:t>и</w:t>
      </w:r>
      <w:r>
        <w:t xml:space="preserve">цированную Францией в 1990 году. </w:t>
      </w:r>
    </w:p>
    <w:p w:rsidR="00000000" w:rsidRDefault="00000000">
      <w:pPr>
        <w:pStyle w:val="SingleTxt"/>
        <w:spacing w:after="0" w:line="180" w:lineRule="auto"/>
        <w:rPr>
          <w:sz w:val="10"/>
          <w:lang w:val="en-US"/>
        </w:rPr>
      </w:pPr>
      <w:r>
        <w:rPr>
          <w:b/>
        </w:rPr>
        <w:br w:type="page"/>
      </w: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310" w:lineRule="exact"/>
        <w:ind w:left="1267" w:right="1267"/>
        <w:jc w:val="center"/>
        <w:rPr>
          <w:b/>
          <w:sz w:val="28"/>
        </w:rPr>
      </w:pPr>
      <w:r>
        <w:rPr>
          <w:b/>
          <w:sz w:val="28"/>
        </w:rPr>
        <w:t>СТАТЬЯ 6</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center"/>
        <w:rPr>
          <w:b/>
          <w:i/>
          <w:sz w:val="24"/>
        </w:rPr>
      </w:pPr>
      <w:r>
        <w:rPr>
          <w:b/>
          <w:i/>
          <w:sz w:val="24"/>
        </w:rPr>
        <w:t>Проституция и торговля женщинами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rPr>
          <w:b/>
          <w:sz w:val="24"/>
          <w:u w:val="single"/>
        </w:rPr>
      </w:pPr>
      <w:r>
        <w:rPr>
          <w:b/>
          <w:sz w:val="24"/>
        </w:rPr>
        <w:t>I.</w:t>
      </w:r>
      <w:r>
        <w:rPr>
          <w:b/>
          <w:sz w:val="24"/>
        </w:rPr>
        <w:tab/>
      </w:r>
      <w:r>
        <w:rPr>
          <w:b/>
          <w:sz w:val="24"/>
          <w:u w:val="single"/>
        </w:rPr>
        <w:t>Торговля женщинами и проституция</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r>
        <w:tab/>
        <w:t>Конвенция Организации Объединенных Наций против транснационал</w:t>
      </w:r>
      <w:r>
        <w:t>ь</w:t>
      </w:r>
      <w:r>
        <w:t>ной организованной преступности и два протокола к ней - Протокол о пред</w:t>
      </w:r>
      <w:r>
        <w:t>у</w:t>
      </w:r>
      <w:r>
        <w:t>преждении и пресечении торговли людьми, особенно женщинами и детьми, и наказании за нее и второй - против незаконного ввоза мигрантов по суше, морю и воздуху - были подписаны Францией в первый день их открытия для подп</w:t>
      </w:r>
      <w:r>
        <w:t>и</w:t>
      </w:r>
      <w:r>
        <w:t xml:space="preserve">сания государствами в Палермо 12 декабря 2000 года.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r>
        <w:tab/>
        <w:t>Этот документ находится в стадии ратификации парламентом, с тем чтобы сделать его частью нашего позитивного права. Для вступления в силу его должны ратифицировать не менее 40 государств.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Вопросам проституции в рамках проблемы торговли людьми и совреме</w:t>
      </w:r>
      <w:r>
        <w:t>н</w:t>
      </w:r>
      <w:r>
        <w:t>ных форм рабства занимались две парламентские группы, и для решения этих вопросов была учреждена рабочая группа по защите жертв.</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rPr>
          <w:b/>
          <w:i/>
          <w:sz w:val="24"/>
        </w:rPr>
      </w:pPr>
      <w:r>
        <w:rPr>
          <w:b/>
          <w:i/>
          <w:sz w:val="24"/>
        </w:rPr>
        <w:t>1.</w:t>
      </w:r>
      <w:r>
        <w:rPr>
          <w:b/>
          <w:i/>
          <w:sz w:val="24"/>
        </w:rPr>
        <w:tab/>
        <w:t>Усиление борьбы с сутенерством</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r>
        <w:tab/>
        <w:t>Закон от 15 мая 2001 года относительно новых экономических нормати</w:t>
      </w:r>
      <w:r>
        <w:t>в</w:t>
      </w:r>
      <w:r>
        <w:t>ных актов расширил определение понятия преступного сообщества, включив в него подготовку любого преступления, наказуемого пятью годами тюремного заключения (статья 450</w:t>
      </w:r>
      <w:r>
        <w:noBreakHyphen/>
        <w:t>1 Уголовного кодекса), что позволяет признать в кач</w:t>
      </w:r>
      <w:r>
        <w:t>е</w:t>
      </w:r>
      <w:r>
        <w:t>стве преступления действия, связанные с сутенерством, учитывая нынешние масштабы этого явления.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r>
        <w:tab/>
        <w:t>Этот закон вводит также новый вид преступления, которое заключается в неспособности лица, поддерживающего повседневные отношения с престу</w:t>
      </w:r>
      <w:r>
        <w:t>п</w:t>
      </w:r>
      <w:r>
        <w:t>ным сообществом, обосновать свой образ жизни (статья 450</w:t>
      </w:r>
      <w:r>
        <w:noBreakHyphen/>
        <w:t>2</w:t>
      </w:r>
      <w:r>
        <w:noBreakHyphen/>
        <w:t>1 Уголовного кодекса).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Эти новые юридические меры наказания позволят активизировать борьбу с сетями сутенеров.  Кроме того, министерство юстиции направило во все пр</w:t>
      </w:r>
      <w:r>
        <w:t>о</w:t>
      </w:r>
      <w:r>
        <w:t>куратуры циркуляр от 18 декабря 2001 года относительно борьбы с сутенерс</w:t>
      </w:r>
      <w:r>
        <w:t>т</w:t>
      </w:r>
      <w:r>
        <w:t>вом. Этот документ призван улучшить координацию работы судебных органов на основе финансового и имущественного подхода к преступным группам, з</w:t>
      </w:r>
      <w:r>
        <w:t>а</w:t>
      </w:r>
      <w:r>
        <w:t>нимающимся организацией проституции, улучшить защиту проституток в к</w:t>
      </w:r>
      <w:r>
        <w:t>а</w:t>
      </w:r>
      <w:r>
        <w:t>честве жертв и учредить в прокуратурах должность магистратов-консультантов по вопросам борьбы с сутенерством.</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rPr>
          <w:b/>
          <w:i/>
          <w:sz w:val="24"/>
        </w:rPr>
      </w:pPr>
      <w:r>
        <w:rPr>
          <w:b/>
          <w:i/>
          <w:sz w:val="24"/>
        </w:rPr>
        <w:t>2.</w:t>
      </w:r>
      <w:r>
        <w:rPr>
          <w:b/>
          <w:i/>
          <w:sz w:val="24"/>
        </w:rPr>
        <w:tab/>
        <w:t>Парламентская группа по проблеме проституции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r>
        <w:tab/>
        <w:t>В 1999 году Комиссия по правам женщин и равенству возможностей ме</w:t>
      </w:r>
      <w:r>
        <w:t>ж</w:t>
      </w:r>
      <w:r>
        <w:t>ду женщинами и мужчинами Сената представила свой первый ежегодный до</w:t>
      </w:r>
      <w:r>
        <w:t>к</w:t>
      </w:r>
      <w:r>
        <w:t>лад по вопросу о проституции. На базе этого доклада главе Комиссии декретом от 16 февраля 2001 года было поручено руководить работой Парламентской группы по проблеме проституции.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r>
        <w:tab/>
        <w:t>В подготовленном по итогам работы докладе, который был обнародован 8 февраля 2001 года, отмечается необходимость создания структур, способных обеспечить проведение более последовательной политики борьбы с простит</w:t>
      </w:r>
      <w:r>
        <w:t>у</w:t>
      </w:r>
      <w:r>
        <w:t>цией, и сформулированы соответствующие предложения, которые излагаются ниже.</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r>
        <w:tab/>
        <w:t>Центр по мониторингу, комитет или Высший совет позволили бы создать одновременно реальный статистический механизм, потенциал для изучения потребностей и инструмент учета и распространения предпринимаемых дейс</w:t>
      </w:r>
      <w:r>
        <w:t>т</w:t>
      </w:r>
      <w:r>
        <w:t>вий.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Кроме того, Комиссия считает необходимым сделать борьбу с сутенерс</w:t>
      </w:r>
      <w:r>
        <w:t>т</w:t>
      </w:r>
      <w:r>
        <w:t>вом одной из первоочередных задач полиции и укрепить политику сотруднич</w:t>
      </w:r>
      <w:r>
        <w:t>е</w:t>
      </w:r>
      <w:r>
        <w:t>ства между различными странами. Исходя из этого в каждой стране следует н</w:t>
      </w:r>
      <w:r>
        <w:t>а</w:t>
      </w:r>
      <w:r>
        <w:t>значить национального докладчика во исполнение рекомендаций специальной сессии Генеральной Ассамблеи Организации Объединенных Наций, посвяще</w:t>
      </w:r>
      <w:r>
        <w:t>н</w:t>
      </w:r>
      <w:r>
        <w:t>ной итогам проходившей в июне 2000 года четвертой Всемирной конференции по положению женщин ("Пекин + пять").</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 точки зрения предотвращения проституции и реадаптации, акцент сл</w:t>
      </w:r>
      <w:r>
        <w:t>е</w:t>
      </w:r>
      <w:r>
        <w:t>дует делать на:</w:t>
      </w:r>
    </w:p>
    <w:p w:rsidR="00000000" w:rsidRDefault="00000000">
      <w:pPr>
        <w:numPr>
          <w:ilvl w:val="0"/>
          <w:numId w:val="292"/>
        </w:numPr>
        <w:tabs>
          <w:tab w:val="clear" w:pos="475"/>
          <w:tab w:val="num" w:pos="1195"/>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jc w:val="both"/>
      </w:pPr>
      <w:r>
        <w:t>информацию с целью привлечения внимания молодежи и работников си</w:t>
      </w:r>
      <w:r>
        <w:t>с</w:t>
      </w:r>
      <w:r>
        <w:t>темы образования к этим проблемам с помощью общенациональных и р</w:t>
      </w:r>
      <w:r>
        <w:t>е</w:t>
      </w:r>
      <w:r>
        <w:t>гулярных кампаний;</w:t>
      </w:r>
    </w:p>
    <w:p w:rsidR="00000000" w:rsidRDefault="00000000">
      <w:pPr>
        <w:numPr>
          <w:ilvl w:val="0"/>
          <w:numId w:val="292"/>
        </w:numPr>
        <w:tabs>
          <w:tab w:val="clear" w:pos="475"/>
          <w:tab w:val="num" w:pos="1195"/>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jc w:val="both"/>
      </w:pPr>
      <w:r>
        <w:t>подготовку социальных работников и государственных служащих, отве</w:t>
      </w:r>
      <w:r>
        <w:t>т</w:t>
      </w:r>
      <w:r>
        <w:t>стве</w:t>
      </w:r>
      <w:r>
        <w:t>н</w:t>
      </w:r>
      <w:r>
        <w:t>ных за применение законодательства в этой области;</w:t>
      </w:r>
    </w:p>
    <w:p w:rsidR="00000000" w:rsidRDefault="00000000">
      <w:pPr>
        <w:numPr>
          <w:ilvl w:val="0"/>
          <w:numId w:val="292"/>
        </w:numPr>
        <w:tabs>
          <w:tab w:val="clear" w:pos="475"/>
          <w:tab w:val="num" w:pos="1195"/>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jc w:val="both"/>
      </w:pPr>
      <w:r>
        <w:t>укрепление поддержки действующих в этой области ассоциаций, повс</w:t>
      </w:r>
      <w:r>
        <w:t>е</w:t>
      </w:r>
      <w:r>
        <w:t>местное создание департаментских комиссий и любые меры, способные помочь пр</w:t>
      </w:r>
      <w:r>
        <w:t>о</w:t>
      </w:r>
      <w:r>
        <w:t>ституткам начать процесс реадаптации.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rPr>
          <w:sz w:val="24"/>
        </w:rPr>
      </w:pPr>
      <w:r>
        <w:rPr>
          <w:b/>
          <w:i/>
          <w:sz w:val="24"/>
        </w:rPr>
        <w:t>3.</w:t>
      </w:r>
      <w:r>
        <w:rPr>
          <w:b/>
          <w:i/>
          <w:sz w:val="24"/>
        </w:rPr>
        <w:tab/>
        <w:t>Парламентская группа по проблеме современного рабства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Задача группы заключается в том, чтобы получить четкое представление о сложившейся во Франции ситуации, связанной с рабством, прежде чем ра</w:t>
      </w:r>
      <w:r>
        <w:t>с</w:t>
      </w:r>
      <w:r>
        <w:t>сматривать ее в международном контексте, и в конечном итоге разработать предложения политического и законодательного характера, направленные на борьбу с явлением, характеризующимся значительными масштабами и уровнем насилия. Группа определила четыре направления реформы, которые ориент</w:t>
      </w:r>
      <w:r>
        <w:t>и</w:t>
      </w:r>
      <w:r>
        <w:t>рованы на жертвы, торговцев, институциональную систему и общественное мнение.</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Предложения, касающиеся борьбы с сексуальной эксплуатацией, излаг</w:t>
      </w:r>
      <w:r>
        <w:t>а</w:t>
      </w:r>
      <w:r>
        <w:t>ются ниже.</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Следует отметить, что в ответ на предложения, сформулированные Па</w:t>
      </w:r>
      <w:r>
        <w:t>р</w:t>
      </w:r>
      <w:r>
        <w:t>ламентской группой по информации, законопроект об усилении борьбы с ра</w:t>
      </w:r>
      <w:r>
        <w:t>з</w:t>
      </w:r>
      <w:r>
        <w:t>личными формами рабства был принят Национальным собранием 24 января 2002 года и направлен в Сенат. Этот документ предусматривает, в частности, признание торговли людьми уголовным преступлением и предоставление, в рамках права на осуществление профессиональной деятельности, разрешения на временное проживание жертвам торговли, которые соглашаются подать ж</w:t>
      </w:r>
      <w:r>
        <w:t>а</w:t>
      </w:r>
      <w:r>
        <w:t>лобу или свидетельствовать против лица, виновного в совершении против них преступления, связанного с торговлей. Разрешение на временное проживание, которое может быть предоставлено, может продлеваться, а затем, после заве</w:t>
      </w:r>
      <w:r>
        <w:t>р</w:t>
      </w:r>
      <w:r>
        <w:t>шения процесса судопроизводства, жертве торговли или лицу, которое свид</w:t>
      </w:r>
      <w:r>
        <w:t>е</w:t>
      </w:r>
      <w:r>
        <w:t>тельствовало по этим фактам, может быть, кроме того, выдано удостоверение личности иностранца, постоянно проживающего во Франции.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Содержащееся в докладе Парламентской группы предложение о налож</w:t>
      </w:r>
      <w:r>
        <w:t>е</w:t>
      </w:r>
      <w:r>
        <w:t>нии, в порядке обеспечения иска, на этапе предварительного следствия ареста на все движимое и недвижимое имущество лица, в отношении которого пров</w:t>
      </w:r>
      <w:r>
        <w:t>о</w:t>
      </w:r>
      <w:r>
        <w:t>дится расследование, было включено в законопроект и принято в первом чт</w:t>
      </w:r>
      <w:r>
        <w:t>е</w:t>
      </w:r>
      <w:r>
        <w:t>нии, и в настоящее время ведется работа по расширению возможности распр</w:t>
      </w:r>
      <w:r>
        <w:t>о</w:t>
      </w:r>
      <w:r>
        <w:t>странения его на членов организованных группировок.</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rPr>
          <w:i/>
          <w:u w:val="single"/>
        </w:rPr>
      </w:pPr>
      <w:r>
        <w:rPr>
          <w:i/>
        </w:rPr>
        <w:t>3.1</w:t>
      </w:r>
      <w:r>
        <w:rPr>
          <w:i/>
        </w:rPr>
        <w:tab/>
      </w:r>
      <w:r>
        <w:rPr>
          <w:i/>
          <w:u w:val="single"/>
        </w:rPr>
        <w:t>Предоставление жертвам социальной поддержки и статуса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r>
        <w:tab/>
        <w:t>Положение жертв с точки зрения прав на проживание и особенно страх, который сковывает их действия перед лицом крайних форм насилия со стороны членов организованных группировок, требует создания дополнительных пр</w:t>
      </w:r>
      <w:r>
        <w:t>и</w:t>
      </w:r>
      <w:r>
        <w:t>ютов специально для жертв торговли. Помимо предоставления просто приюта эти центры могли бы в течение трех месяцев оказывать медицинскую и псих</w:t>
      </w:r>
      <w:r>
        <w:t>о</w:t>
      </w:r>
      <w:r>
        <w:t>логическую помощь, а также заниматься реадаптацией с учетом обстоятельств, с которыми столкнулась каждая из жертв. В течение упомянутых трех месяцев жертва должна определить свое будущее и сделать выбор в отношении того, чтобы либо остаться во Франции, либо вернуться в свою страну происхожд</w:t>
      </w:r>
      <w:r>
        <w:t>е</w:t>
      </w:r>
      <w:r>
        <w:t>ния.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r>
        <w:tab/>
        <w:t>Если жертва высказывается за то, чтобы остаться на французской терр</w:t>
      </w:r>
      <w:r>
        <w:t>и</w:t>
      </w:r>
      <w:r>
        <w:t>тории, Группа предлагает, чтобы в обмен на сотрудничество со службами п</w:t>
      </w:r>
      <w:r>
        <w:t>о</w:t>
      </w:r>
      <w:r>
        <w:t>лиции и правосудия жертвам выдавался временный вид на жительство сроком на шесть месяцев, подлежащий возобновлению и предусматривающий разр</w:t>
      </w:r>
      <w:r>
        <w:t>е</w:t>
      </w:r>
      <w:r>
        <w:t>шение на работу. Наблюдение за жертвой до завершения судебной процедуры будет обеспечивать должным образом зарегистрированная организация.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ab/>
        <w:t>Если жертва предпочтет вернуться в свою страну происхождения, гос</w:t>
      </w:r>
      <w:r>
        <w:t>у</w:t>
      </w:r>
      <w:r>
        <w:t>дарство должно помочь в реализации этого выбора и, в частности, с точки зр</w:t>
      </w:r>
      <w:r>
        <w:t>е</w:t>
      </w:r>
      <w:r>
        <w:t>ния финансирования. Группа высказывается за создание структур, финанс</w:t>
      </w:r>
      <w:r>
        <w:t>и</w:t>
      </w:r>
      <w:r>
        <w:t>руемых Францией и получающих поддержку со стороны неправительственных организаций в странах происхождения.</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rPr>
          <w:i/>
          <w:u w:val="single"/>
        </w:rPr>
      </w:pPr>
      <w:r>
        <w:rPr>
          <w:i/>
        </w:rPr>
        <w:t>3.2</w:t>
      </w:r>
      <w:r>
        <w:rPr>
          <w:i/>
        </w:rPr>
        <w:tab/>
      </w:r>
      <w:r>
        <w:rPr>
          <w:i/>
          <w:u w:val="single"/>
        </w:rPr>
        <w:t>Наказание торговцев</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r>
        <w:tab/>
        <w:t>Группа ставит перед собой задачу изучить вопрос о признании торговли людьми преступлением, имея в виду включение соответствующих положений в новый раздел Уголовного кодекса в главе V "</w:t>
      </w:r>
      <w:r>
        <w:rPr>
          <w:i/>
        </w:rPr>
        <w:t>Посягательства на достоинство личности</w:t>
      </w:r>
      <w:r>
        <w:t>" части 2, посвященной "</w:t>
      </w:r>
      <w:r>
        <w:rPr>
          <w:i/>
        </w:rPr>
        <w:t>Посягательствам на человеческое достои</w:t>
      </w:r>
      <w:r>
        <w:rPr>
          <w:i/>
        </w:rPr>
        <w:t>н</w:t>
      </w:r>
      <w:r>
        <w:rPr>
          <w:i/>
        </w:rPr>
        <w:t>ство</w:t>
      </w:r>
      <w:r>
        <w:t>" в рамках книги 2 Кодекса "</w:t>
      </w:r>
      <w:r>
        <w:rPr>
          <w:i/>
        </w:rPr>
        <w:t>Преступления и проступки против личн</w:t>
      </w:r>
      <w:r>
        <w:rPr>
          <w:i/>
        </w:rPr>
        <w:t>о</w:t>
      </w:r>
      <w:r>
        <w:rPr>
          <w:i/>
        </w:rPr>
        <w:t>сти</w:t>
      </w:r>
      <w:r>
        <w:t>". Включение таких положений, касающихся базового правонарушения, квалифицируемого с учетом отягчающих обстоятельств, одновременно потр</w:t>
      </w:r>
      <w:r>
        <w:t>е</w:t>
      </w:r>
      <w:r>
        <w:t>бовало бы пересмотра некоторых видов правонарушений, подпадающих в н</w:t>
      </w:r>
      <w:r>
        <w:t>а</w:t>
      </w:r>
      <w:r>
        <w:t>стоящее время под положения о пресечении торговли, таких, например, как с</w:t>
      </w:r>
      <w:r>
        <w:t>у</w:t>
      </w:r>
      <w:r>
        <w:t>тенерство.</w:t>
      </w:r>
    </w:p>
    <w:p w:rsidR="00000000" w:rsidRDefault="00000000">
      <w:pPr>
        <w:numPr>
          <w:ilvl w:val="0"/>
          <w:numId w:val="293"/>
        </w:numPr>
        <w:tabs>
          <w:tab w:val="clear" w:pos="720"/>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82"/>
      </w:pPr>
      <w:r>
        <w:rPr>
          <w:b/>
          <w:i/>
        </w:rPr>
        <w:t>Меры уголовно-правового характера в отношении проституции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hanging="7"/>
        <w:jc w:val="both"/>
      </w:pPr>
      <w:r>
        <w:rPr>
          <w:lang w:val="en-US"/>
        </w:rPr>
        <w:t xml:space="preserve"> </w:t>
      </w:r>
      <w:r>
        <w:rPr>
          <w:lang w:val="en-US"/>
        </w:rPr>
        <w:tab/>
      </w:r>
      <w:r>
        <w:t>В рамках усилий по пресечению сутенерства провозглашенные меры уг</w:t>
      </w:r>
      <w:r>
        <w:t>о</w:t>
      </w:r>
      <w:r>
        <w:t>ловного наказания в виде штрафа, в отличие от предусмотренных (от</w:t>
      </w:r>
      <w:r>
        <w:rPr>
          <w:lang w:val="en-US"/>
        </w:rPr>
        <w:t> </w:t>
      </w:r>
      <w:r>
        <w:t>150 000</w:t>
      </w:r>
      <w:r>
        <w:rPr>
          <w:lang w:val="en-US"/>
        </w:rPr>
        <w:t> </w:t>
      </w:r>
      <w:r>
        <w:t>до 4,5 млн. евро), представляются довольно мягкими, учитывая д</w:t>
      </w:r>
      <w:r>
        <w:t>о</w:t>
      </w:r>
      <w:r>
        <w:t>ходы, которые приносит сексуальная эксплуатация. Поэтому более жесткое применение финансовых санкций, а также процедур наложения ареста на им</w:t>
      </w:r>
      <w:r>
        <w:t>у</w:t>
      </w:r>
      <w:r>
        <w:t>щество могло бы принести пользу. Задача заключается в том, чтобы воздейс</w:t>
      </w:r>
      <w:r>
        <w:t>т</w:t>
      </w:r>
      <w:r>
        <w:t>вовать на самые уязвимые точки организованных группировок, а именно их прибыли. Группа предлагает распространить на дела, связанные с сутенерс</w:t>
      </w:r>
      <w:r>
        <w:t>т</w:t>
      </w:r>
      <w:r>
        <w:t>вом, действующие в настоящее время более жесткие положения, касающиеся оборота наркотиков и отмывания денег. Можно было бы, в частности, разр</w:t>
      </w:r>
      <w:r>
        <w:t>е</w:t>
      </w:r>
      <w:r>
        <w:t>шить использовать процедуру наложения ареста на имущество ответчика в п</w:t>
      </w:r>
      <w:r>
        <w:t>о</w:t>
      </w:r>
      <w:r>
        <w:t>рядке обеспечения иска на этапе судебного следствия либо конфискации всего или части имущества осужденного.</w:t>
      </w:r>
    </w:p>
    <w:p w:rsidR="00000000" w:rsidRDefault="00000000">
      <w:pPr>
        <w:numPr>
          <w:ilvl w:val="0"/>
          <w:numId w:val="294"/>
        </w:numPr>
        <w:tabs>
          <w:tab w:val="clear" w:pos="720"/>
          <w:tab w:val="left" w:pos="1267"/>
          <w:tab w:val="num" w:pos="1368"/>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915" w:right="1267"/>
      </w:pPr>
      <w:r>
        <w:rPr>
          <w:b/>
          <w:i/>
        </w:rPr>
        <w:t>Совершенствование механизмов сбора доказательств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Для того чтобы сделать политику борьбы с группировками, занимающ</w:t>
      </w:r>
      <w:r>
        <w:t>и</w:t>
      </w:r>
      <w:r>
        <w:t>мися торговлей людьми, по</w:t>
      </w:r>
      <w:r>
        <w:noBreakHyphen/>
        <w:t>настоящему эффективной, Группа рекомендует:</w:t>
      </w:r>
    </w:p>
    <w:p w:rsidR="00000000" w:rsidRDefault="00000000">
      <w:pPr>
        <w:numPr>
          <w:ilvl w:val="0"/>
          <w:numId w:val="295"/>
        </w:numPr>
        <w:tabs>
          <w:tab w:val="clear" w:pos="475"/>
          <w:tab w:val="num" w:pos="1195"/>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jc w:val="both"/>
      </w:pPr>
      <w:r>
        <w:t>разрешить проведение операций по внедрению применительно к престу</w:t>
      </w:r>
      <w:r>
        <w:t>п</w:t>
      </w:r>
      <w:r>
        <w:t>лен</w:t>
      </w:r>
      <w:r>
        <w:t>и</w:t>
      </w:r>
      <w:r>
        <w:t>ям, связанным с торговлей людьми и детской порнографией;</w:t>
      </w:r>
    </w:p>
    <w:p w:rsidR="00000000" w:rsidRDefault="00000000">
      <w:pPr>
        <w:numPr>
          <w:ilvl w:val="0"/>
          <w:numId w:val="295"/>
        </w:numPr>
        <w:tabs>
          <w:tab w:val="clear" w:pos="475"/>
          <w:tab w:val="num" w:pos="1195"/>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jc w:val="both"/>
      </w:pPr>
      <w:r>
        <w:t>разрешить проведение обысков по всей цепочке;</w:t>
      </w:r>
    </w:p>
    <w:p w:rsidR="00000000" w:rsidRDefault="00000000">
      <w:pPr>
        <w:numPr>
          <w:ilvl w:val="0"/>
          <w:numId w:val="295"/>
        </w:numPr>
        <w:tabs>
          <w:tab w:val="clear" w:pos="475"/>
          <w:tab w:val="num" w:pos="1195"/>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742" w:right="1267"/>
        <w:jc w:val="both"/>
      </w:pPr>
      <w:r>
        <w:t>взять за основу режим, действующий в отношении нарушений законов о печати применительно к техническим посредникам в рамках системы И</w:t>
      </w:r>
      <w:r>
        <w:t>н</w:t>
      </w:r>
      <w:r>
        <w:t>тернет, который предусматривает механизм вертикальной ответственн</w:t>
      </w:r>
      <w:r>
        <w:t>о</w:t>
      </w:r>
      <w:r>
        <w:t>сти, когда обвинение вменяется поочередно всем участникам цепочки в том случае, если не выявлено первое лицо.</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i/>
          <w:u w:val="single"/>
        </w:rPr>
      </w:pPr>
      <w:r>
        <w:rPr>
          <w:i/>
        </w:rPr>
        <w:t>3.3</w:t>
      </w:r>
      <w:r>
        <w:rPr>
          <w:i/>
        </w:rPr>
        <w:tab/>
      </w:r>
      <w:r>
        <w:rPr>
          <w:i/>
          <w:u w:val="single"/>
        </w:rPr>
        <w:t>Борьба с торговлей людьми - приоритетная задача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докладе предлагается создать общенациональную структуру в виде межведомственной группы, которая бы занималась всем комплексом проблем рабства. Кроме того, подготовка сотрудников полиции и судей по этим вопр</w:t>
      </w:r>
      <w:r>
        <w:t>о</w:t>
      </w:r>
      <w:r>
        <w:t>сам должна быть организована уже на этапе начальной подготовки. В некоторых территориях, в наибольшей степени затронутых этим явлением, следовало бы создать центры по борьбе с торговлей людьми.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Необходимо укреплять роль местных общественных организаций. Поле</w:t>
      </w:r>
      <w:r>
        <w:t>з</w:t>
      </w:r>
      <w:r>
        <w:t>но было бы установить "зеленый номер", по которому подвергающиеся опа</w:t>
      </w:r>
      <w:r>
        <w:t>с</w:t>
      </w:r>
      <w:r>
        <w:t>ности лица могли бы звонить в любое время.</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i/>
          <w:u w:val="single"/>
        </w:rPr>
      </w:pPr>
      <w:r>
        <w:rPr>
          <w:i/>
        </w:rPr>
        <w:t>3.4</w:t>
      </w:r>
      <w:r>
        <w:rPr>
          <w:i/>
        </w:rPr>
        <w:tab/>
      </w:r>
      <w:r>
        <w:rPr>
          <w:i/>
          <w:u w:val="single"/>
        </w:rPr>
        <w:t>Повышение уровня осведомленности общественности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 целью содействовать изменению взглядов и формированию иного по</w:t>
      </w:r>
      <w:r>
        <w:t>д</w:t>
      </w:r>
      <w:r>
        <w:t>хода к явлению проституции необходимо подумать над организацией информ</w:t>
      </w:r>
      <w:r>
        <w:t>а</w:t>
      </w:r>
      <w:r>
        <w:t>ционных кампаний с использованием плакатов, а также радио- и телеобъявл</w:t>
      </w:r>
      <w:r>
        <w:t>е</w:t>
      </w:r>
      <w:r>
        <w:t>ний.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И наконец, Группа считает, что в рамках расширения Европейского союза при рассмотрении кандидатур от некоторых стран одним из критериев должна стать конкретная разработка международных норм, касающихся торговли людьми.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i/>
          <w:sz w:val="24"/>
        </w:rPr>
      </w:pPr>
      <w:r>
        <w:rPr>
          <w:b/>
          <w:i/>
          <w:sz w:val="24"/>
        </w:rPr>
        <w:t>4.</w:t>
      </w:r>
      <w:r>
        <w:rPr>
          <w:b/>
          <w:i/>
          <w:sz w:val="24"/>
        </w:rPr>
        <w:tab/>
        <w:t>Рабочая группа Национального совета помощи жертвам</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Национальный совет помощи жертвам (НСПЖ), который был создан де</w:t>
      </w:r>
      <w:r>
        <w:t>к</w:t>
      </w:r>
      <w:r>
        <w:t>ретом от 3 августа 1999 года, участвует в выработке подлинно государственной политики оказания помощи жертвам. Его задача заключается в обеспечении последовательности и согласованности действий в области оказания помощи жертвам, и в своей деятельности в этом направлении он должен опираться на гармоничное сотрудничество государственных служб, местных коллективов и сети общественных организаций по оказанию помощи жертвам. В состав этого совета входят представители основных министерств, депутаты и 12 экспертов, назначаемых с учетом того, что они занимаются вопросами политики оказания помощи жертвам правонарушений.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В рамках работы Национального совета в 2001 году была создана группа, которой было поручено заниматься проблемами жертв современного рабства. Эта группа занимается изучением статуса жертв с точки зрения прав на прож</w:t>
      </w:r>
      <w:r>
        <w:t>и</w:t>
      </w:r>
      <w:r>
        <w:t>вание для тех из них, кто имеет иностранное гражданство, или же с точки зр</w:t>
      </w:r>
      <w:r>
        <w:t>е</w:t>
      </w:r>
      <w:r>
        <w:t>ния специализированных приютов для жертв, предлагающих действенную ал</w:t>
      </w:r>
      <w:r>
        <w:t>ь</w:t>
      </w:r>
      <w:r>
        <w:t>тернативу, направленную на разрыв со средой, где имеет место эксплуатация. Выявлена также необходимость развития информационно-просветительской работы среди общественности и специалистов в стране происхождения и пр</w:t>
      </w:r>
      <w:r>
        <w:t>и</w:t>
      </w:r>
      <w:r>
        <w:t>нимающей стране. 19 марта 2002 года на своем пленарном заседании, прох</w:t>
      </w:r>
      <w:r>
        <w:t>о</w:t>
      </w:r>
      <w:r>
        <w:t>дившем под председательством министра юстиции, НСПЖ принял доклад о положении с современным рабством.</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sz w:val="24"/>
        </w:rPr>
      </w:pPr>
      <w:r>
        <w:rPr>
          <w:b/>
          <w:i/>
          <w:sz w:val="24"/>
        </w:rPr>
        <w:t>5.</w:t>
      </w:r>
      <w:r>
        <w:rPr>
          <w:b/>
          <w:i/>
          <w:sz w:val="24"/>
        </w:rPr>
        <w:tab/>
        <w:t>Включение проблемы проституции в работу Национал</w:t>
      </w:r>
      <w:r>
        <w:rPr>
          <w:b/>
          <w:i/>
          <w:sz w:val="24"/>
        </w:rPr>
        <w:t>ь</w:t>
      </w:r>
      <w:r>
        <w:rPr>
          <w:b/>
          <w:i/>
          <w:sz w:val="24"/>
        </w:rPr>
        <w:t>ной комиссии по борьбе с насилием в отношении женщин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Подкомиссия по вопросам "проституции и торговли людьми в целях се</w:t>
      </w:r>
      <w:r>
        <w:t>к</w:t>
      </w:r>
      <w:r>
        <w:t>суальной эксплуатации" вошла в состав нового национального координацио</w:t>
      </w:r>
      <w:r>
        <w:t>н</w:t>
      </w:r>
      <w:r>
        <w:t>ного механизма по проблеме насилия в отношении женщин.</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Торговля людьми в целях сексуальной эксплуатации представляет собой особенно неприемлемую форму насилия, и положение жертв проституции, в</w:t>
      </w:r>
      <w:r>
        <w:t>ы</w:t>
      </w:r>
      <w:r>
        <w:t>зывающее чрезвычайную озабоченность, является основным направлением р</w:t>
      </w:r>
      <w:r>
        <w:t>а</w:t>
      </w:r>
      <w:r>
        <w:t>боты первой подкомиссии, созданной 29 января 2002 года в рамках Национал</w:t>
      </w:r>
      <w:r>
        <w:t>ь</w:t>
      </w:r>
      <w:r>
        <w:t>ной комиссии по борьбе с насилием в отношении женщин, учрежденной декр</w:t>
      </w:r>
      <w:r>
        <w:t>е</w:t>
      </w:r>
      <w:r>
        <w:t>том от 21 декабря 2001 года.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Хотя разъяснения, предлагаемые в вышеупомянутых официальных докл</w:t>
      </w:r>
      <w:r>
        <w:t>а</w:t>
      </w:r>
      <w:r>
        <w:t>дах, касаются главным образом торговли людьми, группе необходимо проан</w:t>
      </w:r>
      <w:r>
        <w:t>а</w:t>
      </w:r>
      <w:r>
        <w:t>лизировать взаимосвязь между той и другой проблемами, а именно простит</w:t>
      </w:r>
      <w:r>
        <w:t>у</w:t>
      </w:r>
      <w:r>
        <w:t>цией и торговлей людьми.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К тому же признание того, что человека нельзя низводить до положения товара и что лицо, занимающееся проституцией, является жертвой, требует, чтобы при решении проблемы проституции на первый план выдвигались не только задачи борьбы с сексуальным насилием, но и более глобальная пробл</w:t>
      </w:r>
      <w:r>
        <w:t>е</w:t>
      </w:r>
      <w:r>
        <w:t>ма неравенства между мужчинами и женщинами и отношений господства и з</w:t>
      </w:r>
      <w:r>
        <w:t>а</w:t>
      </w:r>
      <w:r>
        <w:t xml:space="preserve">висимости между мужчинами и женщинами. Вышеупомянутая подкомиссия 5 марта 2002 года выпустила доклад </w:t>
      </w:r>
      <w:r>
        <w:rPr>
          <w:i/>
        </w:rPr>
        <w:t>"Le système de la prostitution: une violence à l'encontre des femmes"</w:t>
      </w:r>
      <w:r>
        <w:t xml:space="preserve"> ("Проституция: насилие в отношении женщин"), в кот</w:t>
      </w:r>
      <w:r>
        <w:t>о</w:t>
      </w:r>
      <w:r>
        <w:t>ром проституция определяется как проявление сексуального насилия. В качестве одной из рекомендаций, сформулированных в докладе, подчеркив</w:t>
      </w:r>
      <w:r>
        <w:t>а</w:t>
      </w:r>
      <w:r>
        <w:t>лась необходимость проведения обследования, которое бы позволило опред</w:t>
      </w:r>
      <w:r>
        <w:t>е</w:t>
      </w:r>
      <w:r>
        <w:t>лить масштабы проституции и торговли людьми.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sz w:val="24"/>
          <w:u w:val="single"/>
        </w:rPr>
      </w:pPr>
      <w:r>
        <w:rPr>
          <w:b/>
          <w:sz w:val="24"/>
        </w:rPr>
        <w:t>II.</w:t>
      </w:r>
      <w:r>
        <w:rPr>
          <w:b/>
          <w:sz w:val="24"/>
        </w:rPr>
        <w:tab/>
      </w:r>
      <w:r>
        <w:rPr>
          <w:b/>
          <w:sz w:val="24"/>
          <w:u w:val="single"/>
        </w:rPr>
        <w:t>Проституция несовершеннолетних</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законе от 4 марта 2002 года о правах и обязанностях родителей</w:t>
      </w:r>
      <w:r>
        <w:rPr>
          <w:rStyle w:val="FootnoteReference"/>
        </w:rPr>
        <w:footnoteReference w:id="5"/>
      </w:r>
      <w:r>
        <w:t xml:space="preserve"> пр</w:t>
      </w:r>
      <w:r>
        <w:t>о</w:t>
      </w:r>
      <w:r>
        <w:t>блема проституции несовершеннолетних рассматривается в рамках конкретных предложений. Именно поэтому в Уголовный кодекс вслед за положениями о наказании за сутенерство был включен новый раздел, озаглавленный "О проституции несовершеннолетних".</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связи с наличием определенного юридического пробела в определении статуса несовершеннолетнего лица в возрасте от 15 до 18 лет, занимающегося проституцией, вводится положение о признании совершившим конкретное преступление лица, которое домогается, позволяет или добивается "</w:t>
      </w:r>
      <w:r>
        <w:rPr>
          <w:i/>
        </w:rPr>
        <w:t>в обмен на вознаграждение или обещание вознаграждения отношений сексуального х</w:t>
      </w:r>
      <w:r>
        <w:rPr>
          <w:i/>
        </w:rPr>
        <w:t>а</w:t>
      </w:r>
      <w:r>
        <w:rPr>
          <w:i/>
        </w:rPr>
        <w:t>рактера с несовершеннолетним лицом, занимающимся проституцией</w:t>
      </w:r>
      <w:r>
        <w:t>". Таким образом, это новое преступление принуждения к проституции несовершенн</w:t>
      </w:r>
      <w:r>
        <w:t>о</w:t>
      </w:r>
      <w:r>
        <w:t>летних касается клиента несовершеннолетнего лица, занимающегося прост</w:t>
      </w:r>
      <w:r>
        <w:t>и</w:t>
      </w:r>
      <w:r>
        <w:t>туцией, и предусматривает наказание в виде тюремного заключения сроком на три года или штрафа в размере 45 000 евро; при наличии отягчающих обсто</w:t>
      </w:r>
      <w:r>
        <w:t>я</w:t>
      </w:r>
      <w:r>
        <w:t>тельств это наказание возрастает до пяти лет тюремного заключения и штрафа в размере 75 000 евро.</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Отягчающие обстоятельства предусмотрены, если речь идет о несове</w:t>
      </w:r>
      <w:r>
        <w:t>р</w:t>
      </w:r>
      <w:r>
        <w:t>шеннолетнем в возрасте 15 лет (наказание в виде лишения свободы с обяз</w:t>
      </w:r>
      <w:r>
        <w:t>а</w:t>
      </w:r>
      <w:r>
        <w:t>тельным трудом сроком на 15 лет и штрафа в размере 3 млн. евро), если пр</w:t>
      </w:r>
      <w:r>
        <w:t>е</w:t>
      </w:r>
      <w:r>
        <w:t>ступление носит повседневный характер, если виновный злоупотребляет по</w:t>
      </w:r>
      <w:r>
        <w:t>л</w:t>
      </w:r>
      <w:r>
        <w:t>номочиями, связанными с его функциями, или же если несовершеннолетний вступил в контакт с лицом, совершившим преступление, с помощью средства связи типа Интернет.</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 аналогии с действующим положением в отношении посягательств се</w:t>
      </w:r>
      <w:r>
        <w:t>к</w:t>
      </w:r>
      <w:r>
        <w:t>суального характера эти новые положения применимы также в том случае, если такое преступление совершает гражданин Франции за пределами национал</w:t>
      </w:r>
      <w:r>
        <w:t>ь</w:t>
      </w:r>
      <w:r>
        <w:t>ной территории.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Сохраняя верность аболиционистской традиции, Франция и сегодня сч</w:t>
      </w:r>
      <w:r>
        <w:t>и</w:t>
      </w:r>
      <w:r>
        <w:t>тает пресечение эксплуатации проституции сутенерами своей первоочередной задачей. Предусматривая наказание за сексуальные отношения с несоверше</w:t>
      </w:r>
      <w:r>
        <w:t>н</w:t>
      </w:r>
      <w:r>
        <w:t>нолетними, основанные на оплате сексуальных услуг, законодатели впервые обращают свой взор на "клиента", что знаменует собой значительный прогресс в этом отношении.</w:t>
      </w:r>
    </w:p>
    <w:p w:rsidR="00000000" w:rsidRDefault="00000000">
      <w:pPr>
        <w:pStyle w:val="SingleTxt"/>
        <w:spacing w:after="0" w:line="180" w:lineRule="auto"/>
        <w:rPr>
          <w:sz w:val="10"/>
          <w:lang w:val="en-US"/>
        </w:rPr>
      </w:pPr>
      <w:r>
        <w:br w:type="page"/>
      </w: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310" w:lineRule="exact"/>
        <w:ind w:left="1267" w:right="1267"/>
        <w:jc w:val="center"/>
        <w:rPr>
          <w:b/>
          <w:sz w:val="28"/>
        </w:rPr>
      </w:pPr>
      <w:r>
        <w:rPr>
          <w:b/>
          <w:sz w:val="28"/>
        </w:rPr>
        <w:t>СТАТЬЯ 7</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center"/>
        <w:rPr>
          <w:b/>
          <w:i/>
          <w:sz w:val="24"/>
        </w:rPr>
      </w:pPr>
      <w:r>
        <w:rPr>
          <w:b/>
          <w:i/>
          <w:sz w:val="24"/>
        </w:rPr>
        <w:t>Политическая и общественная жизнь</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rPr>
          <w:b/>
          <w:sz w:val="24"/>
          <w:u w:val="single"/>
        </w:rPr>
      </w:pPr>
      <w:r>
        <w:rPr>
          <w:b/>
          <w:sz w:val="24"/>
        </w:rPr>
        <w:t>I.</w:t>
      </w:r>
      <w:r>
        <w:rPr>
          <w:b/>
          <w:sz w:val="24"/>
        </w:rPr>
        <w:tab/>
      </w:r>
      <w:r>
        <w:rPr>
          <w:b/>
          <w:sz w:val="24"/>
          <w:u w:val="single"/>
        </w:rPr>
        <w:t>Политическая жизнь</w:t>
      </w:r>
    </w:p>
    <w:p w:rsidR="00000000" w:rsidRDefault="00000000">
      <w:pPr>
        <w:pStyle w:val="SingleTxt"/>
        <w:spacing w:after="0" w:line="180" w:lineRule="auto"/>
        <w:rPr>
          <w:sz w:val="24"/>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Вопрос о роли женщин в жизни общества и особенно об их участии в принятии решений политического характера по</w:t>
      </w:r>
      <w:r>
        <w:noBreakHyphen/>
        <w:t>прежнему является для прав</w:t>
      </w:r>
      <w:r>
        <w:t>и</w:t>
      </w:r>
      <w:r>
        <w:t>тельства одним из приоритетных.</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Из 33 членов правительства, действовавшего до конца апреля 2002 года, на долю женщин приходилось 9 мест, или 27%. Они занимали следующие п</w:t>
      </w:r>
      <w:r>
        <w:t>о</w:t>
      </w:r>
      <w:r>
        <w:t>сты:</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министры</w:t>
      </w:r>
    </w:p>
    <w:p w:rsidR="00000000" w:rsidRDefault="00000000">
      <w:pPr>
        <w:numPr>
          <w:ilvl w:val="0"/>
          <w:numId w:val="296"/>
        </w:numPr>
        <w:tabs>
          <w:tab w:val="clear" w:pos="475"/>
          <w:tab w:val="num" w:pos="1195"/>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jc w:val="both"/>
      </w:pPr>
      <w:r>
        <w:t>занятости и солидарности;</w:t>
      </w:r>
    </w:p>
    <w:p w:rsidR="00000000" w:rsidRDefault="00000000">
      <w:pPr>
        <w:numPr>
          <w:ilvl w:val="0"/>
          <w:numId w:val="296"/>
        </w:numPr>
        <w:tabs>
          <w:tab w:val="clear" w:pos="475"/>
          <w:tab w:val="num" w:pos="1195"/>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jc w:val="both"/>
      </w:pPr>
      <w:r>
        <w:t>юстиции;</w:t>
      </w:r>
    </w:p>
    <w:p w:rsidR="00000000" w:rsidRDefault="00000000">
      <w:pPr>
        <w:numPr>
          <w:ilvl w:val="0"/>
          <w:numId w:val="296"/>
        </w:numPr>
        <w:tabs>
          <w:tab w:val="clear" w:pos="475"/>
          <w:tab w:val="num" w:pos="1195"/>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jc w:val="both"/>
      </w:pPr>
      <w:r>
        <w:t>культуры и связи;</w:t>
      </w:r>
    </w:p>
    <w:p w:rsidR="00000000" w:rsidRDefault="00000000">
      <w:pPr>
        <w:numPr>
          <w:ilvl w:val="0"/>
          <w:numId w:val="296"/>
        </w:numPr>
        <w:tabs>
          <w:tab w:val="clear" w:pos="475"/>
          <w:tab w:val="num" w:pos="1195"/>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jc w:val="both"/>
      </w:pPr>
      <w:r>
        <w:t>молодежи и спорта.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Министры-делегаты:</w:t>
      </w:r>
    </w:p>
    <w:p w:rsidR="00000000" w:rsidRDefault="00000000">
      <w:pPr>
        <w:numPr>
          <w:ilvl w:val="0"/>
          <w:numId w:val="298"/>
        </w:numPr>
        <w:tabs>
          <w:tab w:val="clear" w:pos="720"/>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по вопросам семьи, детства и инвалидов.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Государственные секретари:</w:t>
      </w:r>
    </w:p>
    <w:p w:rsidR="00000000" w:rsidRDefault="00000000">
      <w:pPr>
        <w:numPr>
          <w:ilvl w:val="0"/>
          <w:numId w:val="299"/>
        </w:numPr>
        <w:tabs>
          <w:tab w:val="clear" w:pos="720"/>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по делам пожилых;</w:t>
      </w:r>
    </w:p>
    <w:p w:rsidR="00000000" w:rsidRDefault="00000000">
      <w:pPr>
        <w:numPr>
          <w:ilvl w:val="0"/>
          <w:numId w:val="299"/>
        </w:numPr>
        <w:tabs>
          <w:tab w:val="clear" w:pos="720"/>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по вопросам жилищного строительства;</w:t>
      </w:r>
    </w:p>
    <w:p w:rsidR="00000000" w:rsidRDefault="00000000">
      <w:pPr>
        <w:numPr>
          <w:ilvl w:val="0"/>
          <w:numId w:val="299"/>
        </w:numPr>
        <w:tabs>
          <w:tab w:val="clear" w:pos="720"/>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по вопросам бюджета;</w:t>
      </w:r>
    </w:p>
    <w:p w:rsidR="00000000" w:rsidRDefault="00000000">
      <w:pPr>
        <w:numPr>
          <w:ilvl w:val="0"/>
          <w:numId w:val="299"/>
        </w:numPr>
        <w:tabs>
          <w:tab w:val="clear" w:pos="720"/>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по вопросам прав женщин и профессиональной подготовки.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Следует подчеркнуть, что некоторые из этих должностей относятся к чи</w:t>
      </w:r>
      <w:r>
        <w:t>с</w:t>
      </w:r>
      <w:r>
        <w:t>лу наиболее значимых. Так, две женщины занимали в правительстве третье и четвертое по важности места.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i/>
          <w:sz w:val="24"/>
        </w:rPr>
      </w:pPr>
      <w:r>
        <w:rPr>
          <w:b/>
          <w:i/>
          <w:sz w:val="24"/>
        </w:rPr>
        <w:t>1.</w:t>
      </w:r>
      <w:r>
        <w:rPr>
          <w:b/>
          <w:i/>
          <w:sz w:val="24"/>
        </w:rPr>
        <w:tab/>
        <w:t>Новые конституционные и законодательные положения, содействующие обеспечению равноправия в политической жизни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пересмотренных конституционных положениях, которые были приняты на заседании парламента 28 июня 1999 года, был закреплен принцип равного доступа женщин и мужчин к выборным должностям. В статье 3 Конституции задача содействия этому равному доступу получает законодательное оформл</w:t>
      </w:r>
      <w:r>
        <w:t>е</w:t>
      </w:r>
      <w:r>
        <w:t>ние, а согласно статье 4 политические партии и объединения "содействуют реализации этого принципа".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декабре 1999 года правительство направило Национальному собранию проект закона "о содействии равному доступу женщин и мужчин к выборным должностям", а также проекта органического закона в отношении заморских территорий (Новая Каледония, Полинезия и Уоллис-и-Футуна). Оба эти текста были обнародованы 6 июня 2000 года.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Правительство высказалось за равное представительство (по 50% канд</w:t>
      </w:r>
      <w:r>
        <w:t>и</w:t>
      </w:r>
      <w:r>
        <w:t>датов каждого пола). Так, закон предусматривает:</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при голосовании по спискам в два тура (муниципальные выборы в комм</w:t>
      </w:r>
      <w:r>
        <w:t>у</w:t>
      </w:r>
      <w:r>
        <w:t>нах, насчитывающих более 3 500 жителей, и региональные выборы) ра</w:t>
      </w:r>
      <w:r>
        <w:t>з</w:t>
      </w:r>
      <w:r>
        <w:t>рыв в количестве кандидатов каждого пола не должен превышать одного кандидата. В рамках каждой группы, состоящей из шести кандидатов, при представлении списка должно указываться равное количество кандидатов каждого пола;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при голосовании по спискам в один тур (выборы в европейские органы и частичные выборы в Сенат) разрыв в количестве кандидатов каждого пола в каждом списке не должен превышать одного кандидата. В каждый сп</w:t>
      </w:r>
      <w:r>
        <w:t>и</w:t>
      </w:r>
      <w:r>
        <w:t>сок п</w:t>
      </w:r>
      <w:r>
        <w:t>о</w:t>
      </w:r>
      <w:r>
        <w:t xml:space="preserve">очередно заносятся фамилии кандидатов каждого пола.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Кроме того, в отношении законодательных выборов, а также с целью обеспечить активное участие политических партий и объединений в механизме обновления политической жизни Франции закон предусматривает финансовую санкцию для тех, кто не соблюдает принцип паритета кандидатур и не пре</w:t>
      </w:r>
      <w:r>
        <w:t>д</w:t>
      </w:r>
      <w:r>
        <w:t>ставляет 50% кандидатов каждого пола (с допущением в размере 2%).</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Этот закон создает простые механизмы, опирающиеся на баланс обяз</w:t>
      </w:r>
      <w:r>
        <w:t>а</w:t>
      </w:r>
      <w:r>
        <w:t>тельных мер и финансовых положений, не ставя под сомнение нынешнюю и</w:t>
      </w:r>
      <w:r>
        <w:t>з</w:t>
      </w:r>
      <w:r>
        <w:t>бирательную систему.</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i/>
          <w:sz w:val="24"/>
        </w:rPr>
      </w:pPr>
      <w:r>
        <w:rPr>
          <w:b/>
          <w:i/>
          <w:sz w:val="24"/>
        </w:rPr>
        <w:t>2.</w:t>
      </w:r>
      <w:r>
        <w:rPr>
          <w:b/>
          <w:i/>
          <w:sz w:val="24"/>
        </w:rPr>
        <w:tab/>
        <w:t>Муниципальные выборы, прошедшие в марте 2001 года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Впервые эти новые положения были применены в ходе муниципальных выборов, прошедших в марте 2001 года. Доля муниципальных советников из числа женщин почти удвоилась.</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коммунах, насчитывающих более 3 500 жителей, на долю женщин пр</w:t>
      </w:r>
      <w:r>
        <w:t>и</w:t>
      </w:r>
      <w:r>
        <w:t>ходится 47,5% советников против прежних 25%.</w:t>
      </w:r>
    </w:p>
    <w:tbl>
      <w:tblPr>
        <w:tblW w:w="0" w:type="auto"/>
        <w:tblInd w:w="1262" w:type="dxa"/>
        <w:tblLayout w:type="fixed"/>
        <w:tblLook w:val="0000" w:firstRow="0" w:lastRow="0" w:firstColumn="0" w:lastColumn="0" w:noHBand="0" w:noVBand="0"/>
      </w:tblPr>
      <w:tblGrid>
        <w:gridCol w:w="4230"/>
        <w:gridCol w:w="810"/>
        <w:gridCol w:w="2340"/>
      </w:tblGrid>
      <w:tr w:rsidR="00000000">
        <w:tblPrEx>
          <w:tblCellMar>
            <w:top w:w="0" w:type="dxa"/>
            <w:bottom w:w="0" w:type="dxa"/>
          </w:tblCellMar>
        </w:tblPrEx>
        <w:tc>
          <w:tcPr>
            <w:tcW w:w="4230" w:type="dxa"/>
            <w:tcBorders>
              <w:top w:val="single" w:sz="4" w:space="0" w:color="auto"/>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Коммуны</w:t>
            </w:r>
          </w:p>
        </w:tc>
        <w:tc>
          <w:tcPr>
            <w:tcW w:w="3150" w:type="dxa"/>
            <w:gridSpan w:val="2"/>
            <w:tcBorders>
              <w:top w:val="single" w:sz="4" w:space="0" w:color="auto"/>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Процент женщин, избранных муниципальными сове</w:t>
            </w:r>
            <w:r>
              <w:t>т</w:t>
            </w:r>
            <w:r>
              <w:t>никами</w:t>
            </w:r>
          </w:p>
        </w:tc>
      </w:tr>
      <w:tr w:rsidR="00000000">
        <w:tblPrEx>
          <w:tblCellMar>
            <w:top w:w="0" w:type="dxa"/>
            <w:bottom w:w="0" w:type="dxa"/>
          </w:tblCellMar>
        </w:tblPrEx>
        <w:tc>
          <w:tcPr>
            <w:tcW w:w="5040" w:type="dxa"/>
            <w:gridSpan w:val="2"/>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3 500-9 000 жителей</w:t>
            </w:r>
          </w:p>
        </w:tc>
        <w:tc>
          <w:tcPr>
            <w:tcW w:w="23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47,4%</w:t>
            </w:r>
          </w:p>
        </w:tc>
      </w:tr>
      <w:tr w:rsidR="00000000">
        <w:tblPrEx>
          <w:tblCellMar>
            <w:top w:w="0" w:type="dxa"/>
            <w:bottom w:w="0" w:type="dxa"/>
          </w:tblCellMar>
        </w:tblPrEx>
        <w:tc>
          <w:tcPr>
            <w:tcW w:w="5040" w:type="dxa"/>
            <w:gridSpan w:val="2"/>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9 000-30 000 жителей</w:t>
            </w:r>
          </w:p>
        </w:tc>
        <w:tc>
          <w:tcPr>
            <w:tcW w:w="23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47,3%</w:t>
            </w:r>
          </w:p>
        </w:tc>
      </w:tr>
      <w:tr w:rsidR="00000000">
        <w:tblPrEx>
          <w:tblCellMar>
            <w:top w:w="0" w:type="dxa"/>
            <w:bottom w:w="0" w:type="dxa"/>
          </w:tblCellMar>
        </w:tblPrEx>
        <w:tc>
          <w:tcPr>
            <w:tcW w:w="5040" w:type="dxa"/>
            <w:gridSpan w:val="2"/>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Более 30 000 жителей</w:t>
            </w:r>
          </w:p>
        </w:tc>
        <w:tc>
          <w:tcPr>
            <w:tcW w:w="23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48,0%</w:t>
            </w:r>
          </w:p>
        </w:tc>
      </w:tr>
      <w:tr w:rsidR="00000000">
        <w:tblPrEx>
          <w:tblCellMar>
            <w:top w:w="0" w:type="dxa"/>
            <w:bottom w:w="0" w:type="dxa"/>
          </w:tblCellMar>
        </w:tblPrEx>
        <w:tc>
          <w:tcPr>
            <w:tcW w:w="5040" w:type="dxa"/>
            <w:gridSpan w:val="2"/>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Итого, коммуны с числом жителей более 3 500 человек</w:t>
            </w:r>
          </w:p>
        </w:tc>
        <w:tc>
          <w:tcPr>
            <w:tcW w:w="2340"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47,5%</w:t>
            </w:r>
          </w:p>
        </w:tc>
      </w:tr>
    </w:tbl>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Источник: министерство внутренних дел - бюро по вопросам выборов и пол</w:t>
      </w:r>
      <w:r>
        <w:t>и</w:t>
      </w:r>
      <w:r>
        <w:t>тических исследований.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то же время количество женщин, избранных мэрами этих коммун, по</w:t>
      </w:r>
      <w:r>
        <w:noBreakHyphen/>
        <w:t>прежнему весьма невелико: из общего количества мэров коммун с числом жителей более 3 500 человек, которых насчитывается 771, они составляют 6,6% против 4,95% в 1995 году, что дает увеличение на 1,65%. Следует отметить, что, в отличие от предыдущих выборов, доля женщин, избранных мэрами, ра</w:t>
      </w:r>
      <w:r>
        <w:t>с</w:t>
      </w:r>
      <w:r>
        <w:t>тет по мене увеличения численности населения коммун.</w:t>
      </w:r>
    </w:p>
    <w:tbl>
      <w:tblPr>
        <w:tblW w:w="0" w:type="auto"/>
        <w:tblInd w:w="1262" w:type="dxa"/>
        <w:tblLayout w:type="fixed"/>
        <w:tblLook w:val="0000" w:firstRow="0" w:lastRow="0" w:firstColumn="0" w:lastColumn="0" w:noHBand="0" w:noVBand="0"/>
      </w:tblPr>
      <w:tblGrid>
        <w:gridCol w:w="5220"/>
        <w:gridCol w:w="270"/>
        <w:gridCol w:w="1890"/>
      </w:tblGrid>
      <w:tr w:rsidR="00000000">
        <w:tblPrEx>
          <w:tblCellMar>
            <w:top w:w="0" w:type="dxa"/>
            <w:bottom w:w="0" w:type="dxa"/>
          </w:tblCellMar>
        </w:tblPrEx>
        <w:tc>
          <w:tcPr>
            <w:tcW w:w="5220" w:type="dxa"/>
            <w:tcBorders>
              <w:top w:val="single" w:sz="4" w:space="0" w:color="auto"/>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Коммуны</w:t>
            </w:r>
          </w:p>
        </w:tc>
        <w:tc>
          <w:tcPr>
            <w:tcW w:w="2160" w:type="dxa"/>
            <w:gridSpan w:val="2"/>
            <w:tcBorders>
              <w:top w:val="single" w:sz="4" w:space="0" w:color="auto"/>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Процент женщин, избранных м</w:t>
            </w:r>
            <w:r>
              <w:t>э</w:t>
            </w:r>
            <w:r>
              <w:t>рами</w:t>
            </w:r>
          </w:p>
        </w:tc>
      </w:tr>
      <w:tr w:rsidR="00000000">
        <w:tblPrEx>
          <w:tblCellMar>
            <w:top w:w="0" w:type="dxa"/>
            <w:bottom w:w="0" w:type="dxa"/>
          </w:tblCellMar>
        </w:tblPrEx>
        <w:tc>
          <w:tcPr>
            <w:tcW w:w="5490" w:type="dxa"/>
            <w:gridSpan w:val="2"/>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3 500-9 000 жителей</w:t>
            </w:r>
          </w:p>
        </w:tc>
        <w:tc>
          <w:tcPr>
            <w:tcW w:w="18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6,1%</w:t>
            </w:r>
          </w:p>
        </w:tc>
      </w:tr>
      <w:tr w:rsidR="00000000">
        <w:tblPrEx>
          <w:tblCellMar>
            <w:top w:w="0" w:type="dxa"/>
            <w:bottom w:w="0" w:type="dxa"/>
          </w:tblCellMar>
        </w:tblPrEx>
        <w:tc>
          <w:tcPr>
            <w:tcW w:w="5490" w:type="dxa"/>
            <w:gridSpan w:val="2"/>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9 000-30 000 жителей</w:t>
            </w:r>
          </w:p>
        </w:tc>
        <w:tc>
          <w:tcPr>
            <w:tcW w:w="18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7,2%</w:t>
            </w:r>
          </w:p>
        </w:tc>
      </w:tr>
      <w:tr w:rsidR="00000000">
        <w:tblPrEx>
          <w:tblCellMar>
            <w:top w:w="0" w:type="dxa"/>
            <w:bottom w:w="0" w:type="dxa"/>
          </w:tblCellMar>
        </w:tblPrEx>
        <w:tc>
          <w:tcPr>
            <w:tcW w:w="5490" w:type="dxa"/>
            <w:gridSpan w:val="2"/>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Более 30 000 жителей</w:t>
            </w:r>
          </w:p>
        </w:tc>
        <w:tc>
          <w:tcPr>
            <w:tcW w:w="18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8,6%</w:t>
            </w:r>
          </w:p>
        </w:tc>
      </w:tr>
      <w:tr w:rsidR="00000000">
        <w:tblPrEx>
          <w:tblCellMar>
            <w:top w:w="0" w:type="dxa"/>
            <w:bottom w:w="0" w:type="dxa"/>
          </w:tblCellMar>
        </w:tblPrEx>
        <w:tc>
          <w:tcPr>
            <w:tcW w:w="5490" w:type="dxa"/>
            <w:gridSpan w:val="2"/>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Итого, коммуны с числом жителей более 3 500 человек</w:t>
            </w:r>
          </w:p>
        </w:tc>
        <w:tc>
          <w:tcPr>
            <w:tcW w:w="1890"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6,6%</w:t>
            </w:r>
          </w:p>
        </w:tc>
      </w:tr>
    </w:tbl>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Источник: министерство внутренних дел - бюро по вопросам выборов и пол</w:t>
      </w:r>
      <w:r>
        <w:t>и</w:t>
      </w:r>
      <w:r>
        <w:t>тических исследований.</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rPr>
          <w:b/>
          <w:i/>
          <w:sz w:val="24"/>
        </w:rPr>
      </w:pPr>
      <w:r>
        <w:rPr>
          <w:b/>
          <w:i/>
          <w:sz w:val="24"/>
        </w:rPr>
        <w:t>3.</w:t>
      </w:r>
      <w:r>
        <w:rPr>
          <w:b/>
          <w:i/>
          <w:sz w:val="24"/>
        </w:rPr>
        <w:tab/>
        <w:t>Позиции женщин в других местных учреждениях</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Позиции женщин в других местных учреждениях регионального и депа</w:t>
      </w:r>
      <w:r>
        <w:t>р</w:t>
      </w:r>
      <w:r>
        <w:t>таментского уровней остаются слабыми, поскольку на их долю приходится 25% региональных советников и 7,9% генеральных советников (1998 год).</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i/>
          <w:sz w:val="24"/>
        </w:rPr>
      </w:pPr>
      <w:r>
        <w:rPr>
          <w:b/>
          <w:i/>
          <w:sz w:val="24"/>
        </w:rPr>
        <w:t>4.</w:t>
      </w:r>
      <w:r>
        <w:rPr>
          <w:b/>
          <w:i/>
          <w:sz w:val="24"/>
        </w:rPr>
        <w:tab/>
        <w:t>Создание парламентских комиссий по правам женщин и вопросам равн</w:t>
      </w:r>
      <w:r>
        <w:rPr>
          <w:b/>
          <w:i/>
          <w:sz w:val="24"/>
        </w:rPr>
        <w:t>о</w:t>
      </w:r>
      <w:r>
        <w:rPr>
          <w:b/>
          <w:i/>
          <w:sz w:val="24"/>
        </w:rPr>
        <w:t>правия между мужчинами и женщинами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Законом № 99-585 от 12 июля 1999 года в каждой из двух палат наци</w:t>
      </w:r>
      <w:r>
        <w:t>о</w:t>
      </w:r>
      <w:r>
        <w:t>нального парламента были созданы парламентские комиссии по правам же</w:t>
      </w:r>
      <w:r>
        <w:t>н</w:t>
      </w:r>
      <w:r>
        <w:t xml:space="preserve">щин и вопросам равноправия между мужчинами и женщинами. </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sz w:val="24"/>
          <w:u w:val="single"/>
        </w:rPr>
      </w:pPr>
      <w:r>
        <w:rPr>
          <w:b/>
          <w:sz w:val="24"/>
        </w:rPr>
        <w:t>II.</w:t>
      </w:r>
      <w:r>
        <w:rPr>
          <w:b/>
          <w:sz w:val="24"/>
        </w:rPr>
        <w:tab/>
      </w:r>
      <w:r>
        <w:rPr>
          <w:b/>
          <w:sz w:val="24"/>
          <w:u w:val="single"/>
        </w:rPr>
        <w:t>Общественная жизнь</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Следует отметить быструю эволюцию, происходящую в рамках Конст</w:t>
      </w:r>
      <w:r>
        <w:t>и</w:t>
      </w:r>
      <w:r>
        <w:t>туционного совета, где среди девяти членов, назначаемых Президентом Ре</w:t>
      </w:r>
      <w:r>
        <w:t>с</w:t>
      </w:r>
      <w:r>
        <w:t>публики и председателями обеих палат, насчитывается три женщины, что св</w:t>
      </w:r>
      <w:r>
        <w:t>и</w:t>
      </w:r>
      <w:r>
        <w:t>детельствует о твердой политической воле высших органов власти Франции.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Среди государственных служащих женщины преобладают - в 2000 году на их долю приходилось более 50% штатного состава. Наибольший прогресс о</w:t>
      </w:r>
      <w:r>
        <w:t>т</w:t>
      </w:r>
      <w:r>
        <w:t>мечается в категории А, где в 2000 году доля женщин составляла 54,3% против 33% в 1982 году. Однако на высших должностях женщин насчитывается менее 15%.</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Самые высокие должности, замещаемые по решению Совета министров, по</w:t>
      </w:r>
      <w:r>
        <w:noBreakHyphen/>
        <w:t>прежнему малодоступны для женщин: в 1997 году доля женщин, замеща</w:t>
      </w:r>
      <w:r>
        <w:t>в</w:t>
      </w:r>
      <w:r>
        <w:t>ших эти должности, составляла всего 6,6%, а в 2000 году она достигла 10%.</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высших государственных учреждениях (Государственном совете, Сче</w:t>
      </w:r>
      <w:r>
        <w:t>т</w:t>
      </w:r>
      <w:r>
        <w:t>ной палате и Генеральной инспекции финансов) доля женщин по</w:t>
      </w:r>
      <w:r>
        <w:noBreakHyphen/>
        <w:t>прежнему н</w:t>
      </w:r>
      <w:r>
        <w:t>е</w:t>
      </w:r>
      <w:r>
        <w:t>велика, несмотря на то, что за прошедшие 15 с лишним лет произошли ощут</w:t>
      </w:r>
      <w:r>
        <w:t>и</w:t>
      </w:r>
      <w:r>
        <w:t>мые изменения, поскольку за период 1985</w:t>
      </w:r>
      <w:r>
        <w:noBreakHyphen/>
        <w:t>2000 годов процент женщин более чем утроился, поднявшись с 5,6% до 17,1% в 2000 году.</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То же можно сказать и о должностях начальников служб, заместителей и помощников директоров, процентная доля женщин среди которых существенно повысилась - с 7% в 1982 году до 20,6% в 2000 году. В перспективном плане продвижение женских кадров является обнадеживающим, поскольку зачастую речь идет о сравнительно молодых женщинах, находящихся на средних ступ</w:t>
      </w:r>
      <w:r>
        <w:t>е</w:t>
      </w:r>
      <w:r>
        <w:t>нях своей карьеры.</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rPr>
          <w:b/>
          <w:i/>
        </w:rPr>
      </w:pPr>
      <w:r>
        <w:rPr>
          <w:b/>
          <w:i/>
        </w:rPr>
        <w:t>1.</w:t>
      </w:r>
      <w:r>
        <w:rPr>
          <w:b/>
          <w:i/>
        </w:rPr>
        <w:tab/>
        <w:t>Данные</w:t>
      </w: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0"/>
        <w:gridCol w:w="2160"/>
        <w:gridCol w:w="3465"/>
      </w:tblGrid>
      <w:tr w:rsidR="00000000">
        <w:tblPrEx>
          <w:tblCellMar>
            <w:top w:w="0" w:type="dxa"/>
            <w:bottom w:w="0" w:type="dxa"/>
          </w:tblCellMar>
        </w:tblPrEx>
        <w:trPr>
          <w:cantSplit/>
        </w:trPr>
        <w:tc>
          <w:tcPr>
            <w:tcW w:w="7875" w:type="dxa"/>
            <w:gridSpan w:val="3"/>
            <w:tcBorders>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Доля женщин среди государственных служащих в 2000 году</w:t>
            </w:r>
          </w:p>
        </w:tc>
      </w:tr>
      <w:tr w:rsidR="00000000">
        <w:tblPrEx>
          <w:tblCellMar>
            <w:top w:w="0" w:type="dxa"/>
            <w:bottom w:w="0" w:type="dxa"/>
          </w:tblCellMar>
        </w:tblPrEx>
        <w:tc>
          <w:tcPr>
            <w:tcW w:w="2250" w:type="dxa"/>
            <w:tcBorders>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Категория</w:t>
            </w:r>
          </w:p>
        </w:tc>
        <w:tc>
          <w:tcPr>
            <w:tcW w:w="2160" w:type="dxa"/>
            <w:tcBorders>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Всего</w:t>
            </w:r>
          </w:p>
        </w:tc>
        <w:tc>
          <w:tcPr>
            <w:tcW w:w="3465" w:type="dxa"/>
            <w:tcBorders>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Помимо сферы образ</w:t>
            </w:r>
            <w:r>
              <w:t>о</w:t>
            </w:r>
            <w:r>
              <w:t>вания</w:t>
            </w:r>
          </w:p>
        </w:tc>
      </w:tr>
      <w:tr w:rsidR="00000000">
        <w:tblPrEx>
          <w:tblCellMar>
            <w:top w:w="0" w:type="dxa"/>
            <w:bottom w:w="0" w:type="dxa"/>
          </w:tblCellMar>
        </w:tblPrEx>
        <w:tc>
          <w:tcPr>
            <w:tcW w:w="225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А</w:t>
            </w:r>
          </w:p>
        </w:tc>
        <w:tc>
          <w:tcPr>
            <w:tcW w:w="216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54,3%</w:t>
            </w:r>
          </w:p>
        </w:tc>
        <w:tc>
          <w:tcPr>
            <w:tcW w:w="3465"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33,8%</w:t>
            </w:r>
          </w:p>
        </w:tc>
      </w:tr>
      <w:tr w:rsidR="00000000">
        <w:tblPrEx>
          <w:tblCellMar>
            <w:top w:w="0" w:type="dxa"/>
            <w:bottom w:w="0" w:type="dxa"/>
          </w:tblCellMar>
        </w:tblPrEx>
        <w:tc>
          <w:tcPr>
            <w:tcW w:w="225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В</w:t>
            </w:r>
          </w:p>
        </w:tc>
        <w:tc>
          <w:tcPr>
            <w:tcW w:w="216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67,1%</w:t>
            </w:r>
          </w:p>
        </w:tc>
        <w:tc>
          <w:tcPr>
            <w:tcW w:w="3465"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48,9%</w:t>
            </w:r>
          </w:p>
        </w:tc>
      </w:tr>
      <w:tr w:rsidR="00000000">
        <w:tblPrEx>
          <w:tblCellMar>
            <w:top w:w="0" w:type="dxa"/>
            <w:bottom w:w="0" w:type="dxa"/>
          </w:tblCellMar>
        </w:tblPrEx>
        <w:tc>
          <w:tcPr>
            <w:tcW w:w="2250" w:type="dxa"/>
            <w:tcBorders>
              <w:top w:val="nil"/>
              <w:left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С и D</w:t>
            </w:r>
          </w:p>
        </w:tc>
        <w:tc>
          <w:tcPr>
            <w:tcW w:w="2160" w:type="dxa"/>
            <w:tcBorders>
              <w:top w:val="nil"/>
              <w:left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52,9%</w:t>
            </w:r>
          </w:p>
        </w:tc>
        <w:tc>
          <w:tcPr>
            <w:tcW w:w="3465" w:type="dxa"/>
            <w:tcBorders>
              <w:top w:val="nil"/>
              <w:left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47,3%</w:t>
            </w:r>
          </w:p>
        </w:tc>
      </w:tr>
    </w:tbl>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Источник: министерство государственной администрации и государственной реформы - управление общей администрации и государственной службы.</w:t>
      </w: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0"/>
        <w:gridCol w:w="1080"/>
        <w:gridCol w:w="1125"/>
      </w:tblGrid>
      <w:tr w:rsidR="00000000">
        <w:tblPrEx>
          <w:tblCellMar>
            <w:top w:w="0" w:type="dxa"/>
            <w:bottom w:w="0" w:type="dxa"/>
          </w:tblCellMar>
        </w:tblPrEx>
        <w:trPr>
          <w:cantSplit/>
        </w:trPr>
        <w:tc>
          <w:tcPr>
            <w:tcW w:w="7875" w:type="dxa"/>
            <w:gridSpan w:val="3"/>
            <w:tcBorders>
              <w:top w:val="single" w:sz="4" w:space="0" w:color="auto"/>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Доля женщин на высоких государственных должностях</w:t>
            </w:r>
          </w:p>
        </w:tc>
      </w:tr>
      <w:tr w:rsidR="00000000">
        <w:tblPrEx>
          <w:tblCellMar>
            <w:top w:w="0" w:type="dxa"/>
            <w:bottom w:w="0" w:type="dxa"/>
          </w:tblCellMar>
        </w:tblPrEx>
        <w:tc>
          <w:tcPr>
            <w:tcW w:w="5670" w:type="dxa"/>
            <w:tcBorders>
              <w:top w:val="nil"/>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Должность</w:t>
            </w:r>
          </w:p>
        </w:tc>
        <w:tc>
          <w:tcPr>
            <w:tcW w:w="1080" w:type="dxa"/>
            <w:tcBorders>
              <w:top w:val="nil"/>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1997 год</w:t>
            </w:r>
          </w:p>
        </w:tc>
        <w:tc>
          <w:tcPr>
            <w:tcW w:w="1125" w:type="dxa"/>
            <w:tcBorders>
              <w:top w:val="nil"/>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2000 год</w:t>
            </w:r>
          </w:p>
        </w:tc>
      </w:tr>
      <w:tr w:rsidR="00000000">
        <w:tblPrEx>
          <w:tblCellMar>
            <w:top w:w="0" w:type="dxa"/>
            <w:bottom w:w="0" w:type="dxa"/>
          </w:tblCellMar>
        </w:tblPrEx>
        <w:tc>
          <w:tcPr>
            <w:tcW w:w="5670" w:type="dxa"/>
            <w:tcBorders>
              <w:top w:val="nil"/>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Должности, замещаемые по решению Совета минис</w:t>
            </w:r>
            <w:r>
              <w:t>т</w:t>
            </w:r>
            <w:r>
              <w:t>ров</w:t>
            </w:r>
          </w:p>
        </w:tc>
        <w:tc>
          <w:tcPr>
            <w:tcW w:w="1080" w:type="dxa"/>
            <w:tcBorders>
              <w:top w:val="nil"/>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p>
        </w:tc>
        <w:tc>
          <w:tcPr>
            <w:tcW w:w="1125" w:type="dxa"/>
            <w:tcBorders>
              <w:top w:val="nil"/>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p>
        </w:tc>
      </w:tr>
      <w:tr w:rsidR="00000000">
        <w:tblPrEx>
          <w:tblCellMar>
            <w:top w:w="0" w:type="dxa"/>
            <w:bottom w:w="0" w:type="dxa"/>
          </w:tblCellMar>
        </w:tblPrEx>
        <w:tc>
          <w:tcPr>
            <w:tcW w:w="567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Руководители органов центральной админис</w:t>
            </w:r>
            <w:r>
              <w:t>т</w:t>
            </w:r>
            <w:r>
              <w:t>рации</w:t>
            </w:r>
          </w:p>
        </w:tc>
        <w:tc>
          <w:tcPr>
            <w:tcW w:w="10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7,7%</w:t>
            </w:r>
          </w:p>
        </w:tc>
        <w:tc>
          <w:tcPr>
            <w:tcW w:w="1125"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17,6%</w:t>
            </w:r>
          </w:p>
        </w:tc>
      </w:tr>
      <w:tr w:rsidR="00000000">
        <w:tblPrEx>
          <w:tblCellMar>
            <w:top w:w="0" w:type="dxa"/>
            <w:bottom w:w="0" w:type="dxa"/>
          </w:tblCellMar>
        </w:tblPrEx>
        <w:tc>
          <w:tcPr>
            <w:tcW w:w="567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Главы учебных о</w:t>
            </w:r>
            <w:r>
              <w:t>к</w:t>
            </w:r>
            <w:r>
              <w:t>ругов</w:t>
            </w:r>
          </w:p>
        </w:tc>
        <w:tc>
          <w:tcPr>
            <w:tcW w:w="10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12,9%</w:t>
            </w:r>
          </w:p>
        </w:tc>
        <w:tc>
          <w:tcPr>
            <w:tcW w:w="1125"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24,1%</w:t>
            </w:r>
          </w:p>
        </w:tc>
      </w:tr>
      <w:tr w:rsidR="00000000">
        <w:tblPrEx>
          <w:tblCellMar>
            <w:top w:w="0" w:type="dxa"/>
            <w:bottom w:w="0" w:type="dxa"/>
          </w:tblCellMar>
        </w:tblPrEx>
        <w:tc>
          <w:tcPr>
            <w:tcW w:w="567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Штатные главы дипломатических представительств в ранге посла</w:t>
            </w:r>
          </w:p>
        </w:tc>
        <w:tc>
          <w:tcPr>
            <w:tcW w:w="10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6,4%</w:t>
            </w:r>
          </w:p>
        </w:tc>
        <w:tc>
          <w:tcPr>
            <w:tcW w:w="1125"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7,3%</w:t>
            </w:r>
          </w:p>
        </w:tc>
      </w:tr>
      <w:tr w:rsidR="00000000">
        <w:tblPrEx>
          <w:tblCellMar>
            <w:top w:w="0" w:type="dxa"/>
            <w:bottom w:w="0" w:type="dxa"/>
          </w:tblCellMar>
        </w:tblPrEx>
        <w:tc>
          <w:tcPr>
            <w:tcW w:w="567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Префекты</w:t>
            </w:r>
          </w:p>
        </w:tc>
        <w:tc>
          <w:tcPr>
            <w:tcW w:w="10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3,4%</w:t>
            </w:r>
          </w:p>
        </w:tc>
        <w:tc>
          <w:tcPr>
            <w:tcW w:w="1125"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4,9%</w:t>
            </w:r>
          </w:p>
        </w:tc>
      </w:tr>
      <w:tr w:rsidR="00000000">
        <w:tblPrEx>
          <w:tblCellMar>
            <w:top w:w="0" w:type="dxa"/>
            <w:bottom w:w="0" w:type="dxa"/>
          </w:tblCellMar>
        </w:tblPrEx>
        <w:tc>
          <w:tcPr>
            <w:tcW w:w="567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Другие высшие должности в сфере управления и генерал</w:t>
            </w:r>
            <w:r>
              <w:t>ь</w:t>
            </w:r>
            <w:r>
              <w:t>ной и</w:t>
            </w:r>
            <w:r>
              <w:t>н</w:t>
            </w:r>
            <w:r>
              <w:t>спекции</w:t>
            </w:r>
          </w:p>
        </w:tc>
        <w:tc>
          <w:tcPr>
            <w:tcW w:w="10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p>
        </w:tc>
        <w:tc>
          <w:tcPr>
            <w:tcW w:w="1125"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p>
        </w:tc>
      </w:tr>
      <w:tr w:rsidR="00000000">
        <w:tblPrEx>
          <w:tblCellMar>
            <w:top w:w="0" w:type="dxa"/>
            <w:bottom w:w="0" w:type="dxa"/>
          </w:tblCellMar>
        </w:tblPrEx>
        <w:tc>
          <w:tcPr>
            <w:tcW w:w="567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Высшие государственные учре</w:t>
            </w:r>
            <w:r>
              <w:t>ж</w:t>
            </w:r>
            <w:r>
              <w:t>дения</w:t>
            </w:r>
          </w:p>
        </w:tc>
        <w:tc>
          <w:tcPr>
            <w:tcW w:w="10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15,9%</w:t>
            </w:r>
          </w:p>
        </w:tc>
        <w:tc>
          <w:tcPr>
            <w:tcW w:w="1125"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17,1%</w:t>
            </w:r>
          </w:p>
        </w:tc>
      </w:tr>
      <w:tr w:rsidR="00000000">
        <w:tblPrEx>
          <w:tblCellMar>
            <w:top w:w="0" w:type="dxa"/>
            <w:bottom w:w="0" w:type="dxa"/>
          </w:tblCellMar>
        </w:tblPrEx>
        <w:tc>
          <w:tcPr>
            <w:tcW w:w="567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Начальники служб, заместители и помощники директ</w:t>
            </w:r>
            <w:r>
              <w:t>о</w:t>
            </w:r>
            <w:r>
              <w:t>ров</w:t>
            </w:r>
          </w:p>
        </w:tc>
        <w:tc>
          <w:tcPr>
            <w:tcW w:w="10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19,1%</w:t>
            </w:r>
          </w:p>
        </w:tc>
        <w:tc>
          <w:tcPr>
            <w:tcW w:w="1125"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20,6%</w:t>
            </w:r>
          </w:p>
        </w:tc>
      </w:tr>
      <w:tr w:rsidR="00000000">
        <w:tblPrEx>
          <w:tblCellMar>
            <w:top w:w="0" w:type="dxa"/>
            <w:bottom w:w="0" w:type="dxa"/>
          </w:tblCellMar>
        </w:tblPrEx>
        <w:tc>
          <w:tcPr>
            <w:tcW w:w="567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Руководители генеральных инспекций (кроме Генеральной инспекции фина</w:t>
            </w:r>
            <w:r>
              <w:t>н</w:t>
            </w:r>
            <w:r>
              <w:t>сов)</w:t>
            </w:r>
          </w:p>
        </w:tc>
        <w:tc>
          <w:tcPr>
            <w:tcW w:w="10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18,6%</w:t>
            </w:r>
          </w:p>
        </w:tc>
        <w:tc>
          <w:tcPr>
            <w:tcW w:w="1125"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20,4%</w:t>
            </w:r>
          </w:p>
        </w:tc>
      </w:tr>
      <w:tr w:rsidR="00000000">
        <w:tblPrEx>
          <w:tblCellMar>
            <w:top w:w="0" w:type="dxa"/>
            <w:bottom w:w="0" w:type="dxa"/>
          </w:tblCellMar>
        </w:tblPrEx>
        <w:tc>
          <w:tcPr>
            <w:tcW w:w="567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Главные казначеи в департаме</w:t>
            </w:r>
            <w:r>
              <w:t>н</w:t>
            </w:r>
            <w:r>
              <w:t>тах</w:t>
            </w:r>
          </w:p>
        </w:tc>
        <w:tc>
          <w:tcPr>
            <w:tcW w:w="10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3,1%</w:t>
            </w:r>
          </w:p>
        </w:tc>
        <w:tc>
          <w:tcPr>
            <w:tcW w:w="1125"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5,3%</w:t>
            </w:r>
          </w:p>
        </w:tc>
      </w:tr>
      <w:tr w:rsidR="00000000">
        <w:tblPrEx>
          <w:tblCellMar>
            <w:top w:w="0" w:type="dxa"/>
            <w:bottom w:w="0" w:type="dxa"/>
          </w:tblCellMar>
        </w:tblPrEx>
        <w:tc>
          <w:tcPr>
            <w:tcW w:w="567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Руководители разукрупненных служб</w:t>
            </w:r>
          </w:p>
        </w:tc>
        <w:tc>
          <w:tcPr>
            <w:tcW w:w="10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8,2%</w:t>
            </w:r>
          </w:p>
        </w:tc>
        <w:tc>
          <w:tcPr>
            <w:tcW w:w="1125"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8,9%</w:t>
            </w:r>
          </w:p>
        </w:tc>
      </w:tr>
      <w:tr w:rsidR="00000000">
        <w:tblPrEx>
          <w:tblCellMar>
            <w:top w:w="0" w:type="dxa"/>
            <w:bottom w:w="0" w:type="dxa"/>
          </w:tblCellMar>
        </w:tblPrEx>
        <w:tc>
          <w:tcPr>
            <w:tcW w:w="567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Председатели счетных палат р</w:t>
            </w:r>
            <w:r>
              <w:t>е</w:t>
            </w:r>
            <w:r>
              <w:t>гионов</w:t>
            </w:r>
          </w:p>
        </w:tc>
        <w:tc>
          <w:tcPr>
            <w:tcW w:w="10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0%</w:t>
            </w:r>
          </w:p>
        </w:tc>
        <w:tc>
          <w:tcPr>
            <w:tcW w:w="1125"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8%</w:t>
            </w:r>
          </w:p>
        </w:tc>
      </w:tr>
      <w:tr w:rsidR="00000000">
        <w:tblPrEx>
          <w:tblCellMar>
            <w:top w:w="0" w:type="dxa"/>
            <w:bottom w:w="0" w:type="dxa"/>
          </w:tblCellMar>
        </w:tblPrEx>
        <w:tc>
          <w:tcPr>
            <w:tcW w:w="567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Председатели административных судов и администрати</w:t>
            </w:r>
            <w:r>
              <w:t>в</w:t>
            </w:r>
            <w:r>
              <w:t>ных апелляционных с</w:t>
            </w:r>
            <w:r>
              <w:t>у</w:t>
            </w:r>
            <w:r>
              <w:t>дов</w:t>
            </w:r>
          </w:p>
        </w:tc>
        <w:tc>
          <w:tcPr>
            <w:tcW w:w="10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10,5%</w:t>
            </w:r>
          </w:p>
        </w:tc>
        <w:tc>
          <w:tcPr>
            <w:tcW w:w="1125"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7,9%</w:t>
            </w:r>
          </w:p>
        </w:tc>
      </w:tr>
      <w:tr w:rsidR="00000000">
        <w:tblPrEx>
          <w:tblCellMar>
            <w:top w:w="0" w:type="dxa"/>
            <w:bottom w:w="0" w:type="dxa"/>
          </w:tblCellMar>
        </w:tblPrEx>
        <w:tc>
          <w:tcPr>
            <w:tcW w:w="5670" w:type="dxa"/>
            <w:tcBorders>
              <w:top w:val="nil"/>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ИТОГО</w:t>
            </w:r>
          </w:p>
        </w:tc>
        <w:tc>
          <w:tcPr>
            <w:tcW w:w="1080" w:type="dxa"/>
            <w:tcBorders>
              <w:top w:val="nil"/>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12%</w:t>
            </w:r>
          </w:p>
        </w:tc>
        <w:tc>
          <w:tcPr>
            <w:tcW w:w="1125" w:type="dxa"/>
            <w:tcBorders>
              <w:top w:val="nil"/>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14,1%</w:t>
            </w:r>
          </w:p>
        </w:tc>
      </w:tr>
    </w:tbl>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Источник: министерство государственной администрации и государственной реформы - управление общей администрации и государственной службы.</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i/>
          <w:sz w:val="24"/>
        </w:rPr>
      </w:pPr>
      <w:r>
        <w:rPr>
          <w:b/>
          <w:i/>
          <w:sz w:val="24"/>
        </w:rPr>
        <w:t>2.</w:t>
      </w:r>
      <w:r>
        <w:rPr>
          <w:b/>
          <w:i/>
          <w:sz w:val="24"/>
        </w:rPr>
        <w:tab/>
        <w:t>Принимаемые меры</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В 2000-2001 годах предпринимались усилия по осуществлению некоторых предложений, сформулированных в вышеупомянутом докладе "Замещение высших должностей государственной службы: к равенству между мужчинами и женщинами", изданном 16 февраля 1999 года.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i/>
          <w:u w:val="single"/>
        </w:rPr>
      </w:pPr>
      <w:r>
        <w:rPr>
          <w:i/>
        </w:rPr>
        <w:t>2.1</w:t>
      </w:r>
      <w:r>
        <w:rPr>
          <w:i/>
        </w:rPr>
        <w:tab/>
      </w:r>
      <w:r>
        <w:rPr>
          <w:i/>
          <w:u w:val="single"/>
        </w:rPr>
        <w:t>Закон о равноправии в области профессиональной деятельности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Закон о равноправии женщин и мужчин в области профессиональной де</w:t>
      </w:r>
      <w:r>
        <w:t>я</w:t>
      </w:r>
      <w:r>
        <w:t>тельности, обнародованный 9 мая 2001 года, предусматривает сбалансирова</w:t>
      </w:r>
      <w:r>
        <w:t>н</w:t>
      </w:r>
      <w:r>
        <w:t>ное представительство женщин и мужчин в сфере государственной службы в составе конкурсных и аттестационных комиссий, а также консультативных о</w:t>
      </w:r>
      <w:r>
        <w:t>р</w:t>
      </w:r>
      <w:r>
        <w:t>ганов: паритетных административных комиссий, специальных паритетных к</w:t>
      </w:r>
      <w:r>
        <w:t>о</w:t>
      </w:r>
      <w:r>
        <w:t>митетов, комитетов по вопросам гигиены и безопасности в том, что касается членов, представляющих администрацию.</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987" w:right="1267" w:hanging="720"/>
        <w:jc w:val="both"/>
        <w:rPr>
          <w:i/>
          <w:u w:val="single"/>
        </w:rPr>
      </w:pPr>
      <w:r>
        <w:rPr>
          <w:i/>
        </w:rPr>
        <w:t>2.2</w:t>
      </w:r>
      <w:r>
        <w:rPr>
          <w:i/>
        </w:rPr>
        <w:tab/>
      </w:r>
      <w:r>
        <w:rPr>
          <w:i/>
          <w:u w:val="single"/>
        </w:rPr>
        <w:t>Многолетние планы улучшения доступа женщин к высшим должностям</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порядке исполнения циркуляра премьер-министра от 6 марта 2000 года большинство министерств разработали и представили своим специальным п</w:t>
      </w:r>
      <w:r>
        <w:t>а</w:t>
      </w:r>
      <w:r>
        <w:t>ритетным комитетам многолетние планы улучшения доступа женщин к вы</w:t>
      </w:r>
      <w:r>
        <w:t>с</w:t>
      </w:r>
      <w:r>
        <w:t>шим должностям.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Кроме того, в порядке исполнения циркуляра министра государственной администрации и государственной реформы от 5 декабря 2000 года департ</w:t>
      </w:r>
      <w:r>
        <w:t>а</w:t>
      </w:r>
      <w:r>
        <w:t>ментам всех министерств надлежит до конца 2001 года назначить координатора по всем вопросам, касающимся роли женщин в их службах.</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742" w:right="1267" w:hanging="475"/>
        <w:jc w:val="both"/>
        <w:rPr>
          <w:i/>
          <w:u w:val="single"/>
        </w:rPr>
      </w:pPr>
      <w:r>
        <w:rPr>
          <w:i/>
        </w:rPr>
        <w:t>2.3</w:t>
      </w:r>
      <w:r>
        <w:rPr>
          <w:i/>
        </w:rPr>
        <w:tab/>
      </w:r>
      <w:r>
        <w:rPr>
          <w:i/>
          <w:u w:val="single"/>
        </w:rPr>
        <w:t>Руководящий комитет по обеспечению равного доступа женщин и му</w:t>
      </w:r>
      <w:r>
        <w:rPr>
          <w:i/>
          <w:u w:val="single"/>
        </w:rPr>
        <w:t>ж</w:t>
      </w:r>
      <w:r>
        <w:rPr>
          <w:i/>
          <w:u w:val="single"/>
        </w:rPr>
        <w:t>чин к высшим должностям в государственной службе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10 ноября 2000 года был создан Руководящий комитет по обеспечению равного доступа женщин и мужчин к высшим должностям в государственной службе.</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Этому комитету поручено заниматься сбором имеющихся данных об о</w:t>
      </w:r>
      <w:r>
        <w:t>б</w:t>
      </w:r>
      <w:r>
        <w:t>разовании, найме и продвижении по службе в плане доступа женщин к гос</w:t>
      </w:r>
      <w:r>
        <w:t>у</w:t>
      </w:r>
      <w:r>
        <w:t>дарственной службе или развития их карьеры. Его задачей является также из</w:t>
      </w:r>
      <w:r>
        <w:t>у</w:t>
      </w:r>
      <w:r>
        <w:t>чение причин дискриминации, которой подвергаются женщины с точки зрения доступа к государственной службе, выработка рекомендаций по устранению выявленных фактов неравенства и оценка результатов принятых мер.</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В состав Руководящего комитета входят 19 членов, назначаемых минис</w:t>
      </w:r>
      <w:r>
        <w:t>т</w:t>
      </w:r>
      <w:r>
        <w:t>ром государственной администрации и государственной реформы сроком на пять лет. В докладе, выпущенном им 29 июня 2001 года, определяется ко</w:t>
      </w:r>
      <w:r>
        <w:t>м</w:t>
      </w:r>
      <w:r>
        <w:t>плекс исследований, значительная часть которых уже проводится, касающихся вступительных экзаменов в специальные высшие учебные заведения (Пари</w:t>
      </w:r>
      <w:r>
        <w:t>ж</w:t>
      </w:r>
      <w:r>
        <w:t>ский институт политических исследований, Национальная школа администр</w:t>
      </w:r>
      <w:r>
        <w:t>а</w:t>
      </w:r>
      <w:r>
        <w:t>ции, Политехническая школа…) или развития карьеры (директоры больниц…). Кроме того, в докладе, в частности, предлагается использовать процесс рео</w:t>
      </w:r>
      <w:r>
        <w:t>р</w:t>
      </w:r>
      <w:r>
        <w:t>ганизации и сокращения рабочего времени для того, чтобы учесть и обеспечить более разумное сочетание личного и рабочего времени и тем самым содейств</w:t>
      </w:r>
      <w:r>
        <w:t>о</w:t>
      </w:r>
      <w:r>
        <w:t>вать равенству между женщинами и мужчинами в области профессиональной деятельности.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sz w:val="24"/>
          <w:u w:val="single"/>
        </w:rPr>
      </w:pPr>
      <w:r>
        <w:rPr>
          <w:b/>
          <w:sz w:val="24"/>
        </w:rPr>
        <w:t>III.</w:t>
      </w:r>
      <w:r>
        <w:rPr>
          <w:b/>
          <w:sz w:val="24"/>
        </w:rPr>
        <w:tab/>
      </w:r>
      <w:r>
        <w:rPr>
          <w:b/>
          <w:sz w:val="24"/>
          <w:u w:val="single"/>
        </w:rPr>
        <w:t>Экономические и социальные органы и общественный диалог</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i/>
          <w:sz w:val="24"/>
        </w:rPr>
      </w:pPr>
      <w:r>
        <w:rPr>
          <w:b/>
          <w:i/>
          <w:sz w:val="24"/>
        </w:rPr>
        <w:t>1.</w:t>
      </w:r>
      <w:r>
        <w:rPr>
          <w:b/>
          <w:i/>
          <w:sz w:val="24"/>
        </w:rPr>
        <w:tab/>
        <w:t>Роль женщин в социальных и экономических представ</w:t>
      </w:r>
      <w:r>
        <w:rPr>
          <w:b/>
          <w:i/>
          <w:sz w:val="24"/>
        </w:rPr>
        <w:t>и</w:t>
      </w:r>
      <w:r>
        <w:rPr>
          <w:b/>
          <w:i/>
          <w:sz w:val="24"/>
        </w:rPr>
        <w:t>тельных орг</w:t>
      </w:r>
      <w:r>
        <w:rPr>
          <w:b/>
          <w:i/>
          <w:sz w:val="24"/>
        </w:rPr>
        <w:t>а</w:t>
      </w:r>
      <w:r>
        <w:rPr>
          <w:b/>
          <w:i/>
          <w:sz w:val="24"/>
        </w:rPr>
        <w:t>нах</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8 марта 2000 года премьер-министр обратился к Экономическому и соц</w:t>
      </w:r>
      <w:r>
        <w:t>и</w:t>
      </w:r>
      <w:r>
        <w:t>альному совету с просьбой проанализировать роль женщин в экономических и социальных органах и в общественном диалоге. На базе доклада было разраб</w:t>
      </w:r>
      <w:r>
        <w:t>о</w:t>
      </w:r>
      <w:r>
        <w:t>тано заключение, принятое Экономическим и социальным советом 20 декабря 2000 года.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Проведенное в связи с этим докладом обследование среди руководителей предприятий свидетельствует о трудностях, с которыми сталкиваются женщ</w:t>
      </w:r>
      <w:r>
        <w:t>и</w:t>
      </w:r>
      <w:r>
        <w:t>ны в вопросах доступа к ответственным должностям: профессиональная ди</w:t>
      </w:r>
      <w:r>
        <w:t>ф</w:t>
      </w:r>
      <w:r>
        <w:t>ференциация, дискриминация в заработной плате, гибкость в организации вр</w:t>
      </w:r>
      <w:r>
        <w:t>е</w:t>
      </w:r>
      <w:r>
        <w:t>мени.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В докладе предлагается принять конкретные меры по устранению нер</w:t>
      </w:r>
      <w:r>
        <w:t>а</w:t>
      </w:r>
      <w:r>
        <w:t>венства в области вознаграждения в интересах женщин; в нем подтверждается необходимость проведения семейной политики, направленной на укрепление механизмов воспитания малолетних детей, и наконец, высказываются требов</w:t>
      </w:r>
      <w:r>
        <w:t>а</w:t>
      </w:r>
      <w:r>
        <w:t>ния относительно более равноправного распределения семейных обязанностей между женщинами и мужчинами.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i/>
          <w:sz w:val="24"/>
        </w:rPr>
      </w:pPr>
      <w:r>
        <w:rPr>
          <w:b/>
          <w:i/>
          <w:sz w:val="24"/>
        </w:rPr>
        <w:t>2.</w:t>
      </w:r>
      <w:r>
        <w:rPr>
          <w:b/>
          <w:i/>
          <w:sz w:val="24"/>
        </w:rPr>
        <w:tab/>
        <w:t>Роль женщин в общественном диалоге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Высший совет по обеспечению равноправия в области профессиональной деятельности в 2000 году создал рабочую группу с участием всех социальных партнеров по вопросам роли женщин в профсоюзных и профессиональных о</w:t>
      </w:r>
      <w:r>
        <w:t>р</w:t>
      </w:r>
      <w:r>
        <w:t>ганизациях. Были тщательно изучены вопросы, касающиеся доступа женщин к выборным должностям, ответственным постам различных уровней принятия решений в профсоюзных организациях, к должностям прюдомальных советн</w:t>
      </w:r>
      <w:r>
        <w:t>и</w:t>
      </w:r>
      <w:r>
        <w:t>ков, а также членов административных советов паритетных органов социал</w:t>
      </w:r>
      <w:r>
        <w:t>ь</w:t>
      </w:r>
      <w:r>
        <w:t>ного обеспечения.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20 декабря 2000 года по этому вопросу было вынесено заключение. Ряд предложений Высшего совета нашел отражение в положениях закона о равн</w:t>
      </w:r>
      <w:r>
        <w:t>о</w:t>
      </w:r>
      <w:r>
        <w:t>правии между женщинами и мужчинами в профессиональной области, обнар</w:t>
      </w:r>
      <w:r>
        <w:t>о</w:t>
      </w:r>
      <w:r>
        <w:t>дованного 9 мая 2001 года. Так, в нем говорится, что при обновлении состава прюдомальных судов профсоюзные организации должны составлять списки кандидатов таким образом, чтобы содействовать увеличению доли избираемых женщин. Кроме того, в отношении выборов в профессиональные организации при подготовке предварительного протокола о договоренности профсоюзные организации изучают пути и средства обеспечения сбалансированного пре</w:t>
      </w:r>
      <w:r>
        <w:t>д</w:t>
      </w:r>
      <w:r>
        <w:t>ставительства женщин и мужчин в списках кандидатов. Наконец, на предпр</w:t>
      </w:r>
      <w:r>
        <w:t>и</w:t>
      </w:r>
      <w:r>
        <w:t>ятиях с числом работающих не менее 200 человек комитеты предприятий со</w:t>
      </w:r>
      <w:r>
        <w:t>з</w:t>
      </w:r>
      <w:r>
        <w:t>дают комиссии по обеспечению равноправия в профессиональной области.</w:t>
      </w:r>
    </w:p>
    <w:p w:rsidR="00000000" w:rsidRDefault="00000000">
      <w:pPr>
        <w:pStyle w:val="SingleTxt"/>
        <w:spacing w:after="0" w:line="180" w:lineRule="auto"/>
        <w:rPr>
          <w:sz w:val="10"/>
          <w:lang w:val="en-US"/>
        </w:rPr>
      </w:pPr>
      <w:r>
        <w:br w:type="page"/>
      </w: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310" w:lineRule="exact"/>
        <w:ind w:left="1267" w:right="1267"/>
        <w:jc w:val="center"/>
        <w:rPr>
          <w:b/>
          <w:sz w:val="28"/>
        </w:rPr>
      </w:pPr>
      <w:r>
        <w:rPr>
          <w:b/>
          <w:sz w:val="28"/>
        </w:rPr>
        <w:t>СТАТЬЯ 8</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center"/>
        <w:rPr>
          <w:b/>
          <w:i/>
          <w:sz w:val="24"/>
        </w:rPr>
      </w:pPr>
      <w:r>
        <w:rPr>
          <w:b/>
          <w:i/>
          <w:sz w:val="24"/>
        </w:rPr>
        <w:t>Представительство на международном уровне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 правовой точки зрения не существует каких</w:t>
      </w:r>
      <w:r>
        <w:noBreakHyphen/>
        <w:t>либо форм дискриминации, которая бы мешала женщинам представлять свое правительство на междун</w:t>
      </w:r>
      <w:r>
        <w:t>а</w:t>
      </w:r>
      <w:r>
        <w:t>родном уровне или участвовать в работе международных организаций на выс</w:t>
      </w:r>
      <w:r>
        <w:t>о</w:t>
      </w:r>
      <w:r>
        <w:t>ком уровне.</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то же время, несмотря на ощутимый прогресс, доля женщин на этих должностях высокого уровня по</w:t>
      </w:r>
      <w:r>
        <w:noBreakHyphen/>
        <w:t xml:space="preserve">прежнему явно ниже доли мужчин.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2001 году министерство иностранных дел приняло многолетний план улучшения доступа женщин к высшим должностям. Задача заключается в том, чтобы добиться полного соответствия между должностями, которые женщины занимают фактически, и тем потенциалом, которым обладают женщины, отв</w:t>
      </w:r>
      <w:r>
        <w:t>е</w:t>
      </w:r>
      <w:r>
        <w:t>чающие критериям, необходимым для замещения высших должностей. Наряду с усилиями по найму на работу и продвижению по службе эта политика опир</w:t>
      </w:r>
      <w:r>
        <w:t>а</w:t>
      </w:r>
      <w:r>
        <w:t>ется на более сбалансированный состав представителей администрации в а</w:t>
      </w:r>
      <w:r>
        <w:t>д</w:t>
      </w:r>
      <w:r>
        <w:t>министративных паритетных комиссиях, а также в конкурсных и аттестацио</w:t>
      </w:r>
      <w:r>
        <w:t>н</w:t>
      </w:r>
      <w:r>
        <w:t>ных комиссиях. В последнем случае в 2001 году доля женщин составила 38%.</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В кадровом составе дипломатической службы Франции доля женщин ув</w:t>
      </w:r>
      <w:r>
        <w:t>е</w:t>
      </w:r>
      <w:r>
        <w:t>личивается среди служащих категории А (27%), но по</w:t>
      </w:r>
      <w:r>
        <w:noBreakHyphen/>
        <w:t>прежнему невелика на высших ступенях служебной лестницы. Можно отметить, что с точки зрения усилий по улучшению баланса, показатель, отражающий количество женщин, получающих повышение по службе, имеет более важное значение, чем тот, к</w:t>
      </w:r>
      <w:r>
        <w:t>о</w:t>
      </w:r>
      <w:r>
        <w:t>торый отражает количество женщин, служащих в соответствующих учрежд</w:t>
      </w:r>
      <w:r>
        <w:t>е</w:t>
      </w:r>
      <w:r>
        <w:t>ниях.</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i/>
          <w:sz w:val="24"/>
        </w:rPr>
      </w:pPr>
      <w:r>
        <w:rPr>
          <w:b/>
          <w:i/>
          <w:sz w:val="24"/>
        </w:rPr>
        <w:t>1.</w:t>
      </w:r>
      <w:r>
        <w:rPr>
          <w:b/>
          <w:i/>
          <w:sz w:val="24"/>
        </w:rPr>
        <w:tab/>
        <w:t>Дипломатические или консульские должности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 состоянию на 31 октября 2001 года насчитывалось:</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w:t>
      </w:r>
      <w:r>
        <w:tab/>
        <w:t>13 женщин на должностях послов и 2 - постоянных представителей при международных организациях, т.е. из общего числа 167 должностей женщины замещали 15 (или 9,5%);</w:t>
      </w:r>
    </w:p>
    <w:p w:rsidR="00000000" w:rsidRDefault="00000000">
      <w:pPr>
        <w:pStyle w:val="SingleTxt"/>
        <w:spacing w:after="0" w:line="180" w:lineRule="auto"/>
        <w:rPr>
          <w:sz w:val="10"/>
          <w:lang w:val="en-US"/>
        </w:rPr>
      </w:pPr>
      <w:r>
        <w:t>·</w:t>
      </w:r>
      <w:r>
        <w:tab/>
        <w:t>10 женщин на должностях генеральных консулов и 1 - на должности ко</w:t>
      </w:r>
      <w:r>
        <w:t>н</w:t>
      </w:r>
      <w:r>
        <w:t>сула из общего числа 98 должностей (или более 10%).</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i/>
          <w:sz w:val="24"/>
        </w:rPr>
      </w:pPr>
      <w:r>
        <w:rPr>
          <w:b/>
          <w:i/>
          <w:sz w:val="24"/>
        </w:rPr>
        <w:t>2.</w:t>
      </w:r>
      <w:r>
        <w:rPr>
          <w:b/>
          <w:i/>
          <w:sz w:val="24"/>
        </w:rPr>
        <w:tab/>
        <w:t>Центральный административный аппарат</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Из общего числа 149 ответственных должностей 30 (20%) занимали же</w:t>
      </w:r>
      <w:r>
        <w:t>н</w:t>
      </w:r>
      <w:r>
        <w:t>щины, две из которых были назначены по решению Совета министров. Более благоприятная ситуация сложилась в отношении должностей менее высокого уровня (заместители директоров и приравненные к ним должности), где доля женщин составляет около 30%. Эти должности распределялись следующим о</w:t>
      </w:r>
      <w:r>
        <w:t>б</w:t>
      </w:r>
      <w:r>
        <w:t>разом: 24 - заместители директоров и приравненные к ним должности, 2 - р</w:t>
      </w:r>
      <w:r>
        <w:t>у</w:t>
      </w:r>
      <w:r>
        <w:t>ководители служб, 2 - помощники директоров, 1 - советник правительства и 1 - директор.</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i/>
          <w:sz w:val="24"/>
        </w:rPr>
      </w:pPr>
      <w:r>
        <w:rPr>
          <w:b/>
          <w:i/>
          <w:sz w:val="24"/>
        </w:rPr>
        <w:t>3.</w:t>
      </w:r>
      <w:r>
        <w:rPr>
          <w:b/>
          <w:i/>
          <w:sz w:val="24"/>
        </w:rPr>
        <w:tab/>
        <w:t>Международные организации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Что касается должностей экспертов в системе Организации Объедине</w:t>
      </w:r>
      <w:r>
        <w:t>н</w:t>
      </w:r>
      <w:r>
        <w:t>ных Наций, то, по состоянию на 31 декабря 2001 года, из 14 должностей, кот</w:t>
      </w:r>
      <w:r>
        <w:t>о</w:t>
      </w:r>
      <w:r>
        <w:t>рые замещали граждане Франции, три принадлежали женщинам. В то же время среди трех граждан Франции, выполнявших судейские функции, женщин не было.</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Кроме того, в соответствии с рекомендацией Генеральной Ассамблеи в преддверии Встречи на высшем уровне в интересах детей для подготовки этого мероприятия в 2000 году президент Республики своим личным представителем назначил женщину.</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отношении сотрудников международных организаций министерство иностранных дел поощряет женщин выдвигать свои кандидатуры на должн</w:t>
      </w:r>
      <w:r>
        <w:t>о</w:t>
      </w:r>
      <w:r>
        <w:t>сти, предлагаемые международными организациями. Следует отметить, что в международных организациях на должностях высшего уровня работает 121 гражданин Франции, в том числе 94 мужчины и 27 женщин, или 22,3%.</w:t>
      </w:r>
    </w:p>
    <w:p w:rsidR="00000000" w:rsidRDefault="00000000">
      <w:pPr>
        <w:pStyle w:val="SingleTxt"/>
        <w:spacing w:after="0" w:line="180" w:lineRule="auto"/>
        <w:rPr>
          <w:sz w:val="10"/>
          <w:lang w:val="en-US"/>
        </w:rPr>
      </w:pPr>
      <w:r>
        <w:br w:type="page"/>
      </w: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310" w:lineRule="exact"/>
        <w:ind w:left="1267" w:right="1267"/>
        <w:jc w:val="center"/>
        <w:rPr>
          <w:b/>
          <w:sz w:val="28"/>
        </w:rPr>
      </w:pPr>
      <w:r>
        <w:rPr>
          <w:b/>
          <w:sz w:val="28"/>
        </w:rPr>
        <w:t>СТАТЬЯ 9</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center"/>
        <w:rPr>
          <w:b/>
          <w:i/>
          <w:sz w:val="24"/>
        </w:rPr>
      </w:pPr>
      <w:r>
        <w:rPr>
          <w:b/>
          <w:i/>
          <w:sz w:val="24"/>
        </w:rPr>
        <w:t>Гражданство</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вопросах передачи гражданства со времени представления предыдущ</w:t>
      </w:r>
      <w:r>
        <w:t>е</w:t>
      </w:r>
      <w:r>
        <w:t>го доклада внутреннее законодательство не претерпело никаких изменений.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Франция напоминает о том, что принцип равноправия между мужчинами и женщинами охватывает как приобретение, так и утрату или сохранение французского гражданства. Статья 21</w:t>
      </w:r>
      <w:r>
        <w:noBreakHyphen/>
        <w:t>11 Гражданского кодекса разрешает до</w:t>
      </w:r>
      <w:r>
        <w:t>с</w:t>
      </w:r>
      <w:r>
        <w:t>рочное приобретение гражданства путем изъявления воли соответствующим лицом:</w:t>
      </w:r>
    </w:p>
    <w:p w:rsidR="00000000" w:rsidRDefault="00000000">
      <w:pPr>
        <w:numPr>
          <w:ilvl w:val="0"/>
          <w:numId w:val="301"/>
        </w:numPr>
        <w:tabs>
          <w:tab w:val="clear" w:pos="475"/>
          <w:tab w:val="num" w:pos="1195"/>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jc w:val="both"/>
      </w:pPr>
      <w:r>
        <w:t>по достижении 16</w:t>
      </w:r>
      <w:r>
        <w:noBreakHyphen/>
        <w:t>летнего возраста - несовершеннолетним лицом, прож</w:t>
      </w:r>
      <w:r>
        <w:t>и</w:t>
      </w:r>
      <w:r>
        <w:t>вающим во Франции и имеющим там обычное место жительства непр</w:t>
      </w:r>
      <w:r>
        <w:t>е</w:t>
      </w:r>
      <w:r>
        <w:t>рывно или с перерывами в течение по крайней мере пяти лет после до</w:t>
      </w:r>
      <w:r>
        <w:t>с</w:t>
      </w:r>
      <w:r>
        <w:t>тижения им 11</w:t>
      </w:r>
      <w:r>
        <w:noBreakHyphen/>
        <w:t>летнего возраста;</w:t>
      </w:r>
    </w:p>
    <w:p w:rsidR="00000000" w:rsidRDefault="00000000">
      <w:pPr>
        <w:numPr>
          <w:ilvl w:val="0"/>
          <w:numId w:val="301"/>
        </w:numPr>
        <w:tabs>
          <w:tab w:val="clear" w:pos="475"/>
          <w:tab w:val="num" w:pos="1195"/>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jc w:val="both"/>
      </w:pPr>
      <w:r>
        <w:t>по достижении несовершеннолетним 13</w:t>
      </w:r>
      <w:r>
        <w:noBreakHyphen/>
        <w:t>летнего возраста - его родител</w:t>
      </w:r>
      <w:r>
        <w:t>я</w:t>
      </w:r>
      <w:r>
        <w:t>ми и с его личного согласия, если он постоянно проживает во Франции и имеет там обычное место жительства непрерывно или с перерывами в т</w:t>
      </w:r>
      <w:r>
        <w:t>е</w:t>
      </w:r>
      <w:r>
        <w:t>чение по крайней мере пяти лет со времени достижения им 8</w:t>
      </w:r>
      <w:r>
        <w:noBreakHyphen/>
        <w:t>летнего во</w:t>
      </w:r>
      <w:r>
        <w:t>з</w:t>
      </w:r>
      <w:r>
        <w:t>раста.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p>
    <w:p w:rsidR="00000000" w:rsidRDefault="00000000">
      <w:pPr>
        <w:pStyle w:val="SingleTxt"/>
        <w:spacing w:after="0" w:line="180" w:lineRule="auto"/>
        <w:rPr>
          <w:sz w:val="10"/>
          <w:lang w:val="en-US"/>
        </w:rPr>
      </w:pPr>
      <w:r>
        <w:br w:type="page"/>
      </w: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310" w:lineRule="exact"/>
        <w:ind w:left="1267" w:right="1267"/>
        <w:jc w:val="center"/>
        <w:rPr>
          <w:b/>
          <w:sz w:val="28"/>
        </w:rPr>
      </w:pPr>
      <w:r>
        <w:rPr>
          <w:b/>
          <w:sz w:val="28"/>
        </w:rPr>
        <w:t>СТАТЬЯ 10</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center"/>
        <w:rPr>
          <w:b/>
          <w:i/>
          <w:sz w:val="24"/>
        </w:rPr>
      </w:pPr>
      <w:r>
        <w:rPr>
          <w:b/>
          <w:i/>
          <w:sz w:val="24"/>
        </w:rPr>
        <w:t>Образование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rPr>
          <w:b/>
          <w:sz w:val="24"/>
          <w:u w:val="single"/>
        </w:rPr>
      </w:pPr>
      <w:r>
        <w:rPr>
          <w:b/>
          <w:sz w:val="24"/>
        </w:rPr>
        <w:t>I.</w:t>
      </w:r>
      <w:r>
        <w:rPr>
          <w:b/>
          <w:sz w:val="24"/>
        </w:rPr>
        <w:tab/>
      </w:r>
      <w:r>
        <w:rPr>
          <w:b/>
          <w:sz w:val="24"/>
          <w:u w:val="single"/>
        </w:rPr>
        <w:t>Принимаемые меры</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Поощрение равенства возможностей женщин и мужчин в области образ</w:t>
      </w:r>
      <w:r>
        <w:t>о</w:t>
      </w:r>
      <w:r>
        <w:t>вания является одним из национальных приоритетов. С февраля 2000 года эта задача реализуется в рамках "Межведомственного соглашения по поощрению равенства возможностей девочек и мальчиков, женщин и мужчин в системе о</w:t>
      </w:r>
      <w:r>
        <w:t>б</w:t>
      </w:r>
      <w:r>
        <w:t>разования", подписанного министром национального образования, научных и</w:t>
      </w:r>
      <w:r>
        <w:t>с</w:t>
      </w:r>
      <w:r>
        <w:t>следований и технологии, министром занятости и солидарности, министром сельского хозяйства и рыболовства и государственным секретарем по вопросам прав женщин и профессиональной подготовки.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Это соглашение устанавливает на межведомственном уровне цели, кот</w:t>
      </w:r>
      <w:r>
        <w:t>о</w:t>
      </w:r>
      <w:r>
        <w:t>рые предусматривают осуществление регулярного контроля со стороны всех партнеров. В нем также определяются средства, с помощью которых все члены общества могли бы признать наличие подходов, сораняющих элементы нер</w:t>
      </w:r>
      <w:r>
        <w:t>а</w:t>
      </w:r>
      <w:r>
        <w:t>венства в отношении мужчин и женщин, и тем самым включиться в культу</w:t>
      </w:r>
      <w:r>
        <w:t>р</w:t>
      </w:r>
      <w:r>
        <w:t>ные, административные и технические процессы, направленные на оконч</w:t>
      </w:r>
      <w:r>
        <w:t>а</w:t>
      </w:r>
      <w:r>
        <w:t>тельное искоренение некоторых еще имеющих место форм дискриминацио</w:t>
      </w:r>
      <w:r>
        <w:t>н</w:t>
      </w:r>
      <w:r>
        <w:t>ной практики.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Итак, проводимые мероприятия охватывают три направления, предусмо</w:t>
      </w:r>
      <w:r>
        <w:t>т</w:t>
      </w:r>
      <w:r>
        <w:t>ренные Межведомственным соглашением.</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i/>
          <w:sz w:val="24"/>
        </w:rPr>
      </w:pPr>
      <w:r>
        <w:rPr>
          <w:b/>
          <w:i/>
          <w:sz w:val="24"/>
        </w:rPr>
        <w:t>1.</w:t>
      </w:r>
      <w:r>
        <w:rPr>
          <w:b/>
          <w:i/>
          <w:sz w:val="24"/>
        </w:rPr>
        <w:tab/>
        <w:t>Улучшение школьной и профессиональной ориентации д</w:t>
      </w:r>
      <w:r>
        <w:rPr>
          <w:b/>
          <w:i/>
          <w:sz w:val="24"/>
        </w:rPr>
        <w:t>е</w:t>
      </w:r>
      <w:r>
        <w:rPr>
          <w:b/>
          <w:i/>
          <w:sz w:val="24"/>
        </w:rPr>
        <w:t>вочек и мальчиков и адаптация возможностей в области первоначальной подготовки с учетом перспектив труд</w:t>
      </w:r>
      <w:r>
        <w:rPr>
          <w:b/>
          <w:i/>
          <w:sz w:val="24"/>
        </w:rPr>
        <w:t>о</w:t>
      </w:r>
      <w:r>
        <w:rPr>
          <w:b/>
          <w:i/>
          <w:sz w:val="24"/>
        </w:rPr>
        <w:t>устройства при одновременном создании благоприятных условий для девушек в области научно-технической подг</w:t>
      </w:r>
      <w:r>
        <w:rPr>
          <w:b/>
          <w:i/>
          <w:sz w:val="24"/>
        </w:rPr>
        <w:t>о</w:t>
      </w:r>
      <w:r>
        <w:rPr>
          <w:b/>
          <w:i/>
          <w:sz w:val="24"/>
        </w:rPr>
        <w:t>товки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Задача заключается в улучшении школьной и профессиональной ориент</w:t>
      </w:r>
      <w:r>
        <w:t>а</w:t>
      </w:r>
      <w:r>
        <w:t>ции как мальчиков, так и девочек. Следует, в частности, сделать возможным переход в другие классы для тех, кто хотел бы специализироваться по научно-техническим дисциплинам; содействовать общей информации на протяжении всего процесса школьного образования о различных этапах карьеры, професс</w:t>
      </w:r>
      <w:r>
        <w:t>и</w:t>
      </w:r>
      <w:r>
        <w:t>ях и положении в области трудоустройства, в частности по основным областям, которые традиционно ассоциируются с мальчиками; добиваться по возможн</w:t>
      </w:r>
      <w:r>
        <w:t>о</w:t>
      </w:r>
      <w:r>
        <w:t>сти максимального соответствия полученного образования перспективам тр</w:t>
      </w:r>
      <w:r>
        <w:t>у</w:t>
      </w:r>
      <w:r>
        <w:t>доустройства по специальности.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Среди работников системы национального образования весьма широко распространялся специальный официальный бюллетень на тему "A l'école, au cоllége et au lycée: de la mixité à l'égalité" ("В школе, колледже и лицее: от с</w:t>
      </w:r>
      <w:r>
        <w:t>о</w:t>
      </w:r>
      <w:r>
        <w:t>вместного обучения к равенству"). Это издание, посвященное педагогической практике, было создано для того, чтобы сделать возможными дискуссии и р</w:t>
      </w:r>
      <w:r>
        <w:t>а</w:t>
      </w:r>
      <w:r>
        <w:t>боту с учащимися. Его задача заключается в том, чтобы на базе повседневных ситуаций инициировать вопросы и анализ.</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Ежегодно региональные комиссии по правам женщин и вопросам раве</w:t>
      </w:r>
      <w:r>
        <w:t>н</w:t>
      </w:r>
      <w:r>
        <w:t>ства, по согласованию со службами министерства национального образования и учебными заведениями, присуждают премии в области научно-технической подготовки девушкам, избравшим научно-техническую ориентацию. В 2001 году, как и в 2000 году, было присуждено 600 премий на общую сумму 762 250 евро.</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Кроме того, министерство научных исследований разработало программу действий по улучшению информации и ориентации девушек на получение высшего образования по естестенно-научным дисциплинам и содействию их доступу к средствам, выделяемым на научные исследования. Это вписывается в рамки последующей деятельности по итогам семинара на тему "Естестве</w:t>
      </w:r>
      <w:r>
        <w:t>н</w:t>
      </w:r>
      <w:r>
        <w:t>ные науки и технологии: почему девушки?", который проходил 26 октября 2000 года. Была создана административная структура в виде Группы по обе</w:t>
      </w:r>
      <w:r>
        <w:t>с</w:t>
      </w:r>
      <w:r>
        <w:t>печению равенства в сфере науки и технологий. Эта группа призвана опред</w:t>
      </w:r>
      <w:r>
        <w:t>е</w:t>
      </w:r>
      <w:r>
        <w:t>лить и разработать меры, позволяющие укрепить положение женщин в нау</w:t>
      </w:r>
      <w:r>
        <w:t>ч</w:t>
      </w:r>
      <w:r>
        <w:t>ных исследованиях и научной карьере. С учетом этого ей надлежит добиваться учета аспекта, связанного с обеспечением равенства, органами, подведомс</w:t>
      </w:r>
      <w:r>
        <w:t>т</w:t>
      </w:r>
      <w:r>
        <w:t>венными министерству научных исследований.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Определение в качестве цели добиться того, чтобы 35% контрактов на профессиональное обучение предоставлялось девушкам, будет содействовать увеличению их численности, в частности в секторах высоких технологий.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Министерство сельского хозяйства и рыболовства разработало многоле</w:t>
      </w:r>
      <w:r>
        <w:t>т</w:t>
      </w:r>
      <w:r>
        <w:t>нюю программу поощрения равенства в рамках различных нормативных актов, касающихся сельскохозяйственной подготовки, а также в сфере администр</w:t>
      </w:r>
      <w:r>
        <w:t>а</w:t>
      </w:r>
      <w:r>
        <w:t>ции.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В интересах укрепления позиций женщин в сфере предпринимательства будут установлены партнерские отношения по линии соответствующих спец</w:t>
      </w:r>
      <w:r>
        <w:t>и</w:t>
      </w:r>
      <w:r>
        <w:t>альностей, задача которых будет заключаться в продвижении женщин. Будет оказываться поддержка в трудоустройстве, причем в случае необходимости - с помощью соглашений, заключаемых на местном уровне. В отношении инт</w:t>
      </w:r>
      <w:r>
        <w:t>е</w:t>
      </w:r>
      <w:r>
        <w:t>грации или реинтеграции в эту сферу на более поздних этапах будут приняты меры по укреплению механизма признания действительным профессиональн</w:t>
      </w:r>
      <w:r>
        <w:t>о</w:t>
      </w:r>
      <w:r>
        <w:t>го опыта. Эта мера призвана помочь, в частности, женщинам первоначальный уровень подготовки которых, как правило, был ниже уровня подготовки му</w:t>
      </w:r>
      <w:r>
        <w:t>ж</w:t>
      </w:r>
      <w:r>
        <w:t>чин и профессиональная карьера которых прерывалась.</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i/>
          <w:sz w:val="24"/>
        </w:rPr>
      </w:pPr>
      <w:r>
        <w:rPr>
          <w:b/>
          <w:i/>
          <w:sz w:val="24"/>
        </w:rPr>
        <w:t>2.</w:t>
      </w:r>
      <w:r>
        <w:rPr>
          <w:b/>
          <w:i/>
          <w:sz w:val="24"/>
        </w:rPr>
        <w:tab/>
        <w:t>Укрепление средств содействия обеспечению равенства и подготовки де</w:t>
      </w:r>
      <w:r>
        <w:rPr>
          <w:b/>
          <w:i/>
          <w:sz w:val="24"/>
        </w:rPr>
        <w:t>й</w:t>
      </w:r>
      <w:r>
        <w:rPr>
          <w:b/>
          <w:i/>
          <w:sz w:val="24"/>
        </w:rPr>
        <w:t>ствующих лиц</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Конкретные меры были приняты с целью ознакомления всех работников системы национального здравоохранения с научными исследованиями в обла</w:t>
      </w:r>
      <w:r>
        <w:t>с</w:t>
      </w:r>
      <w:r>
        <w:t xml:space="preserve">ти укрепления равноправия между женщинами и мужчинами.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Так, обеспечивается подготовка работников образования в области соде</w:t>
      </w:r>
      <w:r>
        <w:t>й</w:t>
      </w:r>
      <w:r>
        <w:t>ствия обеспечению равенства возможностей. Разработана конкретная типовая программа первоначальной подготовки преподавательского состава. Речь идет о первоначальной подготовке преподавателей и инспекторов системы наци</w:t>
      </w:r>
      <w:r>
        <w:t>о</w:t>
      </w:r>
      <w:r>
        <w:t>нального образования, для которых были разработаны типовые программы подготовки в области равенства мужчин и женщин, в экспериментальном п</w:t>
      </w:r>
      <w:r>
        <w:t>о</w:t>
      </w:r>
      <w:r>
        <w:t>рядке осуществляемые в высших педагогических учебных заведениях (ВПУЗ). Аналогичные меры были приняты в центрах подготовки консультантов по в</w:t>
      </w:r>
      <w:r>
        <w:t>о</w:t>
      </w:r>
      <w:r>
        <w:t>просам ориентации, а также в отношении специалистов в области сельскох</w:t>
      </w:r>
      <w:r>
        <w:t>о</w:t>
      </w:r>
      <w:r>
        <w:t>зяйственного образования. В настоящее время министерство национального образования и государственный секретариат по вопросам прав женщин и пр</w:t>
      </w:r>
      <w:r>
        <w:t>о</w:t>
      </w:r>
      <w:r>
        <w:t>фессиональной подготовки работают над пакетом педагогических материалов по вопросам равенства, предназначенных для академий, ВПУЗ и региональных комиссий и департаментских групп по правам женщин и вопросам равенства.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Просвещение работников образования охватывает два дополнительных направления деятельности. Первое предполагает подготовку всех работников системы образования в вопросах сравнительного положения девочек и мальч</w:t>
      </w:r>
      <w:r>
        <w:t>и</w:t>
      </w:r>
      <w:r>
        <w:t>ков в учебных заведениях, освоения ими школьной программы и критериев о</w:t>
      </w:r>
      <w:r>
        <w:t>т</w:t>
      </w:r>
      <w:r>
        <w:t>бора на предмет доступа к высшему образованию.</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Второе направление связано с увеличением объема статистических да</w:t>
      </w:r>
      <w:r>
        <w:t>н</w:t>
      </w:r>
      <w:r>
        <w:t>ных путем включения в них параметров, касающихся различий по признаку пола, и обеспечением их широкого распространения, с тем чтобы лица, отве</w:t>
      </w:r>
      <w:r>
        <w:t>т</w:t>
      </w:r>
      <w:r>
        <w:t>ственные за выработку политики на местном уровне, могли проводить необх</w:t>
      </w:r>
      <w:r>
        <w:t>о</w:t>
      </w:r>
      <w:r>
        <w:t>димую аналитическую работу.</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отношении этих усовершенствований на уровне подготовки и информ</w:t>
      </w:r>
      <w:r>
        <w:t>а</w:t>
      </w:r>
      <w:r>
        <w:t>ции следует также обеспечить условия учебы и работы, соответствующие з</w:t>
      </w:r>
      <w:r>
        <w:t>а</w:t>
      </w:r>
      <w:r>
        <w:t xml:space="preserve">конным чаяниям женщин.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Речь, например, идет о том, чтобы стимулировать университетские горо</w:t>
      </w:r>
      <w:r>
        <w:t>д</w:t>
      </w:r>
      <w:r>
        <w:t>ки к принятию мер по созданию условий, отвечающих потребностям женщин, адаптировать те направления специализации, которые вызывают значительные трудности с точки зрения профессиональной интеграции женщин, проводить активную политику в вопросах принятия решений относительно доступа же</w:t>
      </w:r>
      <w:r>
        <w:t>н</w:t>
      </w:r>
      <w:r>
        <w:t>щин к ответственным должностям, добиваться более широкого представител</w:t>
      </w:r>
      <w:r>
        <w:t>ь</w:t>
      </w:r>
      <w:r>
        <w:t>ства женщин в составе конкурсных комиссий и комиссий по н</w:t>
      </w:r>
      <w:r>
        <w:t>а</w:t>
      </w:r>
      <w:r>
        <w:t>бору кадров.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Кроме того, министерство национального образования стремится обесп</w:t>
      </w:r>
      <w:r>
        <w:t>е</w:t>
      </w:r>
      <w:r>
        <w:t>чить в своих структурах равный доступ к ответственным должностям. Если среди преподавателей женщины составляют большинство (62%), то в инспе</w:t>
      </w:r>
      <w:r>
        <w:t>к</w:t>
      </w:r>
      <w:r>
        <w:t>ционных органах, например, их количество не столь велико (26%). В этой связи были разработаны целевые контракты, предусматривающие меры, которые следует принять в этой области.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i/>
          <w:sz w:val="24"/>
        </w:rPr>
      </w:pPr>
      <w:r>
        <w:rPr>
          <w:b/>
          <w:i/>
          <w:sz w:val="24"/>
        </w:rPr>
        <w:t>3.</w:t>
      </w:r>
      <w:r>
        <w:rPr>
          <w:b/>
          <w:i/>
          <w:sz w:val="24"/>
        </w:rPr>
        <w:tab/>
        <w:t>Поощрение образования, опирающегося на взаимное ув</w:t>
      </w:r>
      <w:r>
        <w:rPr>
          <w:b/>
          <w:i/>
          <w:sz w:val="24"/>
        </w:rPr>
        <w:t>а</w:t>
      </w:r>
      <w:r>
        <w:rPr>
          <w:b/>
          <w:i/>
          <w:sz w:val="24"/>
        </w:rPr>
        <w:t>жение представителей обоих полов и предусматривающ</w:t>
      </w:r>
      <w:r>
        <w:rPr>
          <w:b/>
          <w:i/>
          <w:sz w:val="24"/>
        </w:rPr>
        <w:t>е</w:t>
      </w:r>
      <w:r>
        <w:rPr>
          <w:b/>
          <w:i/>
          <w:sz w:val="24"/>
        </w:rPr>
        <w:t>го меры борьбы с ди</w:t>
      </w:r>
      <w:r>
        <w:rPr>
          <w:b/>
          <w:i/>
          <w:sz w:val="24"/>
        </w:rPr>
        <w:t>с</w:t>
      </w:r>
      <w:r>
        <w:rPr>
          <w:b/>
          <w:i/>
          <w:sz w:val="24"/>
        </w:rPr>
        <w:t>криминацией и насилием</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Просвещение в вопросах равенства между женщинами и мужчинами обеспечивается путем включения в школьные программы материалов, отр</w:t>
      </w:r>
      <w:r>
        <w:t>а</w:t>
      </w:r>
      <w:r>
        <w:t>жающих социальные роли мужчин и женщин; путем расширения знаний о ф</w:t>
      </w:r>
      <w:r>
        <w:t>и</w:t>
      </w:r>
      <w:r>
        <w:t>зических особенностях человеческого организма; путем предотвращения нас</w:t>
      </w:r>
      <w:r>
        <w:t>и</w:t>
      </w:r>
      <w:r>
        <w:t>лия сексуального характера при более широком участии и более высоком уро</w:t>
      </w:r>
      <w:r>
        <w:t>в</w:t>
      </w:r>
      <w:r>
        <w:t>не ответственности членов семьи. С целью более эффективного пресечения я</w:t>
      </w:r>
      <w:r>
        <w:t>в</w:t>
      </w:r>
      <w:r>
        <w:t>лений насилия в школе министр национального образования постановлением от 19 октября 2000 года учредил Комитет по борьбе с насилием в школе, пор</w:t>
      </w:r>
      <w:r>
        <w:t>у</w:t>
      </w:r>
      <w:r>
        <w:t>чив ему совместно с другими департаментами министерства предложить на</w:t>
      </w:r>
      <w:r>
        <w:t>д</w:t>
      </w:r>
      <w:r>
        <w:t>лежащие меры борьбы с этими явлениями.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Эти шаги убедительно свидетельствуют о решимости государственных органов Франции реагировать на сохраняющиеся проявления неравенства. М</w:t>
      </w:r>
      <w:r>
        <w:t>и</w:t>
      </w:r>
      <w:r>
        <w:t>нистерство национального образования, которое играет главную роль в этом отношении, поручило ряду независимых деятелей подготовить доклады о п</w:t>
      </w:r>
      <w:r>
        <w:t>о</w:t>
      </w:r>
      <w:r>
        <w:t>ложении женщин в системе высшего образования и о месте, которое занимают женщины среди лиц, сочетающих преподавательскую и научную деятельность, и о доле девушек среди лиц, поступающих в высшие учебные зав</w:t>
      </w:r>
      <w:r>
        <w:t>е</w:t>
      </w:r>
      <w:r>
        <w:t>дения</w:t>
      </w:r>
      <w:r>
        <w:rPr>
          <w:rStyle w:val="FootnoteReference"/>
        </w:rPr>
        <w:footnoteReference w:id="6"/>
      </w:r>
      <w:r>
        <w:t>.</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Нижеприведенные цифры иллюстрируют эту решимость государственных органов предпринимать шаги по содействию обеспечению равенства женщин и мужчин.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sz w:val="24"/>
        </w:rPr>
      </w:pPr>
      <w:r>
        <w:rPr>
          <w:b/>
          <w:sz w:val="24"/>
        </w:rPr>
        <w:t>II.</w:t>
      </w:r>
      <w:r>
        <w:rPr>
          <w:b/>
          <w:sz w:val="24"/>
        </w:rPr>
        <w:tab/>
      </w:r>
      <w:r>
        <w:rPr>
          <w:b/>
          <w:sz w:val="24"/>
          <w:u w:val="single"/>
        </w:rPr>
        <w:t>Статистические данные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i/>
          <w:sz w:val="24"/>
        </w:rPr>
      </w:pPr>
      <w:r>
        <w:rPr>
          <w:b/>
          <w:i/>
          <w:sz w:val="24"/>
        </w:rPr>
        <w:t>1.</w:t>
      </w:r>
      <w:r>
        <w:rPr>
          <w:b/>
          <w:i/>
          <w:sz w:val="24"/>
        </w:rPr>
        <w:tab/>
        <w:t>Некоторые общие цифры</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center"/>
        <w:rPr>
          <w:b/>
        </w:rPr>
      </w:pPr>
      <w:r>
        <w:rPr>
          <w:b/>
        </w:rPr>
        <w:t>Количество лиц, получивших степень бакалавра, с разбивкой по признаку пола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tbl>
      <w:tblPr>
        <w:tblW w:w="0" w:type="auto"/>
        <w:tblInd w:w="1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6" w:type="dxa"/>
          <w:right w:w="36" w:type="dxa"/>
        </w:tblCellMar>
        <w:tblLook w:val="0000" w:firstRow="0" w:lastRow="0" w:firstColumn="0" w:lastColumn="0" w:noHBand="0" w:noVBand="0"/>
      </w:tblPr>
      <w:tblGrid>
        <w:gridCol w:w="2340"/>
        <w:gridCol w:w="540"/>
        <w:gridCol w:w="540"/>
        <w:gridCol w:w="630"/>
        <w:gridCol w:w="540"/>
        <w:gridCol w:w="540"/>
        <w:gridCol w:w="630"/>
        <w:gridCol w:w="630"/>
        <w:gridCol w:w="540"/>
        <w:gridCol w:w="540"/>
      </w:tblGrid>
      <w:tr w:rsidR="00000000">
        <w:tblPrEx>
          <w:tblCellMar>
            <w:top w:w="0" w:type="dxa"/>
            <w:bottom w:w="0" w:type="dxa"/>
          </w:tblCellMar>
        </w:tblPrEx>
        <w:tc>
          <w:tcPr>
            <w:tcW w:w="23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rPr>
                <w:sz w:val="16"/>
              </w:rPr>
            </w:pPr>
          </w:p>
        </w:tc>
        <w:tc>
          <w:tcPr>
            <w:tcW w:w="5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rPr>
                <w:sz w:val="16"/>
              </w:rPr>
            </w:pPr>
            <w:r>
              <w:rPr>
                <w:sz w:val="16"/>
              </w:rPr>
              <w:t>1993 год</w:t>
            </w:r>
          </w:p>
        </w:tc>
        <w:tc>
          <w:tcPr>
            <w:tcW w:w="5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rPr>
                <w:sz w:val="16"/>
              </w:rPr>
            </w:pPr>
            <w:r>
              <w:rPr>
                <w:sz w:val="16"/>
              </w:rPr>
              <w:t>1994 год</w:t>
            </w:r>
          </w:p>
        </w:tc>
        <w:tc>
          <w:tcPr>
            <w:tcW w:w="63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rPr>
                <w:sz w:val="16"/>
              </w:rPr>
            </w:pPr>
            <w:r>
              <w:rPr>
                <w:sz w:val="16"/>
              </w:rPr>
              <w:t>1995 год</w:t>
            </w:r>
          </w:p>
        </w:tc>
        <w:tc>
          <w:tcPr>
            <w:tcW w:w="5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rPr>
                <w:sz w:val="16"/>
              </w:rPr>
            </w:pPr>
            <w:r>
              <w:rPr>
                <w:sz w:val="16"/>
              </w:rPr>
              <w:t>1996 год</w:t>
            </w:r>
          </w:p>
        </w:tc>
        <w:tc>
          <w:tcPr>
            <w:tcW w:w="5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rPr>
                <w:sz w:val="16"/>
              </w:rPr>
            </w:pPr>
            <w:r>
              <w:rPr>
                <w:sz w:val="16"/>
              </w:rPr>
              <w:t>1997 год</w:t>
            </w:r>
          </w:p>
        </w:tc>
        <w:tc>
          <w:tcPr>
            <w:tcW w:w="63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rPr>
                <w:sz w:val="16"/>
              </w:rPr>
            </w:pPr>
            <w:r>
              <w:rPr>
                <w:sz w:val="16"/>
              </w:rPr>
              <w:t>1998 год</w:t>
            </w:r>
          </w:p>
        </w:tc>
        <w:tc>
          <w:tcPr>
            <w:tcW w:w="63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rPr>
                <w:sz w:val="16"/>
              </w:rPr>
            </w:pPr>
            <w:r>
              <w:rPr>
                <w:sz w:val="16"/>
              </w:rPr>
              <w:t>1999 год</w:t>
            </w:r>
          </w:p>
        </w:tc>
        <w:tc>
          <w:tcPr>
            <w:tcW w:w="5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rPr>
                <w:sz w:val="16"/>
              </w:rPr>
            </w:pPr>
            <w:r>
              <w:rPr>
                <w:sz w:val="16"/>
              </w:rPr>
              <w:t>2000 год</w:t>
            </w:r>
          </w:p>
        </w:tc>
        <w:tc>
          <w:tcPr>
            <w:tcW w:w="5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rPr>
                <w:sz w:val="16"/>
              </w:rPr>
            </w:pPr>
            <w:r>
              <w:rPr>
                <w:sz w:val="16"/>
              </w:rPr>
              <w:t>2001 год</w:t>
            </w:r>
          </w:p>
        </w:tc>
      </w:tr>
      <w:tr w:rsidR="00000000">
        <w:tblPrEx>
          <w:tblCellMar>
            <w:top w:w="0" w:type="dxa"/>
            <w:bottom w:w="0" w:type="dxa"/>
          </w:tblCellMar>
        </w:tblPrEx>
        <w:tc>
          <w:tcPr>
            <w:tcW w:w="23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rPr>
                <w:sz w:val="16"/>
              </w:rPr>
            </w:pPr>
            <w:r>
              <w:rPr>
                <w:sz w:val="16"/>
              </w:rPr>
              <w:t>Д</w:t>
            </w:r>
            <w:r>
              <w:rPr>
                <w:sz w:val="16"/>
              </w:rPr>
              <w:t>е</w:t>
            </w:r>
            <w:r>
              <w:rPr>
                <w:sz w:val="16"/>
              </w:rPr>
              <w:t>вушки</w:t>
            </w:r>
          </w:p>
        </w:tc>
        <w:tc>
          <w:tcPr>
            <w:tcW w:w="5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rPr>
                <w:sz w:val="16"/>
              </w:rPr>
            </w:pPr>
            <w:r>
              <w:rPr>
                <w:sz w:val="16"/>
              </w:rPr>
              <w:t>75,8%</w:t>
            </w:r>
          </w:p>
        </w:tc>
        <w:tc>
          <w:tcPr>
            <w:tcW w:w="5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rPr>
                <w:sz w:val="16"/>
              </w:rPr>
            </w:pPr>
            <w:r>
              <w:rPr>
                <w:sz w:val="16"/>
              </w:rPr>
              <w:t>75,7%</w:t>
            </w:r>
          </w:p>
        </w:tc>
        <w:tc>
          <w:tcPr>
            <w:tcW w:w="63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rPr>
                <w:sz w:val="16"/>
              </w:rPr>
            </w:pPr>
            <w:r>
              <w:rPr>
                <w:sz w:val="16"/>
              </w:rPr>
              <w:t>76,0%</w:t>
            </w:r>
          </w:p>
        </w:tc>
        <w:tc>
          <w:tcPr>
            <w:tcW w:w="5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rPr>
                <w:sz w:val="16"/>
              </w:rPr>
            </w:pPr>
            <w:r>
              <w:rPr>
                <w:sz w:val="16"/>
              </w:rPr>
              <w:t>75,4%</w:t>
            </w:r>
          </w:p>
        </w:tc>
        <w:tc>
          <w:tcPr>
            <w:tcW w:w="5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rPr>
                <w:sz w:val="16"/>
              </w:rPr>
            </w:pPr>
            <w:r>
              <w:rPr>
                <w:sz w:val="16"/>
              </w:rPr>
              <w:t>78,3%</w:t>
            </w:r>
          </w:p>
        </w:tc>
        <w:tc>
          <w:tcPr>
            <w:tcW w:w="63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rPr>
                <w:sz w:val="16"/>
              </w:rPr>
            </w:pPr>
            <w:r>
              <w:rPr>
                <w:sz w:val="16"/>
              </w:rPr>
              <w:t>81,2%</w:t>
            </w:r>
          </w:p>
        </w:tc>
        <w:tc>
          <w:tcPr>
            <w:tcW w:w="63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rPr>
                <w:sz w:val="16"/>
              </w:rPr>
            </w:pPr>
            <w:r>
              <w:rPr>
                <w:sz w:val="16"/>
              </w:rPr>
              <w:t>80,5%</w:t>
            </w:r>
          </w:p>
        </w:tc>
        <w:tc>
          <w:tcPr>
            <w:tcW w:w="5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rPr>
                <w:sz w:val="16"/>
              </w:rPr>
            </w:pPr>
            <w:r>
              <w:rPr>
                <w:sz w:val="16"/>
              </w:rPr>
              <w:t>81,8%</w:t>
            </w:r>
          </w:p>
        </w:tc>
        <w:tc>
          <w:tcPr>
            <w:tcW w:w="5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rPr>
                <w:sz w:val="16"/>
              </w:rPr>
            </w:pPr>
            <w:r>
              <w:rPr>
                <w:sz w:val="16"/>
              </w:rPr>
              <w:t>80,9%</w:t>
            </w:r>
          </w:p>
        </w:tc>
      </w:tr>
      <w:tr w:rsidR="00000000">
        <w:tblPrEx>
          <w:tblCellMar>
            <w:top w:w="0" w:type="dxa"/>
            <w:bottom w:w="0" w:type="dxa"/>
          </w:tblCellMar>
        </w:tblPrEx>
        <w:tc>
          <w:tcPr>
            <w:tcW w:w="23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rPr>
                <w:sz w:val="16"/>
              </w:rPr>
            </w:pPr>
            <w:r>
              <w:rPr>
                <w:sz w:val="16"/>
              </w:rPr>
              <w:t>Юн</w:t>
            </w:r>
            <w:r>
              <w:rPr>
                <w:sz w:val="16"/>
              </w:rPr>
              <w:t>о</w:t>
            </w:r>
            <w:r>
              <w:rPr>
                <w:sz w:val="16"/>
              </w:rPr>
              <w:t>ши</w:t>
            </w:r>
          </w:p>
        </w:tc>
        <w:tc>
          <w:tcPr>
            <w:tcW w:w="5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rPr>
                <w:sz w:val="16"/>
              </w:rPr>
            </w:pPr>
            <w:r>
              <w:rPr>
                <w:sz w:val="16"/>
              </w:rPr>
              <w:t>72,2%</w:t>
            </w:r>
          </w:p>
        </w:tc>
        <w:tc>
          <w:tcPr>
            <w:tcW w:w="5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rPr>
                <w:sz w:val="16"/>
              </w:rPr>
            </w:pPr>
            <w:r>
              <w:rPr>
                <w:sz w:val="16"/>
              </w:rPr>
              <w:t>72,9%</w:t>
            </w:r>
          </w:p>
        </w:tc>
        <w:tc>
          <w:tcPr>
            <w:tcW w:w="63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rPr>
                <w:sz w:val="16"/>
              </w:rPr>
            </w:pPr>
            <w:r>
              <w:rPr>
                <w:sz w:val="16"/>
              </w:rPr>
              <w:t>73,9%</w:t>
            </w:r>
          </w:p>
        </w:tc>
        <w:tc>
          <w:tcPr>
            <w:tcW w:w="5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rPr>
                <w:sz w:val="16"/>
              </w:rPr>
            </w:pPr>
            <w:r>
              <w:rPr>
                <w:sz w:val="16"/>
              </w:rPr>
              <w:t>73,3%</w:t>
            </w:r>
          </w:p>
        </w:tc>
        <w:tc>
          <w:tcPr>
            <w:tcW w:w="5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rPr>
                <w:sz w:val="16"/>
              </w:rPr>
            </w:pPr>
            <w:r>
              <w:rPr>
                <w:sz w:val="16"/>
              </w:rPr>
              <w:t>74,3%</w:t>
            </w:r>
          </w:p>
        </w:tc>
        <w:tc>
          <w:tcPr>
            <w:tcW w:w="63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rPr>
                <w:sz w:val="16"/>
              </w:rPr>
            </w:pPr>
            <w:r>
              <w:rPr>
                <w:sz w:val="16"/>
              </w:rPr>
              <w:t>76,5%</w:t>
            </w:r>
          </w:p>
        </w:tc>
        <w:tc>
          <w:tcPr>
            <w:tcW w:w="63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rPr>
                <w:sz w:val="16"/>
              </w:rPr>
            </w:pPr>
            <w:r>
              <w:rPr>
                <w:sz w:val="16"/>
              </w:rPr>
              <w:t>75,6%</w:t>
            </w:r>
          </w:p>
        </w:tc>
        <w:tc>
          <w:tcPr>
            <w:tcW w:w="5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rPr>
                <w:sz w:val="16"/>
              </w:rPr>
            </w:pPr>
            <w:r>
              <w:rPr>
                <w:sz w:val="16"/>
              </w:rPr>
              <w:t>77,4%</w:t>
            </w:r>
          </w:p>
        </w:tc>
        <w:tc>
          <w:tcPr>
            <w:tcW w:w="5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rPr>
                <w:sz w:val="16"/>
              </w:rPr>
            </w:pPr>
            <w:r>
              <w:rPr>
                <w:sz w:val="16"/>
              </w:rPr>
              <w:t>76,1%</w:t>
            </w:r>
          </w:p>
        </w:tc>
      </w:tr>
    </w:tbl>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rPr>
          <w:i/>
        </w:rPr>
      </w:pPr>
      <w:r>
        <w:t>(</w:t>
      </w:r>
      <w:r>
        <w:rPr>
          <w:i/>
        </w:rPr>
        <w:t>Общие данные о количестве лиц, получивших степень бакалавра, без указания серий)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rPr>
          <w:i/>
        </w:rPr>
      </w:pPr>
      <w:r>
        <w:rPr>
          <w:i/>
        </w:rPr>
        <w:t>Источник: министерство национального образования.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Количество девушек, получивших степень бакалавра, продолжает увел</w:t>
      </w:r>
      <w:r>
        <w:t>и</w:t>
      </w:r>
      <w:r>
        <w:t>чиваться; в 2001 году оно по</w:t>
      </w:r>
      <w:r>
        <w:noBreakHyphen/>
        <w:t>прежнему превышает 80% и превосходит колич</w:t>
      </w:r>
      <w:r>
        <w:t>е</w:t>
      </w:r>
      <w:r>
        <w:t>ство юношей за рассматриваемый период.</w:t>
      </w:r>
    </w:p>
    <w:tbl>
      <w:tblPr>
        <w:tblW w:w="0" w:type="auto"/>
        <w:tblInd w:w="1262" w:type="dxa"/>
        <w:tblLayout w:type="fixed"/>
        <w:tblLook w:val="0000" w:firstRow="0" w:lastRow="0" w:firstColumn="0" w:lastColumn="0" w:noHBand="0" w:noVBand="0"/>
      </w:tblPr>
      <w:tblGrid>
        <w:gridCol w:w="1260"/>
        <w:gridCol w:w="4590"/>
        <w:gridCol w:w="1440"/>
      </w:tblGrid>
      <w:tr w:rsidR="00000000">
        <w:tblPrEx>
          <w:tblCellMar>
            <w:top w:w="0" w:type="dxa"/>
            <w:bottom w:w="0" w:type="dxa"/>
          </w:tblCellMar>
        </w:tblPrEx>
        <w:trPr>
          <w:cantSplit/>
        </w:trPr>
        <w:tc>
          <w:tcPr>
            <w:tcW w:w="5850" w:type="dxa"/>
            <w:gridSpan w:val="2"/>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Вид показателя</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Данные за 2000 год</w:t>
            </w:r>
          </w:p>
        </w:tc>
      </w:tr>
      <w:tr w:rsidR="00000000">
        <w:tblPrEx>
          <w:tblCellMar>
            <w:top w:w="0" w:type="dxa"/>
            <w:bottom w:w="0" w:type="dxa"/>
          </w:tblCellMar>
        </w:tblPrEx>
        <w:trPr>
          <w:cantSplit/>
        </w:trPr>
        <w:tc>
          <w:tcPr>
            <w:tcW w:w="5850" w:type="dxa"/>
            <w:gridSpan w:val="2"/>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Доля девочек-учащихся в государственной системе образ</w:t>
            </w:r>
            <w:r>
              <w:t>о</w:t>
            </w:r>
            <w:r>
              <w:t>вания</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p>
        </w:tc>
      </w:tr>
      <w:tr w:rsidR="00000000">
        <w:tblPrEx>
          <w:tblCellMar>
            <w:top w:w="0" w:type="dxa"/>
            <w:bottom w:w="0" w:type="dxa"/>
          </w:tblCellMar>
        </w:tblPrEx>
        <w:trPr>
          <w:cantSplit/>
        </w:trPr>
        <w:tc>
          <w:tcPr>
            <w:tcW w:w="5850" w:type="dxa"/>
            <w:gridSpan w:val="2"/>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Третья ступень общеобразовательной си</w:t>
            </w:r>
            <w:r>
              <w:t>с</w:t>
            </w:r>
            <w:r>
              <w:t xml:space="preserve">темы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(94,7% девочек, обучающихся на третьей ступени, охвачены системой общего образ</w:t>
            </w:r>
            <w:r>
              <w:t>о</w:t>
            </w:r>
            <w:r>
              <w:t>вания)</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52,39%</w:t>
            </w:r>
          </w:p>
        </w:tc>
      </w:tr>
      <w:tr w:rsidR="00000000">
        <w:tblPrEx>
          <w:tblCellMar>
            <w:top w:w="0" w:type="dxa"/>
            <w:bottom w:w="0" w:type="dxa"/>
          </w:tblCellMar>
        </w:tblPrEx>
        <w:trPr>
          <w:cantSplit/>
        </w:trPr>
        <w:tc>
          <w:tcPr>
            <w:tcW w:w="5850" w:type="dxa"/>
            <w:gridSpan w:val="2"/>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Вторая ступень общего и технического о</w:t>
            </w:r>
            <w:r>
              <w:t>б</w:t>
            </w:r>
            <w:r>
              <w:t>разования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(99,3% девочек, обучающихся на второй ступени, охвачены системой общего и те</w:t>
            </w:r>
            <w:r>
              <w:t>х</w:t>
            </w:r>
            <w:r>
              <w:t>нического образования)</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55,3%</w:t>
            </w:r>
          </w:p>
        </w:tc>
      </w:tr>
      <w:tr w:rsidR="00000000">
        <w:tblPrEx>
          <w:tblCellMar>
            <w:top w:w="0" w:type="dxa"/>
            <w:bottom w:w="0" w:type="dxa"/>
          </w:tblCellMar>
        </w:tblPrEx>
        <w:trPr>
          <w:cantSplit/>
        </w:trPr>
        <w:tc>
          <w:tcPr>
            <w:tcW w:w="5850" w:type="dxa"/>
            <w:gridSpan w:val="2"/>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Выпускные классы систем естественно-научного образов</w:t>
            </w:r>
            <w:r>
              <w:t>а</w:t>
            </w:r>
            <w:r>
              <w:t>ния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(37,7% девушек, обучающихся в выпускных классах, охвач</w:t>
            </w:r>
            <w:r>
              <w:t>е</w:t>
            </w:r>
            <w:r>
              <w:t>ны сист</w:t>
            </w:r>
            <w:r>
              <w:t>е</w:t>
            </w:r>
            <w:r>
              <w:t>мой естественно-научного образования)</w:t>
            </w:r>
          </w:p>
        </w:tc>
        <w:tc>
          <w:tcPr>
            <w:tcW w:w="1440"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42,9%</w:t>
            </w:r>
          </w:p>
        </w:tc>
      </w:tr>
      <w:tr w:rsidR="00000000">
        <w:tblPrEx>
          <w:tblCellMar>
            <w:top w:w="0" w:type="dxa"/>
            <w:bottom w:w="0" w:type="dxa"/>
          </w:tblCellMar>
        </w:tblPrEx>
        <w:trPr>
          <w:cantSplit/>
        </w:trPr>
        <w:tc>
          <w:tcPr>
            <w:tcW w:w="5850" w:type="dxa"/>
            <w:gridSpan w:val="2"/>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Работники системы национального образ</w:t>
            </w:r>
            <w:r>
              <w:t>о</w:t>
            </w:r>
            <w:r>
              <w:t>вания</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p>
        </w:tc>
      </w:tr>
      <w:tr w:rsidR="00000000">
        <w:tblPrEx>
          <w:tblCellMar>
            <w:top w:w="0" w:type="dxa"/>
            <w:bottom w:w="0" w:type="dxa"/>
          </w:tblCellMar>
        </w:tblPrEx>
        <w:trPr>
          <w:cantSplit/>
        </w:trPr>
        <w:tc>
          <w:tcPr>
            <w:tcW w:w="1260" w:type="dxa"/>
            <w:vMerge w:val="restart"/>
            <w:tcBorders>
              <w:bottom w:val="single" w:sz="4" w:space="0" w:color="auto"/>
            </w:tcBorders>
            <w:vAlign w:val="center"/>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Процент преподав</w:t>
            </w:r>
            <w:r>
              <w:t>а</w:t>
            </w:r>
            <w:r>
              <w:t>телей из числа женщин</w:t>
            </w:r>
          </w:p>
        </w:tc>
        <w:tc>
          <w:tcPr>
            <w:tcW w:w="45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первой ступени</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77,80%</w:t>
            </w:r>
          </w:p>
        </w:tc>
      </w:tr>
      <w:tr w:rsidR="00000000">
        <w:tblPrEx>
          <w:tblCellMar>
            <w:top w:w="0" w:type="dxa"/>
            <w:bottom w:w="0" w:type="dxa"/>
          </w:tblCellMar>
        </w:tblPrEx>
        <w:trPr>
          <w:cantSplit/>
        </w:trPr>
        <w:tc>
          <w:tcPr>
            <w:tcW w:w="1260" w:type="dxa"/>
            <w:vMerge/>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p>
        </w:tc>
        <w:tc>
          <w:tcPr>
            <w:tcW w:w="45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второй ступени и непрерывного обучения</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56,70%</w:t>
            </w:r>
          </w:p>
        </w:tc>
      </w:tr>
      <w:tr w:rsidR="00000000">
        <w:tblPrEx>
          <w:tblCellMar>
            <w:top w:w="0" w:type="dxa"/>
            <w:bottom w:w="0" w:type="dxa"/>
          </w:tblCellMar>
        </w:tblPrEx>
        <w:trPr>
          <w:cantSplit/>
        </w:trPr>
        <w:tc>
          <w:tcPr>
            <w:tcW w:w="1260" w:type="dxa"/>
            <w:vMerge/>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p>
        </w:tc>
        <w:tc>
          <w:tcPr>
            <w:tcW w:w="4590"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среди административно-технического и упра</w:t>
            </w:r>
            <w:r>
              <w:t>в</w:t>
            </w:r>
            <w:r>
              <w:t>ленческ</w:t>
            </w:r>
            <w:r>
              <w:t>о</w:t>
            </w:r>
            <w:r>
              <w:t>го персонала</w:t>
            </w:r>
          </w:p>
        </w:tc>
        <w:tc>
          <w:tcPr>
            <w:tcW w:w="1440"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64,90%</w:t>
            </w:r>
          </w:p>
        </w:tc>
      </w:tr>
      <w:tr w:rsidR="00000000">
        <w:tblPrEx>
          <w:tblCellMar>
            <w:top w:w="0" w:type="dxa"/>
            <w:bottom w:w="0" w:type="dxa"/>
          </w:tblCellMar>
        </w:tblPrEx>
        <w:trPr>
          <w:cantSplit/>
        </w:trPr>
        <w:tc>
          <w:tcPr>
            <w:tcW w:w="1260" w:type="dxa"/>
            <w:vMerge w:val="restart"/>
            <w:vAlign w:val="center"/>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Распред</w:t>
            </w:r>
            <w:r>
              <w:t>е</w:t>
            </w:r>
            <w:r>
              <w:t>ление по катег</w:t>
            </w:r>
            <w:r>
              <w:t>о</w:t>
            </w:r>
            <w:r>
              <w:t>риям</w:t>
            </w:r>
          </w:p>
        </w:tc>
        <w:tc>
          <w:tcPr>
            <w:tcW w:w="45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Категория А</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58,90%</w:t>
            </w:r>
          </w:p>
        </w:tc>
      </w:tr>
      <w:tr w:rsidR="00000000">
        <w:tblPrEx>
          <w:tblCellMar>
            <w:top w:w="0" w:type="dxa"/>
            <w:bottom w:w="0" w:type="dxa"/>
          </w:tblCellMar>
        </w:tblPrEx>
        <w:trPr>
          <w:cantSplit/>
        </w:trPr>
        <w:tc>
          <w:tcPr>
            <w:tcW w:w="1260" w:type="dxa"/>
            <w:vMerge/>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p>
        </w:tc>
        <w:tc>
          <w:tcPr>
            <w:tcW w:w="45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Категория В</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78,30%</w:t>
            </w:r>
          </w:p>
        </w:tc>
      </w:tr>
      <w:tr w:rsidR="00000000">
        <w:tblPrEx>
          <w:tblCellMar>
            <w:top w:w="0" w:type="dxa"/>
            <w:bottom w:w="0" w:type="dxa"/>
          </w:tblCellMar>
        </w:tblPrEx>
        <w:trPr>
          <w:cantSplit/>
        </w:trPr>
        <w:tc>
          <w:tcPr>
            <w:tcW w:w="1260" w:type="dxa"/>
            <w:vMerge/>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p>
        </w:tc>
        <w:tc>
          <w:tcPr>
            <w:tcW w:w="45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Категория С</w:t>
            </w:r>
          </w:p>
        </w:tc>
        <w:tc>
          <w:tcPr>
            <w:tcW w:w="14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66%</w:t>
            </w:r>
          </w:p>
        </w:tc>
      </w:tr>
    </w:tbl>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rPr>
          <w:b/>
          <w:i/>
          <w:sz w:val="24"/>
        </w:rPr>
      </w:pPr>
      <w:r>
        <w:rPr>
          <w:b/>
          <w:i/>
          <w:sz w:val="24"/>
        </w:rPr>
        <w:t>2.</w:t>
      </w:r>
      <w:r>
        <w:rPr>
          <w:b/>
          <w:i/>
          <w:sz w:val="24"/>
        </w:rPr>
        <w:tab/>
        <w:t>Женщины в системе национального образования</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tbl>
      <w:tblPr>
        <w:tblW w:w="0" w:type="auto"/>
        <w:tblInd w:w="126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1620"/>
        <w:gridCol w:w="1530"/>
      </w:tblGrid>
      <w:tr w:rsidR="00000000">
        <w:tblPrEx>
          <w:tblCellMar>
            <w:top w:w="0" w:type="dxa"/>
            <w:bottom w:w="0" w:type="dxa"/>
          </w:tblCellMar>
        </w:tblPrEx>
        <w:tc>
          <w:tcPr>
            <w:tcW w:w="41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Коэффициент же</w:t>
            </w:r>
            <w:r>
              <w:t>н</w:t>
            </w:r>
            <w:r>
              <w:t>щин</w:t>
            </w:r>
          </w:p>
        </w:tc>
        <w:tc>
          <w:tcPr>
            <w:tcW w:w="162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1996-1997 гг.</w:t>
            </w:r>
          </w:p>
        </w:tc>
        <w:tc>
          <w:tcPr>
            <w:tcW w:w="153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1999-2000 гг.</w:t>
            </w:r>
          </w:p>
        </w:tc>
      </w:tr>
      <w:tr w:rsidR="00000000">
        <w:tblPrEx>
          <w:tblCellMar>
            <w:top w:w="0" w:type="dxa"/>
            <w:bottom w:w="0" w:type="dxa"/>
          </w:tblCellMar>
        </w:tblPrEx>
        <w:tc>
          <w:tcPr>
            <w:tcW w:w="414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Кабинет министров</w:t>
            </w:r>
          </w:p>
        </w:tc>
        <w:tc>
          <w:tcPr>
            <w:tcW w:w="162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8,30%</w:t>
            </w:r>
          </w:p>
        </w:tc>
        <w:tc>
          <w:tcPr>
            <w:tcW w:w="153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45,10%</w:t>
            </w:r>
          </w:p>
        </w:tc>
      </w:tr>
      <w:tr w:rsidR="00000000">
        <w:tblPrEx>
          <w:tblCellMar>
            <w:top w:w="0" w:type="dxa"/>
            <w:bottom w:w="0" w:type="dxa"/>
          </w:tblCellMar>
        </w:tblPrEx>
        <w:tc>
          <w:tcPr>
            <w:tcW w:w="414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Главы учебных о</w:t>
            </w:r>
            <w:r>
              <w:t>к</w:t>
            </w:r>
            <w:r>
              <w:t>ругов</w:t>
            </w:r>
          </w:p>
        </w:tc>
        <w:tc>
          <w:tcPr>
            <w:tcW w:w="162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12,90%</w:t>
            </w:r>
          </w:p>
        </w:tc>
        <w:tc>
          <w:tcPr>
            <w:tcW w:w="153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23,30%</w:t>
            </w:r>
          </w:p>
        </w:tc>
      </w:tr>
      <w:tr w:rsidR="00000000">
        <w:tblPrEx>
          <w:tblCellMar>
            <w:top w:w="0" w:type="dxa"/>
            <w:bottom w:w="0" w:type="dxa"/>
          </w:tblCellMar>
        </w:tblPrEx>
        <w:tc>
          <w:tcPr>
            <w:tcW w:w="414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Центральная адм</w:t>
            </w:r>
            <w:r>
              <w:t>и</w:t>
            </w:r>
            <w:r>
              <w:t>нистрация</w:t>
            </w:r>
          </w:p>
        </w:tc>
        <w:tc>
          <w:tcPr>
            <w:tcW w:w="162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p>
        </w:tc>
        <w:tc>
          <w:tcPr>
            <w:tcW w:w="153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p>
        </w:tc>
      </w:tr>
      <w:tr w:rsidR="00000000">
        <w:tblPrEx>
          <w:tblCellMar>
            <w:top w:w="0" w:type="dxa"/>
            <w:bottom w:w="0" w:type="dxa"/>
          </w:tblCellMar>
        </w:tblPrEx>
        <w:tc>
          <w:tcPr>
            <w:tcW w:w="414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Директоры</w:t>
            </w:r>
          </w:p>
        </w:tc>
        <w:tc>
          <w:tcPr>
            <w:tcW w:w="162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0%</w:t>
            </w:r>
          </w:p>
        </w:tc>
        <w:tc>
          <w:tcPr>
            <w:tcW w:w="153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45,50%</w:t>
            </w:r>
          </w:p>
        </w:tc>
      </w:tr>
      <w:tr w:rsidR="00000000">
        <w:tblPrEx>
          <w:tblCellMar>
            <w:top w:w="0" w:type="dxa"/>
            <w:bottom w:w="0" w:type="dxa"/>
          </w:tblCellMar>
        </w:tblPrEx>
        <w:tc>
          <w:tcPr>
            <w:tcW w:w="414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Заместители дире</w:t>
            </w:r>
            <w:r>
              <w:t>к</w:t>
            </w:r>
            <w:r>
              <w:t>торов</w:t>
            </w:r>
          </w:p>
        </w:tc>
        <w:tc>
          <w:tcPr>
            <w:tcW w:w="162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33,30%</w:t>
            </w:r>
          </w:p>
        </w:tc>
        <w:tc>
          <w:tcPr>
            <w:tcW w:w="153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47,40%</w:t>
            </w:r>
          </w:p>
        </w:tc>
      </w:tr>
      <w:tr w:rsidR="00000000">
        <w:tblPrEx>
          <w:tblCellMar>
            <w:top w:w="0" w:type="dxa"/>
            <w:bottom w:w="0" w:type="dxa"/>
          </w:tblCellMar>
        </w:tblPrEx>
        <w:tc>
          <w:tcPr>
            <w:tcW w:w="414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Старшие генеральные инспект</w:t>
            </w:r>
            <w:r>
              <w:t>о</w:t>
            </w:r>
            <w:r>
              <w:t>ры</w:t>
            </w:r>
          </w:p>
        </w:tc>
        <w:tc>
          <w:tcPr>
            <w:tcW w:w="162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0%</w:t>
            </w:r>
          </w:p>
        </w:tc>
        <w:tc>
          <w:tcPr>
            <w:tcW w:w="153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50,00%</w:t>
            </w:r>
          </w:p>
        </w:tc>
      </w:tr>
      <w:tr w:rsidR="00000000">
        <w:tblPrEx>
          <w:tblCellMar>
            <w:top w:w="0" w:type="dxa"/>
            <w:bottom w:w="0" w:type="dxa"/>
          </w:tblCellMar>
        </w:tblPrEx>
        <w:tc>
          <w:tcPr>
            <w:tcW w:w="414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Генеральные инспекторы системы наци</w:t>
            </w:r>
            <w:r>
              <w:t>о</w:t>
            </w:r>
            <w:r>
              <w:t>нального обр</w:t>
            </w:r>
            <w:r>
              <w:t>а</w:t>
            </w:r>
            <w:r>
              <w:t>зования</w:t>
            </w:r>
          </w:p>
        </w:tc>
        <w:tc>
          <w:tcPr>
            <w:tcW w:w="162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15,40%</w:t>
            </w:r>
          </w:p>
        </w:tc>
        <w:tc>
          <w:tcPr>
            <w:tcW w:w="153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15,80%</w:t>
            </w:r>
          </w:p>
        </w:tc>
      </w:tr>
      <w:tr w:rsidR="00000000">
        <w:tblPrEx>
          <w:tblCellMar>
            <w:top w:w="0" w:type="dxa"/>
            <w:bottom w:w="0" w:type="dxa"/>
          </w:tblCellMar>
        </w:tblPrEx>
        <w:tc>
          <w:tcPr>
            <w:tcW w:w="414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Генеральные инспекторы администрации национального обр</w:t>
            </w:r>
            <w:r>
              <w:t>а</w:t>
            </w:r>
            <w:r>
              <w:t>зования</w:t>
            </w:r>
          </w:p>
        </w:tc>
        <w:tc>
          <w:tcPr>
            <w:tcW w:w="162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17,90%</w:t>
            </w:r>
          </w:p>
        </w:tc>
        <w:tc>
          <w:tcPr>
            <w:tcW w:w="153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20,70%</w:t>
            </w:r>
          </w:p>
        </w:tc>
      </w:tr>
      <w:tr w:rsidR="00000000">
        <w:tblPrEx>
          <w:tblCellMar>
            <w:top w:w="0" w:type="dxa"/>
            <w:bottom w:w="0" w:type="dxa"/>
          </w:tblCellMar>
        </w:tblPrEx>
        <w:tc>
          <w:tcPr>
            <w:tcW w:w="414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Начальное образов</w:t>
            </w:r>
            <w:r>
              <w:t>а</w:t>
            </w:r>
            <w:r>
              <w:t>ние</w:t>
            </w:r>
          </w:p>
        </w:tc>
        <w:tc>
          <w:tcPr>
            <w:tcW w:w="162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p>
        </w:tc>
        <w:tc>
          <w:tcPr>
            <w:tcW w:w="153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p>
        </w:tc>
      </w:tr>
      <w:tr w:rsidR="00000000">
        <w:tblPrEx>
          <w:tblCellMar>
            <w:top w:w="0" w:type="dxa"/>
            <w:bottom w:w="0" w:type="dxa"/>
          </w:tblCellMar>
        </w:tblPrEx>
        <w:tc>
          <w:tcPr>
            <w:tcW w:w="414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Учителя и препод</w:t>
            </w:r>
            <w:r>
              <w:t>а</w:t>
            </w:r>
            <w:r>
              <w:t>ватели школы</w:t>
            </w:r>
          </w:p>
        </w:tc>
        <w:tc>
          <w:tcPr>
            <w:tcW w:w="162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74,70%</w:t>
            </w:r>
          </w:p>
        </w:tc>
        <w:tc>
          <w:tcPr>
            <w:tcW w:w="153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77,40%</w:t>
            </w:r>
          </w:p>
        </w:tc>
      </w:tr>
      <w:tr w:rsidR="00000000">
        <w:tblPrEx>
          <w:tblCellMar>
            <w:top w:w="0" w:type="dxa"/>
            <w:bottom w:w="0" w:type="dxa"/>
          </w:tblCellMar>
        </w:tblPrEx>
        <w:tc>
          <w:tcPr>
            <w:tcW w:w="414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Инспекторы национального образов</w:t>
            </w:r>
            <w:r>
              <w:t>а</w:t>
            </w:r>
            <w:r>
              <w:t>ния</w:t>
            </w:r>
          </w:p>
        </w:tc>
        <w:tc>
          <w:tcPr>
            <w:tcW w:w="162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30,40%</w:t>
            </w:r>
          </w:p>
        </w:tc>
        <w:tc>
          <w:tcPr>
            <w:tcW w:w="153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30,90%</w:t>
            </w:r>
          </w:p>
        </w:tc>
      </w:tr>
      <w:tr w:rsidR="00000000">
        <w:tblPrEx>
          <w:tblCellMar>
            <w:top w:w="0" w:type="dxa"/>
            <w:bottom w:w="0" w:type="dxa"/>
          </w:tblCellMar>
        </w:tblPrEx>
        <w:tc>
          <w:tcPr>
            <w:tcW w:w="414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Среднее образование</w:t>
            </w:r>
          </w:p>
        </w:tc>
        <w:tc>
          <w:tcPr>
            <w:tcW w:w="162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p>
        </w:tc>
        <w:tc>
          <w:tcPr>
            <w:tcW w:w="153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p>
        </w:tc>
      </w:tr>
      <w:tr w:rsidR="00000000">
        <w:tblPrEx>
          <w:tblCellMar>
            <w:top w:w="0" w:type="dxa"/>
            <w:bottom w:w="0" w:type="dxa"/>
          </w:tblCellMar>
        </w:tblPrEx>
        <w:tc>
          <w:tcPr>
            <w:tcW w:w="414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Агреже</w:t>
            </w:r>
          </w:p>
        </w:tc>
        <w:tc>
          <w:tcPr>
            <w:tcW w:w="162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50,60%</w:t>
            </w:r>
          </w:p>
        </w:tc>
        <w:tc>
          <w:tcPr>
            <w:tcW w:w="153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51,40%</w:t>
            </w:r>
          </w:p>
        </w:tc>
      </w:tr>
      <w:tr w:rsidR="00000000">
        <w:tblPrEx>
          <w:tblCellMar>
            <w:top w:w="0" w:type="dxa"/>
            <w:bottom w:w="0" w:type="dxa"/>
          </w:tblCellMar>
        </w:tblPrEx>
        <w:tc>
          <w:tcPr>
            <w:tcW w:w="414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Дипломированные и приравненные к ним р</w:t>
            </w:r>
            <w:r>
              <w:t>а</w:t>
            </w:r>
            <w:r>
              <w:t>ботники</w:t>
            </w:r>
          </w:p>
        </w:tc>
        <w:tc>
          <w:tcPr>
            <w:tcW w:w="162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59,70%</w:t>
            </w:r>
          </w:p>
        </w:tc>
        <w:tc>
          <w:tcPr>
            <w:tcW w:w="153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60,50%</w:t>
            </w:r>
          </w:p>
        </w:tc>
      </w:tr>
      <w:tr w:rsidR="00000000">
        <w:tblPrEx>
          <w:tblCellMar>
            <w:top w:w="0" w:type="dxa"/>
            <w:bottom w:w="0" w:type="dxa"/>
          </w:tblCellMar>
        </w:tblPrEx>
        <w:tc>
          <w:tcPr>
            <w:tcW w:w="414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ИАИПР</w:t>
            </w:r>
          </w:p>
        </w:tc>
        <w:tc>
          <w:tcPr>
            <w:tcW w:w="162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21,80%</w:t>
            </w:r>
          </w:p>
        </w:tc>
        <w:tc>
          <w:tcPr>
            <w:tcW w:w="153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23,20%</w:t>
            </w:r>
          </w:p>
        </w:tc>
      </w:tr>
      <w:tr w:rsidR="00000000">
        <w:tblPrEx>
          <w:tblCellMar>
            <w:top w:w="0" w:type="dxa"/>
            <w:bottom w:w="0" w:type="dxa"/>
          </w:tblCellMar>
        </w:tblPrEx>
        <w:tc>
          <w:tcPr>
            <w:tcW w:w="4140" w:type="dxa"/>
            <w:tcBorders>
              <w:top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Руководители уче</w:t>
            </w:r>
            <w:r>
              <w:t>б</w:t>
            </w:r>
            <w:r>
              <w:t>ных заведений</w:t>
            </w:r>
          </w:p>
        </w:tc>
        <w:tc>
          <w:tcPr>
            <w:tcW w:w="1620" w:type="dxa"/>
            <w:tcBorders>
              <w:top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30,70%</w:t>
            </w:r>
          </w:p>
        </w:tc>
        <w:tc>
          <w:tcPr>
            <w:tcW w:w="1530" w:type="dxa"/>
            <w:tcBorders>
              <w:top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35,80%</w:t>
            </w:r>
          </w:p>
        </w:tc>
      </w:tr>
      <w:tr w:rsidR="00000000">
        <w:tblPrEx>
          <w:tblCellMar>
            <w:top w:w="0" w:type="dxa"/>
            <w:bottom w:w="0" w:type="dxa"/>
          </w:tblCellMar>
        </w:tblPrEx>
        <w:tc>
          <w:tcPr>
            <w:tcW w:w="414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Председатели конкурсных к</w:t>
            </w:r>
            <w:r>
              <w:t>о</w:t>
            </w:r>
            <w:r>
              <w:t>миссий</w:t>
            </w:r>
          </w:p>
        </w:tc>
        <w:tc>
          <w:tcPr>
            <w:tcW w:w="162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p>
        </w:tc>
        <w:tc>
          <w:tcPr>
            <w:tcW w:w="153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p>
        </w:tc>
      </w:tr>
      <w:tr w:rsidR="00000000">
        <w:tblPrEx>
          <w:tblCellMar>
            <w:top w:w="0" w:type="dxa"/>
            <w:bottom w:w="0" w:type="dxa"/>
          </w:tblCellMar>
        </w:tblPrEx>
        <w:tc>
          <w:tcPr>
            <w:tcW w:w="414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Общенациональный конкурс на замещ</w:t>
            </w:r>
            <w:r>
              <w:t>е</w:t>
            </w:r>
            <w:r>
              <w:t>ние должности препод</w:t>
            </w:r>
            <w:r>
              <w:t>а</w:t>
            </w:r>
            <w:r>
              <w:t>вателя</w:t>
            </w:r>
          </w:p>
        </w:tc>
        <w:tc>
          <w:tcPr>
            <w:tcW w:w="162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11,80%</w:t>
            </w:r>
          </w:p>
        </w:tc>
        <w:tc>
          <w:tcPr>
            <w:tcW w:w="1530" w:type="dxa"/>
            <w:tcBorders>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17,80%</w:t>
            </w:r>
          </w:p>
        </w:tc>
      </w:tr>
      <w:tr w:rsidR="00000000">
        <w:tblPrEx>
          <w:tblCellMar>
            <w:top w:w="0" w:type="dxa"/>
            <w:bottom w:w="0" w:type="dxa"/>
          </w:tblCellMar>
        </w:tblPrEx>
        <w:tc>
          <w:tcPr>
            <w:tcW w:w="414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Лица, имеющие диплом преподавателя средней школы</w:t>
            </w:r>
          </w:p>
        </w:tc>
        <w:tc>
          <w:tcPr>
            <w:tcW w:w="162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15,70%</w:t>
            </w:r>
          </w:p>
        </w:tc>
        <w:tc>
          <w:tcPr>
            <w:tcW w:w="1530" w:type="dxa"/>
            <w:tcBorders>
              <w:top w:val="nil"/>
              <w:bottom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32%</w:t>
            </w:r>
          </w:p>
        </w:tc>
      </w:tr>
      <w:tr w:rsidR="00000000">
        <w:tblPrEx>
          <w:tblCellMar>
            <w:top w:w="0" w:type="dxa"/>
            <w:bottom w:w="0" w:type="dxa"/>
          </w:tblCellMar>
        </w:tblPrEx>
        <w:tc>
          <w:tcPr>
            <w:tcW w:w="4140" w:type="dxa"/>
            <w:tcBorders>
              <w:top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Лица, имеющие диплом преподавателя технич</w:t>
            </w:r>
            <w:r>
              <w:t>е</w:t>
            </w:r>
            <w:r>
              <w:t>ской школы</w:t>
            </w:r>
          </w:p>
        </w:tc>
        <w:tc>
          <w:tcPr>
            <w:tcW w:w="1620" w:type="dxa"/>
            <w:tcBorders>
              <w:top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27,20%</w:t>
            </w:r>
          </w:p>
        </w:tc>
        <w:tc>
          <w:tcPr>
            <w:tcW w:w="1530" w:type="dxa"/>
            <w:tcBorders>
              <w:top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33,30%</w:t>
            </w:r>
          </w:p>
        </w:tc>
      </w:tr>
    </w:tbl>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rPr>
          <w:b/>
          <w:i/>
          <w:sz w:val="24"/>
        </w:rPr>
      </w:pPr>
      <w:r>
        <w:rPr>
          <w:b/>
          <w:i/>
          <w:sz w:val="24"/>
        </w:rPr>
        <w:t>3.</w:t>
      </w:r>
      <w:r>
        <w:rPr>
          <w:b/>
          <w:i/>
          <w:sz w:val="24"/>
        </w:rPr>
        <w:tab/>
        <w:t>Девушки в высших учебных заведениях</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r>
        <w:t>1900 год : 624 учащихся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r>
        <w:t>1990 год : 520 000 учащихся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r>
        <w:t>1998 год : около 800 000 учащихся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r>
        <w:t>2000-2001 год : 788 000 учащихся (в том числе в университетских технологич</w:t>
      </w:r>
      <w:r>
        <w:t>е</w:t>
      </w:r>
      <w:r>
        <w:t>ских институтах - УТИ)</w:t>
      </w: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4950"/>
      </w:tblGrid>
      <w:tr w:rsidR="00000000">
        <w:tblPrEx>
          <w:tblCellMar>
            <w:top w:w="0" w:type="dxa"/>
            <w:bottom w:w="0" w:type="dxa"/>
          </w:tblCellMar>
        </w:tblPrEx>
        <w:trPr>
          <w:cantSplit/>
        </w:trPr>
        <w:tc>
          <w:tcPr>
            <w:tcW w:w="7290" w:type="dxa"/>
            <w:gridSpan w:val="2"/>
            <w:tcBorders>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Количественная динамика доли девушек в высших учебных заведен</w:t>
            </w:r>
            <w:r>
              <w:t>и</w:t>
            </w:r>
            <w:r>
              <w:t>ях</w:t>
            </w:r>
          </w:p>
        </w:tc>
      </w:tr>
      <w:tr w:rsidR="00000000">
        <w:tblPrEx>
          <w:tblCellMar>
            <w:top w:w="0" w:type="dxa"/>
            <w:bottom w:w="0" w:type="dxa"/>
          </w:tblCellMar>
        </w:tblPrEx>
        <w:tc>
          <w:tcPr>
            <w:tcW w:w="2340" w:type="dxa"/>
            <w:tcBorders>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Учебный год</w:t>
            </w:r>
          </w:p>
        </w:tc>
        <w:tc>
          <w:tcPr>
            <w:tcW w:w="4950" w:type="dxa"/>
            <w:tcBorders>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Процент девушек в высших учебных заведен</w:t>
            </w:r>
            <w:r>
              <w:t>и</w:t>
            </w:r>
            <w:r>
              <w:t>ях</w:t>
            </w:r>
          </w:p>
        </w:tc>
      </w:tr>
      <w:tr w:rsidR="00000000">
        <w:tblPrEx>
          <w:tblCellMar>
            <w:top w:w="0" w:type="dxa"/>
            <w:bottom w:w="0" w:type="dxa"/>
          </w:tblCellMar>
        </w:tblPrEx>
        <w:tc>
          <w:tcPr>
            <w:tcW w:w="234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1980/81 год</w:t>
            </w:r>
          </w:p>
        </w:tc>
        <w:tc>
          <w:tcPr>
            <w:tcW w:w="495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49,7%</w:t>
            </w:r>
          </w:p>
        </w:tc>
      </w:tr>
      <w:tr w:rsidR="00000000">
        <w:tblPrEx>
          <w:tblCellMar>
            <w:top w:w="0" w:type="dxa"/>
            <w:bottom w:w="0" w:type="dxa"/>
          </w:tblCellMar>
        </w:tblPrEx>
        <w:tc>
          <w:tcPr>
            <w:tcW w:w="234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1990/91 год</w:t>
            </w:r>
          </w:p>
        </w:tc>
        <w:tc>
          <w:tcPr>
            <w:tcW w:w="495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54%</w:t>
            </w:r>
          </w:p>
        </w:tc>
      </w:tr>
      <w:tr w:rsidR="00000000">
        <w:tblPrEx>
          <w:tblCellMar>
            <w:top w:w="0" w:type="dxa"/>
            <w:bottom w:w="0" w:type="dxa"/>
          </w:tblCellMar>
        </w:tblPrEx>
        <w:tc>
          <w:tcPr>
            <w:tcW w:w="234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1997/98 год</w:t>
            </w:r>
          </w:p>
        </w:tc>
        <w:tc>
          <w:tcPr>
            <w:tcW w:w="495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56%</w:t>
            </w:r>
          </w:p>
        </w:tc>
      </w:tr>
      <w:tr w:rsidR="00000000">
        <w:tblPrEx>
          <w:tblCellMar>
            <w:top w:w="0" w:type="dxa"/>
            <w:bottom w:w="0" w:type="dxa"/>
          </w:tblCellMar>
        </w:tblPrEx>
        <w:tc>
          <w:tcPr>
            <w:tcW w:w="2340" w:type="dxa"/>
            <w:tcBorders>
              <w:top w:val="nil"/>
              <w:left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2000/01 год</w:t>
            </w:r>
          </w:p>
        </w:tc>
        <w:tc>
          <w:tcPr>
            <w:tcW w:w="4950" w:type="dxa"/>
            <w:tcBorders>
              <w:top w:val="nil"/>
              <w:left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55%</w:t>
            </w:r>
          </w:p>
        </w:tc>
      </w:tr>
    </w:tbl>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70"/>
        <w:gridCol w:w="2520"/>
      </w:tblGrid>
      <w:tr w:rsidR="00000000">
        <w:tblPrEx>
          <w:tblCellMar>
            <w:top w:w="0" w:type="dxa"/>
            <w:bottom w:w="0" w:type="dxa"/>
          </w:tblCellMar>
        </w:tblPrEx>
        <w:trPr>
          <w:cantSplit/>
        </w:trPr>
        <w:tc>
          <w:tcPr>
            <w:tcW w:w="7290" w:type="dxa"/>
            <w:gridSpan w:val="2"/>
            <w:tcBorders>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Доля девушек с разбивкой по трем циклам высшего образования</w:t>
            </w:r>
          </w:p>
        </w:tc>
      </w:tr>
      <w:tr w:rsidR="00000000">
        <w:tblPrEx>
          <w:tblCellMar>
            <w:top w:w="0" w:type="dxa"/>
            <w:bottom w:w="0" w:type="dxa"/>
          </w:tblCellMar>
        </w:tblPrEx>
        <w:tc>
          <w:tcPr>
            <w:tcW w:w="4770" w:type="dxa"/>
            <w:tcBorders>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Цикл</w:t>
            </w:r>
          </w:p>
        </w:tc>
        <w:tc>
          <w:tcPr>
            <w:tcW w:w="2520" w:type="dxa"/>
            <w:tcBorders>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Процент девушек</w:t>
            </w:r>
          </w:p>
        </w:tc>
      </w:tr>
      <w:tr w:rsidR="00000000">
        <w:tblPrEx>
          <w:tblCellMar>
            <w:top w:w="0" w:type="dxa"/>
            <w:bottom w:w="0" w:type="dxa"/>
          </w:tblCellMar>
        </w:tblPrEx>
        <w:tc>
          <w:tcPr>
            <w:tcW w:w="477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Первый цикл</w:t>
            </w:r>
          </w:p>
        </w:tc>
        <w:tc>
          <w:tcPr>
            <w:tcW w:w="252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55,6%</w:t>
            </w:r>
          </w:p>
        </w:tc>
      </w:tr>
      <w:tr w:rsidR="00000000">
        <w:tblPrEx>
          <w:tblCellMar>
            <w:top w:w="0" w:type="dxa"/>
            <w:bottom w:w="0" w:type="dxa"/>
          </w:tblCellMar>
        </w:tblPrEx>
        <w:tc>
          <w:tcPr>
            <w:tcW w:w="477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Второй цикл</w:t>
            </w:r>
          </w:p>
        </w:tc>
        <w:tc>
          <w:tcPr>
            <w:tcW w:w="252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56,9%</w:t>
            </w:r>
          </w:p>
        </w:tc>
      </w:tr>
      <w:tr w:rsidR="00000000">
        <w:tblPrEx>
          <w:tblCellMar>
            <w:top w:w="0" w:type="dxa"/>
            <w:bottom w:w="0" w:type="dxa"/>
          </w:tblCellMar>
        </w:tblPrEx>
        <w:tc>
          <w:tcPr>
            <w:tcW w:w="4770" w:type="dxa"/>
            <w:tcBorders>
              <w:top w:val="nil"/>
              <w:left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Третий цикл (асп</w:t>
            </w:r>
            <w:r>
              <w:t>и</w:t>
            </w:r>
            <w:r>
              <w:t>рантура)</w:t>
            </w:r>
          </w:p>
        </w:tc>
        <w:tc>
          <w:tcPr>
            <w:tcW w:w="2520" w:type="dxa"/>
            <w:tcBorders>
              <w:top w:val="nil"/>
              <w:left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50,2%</w:t>
            </w:r>
          </w:p>
        </w:tc>
      </w:tr>
    </w:tbl>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Бóльших успехов девушки добиваются в рамках первого цикла высшего образования, их доля увеличивается на уровне второго цикла, но на этапе а</w:t>
      </w:r>
      <w:r>
        <w:t>с</w:t>
      </w:r>
      <w:r>
        <w:t>пирантуры эта тенденция принимает противоположный характер.</w:t>
      </w: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10"/>
        <w:gridCol w:w="1980"/>
      </w:tblGrid>
      <w:tr w:rsidR="00000000">
        <w:tblPrEx>
          <w:tblCellMar>
            <w:top w:w="0" w:type="dxa"/>
            <w:bottom w:w="0" w:type="dxa"/>
          </w:tblCellMar>
        </w:tblPrEx>
        <w:trPr>
          <w:cantSplit/>
        </w:trPr>
        <w:tc>
          <w:tcPr>
            <w:tcW w:w="7290" w:type="dxa"/>
            <w:gridSpan w:val="2"/>
            <w:tcBorders>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Доля девушек в высших учебных заведениях с разбивкой по дисциплинам (2000/01 учебный год)</w:t>
            </w:r>
          </w:p>
        </w:tc>
      </w:tr>
      <w:tr w:rsidR="00000000">
        <w:tblPrEx>
          <w:tblCellMar>
            <w:top w:w="0" w:type="dxa"/>
            <w:bottom w:w="0" w:type="dxa"/>
          </w:tblCellMar>
        </w:tblPrEx>
        <w:tc>
          <w:tcPr>
            <w:tcW w:w="5310" w:type="dxa"/>
            <w:tcBorders>
              <w:top w:val="single" w:sz="4" w:space="0" w:color="auto"/>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Дисциплина</w:t>
            </w:r>
          </w:p>
        </w:tc>
        <w:tc>
          <w:tcPr>
            <w:tcW w:w="1980" w:type="dxa"/>
            <w:tcBorders>
              <w:top w:val="single" w:sz="4" w:space="0" w:color="auto"/>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Процент девушек</w:t>
            </w:r>
          </w:p>
        </w:tc>
      </w:tr>
      <w:tr w:rsidR="00000000">
        <w:tblPrEx>
          <w:tblCellMar>
            <w:top w:w="0" w:type="dxa"/>
            <w:bottom w:w="0" w:type="dxa"/>
          </w:tblCellMar>
        </w:tblPrEx>
        <w:tc>
          <w:tcPr>
            <w:tcW w:w="531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Языки</w:t>
            </w:r>
          </w:p>
        </w:tc>
        <w:tc>
          <w:tcPr>
            <w:tcW w:w="19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73,9%</w:t>
            </w:r>
          </w:p>
        </w:tc>
      </w:tr>
      <w:tr w:rsidR="00000000">
        <w:tblPrEx>
          <w:tblCellMar>
            <w:top w:w="0" w:type="dxa"/>
            <w:bottom w:w="0" w:type="dxa"/>
          </w:tblCellMar>
        </w:tblPrEx>
        <w:tc>
          <w:tcPr>
            <w:tcW w:w="531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Литература и и</w:t>
            </w:r>
            <w:r>
              <w:t>с</w:t>
            </w:r>
            <w:r>
              <w:t>кусство</w:t>
            </w:r>
          </w:p>
        </w:tc>
        <w:tc>
          <w:tcPr>
            <w:tcW w:w="19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72,8%</w:t>
            </w:r>
          </w:p>
        </w:tc>
      </w:tr>
      <w:tr w:rsidR="00000000">
        <w:tblPrEx>
          <w:tblCellMar>
            <w:top w:w="0" w:type="dxa"/>
            <w:bottom w:w="0" w:type="dxa"/>
          </w:tblCellMar>
        </w:tblPrEx>
        <w:tc>
          <w:tcPr>
            <w:tcW w:w="531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Фармация</w:t>
            </w:r>
          </w:p>
        </w:tc>
        <w:tc>
          <w:tcPr>
            <w:tcW w:w="19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66,7%</w:t>
            </w:r>
          </w:p>
        </w:tc>
      </w:tr>
      <w:tr w:rsidR="00000000">
        <w:tblPrEx>
          <w:tblCellMar>
            <w:top w:w="0" w:type="dxa"/>
            <w:bottom w:w="0" w:type="dxa"/>
          </w:tblCellMar>
        </w:tblPrEx>
        <w:tc>
          <w:tcPr>
            <w:tcW w:w="531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Гуманитарные и социальные науки</w:t>
            </w:r>
          </w:p>
        </w:tc>
        <w:tc>
          <w:tcPr>
            <w:tcW w:w="19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65,9%</w:t>
            </w:r>
          </w:p>
        </w:tc>
      </w:tr>
      <w:tr w:rsidR="00000000">
        <w:tblPrEx>
          <w:tblCellMar>
            <w:top w:w="0" w:type="dxa"/>
            <w:bottom w:w="0" w:type="dxa"/>
          </w:tblCellMar>
        </w:tblPrEx>
        <w:tc>
          <w:tcPr>
            <w:tcW w:w="531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Право и политол</w:t>
            </w:r>
            <w:r>
              <w:t>о</w:t>
            </w:r>
            <w:r>
              <w:t>гия</w:t>
            </w:r>
          </w:p>
        </w:tc>
        <w:tc>
          <w:tcPr>
            <w:tcW w:w="19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62,2%</w:t>
            </w:r>
          </w:p>
        </w:tc>
      </w:tr>
      <w:tr w:rsidR="00000000">
        <w:tblPrEx>
          <w:tblCellMar>
            <w:top w:w="0" w:type="dxa"/>
            <w:bottom w:w="0" w:type="dxa"/>
          </w:tblCellMar>
        </w:tblPrEx>
        <w:tc>
          <w:tcPr>
            <w:tcW w:w="531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АЕС</w:t>
            </w:r>
          </w:p>
        </w:tc>
        <w:tc>
          <w:tcPr>
            <w:tcW w:w="19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59,2%</w:t>
            </w:r>
          </w:p>
        </w:tc>
      </w:tr>
      <w:tr w:rsidR="00000000">
        <w:tblPrEx>
          <w:tblCellMar>
            <w:top w:w="0" w:type="dxa"/>
            <w:bottom w:w="0" w:type="dxa"/>
          </w:tblCellMar>
        </w:tblPrEx>
        <w:tc>
          <w:tcPr>
            <w:tcW w:w="531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Экология и биол</w:t>
            </w:r>
            <w:r>
              <w:t>о</w:t>
            </w:r>
            <w:r>
              <w:t>гия</w:t>
            </w:r>
          </w:p>
        </w:tc>
        <w:tc>
          <w:tcPr>
            <w:tcW w:w="19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56,9%</w:t>
            </w:r>
          </w:p>
        </w:tc>
      </w:tr>
      <w:tr w:rsidR="00000000">
        <w:tblPrEx>
          <w:tblCellMar>
            <w:top w:w="0" w:type="dxa"/>
            <w:bottom w:w="0" w:type="dxa"/>
          </w:tblCellMar>
        </w:tblPrEx>
        <w:tc>
          <w:tcPr>
            <w:tcW w:w="531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Медицина, одонт</w:t>
            </w:r>
            <w:r>
              <w:t>о</w:t>
            </w:r>
            <w:r>
              <w:t>логия</w:t>
            </w:r>
          </w:p>
        </w:tc>
        <w:tc>
          <w:tcPr>
            <w:tcW w:w="19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55,6%</w:t>
            </w:r>
          </w:p>
        </w:tc>
      </w:tr>
      <w:tr w:rsidR="00000000">
        <w:tblPrEx>
          <w:tblCellMar>
            <w:top w:w="0" w:type="dxa"/>
            <w:bottom w:w="0" w:type="dxa"/>
          </w:tblCellMar>
        </w:tblPrEx>
        <w:tc>
          <w:tcPr>
            <w:tcW w:w="531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Экономика и управление</w:t>
            </w:r>
          </w:p>
        </w:tc>
        <w:tc>
          <w:tcPr>
            <w:tcW w:w="19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50,9%</w:t>
            </w:r>
          </w:p>
        </w:tc>
      </w:tr>
      <w:tr w:rsidR="00000000">
        <w:tblPrEx>
          <w:tblCellMar>
            <w:top w:w="0" w:type="dxa"/>
            <w:bottom w:w="0" w:type="dxa"/>
          </w:tblCellMar>
        </w:tblPrEx>
        <w:tc>
          <w:tcPr>
            <w:tcW w:w="531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УТИ</w:t>
            </w:r>
          </w:p>
        </w:tc>
        <w:tc>
          <w:tcPr>
            <w:tcW w:w="19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39,7%</w:t>
            </w:r>
          </w:p>
        </w:tc>
      </w:tr>
      <w:tr w:rsidR="00000000">
        <w:tblPrEx>
          <w:tblCellMar>
            <w:top w:w="0" w:type="dxa"/>
            <w:bottom w:w="0" w:type="dxa"/>
          </w:tblCellMar>
        </w:tblPrEx>
        <w:tc>
          <w:tcPr>
            <w:tcW w:w="531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Физико-математические науки</w:t>
            </w:r>
          </w:p>
        </w:tc>
        <w:tc>
          <w:tcPr>
            <w:tcW w:w="19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34,1%</w:t>
            </w:r>
          </w:p>
        </w:tc>
      </w:tr>
      <w:tr w:rsidR="00000000">
        <w:tblPrEx>
          <w:tblCellMar>
            <w:top w:w="0" w:type="dxa"/>
            <w:bottom w:w="0" w:type="dxa"/>
          </w:tblCellMar>
        </w:tblPrEx>
        <w:tc>
          <w:tcPr>
            <w:tcW w:w="531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СТАПС</w:t>
            </w:r>
          </w:p>
        </w:tc>
        <w:tc>
          <w:tcPr>
            <w:tcW w:w="19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31,9%</w:t>
            </w:r>
          </w:p>
        </w:tc>
      </w:tr>
      <w:tr w:rsidR="00000000">
        <w:tblPrEx>
          <w:tblCellMar>
            <w:top w:w="0" w:type="dxa"/>
            <w:bottom w:w="0" w:type="dxa"/>
          </w:tblCellMar>
        </w:tblPrEx>
        <w:tc>
          <w:tcPr>
            <w:tcW w:w="531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Естественные науки и технология - инженерные на</w:t>
            </w:r>
            <w:r>
              <w:t>у</w:t>
            </w:r>
            <w:r>
              <w:t>ки</w:t>
            </w:r>
          </w:p>
        </w:tc>
        <w:tc>
          <w:tcPr>
            <w:tcW w:w="198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18,6%</w:t>
            </w:r>
          </w:p>
        </w:tc>
      </w:tr>
      <w:tr w:rsidR="00000000">
        <w:tblPrEx>
          <w:tblCellMar>
            <w:top w:w="0" w:type="dxa"/>
            <w:bottom w:w="0" w:type="dxa"/>
          </w:tblCellMar>
        </w:tblPrEx>
        <w:tc>
          <w:tcPr>
            <w:tcW w:w="5310" w:type="dxa"/>
            <w:tcBorders>
              <w:top w:val="nil"/>
              <w:left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Итого</w:t>
            </w:r>
          </w:p>
        </w:tc>
        <w:tc>
          <w:tcPr>
            <w:tcW w:w="1980" w:type="dxa"/>
            <w:tcBorders>
              <w:top w:val="nil"/>
              <w:left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55,2%</w:t>
            </w:r>
          </w:p>
        </w:tc>
      </w:tr>
    </w:tbl>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Более трех четвертых общего числа девушек занимаются языками, фил</w:t>
      </w:r>
      <w:r>
        <w:t>о</w:t>
      </w:r>
      <w:r>
        <w:t>логией, лингвистикой, искусством. Они составляют меньшинство в физико-математических и инженерных науках, а также в УТИ. Составляя большинство среди бакалавров, девушки не решаются выбирать наиболее времяемкие и предлагающие жесткий отбор направления профессиональной подготовки. Е</w:t>
      </w:r>
      <w:r>
        <w:t>с</w:t>
      </w:r>
      <w:r>
        <w:t>ли исходить из оценки достигнутых ими результатов, превышающих результ</w:t>
      </w:r>
      <w:r>
        <w:t>а</w:t>
      </w:r>
      <w:r>
        <w:t>ты юношей (по крайней мере по французскому языку, поскольку оценки по м</w:t>
      </w:r>
      <w:r>
        <w:t>а</w:t>
      </w:r>
      <w:r>
        <w:t>тематике практически идентичны), то в рамках школьной программы среди о</w:t>
      </w:r>
      <w:r>
        <w:t>т</w:t>
      </w:r>
      <w:r>
        <w:t>стающих девушек меньше. Девушки чаще и в более юном возрасте завершают курс среднего школьного образования, и их показатели при получении степени бакалавра превышают показатели юношей, благодаря чему среди бакалавров девушки издавна составляют большинство.</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Тем не менее представленность женщин в общих, технических и спец</w:t>
      </w:r>
      <w:r>
        <w:t>и</w:t>
      </w:r>
      <w:r>
        <w:t>альных дисциплинах по</w:t>
      </w:r>
      <w:r>
        <w:noBreakHyphen/>
        <w:t>прежнему весьма неоднородна. Хотя на долю девушек в 2001 году приходилось более 83% бакалавров в области литературы и две трети в сфере высшего технического образования (в сфере медико-социальных наук они составляют подавляющее большинство), несмотря на некоторый пр</w:t>
      </w:r>
      <w:r>
        <w:t>о</w:t>
      </w:r>
      <w:r>
        <w:t>гресс, достигнутый в последнее время, их по</w:t>
      </w:r>
      <w:r>
        <w:noBreakHyphen/>
        <w:t>прежнему меньшинство в области естественных наук (44,5% в 2001 году) и совсем мало в специальностях, св</w:t>
      </w:r>
      <w:r>
        <w:t>я</w:t>
      </w:r>
      <w:r>
        <w:t>занных с промышленностью. Постепенное увеличение в последние годы кол</w:t>
      </w:r>
      <w:r>
        <w:t>и</w:t>
      </w:r>
      <w:r>
        <w:t>чества бакалавров по конкретным специальностям содействует снижению их веса в общей численности бакалавров: во время сессии 2001 года доля дев</w:t>
      </w:r>
      <w:r>
        <w:t>у</w:t>
      </w:r>
      <w:r>
        <w:t>шек-бакалавров составляла 53,1%. Наличие этих сохраняющихся особенностей в профессиональной ориентации девушек подтверждается на этапе вступ</w:t>
      </w:r>
      <w:r>
        <w:t>и</w:t>
      </w:r>
      <w:r>
        <w:t>тельных экзаменов в высшие учебные заведения. Университет привлекает мн</w:t>
      </w:r>
      <w:r>
        <w:t>о</w:t>
      </w:r>
      <w:r>
        <w:t>гих девушек дипломами об университетском образовании в области филологии (где они составляют более трех четвертых вновь принятых студентов), а также специализацией в области здравоохранения (две трети), в то же время они в меньшей степени стремятся поступать в учебные заведения, где проводится жесткий отбор или имеет место конкуренция (Университетский технологич</w:t>
      </w:r>
      <w:r>
        <w:t>е</w:t>
      </w:r>
      <w:r>
        <w:t>ский институт и прежде всего подготовительные конкурсные экзамены в сп</w:t>
      </w:r>
      <w:r>
        <w:t>е</w:t>
      </w:r>
      <w:r>
        <w:t>циальные вузы). Если на начальном этапе университетского образования в к</w:t>
      </w:r>
      <w:r>
        <w:t>о</w:t>
      </w:r>
      <w:r>
        <w:t>личественном отношении девушки явно превосходят юношей в общем числе учащихся (57% против 43%), то через несколько лет учебы, в частности в ра</w:t>
      </w:r>
      <w:r>
        <w:t>м</w:t>
      </w:r>
      <w:r>
        <w:t>ках третьего цикла, это превосходство уменьшается, чтобы не сказать сходит на нет. Однако в последние годы девушкам удалось в значительной степени с</w:t>
      </w:r>
      <w:r>
        <w:t>о</w:t>
      </w:r>
      <w:r>
        <w:t>кратить свое отставание в получении дипломов об углубленном образовании или ученой степени доктора наук третьего цикла.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i/>
          <w:sz w:val="24"/>
        </w:rPr>
      </w:pPr>
      <w:r>
        <w:rPr>
          <w:b/>
          <w:i/>
          <w:sz w:val="24"/>
        </w:rPr>
        <w:t>4.</w:t>
      </w:r>
      <w:r>
        <w:rPr>
          <w:b/>
          <w:i/>
          <w:sz w:val="24"/>
        </w:rPr>
        <w:tab/>
        <w:t>Доля женщин, совмещающих научные исследования с пр</w:t>
      </w:r>
      <w:r>
        <w:rPr>
          <w:b/>
          <w:i/>
          <w:sz w:val="24"/>
        </w:rPr>
        <w:t>е</w:t>
      </w:r>
      <w:r>
        <w:rPr>
          <w:b/>
          <w:i/>
          <w:sz w:val="24"/>
        </w:rPr>
        <w:t>подавательской деятельностью, в системе высшего обр</w:t>
      </w:r>
      <w:r>
        <w:rPr>
          <w:b/>
          <w:i/>
          <w:sz w:val="24"/>
        </w:rPr>
        <w:t>а</w:t>
      </w:r>
      <w:r>
        <w:rPr>
          <w:b/>
          <w:i/>
          <w:sz w:val="24"/>
        </w:rPr>
        <w:t>зования</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Как показало проведенное в 2000 году исследование, женщины занимают 37% должностей лекторов-магистров и 14% должностей профессоров. Однако ситуация варьирует в зависимости от дисциплины.</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области естественных наук, на долю которой приходится половина о</w:t>
      </w:r>
      <w:r>
        <w:t>б</w:t>
      </w:r>
      <w:r>
        <w:t>щего числа лекторов-магистров и 40% профессоров, разрыв между женщинами и мужчинами является наибольшим (29% женщин, являющихся лекторами-магистрами, и менее 10% профессоров).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других дисциплинах, в частности в области филологии и секторе обр</w:t>
      </w:r>
      <w:r>
        <w:t>а</w:t>
      </w:r>
      <w:r>
        <w:t>зования, с точки зрения количества лекторов-магистров, по всей видимости, достигнут паритет. В то же время с точки зрения должностей профессоров до этого далеко.</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Если говорить о всех дисциплинах в целом, то 44% мужчин, являющихся лекторами-магистрами, имеют шанс стать профессорами, в то время как для женщин эта цифра составляет всего 18%. И тот факт, что в некоторых дисци</w:t>
      </w:r>
      <w:r>
        <w:t>п</w:t>
      </w:r>
      <w:r>
        <w:t>линах число женщин среди лекторов-магистров превышает число мужчин, не увеличивает их шансов в будущем стать профессорами.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Процесс продвижения женщин на должности лекторов-магистров и пр</w:t>
      </w:r>
      <w:r>
        <w:t>о</w:t>
      </w:r>
      <w:r>
        <w:t>фессоров также варьирует в зависимости от вуза. В парижском регионе их чи</w:t>
      </w:r>
      <w:r>
        <w:t>с</w:t>
      </w:r>
      <w:r>
        <w:t>ло намного ниже среднего уровня в целом по стране.</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Следует отметить, что средний возраст женщин ниже соответствующего показателя для мужчин вне зависимости от дисциплины. Это явление отчасти объясняется тем, что в последние годы увеличивается число женщин, прин</w:t>
      </w:r>
      <w:r>
        <w:t>и</w:t>
      </w:r>
      <w:r>
        <w:t>маемых на работу, в результате чего в более младших возрастных группах их представленность выше.</w:t>
      </w:r>
    </w:p>
    <w:p w:rsidR="00000000" w:rsidRDefault="00000000">
      <w:pPr>
        <w:pStyle w:val="SingleTxt"/>
        <w:spacing w:after="0" w:line="180" w:lineRule="auto"/>
        <w:rPr>
          <w:sz w:val="10"/>
          <w:lang w:val="en-US"/>
        </w:rPr>
      </w:pPr>
      <w:r>
        <w:br w:type="page"/>
      </w: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310" w:lineRule="exact"/>
        <w:ind w:left="1267" w:right="1267"/>
        <w:jc w:val="center"/>
        <w:rPr>
          <w:b/>
          <w:sz w:val="28"/>
        </w:rPr>
      </w:pPr>
      <w:r>
        <w:rPr>
          <w:b/>
          <w:sz w:val="28"/>
        </w:rPr>
        <w:t>СТАТЬЯ 11</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center"/>
        <w:rPr>
          <w:b/>
          <w:i/>
          <w:sz w:val="24"/>
        </w:rPr>
      </w:pPr>
      <w:r>
        <w:rPr>
          <w:b/>
          <w:i/>
          <w:sz w:val="24"/>
        </w:rPr>
        <w:t>Занятость</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Последние два года были отмечены значительным прогрессом в деле пр</w:t>
      </w:r>
      <w:r>
        <w:t>и</w:t>
      </w:r>
      <w:r>
        <w:t>нятия законодательных и нормативных актов, призванных укрепить сущес</w:t>
      </w:r>
      <w:r>
        <w:t>т</w:t>
      </w:r>
      <w:r>
        <w:t>вующие механизмы обеспечения равенства между мужчинами и женщинами в профессиональной сфере, роль женщин в том, что касается политики в области занятости, и содействовать разумному сочетанию личной жизни и професси</w:t>
      </w:r>
      <w:r>
        <w:t>о</w:t>
      </w:r>
      <w:r>
        <w:t>нальной деятельности.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sz w:val="24"/>
        </w:rPr>
      </w:pPr>
      <w:r>
        <w:rPr>
          <w:b/>
          <w:sz w:val="24"/>
        </w:rPr>
        <w:t>I.</w:t>
      </w:r>
      <w:r>
        <w:rPr>
          <w:b/>
          <w:sz w:val="24"/>
        </w:rPr>
        <w:tab/>
        <w:t>Новые положения</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Основные положения, помимо борьбы с дискриминацией, предусмотре</w:t>
      </w:r>
      <w:r>
        <w:t>н</w:t>
      </w:r>
      <w:r>
        <w:t>ной статьей 1 Конвенции, касаются равноправия в области профессиональной деятельности, ограничения работы женщин в ночное время, признания новых форм насилия по месту работы и введения отпуска для отцов.</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i/>
          <w:sz w:val="24"/>
        </w:rPr>
      </w:pPr>
      <w:r>
        <w:rPr>
          <w:b/>
          <w:i/>
          <w:sz w:val="24"/>
        </w:rPr>
        <w:t>1.</w:t>
      </w:r>
      <w:r>
        <w:rPr>
          <w:b/>
          <w:i/>
          <w:sz w:val="24"/>
        </w:rPr>
        <w:tab/>
        <w:t>Закон о равноправии между мужчинами и женщинами в профессиональной области от 9 мая 2001 года: укрепление механизмов обеспечения равноправия с помощью общес</w:t>
      </w:r>
      <w:r>
        <w:rPr>
          <w:b/>
          <w:i/>
          <w:sz w:val="24"/>
        </w:rPr>
        <w:t>т</w:t>
      </w:r>
      <w:r>
        <w:rPr>
          <w:b/>
          <w:i/>
          <w:sz w:val="24"/>
        </w:rPr>
        <w:t>венного диалога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Закон направлен на укрепление мер, предусмотренных законом от 13 июля 1983 года, путем развития общественного диалога по вопросам равн</w:t>
      </w:r>
      <w:r>
        <w:t>о</w:t>
      </w:r>
      <w:r>
        <w:t>правия в профессиональной области на уровне отраслей и предприятий с и</w:t>
      </w:r>
      <w:r>
        <w:t>с</w:t>
      </w:r>
      <w:r>
        <w:t>пользованием следующих трех рычагов.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Во</w:t>
      </w:r>
      <w:r>
        <w:noBreakHyphen/>
        <w:t>первых, за исходную точку в нем берется сравнительное положение женщин и мужчин на предприятии с точки зрения общих условий занятости и подготовки. Проводимый при этом анализ должен опираться на "соответс</w:t>
      </w:r>
      <w:r>
        <w:t>т</w:t>
      </w:r>
      <w:r>
        <w:t>вующие показатели, которые будут определяться с помощью декрета, в сочет</w:t>
      </w:r>
      <w:r>
        <w:t>а</w:t>
      </w:r>
      <w:r>
        <w:t>нии, в соответствующих случаях, с конкретными показателями по каждому предприятию. Эти показатели должны быть предметом гласности по месту р</w:t>
      </w:r>
      <w:r>
        <w:t>а</w:t>
      </w:r>
      <w:r>
        <w:t>боты и служить в качестве основы для коллективных переговоров".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Во-вторых, обеспечение равноправия в профессиональной сфере он опр</w:t>
      </w:r>
      <w:r>
        <w:t>е</w:t>
      </w:r>
      <w:r>
        <w:t>деляет как одну из основных задач коллективных переговоров как на уровне отрасли, так и на уровне предприятия, устанавливая обязательство обсуждать конкретные вопросы, касающиеся равноправия в области профессиональной деятельности. Участники переговоров, т.е. социальные партнеры, должны и</w:t>
      </w:r>
      <w:r>
        <w:t>с</w:t>
      </w:r>
      <w:r>
        <w:t>ходить из сравнительного положения. Периодичность таких переговоров опр</w:t>
      </w:r>
      <w:r>
        <w:t>е</w:t>
      </w:r>
      <w:r>
        <w:t>деляется их уровнем: для отраслей - это три года, а на уровне предприятий они проводятся ежегодно по аналогии с переговорами по вопросам реальной зар</w:t>
      </w:r>
      <w:r>
        <w:t>а</w:t>
      </w:r>
      <w:r>
        <w:t>ботной платы, а также продолжительности и организации рабочего времени. Однако если по итогам переговоров заключается коллективный трудовой дог</w:t>
      </w:r>
      <w:r>
        <w:t>о</w:t>
      </w:r>
      <w:r>
        <w:t>вор о равноправии в сфере профессиональной деятельности, то периодичность переговоров достигает трех лет.</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Кроме того, вопросы обеспечения равноправия в сфере профессиональной деятельности должны учитываться во всем комплексе обязательных перегов</w:t>
      </w:r>
      <w:r>
        <w:t>о</w:t>
      </w:r>
      <w:r>
        <w:t>ров, посвященных вопросам заработной платы, классификации и професси</w:t>
      </w:r>
      <w:r>
        <w:t>о</w:t>
      </w:r>
      <w:r>
        <w:t>нальной подготовки на уровне отрасли; задача обеспечения равноправия в о</w:t>
      </w:r>
      <w:r>
        <w:t>б</w:t>
      </w:r>
      <w:r>
        <w:t>ласти профессиональной деятельности также должна включаться в программу обязательных ежегодных переговоров на уровне предприятия по вопросам з</w:t>
      </w:r>
      <w:r>
        <w:t>а</w:t>
      </w:r>
      <w:r>
        <w:t>работной платы, продолжительности и организации рабочего времени.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На предприятиях с числом работников не менее 200 человек создается также комиссия по подготовке для обсуждения комитетом предприятия вопр</w:t>
      </w:r>
      <w:r>
        <w:t>о</w:t>
      </w:r>
      <w:r>
        <w:t>сов, касающихся общих условий занятости и профессиональной подготовки сотрудников, на основе сопоставления этих параметров с разбивкой по призн</w:t>
      </w:r>
      <w:r>
        <w:t>а</w:t>
      </w:r>
      <w:r>
        <w:t>ку пола. Комиссия будет заниматься подготовкой предварительного этапа пер</w:t>
      </w:r>
      <w:r>
        <w:t>е</w:t>
      </w:r>
      <w:r>
        <w:t>говоров, проводящихся на предприятии.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Наконец, финансовая помощь, в настоящее время направляемая на пров</w:t>
      </w:r>
      <w:r>
        <w:t>е</w:t>
      </w:r>
      <w:r>
        <w:t>дение экспериментальных мероприятий, предусмотренных планами обеспеч</w:t>
      </w:r>
      <w:r>
        <w:t>е</w:t>
      </w:r>
      <w:r>
        <w:t>ния равноправия в сфере профессиональной деятельности, будет распростр</w:t>
      </w:r>
      <w:r>
        <w:t>а</w:t>
      </w:r>
      <w:r>
        <w:t>нена на экспериментальные мероприятия, осуществляемые помимо плана обеспечения равноправия в сфере профессиональной деятельности, просто п</w:t>
      </w:r>
      <w:r>
        <w:t>у</w:t>
      </w:r>
      <w:r>
        <w:t xml:space="preserve">тем заключения коллективного трудового договора. Кроме того, эта помощь охватывает всех работодателей, включая общественные организации.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hanging="7"/>
        <w:jc w:val="both"/>
      </w:pPr>
      <w:r>
        <w:rPr>
          <w:lang w:val="en-US"/>
        </w:rPr>
        <w:t xml:space="preserve"> </w:t>
      </w:r>
      <w:r>
        <w:rPr>
          <w:lang w:val="en-US"/>
        </w:rPr>
        <w:tab/>
      </w:r>
      <w:r>
        <w:t>Этот новый закон о равноправии в сфере профессиональной деятельности от 9 мая 2001 года предусматривает также положения, касающиеся предста</w:t>
      </w:r>
      <w:r>
        <w:t>в</w:t>
      </w:r>
      <w:r>
        <w:t>ленности женщин и мужчин на выборах в прюдомальные суды и професси</w:t>
      </w:r>
      <w:r>
        <w:t>о</w:t>
      </w:r>
      <w:r>
        <w:t>нальные организации. Учитывая низкий уровень представленности женщин на ответственных должностях в профсоюзных органах и профессиональных орг</w:t>
      </w:r>
      <w:r>
        <w:t>а</w:t>
      </w:r>
      <w:r>
        <w:t>низациях, в закон включены положения о содействии доступу женщин к в</w:t>
      </w:r>
      <w:r>
        <w:t>ы</w:t>
      </w:r>
      <w:r>
        <w:t>борным должностям и статья, предусматривающая включение, в рамках выб</w:t>
      </w:r>
      <w:r>
        <w:t>о</w:t>
      </w:r>
      <w:r>
        <w:t>ров в прюдомальные суды, в коллегию "избиратетелй-работодателей" супр</w:t>
      </w:r>
      <w:r>
        <w:t>у</w:t>
      </w:r>
      <w:r>
        <w:t>гов - р</w:t>
      </w:r>
      <w:r>
        <w:t>а</w:t>
      </w:r>
      <w:r>
        <w:t>ботников малых предприятий.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Поскольку супругами-работниками чаще всего являются женщины, эта статья предоставляет супругам - работникам малых предприятий, коммерса</w:t>
      </w:r>
      <w:r>
        <w:t>н</w:t>
      </w:r>
      <w:r>
        <w:t>там и фермерам простое право выполнять функции руководителя предприятия с целью включения его в избирательные списки, если последний предоставил этому работнику соответствующие полномочия.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Были также приняты меры по содействию сбалансированной предста</w:t>
      </w:r>
      <w:r>
        <w:t>в</w:t>
      </w:r>
      <w:r>
        <w:t>ленности женщин и мужчин в ходе выборов в прюдомальные суды и в предст</w:t>
      </w:r>
      <w:r>
        <w:t>а</w:t>
      </w:r>
      <w:r>
        <w:t>вительных органах персонала.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отношении выборов в прюдомальные суды закон от 9 мая 2001 года ввел обязательство представлять паритетные списки кандидатов (мужчин/женщин). Однако учитывая риск перепредставленности одного пола, в каждом отдельно взятом округе прюдомального суда (на местном уровне) Национальное собр</w:t>
      </w:r>
      <w:r>
        <w:t>а</w:t>
      </w:r>
      <w:r>
        <w:t>ние, в соответствии с пожеланиями Высшего совета по обеспечению равнопр</w:t>
      </w:r>
      <w:r>
        <w:t>а</w:t>
      </w:r>
      <w:r>
        <w:t>вия в области профессиональной деятельности, предложило опираться на об</w:t>
      </w:r>
      <w:r>
        <w:t>я</w:t>
      </w:r>
      <w:r>
        <w:t>зательство, касающееся обеспечения сбалансированной представленности женщин и мужчин в организациях, представляющих списки на национальном уровне. Таким образом, вводятся два этапа: переходный - вплоть до 2002 года и этап, который предполагает действие общих требований и который продлиться вплоть до 2007 года. В отношении выборов 2002 года закон устанавливает, что организации, представляющие списки кандидатов, должны в этих списках д</w:t>
      </w:r>
      <w:r>
        <w:t>о</w:t>
      </w:r>
      <w:r>
        <w:t>биться такой представленности женщин и мужчин, которая бы сокращала на треть, по сравнению с предыдущими выборами, разрыв между представленн</w:t>
      </w:r>
      <w:r>
        <w:t>о</w:t>
      </w:r>
      <w:r>
        <w:t>стью женщин, включенных в избирательные списки, и их долей в избирател</w:t>
      </w:r>
      <w:r>
        <w:t>ь</w:t>
      </w:r>
      <w:r>
        <w:t xml:space="preserve">ном корпусе.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hanging="7"/>
        <w:jc w:val="both"/>
      </w:pPr>
      <w:r>
        <w:rPr>
          <w:lang w:val="en-US"/>
        </w:rPr>
        <w:t xml:space="preserve"> </w:t>
      </w:r>
      <w:r>
        <w:rPr>
          <w:lang w:val="en-US"/>
        </w:rPr>
        <w:tab/>
      </w:r>
      <w:r>
        <w:t>В 2003 году правительство представит парламенту аналитический доклад о работе по реализации этой цели и средствах, позволяющих в ходе последу</w:t>
      </w:r>
      <w:r>
        <w:t>ю</w:t>
      </w:r>
      <w:r>
        <w:t>щих выборов добиться сбалансированной представленности в списках женщин и мужчин, учитывая их долю в избирательном корпусе.</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В отношении представительных органов персонала профсоюзным орган</w:t>
      </w:r>
      <w:r>
        <w:t>и</w:t>
      </w:r>
      <w:r>
        <w:t>зациям рекомендуется добиваться сбалансированной представленности же</w:t>
      </w:r>
      <w:r>
        <w:t>н</w:t>
      </w:r>
      <w:r>
        <w:t>щин и мужчин на выборах представителей персонала на предприятиях и при разработке согласительного протокола по выборам. В декабре 2003 года прав</w:t>
      </w:r>
      <w:r>
        <w:t>и</w:t>
      </w:r>
      <w:r>
        <w:t>тельство должно направить в парламент доклад, содержащий анализ соответс</w:t>
      </w:r>
      <w:r>
        <w:t>т</w:t>
      </w:r>
      <w:r>
        <w:t>вующей доли женщин и мужчин в электорате среди кандидатов и лиц, избра</w:t>
      </w:r>
      <w:r>
        <w:t>н</w:t>
      </w:r>
      <w:r>
        <w:t>ных в ходе выборов в комитет предприятия, и делегатов от персонала.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i/>
          <w:sz w:val="24"/>
        </w:rPr>
      </w:pPr>
      <w:r>
        <w:rPr>
          <w:b/>
          <w:i/>
          <w:sz w:val="24"/>
        </w:rPr>
        <w:t>2.</w:t>
      </w:r>
      <w:r>
        <w:rPr>
          <w:b/>
          <w:i/>
          <w:sz w:val="24"/>
        </w:rPr>
        <w:tab/>
        <w:t>Ограничение работы женщин в ночное время: отмена з</w:t>
      </w:r>
      <w:r>
        <w:rPr>
          <w:b/>
          <w:i/>
          <w:sz w:val="24"/>
        </w:rPr>
        <w:t>а</w:t>
      </w:r>
      <w:r>
        <w:rPr>
          <w:b/>
          <w:i/>
          <w:sz w:val="24"/>
        </w:rPr>
        <w:t>прета для же</w:t>
      </w:r>
      <w:r>
        <w:rPr>
          <w:b/>
          <w:i/>
          <w:sz w:val="24"/>
        </w:rPr>
        <w:t>н</w:t>
      </w:r>
      <w:r>
        <w:rPr>
          <w:b/>
          <w:i/>
          <w:sz w:val="24"/>
        </w:rPr>
        <w:t>щин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Закон от 9 мая 2001 года позволил также пересмотреть законодательство о работе в ночное время. Изменения, которые были внесены, сводятся в осно</w:t>
      </w:r>
      <w:r>
        <w:t>в</w:t>
      </w:r>
      <w:r>
        <w:t>ном к отмене запрета на работу женщин в ночное время и направлены на до</w:t>
      </w:r>
      <w:r>
        <w:t>с</w:t>
      </w:r>
      <w:r>
        <w:t>тижение следующих двух целей: привести французское национальное закон</w:t>
      </w:r>
      <w:r>
        <w:t>о</w:t>
      </w:r>
      <w:r>
        <w:t>дательство в соответствие с общими правовыми нормами стран Сообщества и международным правом и улучшить условия труда всех работников, как му</w:t>
      </w:r>
      <w:r>
        <w:t>ж</w:t>
      </w:r>
      <w:r>
        <w:t>чин, так и женщин, которые работают в ночное время, усилив меры по огран</w:t>
      </w:r>
      <w:r>
        <w:t>и</w:t>
      </w:r>
      <w:r>
        <w:t>чению труда в ночное время.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Сегодня в ночное время работают 730 000 женщин (во всех секторах, вм</w:t>
      </w:r>
      <w:r>
        <w:t>е</w:t>
      </w:r>
      <w:r>
        <w:t>сте взятых), или 7,5% лиц наемного труда, против 21,1% мужчин. В промышленности их число составляет 65 500 (1,4% работающих по найму женщин) против 706 500 мужчин.</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Четко устанавливая основополагающий принцип, согласно которому р</w:t>
      </w:r>
      <w:r>
        <w:t>а</w:t>
      </w:r>
      <w:r>
        <w:t>бота в ночное время носит и впредь должна носить исключительный характер, поскольку она осуществляется на основе коллективного трудового договора в связи с необходимостью обеспечить непрерывность экономической деятельн</w:t>
      </w:r>
      <w:r>
        <w:t>о</w:t>
      </w:r>
      <w:r>
        <w:t>сти или требованиями обеспечения общественного порядка, законодатели р</w:t>
      </w:r>
      <w:r>
        <w:t>у</w:t>
      </w:r>
      <w:r>
        <w:t>ководствовались двумя важными соображениями: охрана здоровья трудящихся и разумное сочетание личного времени и профессиональной деятельности, к</w:t>
      </w:r>
      <w:r>
        <w:t>о</w:t>
      </w:r>
      <w:r>
        <w:t>торые реализуются с помощью механизмов защиты.</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Меры по охране здоровья трудящихся касаются трех аспектов: необход</w:t>
      </w:r>
      <w:r>
        <w:t>и</w:t>
      </w:r>
      <w:r>
        <w:t>мости заключения соглашения на уровне отрасли или предприятия либо, в о</w:t>
      </w:r>
      <w:r>
        <w:t>т</w:t>
      </w:r>
      <w:r>
        <w:t>сутствие такового, учреждения инспекции труда с целью введения работы в ночное время (с 21 часа до 6 часов) или распространения этой практики на н</w:t>
      </w:r>
      <w:r>
        <w:t>о</w:t>
      </w:r>
      <w:r>
        <w:t>вые категории лиц наемного труда, внедрения практики возмещения за работу в ночное время в форме предоставления отдыха в порядке компенсации и в пр</w:t>
      </w:r>
      <w:r>
        <w:t>и</w:t>
      </w:r>
      <w:r>
        <w:t>оритетном порядке (наряду с возможностью выплаты надбавки к заработной плате) и обязательства организации медицинского осмотра раз в полгода раб</w:t>
      </w:r>
      <w:r>
        <w:t>о</w:t>
      </w:r>
      <w:r>
        <w:t>тающих в ночное время лиц наемного труда.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Поскольку работа в ночное время может серьезно сказываться на сбала</w:t>
      </w:r>
      <w:r>
        <w:t>н</w:t>
      </w:r>
      <w:r>
        <w:t>сированности семейной жизни лиц наемного труда, меры по охране здоровья дополняются конкретными положениями об обеспечении разумного сочетания личной жизни и профессиональной деятельности.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В связи с этим коллективный трудовой договор в рамках предприятия, разрешающий работу в ночное время, должен предусматривать меры по соде</w:t>
      </w:r>
      <w:r>
        <w:t>й</w:t>
      </w:r>
      <w:r>
        <w:t>ствию разумному сочетанию "работы в ночное время с семейными обязанн</w:t>
      </w:r>
      <w:r>
        <w:t>о</w:t>
      </w:r>
      <w:r>
        <w:t>стями", в частности организацию транспортных средств. Наемный служащий может отказаться от работы в ночное время, если она несовместима с выполн</w:t>
      </w:r>
      <w:r>
        <w:t>е</w:t>
      </w:r>
      <w:r>
        <w:t>нием им своего семейного долга (воспитание ребенка или уход за родственн</w:t>
      </w:r>
      <w:r>
        <w:t>и</w:t>
      </w:r>
      <w:r>
        <w:t>ком по восходящей линии). Такой отказ не является проступком. Кроме того, по исключительно важным причинам семейного характера лицо наемного труда может ходатайствовать о его переводе на работу в дневное время. Наконец, на беременных или недавно родивших женщин распространяется право на дол</w:t>
      </w:r>
      <w:r>
        <w:t>ж</w:t>
      </w:r>
      <w:r>
        <w:t>ность, предполагающую работу в дневное время, либо, в отсутствие такой во</w:t>
      </w:r>
      <w:r>
        <w:t>з</w:t>
      </w:r>
      <w:r>
        <w:t>можности, действие их трудового соглашения может быть приостановлено. В этой связи они могут претендовать на вознаграждение.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i/>
          <w:sz w:val="24"/>
        </w:rPr>
      </w:pPr>
      <w:r>
        <w:rPr>
          <w:b/>
          <w:i/>
          <w:sz w:val="24"/>
        </w:rPr>
        <w:t>3.</w:t>
      </w:r>
      <w:r>
        <w:rPr>
          <w:b/>
          <w:i/>
          <w:sz w:val="24"/>
        </w:rPr>
        <w:tab/>
        <w:t>Признание новых форм насилия по месту работы</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Признание новых форм насилия по месту работы подтверждено принят</w:t>
      </w:r>
      <w:r>
        <w:t>и</w:t>
      </w:r>
      <w:r>
        <w:t>ем законодательных мер, касающихся морального преследования и сексуал</w:t>
      </w:r>
      <w:r>
        <w:t>ь</w:t>
      </w:r>
      <w:r>
        <w:t>ных домогательств. Как и меры в отношении работы в ночное время, указа</w:t>
      </w:r>
      <w:r>
        <w:t>н</w:t>
      </w:r>
      <w:r>
        <w:t>ные положения о сексуальных домогательствах и моральном преследовании были приняты в соответствии с директивами Сообщества по этому вопросу.</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u w:val="single"/>
        </w:rPr>
      </w:pPr>
      <w:r>
        <w:rPr>
          <w:u w:val="single"/>
        </w:rPr>
        <w:t>Сексуальные домогательства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Недавно были приняты два закона, в которые были внесены поправки:</w:t>
      </w:r>
    </w:p>
    <w:p w:rsidR="00000000" w:rsidRDefault="00000000">
      <w:pPr>
        <w:numPr>
          <w:ilvl w:val="0"/>
          <w:numId w:val="303"/>
        </w:num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rPr>
          <w:i/>
        </w:rPr>
        <w:t>Закон от 9 мая 2001 года о равноправии между женщинами и мужчинами в области профессиональной деячтельности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Указанный документ расширяет круг лиц, охраняемых законом: отныне он касается не только лиц наемного труда, подвергшихся увольнению или наказ</w:t>
      </w:r>
      <w:r>
        <w:t>а</w:t>
      </w:r>
      <w:r>
        <w:t>нию, но и кандидатов на прием на работу, стажировку или краткосрочную по</w:t>
      </w:r>
      <w:r>
        <w:t>д</w:t>
      </w:r>
      <w:r>
        <w:t>готовку без отрыва от работы на предприятии.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 другой стороны, он запрещает "все меры дискриминационного характ</w:t>
      </w:r>
      <w:r>
        <w:t>е</w:t>
      </w:r>
      <w:r>
        <w:t>ра, как прямые, так и косвенные, в частности в области вознаграждения, пр</w:t>
      </w:r>
      <w:r>
        <w:t>о</w:t>
      </w:r>
      <w:r>
        <w:t>фессиональной подготовки, переквалификации, назначения, квалификации, классификации, продвижения по службе, изменения или возобновления ко</w:t>
      </w:r>
      <w:r>
        <w:t>н</w:t>
      </w:r>
      <w:r>
        <w:t>тракта", которые сказываются на карьере заинтересованного лица (статья 8 з</w:t>
      </w:r>
      <w:r>
        <w:t>а</w:t>
      </w:r>
      <w:r>
        <w:t>кона от 9 мая 2001 года о внесении изменений в статью L.122</w:t>
      </w:r>
      <w:r>
        <w:noBreakHyphen/>
        <w:t>46 Кодекса зак</w:t>
      </w:r>
      <w:r>
        <w:t>о</w:t>
      </w:r>
      <w:r>
        <w:t>нов о труде).</w:t>
      </w:r>
    </w:p>
    <w:p w:rsidR="00000000" w:rsidRDefault="00000000">
      <w:pPr>
        <w:numPr>
          <w:ilvl w:val="0"/>
          <w:numId w:val="304"/>
        </w:num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rPr>
          <w:i/>
        </w:rPr>
      </w:pPr>
      <w:r>
        <w:rPr>
          <w:i/>
        </w:rPr>
        <w:t>Закон об общественном обновлении от 17 января 2002 года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Закон предусматривает меры пресечения злоупотребления властью и с</w:t>
      </w:r>
      <w:r>
        <w:t>о</w:t>
      </w:r>
      <w:r>
        <w:t>ответственно осуждает сексуальные домогательства со стороны коллег, что н</w:t>
      </w:r>
      <w:r>
        <w:t>а</w:t>
      </w:r>
      <w:r>
        <w:t>ходит свое отражение в Кодексе законов о труде, законах о трех видах госуда</w:t>
      </w:r>
      <w:r>
        <w:t>р</w:t>
      </w:r>
      <w:r>
        <w:t>ственной службы и в Уголовном кодексе. Он предусматривает пресечение пр</w:t>
      </w:r>
      <w:r>
        <w:t>о</w:t>
      </w:r>
      <w:r>
        <w:t>явлений сексуальных домогательств (приказы, угрозы, ограничения или давл</w:t>
      </w:r>
      <w:r>
        <w:t>е</w:t>
      </w:r>
      <w:r>
        <w:t>ние) в Кодексе законов о труде, законах о трех видах государственной службы и в Уголовном кодексе. Закон вносит поправки в положения относительно бр</w:t>
      </w:r>
      <w:r>
        <w:t>е</w:t>
      </w:r>
      <w:r>
        <w:t>мени доказывания: соответствующий работник представляет фактические да</w:t>
      </w:r>
      <w:r>
        <w:t>н</w:t>
      </w:r>
      <w:r>
        <w:t>ные; работодателю надлежит доказать, что данные действия не носят характер сексуальных домогательств и что его решение опирается на объективные фа</w:t>
      </w:r>
      <w:r>
        <w:t>к</w:t>
      </w:r>
      <w:r>
        <w:t>ты, не связанные с каким</w:t>
      </w:r>
      <w:r>
        <w:noBreakHyphen/>
        <w:t>либо притеснением.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Наконец, закон предусматривает создание процедуры посредничества. Этой процедурой может воспользоваться любой работник предприятия, сч</w:t>
      </w:r>
      <w:r>
        <w:t>и</w:t>
      </w:r>
      <w:r>
        <w:t>тающий себя жертвой преследования. Посредник, не являющийся работником предприятия, выбирается из представляемого префектом списка. Он предпр</w:t>
      </w:r>
      <w:r>
        <w:t>и</w:t>
      </w:r>
      <w:r>
        <w:t>нимает усилия по примирению сторон и предлагает меры с целью положить конец преследованию.</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настоящее время статья L.122</w:t>
      </w:r>
      <w:r>
        <w:noBreakHyphen/>
        <w:t>46 Кодекса законов о труде гласит сл</w:t>
      </w:r>
      <w:r>
        <w:t>е</w:t>
      </w:r>
      <w:r>
        <w:t>дующее:</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"Ни один работник, ни один кандидат на прием на работу, стажировку или краткосрочную подготовку без отрыва от работы не может подвергнуться нак</w:t>
      </w:r>
      <w:r>
        <w:t>а</w:t>
      </w:r>
      <w:r>
        <w:t>занию или увольнению либо стать объектом прямой или косвенной дискрим</w:t>
      </w:r>
      <w:r>
        <w:t>и</w:t>
      </w:r>
      <w:r>
        <w:t>нации, в частности в области вознаграждения, профессиональной подготовки, переквалификации, назначения, квалификации, классификации, продвижения по службе, изменения или обновления контракта, за то, что он подчинился или отказался подчиниться действиям, связанным с преследованиями со стороны работодателя, его представителя или любого лица с целью добиться благ</w:t>
      </w:r>
      <w:r>
        <w:t>о</w:t>
      </w:r>
      <w:r>
        <w:t>склонности сексуального характера в личных интересах или в интересах третьего лица.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Ни один работник не может подвергнуться наказанию или увольнению за то, что он дал свидетельские показания в отношении действий, определяемых в предыдущем пункте, или сообщил о них.</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Любое распоряжение или любой акт противоположного характера являе</w:t>
      </w:r>
      <w:r>
        <w:t>т</w:t>
      </w:r>
      <w:r>
        <w:t>ся недействительным".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Документ предусматривает аналогичные меры защиты в отношении р</w:t>
      </w:r>
      <w:r>
        <w:t>а</w:t>
      </w:r>
      <w:r>
        <w:t>ботников или представителей трех видов государственной службы, ставших жертвами или свидетелями фактов сексуальных домогательств либо сообщи</w:t>
      </w:r>
      <w:r>
        <w:t>в</w:t>
      </w:r>
      <w:r>
        <w:t>ших о них.</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Закон предусматривает также меры наказания в случае нарушения его п</w:t>
      </w:r>
      <w:r>
        <w:t>о</w:t>
      </w:r>
      <w:r>
        <w:t>ложений, имея в виду как дисциплинарное взыскание, которое может быть н</w:t>
      </w:r>
      <w:r>
        <w:t>а</w:t>
      </w:r>
      <w:r>
        <w:t>ложено работодателем в отношении лица, виновного в преследовании, так и меры уголовного наказания. Что касается последнего, то предусмотрены сл</w:t>
      </w:r>
      <w:r>
        <w:t>е</w:t>
      </w:r>
      <w:r>
        <w:t>дующие меры наказания:</w:t>
      </w:r>
    </w:p>
    <w:p w:rsidR="00000000" w:rsidRDefault="00000000">
      <w:pPr>
        <w:numPr>
          <w:ilvl w:val="0"/>
          <w:numId w:val="306"/>
        </w:numPr>
        <w:tabs>
          <w:tab w:val="clear" w:pos="475"/>
          <w:tab w:val="num" w:pos="950"/>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jc w:val="both"/>
      </w:pPr>
      <w:r>
        <w:t>работодатель, который принял дискриминационную меру в отношении работника, ставшего жертвой или свидетелем фактов сексуальных дом</w:t>
      </w:r>
      <w:r>
        <w:t>о</w:t>
      </w:r>
      <w:r>
        <w:t>гательств либо сообщившего о них, подлежит наказанию в виде тюремн</w:t>
      </w:r>
      <w:r>
        <w:t>о</w:t>
      </w:r>
      <w:r>
        <w:t>го заключения сроком на один год или/и штрафу в размере 3 750 евро (статья L.152</w:t>
      </w:r>
      <w:r>
        <w:noBreakHyphen/>
        <w:t>1</w:t>
      </w:r>
      <w:r>
        <w:noBreakHyphen/>
        <w:t>1 К</w:t>
      </w:r>
      <w:r>
        <w:t>о</w:t>
      </w:r>
      <w:r>
        <w:t>декса законов о труде);</w:t>
      </w:r>
    </w:p>
    <w:p w:rsidR="00000000" w:rsidRDefault="00000000">
      <w:pPr>
        <w:numPr>
          <w:ilvl w:val="0"/>
          <w:numId w:val="306"/>
        </w:numPr>
        <w:tabs>
          <w:tab w:val="clear" w:pos="475"/>
          <w:tab w:val="num" w:pos="950"/>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jc w:val="both"/>
      </w:pPr>
      <w:r>
        <w:t>лицо, виновное в сексуальных домогательствах, подлежит наказанию в виде тюремного заключения сроком на один год или/и штрафу в размере 15 000 евро (статья 222</w:t>
      </w:r>
      <w:r>
        <w:noBreakHyphen/>
        <w:t>33 Уголовного кодекса).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u w:val="single"/>
        </w:rPr>
      </w:pPr>
      <w:r>
        <w:rPr>
          <w:u w:val="single"/>
        </w:rPr>
        <w:t>Моральное преследование</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Во Франции моральное преследование рассматривается в качестве пр</w:t>
      </w:r>
      <w:r>
        <w:t>е</w:t>
      </w:r>
      <w:r>
        <w:t>ступления со времени принятия закона об общественном обновлении от 17 января 2002 года. Это преступление предусмотрено в Кодексе законов о тр</w:t>
      </w:r>
      <w:r>
        <w:t>у</w:t>
      </w:r>
      <w:r>
        <w:t>де и в Уголовном кодексе, а также в законах, касающихся трех видов госуда</w:t>
      </w:r>
      <w:r>
        <w:t>р</w:t>
      </w:r>
      <w:r>
        <w:t>ственной службы. В этом плане закон направлен на ограничение действий, св</w:t>
      </w:r>
      <w:r>
        <w:t>я</w:t>
      </w:r>
      <w:r>
        <w:t>занных с моральным преследованием, защиту жертв или свидетелей и предо</w:t>
      </w:r>
      <w:r>
        <w:t>т</w:t>
      </w:r>
      <w:r>
        <w:t>вращение таких действий.</w:t>
      </w:r>
    </w:p>
    <w:p w:rsidR="00000000" w:rsidRDefault="00000000">
      <w:pPr>
        <w:numPr>
          <w:ilvl w:val="0"/>
          <w:numId w:val="305"/>
        </w:num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Подлежащие наказанию действия должны быть неоднократными и н</w:t>
      </w:r>
      <w:r>
        <w:t>а</w:t>
      </w:r>
      <w:r>
        <w:t>правлены на "ухудшение условий труда и изменение физического или психического состояния работника или работницы". При этом учитывае</w:t>
      </w:r>
      <w:r>
        <w:t>т</w:t>
      </w:r>
      <w:r>
        <w:t>ся также влияние сексуальных домогательств на профессиональную де</w:t>
      </w:r>
      <w:r>
        <w:t>я</w:t>
      </w:r>
      <w:r>
        <w:t>тельность работника или служащего, свидетеля или лица, сообщившего об имевших место фактах.</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Моральное преследование запрещено, если его осуществляет работод</w:t>
      </w:r>
      <w:r>
        <w:t>а</w:t>
      </w:r>
      <w:r>
        <w:t>тель, любое лицо, замещающее работодателя, или коллеги.</w:t>
      </w:r>
    </w:p>
    <w:p w:rsidR="00000000" w:rsidRDefault="00000000">
      <w:pPr>
        <w:numPr>
          <w:ilvl w:val="0"/>
          <w:numId w:val="305"/>
        </w:num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08" w:right="1267" w:hanging="448"/>
        <w:jc w:val="both"/>
      </w:pPr>
      <w:r>
        <w:t>Предусмотрены меры защиты жертвы, свидетеля и лица, сообщившего о фактах преследования. В этом плане с целью облегчить задачу жертвы и</w:t>
      </w:r>
      <w:r>
        <w:t>з</w:t>
      </w:r>
      <w:r>
        <w:t>менена процедура доказывания по примеру той, которая предусмотрена в отношении сексуальных домогательств и борьбы с дискриминацией. С</w:t>
      </w:r>
      <w:r>
        <w:t>о</w:t>
      </w:r>
      <w:r>
        <w:t>ответствующий работник или работница должны "представить фактич</w:t>
      </w:r>
      <w:r>
        <w:t>е</w:t>
      </w:r>
      <w:r>
        <w:t>ские данные, позволяющие предположить наличие преследования". После этого обвиняемой стороне (как правило, это работодатель) надлежит док</w:t>
      </w:r>
      <w:r>
        <w:t>а</w:t>
      </w:r>
      <w:r>
        <w:t>зать, что указанные действия не являются составляющими преследования и что ее решение опирается на объективные элементы, никоим образом не связа</w:t>
      </w:r>
      <w:r>
        <w:t>н</w:t>
      </w:r>
      <w:r>
        <w:t>ные с преследованием.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Жертва может начать процедуру посредничества. Посредник, не явля</w:t>
      </w:r>
      <w:r>
        <w:t>ю</w:t>
      </w:r>
      <w:r>
        <w:t>щийся работником данного предприятия, выбирается на основании списка, с</w:t>
      </w:r>
      <w:r>
        <w:t>о</w:t>
      </w:r>
      <w:r>
        <w:t>ставленного префектом. Он предпринимает усилия по примирению сторон и предлагает им меры, с целью положить конец преследованию. В случае неуд</w:t>
      </w:r>
      <w:r>
        <w:t>а</w:t>
      </w:r>
      <w:r>
        <w:t>чи процедуры примирения посредник информирует стороны о возможных санкциях. Работник, ставший жертвой или свидетелем морального преследов</w:t>
      </w:r>
      <w:r>
        <w:t>а</w:t>
      </w:r>
      <w:r>
        <w:t>ния, может обратиться в представительные профсоюзные организации своего предприятия, которые будут действовать от его имени при условии его пис</w:t>
      </w:r>
      <w:r>
        <w:t>ь</w:t>
      </w:r>
      <w:r>
        <w:t xml:space="preserve">менного согласия.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Действия, связанные с моральным преследованием, предусматривают следующие санкции:</w:t>
      </w:r>
    </w:p>
    <w:p w:rsidR="00000000" w:rsidRDefault="00000000">
      <w:pPr>
        <w:numPr>
          <w:ilvl w:val="0"/>
          <w:numId w:val="307"/>
        </w:numPr>
        <w:tabs>
          <w:tab w:val="clear" w:pos="720"/>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57" w:right="1267" w:hanging="490"/>
        <w:jc w:val="both"/>
      </w:pPr>
      <w:r>
        <w:t>дисциплинарные санкции: работники, совершившие действия, связанные с моральным преследованием, подлежат дисциплинарным санкциям со стороны раб</w:t>
      </w:r>
      <w:r>
        <w:t>о</w:t>
      </w:r>
      <w:r>
        <w:t>тодателя;</w:t>
      </w:r>
    </w:p>
    <w:p w:rsidR="00000000" w:rsidRDefault="00000000">
      <w:pPr>
        <w:numPr>
          <w:ilvl w:val="0"/>
          <w:numId w:val="307"/>
        </w:numPr>
        <w:tabs>
          <w:tab w:val="clear" w:pos="720"/>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57" w:right="1267" w:hanging="490"/>
        <w:jc w:val="both"/>
      </w:pPr>
      <w:r>
        <w:t>гражданско-правовые санкции: любая санкция, дискриминационная мера, являющиеся результатом морального преследования, на законном основ</w:t>
      </w:r>
      <w:r>
        <w:t>а</w:t>
      </w:r>
      <w:r>
        <w:t>нии рассматриваются как недействительные. Работник или государстве</w:t>
      </w:r>
      <w:r>
        <w:t>н</w:t>
      </w:r>
      <w:r>
        <w:t>ный служащий, ставший жертвой, свидетелем действий, связанных с м</w:t>
      </w:r>
      <w:r>
        <w:t>о</w:t>
      </w:r>
      <w:r>
        <w:t>ральным преследованием, или сообщивший о таких действиях, а также ставший объектом дискриминационных мер за то, что отказался подч</w:t>
      </w:r>
      <w:r>
        <w:t>и</w:t>
      </w:r>
      <w:r>
        <w:t>ниться или подчинился давлению, связанному с моральным преследов</w:t>
      </w:r>
      <w:r>
        <w:t>а</w:t>
      </w:r>
      <w:r>
        <w:t>нием, на законном основании во</w:t>
      </w:r>
      <w:r>
        <w:t>с</w:t>
      </w:r>
      <w:r>
        <w:t>станавливается в своих правах;</w:t>
      </w:r>
    </w:p>
    <w:p w:rsidR="00000000" w:rsidRDefault="00000000">
      <w:pPr>
        <w:numPr>
          <w:ilvl w:val="0"/>
          <w:numId w:val="307"/>
        </w:numPr>
        <w:tabs>
          <w:tab w:val="clear" w:pos="720"/>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уголовно-правовые санкции: если лицо, виновное в осуществлении ди</w:t>
      </w:r>
      <w:r>
        <w:t>с</w:t>
      </w:r>
      <w:r>
        <w:t>криминационных мер, связанных с моральным преследованием, подлежит наказанию в виде тюремного заключения сроком на один год и штрафу в размере 3 750 евро (статья L.152</w:t>
      </w:r>
      <w:r>
        <w:noBreakHyphen/>
        <w:t>1</w:t>
      </w:r>
      <w:r>
        <w:noBreakHyphen/>
        <w:t>1 Кодекса законов о труде), то лицо, виновное в моральном преследовании, подлежит наказанию в виде т</w:t>
      </w:r>
      <w:r>
        <w:t>ю</w:t>
      </w:r>
      <w:r>
        <w:t>ремного заключения сроком на один год и штрафу в размере 15 000 евро (статья 222</w:t>
      </w:r>
      <w:r>
        <w:noBreakHyphen/>
        <w:t>33</w:t>
      </w:r>
      <w:r>
        <w:noBreakHyphen/>
        <w:t>2 Уголовного коде</w:t>
      </w:r>
      <w:r>
        <w:t>к</w:t>
      </w:r>
      <w:r>
        <w:t>са).</w:t>
      </w:r>
    </w:p>
    <w:p w:rsidR="00000000" w:rsidRDefault="00000000">
      <w:pPr>
        <w:numPr>
          <w:ilvl w:val="0"/>
          <w:numId w:val="305"/>
        </w:num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742" w:right="1267" w:hanging="475"/>
        <w:jc w:val="both"/>
      </w:pPr>
      <w:r>
        <w:t>Отныне работодатель должен планировать меры профилактики, включая в них, в частности, риски, связанные с моральным преследованием, и четко формулируя в правилах внутреннего распорядка запрет любой практики, связанной с моральным преследованием. Комитет по санитарии, безопа</w:t>
      </w:r>
      <w:r>
        <w:t>с</w:t>
      </w:r>
      <w:r>
        <w:t>ности и условиям труда также может предлагать соответствующие проф</w:t>
      </w:r>
      <w:r>
        <w:t>и</w:t>
      </w:r>
      <w:r>
        <w:t>лактические действия. Наконец, врач на производстве вправе предлагать любые изменения или преобразования должностей, обосновывая их соо</w:t>
      </w:r>
      <w:r>
        <w:t>б</w:t>
      </w:r>
      <w:r>
        <w:t>ражениями, связанными с охраной "физического и морального" здоровья работн</w:t>
      </w:r>
      <w:r>
        <w:t>и</w:t>
      </w:r>
      <w:r>
        <w:t>ков.</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i/>
          <w:sz w:val="24"/>
        </w:rPr>
      </w:pPr>
      <w:r>
        <w:rPr>
          <w:b/>
          <w:i/>
          <w:sz w:val="24"/>
        </w:rPr>
        <w:t>4.</w:t>
      </w:r>
      <w:r>
        <w:rPr>
          <w:b/>
          <w:i/>
          <w:sz w:val="24"/>
        </w:rPr>
        <w:tab/>
        <w:t>Разумное сочетание личной жизни и профессиональной деятельности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i/>
          <w:u w:val="single"/>
        </w:rPr>
      </w:pPr>
      <w:r>
        <w:rPr>
          <w:i/>
        </w:rPr>
        <w:t>4.1</w:t>
      </w:r>
      <w:r>
        <w:rPr>
          <w:i/>
        </w:rPr>
        <w:tab/>
      </w:r>
      <w:r>
        <w:rPr>
          <w:i/>
          <w:u w:val="single"/>
        </w:rPr>
        <w:t>Создание института отпуска для отца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Законом № 2001-1246 от 21 декабря 2001 года о финансировании системы социального обеспечения на 2002 год был создан институт предоставления о</w:t>
      </w:r>
      <w:r>
        <w:t>т</w:t>
      </w:r>
      <w:r>
        <w:t>пуска отцу.</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Этот закон разрешает мужчинам предпринимать шаги по обеспечению равноправия в государственной и частной сферах. В этом нашло отражение стремление законодателей содействовать укреплению роли отца в вопросах, связанных с рождением ребенка, через право на труд.</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Лицам наемного труда, государственным служащим и независимым р</w:t>
      </w:r>
      <w:r>
        <w:t>а</w:t>
      </w:r>
      <w:r>
        <w:t>ботникам в связи с рождением или усыновлением ребенка предоставляется о</w:t>
      </w:r>
      <w:r>
        <w:t>т</w:t>
      </w:r>
      <w:r>
        <w:t>пуск продолжительностью 11 дней. Во время этого отпуска отец получает во</w:t>
      </w:r>
      <w:r>
        <w:t>з</w:t>
      </w:r>
      <w:r>
        <w:t>награждение в объеме, равном вознаграждению, выплачиваемому матери во время отпуска по беременности и родам.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Это новое положение вступило в силу 1 января 2002 года. Оно должно с</w:t>
      </w:r>
      <w:r>
        <w:t>о</w:t>
      </w:r>
      <w:r>
        <w:t>действовать эволюции отношения работодателей к материнству и отцовству в том плане, чтобы эти понятия рассматривались как совместная ответственность женщин и мужчин.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742" w:right="1267" w:hanging="475"/>
        <w:jc w:val="both"/>
        <w:rPr>
          <w:i/>
          <w:u w:val="single"/>
        </w:rPr>
      </w:pPr>
      <w:r>
        <w:rPr>
          <w:i/>
        </w:rPr>
        <w:t>4.2</w:t>
      </w:r>
      <w:r>
        <w:rPr>
          <w:i/>
        </w:rPr>
        <w:tab/>
      </w:r>
      <w:r>
        <w:rPr>
          <w:i/>
          <w:u w:val="single"/>
        </w:rPr>
        <w:t>Управление временем как фактором жизни: создание бюро по вопросам упра</w:t>
      </w:r>
      <w:r>
        <w:rPr>
          <w:i/>
          <w:u w:val="single"/>
        </w:rPr>
        <w:t>в</w:t>
      </w:r>
      <w:r>
        <w:rPr>
          <w:i/>
          <w:u w:val="single"/>
        </w:rPr>
        <w:t>ления временем и Института по делам городов</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Вопросы разумного сочетания времени и управления им изучаются с 2000 года. С целью содействовать управлению временем как фактором профе</w:t>
      </w:r>
      <w:r>
        <w:t>с</w:t>
      </w:r>
      <w:r>
        <w:t>сиональной деятельности, а также семейной и общественной жизни каждого человека и, в частности, женщин Франция по примеру Италии и Германии включилась в процесс реорганизации различных составляющих этого времени в городах.</w:t>
      </w:r>
    </w:p>
    <w:p w:rsidR="00000000" w:rsidRDefault="00000000">
      <w:pPr>
        <w:numPr>
          <w:ilvl w:val="0"/>
          <w:numId w:val="308"/>
        </w:numPr>
        <w:tabs>
          <w:tab w:val="clear" w:pos="720"/>
          <w:tab w:val="left" w:pos="1267"/>
          <w:tab w:val="num" w:pos="1368"/>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В связи с симпозиумом, проводившимся в Пуатье 18 мая 2000 года, в ходе которого ряд европейских экспертов выдвинули инициативы на тему "Время и женщины, время и города", правительство поручило мэру Ренна разработать, в сотрудничестве с организациями лиц, занимающих выбо</w:t>
      </w:r>
      <w:r>
        <w:t>р</w:t>
      </w:r>
      <w:r>
        <w:t>ные должности, вр</w:t>
      </w:r>
      <w:r>
        <w:t>е</w:t>
      </w:r>
      <w:r>
        <w:t>менной график.</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Во исполнение этой задачи депутат-мэр Ренна провел серию собеседов</w:t>
      </w:r>
      <w:r>
        <w:t>а</w:t>
      </w:r>
      <w:r>
        <w:t>ний с компетентными лицами по вопросам, связанным с синхронизацией вр</w:t>
      </w:r>
      <w:r>
        <w:t>е</w:t>
      </w:r>
      <w:r>
        <w:t>мени как фактора жизни. Его доклад, в котором освещаются национальные и местные политические аспекты данной темы, был представлен 19 июня 2001 года. В докладе делается вывод о том, что поиск путей использования времени каждого человека в полном объеме становится необходимым условием обеспечения надлежащего качества жизни и равенства возможностей в той м</w:t>
      </w:r>
      <w:r>
        <w:t>е</w:t>
      </w:r>
      <w:r>
        <w:t>ре, в какой умение организовать свое время обусловливает различные права каждого гражданина. Для того чтобы добиться этого, на уровне местных ко</w:t>
      </w:r>
      <w:r>
        <w:t>л</w:t>
      </w:r>
      <w:r>
        <w:t>лективов лицам, занимающим выборные должности, следует совместно с нас</w:t>
      </w:r>
      <w:r>
        <w:t>е</w:t>
      </w:r>
      <w:r>
        <w:t>лением приступить к работе по благоустройству города, реорганизации врем</w:t>
      </w:r>
      <w:r>
        <w:t>е</w:t>
      </w:r>
      <w:r>
        <w:t>ни мужчин и женщин, молодежи, престарелых, графика работы государстве</w:t>
      </w:r>
      <w:r>
        <w:t>н</w:t>
      </w:r>
      <w:r>
        <w:t>ных учреждений и предприятий торговли.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Одним из главных предложений, вытекающих из этого доклада, является идея создания бюро по вопросам управления временем в коммунах с числом жителей более 20 000 человек. Им надлежит улучшить координацию графика работы административных учреждений и предприятий торговли с ритмом с</w:t>
      </w:r>
      <w:r>
        <w:t>е</w:t>
      </w:r>
      <w:r>
        <w:t>мейной жизни и профессиональной деятельности.</w:t>
      </w:r>
    </w:p>
    <w:p w:rsidR="00000000" w:rsidRDefault="00000000">
      <w:pPr>
        <w:numPr>
          <w:ilvl w:val="0"/>
          <w:numId w:val="309"/>
        </w:numPr>
        <w:tabs>
          <w:tab w:val="clear" w:pos="720"/>
          <w:tab w:val="left" w:pos="1267"/>
          <w:tab w:val="num" w:pos="1368"/>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Комиссия по обустройству территории и региональным акциям (ДАТАР) с начала 2000 года реализует программу перспективного прогнозирования в области организации времени. В рамках этой экспериментальной пр</w:t>
      </w:r>
      <w:r>
        <w:t>о</w:t>
      </w:r>
      <w:r>
        <w:t>граммы на ДАТАР возложена функция ознакомления местных субъектов с опытом других стран, разработки методов их работы и контроля за их собственными действиями. С января 2001 года эта экспериментальная р</w:t>
      </w:r>
      <w:r>
        <w:t>а</w:t>
      </w:r>
      <w:r>
        <w:t>бота проводится на четырех территориях: в департаменте Жиронды и на территории Бельфора, в городах Пуатье и Сен</w:t>
      </w:r>
      <w:r>
        <w:noBreakHyphen/>
        <w:t>Дени. Эта экспериментал</w:t>
      </w:r>
      <w:r>
        <w:t>ь</w:t>
      </w:r>
      <w:r>
        <w:t>ная деятельность на различных административных территориях охватыв</w:t>
      </w:r>
      <w:r>
        <w:t>а</w:t>
      </w:r>
      <w:r>
        <w:t>ет ко</w:t>
      </w:r>
      <w:r>
        <w:t>н</w:t>
      </w:r>
      <w:r>
        <w:t>кретные слои общества.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i/>
        </w:rPr>
        <w:t>Пуатье с пригородами:</w:t>
      </w:r>
      <w:r>
        <w:t xml:space="preserve"> учреждение форума по вопросам времени с целью вынести на открытое обсуждение различные аспекты времени. Работы по об</w:t>
      </w:r>
      <w:r>
        <w:t>у</w:t>
      </w:r>
      <w:r>
        <w:t>стройству касаются центра города.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i/>
        </w:rPr>
        <w:t>Департамент Жиронды:</w:t>
      </w:r>
      <w:r>
        <w:t xml:space="preserve"> привлечение внимания советов по развитию территорий к политике управления временем, сбор информации и анализ р</w:t>
      </w:r>
      <w:r>
        <w:t>е</w:t>
      </w:r>
      <w:r>
        <w:t>зультатов АРТТ. Поскольку Жиронда является сельскохозяйственным реги</w:t>
      </w:r>
      <w:r>
        <w:t>о</w:t>
      </w:r>
      <w:r>
        <w:t>ном, основной акцент делается на доступ к различным службам с целью пр</w:t>
      </w:r>
      <w:r>
        <w:t>е</w:t>
      </w:r>
      <w:r>
        <w:t>одоления изолированности ее жителей.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i/>
        </w:rPr>
        <w:t>Территория Бельфора:</w:t>
      </w:r>
      <w:r>
        <w:t xml:space="preserve"> основной упор на решение транспортных вопр</w:t>
      </w:r>
      <w:r>
        <w:t>о</w:t>
      </w:r>
      <w:r>
        <w:t>сов. Анализ территориального охвата деятельности государственных служб, предприятий торговли и служб организации досуга, отдельных транспортных маршрутов в городе, картография этого анализа.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r>
      <w:r>
        <w:rPr>
          <w:i/>
        </w:rPr>
        <w:t>Коммуна Сен-Дени:</w:t>
      </w:r>
      <w:r>
        <w:t xml:space="preserve"> привлечение внимания субъектов к вопросам упра</w:t>
      </w:r>
      <w:r>
        <w:t>в</w:t>
      </w:r>
      <w:r>
        <w:t>ления временем и вынесение этих вопросов на обсуждение общественности. Внедрение новаторских форм работы детских учреждений, особых часов раб</w:t>
      </w:r>
      <w:r>
        <w:t>о</w:t>
      </w:r>
      <w:r>
        <w:t>ты, анализ потребностей по итогам обследования.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Ориентировочный объем расходов на проведение экспериментальных м</w:t>
      </w:r>
      <w:r>
        <w:t>е</w:t>
      </w:r>
      <w:r>
        <w:t>роприятий был определен в размере 91 469,41 евро в год. Финансирование должно осуществляться в течение трех лет. В финансировании проектов будут участвовать ДАТАР и соответствующие местные коллективы. В течение чет</w:t>
      </w:r>
      <w:r>
        <w:t>ы</w:t>
      </w:r>
      <w:r>
        <w:t>рех лет планируется распространить эту экспериментальную деятельность на десять территорий и разработать новые методы. Национальный фонд по обус</w:t>
      </w:r>
      <w:r>
        <w:t>т</w:t>
      </w:r>
      <w:r>
        <w:t>ройству территории обеспечивает необходимое финансирование. В состав н</w:t>
      </w:r>
      <w:r>
        <w:t>а</w:t>
      </w:r>
      <w:r>
        <w:t>ционального контрольного органа входят представители ДАТАР, а также мин</w:t>
      </w:r>
      <w:r>
        <w:t>и</w:t>
      </w:r>
      <w:r>
        <w:t>стерства занятости и солидарности (службы по правам женщин и вопросам р</w:t>
      </w:r>
      <w:r>
        <w:t>а</w:t>
      </w:r>
      <w:r>
        <w:t>венства и городской межведомственной комиссии).</w:t>
      </w:r>
    </w:p>
    <w:p w:rsidR="00000000" w:rsidRDefault="00000000">
      <w:pPr>
        <w:numPr>
          <w:ilvl w:val="0"/>
          <w:numId w:val="310"/>
        </w:numPr>
        <w:tabs>
          <w:tab w:val="clear" w:pos="720"/>
          <w:tab w:val="left" w:pos="1267"/>
          <w:tab w:val="num" w:pos="1368"/>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Следует также отметить инициативы, выдвинутые новыми муниципал</w:t>
      </w:r>
      <w:r>
        <w:t>ь</w:t>
      </w:r>
      <w:r>
        <w:t>ными властями Парижа. Мэр Парижа возложил на своего первого помо</w:t>
      </w:r>
      <w:r>
        <w:t>щ</w:t>
      </w:r>
      <w:r>
        <w:t>ника конкретную задачу создания бюро по вопросам управления врем</w:t>
      </w:r>
      <w:r>
        <w:t>е</w:t>
      </w:r>
      <w:r>
        <w:t>нем, призванного адаптировать часы работы различных служб к времени работы жителей. Пять округов (9</w:t>
      </w:r>
      <w:r>
        <w:noBreakHyphen/>
        <w:t>й, 12</w:t>
      </w:r>
      <w:r>
        <w:noBreakHyphen/>
        <w:t>й, 15</w:t>
      </w:r>
      <w:r>
        <w:noBreakHyphen/>
        <w:t>й, 18</w:t>
      </w:r>
      <w:r>
        <w:noBreakHyphen/>
        <w:t>й и 20</w:t>
      </w:r>
      <w:r>
        <w:noBreakHyphen/>
        <w:t>й) в настоящее время служат своего рода полигоном, где изучаются потребности насел</w:t>
      </w:r>
      <w:r>
        <w:t>е</w:t>
      </w:r>
      <w:r>
        <w:t>ния. На основе полученных таким образом выводов мэрия Парижа нам</w:t>
      </w:r>
      <w:r>
        <w:t>е</w:t>
      </w:r>
      <w:r>
        <w:t>рена организовать большие "круглые столы" с участием поставщиков у</w:t>
      </w:r>
      <w:r>
        <w:t>с</w:t>
      </w:r>
      <w:r>
        <w:t>луг (Независимого управления парижским транспортом, префектуры п</w:t>
      </w:r>
      <w:r>
        <w:t>о</w:t>
      </w:r>
      <w:r>
        <w:t>лиции и т.д.) и пользователей этих услуг (родителей учащихся, комме</w:t>
      </w:r>
      <w:r>
        <w:t>р</w:t>
      </w:r>
      <w:r>
        <w:t>сантов и т.д.). С учетом этого в 2002 году в указанных округах будут ос</w:t>
      </w:r>
      <w:r>
        <w:t>у</w:t>
      </w:r>
      <w:r>
        <w:t>ществлены конкретные преобразования с последующим распространен</w:t>
      </w:r>
      <w:r>
        <w:t>и</w:t>
      </w:r>
      <w:r>
        <w:t>ем их на всю территорию Парижа. 18</w:t>
      </w:r>
      <w:r>
        <w:noBreakHyphen/>
        <w:t>й и 20</w:t>
      </w:r>
      <w:r>
        <w:noBreakHyphen/>
        <w:t>й округа должны, в частн</w:t>
      </w:r>
      <w:r>
        <w:t>о</w:t>
      </w:r>
      <w:r>
        <w:t>сти, стать зонами особого внимания, где будет создана система оказания помощи в рамках общегородской политики. Бюджет, выделяемый на эту экспериментальную деятельность, составляет 1 млн. франков (бюджет 2001 года).</w:t>
      </w:r>
    </w:p>
    <w:p w:rsidR="00000000" w:rsidRDefault="00000000">
      <w:pPr>
        <w:numPr>
          <w:ilvl w:val="0"/>
          <w:numId w:val="310"/>
        </w:numPr>
        <w:tabs>
          <w:tab w:val="clear" w:pos="720"/>
          <w:tab w:val="left" w:pos="1267"/>
          <w:tab w:val="num" w:pos="1368"/>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Выступая на конференции на тему "Время, города и территории", которая проходила 20 сентября 2001 года в Кретое в связи с открытием междун</w:t>
      </w:r>
      <w:r>
        <w:t>а</w:t>
      </w:r>
      <w:r>
        <w:t>родного фестиваля городов, премьер-министр представил целый ряд мер, направленных на содействие обеспечению разумного сочетания разли</w:t>
      </w:r>
      <w:r>
        <w:t>ч</w:t>
      </w:r>
      <w:r>
        <w:t>ных аспектов повс</w:t>
      </w:r>
      <w:r>
        <w:t>е</w:t>
      </w:r>
      <w:r>
        <w:t>дневной жизни с точки зрения времени.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Правительство будет содействовать созданию в крупных городах бюро по вопросам управления временем, модернизации государственных служб путем соответствующей адаптации работы служб, находящихся в ведении префекта, в координации с профсоюзными организациями. Оно также объявило о создании национального инновационного фонда, призванного оказывать помощь терр</w:t>
      </w:r>
      <w:r>
        <w:t>и</w:t>
      </w:r>
      <w:r>
        <w:t>ториальным коллективам в осуществлении их инициатив по гармонизации времени. Управление фондом будут осуществлять городская межведомственная комиссия и ДАТАР.</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С целью координации этой новой политики был создан национальный н</w:t>
      </w:r>
      <w:r>
        <w:t>а</w:t>
      </w:r>
      <w:r>
        <w:t>блюдательный комитет под эгидой Института по делам городов. Этот комитет, который наполовину состоит из местных депутатов и наполовину из предст</w:t>
      </w:r>
      <w:r>
        <w:t>а</w:t>
      </w:r>
      <w:r>
        <w:t>вителей государственных административных органов, отвечает за организацию ежегодной конференции по вопросам управления временем с целью оценки проводимых мероприятий. Он является своего рода форумом для анализа и прений, способным привлечь внимание законодателей и органов государстве</w:t>
      </w:r>
      <w:r>
        <w:t>н</w:t>
      </w:r>
      <w:r>
        <w:t>ного управления к трудностям, с которыми сталкиваются города в процессе осуществления политики гармонизации времени.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742" w:right="1267" w:hanging="475"/>
        <w:jc w:val="both"/>
        <w:rPr>
          <w:i/>
          <w:u w:val="single"/>
        </w:rPr>
      </w:pPr>
      <w:r>
        <w:rPr>
          <w:i/>
        </w:rPr>
        <w:t>4.3</w:t>
      </w:r>
      <w:r>
        <w:rPr>
          <w:i/>
        </w:rPr>
        <w:tab/>
      </w:r>
      <w:r>
        <w:rPr>
          <w:i/>
          <w:u w:val="single"/>
        </w:rPr>
        <w:t>Меры по содействию разумному сочетанию времени, предназначенные для предприятий</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 просьбе министра-делегата по делам семьи, детства и пожилых людей Служба по правам женщин и вопросам равенства создала рабочую группу, к</w:t>
      </w:r>
      <w:r>
        <w:t>о</w:t>
      </w:r>
      <w:r>
        <w:t>торая занимается изучением того, как предприятия обеспечивают разумное с</w:t>
      </w:r>
      <w:r>
        <w:t>о</w:t>
      </w:r>
      <w:r>
        <w:t>четание семейной жизни и профессиональной деятельности своих работников.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Задачей этой рабочей группы, в состав которой входят социальные пар</w:t>
      </w:r>
      <w:r>
        <w:t>т</w:t>
      </w:r>
      <w:r>
        <w:t>неры, квалифицированные специалисты и представители администрации, явл</w:t>
      </w:r>
      <w:r>
        <w:t>я</w:t>
      </w:r>
      <w:r>
        <w:t>ется поиск на предприятиях рычагов, которые могут быть использованы для более полного учета трудностей, связанных с обеспечением разумного сочет</w:t>
      </w:r>
      <w:r>
        <w:t>а</w:t>
      </w:r>
      <w:r>
        <w:t>ния семейной жизни и профессиональной деятельности. Для выработки ко</w:t>
      </w:r>
      <w:r>
        <w:t>н</w:t>
      </w:r>
      <w:r>
        <w:t>кретных предложений за основу был взят метод, опирающийся на итоги соб</w:t>
      </w:r>
      <w:r>
        <w:t>е</w:t>
      </w:r>
      <w:r>
        <w:t>седований с представителями различных предприятий определенного сектора и размера, а также с научными работниками, занимающимися углубленным из</w:t>
      </w:r>
      <w:r>
        <w:t>у</w:t>
      </w:r>
      <w:r>
        <w:t>чением этой темы.</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Выработанные на основе этого предложения имеют целью ответить на требования конкурентоспособности предприятий и откликнуться на конкре</w:t>
      </w:r>
      <w:r>
        <w:t>т</w:t>
      </w:r>
      <w:r>
        <w:t>ные ожидания работников, имеющих детей, в частности в отношении следу</w:t>
      </w:r>
      <w:r>
        <w:t>ю</w:t>
      </w:r>
      <w:r>
        <w:t>щего:</w:t>
      </w:r>
    </w:p>
    <w:p w:rsidR="00000000" w:rsidRDefault="00000000">
      <w:pPr>
        <w:numPr>
          <w:ilvl w:val="0"/>
          <w:numId w:val="311"/>
        </w:numPr>
        <w:tabs>
          <w:tab w:val="clear" w:pos="720"/>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укрепление помощи, предоставляемой советам предприятий, с тем чтобы они могли определить влияние организации труда на решение семейных задач,</w:t>
      </w:r>
    </w:p>
    <w:p w:rsidR="00000000" w:rsidRDefault="00000000">
      <w:pPr>
        <w:numPr>
          <w:ilvl w:val="0"/>
          <w:numId w:val="311"/>
        </w:numPr>
        <w:tabs>
          <w:tab w:val="clear" w:pos="720"/>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дополнительное финансирование расходов по содержанию и воспитанию детей, связанных в первую очередь с профессиональной подготовкой р</w:t>
      </w:r>
      <w:r>
        <w:t>а</w:t>
      </w:r>
      <w:r>
        <w:t>ботн</w:t>
      </w:r>
      <w:r>
        <w:t>и</w:t>
      </w:r>
      <w:r>
        <w:t>ков;</w:t>
      </w:r>
    </w:p>
    <w:p w:rsidR="00000000" w:rsidRDefault="00000000">
      <w:pPr>
        <w:numPr>
          <w:ilvl w:val="0"/>
          <w:numId w:val="311"/>
        </w:numPr>
        <w:tabs>
          <w:tab w:val="clear" w:pos="720"/>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742" w:right="1267" w:hanging="475"/>
        <w:jc w:val="both"/>
      </w:pPr>
      <w:r>
        <w:t>создание информационно-коммуникационной структуры, предназначе</w:t>
      </w:r>
      <w:r>
        <w:t>н</w:t>
      </w:r>
      <w:r>
        <w:t>ной для предприятий.</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sz w:val="24"/>
          <w:u w:val="single"/>
        </w:rPr>
      </w:pPr>
      <w:r>
        <w:rPr>
          <w:b/>
          <w:sz w:val="24"/>
        </w:rPr>
        <w:t>II.</w:t>
      </w:r>
      <w:r>
        <w:rPr>
          <w:b/>
          <w:sz w:val="24"/>
        </w:rPr>
        <w:tab/>
      </w:r>
      <w:r>
        <w:rPr>
          <w:b/>
          <w:sz w:val="24"/>
          <w:u w:val="single"/>
        </w:rPr>
        <w:t>Цифры, отражающие положение женщин в сфере занят</w:t>
      </w:r>
      <w:r>
        <w:rPr>
          <w:b/>
          <w:sz w:val="24"/>
          <w:u w:val="single"/>
        </w:rPr>
        <w:t>о</w:t>
      </w:r>
      <w:r>
        <w:rPr>
          <w:b/>
          <w:sz w:val="24"/>
          <w:u w:val="single"/>
        </w:rPr>
        <w:t>сти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b/>
          <w:i/>
          <w:u w:val="single"/>
        </w:rPr>
      </w:pPr>
      <w:r>
        <w:rPr>
          <w:b/>
          <w:i/>
          <w:u w:val="single"/>
        </w:rPr>
        <w:t>Доля работающих женщин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В 2000 году доля работающих женщин составляла 48,1%, а мужчин - 62%. Доля работающих женщин в возрасте от 25 до 49 лет равнялась 79,3%, а му</w:t>
      </w:r>
      <w:r>
        <w:t>ж</w:t>
      </w:r>
      <w:r>
        <w:t>чин в возрасте от 25 до 49 лет - 94,8%.</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b/>
          <w:i/>
          <w:u w:val="single"/>
        </w:rPr>
      </w:pPr>
      <w:r>
        <w:rPr>
          <w:b/>
          <w:i/>
          <w:u w:val="single"/>
        </w:rPr>
        <w:t>Работа неполный рабочий день</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Доля экономически активных мужчин, работающих неполный рабочий день, составляла 5,4%.</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Доля экономически активных женщин, работающих неполный рабочий день, - 31,1%.</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b/>
          <w:i/>
          <w:u w:val="single"/>
        </w:rPr>
      </w:pPr>
      <w:r>
        <w:rPr>
          <w:b/>
          <w:i/>
          <w:u w:val="single"/>
        </w:rPr>
        <w:t>Категории профессиональной принадлежности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2000 году в наибольшей степени женщины были представлены в сфере начального образования, в профессиях средней квалификации в сфере здрав</w:t>
      </w:r>
      <w:r>
        <w:t>о</w:t>
      </w:r>
      <w:r>
        <w:t>охранения и среди социальных работников, административных служащих предприятий, работников торговли и работников, занимающихся оказанием прямых услуг частным лицам.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r>
        <w:t>Фермеры: 32,5% женщин</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r>
        <w:t>Ремесленники, коммерсанты, руководители предприятий: 29,9%</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r>
        <w:t>Управленческие кадры, профессии высшей квалификации: 34,8%</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r>
        <w:t>Профессии средней квалификации: 47,0%</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r>
        <w:t>Служащие: 76,5%</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Рабочие: 21,0%</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rPr>
          <w:b/>
          <w:i/>
          <w:u w:val="single"/>
        </w:rPr>
      </w:pPr>
      <w:r>
        <w:rPr>
          <w:b/>
          <w:i/>
          <w:u w:val="single"/>
        </w:rPr>
        <w:t>Уровень безработицы</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rPr>
          <w:b/>
          <w:lang w:val="en-US"/>
        </w:rPr>
      </w:pPr>
      <w:r>
        <w:rPr>
          <w:b/>
        </w:rPr>
        <w:t>в процентах</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tbl>
      <w:tblPr>
        <w:tblW w:w="0" w:type="auto"/>
        <w:tblInd w:w="1262" w:type="dxa"/>
        <w:tblLayout w:type="fixed"/>
        <w:tblLook w:val="0000" w:firstRow="0" w:lastRow="0" w:firstColumn="0" w:lastColumn="0" w:noHBand="0" w:noVBand="0"/>
      </w:tblPr>
      <w:tblGrid>
        <w:gridCol w:w="2700"/>
        <w:gridCol w:w="990"/>
        <w:gridCol w:w="990"/>
        <w:gridCol w:w="1170"/>
        <w:gridCol w:w="990"/>
        <w:gridCol w:w="1032"/>
      </w:tblGrid>
      <w:tr w:rsidR="00000000">
        <w:tblPrEx>
          <w:tblCellMar>
            <w:top w:w="0" w:type="dxa"/>
            <w:bottom w:w="0" w:type="dxa"/>
          </w:tblCellMar>
        </w:tblPrEx>
        <w:tc>
          <w:tcPr>
            <w:tcW w:w="2700"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rPr>
                <w:lang w:val="en-US"/>
              </w:rPr>
            </w:pPr>
          </w:p>
        </w:tc>
        <w:tc>
          <w:tcPr>
            <w:tcW w:w="990"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декабрь</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1996 г.</w:t>
            </w:r>
          </w:p>
        </w:tc>
        <w:tc>
          <w:tcPr>
            <w:tcW w:w="990"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декабрь</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1997 г.</w:t>
            </w:r>
          </w:p>
        </w:tc>
        <w:tc>
          <w:tcPr>
            <w:tcW w:w="1170"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декабрь</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1998 г.</w:t>
            </w:r>
          </w:p>
        </w:tc>
        <w:tc>
          <w:tcPr>
            <w:tcW w:w="990"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декабрь</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1999 г.</w:t>
            </w:r>
          </w:p>
        </w:tc>
        <w:tc>
          <w:tcPr>
            <w:tcW w:w="1032"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декабрь</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2000 г.</w:t>
            </w:r>
          </w:p>
        </w:tc>
      </w:tr>
      <w:tr w:rsidR="00000000">
        <w:tblPrEx>
          <w:tblCellMar>
            <w:top w:w="0" w:type="dxa"/>
            <w:bottom w:w="0" w:type="dxa"/>
          </w:tblCellMar>
        </w:tblPrEx>
        <w:tc>
          <w:tcPr>
            <w:tcW w:w="270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Мужчины</w:t>
            </w:r>
          </w:p>
        </w:tc>
        <w:tc>
          <w:tcPr>
            <w:tcW w:w="9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11,0</w:t>
            </w:r>
          </w:p>
        </w:tc>
        <w:tc>
          <w:tcPr>
            <w:tcW w:w="9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10,6</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10,0</w:t>
            </w:r>
          </w:p>
        </w:tc>
        <w:tc>
          <w:tcPr>
            <w:tcW w:w="9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9,0</w:t>
            </w:r>
          </w:p>
        </w:tc>
        <w:tc>
          <w:tcPr>
            <w:tcW w:w="1032"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7,7</w:t>
            </w:r>
          </w:p>
        </w:tc>
      </w:tr>
      <w:tr w:rsidR="00000000">
        <w:tblPrEx>
          <w:tblCellMar>
            <w:top w:w="0" w:type="dxa"/>
            <w:bottom w:w="0" w:type="dxa"/>
          </w:tblCellMar>
        </w:tblPrEx>
        <w:tc>
          <w:tcPr>
            <w:tcW w:w="270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Женщины</w:t>
            </w:r>
          </w:p>
        </w:tc>
        <w:tc>
          <w:tcPr>
            <w:tcW w:w="9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14,4</w:t>
            </w:r>
          </w:p>
        </w:tc>
        <w:tc>
          <w:tcPr>
            <w:tcW w:w="9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14,3</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13,5</w:t>
            </w:r>
          </w:p>
        </w:tc>
        <w:tc>
          <w:tcPr>
            <w:tcW w:w="9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12,5</w:t>
            </w:r>
          </w:p>
        </w:tc>
        <w:tc>
          <w:tcPr>
            <w:tcW w:w="1032"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10,9</w:t>
            </w:r>
          </w:p>
        </w:tc>
      </w:tr>
      <w:tr w:rsidR="00000000">
        <w:tblPrEx>
          <w:tblCellMar>
            <w:top w:w="0" w:type="dxa"/>
            <w:bottom w:w="0" w:type="dxa"/>
          </w:tblCellMar>
        </w:tblPrEx>
        <w:tc>
          <w:tcPr>
            <w:tcW w:w="270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Разрыв (ж - м)</w:t>
            </w:r>
          </w:p>
        </w:tc>
        <w:tc>
          <w:tcPr>
            <w:tcW w:w="9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3,4</w:t>
            </w:r>
          </w:p>
        </w:tc>
        <w:tc>
          <w:tcPr>
            <w:tcW w:w="9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3,7</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3,5</w:t>
            </w:r>
          </w:p>
        </w:tc>
        <w:tc>
          <w:tcPr>
            <w:tcW w:w="9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3,5</w:t>
            </w:r>
          </w:p>
        </w:tc>
        <w:tc>
          <w:tcPr>
            <w:tcW w:w="1032"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3,2</w:t>
            </w:r>
          </w:p>
        </w:tc>
      </w:tr>
    </w:tbl>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pPr>
      <w:r>
        <w:t>Источник: ИНСЕЕ, АНПЕ, ДАРЕС.</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b/>
          <w:i/>
          <w:u w:val="single"/>
        </w:rPr>
      </w:pPr>
      <w:r>
        <w:rPr>
          <w:b/>
          <w:i/>
          <w:u w:val="single"/>
        </w:rPr>
        <w:t>Степень концентрации мужчин/женщин в сфере занятости с разбивкой по сферам экономики и профессиям</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rPr>
          <w:b/>
          <w:lang w:val="en-US"/>
        </w:rPr>
      </w:pPr>
      <w:r>
        <w:rPr>
          <w:b/>
        </w:rPr>
        <w:t>в процентах</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tbl>
      <w:tblPr>
        <w:tblW w:w="0" w:type="auto"/>
        <w:tblInd w:w="1262" w:type="dxa"/>
        <w:tblLayout w:type="fixed"/>
        <w:tblLook w:val="0000" w:firstRow="0" w:lastRow="0" w:firstColumn="0" w:lastColumn="0" w:noHBand="0" w:noVBand="0"/>
      </w:tblPr>
      <w:tblGrid>
        <w:gridCol w:w="3690"/>
        <w:gridCol w:w="1170"/>
        <w:gridCol w:w="1080"/>
        <w:gridCol w:w="1080"/>
        <w:gridCol w:w="857"/>
      </w:tblGrid>
      <w:tr w:rsidR="00000000">
        <w:tblPrEx>
          <w:tblCellMar>
            <w:top w:w="0" w:type="dxa"/>
            <w:bottom w:w="0" w:type="dxa"/>
          </w:tblCellMar>
        </w:tblPrEx>
        <w:tc>
          <w:tcPr>
            <w:tcW w:w="3690"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p>
        </w:tc>
        <w:tc>
          <w:tcPr>
            <w:tcW w:w="1170"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март 1997 г.</w:t>
            </w:r>
          </w:p>
        </w:tc>
        <w:tc>
          <w:tcPr>
            <w:tcW w:w="1080"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март 1998 г.</w:t>
            </w:r>
          </w:p>
        </w:tc>
        <w:tc>
          <w:tcPr>
            <w:tcW w:w="1080"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январь 1998 г.</w:t>
            </w:r>
          </w:p>
        </w:tc>
        <w:tc>
          <w:tcPr>
            <w:tcW w:w="857"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март 2000 г.</w:t>
            </w:r>
          </w:p>
        </w:tc>
      </w:tr>
      <w:tr w:rsidR="00000000">
        <w:tblPrEx>
          <w:tblCellMar>
            <w:top w:w="0" w:type="dxa"/>
            <w:bottom w:w="0" w:type="dxa"/>
          </w:tblCellMar>
        </w:tblPrEx>
        <w:tc>
          <w:tcPr>
            <w:tcW w:w="36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в пяти наиболее "концентрирова</w:t>
            </w:r>
            <w:r>
              <w:t>н</w:t>
            </w:r>
            <w:r>
              <w:t>ных" сферах (1)</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72,4</w:t>
            </w:r>
          </w:p>
        </w:tc>
        <w:tc>
          <w:tcPr>
            <w:tcW w:w="108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72,6</w:t>
            </w:r>
          </w:p>
        </w:tc>
        <w:tc>
          <w:tcPr>
            <w:tcW w:w="108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72,7</w:t>
            </w:r>
          </w:p>
        </w:tc>
        <w:tc>
          <w:tcPr>
            <w:tcW w:w="857"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73,4</w:t>
            </w:r>
          </w:p>
        </w:tc>
      </w:tr>
      <w:tr w:rsidR="00000000">
        <w:tblPrEx>
          <w:tblCellMar>
            <w:top w:w="0" w:type="dxa"/>
            <w:bottom w:w="0" w:type="dxa"/>
          </w:tblCellMar>
        </w:tblPrEx>
        <w:tc>
          <w:tcPr>
            <w:tcW w:w="36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в пяти наименее "концентрирова</w:t>
            </w:r>
            <w:r>
              <w:t>н</w:t>
            </w:r>
            <w:r>
              <w:t>ных" сект</w:t>
            </w:r>
            <w:r>
              <w:t>о</w:t>
            </w:r>
            <w:r>
              <w:t>рах (2)</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12,0</w:t>
            </w:r>
          </w:p>
        </w:tc>
        <w:tc>
          <w:tcPr>
            <w:tcW w:w="108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11,8</w:t>
            </w:r>
          </w:p>
        </w:tc>
        <w:tc>
          <w:tcPr>
            <w:tcW w:w="108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12,3</w:t>
            </w:r>
          </w:p>
        </w:tc>
        <w:tc>
          <w:tcPr>
            <w:tcW w:w="857"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12,4</w:t>
            </w:r>
          </w:p>
        </w:tc>
      </w:tr>
      <w:tr w:rsidR="00000000">
        <w:tblPrEx>
          <w:tblCellMar>
            <w:top w:w="0" w:type="dxa"/>
            <w:bottom w:w="0" w:type="dxa"/>
          </w:tblCellMar>
        </w:tblPrEx>
        <w:tc>
          <w:tcPr>
            <w:tcW w:w="36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в пяти наименее "концентрирова</w:t>
            </w:r>
            <w:r>
              <w:t>н</w:t>
            </w:r>
            <w:r>
              <w:t>ных" социально-профессиональных к</w:t>
            </w:r>
            <w:r>
              <w:t>а</w:t>
            </w:r>
            <w:r>
              <w:t>тегориях (КС) (3)</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81,1</w:t>
            </w:r>
          </w:p>
        </w:tc>
        <w:tc>
          <w:tcPr>
            <w:tcW w:w="108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81,3</w:t>
            </w:r>
          </w:p>
        </w:tc>
        <w:tc>
          <w:tcPr>
            <w:tcW w:w="108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80,4</w:t>
            </w:r>
          </w:p>
        </w:tc>
        <w:tc>
          <w:tcPr>
            <w:tcW w:w="857"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80,4</w:t>
            </w:r>
          </w:p>
        </w:tc>
      </w:tr>
      <w:tr w:rsidR="00000000">
        <w:tblPrEx>
          <w:tblCellMar>
            <w:top w:w="0" w:type="dxa"/>
            <w:bottom w:w="0" w:type="dxa"/>
          </w:tblCellMar>
        </w:tblPrEx>
        <w:tc>
          <w:tcPr>
            <w:tcW w:w="36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в пяти наиболее "концентрирова</w:t>
            </w:r>
            <w:r>
              <w:t>н</w:t>
            </w:r>
            <w:r>
              <w:t>ных" КС (4)</w:t>
            </w:r>
          </w:p>
        </w:tc>
        <w:tc>
          <w:tcPr>
            <w:tcW w:w="117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7,0</w:t>
            </w:r>
          </w:p>
        </w:tc>
        <w:tc>
          <w:tcPr>
            <w:tcW w:w="108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7,6</w:t>
            </w:r>
          </w:p>
        </w:tc>
        <w:tc>
          <w:tcPr>
            <w:tcW w:w="108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8,0</w:t>
            </w:r>
          </w:p>
        </w:tc>
        <w:tc>
          <w:tcPr>
            <w:tcW w:w="857"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7,9</w:t>
            </w:r>
          </w:p>
        </w:tc>
      </w:tr>
    </w:tbl>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r>
        <w:t>Источник: Обследование ИНСЕЕ сферы занятости.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(1)</w:t>
      </w:r>
      <w:r>
        <w:tab/>
        <w:t>Персональные и бытовые услуги, здравоохранение и социальная сфера, швейная промышленность (кожевенное производство), образование, операции с недвижимостью.</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(2)</w:t>
      </w:r>
      <w:r>
        <w:tab/>
        <w:t>Строительство, производство механического оборудования, автомобил</w:t>
      </w:r>
      <w:r>
        <w:t>ь</w:t>
      </w:r>
      <w:r>
        <w:t>ная промышленность, нефтеперерабатывающая промышленность, металлургия и обработка металлов.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(3)</w:t>
      </w:r>
      <w:r>
        <w:tab/>
        <w:t>Персонал по оказанию прямых услуг частным лицам, административные служащие предприятий, лица наемного труда и гражданские служащие сист</w:t>
      </w:r>
      <w:r>
        <w:t>е</w:t>
      </w:r>
      <w:r>
        <w:t>мы государственной службы, профессии средней квалификации в сфере здр</w:t>
      </w:r>
      <w:r>
        <w:t>а</w:t>
      </w:r>
      <w:r>
        <w:t>воохранения и социальной сфере, работники торговли.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(4)</w:t>
      </w:r>
      <w:r>
        <w:tab/>
        <w:t>Шоферы, руководители производства первичного звена и руководители низшего и среднего звена, полицейские и военные, квалифицированные раб</w:t>
      </w:r>
      <w:r>
        <w:t>о</w:t>
      </w:r>
      <w:r>
        <w:t>чие типа ремесленников, квалифицированные складские и транспортные раб</w:t>
      </w:r>
      <w:r>
        <w:t>о</w:t>
      </w:r>
      <w:r>
        <w:t>чие.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b/>
          <w:i/>
          <w:u w:val="single"/>
        </w:rPr>
      </w:pPr>
      <w:r>
        <w:rPr>
          <w:b/>
          <w:i/>
          <w:u w:val="single"/>
        </w:rPr>
        <w:t>Доля женщин, охваченных мерами по обеспечению трудоустройства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rPr>
          <w:b/>
          <w:lang w:val="en-US"/>
        </w:rPr>
      </w:pPr>
      <w:r>
        <w:rPr>
          <w:b/>
        </w:rPr>
        <w:t>в процентах</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tbl>
      <w:tblPr>
        <w:tblW w:w="0" w:type="auto"/>
        <w:tblInd w:w="1262" w:type="dxa"/>
        <w:tblLayout w:type="fixed"/>
        <w:tblLook w:val="0000" w:firstRow="0" w:lastRow="0" w:firstColumn="0" w:lastColumn="0" w:noHBand="0" w:noVBand="0"/>
      </w:tblPr>
      <w:tblGrid>
        <w:gridCol w:w="3420"/>
        <w:gridCol w:w="990"/>
        <w:gridCol w:w="900"/>
        <w:gridCol w:w="900"/>
        <w:gridCol w:w="900"/>
      </w:tblGrid>
      <w:tr w:rsidR="00000000">
        <w:tblPrEx>
          <w:tblCellMar>
            <w:top w:w="0" w:type="dxa"/>
            <w:bottom w:w="0" w:type="dxa"/>
          </w:tblCellMar>
        </w:tblPrEx>
        <w:tc>
          <w:tcPr>
            <w:tcW w:w="3420"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p>
        </w:tc>
        <w:tc>
          <w:tcPr>
            <w:tcW w:w="990"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1996 г.</w:t>
            </w:r>
          </w:p>
        </w:tc>
        <w:tc>
          <w:tcPr>
            <w:tcW w:w="900"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1997 г.</w:t>
            </w:r>
          </w:p>
        </w:tc>
        <w:tc>
          <w:tcPr>
            <w:tcW w:w="900"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1998 г.</w:t>
            </w:r>
          </w:p>
        </w:tc>
        <w:tc>
          <w:tcPr>
            <w:tcW w:w="900"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1999 г.</w:t>
            </w:r>
          </w:p>
        </w:tc>
      </w:tr>
      <w:tr w:rsidR="00000000">
        <w:tblPrEx>
          <w:tblCellMar>
            <w:top w:w="0" w:type="dxa"/>
            <w:bottom w:w="0" w:type="dxa"/>
          </w:tblCellMar>
        </w:tblPrEx>
        <w:tc>
          <w:tcPr>
            <w:tcW w:w="342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Процент женщин (без учета лиц, работающих неполный рабочий день) (5)</w:t>
            </w:r>
          </w:p>
        </w:tc>
        <w:tc>
          <w:tcPr>
            <w:tcW w:w="9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37,4</w:t>
            </w:r>
          </w:p>
        </w:tc>
        <w:tc>
          <w:tcPr>
            <w:tcW w:w="90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36,3</w:t>
            </w:r>
          </w:p>
        </w:tc>
        <w:tc>
          <w:tcPr>
            <w:tcW w:w="90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38,5</w:t>
            </w:r>
          </w:p>
        </w:tc>
        <w:tc>
          <w:tcPr>
            <w:tcW w:w="90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37,8</w:t>
            </w:r>
          </w:p>
        </w:tc>
      </w:tr>
      <w:tr w:rsidR="00000000">
        <w:tblPrEx>
          <w:tblCellMar>
            <w:top w:w="0" w:type="dxa"/>
            <w:bottom w:w="0" w:type="dxa"/>
          </w:tblCellMar>
        </w:tblPrEx>
        <w:tc>
          <w:tcPr>
            <w:tcW w:w="342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Процент женщин (включая лиц, занятых неполный раб</w:t>
            </w:r>
            <w:r>
              <w:t>о</w:t>
            </w:r>
            <w:r>
              <w:t>чий день)</w:t>
            </w:r>
          </w:p>
        </w:tc>
        <w:tc>
          <w:tcPr>
            <w:tcW w:w="9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43,2</w:t>
            </w:r>
          </w:p>
        </w:tc>
        <w:tc>
          <w:tcPr>
            <w:tcW w:w="90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43,5</w:t>
            </w:r>
          </w:p>
        </w:tc>
        <w:tc>
          <w:tcPr>
            <w:tcW w:w="90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44,7</w:t>
            </w:r>
          </w:p>
        </w:tc>
        <w:tc>
          <w:tcPr>
            <w:tcW w:w="90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44,7</w:t>
            </w:r>
          </w:p>
        </w:tc>
      </w:tr>
    </w:tbl>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pPr>
      <w:r>
        <w:tab/>
        <w:t>Источник: ДАРЕС.</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(5)</w:t>
      </w:r>
      <w:r>
        <w:tab/>
        <w:t>Область: ученичество, договор о стажировке в целях повышения квал</w:t>
      </w:r>
      <w:r>
        <w:t>и</w:t>
      </w:r>
      <w:r>
        <w:t>фикации, контракт адаптации, испытательные контракты и трудоустройство молодежи начиная с 1998 года.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b/>
          <w:i/>
          <w:u w:val="single"/>
        </w:rPr>
      </w:pPr>
      <w:r>
        <w:rPr>
          <w:b/>
          <w:i/>
          <w:u w:val="single"/>
        </w:rPr>
        <w:t>Различия в заработной плате: совокупные доходы с разбивкой по признаку пола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rPr>
          <w:b/>
          <w:lang w:val="en-US"/>
        </w:rPr>
      </w:pPr>
      <w:r>
        <w:rPr>
          <w:b/>
        </w:rPr>
        <w:t>в процентах</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tbl>
      <w:tblPr>
        <w:tblW w:w="0" w:type="auto"/>
        <w:jc w:val="center"/>
        <w:tblLayout w:type="fixed"/>
        <w:tblCellMar>
          <w:left w:w="36" w:type="dxa"/>
          <w:right w:w="36" w:type="dxa"/>
        </w:tblCellMar>
        <w:tblLook w:val="0000" w:firstRow="0" w:lastRow="0" w:firstColumn="0" w:lastColumn="0" w:noHBand="0" w:noVBand="0"/>
      </w:tblPr>
      <w:tblGrid>
        <w:gridCol w:w="4029"/>
        <w:gridCol w:w="1620"/>
        <w:gridCol w:w="1755"/>
      </w:tblGrid>
      <w:tr w:rsidR="00000000">
        <w:tblPrEx>
          <w:tblCellMar>
            <w:top w:w="0" w:type="dxa"/>
            <w:bottom w:w="0" w:type="dxa"/>
          </w:tblCellMar>
        </w:tblPrEx>
        <w:trPr>
          <w:jc w:val="center"/>
        </w:trPr>
        <w:tc>
          <w:tcPr>
            <w:tcW w:w="4029"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rPr>
                <w:b/>
              </w:rPr>
            </w:pPr>
            <w:r>
              <w:rPr>
                <w:b/>
              </w:rPr>
              <w:t>Ежемесячные доходы во фра</w:t>
            </w:r>
            <w:r>
              <w:rPr>
                <w:b/>
              </w:rPr>
              <w:t>н</w:t>
            </w:r>
            <w:r>
              <w:rPr>
                <w:b/>
              </w:rPr>
              <w:t>ках</w:t>
            </w:r>
          </w:p>
        </w:tc>
        <w:tc>
          <w:tcPr>
            <w:tcW w:w="1620"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1998 г.</w:t>
            </w:r>
          </w:p>
        </w:tc>
        <w:tc>
          <w:tcPr>
            <w:tcW w:w="1755" w:type="dxa"/>
            <w:tcBorders>
              <w:bottom w:val="single" w:sz="4" w:space="0" w:color="auto"/>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1999 г.</w:t>
            </w:r>
          </w:p>
        </w:tc>
      </w:tr>
      <w:tr w:rsidR="00000000">
        <w:tblPrEx>
          <w:tblCellMar>
            <w:top w:w="0" w:type="dxa"/>
            <w:bottom w:w="0" w:type="dxa"/>
          </w:tblCellMar>
        </w:tblPrEx>
        <w:trPr>
          <w:jc w:val="center"/>
        </w:trPr>
        <w:tc>
          <w:tcPr>
            <w:tcW w:w="4029"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Мужчины</w:t>
            </w:r>
          </w:p>
        </w:tc>
        <w:tc>
          <w:tcPr>
            <w:tcW w:w="162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14 970</w:t>
            </w:r>
          </w:p>
        </w:tc>
        <w:tc>
          <w:tcPr>
            <w:tcW w:w="1755"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15 170</w:t>
            </w:r>
          </w:p>
        </w:tc>
      </w:tr>
      <w:tr w:rsidR="00000000">
        <w:tblPrEx>
          <w:tblCellMar>
            <w:top w:w="0" w:type="dxa"/>
            <w:bottom w:w="0" w:type="dxa"/>
          </w:tblCellMar>
        </w:tblPrEx>
        <w:trPr>
          <w:jc w:val="center"/>
        </w:trPr>
        <w:tc>
          <w:tcPr>
            <w:tcW w:w="4029"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Женщины</w:t>
            </w:r>
          </w:p>
        </w:tc>
        <w:tc>
          <w:tcPr>
            <w:tcW w:w="162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11 940</w:t>
            </w:r>
          </w:p>
        </w:tc>
        <w:tc>
          <w:tcPr>
            <w:tcW w:w="1755"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12 160</w:t>
            </w:r>
          </w:p>
        </w:tc>
      </w:tr>
      <w:tr w:rsidR="00000000">
        <w:tblPrEx>
          <w:tblCellMar>
            <w:top w:w="0" w:type="dxa"/>
            <w:bottom w:w="0" w:type="dxa"/>
          </w:tblCellMar>
        </w:tblPrEx>
        <w:trPr>
          <w:jc w:val="center"/>
        </w:trPr>
        <w:tc>
          <w:tcPr>
            <w:tcW w:w="4029"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pPr>
            <w:r>
              <w:t>Разрыв</w:t>
            </w:r>
          </w:p>
        </w:tc>
        <w:tc>
          <w:tcPr>
            <w:tcW w:w="162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25,4%</w:t>
            </w:r>
          </w:p>
        </w:tc>
        <w:tc>
          <w:tcPr>
            <w:tcW w:w="1755"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24,8%</w:t>
            </w:r>
          </w:p>
        </w:tc>
      </w:tr>
    </w:tbl>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Источник: ДАРЕС.</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sz w:val="24"/>
        </w:rPr>
      </w:pPr>
      <w:r>
        <w:rPr>
          <w:b/>
          <w:sz w:val="24"/>
        </w:rPr>
        <w:t>III.</w:t>
      </w:r>
      <w:r>
        <w:rPr>
          <w:b/>
          <w:sz w:val="24"/>
        </w:rPr>
        <w:tab/>
      </w:r>
      <w:r>
        <w:rPr>
          <w:b/>
          <w:sz w:val="24"/>
          <w:u w:val="single"/>
        </w:rPr>
        <w:t>Положение женщин на рынке труда</w:t>
      </w:r>
      <w:r>
        <w:rPr>
          <w:rStyle w:val="FootnoteReference"/>
          <w:b/>
          <w:sz w:val="24"/>
          <w:u w:val="single"/>
        </w:rPr>
        <w:footnoteReference w:id="7"/>
      </w:r>
      <w:r>
        <w:rPr>
          <w:b/>
          <w:sz w:val="24"/>
          <w:u w:val="single"/>
        </w:rPr>
        <w:t>: признаки восст</w:t>
      </w:r>
      <w:r>
        <w:rPr>
          <w:b/>
          <w:sz w:val="24"/>
          <w:u w:val="single"/>
        </w:rPr>
        <w:t>а</w:t>
      </w:r>
      <w:r>
        <w:rPr>
          <w:b/>
          <w:sz w:val="24"/>
          <w:u w:val="single"/>
        </w:rPr>
        <w:t>новления б</w:t>
      </w:r>
      <w:r>
        <w:rPr>
          <w:b/>
          <w:sz w:val="24"/>
          <w:u w:val="single"/>
        </w:rPr>
        <w:t>а</w:t>
      </w:r>
      <w:r>
        <w:rPr>
          <w:b/>
          <w:sz w:val="24"/>
          <w:u w:val="single"/>
        </w:rPr>
        <w:t>ланса в пользу женщин</w:t>
      </w:r>
      <w:r>
        <w:rPr>
          <w:b/>
          <w:sz w:val="24"/>
        </w:rPr>
        <w:t>:</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целом отмечается улучшение положения женщин на рынке труда. О</w:t>
      </w:r>
      <w:r>
        <w:t>с</w:t>
      </w:r>
      <w:r>
        <w:t>новные моменты касаются следующего:</w:t>
      </w:r>
    </w:p>
    <w:p w:rsidR="00000000" w:rsidRDefault="00000000">
      <w:pPr>
        <w:numPr>
          <w:ilvl w:val="0"/>
          <w:numId w:val="312"/>
        </w:numPr>
        <w:tabs>
          <w:tab w:val="clear" w:pos="720"/>
          <w:tab w:val="left" w:pos="1267"/>
          <w:tab w:val="left" w:pos="1800"/>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800" w:right="1267" w:hanging="533"/>
        <w:jc w:val="both"/>
      </w:pPr>
      <w:r>
        <w:t>повышение экономической активности и уровня занятости и соответс</w:t>
      </w:r>
      <w:r>
        <w:t>т</w:t>
      </w:r>
      <w:r>
        <w:t>венно повышение уровня занятости на базе срочных контра</w:t>
      </w:r>
      <w:r>
        <w:t>к</w:t>
      </w:r>
      <w:r>
        <w:t>тов;</w:t>
      </w:r>
    </w:p>
    <w:p w:rsidR="00000000" w:rsidRDefault="00000000">
      <w:pPr>
        <w:numPr>
          <w:ilvl w:val="0"/>
          <w:numId w:val="312"/>
        </w:numPr>
        <w:tabs>
          <w:tab w:val="clear" w:pos="720"/>
          <w:tab w:val="left" w:pos="1267"/>
          <w:tab w:val="left" w:pos="1800"/>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800" w:right="1267" w:hanging="533"/>
        <w:jc w:val="both"/>
      </w:pPr>
      <w:r>
        <w:t>сокращение безработицы (лица категории 1, ищущие работу, по состо</w:t>
      </w:r>
      <w:r>
        <w:t>я</w:t>
      </w:r>
      <w:r>
        <w:t>нию на конец месяца);</w:t>
      </w:r>
    </w:p>
    <w:p w:rsidR="00000000" w:rsidRDefault="00000000">
      <w:pPr>
        <w:numPr>
          <w:ilvl w:val="0"/>
          <w:numId w:val="312"/>
        </w:numPr>
        <w:tabs>
          <w:tab w:val="clear" w:pos="720"/>
          <w:tab w:val="left" w:pos="1267"/>
          <w:tab w:val="left" w:pos="1800"/>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800" w:right="1267" w:hanging="533"/>
        <w:jc w:val="both"/>
      </w:pPr>
      <w:r>
        <w:t>большее по сравнению с мужчинами сокращение хронической безраб</w:t>
      </w:r>
      <w:r>
        <w:t>о</w:t>
      </w:r>
      <w:r>
        <w:t>тицы;</w:t>
      </w:r>
    </w:p>
    <w:p w:rsidR="00000000" w:rsidRDefault="00000000">
      <w:pPr>
        <w:numPr>
          <w:ilvl w:val="0"/>
          <w:numId w:val="312"/>
        </w:numPr>
        <w:tabs>
          <w:tab w:val="clear" w:pos="720"/>
          <w:tab w:val="left" w:pos="1267"/>
          <w:tab w:val="left" w:pos="1800"/>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800" w:right="1267" w:hanging="533"/>
        <w:jc w:val="both"/>
      </w:pPr>
      <w:r>
        <w:t>уменьшение числа лиц, работающих неполный рабочий день и занятых частично (возможно, речь идет о результатах реорганизации и сужения сферы применения неполного рабочего времени, а также прекращения действия преимуществ, связанных с работой неполный раб</w:t>
      </w:r>
      <w:r>
        <w:t>о</w:t>
      </w:r>
      <w:r>
        <w:t>чий день);</w:t>
      </w:r>
    </w:p>
    <w:p w:rsidR="00000000" w:rsidRDefault="00000000">
      <w:pPr>
        <w:numPr>
          <w:ilvl w:val="0"/>
          <w:numId w:val="312"/>
        </w:numPr>
        <w:tabs>
          <w:tab w:val="clear" w:pos="720"/>
          <w:tab w:val="left" w:pos="1267"/>
          <w:tab w:val="left" w:pos="1800"/>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800" w:right="1267" w:hanging="533"/>
        <w:jc w:val="both"/>
      </w:pPr>
      <w:r>
        <w:t>более активное включение девушек в профессиональную деятельность: сокращение разрыва между временем окончания школы и началом раб</w:t>
      </w:r>
      <w:r>
        <w:t>о</w:t>
      </w:r>
      <w:r>
        <w:t>ты, характер работы, предоставляемой дипломированным специалистам, заработная плата (если исходить не из средних показателей, а из равн</w:t>
      </w:r>
      <w:r>
        <w:t>о</w:t>
      </w:r>
      <w:r>
        <w:t>ценности дипломов). Наконец, тот прогресс, которого добились девушки в рамках школьного образования, начинает прин</w:t>
      </w:r>
      <w:r>
        <w:t>о</w:t>
      </w:r>
      <w:r>
        <w:t>сить плоды;</w:t>
      </w:r>
    </w:p>
    <w:p w:rsidR="00000000" w:rsidRDefault="00000000">
      <w:pPr>
        <w:numPr>
          <w:ilvl w:val="0"/>
          <w:numId w:val="312"/>
        </w:numPr>
        <w:tabs>
          <w:tab w:val="clear" w:pos="720"/>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разрыв в уровне безработицы, даже при том, что в нынешнем году он н</w:t>
      </w:r>
      <w:r>
        <w:t>е</w:t>
      </w:r>
      <w:r>
        <w:t>сколько увеличился, в 2000 году он достиг небывало низких показателей: 3,4 пункта;</w:t>
      </w:r>
    </w:p>
    <w:p w:rsidR="00000000" w:rsidRDefault="00000000">
      <w:pPr>
        <w:numPr>
          <w:ilvl w:val="0"/>
          <w:numId w:val="312"/>
        </w:numPr>
        <w:tabs>
          <w:tab w:val="clear" w:pos="720"/>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разрыв с точки зрения общего доступа к системе непрерывного образов</w:t>
      </w:r>
      <w:r>
        <w:t>а</w:t>
      </w:r>
      <w:r>
        <w:t>ния сокр</w:t>
      </w:r>
      <w:r>
        <w:t>а</w:t>
      </w:r>
      <w:r>
        <w:t>щается;</w:t>
      </w:r>
    </w:p>
    <w:p w:rsidR="00000000" w:rsidRDefault="00000000">
      <w:pPr>
        <w:numPr>
          <w:ilvl w:val="0"/>
          <w:numId w:val="312"/>
        </w:numPr>
        <w:tabs>
          <w:tab w:val="clear" w:pos="720"/>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повышение доли женщин, охваченных мероприятиями по обеспечению трудоустро</w:t>
      </w:r>
      <w:r>
        <w:t>й</w:t>
      </w:r>
      <w:r>
        <w:t>ства, в коммерческом секторе;</w:t>
      </w:r>
    </w:p>
    <w:p w:rsidR="00000000" w:rsidRDefault="00000000">
      <w:pPr>
        <w:numPr>
          <w:ilvl w:val="0"/>
          <w:numId w:val="312"/>
        </w:numPr>
        <w:tabs>
          <w:tab w:val="clear" w:pos="720"/>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сокращение разрыва в заработной плате за длительный период времени.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Сохраняющиеся сегодня трудности связаны главным образом с характ</w:t>
      </w:r>
      <w:r>
        <w:t>е</w:t>
      </w:r>
      <w:r>
        <w:t>ром работы и ее качеством. Средние показатели по</w:t>
      </w:r>
      <w:r>
        <w:noBreakHyphen/>
        <w:t>прежнему не отражают в должной степени трудности, которые продолжают иметь место и более четко проявляются, если социально-профессиональные категории или уровень обр</w:t>
      </w:r>
      <w:r>
        <w:t>а</w:t>
      </w:r>
      <w:r>
        <w:t>зования характеризовать с гендерной точки зрения (например, трудности, с к</w:t>
      </w:r>
      <w:r>
        <w:t>о</w:t>
      </w:r>
      <w:r>
        <w:t>торыми сталкиваются работающие по найму женщины в вопросах доступа к непрерывному образованию, или уровень безработицы среди девушек, не имеющих высшего образования).</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b/>
        </w:rPr>
      </w:pPr>
      <w:r>
        <w:t>▪</w:t>
      </w:r>
      <w:r>
        <w:tab/>
      </w:r>
      <w:r>
        <w:rPr>
          <w:b/>
        </w:rPr>
        <w:t>Деятельность</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Число женщин, занимающихся профессиональной деятельностью, пр</w:t>
      </w:r>
      <w:r>
        <w:t>о</w:t>
      </w:r>
      <w:r>
        <w:t>должает расти. За год на рынке труда появилось 192 000 новых работников, среди которых почти 58% составляют женщины; таким образом, число же</w:t>
      </w:r>
      <w:r>
        <w:t>н</w:t>
      </w:r>
      <w:r>
        <w:t>щин, занимающихся профессиональной деятельностью, продолжает расти и в возрастной категории от 25 до 49 лет увеличилось с 79,3% до 79,6%. За это же время соответствующий показатель по мужчинам, входящим в ту же возра</w:t>
      </w:r>
      <w:r>
        <w:t>с</w:t>
      </w:r>
      <w:r>
        <w:t>тную категорию, снизился с 94,8% до 94,6%. Это способствует новому сближ</w:t>
      </w:r>
      <w:r>
        <w:t>е</w:t>
      </w:r>
      <w:r>
        <w:t>нию уровней занятости среди мужчин и женщин. Менее чем за 25 лет показ</w:t>
      </w:r>
      <w:r>
        <w:t>а</w:t>
      </w:r>
      <w:r>
        <w:t>тель занятости как среди мужчин, так и среди женщин увеличился на 0,5%, что коррелирует с прекращением роста продолжительности школьного образов</w:t>
      </w:r>
      <w:r>
        <w:t>а</w:t>
      </w:r>
      <w:r>
        <w:t>ния. Профессиональная деятельность женщин во все большей степени носит постоянный характер (продолжают работать 81% женщин с одним ребенком, 69% женщин с двумя детьми и 49,3% с тремя детьми и более).</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t>▪</w:t>
      </w:r>
      <w:r>
        <w:tab/>
      </w:r>
      <w:r>
        <w:rPr>
          <w:b/>
        </w:rPr>
        <w:t>Занятость</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результате роста занятости улучшилось положение как мужчин, так и женщин. В этой связи следует обратить особое внимание на существенный рост занятости в секторе услуг (за год в этом секторе было создано 437 000 новых рабочих мест, что соответствует росту на  2,6%, тогда как число рабочих мест в сельском хозяйстве и промышленности увеличилось менее чем на 1%).</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марте 2001 года уровень занятости среди лиц в возрасте старше 15 лет составлял 49,9%: 57,4% приходилось на мужчин и 43,1% - на женщин.</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t>▪</w:t>
      </w:r>
      <w:r>
        <w:tab/>
      </w:r>
      <w:r>
        <w:rPr>
          <w:b/>
        </w:rPr>
        <w:t>Условия занятости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u w:val="single"/>
        </w:rPr>
      </w:pPr>
      <w:r>
        <w:rPr>
          <w:u w:val="single"/>
        </w:rPr>
        <w:t>Занятость в течение определенного срока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 результатам обследования занятости в 2000 году доля женщин, раб</w:t>
      </w:r>
      <w:r>
        <w:t>о</w:t>
      </w:r>
      <w:r>
        <w:t>тающих по срочным контрактам (СК), составляла 53,2%, и в течение года уменьшение количества человек, работающих по срочным контрактам, особе</w:t>
      </w:r>
      <w:r>
        <w:t>н</w:t>
      </w:r>
      <w:r>
        <w:t>но благоприятно отразилось на положении мужчин (</w:t>
      </w:r>
      <w:r>
        <w:noBreakHyphen/>
        <w:t>5,7%).</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Фактически, как представляется, социальная практика в отношении пре</w:t>
      </w:r>
      <w:r>
        <w:t>д</w:t>
      </w:r>
      <w:r>
        <w:t>ставителей двух полов в рамках одних и тех же секторов различается: срочные контракты значительно шире используются на тех предприятиях, где работает большое число женщин</w:t>
      </w:r>
      <w:r>
        <w:rPr>
          <w:rStyle w:val="FootnoteReference"/>
        </w:rPr>
        <w:footnoteReference w:id="8"/>
      </w:r>
      <w:r>
        <w:t>. Доля СК достигает 7% (в среднем 5%) в тех случаях, когда женщины составляют две трети от общей численности персонала. В отличие от этого практика найма работников на временной основе более х</w:t>
      </w:r>
      <w:r>
        <w:t>а</w:t>
      </w:r>
      <w:r>
        <w:t>рактерна для "мужских" предприятий. Такие работники составляют 5% на предприятиях, штат которых на 92% или более состоит из мужчин (в среднем 3%).</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u w:val="single"/>
        </w:rPr>
      </w:pPr>
      <w:r>
        <w:rPr>
          <w:u w:val="single"/>
        </w:rPr>
        <w:t>Занятость в течение неполного рабочего дня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Продолжительность работы в течение неполного рабочего дня растет (23,3 часа против в среднем 23,1 часа), чем частично компенсируется общее сокращение времени работы персонала, работающего в течение полного раб</w:t>
      </w:r>
      <w:r>
        <w:t>о</w:t>
      </w:r>
      <w:r>
        <w:t>чего дня (38,3 часа против 38,9 часа), при установленной 35</w:t>
      </w:r>
      <w:r>
        <w:noBreakHyphen/>
        <w:t>часовой рабочей неделе.</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Показатели занятости в течение неполного рабочего дня и неполной зан</w:t>
      </w:r>
      <w:r>
        <w:t>я</w:t>
      </w:r>
      <w:r>
        <w:t>тости снижаются. В отличие от тенденции, наблюдавшейся до 1999 года, с</w:t>
      </w:r>
      <w:r>
        <w:t>о</w:t>
      </w:r>
      <w:r>
        <w:t>кращение практики предоставления работы в течение неполного рабочего дня подтверждается данными как по мужчинам, так и по женщинам. В настоящее время доля работающих в течение неполного рабочего дня среди мужчин с</w:t>
      </w:r>
      <w:r>
        <w:t>о</w:t>
      </w:r>
      <w:r>
        <w:t>ставляет 42,2% вместо 47,6%, а среди женщин 31,5% вместо 33,1% (следует иметь в виду, что доля неполностью занятых лиц среди лиц, работающих в т</w:t>
      </w:r>
      <w:r>
        <w:t>е</w:t>
      </w:r>
      <w:r>
        <w:t>чение неполного рабочего дня, в 1997 году составляла 36,7% у женщин и 51,5% у мужчин).</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t>▪</w:t>
      </w:r>
      <w:r>
        <w:tab/>
      </w:r>
      <w:r>
        <w:rPr>
          <w:b/>
        </w:rPr>
        <w:t>Безработица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результате снижения спроса на рабочие места положение женщин улучшилось (уменьшилось число лиц, ищущих работу в конце месяца, катег</w:t>
      </w:r>
      <w:r>
        <w:t>о</w:t>
      </w:r>
      <w:r>
        <w:t>рия 1): в 2000 году соответствующая доля женщин уменьшилась на 15,8%, а доля мужчин - на 16,7%.</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Женщины особенно выиграли от сокращения числа лиц, являющихся бе</w:t>
      </w:r>
      <w:r>
        <w:t>з</w:t>
      </w:r>
      <w:r>
        <w:t>работными на протяжении длительного периода времени (источник: обслед</w:t>
      </w:r>
      <w:r>
        <w:t>о</w:t>
      </w:r>
      <w:r>
        <w:t>вание по вопросам занятости, проведенное Международным бюро труда): в п</w:t>
      </w:r>
      <w:r>
        <w:t>е</w:t>
      </w:r>
      <w:r>
        <w:t>риод с марта 2000 года по март 2001 года доля женщин, остававшихся безр</w:t>
      </w:r>
      <w:r>
        <w:t>а</w:t>
      </w:r>
      <w:r>
        <w:t>ботными в течение более одного года, сократилась с 41,2% до 35,6%, а му</w:t>
      </w:r>
      <w:r>
        <w:t>ж</w:t>
      </w:r>
      <w:r>
        <w:t>чин – с 38,9% до 35%.</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Вместе с тем до сих пор доля женщин среди безработных слишком вел</w:t>
      </w:r>
      <w:r>
        <w:t>и</w:t>
      </w:r>
      <w:r>
        <w:t>ка. В мае 2001 года она составляла 51,2% по всем возрастным категориям женщин (56% безоработных по оценкам МБТ) и 53% среди молодежи. Сравн</w:t>
      </w:r>
      <w:r>
        <w:t>и</w:t>
      </w:r>
      <w:r>
        <w:t>те эти цифры с долей женщин в экономически активном населении: 45,8% в марте 2001 года.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Разрыв в уровнях безработицы между мужчинами и женщинами за п</w:t>
      </w:r>
      <w:r>
        <w:t>о</w:t>
      </w:r>
      <w:r>
        <w:t>следние 20 лет существенно сократился, однако в период после 2000 года он вновь несколько увеличился. По оценкам МБТ, уровень безработицы среди женщин равен 10,7%, а среди мужчин – 7,1% (за один год эти уровни сниз</w:t>
      </w:r>
      <w:r>
        <w:t>и</w:t>
      </w:r>
      <w:r>
        <w:t>лись соответственно на 1,1 и 1,3 пункта). Таким образом, за период с марта 2000 года этот разрыв увеличился на 0,2 пункта.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Что касается молодежи, то разрыв между уровнем безработицы среди мужчин и уровнем безработицы среди женщин составляет 5,6 пункта. Кроме того, результаты обследования положения в области занятости в 2000 году св</w:t>
      </w:r>
      <w:r>
        <w:t>и</w:t>
      </w:r>
      <w:r>
        <w:t>детельствуют о нижеследующем: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во многих группах экономически активного, но наиболее обездоленного населения положение женщин по</w:t>
      </w:r>
      <w:r>
        <w:noBreakHyphen/>
        <w:t>прежнему существенно отличается от положения мужчин;</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что касается работников физического труда и иностранцев, то в их случае разрыв между уровнями безработицы среди женщин и мужчин превышает 7 пунктов;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неравенство с точки зрения безработицы между теми, кто не имеет д</w:t>
      </w:r>
      <w:r>
        <w:t>и</w:t>
      </w:r>
      <w:r>
        <w:t>плома об окончании школы, и теми, кто имеет степень бакалавра плюс два года, составляет 9 пунктов среди мужчин и 13,4 пункта среди же</w:t>
      </w:r>
      <w:r>
        <w:t>н</w:t>
      </w:r>
      <w:r>
        <w:t>щин.</w:t>
      </w:r>
    </w:p>
    <w:p w:rsidR="00000000" w:rsidRDefault="00000000">
      <w:pPr>
        <w:keepNext/>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r>
      <w:r>
        <w:rPr>
          <w:b/>
        </w:rPr>
        <w:t>Трудоустройство молодежи</w:t>
      </w:r>
    </w:p>
    <w:p w:rsidR="00000000" w:rsidRDefault="00000000">
      <w:pPr>
        <w:keepNext/>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Теперь девушки извлекают бóльшие преимущества из более высокой ст</w:t>
      </w:r>
      <w:r>
        <w:t>е</w:t>
      </w:r>
      <w:r>
        <w:t>пени полученного им образования: они несколько чаще, чем ранее, занимают посты высокого или среднего уровня по окончании школьного обучения (42% против 40%) и реже, чем молодые мужчины, выполняют неквалифицирова</w:t>
      </w:r>
      <w:r>
        <w:t>н</w:t>
      </w:r>
      <w:r>
        <w:t>ную работу (19% против 25%). Вместе с тем при одинаковом уровне образов</w:t>
      </w:r>
      <w:r>
        <w:t>а</w:t>
      </w:r>
      <w:r>
        <w:t>ния женщины находятся все же в худшем положении с точки зрения трудоус</w:t>
      </w:r>
      <w:r>
        <w:t>т</w:t>
      </w:r>
      <w:r>
        <w:t>ройства, чем мужчины. Аналогичным образом, они получали несколько более высокую заработную плату по сравнению с молодыми мужчинами, однако при равном уровне образования зарплата у девушек была все же на 10% меньше, чем у мужчин. При сопоставимом уровне образования, особенно ниже степени бакалавра, разрыв в зарплате между мужчинами и женщинами по</w:t>
      </w:r>
      <w:r>
        <w:noBreakHyphen/>
        <w:t>прежнему является весьма существенным.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t>▪</w:t>
      </w:r>
      <w:r>
        <w:tab/>
      </w:r>
      <w:r>
        <w:rPr>
          <w:b/>
        </w:rPr>
        <w:t>Непрерывное образование</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Степень доступа женщин к непрерывному образованию увеличивается, а средние показатели разрыва между степенями доступа уменьшаются. Эту те</w:t>
      </w:r>
      <w:r>
        <w:t>н</w:t>
      </w:r>
      <w:r>
        <w:t>денцию можно увязать с увеличением доли женщин среди руководящих рабо</w:t>
      </w:r>
      <w:r>
        <w:t>т</w:t>
      </w:r>
      <w:r>
        <w:t>ников и лиц, занимающихся высокоинтеллектуальной деятельностью, особенно в государственном секторе. Фактически представляется, что доступ к образ</w:t>
      </w:r>
      <w:r>
        <w:t>о</w:t>
      </w:r>
      <w:r>
        <w:t>ванию в большей степени ограничивается факторами социально-профессионального характера (более широкий доступ к руководящим постам для мужчин и женщин) либо сохраняющимися в конкретных частных или гос</w:t>
      </w:r>
      <w:r>
        <w:t>у</w:t>
      </w:r>
      <w:r>
        <w:t>дарственных секторах деятельности различиями между мужчинами и женщ</w:t>
      </w:r>
      <w:r>
        <w:t>и</w:t>
      </w:r>
      <w:r>
        <w:t>нами.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w:t>
      </w:r>
      <w:r>
        <w:tab/>
      </w:r>
      <w:r>
        <w:rPr>
          <w:b/>
        </w:rPr>
        <w:t>Создание предприятий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Женщины по</w:t>
      </w:r>
      <w:r>
        <w:noBreakHyphen/>
        <w:t>прежнему находятся в меньшинстве среди лиц, создающих предприятия: в этой категории на них приходится 30%.</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Все происходит так, как если бы доля участия женщин в создании пре</w:t>
      </w:r>
      <w:r>
        <w:t>д</w:t>
      </w:r>
      <w:r>
        <w:t>приятий была идентична доле их участия в экономической деятельности в ц</w:t>
      </w:r>
      <w:r>
        <w:t>е</w:t>
      </w:r>
      <w:r>
        <w:t xml:space="preserve">лом по окончании второй мировой войны.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Согласно автору доклада Агентства по созданию предприятий (АСП), оз</w:t>
      </w:r>
      <w:r>
        <w:t>а</w:t>
      </w:r>
      <w:r>
        <w:t>главленного "Изменение характеристик создаваемых предприятий и их основ</w:t>
      </w:r>
      <w:r>
        <w:t>а</w:t>
      </w:r>
      <w:r>
        <w:t>телей", экономическая активность женщин начала расти не так давно, чтобы повлиять на индивидуальную инициативу. Кроме того, он отмечает, что в зн</w:t>
      </w:r>
      <w:r>
        <w:t>а</w:t>
      </w:r>
      <w:r>
        <w:t>чительной степени разрыв в показателях объясняется воздействием следующих структурных факторов: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возраст: женщины чаще, чем мужчины, выступают с предпринимател</w:t>
      </w:r>
      <w:r>
        <w:t>ь</w:t>
      </w:r>
      <w:r>
        <w:t>ской инициативой после 40 лет (44% против 38,1%), при этом показатель стабильности с возрастом увеличивается, но после 45 лет снижается.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деятельность: показатели стабильности предпринимательской деятельн</w:t>
      </w:r>
      <w:r>
        <w:t>о</w:t>
      </w:r>
      <w:r>
        <w:t>сти мужчин и женщин близки во всех случаях, независимо от предыдущей ситуации, за исключением случаев безработицы в течение длительного времени. Наиболее низкие показатели стабильности характерны для предприятий, создаваемых лицами, на протяжении длительного времени не занимавшимися никакой деятельностью или являвшимися безрабо</w:t>
      </w:r>
      <w:r>
        <w:t>т</w:t>
      </w:r>
      <w:r>
        <w:t>ными, при этом доля женщин, длительное время не занимавшихся ник</w:t>
      </w:r>
      <w:r>
        <w:t>а</w:t>
      </w:r>
      <w:r>
        <w:t>кой деятельностью или являвшихся безработными на момент создания ими предприятия, выше.</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Женщины чаще выбирают иную деятельность по сравнению с той, кот</w:t>
      </w:r>
      <w:r>
        <w:t>о</w:t>
      </w:r>
      <w:r>
        <w:t>рой они занимались прежде, что уменьшает их шансы на успех. Они также имеют значительно меньший опыт создания предприятий.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Успех предприятия предопределяется уровнем образования и полученной квалификации, при этом в настоящее время женщины, создающие пре</w:t>
      </w:r>
      <w:r>
        <w:t>д</w:t>
      </w:r>
      <w:r>
        <w:t xml:space="preserve">приятия, имеют более высокое образование, но меньшую квалификацию.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hanging="7"/>
        <w:jc w:val="both"/>
      </w:pPr>
      <w:r>
        <w:tab/>
      </w:r>
      <w:r>
        <w:tab/>
        <w:t>Ничто не позволяет говорить о том, что женщины справляются со своей задачей хуже, чем мужчины. Как представляется, схожими являются и пути, по которым мужчины и женщины идут к предпринимательству: чаще мужчины и женщины становятся предпринимателями добровольно, чем вынуждено.</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rPr>
          <w:b/>
        </w:rPr>
      </w:pPr>
      <w:r>
        <w:t>▪</w:t>
      </w:r>
      <w:r>
        <w:tab/>
      </w:r>
      <w:r>
        <w:rPr>
          <w:b/>
        </w:rPr>
        <w:t>Политика в области занятости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Последние результаты обследования эффективности глобальных мер, проведенного в мае 2000 года, свидетельствует о том, что женщины преобл</w:t>
      </w:r>
      <w:r>
        <w:t>а</w:t>
      </w:r>
      <w:r>
        <w:t>дают среди работников некоммерческого сектора, работающих по субсидиру</w:t>
      </w:r>
      <w:r>
        <w:t>е</w:t>
      </w:r>
      <w:r>
        <w:t>мым контрактам, при этом доля таких женщин растет. Что же касается схем, наиболее близких к классической схеме занятости, то в них женщины по</w:t>
      </w:r>
      <w:r>
        <w:noBreakHyphen/>
        <w:t>прежнему составляют меньшинство. Вместе с тем отмечается явный рост числа договоров об инициативном поиске работы и стажировок с целью труд</w:t>
      </w:r>
      <w:r>
        <w:t>о</w:t>
      </w:r>
      <w:r>
        <w:t>устройства, доля участия женщин в которых составляет соответственно 40,1% (против 38,7% в декабре 2000 года) и 44% (против 43,1%). Что касается п</w:t>
      </w:r>
      <w:r>
        <w:t>о</w:t>
      </w:r>
      <w:r>
        <w:t>следнего механизма, то число участвующих в нем женщин непрерывно увел</w:t>
      </w:r>
      <w:r>
        <w:t>и</w:t>
      </w:r>
      <w:r>
        <w:t xml:space="preserve">чивается.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Цифры за 2000 год свидетельствуют о том, что женщины составляют 56% среди участников программы "Новый старт". Что касается мер, принимаемых в интересах молодежи, то, за явным исключением контрактов на профессионал</w:t>
      </w:r>
      <w:r>
        <w:t>ь</w:t>
      </w:r>
      <w:r>
        <w:t xml:space="preserve">но-техническую подготовку (женщины составляют 28%), общее положение в этой сфере представляется более сбалансированным: контракты на получение квалификации (женщины – 47%), программа по способам трудоустройства или так называемая программа </w:t>
      </w:r>
      <w:r>
        <w:rPr>
          <w:lang w:val="en-US"/>
        </w:rPr>
        <w:t>TRACE</w:t>
      </w:r>
      <w:r>
        <w:rPr>
          <w:lang w:val="fr-FR"/>
        </w:rPr>
        <w:t xml:space="preserve"> </w:t>
      </w:r>
      <w:r>
        <w:t>(женщины </w:t>
      </w:r>
      <w:r>
        <w:noBreakHyphen/>
        <w:t xml:space="preserve"> 51,01%), новые службы по тр</w:t>
      </w:r>
      <w:r>
        <w:t>у</w:t>
      </w:r>
      <w:r>
        <w:t>доустройству молодежи (женщины – 50,8%).</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b/>
          <w:i/>
          <w:lang w:val="en-US"/>
        </w:rPr>
      </w:pPr>
      <w:r>
        <w:rPr>
          <w:b/>
          <w:i/>
        </w:rPr>
        <w:t xml:space="preserve">Трудоустройство молодежи: доля девушек среди участников программы </w:t>
      </w:r>
      <w:r>
        <w:rPr>
          <w:b/>
          <w:i/>
          <w:lang w:val="en-US"/>
        </w:rPr>
        <w:t>TRACE</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1350"/>
        <w:gridCol w:w="1530"/>
        <w:gridCol w:w="1440"/>
      </w:tblGrid>
      <w:tr w:rsidR="00000000">
        <w:tblPrEx>
          <w:tblCellMar>
            <w:top w:w="0" w:type="dxa"/>
            <w:bottom w:w="0" w:type="dxa"/>
          </w:tblCellMar>
        </w:tblPrEx>
        <w:trPr>
          <w:cantSplit/>
        </w:trPr>
        <w:tc>
          <w:tcPr>
            <w:tcW w:w="7740" w:type="dxa"/>
            <w:gridSpan w:val="4"/>
            <w:tcBorders>
              <w:top w:val="single" w:sz="4" w:space="0" w:color="auto"/>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Первый прием в метрополии (1) – Разбивка по возрасту в 2000 году</w:t>
            </w:r>
          </w:p>
        </w:tc>
      </w:tr>
      <w:tr w:rsidR="00000000">
        <w:tblPrEx>
          <w:tblCellMar>
            <w:top w:w="0" w:type="dxa"/>
            <w:bottom w:w="0" w:type="dxa"/>
          </w:tblCellMar>
        </w:tblPrEx>
        <w:tc>
          <w:tcPr>
            <w:tcW w:w="3420" w:type="dxa"/>
            <w:tcBorders>
              <w:top w:val="nil"/>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Возрастная группа</w:t>
            </w:r>
          </w:p>
        </w:tc>
        <w:tc>
          <w:tcPr>
            <w:tcW w:w="1350" w:type="dxa"/>
            <w:tcBorders>
              <w:top w:val="nil"/>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Мужчины</w:t>
            </w:r>
          </w:p>
        </w:tc>
        <w:tc>
          <w:tcPr>
            <w:tcW w:w="1530" w:type="dxa"/>
            <w:tcBorders>
              <w:top w:val="nil"/>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Женщины</w:t>
            </w:r>
          </w:p>
        </w:tc>
        <w:tc>
          <w:tcPr>
            <w:tcW w:w="1440" w:type="dxa"/>
            <w:tcBorders>
              <w:top w:val="nil"/>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center"/>
            </w:pPr>
            <w:r>
              <w:t>Доля же</w:t>
            </w:r>
            <w:r>
              <w:t>н</w:t>
            </w:r>
            <w:r>
              <w:t>щин</w:t>
            </w:r>
          </w:p>
        </w:tc>
      </w:tr>
      <w:tr w:rsidR="00000000">
        <w:tblPrEx>
          <w:tblCellMar>
            <w:top w:w="0" w:type="dxa"/>
            <w:bottom w:w="0" w:type="dxa"/>
          </w:tblCellMar>
        </w:tblPrEx>
        <w:tc>
          <w:tcPr>
            <w:tcW w:w="342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both"/>
            </w:pPr>
            <w:r>
              <w:t>от 16 до 17 лет</w:t>
            </w:r>
          </w:p>
        </w:tc>
        <w:tc>
          <w:tcPr>
            <w:tcW w:w="135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34 343</w:t>
            </w:r>
          </w:p>
        </w:tc>
        <w:tc>
          <w:tcPr>
            <w:tcW w:w="153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28 183</w:t>
            </w:r>
          </w:p>
        </w:tc>
        <w:tc>
          <w:tcPr>
            <w:tcW w:w="144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44,2%</w:t>
            </w:r>
          </w:p>
        </w:tc>
      </w:tr>
      <w:tr w:rsidR="00000000">
        <w:tblPrEx>
          <w:tblCellMar>
            <w:top w:w="0" w:type="dxa"/>
            <w:bottom w:w="0" w:type="dxa"/>
          </w:tblCellMar>
        </w:tblPrEx>
        <w:tc>
          <w:tcPr>
            <w:tcW w:w="342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both"/>
            </w:pPr>
            <w:r>
              <w:t>от 18 лет до 21 года</w:t>
            </w:r>
          </w:p>
        </w:tc>
        <w:tc>
          <w:tcPr>
            <w:tcW w:w="135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82 112</w:t>
            </w:r>
          </w:p>
        </w:tc>
        <w:tc>
          <w:tcPr>
            <w:tcW w:w="153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105 597</w:t>
            </w:r>
          </w:p>
        </w:tc>
        <w:tc>
          <w:tcPr>
            <w:tcW w:w="144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56,3%</w:t>
            </w:r>
          </w:p>
        </w:tc>
      </w:tr>
      <w:tr w:rsidR="00000000">
        <w:tblPrEx>
          <w:tblCellMar>
            <w:top w:w="0" w:type="dxa"/>
            <w:bottom w:w="0" w:type="dxa"/>
          </w:tblCellMar>
        </w:tblPrEx>
        <w:tc>
          <w:tcPr>
            <w:tcW w:w="342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both"/>
            </w:pPr>
            <w:r>
              <w:t>от 22 до 25 лет</w:t>
            </w:r>
          </w:p>
        </w:tc>
        <w:tc>
          <w:tcPr>
            <w:tcW w:w="135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42 919</w:t>
            </w:r>
          </w:p>
        </w:tc>
        <w:tc>
          <w:tcPr>
            <w:tcW w:w="153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55 299</w:t>
            </w:r>
          </w:p>
        </w:tc>
        <w:tc>
          <w:tcPr>
            <w:tcW w:w="144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56,3%</w:t>
            </w:r>
          </w:p>
        </w:tc>
      </w:tr>
      <w:tr w:rsidR="00000000">
        <w:tblPrEx>
          <w:tblCellMar>
            <w:top w:w="0" w:type="dxa"/>
            <w:bottom w:w="0" w:type="dxa"/>
          </w:tblCellMar>
        </w:tblPrEx>
        <w:tc>
          <w:tcPr>
            <w:tcW w:w="342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both"/>
            </w:pPr>
            <w:r>
              <w:t>26 лет и старше</w:t>
            </w:r>
          </w:p>
        </w:tc>
        <w:tc>
          <w:tcPr>
            <w:tcW w:w="135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1 399</w:t>
            </w:r>
          </w:p>
        </w:tc>
        <w:tc>
          <w:tcPr>
            <w:tcW w:w="153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2 084</w:t>
            </w:r>
          </w:p>
        </w:tc>
        <w:tc>
          <w:tcPr>
            <w:tcW w:w="1440" w:type="dxa"/>
            <w:tcBorders>
              <w:top w:val="nil"/>
              <w:left w:val="nil"/>
              <w:bottom w:val="nil"/>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59,8%</w:t>
            </w:r>
          </w:p>
        </w:tc>
      </w:tr>
      <w:tr w:rsidR="00000000">
        <w:tblPrEx>
          <w:tblCellMar>
            <w:top w:w="0" w:type="dxa"/>
            <w:bottom w:w="0" w:type="dxa"/>
          </w:tblCellMar>
        </w:tblPrEx>
        <w:tc>
          <w:tcPr>
            <w:tcW w:w="3420" w:type="dxa"/>
            <w:tcBorders>
              <w:top w:val="nil"/>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both"/>
            </w:pPr>
            <w:r>
              <w:t>Всего</w:t>
            </w:r>
          </w:p>
        </w:tc>
        <w:tc>
          <w:tcPr>
            <w:tcW w:w="1350" w:type="dxa"/>
            <w:tcBorders>
              <w:top w:val="nil"/>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160 773</w:t>
            </w:r>
          </w:p>
        </w:tc>
        <w:tc>
          <w:tcPr>
            <w:tcW w:w="1530" w:type="dxa"/>
            <w:tcBorders>
              <w:top w:val="nil"/>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190 162</w:t>
            </w:r>
          </w:p>
        </w:tc>
        <w:tc>
          <w:tcPr>
            <w:tcW w:w="1440" w:type="dxa"/>
            <w:tcBorders>
              <w:top w:val="nil"/>
              <w:left w:val="nil"/>
              <w:bottom w:val="single" w:sz="4" w:space="0" w:color="auto"/>
              <w:right w:val="nil"/>
            </w:tcBorders>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right"/>
            </w:pPr>
            <w:r>
              <w:t>54,2%</w:t>
            </w:r>
          </w:p>
        </w:tc>
      </w:tr>
    </w:tbl>
    <w:p w:rsidR="00000000" w:rsidRDefault="00000000">
      <w:pPr>
        <w:pStyle w:val="SingleTxt"/>
        <w:spacing w:after="0" w:line="180" w:lineRule="auto"/>
        <w:rPr>
          <w:sz w:val="10"/>
          <w:lang w:val="en-US"/>
        </w:rPr>
      </w:pPr>
      <w:r>
        <w:br w:type="page"/>
      </w: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310" w:lineRule="exact"/>
        <w:ind w:left="1267" w:right="1267"/>
        <w:jc w:val="center"/>
        <w:rPr>
          <w:b/>
          <w:sz w:val="28"/>
        </w:rPr>
      </w:pPr>
      <w:r>
        <w:rPr>
          <w:b/>
          <w:sz w:val="28"/>
        </w:rPr>
        <w:t>СТАТЬЯ 12</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center"/>
        <w:rPr>
          <w:b/>
          <w:i/>
          <w:sz w:val="24"/>
        </w:rPr>
      </w:pPr>
      <w:r>
        <w:rPr>
          <w:b/>
          <w:i/>
          <w:sz w:val="24"/>
        </w:rPr>
        <w:t>Здравоохранение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Политика, проводимая на национальном уровне в области здравоохран</w:t>
      </w:r>
      <w:r>
        <w:t>е</w:t>
      </w:r>
      <w:r>
        <w:t>ния, содержит элемент обеспечения равенства мужчин и женщин в рамках всех проводимых мероприятий.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В рамках этой статьи рассматриваются мероприятия, направленные на борьбу с насилием в отношении женщин.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sz w:val="24"/>
          <w:u w:val="single"/>
        </w:rPr>
      </w:pPr>
      <w:r>
        <w:rPr>
          <w:b/>
          <w:sz w:val="24"/>
        </w:rPr>
        <w:t>1.</w:t>
      </w:r>
      <w:r>
        <w:rPr>
          <w:b/>
          <w:sz w:val="24"/>
        </w:rPr>
        <w:tab/>
      </w:r>
      <w:r>
        <w:rPr>
          <w:b/>
          <w:sz w:val="24"/>
          <w:u w:val="single"/>
        </w:rPr>
        <w:t>Комплексные мероприятия по обеспечению равенства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Большинство региональных программ по обеспечению доступа к средс</w:t>
      </w:r>
      <w:r>
        <w:t>т</w:t>
      </w:r>
      <w:r>
        <w:t>вам профилактики заболеваний и оказания медицинской помощи (ПРАПС) учитывают проблему доступа женщин к медицинскому обслуживанию. Можно сказать, что женщины более уязвимы, чем мужчины (беременные женщины в условиях разрыва семейных уз; женщины, ставшие жертвой насилия; девушки; женщины с неурегулированным статусом).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Аналогичный подход применяется в профилактических программах, предназначенных для подростков. Так, созданная при финансовой поддержке со стороны министерства занятости и солидарности – 1,2 млн. евро в 2001 году – анонимная и бесплатная телефонная служба "Здоровье молодежи" позволяет обеспечивать сбор и распространение информации, а также вести просветительскую деятельность по вопросам физического, психического и с</w:t>
      </w:r>
      <w:r>
        <w:t>о</w:t>
      </w:r>
      <w:r>
        <w:t>циального здоровья. Эта служба облегчает задачу выяснения проблем мальч</w:t>
      </w:r>
      <w:r>
        <w:t>и</w:t>
      </w:r>
      <w:r>
        <w:t>ков, которые реже обращаются к обычным структурам по вопросам профила</w:t>
      </w:r>
      <w:r>
        <w:t>к</w:t>
      </w:r>
      <w:r>
        <w:t>тики и лечения, имеющим бóльшую популярность среди девочек. Кроме того, в 2001 году началось осуществление ряда конкретных коммуникационных мер</w:t>
      </w:r>
      <w:r>
        <w:t>о</w:t>
      </w:r>
      <w:r>
        <w:t>приятий, предназначенных для молодежи. Речь идет, с одной стороны, о в</w:t>
      </w:r>
      <w:r>
        <w:t>ы</w:t>
      </w:r>
      <w:r>
        <w:t>пуске брошюры по вопросам профилактики и сексуального просвещения для молодежи, к которой было написано два введения: одно – для девочек, а др</w:t>
      </w:r>
      <w:r>
        <w:t>у</w:t>
      </w:r>
      <w:r>
        <w:t>гое – для мальчиков, а с другой стороны, об организации в рамках межмин</w:t>
      </w:r>
      <w:r>
        <w:t>и</w:t>
      </w:r>
      <w:r>
        <w:t>стерского партнерства весеннего университета на тему "Одинаковы ли модели рискованного поведения у мальчиков и девочек?".</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i/>
          <w:sz w:val="24"/>
        </w:rPr>
      </w:pPr>
      <w:r>
        <w:rPr>
          <w:b/>
          <w:i/>
          <w:sz w:val="24"/>
        </w:rPr>
        <w:t>1.</w:t>
      </w:r>
      <w:r>
        <w:rPr>
          <w:b/>
          <w:i/>
          <w:sz w:val="24"/>
        </w:rPr>
        <w:tab/>
        <w:t>Контрацепция: просветительские мероприятия и новое законод</w:t>
      </w:r>
      <w:r>
        <w:rPr>
          <w:b/>
          <w:i/>
          <w:sz w:val="24"/>
        </w:rPr>
        <w:t>а</w:t>
      </w:r>
      <w:r>
        <w:rPr>
          <w:b/>
          <w:i/>
          <w:sz w:val="24"/>
        </w:rPr>
        <w:t>тельство</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июле 1999 года правительство составило план действий по разработке активной политики в области контрацепции и предотвращения нежелательной беременности.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этой связи проведенная в 2000 году информационная кампания по в</w:t>
      </w:r>
      <w:r>
        <w:t>о</w:t>
      </w:r>
      <w:r>
        <w:t>просам контрацепции позволила </w:t>
      </w:r>
      <w:r>
        <w:noBreakHyphen/>
        <w:t xml:space="preserve"> благодаря поддержке со стороны средств массовой информации (телевизионные и спортивные передачи, обращения по радио и через прессу), распространению карманных справочников по разли</w:t>
      </w:r>
      <w:r>
        <w:t>ч</w:t>
      </w:r>
      <w:r>
        <w:t>ным методам контрацепции и 2 000 мероприятий, организованных на местах региональными делегатами и уполномоченными представителями департаме</w:t>
      </w:r>
      <w:r>
        <w:t>н</w:t>
      </w:r>
      <w:r>
        <w:t>тов по правам женщин и вопросам равенства </w:t>
      </w:r>
      <w:r>
        <w:noBreakHyphen/>
        <w:t xml:space="preserve"> поместить проблемы контраце</w:t>
      </w:r>
      <w:r>
        <w:t>п</w:t>
      </w:r>
      <w:r>
        <w:t>ции в центр общественной дискуссии.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январе 2002 года началось осуществление второй информационной кампании по вопросам контрацепции, которая проводится под девизом "Ко</w:t>
      </w:r>
      <w:r>
        <w:t>н</w:t>
      </w:r>
      <w:r>
        <w:t>трацепция: не позволяйте случаю решать за вас". Первый этап этой кампании состоял из демонстрации в течение одной недели плакатов на данную тему в общественном транспорте.</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Она будет осуществляться в течение всего года в форме местных иници</w:t>
      </w:r>
      <w:r>
        <w:t>а</w:t>
      </w:r>
      <w:r>
        <w:t>тив. Основными тремя направлениями этой кампании являются следующие:</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содействие более эффективному использованию методов контрацепции женщинами и их партнерами путем проведения информационных мер</w:t>
      </w:r>
      <w:r>
        <w:t>о</w:t>
      </w:r>
      <w:r>
        <w:t>приятий;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мобилизация усилий медицинского персонала и организация медицинск</w:t>
      </w:r>
      <w:r>
        <w:t>о</w:t>
      </w:r>
      <w:r>
        <w:t>го просвещения, с тем чтобы между медицинским персоналом и польз</w:t>
      </w:r>
      <w:r>
        <w:t>о</w:t>
      </w:r>
      <w:r>
        <w:t>вателями медицинских услуг установился подлинный диалог;</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расширение деятельности на местах, осуществляемой экспертно-управленческими комитетами департаментов с целью содействия получ</w:t>
      </w:r>
      <w:r>
        <w:t>е</w:t>
      </w:r>
      <w:r>
        <w:t>нию информации и использованию средств контрацепции, в частности молодыми людьми и более уязвимыми группами населения: женщины, испытывающие социальные трудности, инвалиды с нарушенными сенсо</w:t>
      </w:r>
      <w:r>
        <w:t>р</w:t>
      </w:r>
      <w:r>
        <w:t>ными функциями, женщины-иммигранты…</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Кроме того, закон № 2001-588 от 4 июля 2001 года, касающийся добр</w:t>
      </w:r>
      <w:r>
        <w:t>о</w:t>
      </w:r>
      <w:r>
        <w:t>вольного прерывания беременности и контрацепции, предусматривает пров</w:t>
      </w:r>
      <w:r>
        <w:t>е</w:t>
      </w:r>
      <w:r>
        <w:t>дение по меньшей мере трех специальных занятий в год с целью информир</w:t>
      </w:r>
      <w:r>
        <w:t>о</w:t>
      </w:r>
      <w:r>
        <w:t>вания и сексуального просвещения учащихся школ, колледжей и лицеев, а та</w:t>
      </w:r>
      <w:r>
        <w:t>к</w:t>
      </w:r>
      <w:r>
        <w:t>же сотрудников заведений, предназначенных для ухода за инвалидами.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Закон разрешает проводить стерилизацию с целью контрацепции, что до сих пор было запрещено. И наконец, статья 24 этого закона разрешает выпис</w:t>
      </w:r>
      <w:r>
        <w:t>ы</w:t>
      </w:r>
      <w:r>
        <w:t>вать, предоставлять или назначать контрацептивные средства несовершенн</w:t>
      </w:r>
      <w:r>
        <w:t>о</w:t>
      </w:r>
      <w:r>
        <w:t>летним без согласия лиц, обладающих родительскими правами, или, в соотве</w:t>
      </w:r>
      <w:r>
        <w:t>т</w:t>
      </w:r>
      <w:r>
        <w:t>ствующих случаях, без согласия их законного представителя. Кроме того, он санкционирует бесплатное предоставление аптеками несовершеннолетним м</w:t>
      </w:r>
      <w:r>
        <w:t>е</w:t>
      </w:r>
      <w:r>
        <w:t>дикаментов, которые представляют собой средства экстренной контрацепции и не требуют предъявления рецепта.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i/>
          <w:sz w:val="24"/>
        </w:rPr>
      </w:pPr>
      <w:r>
        <w:rPr>
          <w:b/>
          <w:i/>
          <w:sz w:val="24"/>
        </w:rPr>
        <w:t>2.</w:t>
      </w:r>
      <w:r>
        <w:rPr>
          <w:b/>
          <w:i/>
          <w:sz w:val="24"/>
        </w:rPr>
        <w:tab/>
        <w:t>Добровольное прерывание беременности (ДПБ): адаптация закона к потребностям женщин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Законом от 4 июля 2001 года по вопросам добровольного прерывания б</w:t>
      </w:r>
      <w:r>
        <w:t>е</w:t>
      </w:r>
      <w:r>
        <w:t>ременности и контрацепции были изменены и актуализированы положения предыдущего законодательства, касающиеся добровольного прерывания бер</w:t>
      </w:r>
      <w:r>
        <w:t>е</w:t>
      </w:r>
      <w:r>
        <w:t>менности и контрацепции. Бóльшая часть положений этого закона применяется с момента публикации текста закона. Вместе с тем для осуществления некот</w:t>
      </w:r>
      <w:r>
        <w:t>о</w:t>
      </w:r>
      <w:r>
        <w:t>рых других конкретных мер требуется обнародовать соответствующие норм</w:t>
      </w:r>
      <w:r>
        <w:t>а</w:t>
      </w:r>
      <w:r>
        <w:t>тивные акты.</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i/>
          <w:u w:val="single"/>
        </w:rPr>
      </w:pPr>
      <w:r>
        <w:rPr>
          <w:i/>
        </w:rPr>
        <w:t>2.1.</w:t>
      </w:r>
      <w:r>
        <w:rPr>
          <w:i/>
        </w:rPr>
        <w:tab/>
      </w:r>
      <w:r>
        <w:rPr>
          <w:i/>
          <w:u w:val="single"/>
        </w:rPr>
        <w:t>Закон упрощает и облегчает условия доступа к ДПБ</w:t>
      </w:r>
    </w:p>
    <w:p w:rsidR="00000000" w:rsidRDefault="00000000">
      <w:pPr>
        <w:pStyle w:val="SingleTxt"/>
        <w:keepNext/>
        <w:keepLines/>
        <w:spacing w:after="0" w:line="180" w:lineRule="auto"/>
        <w:rPr>
          <w:sz w:val="10"/>
          <w:lang w:val="en-US"/>
        </w:rPr>
      </w:pPr>
    </w:p>
    <w:p w:rsidR="00000000" w:rsidRDefault="00000000">
      <w:pPr>
        <w:pStyle w:val="SingleTxt"/>
        <w:keepNext/>
        <w:keepLines/>
        <w:spacing w:after="0" w:line="180" w:lineRule="auto"/>
        <w:rPr>
          <w:sz w:val="10"/>
          <w:lang w:val="en-US"/>
        </w:rPr>
      </w:pPr>
    </w:p>
    <w:p w:rsidR="00000000" w:rsidRDefault="0000000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sym w:font="Wingdings" w:char="F0D8"/>
      </w:r>
      <w:r>
        <w:tab/>
        <w:t>Продление с 10 до 12 недель предусмотренного законодательством срока, в течение которого допускается ДПБ, должно позволить существенно с</w:t>
      </w:r>
      <w:r>
        <w:t>о</w:t>
      </w:r>
      <w:r>
        <w:t>кратить число женщин, вынужденных выезжать за границу для прерыв</w:t>
      </w:r>
      <w:r>
        <w:t>а</w:t>
      </w:r>
      <w:r>
        <w:t>ния беременности по той причине, что предусмотренный законом срок истек.</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sym w:font="Wingdings" w:char="F0D8"/>
      </w:r>
      <w:r>
        <w:tab/>
        <w:t>Меры в поддержку проведения ДПБ в медицинских учреждениях облегчат доступ женщин к этой процедуре с учетом: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возложенной на начальников всех служб и отделений обязанности обе</w:t>
      </w:r>
      <w:r>
        <w:t>с</w:t>
      </w:r>
      <w:r>
        <w:t>печивать выполнение этой функции общественной службы в тех случаях, когда в соответствии с законом о больницах медицинское учреждение п</w:t>
      </w:r>
      <w:r>
        <w:t>о</w:t>
      </w:r>
      <w:r>
        <w:t>ручает ему выполнение данной задачи;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 xml:space="preserve">отмены ограничения на число ДПБ, проводимых в частных заведениях, которые предусматривались законом 1975 года.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ab/>
        <w:t>Впредь ничто не должно мешать доступу к ДПБ: усиливаются положения о правонарушении, заключающемся в чинении препятствий законной практике ДПБ (расширение понятия нарушения и ужесточение мер нак</w:t>
      </w:r>
      <w:r>
        <w:t>а</w:t>
      </w:r>
      <w:r>
        <w:t>зания).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sym w:font="Wingdings" w:char="F0D8"/>
      </w:r>
      <w:r>
        <w:tab/>
        <w:t>Повышается информированность женщин.</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Исключение пропаганды и рекламы из числа предусмотренных правон</w:t>
      </w:r>
      <w:r>
        <w:t>а</w:t>
      </w:r>
      <w:r>
        <w:t>рушений будет способствовать проведению мероприятий в интересах предо</w:t>
      </w:r>
      <w:r>
        <w:t>т</w:t>
      </w:r>
      <w:r>
        <w:t>вращения нежелательной беременности и проведения ДПБ.</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Врач уже в ходе первой медицинской консультации, связанной с возмо</w:t>
      </w:r>
      <w:r>
        <w:t>ж</w:t>
      </w:r>
      <w:r>
        <w:t>ным ДПБ, должен информировать женщину о медикаментозных и хирургич</w:t>
      </w:r>
      <w:r>
        <w:t>е</w:t>
      </w:r>
      <w:r>
        <w:t>ских методах прерывания беременности, рисках и возможных побочных п</w:t>
      </w:r>
      <w:r>
        <w:t>о</w:t>
      </w:r>
      <w:r>
        <w:t>следствиях. В ходе такой консультации женщинам должно передаваться соо</w:t>
      </w:r>
      <w:r>
        <w:t>т</w:t>
      </w:r>
      <w:r>
        <w:t>ветствующее руководство, содержание которого в настоящее время обновляе</w:t>
      </w:r>
      <w:r>
        <w:t>т</w:t>
      </w:r>
      <w:r>
        <w:t>ся. В нем будет содержатся вся информация о ДПБ, различных методах прер</w:t>
      </w:r>
      <w:r>
        <w:t>ы</w:t>
      </w:r>
      <w:r>
        <w:t>вания беременности и занимающихся этим заведениях.</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Положения, касающиеся социальных консультаций, были адаптированы к потребностям женщин с учетом, в частности, их возраста: предварительная с</w:t>
      </w:r>
      <w:r>
        <w:t>о</w:t>
      </w:r>
      <w:r>
        <w:t>циальная консультация в связи с ДПБ более не является обязательной для с</w:t>
      </w:r>
      <w:r>
        <w:t>о</w:t>
      </w:r>
      <w:r>
        <w:t>вершеннолетних женщин, хотя она систематически предлагается им. После прерывания беременности всем женщинам предлагается вторая социальная консультация.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sym w:font="Wingdings" w:char="F0D8"/>
      </w:r>
      <w:r>
        <w:tab/>
        <w:t>Учитывается специфика положения несовершеннолетних.</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Закон не отменяет принципа родительского согласия, и поэтому оно по</w:t>
      </w:r>
      <w:r>
        <w:noBreakHyphen/>
        <w:t>прежнему является обязательным. Вместе с тем предусмотрено одно и</w:t>
      </w:r>
      <w:r>
        <w:t>с</w:t>
      </w:r>
      <w:r>
        <w:t>ключение из этого принципа, учитывающее сложности неэмансипированных несовершеннолетних, которые не могут получить согласия ни от одного из о</w:t>
      </w:r>
      <w:r>
        <w:t>б</w:t>
      </w:r>
      <w:r>
        <w:t>ладателей родительских прав или которые сталкиваются с полным непоним</w:t>
      </w:r>
      <w:r>
        <w:t>а</w:t>
      </w:r>
      <w:r>
        <w:t>нием в семье, в связи с чем им хотелось бы сохранить факт ДПБ в тайне. В таких ситуациях женщины будут получать поддержку со стороны соверше</w:t>
      </w:r>
      <w:r>
        <w:t>н</w:t>
      </w:r>
      <w:r>
        <w:t>нолетнего лица во всех их действиях.</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sym w:font="Wingdings" w:char="F0D8"/>
      </w:r>
      <w:r>
        <w:tab/>
        <w:t>Что касается прерывания беременности по медицинским показаниям, то в данном случае поощряется согласование.</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Женщина активнее участвует в этой процедуре, если она имеет возмо</w:t>
      </w:r>
      <w:r>
        <w:t>ж</w:t>
      </w:r>
      <w:r>
        <w:t>ность согласовать все вопросы с врачом по своему выбору и если она или с</w:t>
      </w:r>
      <w:r>
        <w:t>е</w:t>
      </w:r>
      <w:r>
        <w:t>мейная пара получают возможность высказаться.</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742" w:right="1267" w:hanging="475"/>
        <w:jc w:val="both"/>
        <w:rPr>
          <w:i/>
          <w:u w:val="single"/>
        </w:rPr>
      </w:pPr>
      <w:r>
        <w:rPr>
          <w:i/>
        </w:rPr>
        <w:t>2.2.</w:t>
      </w:r>
      <w:r>
        <w:rPr>
          <w:i/>
        </w:rPr>
        <w:tab/>
      </w:r>
      <w:r>
        <w:rPr>
          <w:i/>
          <w:u w:val="single"/>
        </w:rPr>
        <w:t>Должны применяться все положения закона от 4 июля 2001 года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sym w:font="Wingdings" w:char="F0D8"/>
      </w:r>
      <w:r>
        <w:tab/>
        <w:t>Меры, предусмотренные с целью преодоления трудностей в области пр</w:t>
      </w:r>
      <w:r>
        <w:t>и</w:t>
      </w:r>
      <w:r>
        <w:t>менения закона.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Трудности, о которых поступила информация министру занятости и сол</w:t>
      </w:r>
      <w:r>
        <w:t>и</w:t>
      </w:r>
      <w:r>
        <w:t>дарности, в основном касаются ДПБ в срок от 10 до 12 недель, а также добр</w:t>
      </w:r>
      <w:r>
        <w:t>о</w:t>
      </w:r>
      <w:r>
        <w:t>вольного прерывания беременности несовершеннолетними, которым не уд</w:t>
      </w:r>
      <w:r>
        <w:t>а</w:t>
      </w:r>
      <w:r>
        <w:t>лось получить родительского согласия.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На одну из групп поддержки, главная задача которой заключается в с</w:t>
      </w:r>
      <w:r>
        <w:t>о</w:t>
      </w:r>
      <w:r>
        <w:t>действии интеграции центров ДПБ в структуру служб, занимающихся гинек</w:t>
      </w:r>
      <w:r>
        <w:t>о</w:t>
      </w:r>
      <w:r>
        <w:t>логией и акушерством, была возложена более широкая задача, заключающаяся в содействии осуществлению нормативного акта от 4 июля 2001 года. Эта группа проанализирует существующие трудности и попытается, насколько возможно, преодолеть их на местах, а также внесет, если потребуется, свои предложения.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sym w:font="Wingdings" w:char="F0D8"/>
      </w:r>
      <w:r>
        <w:tab/>
        <w:t>Осуществление ряда положений закона связано с подготовкой текстов подзаконных актов.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Ведется подготовка шести предусмотренных проектов декретов; в н</w:t>
      </w:r>
      <w:r>
        <w:t>а</w:t>
      </w:r>
      <w:r>
        <w:t>стоящее время они либо согласовываются, либо уже представляются Госуда</w:t>
      </w:r>
      <w:r>
        <w:t>р</w:t>
      </w:r>
      <w:r>
        <w:t>ственному совету. Осуществление положений этих декретов позволит, в час</w:t>
      </w:r>
      <w:r>
        <w:t>т</w:t>
      </w:r>
      <w:r>
        <w:t>ности: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обеспечить возможность ДПБ медикаментозным способом в амбулато</w:t>
      </w:r>
      <w:r>
        <w:t>р</w:t>
      </w:r>
      <w:r>
        <w:t>ных условиях;</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расширить участие женщин в процедурах экспертного анализа и соглас</w:t>
      </w:r>
      <w:r>
        <w:t>о</w:t>
      </w:r>
      <w:r>
        <w:t>вания в случае прерывания беременности по медицинским причинам;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742" w:right="1267" w:hanging="475"/>
        <w:jc w:val="both"/>
      </w:pPr>
      <w:r>
        <w:t>•</w:t>
      </w:r>
      <w:r>
        <w:tab/>
        <w:t>создать полномасштабный механизм обеспечения доступа и помощи н</w:t>
      </w:r>
      <w:r>
        <w:t>е</w:t>
      </w:r>
      <w:r>
        <w:t>совершеннолетним, желающим сохранить факт ДПБ в тайне.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742" w:right="1267" w:hanging="475"/>
        <w:jc w:val="both"/>
        <w:rPr>
          <w:i/>
          <w:u w:val="single"/>
        </w:rPr>
      </w:pPr>
      <w:r>
        <w:rPr>
          <w:i/>
        </w:rPr>
        <w:t>2.3.</w:t>
      </w:r>
      <w:r>
        <w:rPr>
          <w:i/>
        </w:rPr>
        <w:tab/>
      </w:r>
      <w:r>
        <w:rPr>
          <w:i/>
          <w:u w:val="single"/>
        </w:rPr>
        <w:t>Адаптация тех информационных средств, которые могли бы помочь женщинам в их действиях: переработка справочника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Выпуск нового справочника позволит повысить информированность женщин (актуализация соответствующего нормативного акта, оказание соде</w:t>
      </w:r>
      <w:r>
        <w:t>й</w:t>
      </w:r>
      <w:r>
        <w:t>ствия женщинам в их ходатайствах, информация о методах, которыми могут воспользоваться женщины, конкретная информация для несовершенноле</w:t>
      </w:r>
      <w:r>
        <w:t>т</w:t>
      </w:r>
      <w:r>
        <w:t>них…).</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keepNext/>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742" w:right="1267" w:hanging="475"/>
        <w:jc w:val="both"/>
        <w:rPr>
          <w:i/>
          <w:u w:val="single"/>
        </w:rPr>
      </w:pPr>
      <w:r>
        <w:rPr>
          <w:i/>
        </w:rPr>
        <w:t>2.4.</w:t>
      </w:r>
      <w:r>
        <w:rPr>
          <w:i/>
        </w:rPr>
        <w:tab/>
      </w:r>
      <w:r>
        <w:rPr>
          <w:i/>
          <w:u w:val="single"/>
        </w:rPr>
        <w:t>Средства, имеющиеся в распоряжении медицинских учреждений, предп</w:t>
      </w:r>
      <w:r>
        <w:rPr>
          <w:i/>
          <w:u w:val="single"/>
        </w:rPr>
        <w:t>о</w:t>
      </w:r>
      <w:r>
        <w:rPr>
          <w:i/>
          <w:u w:val="single"/>
        </w:rPr>
        <w:t>лагается расширить, с тем чтобы обеспечить быстрый доступ женщин к ДПБ</w:t>
      </w:r>
    </w:p>
    <w:p w:rsidR="00000000" w:rsidRDefault="00000000">
      <w:pPr>
        <w:pStyle w:val="SingleTxt"/>
        <w:keepNext/>
        <w:spacing w:after="0" w:line="180" w:lineRule="auto"/>
        <w:rPr>
          <w:sz w:val="10"/>
          <w:lang w:val="en-US"/>
        </w:rPr>
      </w:pPr>
    </w:p>
    <w:p w:rsidR="00000000" w:rsidRDefault="00000000">
      <w:pPr>
        <w:pStyle w:val="SingleTxt"/>
        <w:keepNext/>
        <w:spacing w:after="0" w:line="180" w:lineRule="auto"/>
        <w:rPr>
          <w:sz w:val="10"/>
          <w:lang w:val="en-US"/>
        </w:rPr>
      </w:pPr>
    </w:p>
    <w:p w:rsidR="00000000" w:rsidRDefault="00000000">
      <w:pPr>
        <w:keepNext/>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В распоряжение медицинских учреждений будут переданы дополнител</w:t>
      </w:r>
      <w:r>
        <w:t>ь</w:t>
      </w:r>
      <w:r>
        <w:t>ные средства с целью улучшения обслуживания ими пациентов в случае ДПБ (изменение уровней вознаграждения специалистов, работающих по контракту, найм психологов, улучшение ухода). Лечебным заведениям, сталкивающимся с особенно серьезными проблемами, в 2002 году будут выделены средства, экв</w:t>
      </w:r>
      <w:r>
        <w:t>и</w:t>
      </w:r>
      <w:r>
        <w:t>валентные средствам, выделенным в 2001 году (1 829 400 евро, т.е. 12 млн. франков).</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742" w:right="1267" w:hanging="475"/>
        <w:jc w:val="both"/>
        <w:rPr>
          <w:i/>
          <w:u w:val="single"/>
        </w:rPr>
      </w:pPr>
      <w:r>
        <w:rPr>
          <w:i/>
        </w:rPr>
        <w:t>2.5.</w:t>
      </w:r>
      <w:r>
        <w:rPr>
          <w:i/>
        </w:rPr>
        <w:tab/>
      </w:r>
      <w:r>
        <w:rPr>
          <w:i/>
          <w:u w:val="single"/>
        </w:rPr>
        <w:t>Медицинские учреждения будут поощряться к реорганизации своей р</w:t>
      </w:r>
      <w:r>
        <w:rPr>
          <w:i/>
          <w:u w:val="single"/>
        </w:rPr>
        <w:t>а</w:t>
      </w:r>
      <w:r>
        <w:rPr>
          <w:i/>
          <w:u w:val="single"/>
        </w:rPr>
        <w:t>боты таким образом, чтобы они могли непрерывно функционировать в течение всего года и улучшать уход за женщинами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742" w:right="1267" w:hanging="475"/>
        <w:jc w:val="both"/>
        <w:rPr>
          <w:i/>
          <w:u w:val="single"/>
        </w:rPr>
      </w:pPr>
      <w:r>
        <w:rPr>
          <w:i/>
        </w:rPr>
        <w:t>2.6.</w:t>
      </w:r>
      <w:r>
        <w:rPr>
          <w:i/>
        </w:rPr>
        <w:tab/>
      </w:r>
      <w:r>
        <w:rPr>
          <w:i/>
          <w:u w:val="single"/>
        </w:rPr>
        <w:t>Продолжится работа по улучшению механизма оказания содействия женщинам в случае ДПБ</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Усилия будут прежде всего направлены на улучшение функционирования региональных круглосуточных телефонных служб, предоставляющих инфо</w:t>
      </w:r>
      <w:r>
        <w:t>р</w:t>
      </w:r>
      <w:r>
        <w:t>мацию о методах контрацепции и ДПБ, и, в частности, на расширение объема данных, предоставляемых женщинам и специалистам об этих структурах, а также на повышение качества информации, предоставляемой женщинам (в частности, речь идет о наличии соответствующих медицинских учреждений, предлагаемых методах).</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Средства, который уже были выделены и выделяются в настоящее время (12 млн. франков)региональным управлениям по санитарным и социальным вопросам, связанным с контрацепцией, должны помочь регионам улучшить функционирование этих структур.</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В настоящее время распространяется циркуляр, в котором анализируются результаты работы дежурных служб и указывается, какие аспекты их работы желательно было бы улучшить.</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742" w:right="1267" w:hanging="475"/>
        <w:jc w:val="both"/>
        <w:rPr>
          <w:i/>
          <w:u w:val="single"/>
        </w:rPr>
      </w:pPr>
      <w:r>
        <w:rPr>
          <w:i/>
        </w:rPr>
        <w:t>2.7.</w:t>
      </w:r>
      <w:r>
        <w:rPr>
          <w:i/>
        </w:rPr>
        <w:tab/>
      </w:r>
      <w:r>
        <w:rPr>
          <w:i/>
          <w:u w:val="single"/>
        </w:rPr>
        <w:t>Улучшение практики ДПБ</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Среди специалистов были распространены рекомендации по оптимальной практике в области ДПБ, разработанные Национальным агентством по аккр</w:t>
      </w:r>
      <w:r>
        <w:t>е</w:t>
      </w:r>
      <w:r>
        <w:t>дитации и оценкам в сфере здравоохранения (АНАЕС) по просьбе Генеральн</w:t>
      </w:r>
      <w:r>
        <w:t>о</w:t>
      </w:r>
      <w:r>
        <w:t>го управления по вопросам здравоохранения министерства занятости и сол</w:t>
      </w:r>
      <w:r>
        <w:t>и</w:t>
      </w:r>
      <w:r>
        <w:t>дарности. Целесообразно будет оценить ход их осуществления (в частности, применения медикаментозного способа, который в настоящее время использ</w:t>
      </w:r>
      <w:r>
        <w:t>у</w:t>
      </w:r>
      <w:r>
        <w:t>ется лишь в 20% случаев).</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742" w:right="1267" w:hanging="475"/>
        <w:jc w:val="both"/>
        <w:rPr>
          <w:i/>
          <w:u w:val="single"/>
        </w:rPr>
      </w:pPr>
      <w:r>
        <w:rPr>
          <w:i/>
        </w:rPr>
        <w:t>2.8.</w:t>
      </w:r>
      <w:r>
        <w:rPr>
          <w:i/>
        </w:rPr>
        <w:tab/>
      </w:r>
      <w:r>
        <w:rPr>
          <w:i/>
          <w:u w:val="single"/>
        </w:rPr>
        <w:t>Будут поощряться информирование и подготовка персонала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Улучшение профессиональной подготовки медиков, практикующих, в ч</w:t>
      </w:r>
      <w:r>
        <w:t>а</w:t>
      </w:r>
      <w:r>
        <w:t>стности, ДПБ в срок от 10 до 12 недель беременности, который теперь считается допустимым;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информирование и улучшение профессиональной подготовки персонала заведений, занимающихся вопросами ДПБ (прием и информирование п</w:t>
      </w:r>
      <w:r>
        <w:t>а</w:t>
      </w:r>
      <w:r>
        <w:t>циентов, оказание им всесторонней помощи…);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742" w:right="1267" w:hanging="475"/>
        <w:jc w:val="both"/>
      </w:pPr>
      <w:r>
        <w:t>•</w:t>
      </w:r>
      <w:r>
        <w:tab/>
        <w:t>информирование врачей, проводящих первую медицинскую консультацию в связи с ДПБ, относительно их решающей роли в обеспечении быстрого решения проблем обращающихся к ним женщин и оказании этим женщ</w:t>
      </w:r>
      <w:r>
        <w:t>и</w:t>
      </w:r>
      <w:r>
        <w:t>нам соответствующей помощи.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i/>
          <w:sz w:val="24"/>
        </w:rPr>
      </w:pPr>
      <w:r>
        <w:rPr>
          <w:b/>
          <w:i/>
          <w:sz w:val="24"/>
        </w:rPr>
        <w:t>3.</w:t>
      </w:r>
      <w:r>
        <w:rPr>
          <w:b/>
          <w:i/>
          <w:sz w:val="24"/>
        </w:rPr>
        <w:tab/>
        <w:t>Реализация программы борьбы с заболеваниями, ведущими к летал</w:t>
      </w:r>
      <w:r>
        <w:rPr>
          <w:b/>
          <w:i/>
          <w:sz w:val="24"/>
        </w:rPr>
        <w:t>ь</w:t>
      </w:r>
      <w:r>
        <w:rPr>
          <w:b/>
          <w:i/>
          <w:sz w:val="24"/>
        </w:rPr>
        <w:t>ному исходу</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Две из трех впервые организованных программ обследования населения предназначены для женщин, поскольку в их задачу входит выявление таких з</w:t>
      </w:r>
      <w:r>
        <w:t>а</w:t>
      </w:r>
      <w:r>
        <w:t>болеваний, как рак шейки матки и груди. В частности, речь идет об обследов</w:t>
      </w:r>
      <w:r>
        <w:t>а</w:t>
      </w:r>
      <w:r>
        <w:t>нии в общей сложности 7 400 000 женщин в возрасте от 50 до 74 лет в рамках организованной национальной программы выявления заболеваний раком гр</w:t>
      </w:r>
      <w:r>
        <w:t>у</w:t>
      </w:r>
      <w:r>
        <w:t>ди, которая обеспечивает более высокие гарантии качества и более полный о</w:t>
      </w:r>
      <w:r>
        <w:t>х</w:t>
      </w:r>
      <w:r>
        <w:t>ват населения.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Всеобщий характер программы по выявлению рака груди позволяет и</w:t>
      </w:r>
      <w:r>
        <w:t>с</w:t>
      </w:r>
      <w:r>
        <w:t>пользовать средства по статье "Риски заболеваний" медицинского страхования маммографии, тогда как функционирование управленческих структур обесп</w:t>
      </w:r>
      <w:r>
        <w:t>е</w:t>
      </w:r>
      <w:r>
        <w:t>чивается департаментами и Национальным фондом профилактики, исследов</w:t>
      </w:r>
      <w:r>
        <w:t>а</w:t>
      </w:r>
      <w:r>
        <w:t>ния и лечения заболеваний (ФНПЕИС).</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Общие расходы на национальную программу по борьбе с раком, осущес</w:t>
      </w:r>
      <w:r>
        <w:t>т</w:t>
      </w:r>
      <w:r>
        <w:t>вление которой началось 1 февраля 2000 года, составляют 15,24 млн. евро в т</w:t>
      </w:r>
      <w:r>
        <w:t>е</w:t>
      </w:r>
      <w:r>
        <w:t xml:space="preserve">чение пяти лет, из которых 3,96 млн. евро приходится на 2001 года и 7,62 млн. евро – на 2002 год.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На национальном уровне кредиты предназначаются для финансирования работ по созданию системы систематического выявления заболеваний раком (информационные кампании, подготовка специалистов, создание информац</w:t>
      </w:r>
      <w:r>
        <w:t>и</w:t>
      </w:r>
      <w:r>
        <w:t>онной системы совместно с Национальным институтом санитарного надзора, разработки технических средств надзора и поддержки исследований).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На местном уровне кредиты используются для содействия созданию м</w:t>
      </w:r>
      <w:r>
        <w:t>е</w:t>
      </w:r>
      <w:r>
        <w:t>стных структур по выявлению заболеваний раком.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Из государственного бюджета должны быть выделены дополнительные кредиты в размере 3,05 млн. евро с целью финансирования мероприятий по информированию женщин с использованием национальных средств массовой информации о проводимой работе по выявлению рака груди.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i/>
          <w:sz w:val="24"/>
        </w:rPr>
      </w:pPr>
      <w:r>
        <w:rPr>
          <w:b/>
          <w:i/>
          <w:sz w:val="24"/>
        </w:rPr>
        <w:t>4.</w:t>
      </w:r>
      <w:r>
        <w:rPr>
          <w:b/>
          <w:i/>
          <w:sz w:val="24"/>
        </w:rPr>
        <w:tab/>
        <w:t>Специальная программа для женщин, осуществляемая в рамках бор</w:t>
      </w:r>
      <w:r>
        <w:rPr>
          <w:b/>
          <w:i/>
          <w:sz w:val="24"/>
        </w:rPr>
        <w:t>ь</w:t>
      </w:r>
      <w:r>
        <w:rPr>
          <w:b/>
          <w:i/>
          <w:sz w:val="24"/>
        </w:rPr>
        <w:t>бы с ВИЧ/СПИДом</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период с 1999 по 2000 год число зарегистрированных случаев заболев</w:t>
      </w:r>
      <w:r>
        <w:t>а</w:t>
      </w:r>
      <w:r>
        <w:t>ния СПИДом среди мужчин продолжало сокращаться (с 1 340 до 1 226, что с</w:t>
      </w:r>
      <w:r>
        <w:t>о</w:t>
      </w:r>
      <w:r>
        <w:t>ответствует сокращению на 9%). За этот же период число случаев заболевания СПИДом среди женщин увеличилось с 418 до 457, или на 9%, что объясняется увеличением числа выявленных случаев заболевания СПИДом среди женщин африканского происхождения. Чаще всего заражение СПИДом происходило в результате гетеросексуальных отношений (44% зарегистрированных случаев СПИДа).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этой связи необходимо продолжать и активизировать осуществление в интересах женщин программы уменьшения риска половых сношений и пов</w:t>
      </w:r>
      <w:r>
        <w:t>ы</w:t>
      </w:r>
      <w:r>
        <w:t>шения доступности женских презервативов. Стратегия в области профилакт</w:t>
      </w:r>
      <w:r>
        <w:t>и</w:t>
      </w:r>
      <w:r>
        <w:t>ки, которая будет проводиться в рамках одной из специальных национальных программ, развернутых на соответствующем местном уровне, основывается на ряде принципов действий, один из которых предполагает, что "программы профилактики должны систематическим образом учитывать социальные отн</w:t>
      </w:r>
      <w:r>
        <w:t>о</w:t>
      </w:r>
      <w:r>
        <w:t>шения между представителями обоих полов и укреплять совместную ответс</w:t>
      </w:r>
      <w:r>
        <w:t>т</w:t>
      </w:r>
      <w:r>
        <w:t>венность мужчин и женщин в вопросах полового поведения и профилактики болезней".</w:t>
      </w:r>
    </w:p>
    <w:tbl>
      <w:tblPr>
        <w:tblW w:w="0" w:type="auto"/>
        <w:tblInd w:w="1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90"/>
      </w:tblGrid>
      <w:tr w:rsidR="00000000">
        <w:tblPrEx>
          <w:tblCellMar>
            <w:top w:w="0" w:type="dxa"/>
            <w:bottom w:w="0" w:type="dxa"/>
          </w:tblCellMar>
        </w:tblPrEx>
        <w:tc>
          <w:tcPr>
            <w:tcW w:w="72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both"/>
            </w:pPr>
            <w:r>
              <w:t>Соотношение мужчин и женщин, зараженных ВИЧ</w:t>
            </w:r>
          </w:p>
        </w:tc>
      </w:tr>
      <w:tr w:rsidR="00000000">
        <w:tblPrEx>
          <w:tblCellMar>
            <w:top w:w="0" w:type="dxa"/>
            <w:bottom w:w="0" w:type="dxa"/>
          </w:tblCellMar>
        </w:tblPrEx>
        <w:tc>
          <w:tcPr>
            <w:tcW w:w="72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both"/>
            </w:pPr>
            <w:r>
              <w:t>1998 год</w:t>
            </w:r>
            <w:r>
              <w:tab/>
              <w:t>:  1 женщина, зараженная ВИЧ, на 7 мужчин</w:t>
            </w:r>
          </w:p>
        </w:tc>
      </w:tr>
      <w:tr w:rsidR="00000000">
        <w:tblPrEx>
          <w:tblCellMar>
            <w:top w:w="0" w:type="dxa"/>
            <w:bottom w:w="0" w:type="dxa"/>
          </w:tblCellMar>
        </w:tblPrEx>
        <w:tc>
          <w:tcPr>
            <w:tcW w:w="7290" w:type="dxa"/>
          </w:tcPr>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jc w:val="both"/>
            </w:pPr>
            <w:r>
              <w:t>1999 год</w:t>
            </w:r>
            <w:r>
              <w:tab/>
              <w:t>:  1 женщина, зараженная ВИЧ, на 3 мужчин</w:t>
            </w:r>
          </w:p>
        </w:tc>
      </w:tr>
    </w:tbl>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 начала 1998 года после проведения первого семинара на тему "Женщ</w:t>
      </w:r>
      <w:r>
        <w:t>и</w:t>
      </w:r>
      <w:r>
        <w:t>ны и ВИЧ-инфекция" осуществляется предназначенная для женщин глобальная и национальная программа по уменьшению рисков половых сношений, которая охватывает в том числе проблемы нежелательной беременности, венерических заболеваний (ВЗ) и СПИДа. Эта специальная программа для женщин напра</w:t>
      </w:r>
      <w:r>
        <w:t>в</w:t>
      </w:r>
      <w:r>
        <w:t>лена на усиление мер, уже принимаемых децентрализованным образом в ра</w:t>
      </w:r>
      <w:r>
        <w:t>м</w:t>
      </w:r>
      <w:r>
        <w:t>ках так называемых "мероприятий, осуществляемых по месту жительства". В основе этой программы лежит трехлетнее соглашение с Конфедерацией французского движения за планирование размеров семьи, которому было пре</w:t>
      </w:r>
      <w:r>
        <w:t>д</w:t>
      </w:r>
      <w:r>
        <w:t>ложено осуществлять и координировать осуществление этой программы. Пр</w:t>
      </w:r>
      <w:r>
        <w:t>и</w:t>
      </w:r>
      <w:r>
        <w:t>нятие таких мер стало совершенно необходимым ввиду большого числа зар</w:t>
      </w:r>
      <w:r>
        <w:t>е</w:t>
      </w:r>
      <w:r>
        <w:t>гистрированных вирусом ВИЧ/СПИДа и ввиду изменения соотношения числа зарегистрированных случаев заражения мужчин и женщин: в 1988 году на одну женщину приходилось 7 мужчин, а в 1998 году на одну женщину приходилось 3 мужчины.</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Эта программа предусматривает подготовку 80 активистов Французского движения за планирование размеров семьи и, в частности, изучение ими всех рисков, связанных с половыми сношениями, и методов оказания помощи в в</w:t>
      </w:r>
      <w:r>
        <w:t>ы</w:t>
      </w:r>
      <w:r>
        <w:t>работке правильных моделей поведения, с тем чтобы впоследствии они могли информировать и обучать группы женщин, находящихся в сложном положении. К концу 2000 года специальную подготовку должны были пройти 2 600 женщин в 40 департаментах, при этом некоторые из них могли стать "с</w:t>
      </w:r>
      <w:r>
        <w:t>о</w:t>
      </w:r>
      <w:r>
        <w:t>вершеннолетними посредниками в вопросах охраны здоровья" по смыслу пр</w:t>
      </w:r>
      <w:r>
        <w:t>о</w:t>
      </w:r>
      <w:r>
        <w:t>граммы, в рамках которой недавно в городах были созданы межведомственные делегации. Эта программа, предусматривавшая в первую очередь подготовку женщин-посредников, являющихся выходцами из различных ассоциаций и объединений, подверглась независимой оценке. Результаты оценки свидетел</w:t>
      </w:r>
      <w:r>
        <w:t>ь</w:t>
      </w:r>
      <w:r>
        <w:t>ствуют о том, что по завершении данной программы охваченные ею женщины заявили о том, что им стало легче обсуждать сексуальные отношения со сво</w:t>
      </w:r>
      <w:r>
        <w:t>и</w:t>
      </w:r>
      <w:r>
        <w:t>ми партнерами, а также со своими детьми и что они не испытывают прежней неловкости при обсуждении со своими партнерами необходимости использов</w:t>
      </w:r>
      <w:r>
        <w:t>а</w:t>
      </w:r>
      <w:r>
        <w:t>ния средств предохранения.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рамках этой программы принимались меры по увеличению доступности женского презерватива (стоимость, информация…) как средства, специально предназначенного для предупреждения заболевания ВИЧ/СПИДом, а также в</w:t>
      </w:r>
      <w:r>
        <w:t>е</w:t>
      </w:r>
      <w:r>
        <w:t>нерическими заболеваниями, включая предупреждение нежелательной бер</w:t>
      </w:r>
      <w:r>
        <w:t>е</w:t>
      </w:r>
      <w:r>
        <w:t>менности. Этот метод контрацепции является единственным средством защ</w:t>
      </w:r>
      <w:r>
        <w:t>и</w:t>
      </w:r>
      <w:r>
        <w:t>ты, который женщины могут использовать автономным образом. За весь срок распространения во Франции было бесплатно роздано или продано 600 000 штук женских презервативов. В настоящее время клинической слу</w:t>
      </w:r>
      <w:r>
        <w:t>ж</w:t>
      </w:r>
      <w:r>
        <w:t>бой проводится исследование с целью оценки допустимости использования этого средства в течение длительного времени. Он снижает степень уязвимости женщин и позволяет им самостоятельно принимать меры по охране своего зд</w:t>
      </w:r>
      <w:r>
        <w:t>о</w:t>
      </w:r>
      <w:r>
        <w:t>ровья. Таким образом, пропаганда этого средства занимает центральное место в мероприятиях по информированию женщин о рисках половых сношений и позволяет эффективно бороться с ними. В целях повышения доступности же</w:t>
      </w:r>
      <w:r>
        <w:t>н</w:t>
      </w:r>
      <w:r>
        <w:t>ского презерватива с начала 2001 года в двух системах гипермаркетов была создана сеть отделов по продаже таких презервативов.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В рамках кампании по информированию широкой общественности об опасности ВИЧ, которая проводилась в начале 2001 года, было многое сделано для пропаганды этого на тот момент относительно малоизвестного средства защиты от рисков половых сношений. Способ применения женского презерв</w:t>
      </w:r>
      <w:r>
        <w:t>а</w:t>
      </w:r>
      <w:r>
        <w:t>тива разъяснялся в брошюре "Речь идет о любови", которая была издана и ш</w:t>
      </w:r>
      <w:r>
        <w:t>и</w:t>
      </w:r>
      <w:r>
        <w:t>роко распространена в рамках этой кампании: 400 000 экземпляров было отп</w:t>
      </w:r>
      <w:r>
        <w:t>е</w:t>
      </w:r>
      <w:r>
        <w:t>чатано специально для передачи сотрудникам соответствующих заведений и ассоциаций с целью их последующего распространения, а также врачам гин</w:t>
      </w:r>
      <w:r>
        <w:t>е</w:t>
      </w:r>
      <w:r>
        <w:t>кологам и центрам по вопросам планирования размеров семьи. В рамках пар</w:t>
      </w:r>
      <w:r>
        <w:t>т</w:t>
      </w:r>
      <w:r>
        <w:t>нерских отношений с одной из сетей гипермаркетов было выпущено еще 160 000 экземпляров этой брошюры, которые были переданы аптекам для ра</w:t>
      </w:r>
      <w:r>
        <w:t>с</w:t>
      </w:r>
      <w:r>
        <w:t>пространения.</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i/>
          <w:sz w:val="24"/>
        </w:rPr>
      </w:pPr>
      <w:r>
        <w:rPr>
          <w:b/>
          <w:i/>
          <w:sz w:val="24"/>
        </w:rPr>
        <w:t>5.</w:t>
      </w:r>
      <w:r>
        <w:rPr>
          <w:b/>
          <w:i/>
          <w:sz w:val="24"/>
        </w:rPr>
        <w:tab/>
        <w:t>Борьба с практикой, наносящей увечье женским половым органам</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Можно считать, что на территории Франции по меньшей мере 20 000 женщин и более 10 000 девочек подверглись или рискуют подвергнуться операциями, ведущим к увечью женских половых органов.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Риски, связанные с проведением женского обрезания во Франции, прив</w:t>
      </w:r>
      <w:r>
        <w:t>е</w:t>
      </w:r>
      <w:r>
        <w:t>ли к изменению схемы поведения: если когда</w:t>
      </w:r>
      <w:r>
        <w:noBreakHyphen/>
        <w:t>то родители в складчину оплач</w:t>
      </w:r>
      <w:r>
        <w:t>и</w:t>
      </w:r>
      <w:r>
        <w:t>вали проезд женщине, занимающейся обрезанием, то теперь девочки все чаще подвергаются обрезанию в странах их происхождения, куда они выезжают на каникулы. Можно также констатировать повышение информированности о п</w:t>
      </w:r>
      <w:r>
        <w:t>о</w:t>
      </w:r>
      <w:r>
        <w:t>следствиях проведения операций, калечащих женские гениталии, чему спосо</w:t>
      </w:r>
      <w:r>
        <w:t>б</w:t>
      </w:r>
      <w:r>
        <w:t>ствовали широкое распространение во Франции информации о процессах над женщинами, занимающимися обрезанием, и родителями жертв, а также нек</w:t>
      </w:r>
      <w:r>
        <w:t>о</w:t>
      </w:r>
      <w:r>
        <w:t>торая эволюция сознания и в ряде случаев изменение законодательства стран, в которых женское обрезание является обычной практикой.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Что касается просьб о предоставлении статуса беженца со ссылкой на практику, наносящую увечье половым органам, то начиная с 1991 года Коми</w:t>
      </w:r>
      <w:r>
        <w:t>с</w:t>
      </w:r>
      <w:r>
        <w:t>сия по делам беженцев применяет новые нормы, согласно которым женское о</w:t>
      </w:r>
      <w:r>
        <w:t>б</w:t>
      </w:r>
      <w:r>
        <w:t>резание без согласия заинтересованного лица может квалифицироваться как преследование по смыслу Женевской конвенции 1951 года и явиться основан</w:t>
      </w:r>
      <w:r>
        <w:t>и</w:t>
      </w:r>
      <w:r>
        <w:t>ем для предоставления статуса беженца в том случае, если лицо, подверженное этому риску, не получает никакой защиты от государственных органов страны, закрывающих глаза на такую практику. В декабре 2001 года юридическая пра</w:t>
      </w:r>
      <w:r>
        <w:t>к</w:t>
      </w:r>
      <w:r>
        <w:t>тика в вопросах предоставления статуса беженца претерпела некоторые изм</w:t>
      </w:r>
      <w:r>
        <w:t>е</w:t>
      </w:r>
      <w:r>
        <w:t>нения: Комиссия по делам беженцев дважды предоставила статус беженцев не самим жертвам, а их родителям, которые не дали согласия на обрезание своей дочери и по этой причине подверглись сильному давлению и насилию, не имея возможности получить защиту от государственных органов своей страны либо потому, что эти органы были еще не сформированы (Сомали), либо потому, что жалобе, с которой родители обратились в местный суд, не было дано хода (М</w:t>
      </w:r>
      <w:r>
        <w:t>а</w:t>
      </w:r>
      <w:r>
        <w:t>ли).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sz w:val="24"/>
          <w:u w:val="single"/>
        </w:rPr>
      </w:pPr>
      <w:r>
        <w:rPr>
          <w:b/>
          <w:sz w:val="24"/>
          <w:lang w:val="en-US"/>
        </w:rPr>
        <w:t>II</w:t>
      </w:r>
      <w:r>
        <w:rPr>
          <w:b/>
          <w:sz w:val="24"/>
        </w:rPr>
        <w:t>.</w:t>
      </w:r>
      <w:r>
        <w:rPr>
          <w:b/>
          <w:sz w:val="24"/>
        </w:rPr>
        <w:tab/>
      </w:r>
      <w:r>
        <w:rPr>
          <w:b/>
          <w:sz w:val="24"/>
          <w:u w:val="single"/>
        </w:rPr>
        <w:t>Насилие в отношении женщин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Борьба с насилием в отношении женщин является одним из приоритетных направлений деятельности правительства, в котором за последние два года б</w:t>
      </w:r>
      <w:r>
        <w:t>ы</w:t>
      </w:r>
      <w:r>
        <w:t>ли предприняты важные шаги. Они были направлены на повышение информ</w:t>
      </w:r>
      <w:r>
        <w:t>и</w:t>
      </w:r>
      <w:r>
        <w:t>рованности общественности об этом явлении с целью корректировки действий органов государственной власти и разработки глобального плана действий пр</w:t>
      </w:r>
      <w:r>
        <w:t>а</w:t>
      </w:r>
      <w:r>
        <w:t>вительства по удовлетворению потребностей жертв.</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i/>
          <w:sz w:val="24"/>
        </w:rPr>
      </w:pPr>
      <w:r>
        <w:rPr>
          <w:b/>
          <w:i/>
          <w:sz w:val="24"/>
        </w:rPr>
        <w:t>1.</w:t>
      </w:r>
      <w:r>
        <w:rPr>
          <w:b/>
          <w:i/>
          <w:sz w:val="24"/>
        </w:rPr>
        <w:tab/>
        <w:t>Более глубокое осознание реальных масштабов проблемы насилия в результате проведения первого национального научного обследования по проблеме насилия в отношении женщин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 завершении первого этапа экспериментального обследования в марте – июле 2000 года на всей территории метрополии был проведен опрос населения по проблеме насилия в отношении женщин, в котором участвовало 7 000 женщин-респондентов в возрасте от 20 до 59 лет. Этот телефонный о</w:t>
      </w:r>
      <w:r>
        <w:t>п</w:t>
      </w:r>
      <w:r>
        <w:t>рос, представлявший, по мнению Национального совета по статистической и</w:t>
      </w:r>
      <w:r>
        <w:t>н</w:t>
      </w:r>
      <w:r>
        <w:t>формации, общий интерес, позволил определенному числу женщин впервые рассказать о тех нападках, которым они подвергаются.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 данным опроса за предшествующие 12 месяцев одна из десяти опр</w:t>
      </w:r>
      <w:r>
        <w:t>о</w:t>
      </w:r>
      <w:r>
        <w:t>шенных женщин подверглась оскорблениям в устной форме и психическому, физическому или сексуальному насилию со стороны своего супруга или сож</w:t>
      </w:r>
      <w:r>
        <w:t>и</w:t>
      </w:r>
      <w:r>
        <w:t>теля. Если эти цифры экстраполировать на все населения, то окажется, что в аналогичном положении находятся 1 350 000 женщин, живущих с мужем или сожителем. Помимо этого общего показателя, можно отметить два уровня н</w:t>
      </w:r>
      <w:r>
        <w:t>а</w:t>
      </w:r>
      <w:r>
        <w:t>силия: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высокий уровень – такому уровню насилия подвергаются женщины, с</w:t>
      </w:r>
      <w:r>
        <w:t>о</w:t>
      </w:r>
      <w:r>
        <w:t>общившие либо об одном виде неоднократного психического насилия или оскорблениях в устной форме, либо об одном виде физического или се</w:t>
      </w:r>
      <w:r>
        <w:t>к</w:t>
      </w:r>
      <w:r>
        <w:t>суального насилия. В таком положении находится около 7% женщин, ж</w:t>
      </w:r>
      <w:r>
        <w:t>и</w:t>
      </w:r>
      <w:r>
        <w:t>вущих с мужем или сожителем;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очень высокий уровень, предполагающий, что женщина очень часто по</w:t>
      </w:r>
      <w:r>
        <w:t>д</w:t>
      </w:r>
      <w:r>
        <w:t>вергается практически всем видам насилия и агрессии. В таком полож</w:t>
      </w:r>
      <w:r>
        <w:t>е</w:t>
      </w:r>
      <w:r>
        <w:t>нии находится около 3% женщин, живущих с супругом или сожителем.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 xml:space="preserve">Что касается актов </w:t>
      </w:r>
      <w:r>
        <w:rPr>
          <w:u w:val="single"/>
        </w:rPr>
        <w:t>сексуального надругательства</w:t>
      </w:r>
      <w:r>
        <w:t>, то полученные в р</w:t>
      </w:r>
      <w:r>
        <w:t>е</w:t>
      </w:r>
      <w:r>
        <w:t>зультате обследования данные также вызывают большую тревогу, поскольку 0,5% опрошенных женщин заявили о том, что за последние 12 месяцев они по крайней мере один раз подвергались изнасилованию или в их отношении с</w:t>
      </w:r>
      <w:r>
        <w:t>о</w:t>
      </w:r>
      <w:r>
        <w:t>вершалась попытка к изнасилованию. Если из этого показателя исключить к</w:t>
      </w:r>
      <w:r>
        <w:t>о</w:t>
      </w:r>
      <w:r>
        <w:t>личество изнасилований, то он будет равен 0,3%, что по результатам экстрап</w:t>
      </w:r>
      <w:r>
        <w:t>о</w:t>
      </w:r>
      <w:r>
        <w:t>ляции данных на год дает следующую цифру: 48 000 женщин в возрасте от 20 до 59 лет.</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Что касается проблемы сексуального надругательства, которому подве</w:t>
      </w:r>
      <w:r>
        <w:t>р</w:t>
      </w:r>
      <w:r>
        <w:t>гаются женщины в течение всей жизни, то эта проблема затрагивает 11% же</w:t>
      </w:r>
      <w:r>
        <w:t>н</w:t>
      </w:r>
      <w:r>
        <w:t>щин, при этом в большинстве случаев женщины подвергаются сексуальному надругательству со стороны знакомых им мужчин.</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 xml:space="preserve">Что касается </w:t>
      </w:r>
      <w:r>
        <w:rPr>
          <w:u w:val="single"/>
        </w:rPr>
        <w:t>насилия по месту работы</w:t>
      </w:r>
      <w:r>
        <w:t>, то можно констатировать, что при сбалансированном соотношении числа мужчин и женщин на предприятии чи</w:t>
      </w:r>
      <w:r>
        <w:t>с</w:t>
      </w:r>
      <w:r>
        <w:t>ло случаев насилия по месту работы существенно сокращается, тогда как бóльшая представленность мужчин ведет к повышению соответствующего п</w:t>
      </w:r>
      <w:r>
        <w:t>о</w:t>
      </w:r>
      <w:r>
        <w:t>казателя. В ходе обследования 17% женщин заявили, что за последние 12 месяцев они подвергались психологическому давлению, 8,5% - оскорблен</w:t>
      </w:r>
      <w:r>
        <w:t>и</w:t>
      </w:r>
      <w:r>
        <w:t>ям в устной форме, 0,6% - физической агрессии, а 2,2% женщин сообщили о фактах уничтожения продукции и орудий труда. Об актах агрессии (распуск</w:t>
      </w:r>
      <w:r>
        <w:t>а</w:t>
      </w:r>
      <w:r>
        <w:t>нии рук и попытках изнасилования и изнасилованиях) и сексуальных домог</w:t>
      </w:r>
      <w:r>
        <w:t>а</w:t>
      </w:r>
      <w:r>
        <w:t xml:space="preserve">тельствах (приставаниях, тискании, эксгибиционизме…) сообщили 2% женщин.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 xml:space="preserve">И наконец, в </w:t>
      </w:r>
      <w:r>
        <w:rPr>
          <w:u w:val="single"/>
        </w:rPr>
        <w:t>общественных местах</w:t>
      </w:r>
      <w:r>
        <w:t xml:space="preserve"> (на улице, в крупных магазинах, в о</w:t>
      </w:r>
      <w:r>
        <w:t>б</w:t>
      </w:r>
      <w:r>
        <w:t>щественном транспорте, ресторанах, на пляже…) женщины в основном по</w:t>
      </w:r>
      <w:r>
        <w:t>д</w:t>
      </w:r>
      <w:r>
        <w:t>вергаются оскорблениям, страдают от оскорбительных выходок эксгибицион</w:t>
      </w:r>
      <w:r>
        <w:t>и</w:t>
      </w:r>
      <w:r>
        <w:t>стов и являются объектом сексуальных домогательств или преследования. В течение года одна женщина из пяти стала жертвой по крайней мере одного из вышеупомянутых актов.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Частота подобных агрессивных действий с увеличением возраста резко уменьшается, однако чем крупнее город, тем такие акты агрессий происходят чаще. Что касается женщин африканского происхождения, то число устных о</w:t>
      </w:r>
      <w:r>
        <w:t>с</w:t>
      </w:r>
      <w:r>
        <w:t>корблений и других оскорбительных по отношению к ним действий следует умножать на три. В конечном счете, посещая общественные места, женщины прежде всего рискуют подвергнуться не такому насилию, которое выражается в непосредственном телесном ущербе – лишь 1,7% женщин пострадали в теч</w:t>
      </w:r>
      <w:r>
        <w:t>е</w:t>
      </w:r>
      <w:r>
        <w:t>ние года от грубых физических действий, - а целому ряду притеснений, кот</w:t>
      </w:r>
      <w:r>
        <w:t>о</w:t>
      </w:r>
      <w:r>
        <w:t>рые свидетельствуют о неодинаковом отношении к мужчинам и женщинам в общественных местах и о присвоении мужчинами приоритетного права на пользование такими местами.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Сталкиваясь с такими проявлениями насилия, женщины ни в коем случае не сдаются: 80,9% женщин, ставших жертвами насилия со стороны супруга, пытаются наладить диалог с ним и в 40% случаев дают отпор и активно сопр</w:t>
      </w:r>
      <w:r>
        <w:t>о</w:t>
      </w:r>
      <w:r>
        <w:t>тивляются. Аналогичная реакция у женщин наблюдается во всех сферах общ</w:t>
      </w:r>
      <w:r>
        <w:t>е</w:t>
      </w:r>
      <w:r>
        <w:t>ственной жизни, когда они сталкиваются с насилием.</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i/>
          <w:sz w:val="24"/>
        </w:rPr>
      </w:pPr>
      <w:r>
        <w:rPr>
          <w:b/>
          <w:i/>
          <w:sz w:val="24"/>
        </w:rPr>
        <w:t>2.</w:t>
      </w:r>
      <w:r>
        <w:rPr>
          <w:b/>
          <w:i/>
          <w:sz w:val="24"/>
        </w:rPr>
        <w:tab/>
        <w:t>Трехлетний план действий правительства по борьбе с н</w:t>
      </w:r>
      <w:r>
        <w:rPr>
          <w:b/>
          <w:i/>
          <w:sz w:val="24"/>
        </w:rPr>
        <w:t>а</w:t>
      </w:r>
      <w:r>
        <w:rPr>
          <w:b/>
          <w:i/>
          <w:sz w:val="24"/>
        </w:rPr>
        <w:t>силием в отношении женщин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 инициативе государственного секретаря по вопросам прав женщин и профессиональной подготовки правительство приступило в 2001 году к осущ</w:t>
      </w:r>
      <w:r>
        <w:t>е</w:t>
      </w:r>
      <w:r>
        <w:t>ствлению трехлетнего плана действий. Эта политическая воля правительства была реализована в форме проведения национальных слушаний по проблеме насилия в отношении женщин.</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Задачи этого мероприятия, проходившего в четверг, 25 января 2001 года, в Сорбонне под председательством государственного секретаря, заключались в первую очередь в определении разнообразных видов насилия и повышении транспарентности совместной работы, проводимой различными ассоциациями и учреждениями по этому вопросу. В этих национальных слушаниях приняли участие 500 представителей основных государственных и общественных орг</w:t>
      </w:r>
      <w:r>
        <w:t>а</w:t>
      </w:r>
      <w:r>
        <w:t>низаций: организации, действующие на местах, сети общественных организ</w:t>
      </w:r>
      <w:r>
        <w:t>а</w:t>
      </w:r>
      <w:r>
        <w:t>ций, ведущих борьбу с насилием в отношении женщин, учреждения, депутаты и эксперты.</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Были рассмотрены все виды насилия, как-то физического, сексуального, вербального, психологического или экономического, которому подвергаются женщины. Заседания за круглым столом, позволившие провести полезный о</w:t>
      </w:r>
      <w:r>
        <w:t>б</w:t>
      </w:r>
      <w:r>
        <w:t>мен опытом, были организованы по следующим трем темам: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987" w:right="1267" w:hanging="720"/>
        <w:jc w:val="both"/>
      </w:pPr>
      <w:r>
        <w:t>-</w:t>
      </w:r>
      <w:r>
        <w:tab/>
        <w:t>отношение к актам насилия;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совместная борьба с насилием: чрезвычайно важное значение партнерс</w:t>
      </w:r>
      <w:r>
        <w:t>т</w:t>
      </w:r>
      <w:r>
        <w:t>ва;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987" w:right="1267" w:hanging="720"/>
        <w:jc w:val="both"/>
      </w:pPr>
      <w:r>
        <w:t>-</w:t>
      </w:r>
      <w:r>
        <w:tab/>
        <w:t>борьба с насилием: предупреждение и судебная практика.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Именно в ходе этих национальных слушаний было объявлено о принятии трехлетнего плана действий по борьбе с насилием. Этот план направлен на п</w:t>
      </w:r>
      <w:r>
        <w:t>о</w:t>
      </w:r>
      <w:r>
        <w:t>вышение эффективности мер предупреждения и оказания содействия жертвам, а также на повышение осведомленности о явлении насилия на основе укрепл</w:t>
      </w:r>
      <w:r>
        <w:t>е</w:t>
      </w:r>
      <w:r>
        <w:t>ния партнерств.</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i/>
          <w:u w:val="single"/>
        </w:rPr>
      </w:pPr>
      <w:r>
        <w:rPr>
          <w:i/>
        </w:rPr>
        <w:t>2.1.</w:t>
      </w:r>
      <w:r>
        <w:rPr>
          <w:i/>
        </w:rPr>
        <w:tab/>
      </w:r>
      <w:r>
        <w:rPr>
          <w:i/>
          <w:u w:val="single"/>
        </w:rPr>
        <w:t>Укрепление партнерств</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b/>
        </w:rPr>
      </w:pPr>
      <w:r>
        <w:rPr>
          <w:b/>
        </w:rPr>
        <w:t>Комиссии департаментов и национальная комиссия</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Этот новый план действий, осуществляемый под эгидой министерства з</w:t>
      </w:r>
      <w:r>
        <w:t>а</w:t>
      </w:r>
      <w:r>
        <w:t>нятости и солидарности и государственного секретариата по вопросам прав женщин и профессиональной подготовки, объединяет все необходимые для его реализации государственные ведомства: министерство юстиции, министерство внутренних дел, министерство обороны, министерство национального образ</w:t>
      </w:r>
      <w:r>
        <w:t>о</w:t>
      </w:r>
      <w:r>
        <w:t>вания, министерство по вопросам жилищного строительства. Этот план, оп</w:t>
      </w:r>
      <w:r>
        <w:t>и</w:t>
      </w:r>
      <w:r>
        <w:t>рающийся в значительной степени на местные структуры партнерства, как</w:t>
      </w:r>
      <w:r>
        <w:t>о</w:t>
      </w:r>
      <w:r>
        <w:t>выми являются комиссии департаментов по борьбе с насилием в отношении женщин, придает новый стимул работе этих комиссий, выполняя функцию н</w:t>
      </w:r>
      <w:r>
        <w:t>а</w:t>
      </w:r>
      <w:r>
        <w:t>ционального координационного органа.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Этому органу, которому будет придана форма национальной комиссии по борьбе с насилием в отношении женщин, предполагается поручить следить за тем, чтобы партнерство на национальном уровне выражалось в непрерывных и согласованных действиях государства. Функции секретариата комиссии будет выполнять государственный секретариат по вопросам прав женщин и профе</w:t>
      </w:r>
      <w:r>
        <w:t>с</w:t>
      </w:r>
      <w:r>
        <w:t>сиональной подготовки. Этой новой структуре будет поручено выполнение следующих функций: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обеспечение согласованности услуг, предоставляемых государством, с деятельностью соответствующих организаций и ассоциаций в области предупреждения, а также оказания практической помощи женщинам, ставшим жертвами насилия, проституции и торговли людьми, а также в сфере профессиональной подготовки,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внесение любых рекомендаций и предложений законодательного или нормативного характера,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подготовка проводимой раз в три года национальной демонстрации пр</w:t>
      </w:r>
      <w:r>
        <w:t>о</w:t>
      </w:r>
      <w:r>
        <w:t>тив насилия в отношении женщин: следующая такая демонстрация нам</w:t>
      </w:r>
      <w:r>
        <w:t>е</w:t>
      </w:r>
      <w:r>
        <w:t>чена на 2004 года,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742" w:right="1267" w:hanging="475"/>
        <w:jc w:val="both"/>
      </w:pPr>
      <w:r>
        <w:t>-</w:t>
      </w:r>
      <w:r>
        <w:tab/>
        <w:t>обеспечение функционирования сети комиссий департаментов по борьбе с насилием в отношении женщин.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b/>
        </w:rPr>
      </w:pPr>
      <w:r>
        <w:rPr>
          <w:b/>
        </w:rPr>
        <w:t>Межведомственное партнерство</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u w:val="single"/>
        </w:rPr>
      </w:pPr>
      <w:r>
        <w:rPr>
          <w:u w:val="single"/>
        </w:rPr>
        <w:t>Судебная практика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Был проведен ряд исследований по процедурам, применяемым в случаях насилия по отношению к женщинам в семье. На их основе был подготовлен доклад о практике судебных решений. В настоящее время в трех судебных о</w:t>
      </w:r>
      <w:r>
        <w:t>к</w:t>
      </w:r>
      <w:r>
        <w:t>ругах изучается положение дел в области рассмотрения жалоб на насилие в с</w:t>
      </w:r>
      <w:r>
        <w:t>е</w:t>
      </w:r>
      <w:r>
        <w:t>мье, а министерство юстиции составляет руководство по прогрессивной пра</w:t>
      </w:r>
      <w:r>
        <w:t>к</w:t>
      </w:r>
      <w:r>
        <w:t>тике в этой области исходя из необходимости распространения разработанных некоторыми органами прокуратуры инновационных подходов к принятию дел к производству и применению в судебной практике процедур, касающихся нас</w:t>
      </w:r>
      <w:r>
        <w:t>и</w:t>
      </w:r>
      <w:r>
        <w:t>лия в семье.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u w:val="single"/>
        </w:rPr>
      </w:pPr>
      <w:r>
        <w:rPr>
          <w:u w:val="single"/>
        </w:rPr>
        <w:t>Профессиональная подготовка сотрудников полиции и жандармерии: новые курсы подготовки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Подготовка сотрудников полиции и жандармерии по проблеме насилия в отношении женщин обеспечивается как в рамках начальной подготовки, так и в рамках непрерывного образования.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Что касается полиции, то начальную подготовку проходят начинающие полицейские, сотрудники комиссариатов полиции и лейтенанты полиции. Что касается непрерывного образования, то в течение 2000 года обеспечивалась профессиональная подготовка без отрыва от производства сотрудников службы общественной безопасности в следующих областях: насилие в семье и насилие со стороны супруга (подготовку прошли 1 048 стажеров и 1 182 сотрудника), проблемы проституции (1 840 сотрудников), семейное право и законодательные положения, регулирующие раздельное проживание (19 сотрудников). Кроме т</w:t>
      </w:r>
      <w:r>
        <w:t>о</w:t>
      </w:r>
      <w:r>
        <w:t>го, функционировали курсы подготовки под эгидой региональных делегаций по вопросам найма и подготовки кадров (ДРРФ) соответствующих территорий. Эти курсы прошли 476 сотрудников полиции.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Что касается жандармерии, то проблемы женщин, ставших жертвами н</w:t>
      </w:r>
      <w:r>
        <w:t>а</w:t>
      </w:r>
      <w:r>
        <w:t>силия, изучаются жандармами на курсах по вопросам "приема жертв", которые действуют в рамках программ подготовки командного состава и в рамках пр</w:t>
      </w:r>
      <w:r>
        <w:t>о</w:t>
      </w:r>
      <w:r>
        <w:t>грамм общей подготовки судебной полиции (повышение квалификации оф</w:t>
      </w:r>
      <w:r>
        <w:t>и</w:t>
      </w:r>
      <w:r>
        <w:t>церского состава судебной полиции, следователей, старших следователей, к</w:t>
      </w:r>
      <w:r>
        <w:t>о</w:t>
      </w:r>
      <w:r>
        <w:t>мандиров следственных бригад и подразделений). В рамках системы непр</w:t>
      </w:r>
      <w:r>
        <w:t>е</w:t>
      </w:r>
      <w:r>
        <w:t>рывного образования принимаются меры по привлечению внимания сотрудн</w:t>
      </w:r>
      <w:r>
        <w:t>и</w:t>
      </w:r>
      <w:r>
        <w:t>ков к специфическому характеру этого вида преступности и по более глубок</w:t>
      </w:r>
      <w:r>
        <w:t>о</w:t>
      </w:r>
      <w:r>
        <w:t>му изучению соответствующих законодательных и нормативных актов.</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u w:val="single"/>
        </w:rPr>
      </w:pPr>
      <w:r>
        <w:rPr>
          <w:u w:val="single"/>
        </w:rPr>
        <w:t>Предупреждение насилия в отношении молодежи в рамках системы образов</w:t>
      </w:r>
      <w:r>
        <w:rPr>
          <w:u w:val="single"/>
        </w:rPr>
        <w:t>а</w:t>
      </w:r>
      <w:r>
        <w:rPr>
          <w:u w:val="single"/>
        </w:rPr>
        <w:t>ния</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25 февраля 2000 года министерство национального образования и мин</w:t>
      </w:r>
      <w:r>
        <w:t>и</w:t>
      </w:r>
      <w:r>
        <w:t>стерство сельского хозяйства подписали соглашение о содействии обеспечению равных возможностей для девочек и мальчиков, а также женщин и мужчин в рамках системы образования путем разработки и проведения политики пред</w:t>
      </w:r>
      <w:r>
        <w:t>у</w:t>
      </w:r>
      <w:r>
        <w:t>преждения, направленной на изменение моделей поведения, часто вырабат</w:t>
      </w:r>
      <w:r>
        <w:t>ы</w:t>
      </w:r>
      <w:r>
        <w:t>ваемых с детства. Это соглашение, в частности, направлено на предотвращение насилия по отношению к представителям другого пола.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докладе, вышедшем в октябре 2001 года, было представлено 30 предложений по мерам борьбы с актами насилия по отношению к предст</w:t>
      </w:r>
      <w:r>
        <w:t>а</w:t>
      </w:r>
      <w:r>
        <w:t>вителям другого пола в школьных заведениях. Речь идет об обеспечении – бл</w:t>
      </w:r>
      <w:r>
        <w:t>а</w:t>
      </w:r>
      <w:r>
        <w:t>годаря концентрации на местном уровне усилий государственных органов и учебных заведений, а также благодаря созданию соответствующих сетей на местах – более широких возможностей для изучения потребностей молодежи и оказания ей соответствующей помощи, а также об укреплении системы подг</w:t>
      </w:r>
      <w:r>
        <w:t>о</w:t>
      </w:r>
      <w:r>
        <w:t>товки преподавательского состава и оказания помощи ему. В этом докладе по</w:t>
      </w:r>
      <w:r>
        <w:t>д</w:t>
      </w:r>
      <w:r>
        <w:t>черкивается также необходимость проведения исследования среди мальчиков и девочек с целью выявления того, каким актам насилия они подвергаются.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Борьба с агрессивным поведением по отношению к представителям др</w:t>
      </w:r>
      <w:r>
        <w:t>у</w:t>
      </w:r>
      <w:r>
        <w:t>гого пола ведется также в рамках программы работы национального комитета по борьбе с насилием в школе, который был создан по инициативе министра национального образования и в деятельности которого участвует государстве</w:t>
      </w:r>
      <w:r>
        <w:t>н</w:t>
      </w:r>
      <w:r>
        <w:t>ный секретариат по правам женщин (см. статью 10).</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742" w:right="1267" w:hanging="475"/>
        <w:jc w:val="both"/>
        <w:rPr>
          <w:i/>
          <w:u w:val="single"/>
        </w:rPr>
      </w:pPr>
      <w:r>
        <w:rPr>
          <w:i/>
        </w:rPr>
        <w:t>2.2.</w:t>
      </w:r>
      <w:r>
        <w:rPr>
          <w:i/>
        </w:rPr>
        <w:tab/>
      </w:r>
      <w:r>
        <w:rPr>
          <w:i/>
          <w:u w:val="single"/>
        </w:rPr>
        <w:t>Информационная кампания, направленная на обеспечение осведомленн</w:t>
      </w:r>
      <w:r>
        <w:rPr>
          <w:i/>
          <w:u w:val="single"/>
        </w:rPr>
        <w:t>о</w:t>
      </w:r>
      <w:r>
        <w:rPr>
          <w:i/>
          <w:u w:val="single"/>
        </w:rPr>
        <w:t>сти о явлении насилия в отношении женщин</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В 2001 году по случаю проведения национальных слушаний была разве</w:t>
      </w:r>
      <w:r>
        <w:t>р</w:t>
      </w:r>
      <w:r>
        <w:t>нута информационная кампания. Осуществление этой кампании продолжалось и в 2002 году, для чего использовался новый визуальный образ и новый девиз "В случае насилия не молчите". В рамках этой программы использовались т</w:t>
      </w:r>
      <w:r>
        <w:t>а</w:t>
      </w:r>
      <w:r>
        <w:t>кие средства, как брошюры, предназначенные для специалистов (полицейских, жандармов, сотрудников специальных служб, медиков), проспекты и афиши, а также карточка с указанием дежурных телефонных служб (по вопросам нас</w:t>
      </w:r>
      <w:r>
        <w:t>и</w:t>
      </w:r>
      <w:r>
        <w:t>лия в семье, изнасилования, сексуальных домогательств на рабочем месте), предназначенные для конкретных групп населения. Эти средства имеют чре</w:t>
      </w:r>
      <w:r>
        <w:t>з</w:t>
      </w:r>
      <w:r>
        <w:t>вычайно важное значение для повышения информированности различных партнеров по оказанию практической помощи и содействия женщинам, ста</w:t>
      </w:r>
      <w:r>
        <w:t>в</w:t>
      </w:r>
      <w:r>
        <w:t xml:space="preserve">шим жертвами насилия, а также для информирования женщин об их правах. </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742" w:right="1267" w:hanging="475"/>
        <w:jc w:val="both"/>
        <w:rPr>
          <w:i/>
          <w:u w:val="single"/>
        </w:rPr>
      </w:pPr>
      <w:r>
        <w:rPr>
          <w:i/>
        </w:rPr>
        <w:t>2.3.</w:t>
      </w:r>
      <w:r>
        <w:rPr>
          <w:i/>
        </w:rPr>
        <w:tab/>
      </w:r>
      <w:r>
        <w:rPr>
          <w:i/>
          <w:u w:val="single"/>
        </w:rPr>
        <w:t>Практическая помощь жертвам и роль ассоциаций</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b/>
          <w:u w:val="single"/>
        </w:rPr>
      </w:pPr>
      <w:r>
        <w:rPr>
          <w:b/>
        </w:rPr>
        <w:t>2.3.1</w:t>
      </w:r>
      <w:r>
        <w:rPr>
          <w:b/>
        </w:rPr>
        <w:tab/>
      </w:r>
      <w:r>
        <w:rPr>
          <w:b/>
          <w:u w:val="single"/>
        </w:rPr>
        <w:t>Чрезвычайные ситуации: жилье и здоровье жертв</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8 марта 2000 года вышел совместный циркуляр министерства по вопросам жилищного строительства и государственного секретариата по вопросам прав женщин и профессиональной подготовки, в котором они обратились к префе</w:t>
      </w:r>
      <w:r>
        <w:t>к</w:t>
      </w:r>
      <w:r>
        <w:t>там с просьбой в первоочередном порядке учитывать конкретные потребности женщин, находящихся в тяжелом положении (женщин, страдающих от насилия, и матерей-одиночек), при разработке планов департаментов по обеспечению жильем обездоленных граждан. Фактически главной проблемой, с которой сталкиваются женщины, ставшие жертвами насилия, является срочное поды</w:t>
      </w:r>
      <w:r>
        <w:t>с</w:t>
      </w:r>
      <w:r>
        <w:t>кание временного, а затем и более постоянного жилья. Можно отметить, что боязнь остаться без жилья является реальным фактором, мешающим женщ</w:t>
      </w:r>
      <w:r>
        <w:t>и</w:t>
      </w:r>
      <w:r>
        <w:t>нам избавиться от насилия, которому они подвергаются.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настоящее время изучаются последствия мер по уходу за жертвами и их детьми в случае их помещения в центры, не предназначенные специально для проживания именно этой категории лиц.</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И наконец, служба по правам женщин и равенству под эгидой министе</w:t>
      </w:r>
      <w:r>
        <w:t>р</w:t>
      </w:r>
      <w:r>
        <w:t>ства занятости и солидарности начала проведение работы по повышению "к</w:t>
      </w:r>
      <w:r>
        <w:t>а</w:t>
      </w:r>
      <w:r>
        <w:t>чества" услуг, предоставляемых женщинам, ставшим жертвами насилия, в це</w:t>
      </w:r>
      <w:r>
        <w:t>н</w:t>
      </w:r>
      <w:r>
        <w:t>трах приема и/или размещения таких женщин. Условия и формы осуществл</w:t>
      </w:r>
      <w:r>
        <w:t>е</w:t>
      </w:r>
      <w:r>
        <w:t>ния этого мероприятия были разработаны на основе обсуждения соответс</w:t>
      </w:r>
      <w:r>
        <w:t>т</w:t>
      </w:r>
      <w:r>
        <w:t>вующих вопросов с семью такими центрами, региональными делегатами по правам женщин (в частности, провинций Акитания и Франш-Конте), и тремя группами ассоциаций.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Проведение этой работы началось в ноябре 2001 года и завершится в ко</w:t>
      </w:r>
      <w:r>
        <w:t>н</w:t>
      </w:r>
      <w:r>
        <w:t>це мая 2002 года, при этом она будет проходить в несколько этапов, включа</w:t>
      </w:r>
      <w:r>
        <w:t>ю</w:t>
      </w:r>
      <w:r>
        <w:t>щих проведение совместно с экспертно-управленческим комитетом оценки с</w:t>
      </w:r>
      <w:r>
        <w:t>о</w:t>
      </w:r>
      <w:r>
        <w:t>стояния имеющихся центров, аудита соответствующих структур, региональных встреч и подготовку сводного отчета о проделанной работе. Она направлена на разработку - на основе общих показателей практики, которые предстоит опр</w:t>
      </w:r>
      <w:r>
        <w:t>е</w:t>
      </w:r>
      <w:r>
        <w:t>делить, - справочного документа, в котором указывались бы формы и условия содействия оценке, придания официального статуса и соответствующего зн</w:t>
      </w:r>
      <w:r>
        <w:t>а</w:t>
      </w:r>
      <w:r>
        <w:t>чения всей совокупности мероприятий, осуществляемых ассоциациями в ме</w:t>
      </w:r>
      <w:r>
        <w:t>с</w:t>
      </w:r>
      <w:r>
        <w:t>тах, предназначенных для приема женщин, ставших жертвами насилия. Вп</w:t>
      </w:r>
      <w:r>
        <w:t>о</w:t>
      </w:r>
      <w:r>
        <w:t xml:space="preserve">следствии этот документ мог бы лечь в основу договорного документа между государством и ассоциациями.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Что касается здравоохранения, то в августе 2000 года при министерстве здравоохранения был создан комитет экспертов по оценке последствий насилия для здоровья женщин. Министр здравоохранения организовал 28 февраля 2001 года день информационной подготовки специалистов системы здрав</w:t>
      </w:r>
      <w:r>
        <w:t>о</w:t>
      </w:r>
      <w:r>
        <w:t>охранения, с тем чтобы они способствовали выявлению случаев насилия и пр</w:t>
      </w:r>
      <w:r>
        <w:t>о</w:t>
      </w:r>
      <w:r>
        <w:t>являли бóльшую заботу о женщинах, подвергающихся насилию со стороны мужей.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И наконец, 22 октября 2001 года министерство здравоохранения выпуст</w:t>
      </w:r>
      <w:r>
        <w:t>и</w:t>
      </w:r>
      <w:r>
        <w:t>ло циркуляр по вопросу о срочном помещении в медицинские заведения жертв насилия, а также любых других лиц, находящихся в состоянии тяжелого псих</w:t>
      </w:r>
      <w:r>
        <w:t>о</w:t>
      </w:r>
      <w:r>
        <w:t>логического стресса. Цель этого циркуляра заключается в улучшении обслуж</w:t>
      </w:r>
      <w:r>
        <w:t>и</w:t>
      </w:r>
      <w:r>
        <w:t>вания лиц медицинскими службами экстренной помощи, в частности путем создания пунктов психологической помощи, а также в том, чтобы напомнить о необходимости координации действий различных сторон, участвующих в ок</w:t>
      </w:r>
      <w:r>
        <w:t>а</w:t>
      </w:r>
      <w:r>
        <w:t>зании помощи жертвам.</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890" w:right="1267" w:hanging="630"/>
        <w:jc w:val="both"/>
        <w:rPr>
          <w:b/>
        </w:rPr>
      </w:pPr>
      <w:r>
        <w:rPr>
          <w:b/>
        </w:rPr>
        <w:t>2.3.2.</w:t>
      </w:r>
      <w:r>
        <w:rPr>
          <w:b/>
        </w:rPr>
        <w:tab/>
        <w:t>Основные направления партнерств между государственными орг</w:t>
      </w:r>
      <w:r>
        <w:rPr>
          <w:b/>
        </w:rPr>
        <w:t>а</w:t>
      </w:r>
      <w:r>
        <w:rPr>
          <w:b/>
        </w:rPr>
        <w:t>нами и общественными организациями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Министерство занятости и солидарности (служба по правам женщин и равноправию) оказывает более широкую финансовую поддержку национал</w:t>
      </w:r>
      <w:r>
        <w:t>ь</w:t>
      </w:r>
      <w:r>
        <w:t>ным и местным ассоциациям, обеспечивающим прием и консультирование женщин, ставших жертвами насилия, а также оказание им практической пом</w:t>
      </w:r>
      <w:r>
        <w:t>о</w:t>
      </w:r>
      <w:r>
        <w:t>щи. Это партнерство осуществляется на основе трехлетних соглашений.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этой связи следует упомянуть Национальную федерацию солидарности с женщинами, которая обеспечивает функционирование круглосуточной тел</w:t>
      </w:r>
      <w:r>
        <w:t>е</w:t>
      </w:r>
      <w:r>
        <w:t>фонной службы "Информационная служба по вопросам насилия в отношении женщин в семье", созданной в 1992 году; Ассоциацию феминистов по борьбе с изнасилованиями, которая обеспечивает функционирование круглосуточной телефонной службы "Информация, касающаяся изнасилования женщин", со</w:t>
      </w:r>
      <w:r>
        <w:t>з</w:t>
      </w:r>
      <w:r>
        <w:t>данной в 1986 году; Европейскую ассоциацию против насилия в отношении женщин по месту работы (АВФТ) и Группу женщин за ликвидацию практики, наносящей увечье женским гениталиям (ГАМС). Общая сумма выделенных финансовых средств распределялась следующим образом: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1999 год : 759 501 евро</w:t>
      </w:r>
      <w:r>
        <w:tab/>
      </w:r>
      <w:r>
        <w:tab/>
        <w:t>2001 год : 995 797 евро</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2000 год : 859 353 евро</w:t>
      </w:r>
      <w:r>
        <w:tab/>
      </w:r>
      <w:r>
        <w:tab/>
        <w:t>2002 год (по бюджету): 1 млн. евро</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Финансовые средства выделяются также 155 местным центрам приема, консультирования, вынесения рекомендаций и оказания повседневной практ</w:t>
      </w:r>
      <w:r>
        <w:t>и</w:t>
      </w:r>
      <w:r>
        <w:t>ческой помощи женщинам, ставшим жертвами насилия в семье или сексуал</w:t>
      </w:r>
      <w:r>
        <w:t>ь</w:t>
      </w:r>
      <w:r>
        <w:t>ного насилия. Эти средства выделялись местным центром на всей территории страны в следующих объемах:</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1999 год : 839 232 евро</w:t>
      </w:r>
      <w:r>
        <w:tab/>
      </w:r>
      <w:r>
        <w:tab/>
        <w:t>2001 год : 1 100 000 евро</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2000 год : 914 694 евро</w:t>
      </w:r>
      <w:r>
        <w:tab/>
      </w:r>
      <w:r>
        <w:tab/>
        <w:t>2002 год (по бюджету): 1 800 000 евро</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rPr>
          <w:i/>
          <w:u w:val="single"/>
        </w:rPr>
      </w:pPr>
      <w:r>
        <w:rPr>
          <w:i/>
        </w:rPr>
        <w:t>2.4.</w:t>
      </w:r>
      <w:r>
        <w:rPr>
          <w:i/>
        </w:rPr>
        <w:tab/>
      </w:r>
      <w:r>
        <w:rPr>
          <w:i/>
          <w:u w:val="single"/>
        </w:rPr>
        <w:t>Трудоустройство жертв насилия</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Трудоустройство как ранее работавших, так и не работавших женщин, ставших жертвами насилия, является очень важным аспектом в плане повыш</w:t>
      </w:r>
      <w:r>
        <w:t>е</w:t>
      </w:r>
      <w:r>
        <w:t>ния самостоятельности женщин. Фактически в случаях расторжения брака женщины часто сталкиваются с проблемами трудоустройства и отсутствия м</w:t>
      </w:r>
      <w:r>
        <w:t>а</w:t>
      </w:r>
      <w:r>
        <w:t>териальных средств, которые уничтожают или ограничивают их свободу выб</w:t>
      </w:r>
      <w:r>
        <w:t>о</w:t>
      </w:r>
      <w:r>
        <w:t>ра.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Именно по этой причине цель соглашений, заключаемых между госуда</w:t>
      </w:r>
      <w:r>
        <w:t>р</w:t>
      </w:r>
      <w:r>
        <w:t>ством и местными коллективами, заключается в расширении экспериментал</w:t>
      </w:r>
      <w:r>
        <w:t>ь</w:t>
      </w:r>
      <w:r>
        <w:t>ных программ, направленных на расширение возможностей женщин, ставших жертвами насилия, в плане трудоустройства. Эти экспериментальные програ</w:t>
      </w:r>
      <w:r>
        <w:t>м</w:t>
      </w:r>
      <w:r>
        <w:t>мы должны позволить выявить конкретные трудности, с которыми сталкиваю</w:t>
      </w:r>
      <w:r>
        <w:t>т</w:t>
      </w:r>
      <w:r>
        <w:t>ся женщины при первом или повторном трудоустройстве, а также разработать меры, направленные на повышение их информированности и оказание соде</w:t>
      </w:r>
      <w:r>
        <w:t>й</w:t>
      </w:r>
      <w:r>
        <w:t xml:space="preserve">ствия женщинам в предпринимаемых ими попытках. Эти программы должны также вести к выработке предложений о мерах, которые могли бы применяться повсеместно.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12 сентября 2001 года префекты соответствующих департаментов подп</w:t>
      </w:r>
      <w:r>
        <w:t>и</w:t>
      </w:r>
      <w:r>
        <w:t>сали протокол о согласии с Союзом новых агломераций в Сенаре, 26 октября 2001 года - такой протокол был подписан с генеральным советом департамента Финистер, а 30 ноября прошлого года - с городом Нант. В основе этих проток</w:t>
      </w:r>
      <w:r>
        <w:t>о</w:t>
      </w:r>
      <w:r>
        <w:t>лов лежал комплекс мероприятий, осуществлявшихся в рамках партнерства с ассоциациями и депутатами (мэрами и председателями генеральных советов).</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742" w:right="1267" w:hanging="475"/>
        <w:jc w:val="both"/>
        <w:rPr>
          <w:b/>
          <w:sz w:val="24"/>
          <w:u w:val="single"/>
        </w:rPr>
      </w:pPr>
      <w:r>
        <w:rPr>
          <w:b/>
          <w:sz w:val="24"/>
          <w:lang w:val="en-US"/>
        </w:rPr>
        <w:t>III</w:t>
      </w:r>
      <w:r>
        <w:rPr>
          <w:b/>
          <w:sz w:val="24"/>
        </w:rPr>
        <w:t>.</w:t>
      </w:r>
      <w:r>
        <w:rPr>
          <w:b/>
          <w:sz w:val="24"/>
        </w:rPr>
        <w:tab/>
      </w:r>
      <w:r>
        <w:rPr>
          <w:b/>
          <w:sz w:val="24"/>
          <w:u w:val="single"/>
        </w:rPr>
        <w:t>Новые меры способствуют расширению и укреплению прав жертв: прием и решение проблем жертв</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Закон № 2000-516 от 15 июня 2002 года, направленный на укрепление принципа презумпции невиновности и защиту прав жертв, содержит ряд пол</w:t>
      </w:r>
      <w:r>
        <w:t>о</w:t>
      </w:r>
      <w:r>
        <w:t>жений, касающихся улучшения информирования, приема и решения проблем жертв. Теперь в обязанность судебных органов, даже если они являются терр</w:t>
      </w:r>
      <w:r>
        <w:t>и</w:t>
      </w:r>
      <w:r>
        <w:t>ториально неправомочными, входит прием жалоб от жертв для их дальнейшей передачи компетентной службе, информирование жертв об их праве на возм</w:t>
      </w:r>
      <w:r>
        <w:t>е</w:t>
      </w:r>
      <w:r>
        <w:t>щение и возможности обратиться к той или иной службе или ассоциации, ок</w:t>
      </w:r>
      <w:r>
        <w:t>а</w:t>
      </w:r>
      <w:r>
        <w:t>зывающей помощь жертвам, информирование жертвы о ее праве предъявить гражданский иск, информировать раз в шесть месяцев истца о ходе судебного разбирательства. Улучшение приема и заслушивание жертв в комиссариатах полиции и бригадах жандармерии было также отнесено к числу приоритетных мероприятий, в частности в ходе всей работы по совместному составлению и распространению брошюр, предназначенных для привлечения внимания сп</w:t>
      </w:r>
      <w:r>
        <w:t>е</w:t>
      </w:r>
      <w:r>
        <w:t>циалистов этих служб к соответствующим проблемам. Что касается приема жертв, то за последние годы в этой области удалось достичь важных результ</w:t>
      </w:r>
      <w:r>
        <w:t>а</w:t>
      </w:r>
      <w:r>
        <w:t>тов.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 этой целью были приняты следующие меры: прошедшие специальную подготовку сотрудники принимают лиц, желающих рассказать о проблемах, с которыми они сталкиваются в личной и семейной жизни; в большинстве служб было выделено специальное помещение, например один из кабинетов для пр</w:t>
      </w:r>
      <w:r>
        <w:t>о</w:t>
      </w:r>
      <w:r>
        <w:t>ведения конфиденциальных бесед с жертвами, с целью выяснения их потре</w:t>
      </w:r>
      <w:r>
        <w:t>б</w:t>
      </w:r>
      <w:r>
        <w:t>ностей таким образом, чтобы этого не могли слышать другие лица в здании; более чем на 500 сайтах по вопросам общественной безопасности было разм</w:t>
      </w:r>
      <w:r>
        <w:t>е</w:t>
      </w:r>
      <w:r>
        <w:t>щено программное обеспечение, предназначенное для оказания содействия в приеме населения, которое получило название "ПРОКСИМА" (территориал</w:t>
      </w:r>
      <w:r>
        <w:t>ь</w:t>
      </w:r>
      <w:r>
        <w:t>ная близость, информация, разносторонняя помощь, прием). Оно содержит многочисленные файлы данных, собранных на национальном и местном уро</w:t>
      </w:r>
      <w:r>
        <w:t>в</w:t>
      </w:r>
      <w:r>
        <w:t>нях, которые касаются женщин, ставших жертвами насилия, и содержат, в ч</w:t>
      </w:r>
      <w:r>
        <w:t>а</w:t>
      </w:r>
      <w:r>
        <w:t>стности, адреса и телефоны органов, оказывающих поддержку жертвам, це</w:t>
      </w:r>
      <w:r>
        <w:t>н</w:t>
      </w:r>
      <w:r>
        <w:t>тров приема и ассоциаций.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Кроме того, можно отметить, что положительные сдвиги были достигн</w:t>
      </w:r>
      <w:r>
        <w:t>у</w:t>
      </w:r>
      <w:r>
        <w:t>ты также в работе по защите жертв и свидетелей, сообщающих о фактах нас</w:t>
      </w:r>
      <w:r>
        <w:t>и</w:t>
      </w:r>
      <w:r>
        <w:t>лия: такая защита чрезвычайно важна, поскольку она позволяет женщинам о</w:t>
      </w:r>
      <w:r>
        <w:t>т</w:t>
      </w:r>
      <w:r>
        <w:t>крыто заявить о своих проблемах, обратиться с жалобой или покинуть семе</w:t>
      </w:r>
      <w:r>
        <w:t>й</w:t>
      </w:r>
      <w:r>
        <w:t>ный очаг, не опасаясь необоснованных обвинений или мщения.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Уголовно-процессуальный кодекс, положения которого недавно были ус</w:t>
      </w:r>
      <w:r>
        <w:t>и</w:t>
      </w:r>
      <w:r>
        <w:t>лены законом от 15 ноября 2001 года по вопросам повседневной безопасности, предусматривает, что как сама жертва, так и свидетели могут указать в качес</w:t>
      </w:r>
      <w:r>
        <w:t>т</w:t>
      </w:r>
      <w:r>
        <w:t>ве местожительства адрес комиссариата полиции или бригады жандармерии. Новшество этого положения об указании адреса заключается в его абсолютно секретном характере соответствующей информации, которая может быть ра</w:t>
      </w:r>
      <w:r>
        <w:t>з</w:t>
      </w:r>
      <w:r>
        <w:t>глашена только по решению суда и при строгом соблюдении условий, указа</w:t>
      </w:r>
      <w:r>
        <w:t>н</w:t>
      </w:r>
      <w:r>
        <w:t>ных в статье 706</w:t>
      </w:r>
      <w:r>
        <w:noBreakHyphen/>
        <w:t>57 и последующих статьях Уголовно-процессуального коде</w:t>
      </w:r>
      <w:r>
        <w:t>к</w:t>
      </w:r>
      <w:r>
        <w:t>са. Более того, теперь можно принимать заявления свидетелей без указания их личности в процедурном досье. Кроме того, если подсудимый требует очной ставки со свидетелем, то такая ставка может производиться заочно с помощью специального технического устройства, меняющего до неузнаваемости голос свидетеля.</w:t>
      </w:r>
    </w:p>
    <w:p w:rsidR="00000000" w:rsidRDefault="00000000">
      <w:pPr>
        <w:pStyle w:val="SingleTxt"/>
        <w:spacing w:after="0" w:line="180" w:lineRule="auto"/>
        <w:rPr>
          <w:sz w:val="10"/>
          <w:lang w:val="en-US"/>
        </w:rPr>
      </w:pPr>
      <w:r>
        <w:br w:type="page"/>
      </w: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310" w:lineRule="exact"/>
        <w:ind w:left="1267" w:right="1267"/>
        <w:jc w:val="center"/>
        <w:rPr>
          <w:b/>
          <w:sz w:val="28"/>
        </w:rPr>
      </w:pPr>
      <w:r>
        <w:rPr>
          <w:b/>
          <w:sz w:val="28"/>
        </w:rPr>
        <w:t>СТАТЬЯ 13</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center"/>
        <w:rPr>
          <w:b/>
          <w:i/>
          <w:sz w:val="24"/>
        </w:rPr>
      </w:pPr>
      <w:r>
        <w:rPr>
          <w:b/>
          <w:i/>
          <w:sz w:val="24"/>
        </w:rPr>
        <w:t>Социальные и экономические преимущества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За последние три года были приняты инновационные меры по расшир</w:t>
      </w:r>
      <w:r>
        <w:t>е</w:t>
      </w:r>
      <w:r>
        <w:t>нию участия женщин в деятельности кооперативного сектора и предприятиях солидарной экономики. Успешному проведению этой новой кампании, начатой по инициативе государственного секретариата по солидарной экономике, в первую очередь способствовала мобилизация усилий местных общественных и государственных организаций.</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sz w:val="24"/>
          <w:u w:val="single"/>
        </w:rPr>
      </w:pPr>
      <w:r>
        <w:rPr>
          <w:b/>
          <w:sz w:val="24"/>
          <w:lang w:val="en-US"/>
        </w:rPr>
        <w:t>I</w:t>
      </w:r>
      <w:r>
        <w:rPr>
          <w:b/>
          <w:sz w:val="24"/>
        </w:rPr>
        <w:t>.</w:t>
      </w:r>
      <w:r>
        <w:rPr>
          <w:b/>
          <w:sz w:val="24"/>
        </w:rPr>
        <w:tab/>
      </w:r>
      <w:r>
        <w:rPr>
          <w:b/>
          <w:sz w:val="24"/>
          <w:u w:val="single"/>
        </w:rPr>
        <w:t>Меры содействия инициативам и участию женщин в с</w:t>
      </w:r>
      <w:r>
        <w:rPr>
          <w:b/>
          <w:sz w:val="24"/>
          <w:u w:val="single"/>
        </w:rPr>
        <w:t>о</w:t>
      </w:r>
      <w:r>
        <w:rPr>
          <w:b/>
          <w:sz w:val="24"/>
          <w:u w:val="single"/>
        </w:rPr>
        <w:t>лидарной экономике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 февраля по июнь 2000 года во всех регионах Франции проводились р</w:t>
      </w:r>
      <w:r>
        <w:t>е</w:t>
      </w:r>
      <w:r>
        <w:t>гиональные консультации по развитию кооперативного и солидарного секторов экономики. В работе этих консультаций приняли участие более 4 000 человек. Национальный экспертно-управленческий комитет, равно как и региональные экспертно-управленческие комитеты, был обязан соблюдать принцип равенства с целью содействия более широкому участию женщин в обсуждениях. В ответ на призыв представить "динамичные солидарные" проекты, прозвучавший в 2000 году, женщинами было представлено 28% от 1 700 проектов, при этом 33% получили финансирование. Что касается призыва к представлению прое</w:t>
      </w:r>
      <w:r>
        <w:t>к</w:t>
      </w:r>
      <w:r>
        <w:t>тов в 2001 году, то около 30% кредитов должно было пойти на поддержку пр</w:t>
      </w:r>
      <w:r>
        <w:t>о</w:t>
      </w:r>
      <w:r>
        <w:t>ектов по созданию предприятий солидарного сектора женщинами.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Кроме того, 7 марта 2001 года была вручена премия за женскую иници</w:t>
      </w:r>
      <w:r>
        <w:t>а</w:t>
      </w:r>
      <w:r>
        <w:t>тиву по созданию предприятий солидарной экономики, цель которой заключ</w:t>
      </w:r>
      <w:r>
        <w:t>а</w:t>
      </w:r>
      <w:r>
        <w:t>лась в компенсации затрат на создание женщинами предприятий солидарного сектора.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sz w:val="24"/>
          <w:u w:val="single"/>
        </w:rPr>
      </w:pPr>
      <w:r>
        <w:rPr>
          <w:b/>
          <w:sz w:val="24"/>
          <w:lang w:val="en-US"/>
        </w:rPr>
        <w:t>II</w:t>
      </w:r>
      <w:r>
        <w:rPr>
          <w:b/>
          <w:sz w:val="24"/>
        </w:rPr>
        <w:t>.</w:t>
      </w:r>
      <w:r>
        <w:rPr>
          <w:b/>
          <w:sz w:val="24"/>
        </w:rPr>
        <w:tab/>
      </w:r>
      <w:r>
        <w:rPr>
          <w:b/>
          <w:sz w:val="24"/>
          <w:u w:val="single"/>
        </w:rPr>
        <w:t>Женщины в спорте и культуре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i/>
          <w:sz w:val="24"/>
        </w:rPr>
      </w:pPr>
      <w:r>
        <w:rPr>
          <w:b/>
          <w:i/>
          <w:sz w:val="24"/>
        </w:rPr>
        <w:t>1.</w:t>
      </w:r>
      <w:r>
        <w:rPr>
          <w:b/>
          <w:i/>
          <w:sz w:val="24"/>
        </w:rPr>
        <w:tab/>
        <w:t>Женщины и спорт</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рамках политики, направленной на развитие женского спорта, в 2001 году был осуществлен ряд конкретных мероприятий.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апреле 2001 года были опубликованы результаты проведенного мин</w:t>
      </w:r>
      <w:r>
        <w:t>и</w:t>
      </w:r>
      <w:r>
        <w:t>стерством по делам молодежи и спорту национального опроса о популярности спорта среди французов и француженок, и эти результаты показали, что же</w:t>
      </w:r>
      <w:r>
        <w:t>н</w:t>
      </w:r>
      <w:r>
        <w:t>щины систематически занимаются спортом. По результатам опроса, предста</w:t>
      </w:r>
      <w:r>
        <w:t>в</w:t>
      </w:r>
      <w:r>
        <w:t>ленным в разбивке на мужчин и женщин пол, можно, в частности, судить о том, что 43% женщин, входящих в опрошенную группу населения в 6 526 человек в возрасте от 15 до 75 лет, по крайней мере раз в неделю занимаются физкульт</w:t>
      </w:r>
      <w:r>
        <w:t>у</w:t>
      </w:r>
      <w:r>
        <w:t>рой или тем или иным видом спорта.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Доля женщин, занимающихся спортом, быстро растет (48% в 2000 году, 32,5% в 1997 году против 9% в 1968 году). В 2000 году одна треть спортивных лицензий была выдана женщинам, и женщины все активнее участвуют в соре</w:t>
      </w:r>
      <w:r>
        <w:t>в</w:t>
      </w:r>
      <w:r>
        <w:t>нования высокого уровня (женщины составляли 38% участников Олимпийских игр 2000 года, тогда как в 1992 году на их долю приходилось 29%, а в 1948 году - 9,5%). Женщины и мужчины занимаются разными видами спорта и поэтому пока еще редко соперничают друг с другом на соревнованиях. Среди женщин особенно популярны такие виды спорта, как художественная гимн</w:t>
      </w:r>
      <w:r>
        <w:t>а</w:t>
      </w:r>
      <w:r>
        <w:t>стика, танцы и плавание, где большое значение имеют фигуры, жесты и эл</w:t>
      </w:r>
      <w:r>
        <w:t>е</w:t>
      </w:r>
      <w:r>
        <w:t>менты представления.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наименьшей степени женщины представлены в коллективных и инд</w:t>
      </w:r>
      <w:r>
        <w:t>и</w:t>
      </w:r>
      <w:r>
        <w:t>видуальных видах спорта, предполагающих борьбу между соперниками, в м</w:t>
      </w:r>
      <w:r>
        <w:t>о</w:t>
      </w:r>
      <w:r>
        <w:t xml:space="preserve">тоспорте, а также стрельбе или охоте.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Женщины пока еще редко занимают технические или руководящие дол</w:t>
      </w:r>
      <w:r>
        <w:t>ж</w:t>
      </w:r>
      <w:r>
        <w:t>ности в составе спортивных комитетов и организаций. В 2000 году они соста</w:t>
      </w:r>
      <w:r>
        <w:t>в</w:t>
      </w:r>
      <w:r>
        <w:t>ляли лишь 12% от технического персонала федераций.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Соответствующие законодательные и нормативные положения содержатся как в законе № 2000-627 от 6 июля 2000 года о внесении изменений в закон от 16 июля 1984 года, касающийся организации и развития физической культуры и спорта, так и в текстах подзаконных актов, которые будут приняты в развитие указанного закона.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 одной стороны, речь идет о введении порядка, при котором спортивные ассоциации получают необходимую для пользования финансовой помощью г</w:t>
      </w:r>
      <w:r>
        <w:t>о</w:t>
      </w:r>
      <w:r>
        <w:t>сударственную аккредитацию только при соблюдении уставных положений, обеспечивающих, в частности, равный доступ женщин и мужчин к руковод</w:t>
      </w:r>
      <w:r>
        <w:t>я</w:t>
      </w:r>
      <w:r>
        <w:t>щим спортивным органам (статья 8). С другой стороны, министерство молод</w:t>
      </w:r>
      <w:r>
        <w:t>е</w:t>
      </w:r>
      <w:r>
        <w:t>жи и спорта будет предоставлять аккредитацию спортивным федерациям с уч</w:t>
      </w:r>
      <w:r>
        <w:t>е</w:t>
      </w:r>
      <w:r>
        <w:t>том выполнения ими своей функции гражданской службы, типовой устав кот</w:t>
      </w:r>
      <w:r>
        <w:t>о</w:t>
      </w:r>
      <w:r>
        <w:t>рой будет содержать положения, способствующие обеспечению для всех гра</w:t>
      </w:r>
      <w:r>
        <w:t>ж</w:t>
      </w:r>
      <w:r>
        <w:t>дан возможности заниматься физкультурой и спортом (четвертый подпункт пункта </w:t>
      </w:r>
      <w:r>
        <w:rPr>
          <w:lang w:val="en-US"/>
        </w:rPr>
        <w:t>III</w:t>
      </w:r>
      <w:r>
        <w:t xml:space="preserve"> статьи 16).</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рамках соглашений относительно целей, ежегодно заключаемых между министерством по делам молодежи и спорта и спортивными федерациями, п</w:t>
      </w:r>
      <w:r>
        <w:t>е</w:t>
      </w:r>
      <w:r>
        <w:t>рестал фигурировать специальный раздел "Женщины и спорт", введенный в 1999 году на первом этапе кампании по информированию широкой обществе</w:t>
      </w:r>
      <w:r>
        <w:t>н</w:t>
      </w:r>
      <w:r>
        <w:t>ности. Это связано с требованием более полно учитывать гендерный аспект во всех действиях федераций. Цели спортивного движения заключаются в дал</w:t>
      </w:r>
      <w:r>
        <w:t>ь</w:t>
      </w:r>
      <w:r>
        <w:t>нейшей разработке мер, направленных на расширение участия женщин во всех спортивных дисциплинах, обеспечение равенства средств, которые выделяются на проведение женских и мужских спортивных соревнований, содействии зан</w:t>
      </w:r>
      <w:r>
        <w:t>я</w:t>
      </w:r>
      <w:r>
        <w:t>тию женщинами ответственных постов в руководящих спортивных о</w:t>
      </w:r>
      <w:r>
        <w:t>р</w:t>
      </w:r>
      <w:r>
        <w:t>ганах.</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целях содействия расширению возможностей всех женщин в плане з</w:t>
      </w:r>
      <w:r>
        <w:t>а</w:t>
      </w:r>
      <w:r>
        <w:t>нятий спортом сеть региональных и провинциальных корреспонденток и ко</w:t>
      </w:r>
      <w:r>
        <w:t>р</w:t>
      </w:r>
      <w:r>
        <w:t>респондентов реализовывала инициативы, которые включали меры по рекламе, трудоустройству, подготовке специалистов и коммуникации. Кроме того, д</w:t>
      </w:r>
      <w:r>
        <w:t>е</w:t>
      </w:r>
      <w:r>
        <w:t>централизованные государственные службы зарезервировали часть децентр</w:t>
      </w:r>
      <w:r>
        <w:t>а</w:t>
      </w:r>
      <w:r>
        <w:t>лизованных кредитов Национального фонда развития спорта (НФРС) для ф</w:t>
      </w:r>
      <w:r>
        <w:t>и</w:t>
      </w:r>
      <w:r>
        <w:t>нансирования мероприятий в поддержку женских видов спорта. И наконец, в целях повышения отдачи от финансовых средств, выделяемых по линии НФРС на развитие женского спорта, будет предложено создать дополнительную ст</w:t>
      </w:r>
      <w:r>
        <w:t>а</w:t>
      </w:r>
      <w:r>
        <w:t>тью по кредитованию женских видов спорта, с тем чтобы можно было опред</w:t>
      </w:r>
      <w:r>
        <w:t>е</w:t>
      </w:r>
      <w:r>
        <w:t>лить региональную долю каждой децентрализованной службы.</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Стремясь обеспечить равенство мужчин и женщин в области занятий спортом на высоком уровне, Национальная комиссия по подготовке спортсм</w:t>
      </w:r>
      <w:r>
        <w:t>е</w:t>
      </w:r>
      <w:r>
        <w:t>нов высокого уровня приняла на своем заседании 21 января 2000 года решение впредь не проводить различия между женским и мужским направлениями в рамках одной и той же спортивной дисциплины. В 2001 году со всеми федер</w:t>
      </w:r>
      <w:r>
        <w:t>а</w:t>
      </w:r>
      <w:r>
        <w:t>циями была проведена работа по анализу существующих в этой области пр</w:t>
      </w:r>
      <w:r>
        <w:t>о</w:t>
      </w:r>
      <w:r>
        <w:t>блем. Каждая федерация будет обязана вновь подать заявку на квалификацию того или иного вида спорта в качестве "спорта высокого уровня", независимо от того, кто им занимается: мужчины или женщины или и те, и другие.</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Важные сдвиги произошли также в области пропаганды женского спорта в средствах массовой информации, которые конкретно выразились в присужд</w:t>
      </w:r>
      <w:r>
        <w:t>е</w:t>
      </w:r>
      <w:r>
        <w:t>нии премий из лучшие репортажи или статьи о женском спорте и премий же</w:t>
      </w:r>
      <w:r>
        <w:t>н</w:t>
      </w:r>
      <w:r>
        <w:t>щинам-журналисткам, занимающимся спортивной тематикой.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И наконец, часть средств из так называемого фонда "Фернана Састра", предназначенного для перераспределения доходов от кубка мира по футболу, конкретно передается на развитие женского спорта.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i/>
          <w:sz w:val="24"/>
        </w:rPr>
      </w:pPr>
      <w:r>
        <w:rPr>
          <w:b/>
          <w:i/>
          <w:sz w:val="24"/>
        </w:rPr>
        <w:t>2.</w:t>
      </w:r>
      <w:r>
        <w:rPr>
          <w:b/>
          <w:i/>
          <w:sz w:val="24"/>
        </w:rPr>
        <w:tab/>
        <w:t>Женщины и культурная жизнь</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Культура представляет собой одну из сфер общественной жизни, в кот</w:t>
      </w:r>
      <w:r>
        <w:t>о</w:t>
      </w:r>
      <w:r>
        <w:t>рой происходят существенные гендерные изменения. Следует обратить особое внимание на тенденцию к сближению большинства видов культурной деятел</w:t>
      </w:r>
      <w:r>
        <w:t>ь</w:t>
      </w:r>
      <w:r>
        <w:t>ности женщин и мужчин.</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 период с 1997 года, когда министерство культуры провело последнее обследование культурной деятельности французов, эволюция видов культурной деятельности, отмеченная в ходе предыдущего обследования, продолжалась: французы продолжают приобретать аудиовизуальную технику и изделия и тр</w:t>
      </w:r>
      <w:r>
        <w:t>а</w:t>
      </w:r>
      <w:r>
        <w:t>тят на их просмотр и прослушивание все больше времени. Что касается пр</w:t>
      </w:r>
      <w:r>
        <w:t>о</w:t>
      </w:r>
      <w:r>
        <w:t>смотра и прослушивания аудио- и видеокассет, то в этом вопросе никакой ра</w:t>
      </w:r>
      <w:r>
        <w:t>з</w:t>
      </w:r>
      <w:r>
        <w:t>ницы между мужчинами и женщинами нет, хотя среди мужчин по</w:t>
      </w:r>
      <w:r>
        <w:noBreakHyphen/>
        <w:t>прежнему больше популярны спортивные передачи, а среди женщин - с</w:t>
      </w:r>
      <w:r>
        <w:t>е</w:t>
      </w:r>
      <w:r>
        <w:t xml:space="preserve">риалы.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Количество прочитанных книг продолжает уменьшаться, и можно конст</w:t>
      </w:r>
      <w:r>
        <w:t>а</w:t>
      </w:r>
      <w:r>
        <w:t>тировать, что французы стали читать меньше, чем в начале 70</w:t>
      </w:r>
      <w:r>
        <w:noBreakHyphen/>
        <w:t>х годов. Несмо</w:t>
      </w:r>
      <w:r>
        <w:t>т</w:t>
      </w:r>
      <w:r>
        <w:t>ря на эту общую тенденцию, представляется, что женщины все же уделяют больше времени чтению, чем мужчины: в 1997 году 36% женщин прочитывали в месяц по крайней мере по одной книге, тогда как у мужчин этот показатель составлял 30%. Кроме того, женщины более регулярно читают журналы: 86% против 82%. Мужчины, напротив, чаще, чем женщины, читают газеты: соо</w:t>
      </w:r>
      <w:r>
        <w:t>т</w:t>
      </w:r>
      <w:r>
        <w:t>ветственно 40% против 33%.</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Что касается некоторых видов проведения культурного досуга за предел</w:t>
      </w:r>
      <w:r>
        <w:t>а</w:t>
      </w:r>
      <w:r>
        <w:t>ми дома, что раньше было больше характерно для мужчин (посещение кинот</w:t>
      </w:r>
      <w:r>
        <w:t>е</w:t>
      </w:r>
      <w:r>
        <w:t>атров, музеев, участие в общественной жизни, групповые музыкальные зан</w:t>
      </w:r>
      <w:r>
        <w:t>я</w:t>
      </w:r>
      <w:r>
        <w:t>тия), то в настоящее время наблюдается тенденция к сближению моделей пов</w:t>
      </w:r>
      <w:r>
        <w:t>е</w:t>
      </w:r>
      <w:r>
        <w:t>дения женщин и мужчин в этом плане, хотя и до сих пор между ними сохран</w:t>
      </w:r>
      <w:r>
        <w:t>я</w:t>
      </w:r>
      <w:r>
        <w:t>ются определенные различия. В отличие от вышесказанного, мужчины по</w:t>
      </w:r>
      <w:r>
        <w:noBreakHyphen/>
        <w:t>прежнему чаще, чем женщины, - по крайней мере один раз в месяц - кул</w:t>
      </w:r>
      <w:r>
        <w:t>ь</w:t>
      </w:r>
      <w:r>
        <w:t>турно проводят свой досуг за пределами дома, и здесь соотношение таково: 72% к 59%.</w:t>
      </w:r>
    </w:p>
    <w:p w:rsidR="00000000" w:rsidRDefault="00000000">
      <w:pPr>
        <w:pStyle w:val="SingleTxt"/>
        <w:spacing w:after="0" w:line="180" w:lineRule="auto"/>
        <w:rPr>
          <w:sz w:val="10"/>
          <w:lang w:val="en-US"/>
        </w:rPr>
      </w:pPr>
      <w:r>
        <w:br w:type="page"/>
      </w: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310" w:lineRule="exact"/>
        <w:ind w:left="1267" w:right="1267"/>
        <w:jc w:val="center"/>
        <w:rPr>
          <w:b/>
          <w:sz w:val="28"/>
        </w:rPr>
      </w:pPr>
      <w:r>
        <w:rPr>
          <w:b/>
          <w:sz w:val="28"/>
        </w:rPr>
        <w:t>СТАТЬЯ 14</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center"/>
        <w:rPr>
          <w:b/>
          <w:i/>
          <w:sz w:val="24"/>
        </w:rPr>
      </w:pPr>
      <w:r>
        <w:rPr>
          <w:b/>
          <w:i/>
          <w:sz w:val="24"/>
        </w:rPr>
        <w:t>Сельские районы</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center"/>
        <w:rPr>
          <w:b/>
          <w:i/>
          <w:sz w:val="24"/>
        </w:rPr>
      </w:pPr>
      <w:r>
        <w:rPr>
          <w:b/>
          <w:i/>
          <w:sz w:val="24"/>
        </w:rPr>
        <w:t xml:space="preserve"> (</w:t>
      </w:r>
      <w:r>
        <w:rPr>
          <w:b/>
          <w:i/>
          <w:sz w:val="24"/>
          <w:u w:val="single"/>
        </w:rPr>
        <w:t xml:space="preserve">Примечание: оговорка Франции касается подпунктов с) и </w:t>
      </w:r>
      <w:r>
        <w:rPr>
          <w:b/>
          <w:i/>
          <w:sz w:val="24"/>
          <w:u w:val="single"/>
          <w:lang w:val="en-US"/>
        </w:rPr>
        <w:t xml:space="preserve">h) </w:t>
      </w:r>
      <w:r>
        <w:rPr>
          <w:b/>
          <w:i/>
          <w:sz w:val="24"/>
          <w:u w:val="single"/>
        </w:rPr>
        <w:t>пункта 2</w:t>
      </w:r>
      <w:r>
        <w:rPr>
          <w:b/>
          <w:i/>
          <w:sz w:val="24"/>
        </w:rPr>
        <w:t>)</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rPr>
          <w:b/>
          <w:sz w:val="24"/>
          <w:u w:val="single"/>
        </w:rPr>
      </w:pPr>
      <w:r>
        <w:rPr>
          <w:b/>
          <w:sz w:val="24"/>
          <w:lang w:val="en-US"/>
        </w:rPr>
        <w:t>I</w:t>
      </w:r>
      <w:r>
        <w:rPr>
          <w:b/>
          <w:sz w:val="24"/>
        </w:rPr>
        <w:t>.</w:t>
      </w:r>
      <w:r>
        <w:rPr>
          <w:b/>
          <w:sz w:val="24"/>
        </w:rPr>
        <w:tab/>
      </w:r>
      <w:r>
        <w:rPr>
          <w:b/>
          <w:sz w:val="24"/>
          <w:u w:val="single"/>
        </w:rPr>
        <w:t>Введение статуса супруги - сотрудницы сельскохозяйс</w:t>
      </w:r>
      <w:r>
        <w:rPr>
          <w:b/>
          <w:sz w:val="24"/>
          <w:u w:val="single"/>
        </w:rPr>
        <w:t>т</w:t>
      </w:r>
      <w:r>
        <w:rPr>
          <w:b/>
          <w:sz w:val="24"/>
          <w:u w:val="single"/>
        </w:rPr>
        <w:t>венного пре</w:t>
      </w:r>
      <w:r>
        <w:rPr>
          <w:b/>
          <w:sz w:val="24"/>
          <w:u w:val="single"/>
        </w:rPr>
        <w:t>д</w:t>
      </w:r>
      <w:r>
        <w:rPr>
          <w:b/>
          <w:sz w:val="24"/>
          <w:u w:val="single"/>
        </w:rPr>
        <w:t>приятия</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Закон о сельскохозяйственной подготовке от 9 июля 1999 года предлагает супругам, не желающим становиться партнерами по ведению сельского хозя</w:t>
      </w:r>
      <w:r>
        <w:t>й</w:t>
      </w:r>
      <w:r>
        <w:t>ства или участниками товарищества, новый статус, который будет существенно отличаться от нынешнего не вполне четко определенного статуса "супруги, участвующей в работе". Новый статус супруги-сотрудницы постепенно зам</w:t>
      </w:r>
      <w:r>
        <w:t>е</w:t>
      </w:r>
      <w:r>
        <w:t>нит собой нынешний статус "супруги, участвующей в работе", который испол</w:t>
      </w:r>
      <w:r>
        <w:t>ь</w:t>
      </w:r>
      <w:r>
        <w:t>зуется все реже. Супруга, выбирающая статус сотрудницы, может приобрести права не только на фиксированную, но и прогрессивную пенсию. С лета 2000 года три четверти "супруг, участвующих в работе", предпочли получить этот новый статус. Закон о финансах 2001 года, отменивший действие сущес</w:t>
      </w:r>
      <w:r>
        <w:t>т</w:t>
      </w:r>
      <w:r>
        <w:t>вовавшего ранее механизма соблюдения верхнего предела, укрепил статус партнеров по ведению сельского хозяйства или членов товарищества. Впредь на супруг - партнеров по ведению сельского хозяйства или членов товарищес</w:t>
      </w:r>
      <w:r>
        <w:t>т</w:t>
      </w:r>
      <w:r>
        <w:t>ва будет распространяться не менее льготный режим с точки зрения взносов на страхование по старости и накопления баллов прогрессивной пенсии, как если бы они занимались соответствующей деятельностью в индивидуальном поря</w:t>
      </w:r>
      <w:r>
        <w:t>д</w:t>
      </w:r>
      <w:r>
        <w:t>ке.</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742" w:right="1267" w:hanging="475"/>
        <w:jc w:val="both"/>
        <w:rPr>
          <w:b/>
          <w:sz w:val="24"/>
          <w:u w:val="single"/>
        </w:rPr>
      </w:pPr>
      <w:r>
        <w:rPr>
          <w:b/>
          <w:sz w:val="24"/>
          <w:lang w:val="en-US"/>
        </w:rPr>
        <w:t>II</w:t>
      </w:r>
      <w:r>
        <w:rPr>
          <w:b/>
          <w:sz w:val="24"/>
        </w:rPr>
        <w:t>.</w:t>
      </w:r>
      <w:r>
        <w:rPr>
          <w:b/>
          <w:sz w:val="24"/>
        </w:rPr>
        <w:tab/>
      </w:r>
      <w:r>
        <w:rPr>
          <w:b/>
          <w:sz w:val="24"/>
          <w:u w:val="single"/>
        </w:rPr>
        <w:t>Конкретные меры в интересах женщин, живущих в сел</w:t>
      </w:r>
      <w:r>
        <w:rPr>
          <w:b/>
          <w:sz w:val="24"/>
          <w:u w:val="single"/>
        </w:rPr>
        <w:t>ь</w:t>
      </w:r>
      <w:r>
        <w:rPr>
          <w:b/>
          <w:sz w:val="24"/>
          <w:u w:val="single"/>
        </w:rPr>
        <w:t>ской местн</w:t>
      </w:r>
      <w:r>
        <w:rPr>
          <w:b/>
          <w:sz w:val="24"/>
          <w:u w:val="single"/>
        </w:rPr>
        <w:t>о</w:t>
      </w:r>
      <w:r>
        <w:rPr>
          <w:b/>
          <w:sz w:val="24"/>
          <w:u w:val="single"/>
        </w:rPr>
        <w:t>сти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Министерство сельского хозяйства и рыболовства разрабатывает пр</w:t>
      </w:r>
      <w:r>
        <w:t>о</w:t>
      </w:r>
      <w:r>
        <w:t>грамму под названием "Женщины, профессиональная подготовка и занятость в сельской местности: меры по обеспечению равных возможностей". Ежегодные ассигнования на эту программу, которая финансируется совместно с Европе</w:t>
      </w:r>
      <w:r>
        <w:t>й</w:t>
      </w:r>
      <w:r>
        <w:t>ским социальным фондом (ЕСФ), составляют 274 498,2 евро, т.е. за период с 2000 года по 2006 год на ее осуществление будет выделено 1,9 млн. евро (1 млн. евро будет выделен министерством сельского хозяйства и 0,9 евро - ЕСФ). Общая задача программы заключается в мобилизации усилий учас</w:t>
      </w:r>
      <w:r>
        <w:t>т</w:t>
      </w:r>
      <w:r>
        <w:t>вующих учреждений и в принятии мер по обеспечению подлинного равенства между мужчинами и женщинами, в частности в области образования, инфо</w:t>
      </w:r>
      <w:r>
        <w:t>р</w:t>
      </w:r>
      <w:r>
        <w:t>мации, участия в работе представительных органов и профессионального ро</w:t>
      </w:r>
      <w:r>
        <w:t>с</w:t>
      </w:r>
      <w:r>
        <w:t xml:space="preserve">та.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Таким образом, проводимые мероприятия касаются в первую очередь женщин, живущих в сельской местности: женщин-аграриев, супруг сельхо</w:t>
      </w:r>
      <w:r>
        <w:t>з</w:t>
      </w:r>
      <w:r>
        <w:t>производителей, руководителей предприятий … в производственном секторе. Они направлены на повышение информированности о правах и возможных статусах работников, содействие учету необходимости обеспечения равенства мужчин и женщин при рассмотрении всего комплекса вопросов, связанных с сельской местностью, а также содействие организации ассоциаций работодат</w:t>
      </w:r>
      <w:r>
        <w:t>е</w:t>
      </w:r>
      <w:r>
        <w:t>лей и созданию и воссозданию возможностей для осуществления производс</w:t>
      </w:r>
      <w:r>
        <w:t>т</w:t>
      </w:r>
      <w:r>
        <w:t>венной деятельности.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Кроме того, принимаются конкретные меры и в таких секторах, как пр</w:t>
      </w:r>
      <w:r>
        <w:t>о</w:t>
      </w:r>
      <w:r>
        <w:t>фессиональная подготовка, занятость и развитие, где основной упор делается на более широкое информирование о месте девочек в сельскохозяйственном обучении, на подготовку преподавателей и необходимость учета гендерных а</w:t>
      </w:r>
      <w:r>
        <w:t>с</w:t>
      </w:r>
      <w:r>
        <w:t>пектов, на выявление факторов, препятствующих трудовой деятельности же</w:t>
      </w:r>
      <w:r>
        <w:t>н</w:t>
      </w:r>
      <w:r>
        <w:t>щин в сельской местности и таких секторах, как рыболовство и производство морепродуктов.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Таким образом, в циркуляре, выпущенном Национальным экспертно-управленческим комитетом 19 июня 2001 года, на 2000</w:t>
      </w:r>
      <w:r>
        <w:noBreakHyphen/>
        <w:t>2001 годы были опр</w:t>
      </w:r>
      <w:r>
        <w:t>е</w:t>
      </w:r>
      <w:r>
        <w:t>делены и закреплены следующие задачи: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В области образования: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улучшение статистического инструментария (в частности, в области н</w:t>
      </w:r>
      <w:r>
        <w:t>е</w:t>
      </w:r>
      <w:r>
        <w:t>прерывного образования и профессиональной подготовки);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подготовка исследований о месте девочек в определенных производстве</w:t>
      </w:r>
      <w:r>
        <w:t>н</w:t>
      </w:r>
      <w:r>
        <w:t>ных цепочках и принятие мер с целью расширения возможностей в сфере образования на трех уровнях: начальное, высшее и непрерывное;</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разработка для преподавателей учебных пособий, учитывающих генде</w:t>
      </w:r>
      <w:r>
        <w:t>р</w:t>
      </w:r>
      <w:r>
        <w:t>ные аспекты.</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В области занятости: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оценка потребностей в профессиональной подготовке или образовании как женщин, работающих по найму, так и женщин вольнонаемных в сел</w:t>
      </w:r>
      <w:r>
        <w:t>ь</w:t>
      </w:r>
      <w:r>
        <w:t>ской местности;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изучение факторов, мешающих работать женщинам, живущим в сельской местности; выявление и широкое распространение надлежащей практики найма женщин.</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В области развития: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информирование о правах и возможных статусах, в частности путем ра</w:t>
      </w:r>
      <w:r>
        <w:t>с</w:t>
      </w:r>
      <w:r>
        <w:t>пространения справочника, озаглавленного "Супруга вольнонаемного р</w:t>
      </w:r>
      <w:r>
        <w:t>а</w:t>
      </w:r>
      <w:r>
        <w:t>ботника";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разработка для местных руководящих органов пособия на тему "Генде</w:t>
      </w:r>
      <w:r>
        <w:t>р</w:t>
      </w:r>
      <w:r>
        <w:t>ные и территориальные аспекты";</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поощрение создания предприятий в сельской местности и распростран</w:t>
      </w:r>
      <w:r>
        <w:t>е</w:t>
      </w:r>
      <w:r>
        <w:t>ние прогрессивного опыта в этой области.</w:t>
      </w:r>
    </w:p>
    <w:p w:rsidR="00000000" w:rsidRDefault="00000000">
      <w:pPr>
        <w:pStyle w:val="SingleTxt"/>
        <w:spacing w:after="0" w:line="180" w:lineRule="auto"/>
        <w:rPr>
          <w:sz w:val="10"/>
          <w:lang w:val="en-US"/>
        </w:rPr>
      </w:pPr>
      <w:r>
        <w:br w:type="page"/>
      </w: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310" w:lineRule="exact"/>
        <w:ind w:left="1267" w:right="1267"/>
        <w:jc w:val="center"/>
        <w:rPr>
          <w:b/>
          <w:sz w:val="28"/>
        </w:rPr>
      </w:pPr>
      <w:r>
        <w:rPr>
          <w:b/>
          <w:sz w:val="28"/>
        </w:rPr>
        <w:t>СТАТЬЯ 15</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center"/>
        <w:rPr>
          <w:b/>
          <w:i/>
          <w:sz w:val="24"/>
        </w:rPr>
      </w:pPr>
      <w:r>
        <w:rPr>
          <w:b/>
          <w:i/>
          <w:sz w:val="24"/>
        </w:rPr>
        <w:t>Равенство перед законом</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Как указывалось в предыдущем докладе, равенство перед законом являе</w:t>
      </w:r>
      <w:r>
        <w:t>т</w:t>
      </w:r>
      <w:r>
        <w:t>ся конституционным принципом, применяемым во всех областях (см. пред</w:t>
      </w:r>
      <w:r>
        <w:t>ы</w:t>
      </w:r>
      <w:r>
        <w:t>дущие доклады).</w:t>
      </w:r>
    </w:p>
    <w:p w:rsidR="00000000" w:rsidRDefault="00000000">
      <w:pPr>
        <w:pStyle w:val="SingleTxt"/>
        <w:spacing w:after="0" w:line="180" w:lineRule="auto"/>
        <w:rPr>
          <w:sz w:val="10"/>
          <w:lang w:val="en-US"/>
        </w:rPr>
      </w:pPr>
      <w:r>
        <w:br w:type="page"/>
      </w: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310" w:lineRule="exact"/>
        <w:ind w:left="1267" w:right="1267"/>
        <w:jc w:val="center"/>
        <w:rPr>
          <w:b/>
          <w:sz w:val="28"/>
        </w:rPr>
      </w:pPr>
      <w:r>
        <w:rPr>
          <w:b/>
          <w:sz w:val="28"/>
        </w:rPr>
        <w:t>СТАТЬЯ 16</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center"/>
        <w:rPr>
          <w:b/>
          <w:i/>
          <w:sz w:val="24"/>
        </w:rPr>
      </w:pPr>
      <w:r>
        <w:rPr>
          <w:b/>
          <w:i/>
          <w:sz w:val="24"/>
        </w:rPr>
        <w:t>Брачное и семейное право</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center"/>
        <w:rPr>
          <w:b/>
          <w:i/>
          <w:sz w:val="24"/>
        </w:rPr>
      </w:pPr>
      <w:r>
        <w:rPr>
          <w:b/>
          <w:i/>
          <w:sz w:val="24"/>
        </w:rPr>
        <w:t>(</w:t>
      </w:r>
      <w:r>
        <w:rPr>
          <w:b/>
          <w:i/>
          <w:sz w:val="24"/>
          <w:u w:val="single"/>
        </w:rPr>
        <w:t xml:space="preserve">Примечание: оговорка Франции касается подпунктов </w:t>
      </w:r>
      <w:r>
        <w:rPr>
          <w:b/>
          <w:i/>
          <w:sz w:val="24"/>
          <w:u w:val="single"/>
          <w:lang w:val="en-US"/>
        </w:rPr>
        <w:t>d)</w:t>
      </w:r>
      <w:r>
        <w:rPr>
          <w:b/>
          <w:i/>
          <w:sz w:val="24"/>
          <w:u w:val="single"/>
        </w:rPr>
        <w:t xml:space="preserve"> и </w:t>
      </w:r>
      <w:r>
        <w:rPr>
          <w:b/>
          <w:i/>
          <w:sz w:val="24"/>
          <w:u w:val="single"/>
          <w:lang w:val="en-US"/>
        </w:rPr>
        <w:t>g)</w:t>
      </w:r>
      <w:r>
        <w:rPr>
          <w:b/>
          <w:i/>
          <w:sz w:val="24"/>
          <w:u w:val="single"/>
        </w:rPr>
        <w:t xml:space="preserve"> пункта 1</w:t>
      </w:r>
      <w:r>
        <w:rPr>
          <w:b/>
          <w:i/>
          <w:sz w:val="24"/>
        </w:rPr>
        <w:t>)</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В последние два года правительство проводит серьезную реформу семе</w:t>
      </w:r>
      <w:r>
        <w:t>й</w:t>
      </w:r>
      <w:r>
        <w:t>ного права. Изменения, которые, как было отмечено, претерпевает французское общество в плане заключения браков, изменения структуры семьи и совмес</w:t>
      </w:r>
      <w:r>
        <w:t>т</w:t>
      </w:r>
      <w:r>
        <w:t>ного проживания представителей различных поколений, должны привести к изменению норм этого права. Главная цель этой реформы заключается в пр</w:t>
      </w:r>
      <w:r>
        <w:t>и</w:t>
      </w:r>
      <w:r>
        <w:t>знании семьи в качестве основного структурного элемента, обеспечивающего социальное единство. Этот тезис вытекает из многочисленных докладов и р</w:t>
      </w:r>
      <w:r>
        <w:t>а</w:t>
      </w:r>
      <w:r>
        <w:t>бот, подготовленных исследователями, юристами и социологами по заказу пр</w:t>
      </w:r>
      <w:r>
        <w:t>а</w:t>
      </w:r>
      <w:r>
        <w:t>вительства. В 2001 году эта реформа вступила в стадию законодательного р</w:t>
      </w:r>
      <w:r>
        <w:t>е</w:t>
      </w:r>
      <w:r>
        <w:t>гулирования четырех упомянутых ниже аспектов, по некоторым из которых з</w:t>
      </w:r>
      <w:r>
        <w:t>а</w:t>
      </w:r>
      <w:r>
        <w:t>конодательная база уже изменена: фамилия, права пережившего супруга, род</w:t>
      </w:r>
      <w:r>
        <w:t>и</w:t>
      </w:r>
      <w:r>
        <w:t>тельские права и развод. Следует также упомянуть проект реформы по вопр</w:t>
      </w:r>
      <w:r>
        <w:t>о</w:t>
      </w:r>
      <w:r>
        <w:t>сам родства.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987" w:right="1267" w:hanging="720"/>
        <w:jc w:val="both"/>
        <w:rPr>
          <w:b/>
          <w:sz w:val="24"/>
          <w:u w:val="single"/>
        </w:rPr>
      </w:pPr>
      <w:r>
        <w:rPr>
          <w:b/>
          <w:sz w:val="24"/>
          <w:lang w:val="en-US"/>
        </w:rPr>
        <w:t>I</w:t>
      </w:r>
      <w:r>
        <w:rPr>
          <w:b/>
          <w:sz w:val="24"/>
        </w:rPr>
        <w:t>.</w:t>
      </w:r>
      <w:r>
        <w:rPr>
          <w:b/>
          <w:sz w:val="24"/>
        </w:rPr>
        <w:tab/>
      </w:r>
      <w:r>
        <w:rPr>
          <w:b/>
          <w:sz w:val="24"/>
          <w:u w:val="single"/>
        </w:rPr>
        <w:t>Фамилия</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Закон № 2002-304, касающийся фамилии, был принят 4 марта 2002 года. Он вписывается в русло нынешней дискуссии о равенстве и направлен на обеспечение того, чтобы каждый ребенок мог на законных основаниях носить имя своего отца или матери.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Принцип передачи ребенку имени отца восходит к феодальной традиции, связанной с привилегиями первородства и принадлежности к мужскому полу. Однако этот механизм, закрепляющий главенство отца семьи, выпадает из о</w:t>
      </w:r>
      <w:r>
        <w:t>б</w:t>
      </w:r>
      <w:r>
        <w:t>щего русла эволюции нашего общества в последнее время. Появилось много женщин, не желающих по традиции брать фамилию мужа и предпочитающих сохранить девичью фамилию. Ввиду равенства супругов и равного распредел</w:t>
      </w:r>
      <w:r>
        <w:t>е</w:t>
      </w:r>
      <w:r>
        <w:t>ния родительских обязанностей сегодня необходимо изменить правила выбора фамилии для детей.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Принятием новых законодательных положений о фамилии устанавливае</w:t>
      </w:r>
      <w:r>
        <w:t>т</w:t>
      </w:r>
      <w:r>
        <w:t>ся принцип свободного выбора: впредь родители смогут выбирать фамилию для своего ребенка путем представления совместного устного заявления с</w:t>
      </w:r>
      <w:r>
        <w:t>о</w:t>
      </w:r>
      <w:r>
        <w:t>труднику отдела записи актов гражданского состояния. Это может быть фам</w:t>
      </w:r>
      <w:r>
        <w:t>и</w:t>
      </w:r>
      <w:r>
        <w:t>лия отца или фамилия матери либо фамилия отца и матери одновременно, сл</w:t>
      </w:r>
      <w:r>
        <w:t>е</w:t>
      </w:r>
      <w:r>
        <w:t>дующие друг за другом в произвольной последовательности, при том условии, что фамилия каждого из родителей должна быть односложной. Фамилию, и</w:t>
      </w:r>
      <w:r>
        <w:t>з</w:t>
      </w:r>
      <w:r>
        <w:t>бранную для первого ребенка в семье, будут носить и все другие дети, рожде</w:t>
      </w:r>
      <w:r>
        <w:t>н</w:t>
      </w:r>
      <w:r>
        <w:t>ные в этой семье. Вместе с тем ребенок будет автоматически носить фамилию отца в тех случаях, когда родители не заявляют о каком</w:t>
      </w:r>
      <w:r>
        <w:noBreakHyphen/>
        <w:t>либо ином выборе или когда они не могут прийти к согласию.</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pPr>
      <w:r>
        <w:tab/>
        <w:t>Преимущество такого нового подхода заключается в том, что он позволяет покончить со стигматизацией внебрачных детей, которые могли носить только фамилию матери.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sz w:val="24"/>
          <w:u w:val="single"/>
        </w:rPr>
      </w:pPr>
      <w:r>
        <w:rPr>
          <w:b/>
          <w:sz w:val="24"/>
        </w:rPr>
        <w:t>II.</w:t>
      </w:r>
      <w:r>
        <w:rPr>
          <w:b/>
          <w:sz w:val="24"/>
        </w:rPr>
        <w:tab/>
      </w:r>
      <w:r>
        <w:rPr>
          <w:b/>
          <w:sz w:val="24"/>
          <w:u w:val="single"/>
        </w:rPr>
        <w:t>Права пережившего супруга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3 декабря 2001 года был поставлен на голосование закон № 2001</w:t>
      </w:r>
      <w:r>
        <w:noBreakHyphen/>
        <w:t>1135, к</w:t>
      </w:r>
      <w:r>
        <w:t>а</w:t>
      </w:r>
      <w:r>
        <w:t>сающийся прав пережившего супруга и внебрачных детей, которым были а</w:t>
      </w:r>
      <w:r>
        <w:t>к</w:t>
      </w:r>
      <w:r>
        <w:t>туализированы различные нормы права наследования и, в частности, расшир</w:t>
      </w:r>
      <w:r>
        <w:t>е</w:t>
      </w:r>
      <w:r>
        <w:t>ны права наследования переживших супругов. Этот закон касается в первую очередь женщин, средняя продолжительность  жизни которых на несколько лет превышает среднюю продолжительность жизни мужчин, в связи с чем на них приходится 80% переживших супругов, при этом сроки их вдовства увелич</w:t>
      </w:r>
      <w:r>
        <w:t>и</w:t>
      </w:r>
      <w:r>
        <w:t>ваются. Во</w:t>
      </w:r>
      <w:r>
        <w:noBreakHyphen/>
        <w:t>первых, этот закон наделяет пережившего супруга преимуществе</w:t>
      </w:r>
      <w:r>
        <w:t>н</w:t>
      </w:r>
      <w:r>
        <w:t>ными правами на жилье: в течение одного года переживший супруг будет иметь право бесплатно пользоваться жильем, которое он занимал в качестве основного места жительства в день смерти своего супруга, и срок такого пол</w:t>
      </w:r>
      <w:r>
        <w:t>ь</w:t>
      </w:r>
      <w:r>
        <w:t>зования может быть продлен, если он выразит соответствующее желание, до его собственной смерти путем предоставления ему пожизненных прав на вл</w:t>
      </w:r>
      <w:r>
        <w:t>а</w:t>
      </w:r>
      <w:r>
        <w:t>дение и пользование семейным жилищем, а также имеющейся в нем мебелью. Во</w:t>
      </w:r>
      <w:r>
        <w:noBreakHyphen/>
        <w:t>вторых, закон предусматривает, что при отсутствии в завещании полож</w:t>
      </w:r>
      <w:r>
        <w:t>е</w:t>
      </w:r>
      <w:r>
        <w:t>ний, препятствующих этому, супруг наследует все права собственности на часть наследуемого имущества, независимо от состава семьи на день смерти, при этом уточняется, что в тех случаях, когда он наследует такое имущество совместно с детьми, родившимися в браке с покойным, он может избрать узу</w:t>
      </w:r>
      <w:r>
        <w:t>ф</w:t>
      </w:r>
      <w:r>
        <w:t>рукт полного наследования. И наконец, если у покойного супруга никого не о</w:t>
      </w:r>
      <w:r>
        <w:t>с</w:t>
      </w:r>
      <w:r>
        <w:t>тается, кроме дальних родственников, то пережившему супругу отходит че</w:t>
      </w:r>
      <w:r>
        <w:t>т</w:t>
      </w:r>
      <w:r>
        <w:t>верть наследуемого имущества.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sz w:val="24"/>
          <w:u w:val="single"/>
        </w:rPr>
      </w:pPr>
      <w:r>
        <w:rPr>
          <w:b/>
          <w:sz w:val="24"/>
          <w:lang w:val="en-US"/>
        </w:rPr>
        <w:t>III</w:t>
      </w:r>
      <w:r>
        <w:rPr>
          <w:b/>
          <w:sz w:val="24"/>
        </w:rPr>
        <w:t>.</w:t>
      </w:r>
      <w:r>
        <w:rPr>
          <w:b/>
          <w:sz w:val="24"/>
        </w:rPr>
        <w:tab/>
      </w:r>
      <w:r>
        <w:rPr>
          <w:b/>
          <w:sz w:val="24"/>
          <w:u w:val="single"/>
        </w:rPr>
        <w:t>Родительские права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Закон № 2002-305, касающийся родительских прав, был принят 4 марта 2002 года. Согласно этому закону допускается использование понятия совмес</w:t>
      </w:r>
      <w:r>
        <w:t>т</w:t>
      </w:r>
      <w:r>
        <w:t>ных родительских обязанностей, в основе которого лежит триединый принцип: равенство родителей, равенство детей и право ребенка на обоих родителей. Матримониальное положение родителей не должно влиять на формы и условия осуществления родительских прав.</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Некоторые положения текста закона направлены на стабилизацию и укр</w:t>
      </w:r>
      <w:r>
        <w:t>е</w:t>
      </w:r>
      <w:r>
        <w:t>пление института родства на основе повышения обязательств и усиления о</w:t>
      </w:r>
      <w:r>
        <w:t>т</w:t>
      </w:r>
      <w:r>
        <w:t>ветственности, что, в частности, проявляется в поощрении и оформлении пр</w:t>
      </w:r>
      <w:r>
        <w:t>и</w:t>
      </w:r>
      <w:r>
        <w:t>знания детей, унификации действий по установлению отцовства и материнства, ограничении случаев и сроков возможного опротестования родственных св</w:t>
      </w:r>
      <w:r>
        <w:t>я</w:t>
      </w:r>
      <w:r>
        <w:t>зей. Фактически предусматривается одинаковая ответственность обоих родит</w:t>
      </w:r>
      <w:r>
        <w:t>е</w:t>
      </w:r>
      <w:r>
        <w:t>лей за воспитание детей, а также совместное пользование родительскими пр</w:t>
      </w:r>
      <w:r>
        <w:t>а</w:t>
      </w:r>
      <w:r>
        <w:t>вами, независимо от матримониального положения родителей, при условии, что родство устанавливается в течение одного года после рождения ребенка. Закон предусматривает также, что в случае раздельного проживания родителей может быть предусмотрено поочередное проживание ребенка у своих родит</w:t>
      </w:r>
      <w:r>
        <w:t>е</w:t>
      </w:r>
      <w:r>
        <w:t>лей, если это будет соответствовать его интересам. Кроме того, подкрепляется принцип оценки договоренностей между родителями относительно организ</w:t>
      </w:r>
      <w:r>
        <w:t>а</w:t>
      </w:r>
      <w:r>
        <w:t>ции жизни их детей, в частности в случае раздельного проживания родителей. В этой связи подчеркивается важная роль посредничества между членами с</w:t>
      </w:r>
      <w:r>
        <w:t>е</w:t>
      </w:r>
      <w:r>
        <w:t>мьи.</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sz w:val="24"/>
          <w:u w:val="single"/>
        </w:rPr>
      </w:pPr>
      <w:r>
        <w:rPr>
          <w:b/>
          <w:sz w:val="24"/>
          <w:lang w:val="en-US"/>
        </w:rPr>
        <w:t>IV</w:t>
      </w:r>
      <w:r>
        <w:rPr>
          <w:b/>
          <w:sz w:val="24"/>
        </w:rPr>
        <w:t>.</w:t>
      </w:r>
      <w:r>
        <w:rPr>
          <w:b/>
          <w:sz w:val="24"/>
        </w:rPr>
        <w:tab/>
      </w:r>
      <w:r>
        <w:rPr>
          <w:b/>
          <w:sz w:val="24"/>
          <w:u w:val="single"/>
        </w:rPr>
        <w:t>Развод</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1.</w:t>
      </w:r>
      <w:r>
        <w:tab/>
        <w:t xml:space="preserve">10 октября 2001 года Национальное собрание приняла в первом чтении </w:t>
      </w:r>
      <w:r>
        <w:rPr>
          <w:i/>
        </w:rPr>
        <w:t>законопроект о реформе законодательных положений, касающихся развода</w:t>
      </w:r>
      <w:r>
        <w:t>, однако процесс его принятия не удалось завершить до конца работы законод</w:t>
      </w:r>
      <w:r>
        <w:t>а</w:t>
      </w:r>
      <w:r>
        <w:t>тельного органа. В тексте делается попытка предусмотреть самые различные семейные ситуации, которые наблюдаются в настоящее время, и в то же время дедрам</w:t>
      </w:r>
      <w:r>
        <w:t>а</w:t>
      </w:r>
      <w:r>
        <w:t xml:space="preserve">тизировать процедуру развода.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Этот законопроект расширяет сферу применения мер, которые могут быть приняты на основании положений статьи 220</w:t>
      </w:r>
      <w:r>
        <w:noBreakHyphen/>
        <w:t>1 Уголовного кодекса, допу</w:t>
      </w:r>
      <w:r>
        <w:t>с</w:t>
      </w:r>
      <w:r>
        <w:t>кающей вмешательство судьи в семейные дела до применения процедуры ра</w:t>
      </w:r>
      <w:r>
        <w:t>з</w:t>
      </w:r>
      <w:r>
        <w:t>вода в тех случаях, когда один из супругов явно не выполняет своих обязанн</w:t>
      </w:r>
      <w:r>
        <w:t>о</w:t>
      </w:r>
      <w:r>
        <w:t>стей и тем самым ставит под угрозу интересы семьи. Впредь, помимо мер, к</w:t>
      </w:r>
      <w:r>
        <w:t>а</w:t>
      </w:r>
      <w:r>
        <w:t>сающихся имущества супругов, судья может принимать меры по организации жизни конкретной семьи и, в частности, выносить постановления о раздельном проживании супругов путем, например, принятия решения об отселении, если это необходимо, супруга, допускающего акты насилия, и в соответствующих случаях выносить решения об условиях и формах пользования родительскими правами. Эти положения должны, в частности, позволить женщинам, ставшим жертвами насилия в семье, получать некоторую защиту, не теряя своих прав, предусмотренных процедурой развода. Этот особый режим, применяемый в случаях насилия в семье, свидетельствует о признании, как символическом, так и материальном, этих фактов в качестве особо тяжких правонарушений.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Кроме того, этот законопроект устранит многочисленные варианты пр</w:t>
      </w:r>
      <w:r>
        <w:t>о</w:t>
      </w:r>
      <w:r>
        <w:t>цедуры развода, из которых останутся лишь два: развод по взаимному согл</w:t>
      </w:r>
      <w:r>
        <w:t>а</w:t>
      </w:r>
      <w:r>
        <w:t>сию и развод по причине непоправимого разрыва супружеских отношений. В обоих случаях развод является лишь констатацией неудачного исхода. Выбор того или иного варианта будет зависеть исключительно от способности супр</w:t>
      </w:r>
      <w:r>
        <w:t>у</w:t>
      </w:r>
      <w:r>
        <w:t>гов быстро договориться об условиях расторжения их союза. Подобный подход является новаторским во Франции, поскольку в течение многих лет процедура развода основывалась на доказательстве вины того или иного су</w:t>
      </w:r>
      <w:r>
        <w:t>п</w:t>
      </w:r>
      <w:r>
        <w:t>руга.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По этому вопросу сенат принял представленные Национальным собран</w:t>
      </w:r>
      <w:r>
        <w:t>и</w:t>
      </w:r>
      <w:r>
        <w:t>ем поправки к процедуре развода по взаимному согласию. Таким образом, с</w:t>
      </w:r>
      <w:r>
        <w:t>о</w:t>
      </w:r>
      <w:r>
        <w:t>гласно существующим текстам, для принятия решения о разводе требуется лишь одно заседание, за исключением случаев, когда судья отказывает в оф</w:t>
      </w:r>
      <w:r>
        <w:t>и</w:t>
      </w:r>
      <w:r>
        <w:t>циальном утверждении соглашения между супругами. В этом случае дело б</w:t>
      </w:r>
      <w:r>
        <w:t>у</w:t>
      </w:r>
      <w:r>
        <w:t>дет рассмотрено на втором заседании при условии представления не позднее чем в течение шести месяцев нового соглашения. Контроль со стороны судьи за свободой согласия и за соблюдением интересов детей и каждого супруга с</w:t>
      </w:r>
      <w:r>
        <w:t>о</w:t>
      </w:r>
      <w:r>
        <w:t>храняется.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Вместе с тем между законодателями по</w:t>
      </w:r>
      <w:r>
        <w:noBreakHyphen/>
        <w:t xml:space="preserve">прежнему существуют серьезные разногласия в вопросе о разводе по вине одного из супругов.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Кроме того, рассматриваемый нормативный акт закрепляет важную роль посредничества, которое становится средством улаживания семейных ко</w:t>
      </w:r>
      <w:r>
        <w:t>н</w:t>
      </w:r>
      <w:r>
        <w:t>фликтов и должно способствовать принятию супругами того правового пол</w:t>
      </w:r>
      <w:r>
        <w:t>о</w:t>
      </w:r>
      <w:r>
        <w:t>жения, которое будет предусмотрено процедурой урегулирования споров после развода.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2.</w:t>
      </w:r>
      <w:r>
        <w:tab/>
      </w:r>
      <w:r>
        <w:rPr>
          <w:i/>
        </w:rPr>
        <w:t>Закон № 2000-596 от 30 июня 2000 года, касающийся компенсации в связи с разводом</w:t>
      </w:r>
      <w:r>
        <w:t>, предусматривает выплату одним из супругов компенсации другому супругу и определяет, какой из супругов обязан компенсировать другому су</w:t>
      </w:r>
      <w:r>
        <w:t>п</w:t>
      </w:r>
      <w:r>
        <w:t>ругу неравенство, возникшее в условиях их жизни по причине разрыва семе</w:t>
      </w:r>
      <w:r>
        <w:t>й</w:t>
      </w:r>
      <w:r>
        <w:t>ных уз после развода. Законом предусмотрено также, что такая компенсация должна обязательно выражаться в денежной форме, выплата которой может быть распределена на восемь лет, а в исключительных случаях, например по причине возраста или состояния здоровья кредитора, она может носить форму ренты, притом обязательно пожизненной.</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267" w:right="1267"/>
        <w:jc w:val="both"/>
      </w:pPr>
      <w:r>
        <w:tab/>
        <w:t>Этот закон содержит также положения, позволяющие использовать упр</w:t>
      </w:r>
      <w:r>
        <w:t>о</w:t>
      </w:r>
      <w:r>
        <w:t>щенную процедуру пересмотра ренты, уже назначенной к выплате одному из супругов после развода, в случае серьезных изменений в положении сторон. Следует отметить, что уровень ренты может только снижаться (но не пов</w:t>
      </w:r>
      <w:r>
        <w:t>ы</w:t>
      </w:r>
      <w:r>
        <w:t xml:space="preserve">шаться) и что рента может быть заменена определенной денежной суммой. </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270" w:lineRule="exact"/>
        <w:ind w:left="1267" w:right="1267"/>
        <w:jc w:val="both"/>
        <w:rPr>
          <w:b/>
          <w:sz w:val="24"/>
          <w:u w:val="single"/>
        </w:rPr>
      </w:pPr>
      <w:r>
        <w:rPr>
          <w:b/>
          <w:sz w:val="24"/>
          <w:lang w:val="en-US"/>
        </w:rPr>
        <w:t>V</w:t>
      </w:r>
      <w:r>
        <w:rPr>
          <w:b/>
          <w:sz w:val="24"/>
        </w:rPr>
        <w:t>.</w:t>
      </w:r>
      <w:r>
        <w:rPr>
          <w:b/>
          <w:sz w:val="24"/>
        </w:rPr>
        <w:tab/>
      </w:r>
      <w:r>
        <w:rPr>
          <w:b/>
          <w:sz w:val="24"/>
          <w:u w:val="single"/>
        </w:rPr>
        <w:t>Планируемая реформа понятия родства</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r>
        <w:tab/>
        <w:t>На рассмотрение Национального собрания в ходе следующего законод</w:t>
      </w:r>
      <w:r>
        <w:t>а</w:t>
      </w:r>
      <w:r>
        <w:t>тельного периода должен быть внесен законопроект о родстве. В тексте этого законопроекта в полной мере закрепляется фигурировавший еще в законе от 3 января 1972 года принцип равенства родственных связей, для чего, в частн</w:t>
      </w:r>
      <w:r>
        <w:t>о</w:t>
      </w:r>
      <w:r>
        <w:t>сти, отменяются понятия законного и внебрачного происхождения ребенка, на которые в настоящее время опираются законодательные нормы по вопросам родства. Таким образом, эти законодательные нормы будут реорганизованы и подразделены на два крупных раздела, один из которых будет посвящен мат</w:t>
      </w:r>
      <w:r>
        <w:t>е</w:t>
      </w:r>
      <w:r>
        <w:t>ринству, а другой - отцовству. Что касается происхождения ребенка от конкре</w:t>
      </w:r>
      <w:r>
        <w:t>т</w:t>
      </w:r>
      <w:r>
        <w:t>ной матери, то оно будет в основном устанавливаться путем указания фамилии матери в свидетельстве о рождении; таким образом, впредь незамужняя мать не должна будет проходить процедуру признания своего ребенка. Тем самым б</w:t>
      </w:r>
      <w:r>
        <w:t>у</w:t>
      </w:r>
      <w:r>
        <w:t xml:space="preserve">дет закреплена норма </w:t>
      </w:r>
      <w:r>
        <w:rPr>
          <w:i/>
          <w:lang w:val="en-US"/>
        </w:rPr>
        <w:t>mater semper certa est</w:t>
      </w:r>
      <w:r>
        <w:t>. И наконец, будут унифицированы и упрощены судебные действия по установлению и опротестованию родстве</w:t>
      </w:r>
      <w:r>
        <w:t>н</w:t>
      </w:r>
      <w:r>
        <w:t>ных связей. С этой целью будут установлены общие сроки и ограничено число лиц, имеющих право возбуждать дела по этим вопросам.</w:t>
      </w:r>
    </w:p>
    <w:p w:rsidR="00000000" w:rsidRDefault="00000000">
      <w:pPr>
        <w:pStyle w:val="SingleTxt"/>
        <w:spacing w:after="0" w:line="180" w:lineRule="auto"/>
        <w:rPr>
          <w:sz w:val="10"/>
          <w:lang w:val="en-US"/>
        </w:rPr>
      </w:pPr>
      <w:r>
        <w:br w:type="page"/>
      </w: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line="310" w:lineRule="exact"/>
        <w:ind w:left="1267" w:right="1267"/>
        <w:jc w:val="center"/>
        <w:rPr>
          <w:sz w:val="28"/>
        </w:rPr>
      </w:pPr>
      <w:r>
        <w:rPr>
          <w:b/>
          <w:sz w:val="28"/>
          <w:u w:val="single"/>
        </w:rPr>
        <w:t>Перечень приложений</w:t>
      </w:r>
      <w:r>
        <w:rPr>
          <w:rStyle w:val="FootnoteReference"/>
          <w:b/>
          <w:sz w:val="28"/>
          <w:u w:val="single"/>
        </w:rPr>
        <w:footnoteReference w:customMarkFollows="1" w:id="9"/>
        <w:t>*</w:t>
      </w:r>
    </w:p>
    <w:p w:rsidR="00000000" w:rsidRDefault="00000000">
      <w:pPr>
        <w:pStyle w:val="SingleTxt"/>
        <w:spacing w:after="0" w:line="180" w:lineRule="auto"/>
        <w:rPr>
          <w:sz w:val="10"/>
          <w:lang w:val="en-US"/>
        </w:rPr>
      </w:pPr>
    </w:p>
    <w:p w:rsidR="00000000" w:rsidRDefault="00000000">
      <w:pPr>
        <w:pStyle w:val="SingleTxt"/>
        <w:spacing w:after="0" w:line="180" w:lineRule="auto"/>
        <w:rPr>
          <w:sz w:val="10"/>
          <w:lang w:val="en-US"/>
        </w:rPr>
      </w:pP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ind w:left="1742" w:right="1267" w:hanging="475"/>
        <w:jc w:val="both"/>
      </w:pPr>
      <w:r>
        <w:t>-</w:t>
      </w:r>
      <w:r>
        <w:tab/>
        <w:t>Основные даты и цифры по вопросам равенства в 2001 году</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Бюджетное приложение (так называемые "желтые страницы" бюджета) к закону о финансах 2002 года, в котором показаны ассигнования на осущ</w:t>
      </w:r>
      <w:r>
        <w:t>е</w:t>
      </w:r>
      <w:r>
        <w:t>ствление мероприятий в защиту прав женщин</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Циркуляр министра внутренних дел, министра занятости и солидарности и государственного секретаря по вопросам прав женщин и професси</w:t>
      </w:r>
      <w:r>
        <w:t>о</w:t>
      </w:r>
      <w:r>
        <w:t>нальной подготовки от 2 февраля 2001 года, касающийся групп реги</w:t>
      </w:r>
      <w:r>
        <w:t>о</w:t>
      </w:r>
      <w:r>
        <w:t>нальных делегатов и уполномоченных департаментов по правам женщин и равенству, а также функционирования местной сети служб по правам человека и равенству</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Закон № 2000-493 от 6 июня 2000 года о содействии равному доступу мужчин и женщин к выборным должностям</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Заключение Экономического и социального совета от 20 декабря 2000 года о месте женщин в экономических и социальных органах и в рамках общественного диалога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Заключение Высшего совета по равенству в профессиональной сфере от 20 декабря 2000 года относительно доступа женщин к мандатам и отве</w:t>
      </w:r>
      <w:r>
        <w:t>т</w:t>
      </w:r>
      <w:r>
        <w:t>ственным постам в профсоюзах и т.д.</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 xml:space="preserve">Закон № 2001-397 от 9 мая 2001 года о равноправии мужчин и женщин в области профессиональной деятельности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Циркуляр премьер-министра от 6 марта 2000 года о подготовке многоле</w:t>
      </w:r>
      <w:r>
        <w:t>т</w:t>
      </w:r>
      <w:r>
        <w:t>них планов улучшения доступа женщин к высшим должностям государс</w:t>
      </w:r>
      <w:r>
        <w:t>т</w:t>
      </w:r>
      <w:r>
        <w:t xml:space="preserve">венной службы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Циркуляр министра государственной администрации от 5 декабря 2000 года об элементах количественной и качественной информации, н</w:t>
      </w:r>
      <w:r>
        <w:t>е</w:t>
      </w:r>
      <w:r>
        <w:t>обходимых для того, чтобы генеральная дирекция по вопросам админис</w:t>
      </w:r>
      <w:r>
        <w:t>т</w:t>
      </w:r>
      <w:r>
        <w:t>рации и государственной службы могла лучше знать положение мужчин и женщин</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Закон № 2001-1 от 3 января 2001 года, касающийся наделения правител</w:t>
      </w:r>
      <w:r>
        <w:t>ь</w:t>
      </w:r>
      <w:r>
        <w:t>ства полномочиями выносить постановления о введении в действие д</w:t>
      </w:r>
      <w:r>
        <w:t>и</w:t>
      </w:r>
      <w:r>
        <w:t>ректив Сообщества, в том числе директивы 92/95 от 19 октября 1992 года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Рекомендация Бюро по проверке рекламного материала на тему "Образ человеческой личности" от 16 октября 2001 года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Закон № 2002-93 от 22 января 2002 года о доступе к данным о происхо</w:t>
      </w:r>
      <w:r>
        <w:t>ж</w:t>
      </w:r>
      <w:r>
        <w:t>дении приемных детей и лиц, находящихся на государственном попеч</w:t>
      </w:r>
      <w:r>
        <w:t>е</w:t>
      </w:r>
      <w:r>
        <w:t>нии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Циркуляр о сводничестве при отягчающих обстоятельствах от 18 декабря 2001 года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Циркуляр премьер-министра от 8 марта 2000 года относительно адапт</w:t>
      </w:r>
      <w:r>
        <w:t>а</w:t>
      </w:r>
      <w:r>
        <w:t>ции государственного статистического механизма с целью более глубок</w:t>
      </w:r>
      <w:r>
        <w:t>о</w:t>
      </w:r>
      <w:r>
        <w:t xml:space="preserve">го изучения положения соответственно мужчин и женщин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 xml:space="preserve">Межминистерское соглашение от 25 февраля 2000 года о содействии обеспечению равных возможностей для девочек и мальчиков, а также женщин и мужчин в системе образования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 xml:space="preserve">Постановление министерства национального образования от 19 октября 2000 года об учреждении национального комитета по борьбе с насилием в школах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Закон № 2001-1066 о борьбе с дискриминацией от 16 ноября 2001 года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Закон № 2002-73 об общественном обновлении от 17 января 2002 года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Закон № 2001-1246 от 21 декабря 2001 года о финансировании системы социального обеспечения на 2002 год, предусматривающий создание и</w:t>
      </w:r>
      <w:r>
        <w:t>н</w:t>
      </w:r>
      <w:r>
        <w:t xml:space="preserve">ститута отпуска для отца (статья 55) </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Закон № 2001-588 от 4 июля 2001 года о добровольном прерывании бер</w:t>
      </w:r>
      <w:r>
        <w:t>е</w:t>
      </w:r>
      <w:r>
        <w:t>менности и контрацепции</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Циркуляр о предоставлении жилья женщинам, находящимся в тяжелом положении, от 8 марта 2000 года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Закон № 2000-627 от 6 июля 2000 года о внесении поправок в з</w:t>
      </w:r>
      <w:r>
        <w:t>а</w:t>
      </w:r>
      <w:r>
        <w:t>кон № 84</w:t>
      </w:r>
      <w:r>
        <w:noBreakHyphen/>
        <w:t>610 от 16 июля 1984 года, касающийся организации и развития деятельности в области физкультуры и спорта (статья 8 и подпункт 16 раздела </w:t>
      </w:r>
      <w:r>
        <w:rPr>
          <w:lang w:val="en-US"/>
        </w:rPr>
        <w:t>III</w:t>
      </w:r>
      <w:r>
        <w:t>)</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Закон № 99-574 от 9 июля 1999 года о сельскохозяйственной подготовке, устанавливающий статус супруги - сотрудницы сельскохозяйственного предприятия</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Закон № 2002-304 о фамилии от 4 марта 2002 года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Закон № 2001-1135 от 3 декабря 2001 года, касающийся прав переживш</w:t>
      </w:r>
      <w:r>
        <w:t>е</w:t>
      </w:r>
      <w:r>
        <w:t>го супруга и внебрачных детей и вносящий изменения в различные пол</w:t>
      </w:r>
      <w:r>
        <w:t>о</w:t>
      </w:r>
      <w:r>
        <w:t>жения наследственного права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Закон № 2002-305 о правах родителей от 4 марта 2002 года</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742" w:right="1267" w:hanging="475"/>
        <w:jc w:val="both"/>
      </w:pPr>
      <w:r>
        <w:t>-</w:t>
      </w:r>
      <w:r>
        <w:tab/>
        <w:t>Постановление № 2001-173 от 22 февраля 2001 года о введении в дейс</w:t>
      </w:r>
      <w:r>
        <w:t>т</w:t>
      </w:r>
      <w:r>
        <w:t>вие директивы 92/85/СЕЕ от 19 октября 1992 года, касающейся принятия мер, направленных на содействие повышению безопасности и улучшению санитарных условий, в которых работают беременные, родившие или кормящие грудью женщины, а также постановление № 2001</w:t>
      </w:r>
      <w:r>
        <w:noBreakHyphen/>
        <w:t>173 от 22 февраля 2001 года и доклад президента Республики по нему.</w:t>
      </w:r>
    </w:p>
    <w:p w:rsidR="00000000" w:rsidRDefault="00000000">
      <w:pPr>
        <w:tabs>
          <w:tab w:val="left" w:pos="1267"/>
          <w:tab w:val="left" w:pos="1742"/>
          <w:tab w:val="left" w:pos="2218"/>
          <w:tab w:val="left" w:pos="2693"/>
          <w:tab w:val="left" w:pos="3182"/>
          <w:tab w:val="left" w:pos="3658"/>
          <w:tab w:val="left" w:pos="4133"/>
          <w:tab w:val="left" w:pos="4622"/>
          <w:tab w:val="left" w:pos="5098"/>
          <w:tab w:val="left" w:pos="5573"/>
          <w:tab w:val="left" w:pos="6062"/>
          <w:tab w:val="left" w:pos="6538"/>
          <w:tab w:val="left" w:pos="7013"/>
          <w:tab w:val="left" w:pos="7502"/>
          <w:tab w:val="left" w:pos="7978"/>
          <w:tab w:val="left" w:pos="8453"/>
        </w:tabs>
        <w:spacing w:after="120"/>
        <w:ind w:left="1267" w:right="1267"/>
        <w:jc w:val="both"/>
      </w:pPr>
    </w:p>
    <w:sectPr w:rsidR="00000000">
      <w:headerReference w:type="even" r:id="rId14"/>
      <w:headerReference w:type="default" r:id="rId15"/>
      <w:footerReference w:type="even" r:id="rId16"/>
      <w:footerReference w:type="default" r:id="rId17"/>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NO&gt;&gt;N0261078R&lt;&lt;ODS JOB NO&gt;&gt;</w:t>
      </w:r>
    </w:p>
    <w:p w:rsidR="00000000" w:rsidRDefault="00000000">
      <w:pPr>
        <w:pStyle w:val="CommentText"/>
      </w:pPr>
      <w:r>
        <w:t>&lt;&lt;ODS DOC SYMBOL1&gt;&gt;CEDAW/C/FRA/5&lt;&lt;ODS DOC SYMBOL1&gt;&gt;</w:t>
      </w:r>
    </w:p>
    <w:p w:rsidR="00000000" w:rsidRDefault="00000000">
      <w:pPr>
        <w:pStyle w:val="CommentText"/>
        <w:rPr>
          <w:lang w:val="en-US"/>
        </w:rPr>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102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02-61078 (R)</w:t>
    </w:r>
  </w:p>
  <w:p w:rsidR="00000000" w:rsidRDefault="00000000">
    <w:pPr>
      <w:pStyle w:val="Footer"/>
      <w:spacing w:before="60" w:line="200" w:lineRule="exact"/>
      <w:rPr>
        <w:rFonts w:ascii="Code 3of9 4.6" w:hAnsi="Code 3of9 4.6"/>
        <w:b w:val="0"/>
        <w:sz w:val="20"/>
      </w:rPr>
    </w:pPr>
    <w:r>
      <w:rPr>
        <w:rFonts w:ascii="Code 3of9 4.6" w:hAnsi="Code 3of9 4.6"/>
        <w:b w:val="0"/>
        <w:sz w:val="20"/>
      </w:rPr>
      <w:t>*0261078*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101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right" w:pos="1195"/>
          <w:tab w:val="left" w:pos="1267"/>
          <w:tab w:val="left" w:pos="1742"/>
          <w:tab w:val="left" w:pos="2218"/>
          <w:tab w:val="left" w:pos="2693"/>
        </w:tabs>
        <w:ind w:left="1195" w:right="1260" w:hanging="360"/>
        <w:jc w:val="both"/>
      </w:pPr>
      <w:r>
        <w:tab/>
      </w:r>
      <w:r>
        <w:rPr>
          <w:rStyle w:val="FootnoteReference"/>
        </w:rPr>
        <w:t>*</w:t>
      </w:r>
      <w:r>
        <w:tab/>
        <w:t>Настоящий документ издается без официальной редакции.</w:t>
      </w:r>
      <w:r>
        <w:rPr>
          <w:lang w:val="en-US"/>
        </w:rPr>
        <w:t xml:space="preserve"> </w:t>
      </w:r>
      <w:r>
        <w:t xml:space="preserve">Первоначальный доклад, представленный правительством Франции, см. в документе </w:t>
      </w:r>
      <w:r>
        <w:rPr>
          <w:lang w:val="en-US"/>
        </w:rPr>
        <w:t xml:space="preserve">CEDAW/C/5/Add.3, </w:t>
      </w:r>
      <w:r>
        <w:t xml:space="preserve">рассмотренном Комитетом на его шестой сессии. Второй периодический доклад, представленный правительством Франции, см в документе </w:t>
      </w:r>
      <w:r>
        <w:rPr>
          <w:lang w:val="en-US"/>
        </w:rPr>
        <w:t xml:space="preserve">CEDAW/C/FRA/2 </w:t>
      </w:r>
      <w:r>
        <w:t xml:space="preserve">и </w:t>
      </w:r>
      <w:r>
        <w:rPr>
          <w:lang w:val="en-US"/>
        </w:rPr>
        <w:t xml:space="preserve">CEDAW/C/FRA/2/Rev.1, </w:t>
      </w:r>
      <w:r>
        <w:t xml:space="preserve">рассмотренных Комитетом на его двенадцатой сессии. Объединенные третий и четвертый периодические доклады, представленные правительством Франции, см. в документах </w:t>
      </w:r>
      <w:r>
        <w:rPr>
          <w:lang w:val="en-US"/>
        </w:rPr>
        <w:t xml:space="preserve">CEDAW/C/FRA/3 и CEDAW/C/FRA/3-4/Corr.1. </w:t>
      </w:r>
      <w:r>
        <w:t>С приложениями можно ознакомиться в секретариате Комитета.</w:t>
      </w:r>
    </w:p>
  </w:footnote>
  <w:footnote w:id="2">
    <w:p w:rsidR="00000000" w:rsidRDefault="00000000">
      <w:pPr>
        <w:pStyle w:val="FootnoteText"/>
        <w:ind w:left="1195" w:firstLine="0"/>
        <w:rPr>
          <w:sz w:val="16"/>
          <w:lang w:val="en-GB"/>
        </w:rPr>
      </w:pPr>
      <w:r>
        <w:rPr>
          <w:rStyle w:val="FootnoteReference"/>
          <w:sz w:val="16"/>
        </w:rPr>
        <w:footnoteRef/>
      </w:r>
      <w:r>
        <w:rPr>
          <w:sz w:val="16"/>
        </w:rPr>
        <w:t xml:space="preserve"> </w:t>
      </w:r>
      <w:r>
        <w:rPr>
          <w:sz w:val="16"/>
          <w:lang w:val="en-US"/>
        </w:rPr>
        <w:tab/>
      </w:r>
      <w:r>
        <w:rPr>
          <w:sz w:val="16"/>
          <w:lang w:val="en-US"/>
        </w:rPr>
        <w:tab/>
      </w:r>
      <w:r>
        <w:rPr>
          <w:sz w:val="16"/>
        </w:rPr>
        <w:t>Директива 2000/43/СЕ от 29 июня 2000 года и директива 2000/78/СЕ от 27 ноября 2000 года.</w:t>
      </w:r>
    </w:p>
    <w:p w:rsidR="00000000" w:rsidRDefault="00000000">
      <w:pPr>
        <w:pStyle w:val="FootnoteText"/>
        <w:ind w:left="0" w:firstLine="0"/>
        <w:rPr>
          <w:sz w:val="16"/>
          <w:lang w:val="en-GB"/>
        </w:rPr>
      </w:pPr>
    </w:p>
  </w:footnote>
  <w:footnote w:id="3">
    <w:p w:rsidR="00000000" w:rsidRDefault="00000000">
      <w:pPr>
        <w:pStyle w:val="FootnoteText"/>
        <w:ind w:left="1195" w:firstLine="0"/>
        <w:jc w:val="both"/>
        <w:rPr>
          <w:sz w:val="16"/>
        </w:rPr>
      </w:pPr>
      <w:r>
        <w:rPr>
          <w:rStyle w:val="FootnoteReference"/>
          <w:sz w:val="16"/>
        </w:rPr>
        <w:footnoteRef/>
      </w:r>
      <w:r>
        <w:rPr>
          <w:sz w:val="16"/>
        </w:rPr>
        <w:t xml:space="preserve"> </w:t>
      </w:r>
      <w:r>
        <w:rPr>
          <w:sz w:val="16"/>
          <w:lang w:val="en-US"/>
        </w:rPr>
        <w:tab/>
      </w:r>
      <w:r>
        <w:rPr>
          <w:sz w:val="16"/>
        </w:rPr>
        <w:t>Согласно этой статье, "дискриминацией является любое различие, проводимое между физическими лицами на основании их происхождения, пола, семейного положения, состояния здоровья, инвалидности, обычаев, политических взглядов, профсоюзной деятельности, подлинной или предполагаемой принадлежности или непринадлежности к определенной этнической группе, национальности, расе или религии".</w:t>
      </w:r>
    </w:p>
  </w:footnote>
  <w:footnote w:id="4">
    <w:p w:rsidR="00000000" w:rsidRDefault="00000000">
      <w:pPr>
        <w:pStyle w:val="FootnoteText"/>
        <w:ind w:left="1195" w:firstLine="0"/>
        <w:rPr>
          <w:sz w:val="16"/>
        </w:rPr>
      </w:pPr>
      <w:r>
        <w:rPr>
          <w:rStyle w:val="FootnoteReference"/>
          <w:sz w:val="16"/>
        </w:rPr>
        <w:footnoteRef/>
      </w:r>
      <w:r>
        <w:rPr>
          <w:sz w:val="16"/>
          <w:lang w:val="en-US"/>
        </w:rPr>
        <w:tab/>
      </w:r>
      <w:r>
        <w:rPr>
          <w:sz w:val="16"/>
        </w:rPr>
        <w:t>К иммигрантам относятся рожденные за границей лица, имеющие иностранное гражданство или получившие французское гражданство.</w:t>
      </w:r>
    </w:p>
  </w:footnote>
  <w:footnote w:id="5">
    <w:p w:rsidR="00000000" w:rsidRDefault="00000000">
      <w:pPr>
        <w:pStyle w:val="FootnoteText"/>
        <w:ind w:left="1670"/>
      </w:pPr>
      <w:r>
        <w:rPr>
          <w:rStyle w:val="FootnoteReference"/>
        </w:rPr>
        <w:footnoteRef/>
      </w:r>
      <w:r>
        <w:t xml:space="preserve"> </w:t>
      </w:r>
      <w:r>
        <w:tab/>
        <w:t>Этот текст воспроизводится в главе, посвященной статье 16 Конвенции.</w:t>
      </w:r>
    </w:p>
  </w:footnote>
  <w:footnote w:id="6">
    <w:p w:rsidR="00000000" w:rsidRDefault="00000000">
      <w:pPr>
        <w:pStyle w:val="FootnoteText"/>
        <w:ind w:left="1195" w:firstLine="0"/>
      </w:pPr>
      <w:r>
        <w:rPr>
          <w:rStyle w:val="FootnoteReference"/>
        </w:rPr>
        <w:footnoteRef/>
      </w:r>
      <w:r>
        <w:t xml:space="preserve"> </w:t>
      </w:r>
      <w:r>
        <w:rPr>
          <w:lang w:val="en-US"/>
        </w:rPr>
        <w:tab/>
      </w:r>
      <w:r>
        <w:t>"</w:t>
      </w:r>
      <w:r>
        <w:rPr>
          <w:i/>
        </w:rPr>
        <w:t>Les enseignants-chercheurs à l'université: la places des femmes"</w:t>
      </w:r>
      <w:r>
        <w:t>, mars 2000, par Huguette Delavault,. Claudine Hermann et Noria Boukhоbza, avec la participation de F.Cyrot</w:t>
      </w:r>
      <w:r>
        <w:noBreakHyphen/>
        <w:t>Lackmann.</w:t>
      </w:r>
    </w:p>
    <w:p w:rsidR="00000000" w:rsidRDefault="00000000">
      <w:pPr>
        <w:pStyle w:val="FootnoteText"/>
        <w:ind w:left="1195" w:firstLine="0"/>
        <w:jc w:val="both"/>
      </w:pPr>
    </w:p>
    <w:p w:rsidR="00000000" w:rsidRDefault="00000000">
      <w:pPr>
        <w:pStyle w:val="FootnoteText"/>
        <w:ind w:left="1195" w:firstLine="0"/>
        <w:jc w:val="both"/>
      </w:pPr>
      <w:r>
        <w:tab/>
      </w:r>
      <w:r>
        <w:rPr>
          <w:i/>
        </w:rPr>
        <w:t>"Les femmes dans les filières de l'enseignement supèriur"</w:t>
      </w:r>
      <w:r>
        <w:t>, octobre 2000, par Laurence Broze, Huguette Delavault et Julianne Unterberger.</w:t>
      </w:r>
    </w:p>
  </w:footnote>
  <w:footnote w:id="7">
    <w:p w:rsidR="00000000" w:rsidRDefault="00000000">
      <w:pPr>
        <w:pStyle w:val="FootnoteText"/>
        <w:ind w:left="1195" w:firstLine="0"/>
        <w:jc w:val="both"/>
      </w:pPr>
      <w:r>
        <w:rPr>
          <w:rStyle w:val="FootnoteReference"/>
        </w:rPr>
        <w:footnoteRef/>
      </w:r>
      <w:r>
        <w:t xml:space="preserve"> </w:t>
      </w:r>
      <w:r>
        <w:tab/>
        <w:t>"Enquète sur l'emploi de mars 2001" Insee Première juin 2001 et "L'èvolution rècente de scolaritès et de l'insertion professionnelle de</w:t>
      </w:r>
      <w:r>
        <w:rPr>
          <w:lang w:val="en-US"/>
        </w:rPr>
        <w:t>s</w:t>
      </w:r>
      <w:r>
        <w:t xml:space="preserve"> jeunes (1998</w:t>
      </w:r>
      <w:r>
        <w:noBreakHyphen/>
        <w:t>2000)" Première informations Premières Synthèses juin 2001.</w:t>
      </w:r>
    </w:p>
  </w:footnote>
  <w:footnote w:id="8">
    <w:p w:rsidR="00000000" w:rsidRDefault="00000000">
      <w:pPr>
        <w:pStyle w:val="FootnoteText"/>
        <w:ind w:left="1670"/>
      </w:pPr>
      <w:r>
        <w:rPr>
          <w:rStyle w:val="FootnoteReference"/>
        </w:rPr>
        <w:footnoteRef/>
      </w:r>
      <w:r>
        <w:t xml:space="preserve"> </w:t>
      </w:r>
      <w:r>
        <w:tab/>
      </w:r>
      <w:r>
        <w:rPr>
          <w:lang w:val="en-US"/>
        </w:rPr>
        <w:t>"Les facteurs de recours aux contrats temporaires"Premières Informations Premières Sythèses juin 2000.</w:t>
      </w:r>
    </w:p>
  </w:footnote>
  <w:footnote w:id="9">
    <w:p w:rsidR="00000000" w:rsidRDefault="00000000">
      <w:pPr>
        <w:pStyle w:val="FootnoteText"/>
        <w:ind w:left="1670"/>
      </w:pPr>
      <w:r>
        <w:rPr>
          <w:rStyle w:val="FootnoteReference"/>
        </w:rPr>
        <w:t>*</w:t>
      </w:r>
      <w:r>
        <w:tab/>
        <w:t>С содержанием приложений можно ознакомиться в секретариате Комитета.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80"/>
            <w:jc w:val="right"/>
            <w:rPr>
              <w:position w:val="-4"/>
              <w:sz w:val="20"/>
            </w:rPr>
          </w:pPr>
          <w:r>
            <w:rPr>
              <w:position w:val="-4"/>
              <w:sz w:val="40"/>
            </w:rPr>
            <w:t>CEDAW</w:t>
          </w:r>
          <w:r>
            <w:rPr>
              <w:position w:val="-4"/>
              <w:sz w:val="20"/>
            </w:rPr>
            <w:t>/C/FRA/5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26 September 2002</w:t>
          </w:r>
        </w:p>
        <w:p w:rsidR="00000000" w:rsidRDefault="00000000">
          <w:pPr>
            <w:rPr>
              <w:lang w:val="en-US"/>
            </w:rPr>
          </w:pPr>
          <w:r>
            <w:rPr>
              <w:lang w:val="en-US"/>
            </w:rPr>
            <w:t>Russian</w:t>
          </w:r>
        </w:p>
        <w:p w:rsidR="00000000" w:rsidRDefault="00000000">
          <w:pPr>
            <w:rPr>
              <w:lang w:val="en-US"/>
            </w:rPr>
          </w:pPr>
          <w:r>
            <w:rPr>
              <w:lang w:val="en-US"/>
            </w:rPr>
            <w:t>Original: French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70"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CEDAW/C/FRA/5</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9"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CEDAW/C/FRA/5</w:t>
                      </w:r>
                    </w:p>
                  </w:tc>
                </w:tr>
              </w:tbl>
              <w:p w:rsidR="00000000" w:rsidRDefault="00000000"/>
            </w:txbxContent>
          </v:textbox>
          <w10:wrap type="topAndBottom"/>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0"/>
    <w:multiLevelType w:val="singleLevel"/>
    <w:tmpl w:val="7EA4CB7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CF65F6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49E7B2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EAC24B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9">
    <w:nsid w:val="FFFFFF89"/>
    <w:multiLevelType w:val="singleLevel"/>
    <w:tmpl w:val="C77429B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9D24B9"/>
    <w:multiLevelType w:val="multilevel"/>
    <w:tmpl w:val="298AFE0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
    <w:nsid w:val="01164C87"/>
    <w:multiLevelType w:val="multilevel"/>
    <w:tmpl w:val="5C3AAD5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2343421"/>
    <w:multiLevelType w:val="multilevel"/>
    <w:tmpl w:val="115401C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27D3769"/>
    <w:multiLevelType w:val="multilevel"/>
    <w:tmpl w:val="CC928E0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02E24E31"/>
    <w:multiLevelType w:val="singleLevel"/>
    <w:tmpl w:val="D7F69D26"/>
    <w:lvl w:ilvl="0">
      <w:start w:val="12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
    <w:nsid w:val="03730693"/>
    <w:multiLevelType w:val="multilevel"/>
    <w:tmpl w:val="AB94B7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049045B1"/>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7">
    <w:nsid w:val="04E0240B"/>
    <w:multiLevelType w:val="multilevel"/>
    <w:tmpl w:val="E7867B74"/>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050F3CC7"/>
    <w:multiLevelType w:val="singleLevel"/>
    <w:tmpl w:val="A66E3956"/>
    <w:lvl w:ilvl="0">
      <w:start w:val="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
    <w:nsid w:val="05D277B5"/>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
    <w:nsid w:val="07935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079D4461"/>
    <w:multiLevelType w:val="multilevel"/>
    <w:tmpl w:val="9CC47DB8"/>
    <w:lvl w:ilvl="0">
      <w:start w:val="4"/>
      <w:numFmt w:val="decimal"/>
      <w:lvlText w:val="%1."/>
      <w:lvlJc w:val="left"/>
      <w:pPr>
        <w:tabs>
          <w:tab w:val="num" w:pos="648"/>
        </w:tabs>
        <w:ind w:left="648" w:hanging="360"/>
      </w:pPr>
      <w:rPr>
        <w:rFonts w:hint="default"/>
      </w:rPr>
    </w:lvl>
    <w:lvl w:ilvl="1">
      <w:start w:val="15"/>
      <w:numFmt w:val="decimal"/>
      <w:lvlText w:val="%2."/>
      <w:lvlJc w:val="left"/>
      <w:pPr>
        <w:tabs>
          <w:tab w:val="num" w:pos="1650"/>
        </w:tabs>
        <w:ind w:left="1650" w:hanging="57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083516E1"/>
    <w:multiLevelType w:val="singleLevel"/>
    <w:tmpl w:val="C512EEFE"/>
    <w:lvl w:ilvl="0">
      <w:start w:val="10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
    <w:nsid w:val="088631BE"/>
    <w:multiLevelType w:val="multilevel"/>
    <w:tmpl w:val="0D9A0D9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08BA78F5"/>
    <w:multiLevelType w:val="singleLevel"/>
    <w:tmpl w:val="F938A33E"/>
    <w:lvl w:ilvl="0">
      <w:numFmt w:val="bullet"/>
      <w:lvlText w:val="-"/>
      <w:lvlJc w:val="left"/>
      <w:pPr>
        <w:tabs>
          <w:tab w:val="num" w:pos="360"/>
        </w:tabs>
        <w:ind w:left="360" w:hanging="360"/>
      </w:pPr>
      <w:rPr>
        <w:rFonts w:hint="default"/>
      </w:rPr>
    </w:lvl>
  </w:abstractNum>
  <w:abstractNum w:abstractNumId="25">
    <w:nsid w:val="08ED184A"/>
    <w:multiLevelType w:val="multilevel"/>
    <w:tmpl w:val="F21806B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09442782"/>
    <w:multiLevelType w:val="multilevel"/>
    <w:tmpl w:val="D6E825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094D0262"/>
    <w:multiLevelType w:val="multilevel"/>
    <w:tmpl w:val="4CA0EC2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095F36C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09E53D0E"/>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30">
    <w:nsid w:val="0AC300E8"/>
    <w:multiLevelType w:val="multilevel"/>
    <w:tmpl w:val="F5708BB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0AD36232"/>
    <w:multiLevelType w:val="singleLevel"/>
    <w:tmpl w:val="0409000F"/>
    <w:lvl w:ilvl="0">
      <w:start w:val="1"/>
      <w:numFmt w:val="decimal"/>
      <w:lvlText w:val="%1."/>
      <w:lvlJc w:val="left"/>
      <w:pPr>
        <w:tabs>
          <w:tab w:val="num" w:pos="360"/>
        </w:tabs>
        <w:ind w:left="360" w:hanging="360"/>
      </w:pPr>
      <w:rPr>
        <w:rFonts w:hint="default"/>
        <w:u w:val="none"/>
      </w:rPr>
    </w:lvl>
  </w:abstractNum>
  <w:abstractNum w:abstractNumId="32">
    <w:nsid w:val="0B34795E"/>
    <w:multiLevelType w:val="multilevel"/>
    <w:tmpl w:val="CD20BC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0B58528F"/>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34">
    <w:nsid w:val="0BED3C9D"/>
    <w:multiLevelType w:val="singleLevel"/>
    <w:tmpl w:val="04090015"/>
    <w:lvl w:ilvl="0">
      <w:start w:val="1"/>
      <w:numFmt w:val="upperLetter"/>
      <w:lvlText w:val="%1."/>
      <w:lvlJc w:val="left"/>
      <w:pPr>
        <w:tabs>
          <w:tab w:val="num" w:pos="360"/>
        </w:tabs>
        <w:ind w:left="360" w:hanging="360"/>
      </w:pPr>
      <w:rPr>
        <w:rFonts w:hint="default"/>
        <w:u w:val="none"/>
      </w:rPr>
    </w:lvl>
  </w:abstractNum>
  <w:abstractNum w:abstractNumId="35">
    <w:nsid w:val="0C55490E"/>
    <w:multiLevelType w:val="singleLevel"/>
    <w:tmpl w:val="F938A33E"/>
    <w:lvl w:ilvl="0">
      <w:numFmt w:val="bullet"/>
      <w:lvlText w:val="-"/>
      <w:lvlJc w:val="left"/>
      <w:pPr>
        <w:tabs>
          <w:tab w:val="num" w:pos="360"/>
        </w:tabs>
        <w:ind w:left="360" w:hanging="360"/>
      </w:pPr>
      <w:rPr>
        <w:rFonts w:hint="default"/>
      </w:rPr>
    </w:lvl>
  </w:abstractNum>
  <w:abstractNum w:abstractNumId="36">
    <w:nsid w:val="0CDD30F1"/>
    <w:multiLevelType w:val="singleLevel"/>
    <w:tmpl w:val="718229E6"/>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7">
    <w:nsid w:val="0F4C15DE"/>
    <w:multiLevelType w:val="singleLevel"/>
    <w:tmpl w:val="109A2530"/>
    <w:lvl w:ilvl="0">
      <w:start w:val="1"/>
      <w:numFmt w:val="decimal"/>
      <w:lvlText w:val=""/>
      <w:lvlJc w:val="left"/>
      <w:pPr>
        <w:tabs>
          <w:tab w:val="num" w:pos="648"/>
        </w:tabs>
        <w:ind w:left="648" w:hanging="360"/>
      </w:pPr>
      <w:rPr>
        <w:rFonts w:hint="default"/>
        <w:u w:val="none"/>
      </w:rPr>
    </w:lvl>
  </w:abstractNum>
  <w:abstractNum w:abstractNumId="38">
    <w:nsid w:val="0F887454"/>
    <w:multiLevelType w:val="multilevel"/>
    <w:tmpl w:val="F124AC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100A00FF"/>
    <w:multiLevelType w:val="multilevel"/>
    <w:tmpl w:val="D2A6B9B6"/>
    <w:lvl w:ilvl="0">
      <w:start w:val="1"/>
      <w:numFmt w:val="lowerLetter"/>
      <w:lvlText w:val="%1)"/>
      <w:lvlJc w:val="left"/>
      <w:pPr>
        <w:tabs>
          <w:tab w:val="num" w:pos="2232"/>
        </w:tabs>
        <w:ind w:left="2232" w:hanging="43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106D698C"/>
    <w:multiLevelType w:val="singleLevel"/>
    <w:tmpl w:val="557CFEA4"/>
    <w:lvl w:ilvl="0">
      <w:start w:val="1"/>
      <w:numFmt w:val="upperLetter"/>
      <w:pStyle w:val="Heading9"/>
      <w:lvlText w:val="%1."/>
      <w:lvlJc w:val="left"/>
      <w:pPr>
        <w:tabs>
          <w:tab w:val="num" w:pos="648"/>
        </w:tabs>
        <w:ind w:left="648" w:hanging="360"/>
      </w:pPr>
      <w:rPr>
        <w:rFonts w:hint="default"/>
      </w:rPr>
    </w:lvl>
  </w:abstractNum>
  <w:abstractNum w:abstractNumId="41">
    <w:nsid w:val="10C62EC4"/>
    <w:multiLevelType w:val="multilevel"/>
    <w:tmpl w:val="63A04C9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10C8709E"/>
    <w:multiLevelType w:val="singleLevel"/>
    <w:tmpl w:val="E556B404"/>
    <w:lvl w:ilvl="0">
      <w:start w:val="1"/>
      <w:numFmt w:val="decimal"/>
      <w:lvlText w:val="%1."/>
      <w:lvlJc w:val="left"/>
      <w:pPr>
        <w:tabs>
          <w:tab w:val="num" w:pos="648"/>
        </w:tabs>
        <w:ind w:left="288" w:firstLine="0"/>
      </w:pPr>
    </w:lvl>
  </w:abstractNum>
  <w:abstractNum w:abstractNumId="43">
    <w:nsid w:val="10DC72C6"/>
    <w:multiLevelType w:val="multilevel"/>
    <w:tmpl w:val="C024C23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
    <w:nsid w:val="1116192F"/>
    <w:multiLevelType w:val="singleLevel"/>
    <w:tmpl w:val="2900679C"/>
    <w:lvl w:ilvl="0">
      <w:start w:val="1"/>
      <w:numFmt w:val="bullet"/>
      <w:lvlText w:val="-"/>
      <w:lvlJc w:val="left"/>
      <w:pPr>
        <w:tabs>
          <w:tab w:val="num" w:pos="720"/>
        </w:tabs>
        <w:ind w:left="720" w:hanging="720"/>
      </w:pPr>
      <w:rPr>
        <w:rFonts w:ascii="Times New Roman" w:hAnsi="Times New Roman" w:hint="default"/>
        <w:b w:val="0"/>
        <w:i w:val="0"/>
        <w:sz w:val="28"/>
      </w:rPr>
    </w:lvl>
  </w:abstractNum>
  <w:abstractNum w:abstractNumId="45">
    <w:nsid w:val="111D3FD8"/>
    <w:multiLevelType w:val="multilevel"/>
    <w:tmpl w:val="E29651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118A1F22"/>
    <w:multiLevelType w:val="singleLevel"/>
    <w:tmpl w:val="99BEB8D8"/>
    <w:lvl w:ilvl="0">
      <w:start w:val="1"/>
      <w:numFmt w:val="decimal"/>
      <w:lvlText w:val="%1. "/>
      <w:legacy w:legacy="1" w:legacySpace="0" w:legacyIndent="283"/>
      <w:lvlJc w:val="left"/>
      <w:pPr>
        <w:ind w:left="2443" w:hanging="283"/>
      </w:pPr>
      <w:rPr>
        <w:rFonts w:ascii="Times New Roman" w:hAnsi="Times New Roman" w:hint="default"/>
        <w:b w:val="0"/>
        <w:i w:val="0"/>
        <w:sz w:val="28"/>
        <w:u w:val="none"/>
      </w:rPr>
    </w:lvl>
  </w:abstractNum>
  <w:abstractNum w:abstractNumId="47">
    <w:nsid w:val="118B36AE"/>
    <w:multiLevelType w:val="singleLevel"/>
    <w:tmpl w:val="C00C142A"/>
    <w:lvl w:ilvl="0">
      <w:start w:val="5"/>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48">
    <w:nsid w:val="1199519C"/>
    <w:multiLevelType w:val="multilevel"/>
    <w:tmpl w:val="C6DA0EA6"/>
    <w:lvl w:ilvl="0">
      <w:start w:val="5"/>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49">
    <w:nsid w:val="11E35EE0"/>
    <w:multiLevelType w:val="singleLevel"/>
    <w:tmpl w:val="2A44CA10"/>
    <w:lvl w:ilvl="0">
      <w:start w:val="3"/>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50">
    <w:nsid w:val="12127882"/>
    <w:multiLevelType w:val="multilevel"/>
    <w:tmpl w:val="EF62034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125327D3"/>
    <w:multiLevelType w:val="singleLevel"/>
    <w:tmpl w:val="1B46C1EE"/>
    <w:lvl w:ilvl="0">
      <w:start w:val="6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2">
    <w:nsid w:val="128815FA"/>
    <w:multiLevelType w:val="singleLevel"/>
    <w:tmpl w:val="A78A0C26"/>
    <w:lvl w:ilvl="0">
      <w:start w:val="7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3">
    <w:nsid w:val="134157B2"/>
    <w:multiLevelType w:val="singleLevel"/>
    <w:tmpl w:val="00E6D9E8"/>
    <w:lvl w:ilvl="0">
      <w:start w:val="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4">
    <w:nsid w:val="135420E0"/>
    <w:multiLevelType w:val="singleLevel"/>
    <w:tmpl w:val="05143C68"/>
    <w:lvl w:ilvl="0">
      <w:start w:val="43"/>
      <w:numFmt w:val="decimal"/>
      <w:lvlText w:val="%1."/>
      <w:lvlJc w:val="left"/>
      <w:pPr>
        <w:tabs>
          <w:tab w:val="num" w:pos="648"/>
        </w:tabs>
        <w:ind w:left="360" w:hanging="72"/>
      </w:pPr>
    </w:lvl>
  </w:abstractNum>
  <w:abstractNum w:abstractNumId="55">
    <w:nsid w:val="13C46E10"/>
    <w:multiLevelType w:val="singleLevel"/>
    <w:tmpl w:val="31064436"/>
    <w:lvl w:ilvl="0">
      <w:start w:val="6"/>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56">
    <w:nsid w:val="14CE4492"/>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57">
    <w:nsid w:val="15BE5C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8">
    <w:nsid w:val="15C8569C"/>
    <w:multiLevelType w:val="singleLevel"/>
    <w:tmpl w:val="D668047E"/>
    <w:lvl w:ilvl="0">
      <w:start w:val="3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9">
    <w:nsid w:val="15D36F16"/>
    <w:multiLevelType w:val="singleLevel"/>
    <w:tmpl w:val="0409000F"/>
    <w:lvl w:ilvl="0">
      <w:start w:val="1"/>
      <w:numFmt w:val="decimal"/>
      <w:lvlText w:val="%1."/>
      <w:lvlJc w:val="left"/>
      <w:pPr>
        <w:tabs>
          <w:tab w:val="num" w:pos="360"/>
        </w:tabs>
        <w:ind w:left="360" w:hanging="360"/>
      </w:pPr>
    </w:lvl>
  </w:abstractNum>
  <w:abstractNum w:abstractNumId="60">
    <w:nsid w:val="163053A7"/>
    <w:multiLevelType w:val="singleLevel"/>
    <w:tmpl w:val="CF301094"/>
    <w:lvl w:ilvl="0">
      <w:start w:val="5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1">
    <w:nsid w:val="165F63FD"/>
    <w:multiLevelType w:val="singleLevel"/>
    <w:tmpl w:val="7D92BA1A"/>
    <w:lvl w:ilvl="0">
      <w:start w:val="1"/>
      <w:numFmt w:val="lowerLetter"/>
      <w:lvlText w:val="(%1)"/>
      <w:lvlJc w:val="left"/>
      <w:pPr>
        <w:tabs>
          <w:tab w:val="num" w:pos="648"/>
        </w:tabs>
        <w:ind w:left="648" w:hanging="360"/>
      </w:pPr>
      <w:rPr>
        <w:rFonts w:hint="default"/>
      </w:rPr>
    </w:lvl>
  </w:abstractNum>
  <w:abstractNum w:abstractNumId="62">
    <w:nsid w:val="171115D5"/>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63">
    <w:nsid w:val="17A42F28"/>
    <w:multiLevelType w:val="singleLevel"/>
    <w:tmpl w:val="9622FACE"/>
    <w:lvl w:ilvl="0">
      <w:start w:val="1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4">
    <w:nsid w:val="18094EC5"/>
    <w:multiLevelType w:val="singleLevel"/>
    <w:tmpl w:val="0409000F"/>
    <w:lvl w:ilvl="0">
      <w:start w:val="1"/>
      <w:numFmt w:val="decimal"/>
      <w:lvlText w:val="%1."/>
      <w:lvlJc w:val="left"/>
      <w:pPr>
        <w:tabs>
          <w:tab w:val="num" w:pos="360"/>
        </w:tabs>
        <w:ind w:left="360" w:hanging="360"/>
      </w:pPr>
    </w:lvl>
  </w:abstractNum>
  <w:abstractNum w:abstractNumId="65">
    <w:nsid w:val="182620B7"/>
    <w:multiLevelType w:val="singleLevel"/>
    <w:tmpl w:val="89FCEDBA"/>
    <w:lvl w:ilvl="0">
      <w:start w:val="1"/>
      <w:numFmt w:val="decimal"/>
      <w:lvlText w:val="%1."/>
      <w:lvlJc w:val="left"/>
      <w:pPr>
        <w:tabs>
          <w:tab w:val="num" w:pos="1920"/>
        </w:tabs>
        <w:ind w:left="1920" w:hanging="480"/>
      </w:pPr>
      <w:rPr>
        <w:rFonts w:hint="default"/>
      </w:rPr>
    </w:lvl>
  </w:abstractNum>
  <w:abstractNum w:abstractNumId="66">
    <w:nsid w:val="185D6F33"/>
    <w:multiLevelType w:val="singleLevel"/>
    <w:tmpl w:val="7D6AE164"/>
    <w:lvl w:ilvl="0">
      <w:start w:val="7"/>
      <w:numFmt w:val="decimal"/>
      <w:lvlText w:val="%1."/>
      <w:lvlJc w:val="left"/>
      <w:pPr>
        <w:tabs>
          <w:tab w:val="num" w:pos="1170"/>
        </w:tabs>
        <w:ind w:left="1170" w:hanging="1170"/>
      </w:pPr>
      <w:rPr>
        <w:rFonts w:hint="default"/>
      </w:rPr>
    </w:lvl>
  </w:abstractNum>
  <w:abstractNum w:abstractNumId="67">
    <w:nsid w:val="186C1774"/>
    <w:multiLevelType w:val="singleLevel"/>
    <w:tmpl w:val="0A42F93E"/>
    <w:lvl w:ilvl="0">
      <w:start w:val="8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8">
    <w:nsid w:val="18844367"/>
    <w:multiLevelType w:val="multilevel"/>
    <w:tmpl w:val="19B477B0"/>
    <w:lvl w:ilvl="0">
      <w:start w:val="5"/>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9">
    <w:nsid w:val="18BB0421"/>
    <w:multiLevelType w:val="singleLevel"/>
    <w:tmpl w:val="18F4AD26"/>
    <w:lvl w:ilvl="0">
      <w:start w:val="5"/>
      <w:numFmt w:val="bullet"/>
      <w:lvlText w:val="-"/>
      <w:lvlJc w:val="left"/>
      <w:pPr>
        <w:tabs>
          <w:tab w:val="num" w:pos="720"/>
        </w:tabs>
        <w:ind w:left="720" w:hanging="720"/>
      </w:pPr>
      <w:rPr>
        <w:rFonts w:hint="default"/>
      </w:rPr>
    </w:lvl>
  </w:abstractNum>
  <w:abstractNum w:abstractNumId="70">
    <w:nsid w:val="18F51F60"/>
    <w:multiLevelType w:val="singleLevel"/>
    <w:tmpl w:val="7ED4004C"/>
    <w:lvl w:ilvl="0">
      <w:numFmt w:val="bullet"/>
      <w:lvlText w:val=""/>
      <w:lvlJc w:val="left"/>
      <w:pPr>
        <w:tabs>
          <w:tab w:val="num" w:pos="720"/>
        </w:tabs>
        <w:ind w:left="720" w:hanging="648"/>
      </w:pPr>
      <w:rPr>
        <w:rFonts w:ascii="Wingdings" w:hAnsi="Wingdings" w:hint="default"/>
      </w:rPr>
    </w:lvl>
  </w:abstractNum>
  <w:abstractNum w:abstractNumId="71">
    <w:nsid w:val="19325BF2"/>
    <w:multiLevelType w:val="multilevel"/>
    <w:tmpl w:val="595A63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2">
    <w:nsid w:val="19F62031"/>
    <w:multiLevelType w:val="singleLevel"/>
    <w:tmpl w:val="594AE0CC"/>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3">
    <w:nsid w:val="1AA90438"/>
    <w:multiLevelType w:val="multilevel"/>
    <w:tmpl w:val="90F47506"/>
    <w:lvl w:ilvl="0">
      <w:numFmt w:val="bullet"/>
      <w:lvlText w:val="-"/>
      <w:lvlJc w:val="left"/>
      <w:pPr>
        <w:tabs>
          <w:tab w:val="num" w:pos="630"/>
        </w:tabs>
        <w:ind w:left="630" w:hanging="360"/>
      </w:pPr>
      <w:rPr>
        <w:rFonts w:ascii="Times New Roman" w:eastAsia="Times New Roman" w:hAnsi="Times New Roman" w:cs="Times New Roman" w:hint="default"/>
      </w:rPr>
    </w:lvl>
    <w:lvl w:ilvl="1" w:tentative="1">
      <w:start w:val="1"/>
      <w:numFmt w:val="bullet"/>
      <w:lvlText w:val="o"/>
      <w:lvlJc w:val="left"/>
      <w:pPr>
        <w:tabs>
          <w:tab w:val="num" w:pos="1350"/>
        </w:tabs>
        <w:ind w:left="1350" w:hanging="360"/>
      </w:pPr>
      <w:rPr>
        <w:rFonts w:ascii="Courier New" w:hAnsi="Courier New" w:hint="default"/>
      </w:rPr>
    </w:lvl>
    <w:lvl w:ilvl="2" w:tentative="1">
      <w:start w:val="1"/>
      <w:numFmt w:val="bullet"/>
      <w:lvlText w:val=""/>
      <w:lvlJc w:val="left"/>
      <w:pPr>
        <w:tabs>
          <w:tab w:val="num" w:pos="2070"/>
        </w:tabs>
        <w:ind w:left="2070" w:hanging="360"/>
      </w:pPr>
      <w:rPr>
        <w:rFonts w:ascii="Wingdings" w:hAnsi="Wingdings" w:hint="default"/>
      </w:rPr>
    </w:lvl>
    <w:lvl w:ilvl="3" w:tentative="1">
      <w:start w:val="1"/>
      <w:numFmt w:val="bullet"/>
      <w:lvlText w:val=""/>
      <w:lvlJc w:val="left"/>
      <w:pPr>
        <w:tabs>
          <w:tab w:val="num" w:pos="2790"/>
        </w:tabs>
        <w:ind w:left="2790" w:hanging="360"/>
      </w:pPr>
      <w:rPr>
        <w:rFonts w:ascii="Symbol" w:hAnsi="Symbol" w:hint="default"/>
      </w:rPr>
    </w:lvl>
    <w:lvl w:ilvl="4" w:tentative="1">
      <w:start w:val="1"/>
      <w:numFmt w:val="bullet"/>
      <w:lvlText w:val="o"/>
      <w:lvlJc w:val="left"/>
      <w:pPr>
        <w:tabs>
          <w:tab w:val="num" w:pos="3510"/>
        </w:tabs>
        <w:ind w:left="3510" w:hanging="360"/>
      </w:pPr>
      <w:rPr>
        <w:rFonts w:ascii="Courier New" w:hAnsi="Courier New" w:hint="default"/>
      </w:rPr>
    </w:lvl>
    <w:lvl w:ilvl="5" w:tentative="1">
      <w:start w:val="1"/>
      <w:numFmt w:val="bullet"/>
      <w:lvlText w:val=""/>
      <w:lvlJc w:val="left"/>
      <w:pPr>
        <w:tabs>
          <w:tab w:val="num" w:pos="4230"/>
        </w:tabs>
        <w:ind w:left="4230" w:hanging="360"/>
      </w:pPr>
      <w:rPr>
        <w:rFonts w:ascii="Wingdings" w:hAnsi="Wingdings" w:hint="default"/>
      </w:rPr>
    </w:lvl>
    <w:lvl w:ilvl="6" w:tentative="1">
      <w:start w:val="1"/>
      <w:numFmt w:val="bullet"/>
      <w:lvlText w:val=""/>
      <w:lvlJc w:val="left"/>
      <w:pPr>
        <w:tabs>
          <w:tab w:val="num" w:pos="4950"/>
        </w:tabs>
        <w:ind w:left="4950" w:hanging="360"/>
      </w:pPr>
      <w:rPr>
        <w:rFonts w:ascii="Symbol" w:hAnsi="Symbol" w:hint="default"/>
      </w:rPr>
    </w:lvl>
    <w:lvl w:ilvl="7" w:tentative="1">
      <w:start w:val="1"/>
      <w:numFmt w:val="bullet"/>
      <w:lvlText w:val="o"/>
      <w:lvlJc w:val="left"/>
      <w:pPr>
        <w:tabs>
          <w:tab w:val="num" w:pos="5670"/>
        </w:tabs>
        <w:ind w:left="5670" w:hanging="360"/>
      </w:pPr>
      <w:rPr>
        <w:rFonts w:ascii="Courier New" w:hAnsi="Courier New" w:hint="default"/>
      </w:rPr>
    </w:lvl>
    <w:lvl w:ilvl="8" w:tentative="1">
      <w:start w:val="1"/>
      <w:numFmt w:val="bullet"/>
      <w:lvlText w:val=""/>
      <w:lvlJc w:val="left"/>
      <w:pPr>
        <w:tabs>
          <w:tab w:val="num" w:pos="6390"/>
        </w:tabs>
        <w:ind w:left="6390" w:hanging="360"/>
      </w:pPr>
      <w:rPr>
        <w:rFonts w:ascii="Wingdings" w:hAnsi="Wingdings" w:hint="default"/>
      </w:rPr>
    </w:lvl>
  </w:abstractNum>
  <w:abstractNum w:abstractNumId="74">
    <w:nsid w:val="1B8B4A10"/>
    <w:multiLevelType w:val="singleLevel"/>
    <w:tmpl w:val="602C02E4"/>
    <w:lvl w:ilvl="0">
      <w:numFmt w:val="bullet"/>
      <w:lvlText w:val="-"/>
      <w:lvlJc w:val="left"/>
      <w:pPr>
        <w:tabs>
          <w:tab w:val="num" w:pos="720"/>
        </w:tabs>
        <w:ind w:left="720" w:hanging="720"/>
      </w:pPr>
      <w:rPr>
        <w:rFonts w:hint="default"/>
      </w:rPr>
    </w:lvl>
  </w:abstractNum>
  <w:abstractNum w:abstractNumId="75">
    <w:nsid w:val="1BD90FAB"/>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76">
    <w:nsid w:val="1BFD7EFE"/>
    <w:multiLevelType w:val="multilevel"/>
    <w:tmpl w:val="4A38BD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nsid w:val="1CF06CB0"/>
    <w:multiLevelType w:val="singleLevel"/>
    <w:tmpl w:val="E1BA5E92"/>
    <w:lvl w:ilvl="0">
      <w:start w:val="1"/>
      <w:numFmt w:val="decimal"/>
      <w:lvlText w:val="%1."/>
      <w:lvlJc w:val="left"/>
      <w:pPr>
        <w:tabs>
          <w:tab w:val="num" w:pos="1800"/>
        </w:tabs>
        <w:ind w:left="1800" w:hanging="360"/>
      </w:pPr>
      <w:rPr>
        <w:rFonts w:hint="default"/>
      </w:rPr>
    </w:lvl>
  </w:abstractNum>
  <w:abstractNum w:abstractNumId="78">
    <w:nsid w:val="1EC7022C"/>
    <w:multiLevelType w:val="singleLevel"/>
    <w:tmpl w:val="2900679C"/>
    <w:lvl w:ilvl="0">
      <w:start w:val="1"/>
      <w:numFmt w:val="bullet"/>
      <w:lvlText w:val="-"/>
      <w:lvlJc w:val="left"/>
      <w:pPr>
        <w:tabs>
          <w:tab w:val="num" w:pos="720"/>
        </w:tabs>
        <w:ind w:left="720" w:hanging="720"/>
      </w:pPr>
      <w:rPr>
        <w:rFonts w:ascii="Times New Roman" w:hAnsi="Times New Roman" w:hint="default"/>
        <w:b w:val="0"/>
        <w:i w:val="0"/>
        <w:sz w:val="28"/>
      </w:rPr>
    </w:lvl>
  </w:abstractNum>
  <w:abstractNum w:abstractNumId="79">
    <w:nsid w:val="1F1772A6"/>
    <w:multiLevelType w:val="singleLevel"/>
    <w:tmpl w:val="AA5AC07E"/>
    <w:lvl w:ilvl="0">
      <w:start w:val="132"/>
      <w:numFmt w:val="decimal"/>
      <w:lvlText w:val="%1."/>
      <w:lvlJc w:val="left"/>
      <w:pPr>
        <w:tabs>
          <w:tab w:val="num" w:pos="648"/>
        </w:tabs>
        <w:ind w:left="288" w:firstLine="0"/>
      </w:pPr>
    </w:lvl>
  </w:abstractNum>
  <w:abstractNum w:abstractNumId="80">
    <w:nsid w:val="1F343CC2"/>
    <w:multiLevelType w:val="multilevel"/>
    <w:tmpl w:val="41B8956E"/>
    <w:lvl w:ilvl="0">
      <w:start w:val="1"/>
      <w:numFmt w:val="bullet"/>
      <w:lvlText w:val=""/>
      <w:lvlJc w:val="left"/>
      <w:pPr>
        <w:tabs>
          <w:tab w:val="num" w:pos="840"/>
        </w:tabs>
        <w:ind w:left="840" w:hanging="360"/>
      </w:pPr>
      <w:rPr>
        <w:rFonts w:ascii="Symbol" w:hAnsi="Symbol" w:hint="default"/>
      </w:rPr>
    </w:lvl>
    <w:lvl w:ilvl="1" w:tentative="1">
      <w:start w:val="1"/>
      <w:numFmt w:val="bullet"/>
      <w:lvlText w:val="o"/>
      <w:lvlJc w:val="left"/>
      <w:pPr>
        <w:tabs>
          <w:tab w:val="num" w:pos="1560"/>
        </w:tabs>
        <w:ind w:left="1560" w:hanging="360"/>
      </w:pPr>
      <w:rPr>
        <w:rFonts w:ascii="Courier New" w:hAnsi="Courier New" w:hint="default"/>
      </w:rPr>
    </w:lvl>
    <w:lvl w:ilvl="2" w:tentative="1">
      <w:start w:val="1"/>
      <w:numFmt w:val="bullet"/>
      <w:lvlText w:val=""/>
      <w:lvlJc w:val="left"/>
      <w:pPr>
        <w:tabs>
          <w:tab w:val="num" w:pos="2280"/>
        </w:tabs>
        <w:ind w:left="2280" w:hanging="360"/>
      </w:pPr>
      <w:rPr>
        <w:rFonts w:ascii="Wingdings" w:hAnsi="Wingdings" w:hint="default"/>
      </w:rPr>
    </w:lvl>
    <w:lvl w:ilvl="3" w:tentative="1">
      <w:start w:val="1"/>
      <w:numFmt w:val="bullet"/>
      <w:lvlText w:val=""/>
      <w:lvlJc w:val="left"/>
      <w:pPr>
        <w:tabs>
          <w:tab w:val="num" w:pos="3000"/>
        </w:tabs>
        <w:ind w:left="3000" w:hanging="360"/>
      </w:pPr>
      <w:rPr>
        <w:rFonts w:ascii="Symbol" w:hAnsi="Symbol" w:hint="default"/>
      </w:rPr>
    </w:lvl>
    <w:lvl w:ilvl="4" w:tentative="1">
      <w:start w:val="1"/>
      <w:numFmt w:val="bullet"/>
      <w:lvlText w:val="o"/>
      <w:lvlJc w:val="left"/>
      <w:pPr>
        <w:tabs>
          <w:tab w:val="num" w:pos="3720"/>
        </w:tabs>
        <w:ind w:left="3720" w:hanging="360"/>
      </w:pPr>
      <w:rPr>
        <w:rFonts w:ascii="Courier New" w:hAnsi="Courier New" w:hint="default"/>
      </w:rPr>
    </w:lvl>
    <w:lvl w:ilvl="5" w:tentative="1">
      <w:start w:val="1"/>
      <w:numFmt w:val="bullet"/>
      <w:lvlText w:val=""/>
      <w:lvlJc w:val="left"/>
      <w:pPr>
        <w:tabs>
          <w:tab w:val="num" w:pos="4440"/>
        </w:tabs>
        <w:ind w:left="4440" w:hanging="360"/>
      </w:pPr>
      <w:rPr>
        <w:rFonts w:ascii="Wingdings" w:hAnsi="Wingdings" w:hint="default"/>
      </w:rPr>
    </w:lvl>
    <w:lvl w:ilvl="6" w:tentative="1">
      <w:start w:val="1"/>
      <w:numFmt w:val="bullet"/>
      <w:lvlText w:val=""/>
      <w:lvlJc w:val="left"/>
      <w:pPr>
        <w:tabs>
          <w:tab w:val="num" w:pos="5160"/>
        </w:tabs>
        <w:ind w:left="5160" w:hanging="360"/>
      </w:pPr>
      <w:rPr>
        <w:rFonts w:ascii="Symbol" w:hAnsi="Symbol" w:hint="default"/>
      </w:rPr>
    </w:lvl>
    <w:lvl w:ilvl="7" w:tentative="1">
      <w:start w:val="1"/>
      <w:numFmt w:val="bullet"/>
      <w:lvlText w:val="o"/>
      <w:lvlJc w:val="left"/>
      <w:pPr>
        <w:tabs>
          <w:tab w:val="num" w:pos="5880"/>
        </w:tabs>
        <w:ind w:left="5880" w:hanging="360"/>
      </w:pPr>
      <w:rPr>
        <w:rFonts w:ascii="Courier New" w:hAnsi="Courier New" w:hint="default"/>
      </w:rPr>
    </w:lvl>
    <w:lvl w:ilvl="8" w:tentative="1">
      <w:start w:val="1"/>
      <w:numFmt w:val="bullet"/>
      <w:lvlText w:val=""/>
      <w:lvlJc w:val="left"/>
      <w:pPr>
        <w:tabs>
          <w:tab w:val="num" w:pos="6600"/>
        </w:tabs>
        <w:ind w:left="6600" w:hanging="360"/>
      </w:pPr>
      <w:rPr>
        <w:rFonts w:ascii="Wingdings" w:hAnsi="Wingdings" w:hint="default"/>
      </w:rPr>
    </w:lvl>
  </w:abstractNum>
  <w:abstractNum w:abstractNumId="81">
    <w:nsid w:val="20551B7E"/>
    <w:multiLevelType w:val="multilevel"/>
    <w:tmpl w:val="E6B673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2">
    <w:nsid w:val="21060AD0"/>
    <w:multiLevelType w:val="multilevel"/>
    <w:tmpl w:val="0F50E2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3">
    <w:nsid w:val="221234C1"/>
    <w:multiLevelType w:val="singleLevel"/>
    <w:tmpl w:val="CE0084AC"/>
    <w:lvl w:ilvl="0">
      <w:start w:val="1"/>
      <w:numFmt w:val="decimal"/>
      <w:lvlText w:val="%1."/>
      <w:lvlJc w:val="left"/>
      <w:pPr>
        <w:tabs>
          <w:tab w:val="num" w:pos="360"/>
        </w:tabs>
        <w:ind w:left="360" w:hanging="360"/>
      </w:pPr>
    </w:lvl>
  </w:abstractNum>
  <w:abstractNum w:abstractNumId="84">
    <w:nsid w:val="225F6025"/>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85">
    <w:nsid w:val="229D1C78"/>
    <w:multiLevelType w:val="multilevel"/>
    <w:tmpl w:val="A79CB220"/>
    <w:lvl w:ilvl="0">
      <w:start w:val="1"/>
      <w:numFmt w:val="lowerLetter"/>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86">
    <w:nsid w:val="22A24D15"/>
    <w:multiLevelType w:val="multilevel"/>
    <w:tmpl w:val="E8E6458A"/>
    <w:lvl w:ilvl="0">
      <w:start w:val="1"/>
      <w:numFmt w:val="bullet"/>
      <w:lvlText w:val="·"/>
      <w:lvlJc w:val="left"/>
      <w:pPr>
        <w:tabs>
          <w:tab w:val="num" w:pos="1080"/>
        </w:tabs>
        <w:ind w:left="1080" w:hanging="648"/>
      </w:pPr>
      <w:rPr>
        <w:rFonts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nsid w:val="233F6D01"/>
    <w:multiLevelType w:val="multilevel"/>
    <w:tmpl w:val="097AE718"/>
    <w:lvl w:ilvl="0">
      <w:start w:val="1"/>
      <w:numFmt w:val="bullet"/>
      <w:lvlText w:val="·"/>
      <w:lvlJc w:val="left"/>
      <w:pPr>
        <w:tabs>
          <w:tab w:val="num" w:pos="1080"/>
        </w:tabs>
        <w:ind w:left="1080" w:hanging="648"/>
      </w:pPr>
      <w:rPr>
        <w:rFonts w:hAnsi="Courier New"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8">
    <w:nsid w:val="23D85D99"/>
    <w:multiLevelType w:val="singleLevel"/>
    <w:tmpl w:val="E5B86D8C"/>
    <w:lvl w:ilvl="0">
      <w:start w:val="1"/>
      <w:numFmt w:val="upperLetter"/>
      <w:lvlText w:val="%1."/>
      <w:lvlJc w:val="left"/>
      <w:pPr>
        <w:tabs>
          <w:tab w:val="num" w:pos="1080"/>
        </w:tabs>
        <w:ind w:left="1080" w:hanging="360"/>
      </w:pPr>
      <w:rPr>
        <w:rFonts w:hint="default"/>
      </w:rPr>
    </w:lvl>
  </w:abstractNum>
  <w:abstractNum w:abstractNumId="89">
    <w:nsid w:val="254C1AE1"/>
    <w:multiLevelType w:val="singleLevel"/>
    <w:tmpl w:val="AADC4C3A"/>
    <w:lvl w:ilvl="0">
      <w:start w:val="7"/>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90">
    <w:nsid w:val="259A3610"/>
    <w:multiLevelType w:val="singleLevel"/>
    <w:tmpl w:val="96BE93C0"/>
    <w:lvl w:ilvl="0">
      <w:start w:val="3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1">
    <w:nsid w:val="25EC0393"/>
    <w:multiLevelType w:val="singleLevel"/>
    <w:tmpl w:val="B27CD1BA"/>
    <w:lvl w:ilvl="0">
      <w:numFmt w:val="bullet"/>
      <w:lvlText w:val="-"/>
      <w:lvlJc w:val="left"/>
      <w:pPr>
        <w:tabs>
          <w:tab w:val="num" w:pos="720"/>
        </w:tabs>
        <w:ind w:left="720" w:hanging="720"/>
      </w:pPr>
      <w:rPr>
        <w:rFonts w:hint="default"/>
      </w:rPr>
    </w:lvl>
  </w:abstractNum>
  <w:abstractNum w:abstractNumId="92">
    <w:nsid w:val="271D2E2A"/>
    <w:multiLevelType w:val="singleLevel"/>
    <w:tmpl w:val="4A2CDB0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3">
    <w:nsid w:val="285D3CD9"/>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94">
    <w:nsid w:val="28E62924"/>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95">
    <w:nsid w:val="28F74C36"/>
    <w:multiLevelType w:val="singleLevel"/>
    <w:tmpl w:val="8A705848"/>
    <w:lvl w:ilvl="0">
      <w:start w:val="1"/>
      <w:numFmt w:val="decimal"/>
      <w:lvlText w:val="%1."/>
      <w:lvlJc w:val="left"/>
      <w:pPr>
        <w:tabs>
          <w:tab w:val="num" w:pos="648"/>
        </w:tabs>
        <w:ind w:left="288" w:firstLine="0"/>
      </w:pPr>
      <w:rPr>
        <w:b w:val="0"/>
        <w:i w:val="0"/>
        <w:u w:val="none"/>
      </w:rPr>
    </w:lvl>
  </w:abstractNum>
  <w:abstractNum w:abstractNumId="96">
    <w:nsid w:val="292F242E"/>
    <w:multiLevelType w:val="multilevel"/>
    <w:tmpl w:val="684EFAE2"/>
    <w:lvl w:ilvl="0">
      <w:start w:val="1"/>
      <w:numFmt w:val="decimal"/>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97">
    <w:nsid w:val="293B05E5"/>
    <w:multiLevelType w:val="singleLevel"/>
    <w:tmpl w:val="8228B2E6"/>
    <w:lvl w:ilvl="0">
      <w:start w:val="4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8">
    <w:nsid w:val="2A856AD7"/>
    <w:multiLevelType w:val="singleLevel"/>
    <w:tmpl w:val="E556B404"/>
    <w:lvl w:ilvl="0">
      <w:start w:val="1"/>
      <w:numFmt w:val="decimal"/>
      <w:lvlText w:val="%1."/>
      <w:lvlJc w:val="left"/>
      <w:pPr>
        <w:tabs>
          <w:tab w:val="num" w:pos="648"/>
        </w:tabs>
        <w:ind w:left="288" w:firstLine="0"/>
      </w:pPr>
    </w:lvl>
  </w:abstractNum>
  <w:abstractNum w:abstractNumId="99">
    <w:nsid w:val="2E116C6C"/>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0">
    <w:nsid w:val="2E5243D7"/>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01">
    <w:nsid w:val="2EA243C8"/>
    <w:multiLevelType w:val="singleLevel"/>
    <w:tmpl w:val="2516205E"/>
    <w:lvl w:ilvl="0">
      <w:start w:val="8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2">
    <w:nsid w:val="2EB109AF"/>
    <w:multiLevelType w:val="multilevel"/>
    <w:tmpl w:val="455ADC12"/>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03">
    <w:nsid w:val="2EBF2012"/>
    <w:multiLevelType w:val="multilevel"/>
    <w:tmpl w:val="357C3DEC"/>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04">
    <w:nsid w:val="2F127D9A"/>
    <w:multiLevelType w:val="singleLevel"/>
    <w:tmpl w:val="BBBA8180"/>
    <w:lvl w:ilvl="0">
      <w:numFmt w:val="bullet"/>
      <w:lvlText w:val="-"/>
      <w:lvlJc w:val="left"/>
      <w:pPr>
        <w:tabs>
          <w:tab w:val="num" w:pos="720"/>
        </w:tabs>
        <w:ind w:left="720" w:hanging="720"/>
      </w:pPr>
      <w:rPr>
        <w:rFonts w:hint="default"/>
      </w:rPr>
    </w:lvl>
  </w:abstractNum>
  <w:abstractNum w:abstractNumId="105">
    <w:nsid w:val="2F4A5879"/>
    <w:multiLevelType w:val="singleLevel"/>
    <w:tmpl w:val="F938A33E"/>
    <w:lvl w:ilvl="0">
      <w:numFmt w:val="bullet"/>
      <w:lvlText w:val="-"/>
      <w:lvlJc w:val="left"/>
      <w:pPr>
        <w:tabs>
          <w:tab w:val="num" w:pos="360"/>
        </w:tabs>
        <w:ind w:left="360" w:hanging="360"/>
      </w:pPr>
      <w:rPr>
        <w:rFonts w:hint="default"/>
      </w:rPr>
    </w:lvl>
  </w:abstractNum>
  <w:abstractNum w:abstractNumId="106">
    <w:nsid w:val="2FB86A2E"/>
    <w:multiLevelType w:val="multilevel"/>
    <w:tmpl w:val="516AA7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7">
    <w:nsid w:val="2FBA3835"/>
    <w:multiLevelType w:val="singleLevel"/>
    <w:tmpl w:val="1366B336"/>
    <w:lvl w:ilvl="0">
      <w:start w:val="7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8">
    <w:nsid w:val="2FCB3BC3"/>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9">
    <w:nsid w:val="2FFC19A7"/>
    <w:multiLevelType w:val="singleLevel"/>
    <w:tmpl w:val="40BE0C7C"/>
    <w:lvl w:ilvl="0">
      <w:start w:val="131"/>
      <w:numFmt w:val="decimal"/>
      <w:lvlText w:val="%1."/>
      <w:lvlJc w:val="left"/>
      <w:pPr>
        <w:tabs>
          <w:tab w:val="num" w:pos="648"/>
        </w:tabs>
        <w:ind w:left="288" w:firstLine="0"/>
      </w:pPr>
    </w:lvl>
  </w:abstractNum>
  <w:abstractNum w:abstractNumId="110">
    <w:nsid w:val="30C35C10"/>
    <w:multiLevelType w:val="multilevel"/>
    <w:tmpl w:val="32BCBE60"/>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1">
    <w:nsid w:val="31BC3820"/>
    <w:multiLevelType w:val="singleLevel"/>
    <w:tmpl w:val="DB8C4480"/>
    <w:lvl w:ilvl="0">
      <w:start w:val="1"/>
      <w:numFmt w:val="upperLetter"/>
      <w:lvlText w:val="%1."/>
      <w:lvlJc w:val="left"/>
      <w:pPr>
        <w:tabs>
          <w:tab w:val="num" w:pos="1530"/>
        </w:tabs>
        <w:ind w:left="1530" w:hanging="360"/>
      </w:pPr>
      <w:rPr>
        <w:rFonts w:hint="default"/>
      </w:rPr>
    </w:lvl>
  </w:abstractNum>
  <w:abstractNum w:abstractNumId="112">
    <w:nsid w:val="31D86DA5"/>
    <w:multiLevelType w:val="singleLevel"/>
    <w:tmpl w:val="34F287A2"/>
    <w:lvl w:ilvl="0">
      <w:start w:val="6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3">
    <w:nsid w:val="320B1A81"/>
    <w:multiLevelType w:val="multilevel"/>
    <w:tmpl w:val="085E3A4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4">
    <w:nsid w:val="32EA79DA"/>
    <w:multiLevelType w:val="singleLevel"/>
    <w:tmpl w:val="00CCFC5E"/>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5">
    <w:nsid w:val="33E173D0"/>
    <w:multiLevelType w:val="singleLevel"/>
    <w:tmpl w:val="AD2CE088"/>
    <w:lvl w:ilvl="0">
      <w:start w:val="5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6">
    <w:nsid w:val="33F335DF"/>
    <w:multiLevelType w:val="singleLevel"/>
    <w:tmpl w:val="4E441D04"/>
    <w:lvl w:ilvl="0">
      <w:numFmt w:val="bullet"/>
      <w:lvlText w:val=""/>
      <w:lvlJc w:val="left"/>
      <w:pPr>
        <w:tabs>
          <w:tab w:val="num" w:pos="720"/>
        </w:tabs>
        <w:ind w:left="720" w:hanging="648"/>
      </w:pPr>
      <w:rPr>
        <w:rFonts w:ascii="Wingdings" w:hAnsi="Wingdings" w:hint="default"/>
      </w:rPr>
    </w:lvl>
  </w:abstractNum>
  <w:abstractNum w:abstractNumId="117">
    <w:nsid w:val="33F9271F"/>
    <w:multiLevelType w:val="singleLevel"/>
    <w:tmpl w:val="2320C8E8"/>
    <w:lvl w:ilvl="0">
      <w:start w:val="1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8">
    <w:nsid w:val="33FE4502"/>
    <w:multiLevelType w:val="singleLevel"/>
    <w:tmpl w:val="34BEE2F6"/>
    <w:lvl w:ilvl="0">
      <w:start w:val="7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19">
    <w:nsid w:val="346B34C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20">
    <w:nsid w:val="34C10CE3"/>
    <w:multiLevelType w:val="singleLevel"/>
    <w:tmpl w:val="3AA41154"/>
    <w:lvl w:ilvl="0">
      <w:start w:val="1"/>
      <w:numFmt w:val="lowerLetter"/>
      <w:lvlText w:val="(%1)"/>
      <w:lvlJc w:val="left"/>
      <w:pPr>
        <w:tabs>
          <w:tab w:val="num" w:pos="1080"/>
        </w:tabs>
        <w:ind w:left="1080" w:hanging="360"/>
      </w:pPr>
      <w:rPr>
        <w:rFonts w:hint="default"/>
      </w:rPr>
    </w:lvl>
  </w:abstractNum>
  <w:abstractNum w:abstractNumId="121">
    <w:nsid w:val="34CC2A4C"/>
    <w:multiLevelType w:val="singleLevel"/>
    <w:tmpl w:val="A9F83AAA"/>
    <w:lvl w:ilvl="0">
      <w:start w:val="1"/>
      <w:numFmt w:val="upperRoman"/>
      <w:lvlText w:val="%1."/>
      <w:lvlJc w:val="left"/>
      <w:pPr>
        <w:tabs>
          <w:tab w:val="num" w:pos="720"/>
        </w:tabs>
        <w:ind w:left="720" w:hanging="720"/>
      </w:pPr>
      <w:rPr>
        <w:rFonts w:hint="default"/>
      </w:rPr>
    </w:lvl>
  </w:abstractNum>
  <w:abstractNum w:abstractNumId="122">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23">
    <w:nsid w:val="350F3AA2"/>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24">
    <w:nsid w:val="35C4563A"/>
    <w:multiLevelType w:val="singleLevel"/>
    <w:tmpl w:val="6560ACF0"/>
    <w:lvl w:ilvl="0">
      <w:start w:val="1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5">
    <w:nsid w:val="35D85A12"/>
    <w:multiLevelType w:val="singleLevel"/>
    <w:tmpl w:val="370AE9A8"/>
    <w:lvl w:ilvl="0">
      <w:start w:val="4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6">
    <w:nsid w:val="36BC169F"/>
    <w:multiLevelType w:val="singleLevel"/>
    <w:tmpl w:val="C6CAF0AA"/>
    <w:lvl w:ilvl="0">
      <w:start w:val="1"/>
      <w:numFmt w:val="bullet"/>
      <w:lvlText w:val="-"/>
      <w:lvlJc w:val="left"/>
      <w:pPr>
        <w:tabs>
          <w:tab w:val="num" w:pos="475"/>
        </w:tabs>
        <w:ind w:left="475" w:hanging="475"/>
      </w:pPr>
      <w:rPr>
        <w:rFonts w:ascii="Times New Roman" w:hAnsi="Times New Roman" w:hint="default"/>
        <w:b w:val="0"/>
        <w:i w:val="0"/>
        <w:sz w:val="28"/>
      </w:rPr>
    </w:lvl>
  </w:abstractNum>
  <w:abstractNum w:abstractNumId="127">
    <w:nsid w:val="376D0C06"/>
    <w:multiLevelType w:val="singleLevel"/>
    <w:tmpl w:val="ED08F8F0"/>
    <w:lvl w:ilvl="0">
      <w:start w:val="3"/>
      <w:numFmt w:val="decimal"/>
      <w:lvlText w:val="%1."/>
      <w:lvlJc w:val="left"/>
      <w:pPr>
        <w:tabs>
          <w:tab w:val="num" w:pos="720"/>
        </w:tabs>
        <w:ind w:left="720" w:hanging="720"/>
      </w:pPr>
      <w:rPr>
        <w:rFonts w:hint="default"/>
      </w:rPr>
    </w:lvl>
  </w:abstractNum>
  <w:abstractNum w:abstractNumId="128">
    <w:nsid w:val="377F38ED"/>
    <w:multiLevelType w:val="singleLevel"/>
    <w:tmpl w:val="1AE06D08"/>
    <w:lvl w:ilvl="0">
      <w:start w:val="4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29">
    <w:nsid w:val="37806C78"/>
    <w:multiLevelType w:val="multilevel"/>
    <w:tmpl w:val="F4A87AA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0">
    <w:nsid w:val="379D4C39"/>
    <w:multiLevelType w:val="singleLevel"/>
    <w:tmpl w:val="BBFE8C34"/>
    <w:lvl w:ilvl="0">
      <w:start w:val="6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1">
    <w:nsid w:val="384749FD"/>
    <w:multiLevelType w:val="singleLevel"/>
    <w:tmpl w:val="AA6C5C26"/>
    <w:lvl w:ilvl="0">
      <w:start w:val="1"/>
      <w:numFmt w:val="bullet"/>
      <w:lvlText w:val=""/>
      <w:lvlJc w:val="left"/>
      <w:pPr>
        <w:tabs>
          <w:tab w:val="num" w:pos="1339"/>
        </w:tabs>
        <w:ind w:left="0" w:firstLine="979"/>
      </w:pPr>
      <w:rPr>
        <w:rFonts w:ascii="Symbol" w:hAnsi="Symbol" w:hint="default"/>
        <w:b w:val="0"/>
        <w:i w:val="0"/>
      </w:rPr>
    </w:lvl>
  </w:abstractNum>
  <w:abstractNum w:abstractNumId="132">
    <w:nsid w:val="385B4A01"/>
    <w:multiLevelType w:val="multilevel"/>
    <w:tmpl w:val="F7AE5A5E"/>
    <w:lvl w:ilvl="0">
      <w:start w:val="1"/>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33">
    <w:nsid w:val="390946C2"/>
    <w:multiLevelType w:val="singleLevel"/>
    <w:tmpl w:val="AD2E4892"/>
    <w:lvl w:ilvl="0">
      <w:start w:val="4"/>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34">
    <w:nsid w:val="391F1A82"/>
    <w:multiLevelType w:val="singleLevel"/>
    <w:tmpl w:val="E0743FFA"/>
    <w:lvl w:ilvl="0">
      <w:start w:val="1"/>
      <w:numFmt w:val="decimal"/>
      <w:lvlText w:val="%1."/>
      <w:lvlJc w:val="left"/>
      <w:pPr>
        <w:tabs>
          <w:tab w:val="num" w:pos="648"/>
        </w:tabs>
        <w:ind w:left="360" w:hanging="72"/>
      </w:pPr>
    </w:lvl>
  </w:abstractNum>
  <w:abstractNum w:abstractNumId="135">
    <w:nsid w:val="39361D13"/>
    <w:multiLevelType w:val="singleLevel"/>
    <w:tmpl w:val="49BAE818"/>
    <w:lvl w:ilvl="0">
      <w:start w:val="4"/>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36">
    <w:nsid w:val="39A062E1"/>
    <w:multiLevelType w:val="multilevel"/>
    <w:tmpl w:val="39FCCB6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7">
    <w:nsid w:val="39C3322C"/>
    <w:multiLevelType w:val="singleLevel"/>
    <w:tmpl w:val="2448648A"/>
    <w:lvl w:ilvl="0">
      <w:numFmt w:val="bullet"/>
      <w:lvlText w:val="-"/>
      <w:lvlJc w:val="left"/>
      <w:pPr>
        <w:tabs>
          <w:tab w:val="num" w:pos="720"/>
        </w:tabs>
        <w:ind w:left="720" w:hanging="720"/>
      </w:pPr>
      <w:rPr>
        <w:rFonts w:hint="default"/>
      </w:rPr>
    </w:lvl>
  </w:abstractNum>
  <w:abstractNum w:abstractNumId="138">
    <w:nsid w:val="39F81030"/>
    <w:multiLevelType w:val="singleLevel"/>
    <w:tmpl w:val="4A2CDB00"/>
    <w:lvl w:ilvl="0">
      <w:start w:val="10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9">
    <w:nsid w:val="3A271E09"/>
    <w:multiLevelType w:val="multilevel"/>
    <w:tmpl w:val="DC0EB626"/>
    <w:lvl w:ilvl="0">
      <w:start w:val="2002"/>
      <w:numFmt w:val="decimal"/>
      <w:lvlText w:val="%1"/>
      <w:lvlJc w:val="left"/>
      <w:pPr>
        <w:tabs>
          <w:tab w:val="num" w:pos="8355"/>
        </w:tabs>
        <w:ind w:left="8355" w:hanging="8355"/>
      </w:pPr>
      <w:rPr>
        <w:rFonts w:hint="default"/>
      </w:rPr>
    </w:lvl>
    <w:lvl w:ilvl="1">
      <w:start w:val="2003"/>
      <w:numFmt w:val="decimal"/>
      <w:lvlText w:val="%1-%2"/>
      <w:lvlJc w:val="left"/>
      <w:pPr>
        <w:tabs>
          <w:tab w:val="num" w:pos="8355"/>
        </w:tabs>
        <w:ind w:left="8355" w:hanging="8355"/>
      </w:pPr>
      <w:rPr>
        <w:rFonts w:hint="default"/>
      </w:rPr>
    </w:lvl>
    <w:lvl w:ilvl="2">
      <w:start w:val="1"/>
      <w:numFmt w:val="decimal"/>
      <w:lvlText w:val="%1-%2.%3"/>
      <w:lvlJc w:val="left"/>
      <w:pPr>
        <w:tabs>
          <w:tab w:val="num" w:pos="8355"/>
        </w:tabs>
        <w:ind w:left="8355" w:hanging="8355"/>
      </w:pPr>
      <w:rPr>
        <w:rFonts w:hint="default"/>
      </w:rPr>
    </w:lvl>
    <w:lvl w:ilvl="3">
      <w:start w:val="1"/>
      <w:numFmt w:val="decimal"/>
      <w:lvlText w:val="%1-%2.%3.%4"/>
      <w:lvlJc w:val="left"/>
      <w:pPr>
        <w:tabs>
          <w:tab w:val="num" w:pos="8355"/>
        </w:tabs>
        <w:ind w:left="8355" w:hanging="8355"/>
      </w:pPr>
      <w:rPr>
        <w:rFonts w:hint="default"/>
      </w:rPr>
    </w:lvl>
    <w:lvl w:ilvl="4">
      <w:start w:val="1"/>
      <w:numFmt w:val="decimal"/>
      <w:lvlText w:val="%1-%2.%3.%4.%5"/>
      <w:lvlJc w:val="left"/>
      <w:pPr>
        <w:tabs>
          <w:tab w:val="num" w:pos="8355"/>
        </w:tabs>
        <w:ind w:left="8355" w:hanging="8355"/>
      </w:pPr>
      <w:rPr>
        <w:rFonts w:hint="default"/>
      </w:rPr>
    </w:lvl>
    <w:lvl w:ilvl="5">
      <w:start w:val="1"/>
      <w:numFmt w:val="decimal"/>
      <w:lvlText w:val="%1-%2.%3.%4.%5.%6"/>
      <w:lvlJc w:val="left"/>
      <w:pPr>
        <w:tabs>
          <w:tab w:val="num" w:pos="8355"/>
        </w:tabs>
        <w:ind w:left="8355" w:hanging="8355"/>
      </w:pPr>
      <w:rPr>
        <w:rFonts w:hint="default"/>
      </w:rPr>
    </w:lvl>
    <w:lvl w:ilvl="6">
      <w:start w:val="1"/>
      <w:numFmt w:val="decimal"/>
      <w:lvlText w:val="%1-%2.%3.%4.%5.%6.%7"/>
      <w:lvlJc w:val="left"/>
      <w:pPr>
        <w:tabs>
          <w:tab w:val="num" w:pos="8355"/>
        </w:tabs>
        <w:ind w:left="8355" w:hanging="8355"/>
      </w:pPr>
      <w:rPr>
        <w:rFonts w:hint="default"/>
      </w:rPr>
    </w:lvl>
    <w:lvl w:ilvl="7">
      <w:start w:val="1"/>
      <w:numFmt w:val="decimal"/>
      <w:lvlText w:val="%1-%2.%3.%4.%5.%6.%7.%8"/>
      <w:lvlJc w:val="left"/>
      <w:pPr>
        <w:tabs>
          <w:tab w:val="num" w:pos="8355"/>
        </w:tabs>
        <w:ind w:left="8355" w:hanging="8355"/>
      </w:pPr>
      <w:rPr>
        <w:rFonts w:hint="default"/>
      </w:rPr>
    </w:lvl>
    <w:lvl w:ilvl="8">
      <w:start w:val="1"/>
      <w:numFmt w:val="decimal"/>
      <w:lvlText w:val="%1-%2.%3.%4.%5.%6.%7.%8.%9"/>
      <w:lvlJc w:val="left"/>
      <w:pPr>
        <w:tabs>
          <w:tab w:val="num" w:pos="8355"/>
        </w:tabs>
        <w:ind w:left="8355" w:hanging="8355"/>
      </w:pPr>
      <w:rPr>
        <w:rFonts w:hint="default"/>
      </w:rPr>
    </w:lvl>
  </w:abstractNum>
  <w:abstractNum w:abstractNumId="140">
    <w:nsid w:val="3A2F60CD"/>
    <w:multiLevelType w:val="singleLevel"/>
    <w:tmpl w:val="2A44CA10"/>
    <w:lvl w:ilvl="0">
      <w:start w:val="3"/>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41">
    <w:nsid w:val="3AAB773F"/>
    <w:multiLevelType w:val="singleLevel"/>
    <w:tmpl w:val="F938A33E"/>
    <w:lvl w:ilvl="0">
      <w:numFmt w:val="bullet"/>
      <w:lvlText w:val="-"/>
      <w:lvlJc w:val="left"/>
      <w:pPr>
        <w:tabs>
          <w:tab w:val="num" w:pos="360"/>
        </w:tabs>
        <w:ind w:left="360" w:hanging="360"/>
      </w:pPr>
      <w:rPr>
        <w:rFonts w:hint="default"/>
      </w:rPr>
    </w:lvl>
  </w:abstractNum>
  <w:abstractNum w:abstractNumId="142">
    <w:nsid w:val="3BA01A37"/>
    <w:multiLevelType w:val="multilevel"/>
    <w:tmpl w:val="BF967C2A"/>
    <w:lvl w:ilvl="0">
      <w:start w:val="1"/>
      <w:numFmt w:val="lowerRoman"/>
      <w:lvlText w:val="(%1)"/>
      <w:lvlJc w:val="righ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3">
    <w:nsid w:val="3C1F3715"/>
    <w:multiLevelType w:val="singleLevel"/>
    <w:tmpl w:val="A686D2A0"/>
    <w:lvl w:ilvl="0">
      <w:start w:val="1"/>
      <w:numFmt w:val="lowerLetter"/>
      <w:lvlText w:val="(%1)"/>
      <w:lvlJc w:val="left"/>
      <w:pPr>
        <w:tabs>
          <w:tab w:val="num" w:pos="648"/>
        </w:tabs>
        <w:ind w:left="648" w:hanging="360"/>
      </w:pPr>
      <w:rPr>
        <w:rFonts w:hint="default"/>
      </w:rPr>
    </w:lvl>
  </w:abstractNum>
  <w:abstractNum w:abstractNumId="144">
    <w:nsid w:val="3D330BCC"/>
    <w:multiLevelType w:val="multilevel"/>
    <w:tmpl w:val="7B225BE8"/>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3120"/>
        </w:tabs>
        <w:ind w:left="3120" w:hanging="1140"/>
      </w:pPr>
      <w:rPr>
        <w:rFonts w:hint="default"/>
      </w:rPr>
    </w:lvl>
    <w:lvl w:ilvl="3">
      <w:start w:val="1"/>
      <w:numFmt w:val="lowerRoman"/>
      <w:lvlText w:val="%4."/>
      <w:lvlJc w:val="left"/>
      <w:pPr>
        <w:tabs>
          <w:tab w:val="num" w:pos="3240"/>
        </w:tabs>
        <w:ind w:left="3240" w:hanging="72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5">
    <w:nsid w:val="3D871847"/>
    <w:multiLevelType w:val="singleLevel"/>
    <w:tmpl w:val="19D0C3A2"/>
    <w:lvl w:ilvl="0">
      <w:start w:val="1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6">
    <w:nsid w:val="3E1440DA"/>
    <w:multiLevelType w:val="singleLevel"/>
    <w:tmpl w:val="4CB2DD02"/>
    <w:lvl w:ilvl="0">
      <w:start w:val="1"/>
      <w:numFmt w:val="lowerLetter"/>
      <w:lvlText w:val="(%1)"/>
      <w:lvlJc w:val="left"/>
      <w:pPr>
        <w:tabs>
          <w:tab w:val="num" w:pos="648"/>
        </w:tabs>
        <w:ind w:left="648" w:hanging="360"/>
      </w:pPr>
      <w:rPr>
        <w:rFonts w:hint="default"/>
      </w:rPr>
    </w:lvl>
  </w:abstractNum>
  <w:abstractNum w:abstractNumId="147">
    <w:nsid w:val="3E365C8C"/>
    <w:multiLevelType w:val="multilevel"/>
    <w:tmpl w:val="63F07F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8">
    <w:nsid w:val="3E6A247D"/>
    <w:multiLevelType w:val="singleLevel"/>
    <w:tmpl w:val="20AE243C"/>
    <w:lvl w:ilvl="0">
      <w:start w:val="1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9">
    <w:nsid w:val="3EEC222F"/>
    <w:multiLevelType w:val="singleLevel"/>
    <w:tmpl w:val="73A052C4"/>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50">
    <w:nsid w:val="3F637814"/>
    <w:multiLevelType w:val="singleLevel"/>
    <w:tmpl w:val="4E441D04"/>
    <w:lvl w:ilvl="0">
      <w:numFmt w:val="bullet"/>
      <w:lvlText w:val=""/>
      <w:lvlJc w:val="left"/>
      <w:pPr>
        <w:tabs>
          <w:tab w:val="num" w:pos="720"/>
        </w:tabs>
        <w:ind w:left="720" w:hanging="648"/>
      </w:pPr>
      <w:rPr>
        <w:rFonts w:ascii="Wingdings" w:hAnsi="Wingdings" w:hint="default"/>
      </w:rPr>
    </w:lvl>
  </w:abstractNum>
  <w:abstractNum w:abstractNumId="151">
    <w:nsid w:val="3F916B54"/>
    <w:multiLevelType w:val="multilevel"/>
    <w:tmpl w:val="DC0A0AF0"/>
    <w:lvl w:ilvl="0">
      <w:start w:val="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2">
    <w:nsid w:val="3FC06037"/>
    <w:multiLevelType w:val="multilevel"/>
    <w:tmpl w:val="CE64605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3">
    <w:nsid w:val="3FC767D9"/>
    <w:multiLevelType w:val="multilevel"/>
    <w:tmpl w:val="76EA7A8A"/>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4">
    <w:nsid w:val="400255E4"/>
    <w:multiLevelType w:val="multilevel"/>
    <w:tmpl w:val="C062F51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5">
    <w:nsid w:val="40F66BE5"/>
    <w:multiLevelType w:val="singleLevel"/>
    <w:tmpl w:val="00CCFC5E"/>
    <w:lvl w:ilvl="0">
      <w:start w:val="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6">
    <w:nsid w:val="41157C68"/>
    <w:multiLevelType w:val="singleLevel"/>
    <w:tmpl w:val="B00C54D0"/>
    <w:lvl w:ilvl="0">
      <w:numFmt w:val="bullet"/>
      <w:lvlText w:val="-"/>
      <w:lvlJc w:val="left"/>
      <w:pPr>
        <w:tabs>
          <w:tab w:val="num" w:pos="475"/>
        </w:tabs>
        <w:ind w:left="475" w:hanging="475"/>
      </w:pPr>
      <w:rPr>
        <w:rFonts w:hint="default"/>
      </w:rPr>
    </w:lvl>
  </w:abstractNum>
  <w:abstractNum w:abstractNumId="157">
    <w:nsid w:val="411E6E92"/>
    <w:multiLevelType w:val="singleLevel"/>
    <w:tmpl w:val="E0743FFA"/>
    <w:lvl w:ilvl="0">
      <w:start w:val="1"/>
      <w:numFmt w:val="decimal"/>
      <w:lvlText w:val="%1."/>
      <w:lvlJc w:val="left"/>
      <w:pPr>
        <w:tabs>
          <w:tab w:val="num" w:pos="648"/>
        </w:tabs>
        <w:ind w:left="360" w:hanging="72"/>
      </w:pPr>
    </w:lvl>
  </w:abstractNum>
  <w:abstractNum w:abstractNumId="158">
    <w:nsid w:val="419F38B2"/>
    <w:multiLevelType w:val="multilevel"/>
    <w:tmpl w:val="ACC8132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9">
    <w:nsid w:val="42126D9E"/>
    <w:multiLevelType w:val="singleLevel"/>
    <w:tmpl w:val="14E274AE"/>
    <w:lvl w:ilvl="0">
      <w:start w:val="2"/>
      <w:numFmt w:val="decimal"/>
      <w:lvlText w:val="%1."/>
      <w:lvlJc w:val="left"/>
      <w:pPr>
        <w:tabs>
          <w:tab w:val="num" w:pos="648"/>
        </w:tabs>
        <w:ind w:left="288" w:firstLine="0"/>
      </w:pPr>
      <w:rPr>
        <w:b w:val="0"/>
        <w:i w:val="0"/>
        <w:u w:val="none"/>
      </w:rPr>
    </w:lvl>
  </w:abstractNum>
  <w:abstractNum w:abstractNumId="160">
    <w:nsid w:val="422D7F87"/>
    <w:multiLevelType w:val="singleLevel"/>
    <w:tmpl w:val="626AD0D8"/>
    <w:lvl w:ilvl="0">
      <w:start w:val="11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1">
    <w:nsid w:val="43002BA6"/>
    <w:multiLevelType w:val="singleLevel"/>
    <w:tmpl w:val="67B280C6"/>
    <w:lvl w:ilvl="0">
      <w:start w:val="1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2">
    <w:nsid w:val="43055C19"/>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63">
    <w:nsid w:val="432F169D"/>
    <w:multiLevelType w:val="singleLevel"/>
    <w:tmpl w:val="4F9A41CE"/>
    <w:lvl w:ilvl="0">
      <w:start w:val="9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4">
    <w:nsid w:val="440A05E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65">
    <w:nsid w:val="452155C7"/>
    <w:multiLevelType w:val="singleLevel"/>
    <w:tmpl w:val="DC263094"/>
    <w:lvl w:ilvl="0">
      <w:start w:val="3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6">
    <w:nsid w:val="471B0C64"/>
    <w:multiLevelType w:val="multilevel"/>
    <w:tmpl w:val="030E710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7">
    <w:nsid w:val="47D74FB0"/>
    <w:multiLevelType w:val="singleLevel"/>
    <w:tmpl w:val="C0CE32D6"/>
    <w:lvl w:ilvl="0">
      <w:start w:val="1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8">
    <w:nsid w:val="494A6BC7"/>
    <w:multiLevelType w:val="singleLevel"/>
    <w:tmpl w:val="F938A33E"/>
    <w:lvl w:ilvl="0">
      <w:numFmt w:val="bullet"/>
      <w:lvlText w:val="-"/>
      <w:lvlJc w:val="left"/>
      <w:pPr>
        <w:tabs>
          <w:tab w:val="num" w:pos="360"/>
        </w:tabs>
        <w:ind w:left="360" w:hanging="360"/>
      </w:pPr>
      <w:rPr>
        <w:rFonts w:hint="default"/>
      </w:rPr>
    </w:lvl>
  </w:abstractNum>
  <w:abstractNum w:abstractNumId="169">
    <w:nsid w:val="498B2599"/>
    <w:multiLevelType w:val="singleLevel"/>
    <w:tmpl w:val="4A4E083C"/>
    <w:lvl w:ilvl="0">
      <w:start w:val="4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0">
    <w:nsid w:val="49A74880"/>
    <w:multiLevelType w:val="singleLevel"/>
    <w:tmpl w:val="29B213E4"/>
    <w:lvl w:ilvl="0">
      <w:start w:val="7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1">
    <w:nsid w:val="49D40D5C"/>
    <w:multiLevelType w:val="multilevel"/>
    <w:tmpl w:val="3648DD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2">
    <w:nsid w:val="4B3906F2"/>
    <w:multiLevelType w:val="singleLevel"/>
    <w:tmpl w:val="2E7C9D1A"/>
    <w:lvl w:ilvl="0">
      <w:start w:val="2"/>
      <w:numFmt w:val="bullet"/>
      <w:lvlText w:val="-"/>
      <w:lvlJc w:val="left"/>
      <w:pPr>
        <w:tabs>
          <w:tab w:val="num" w:pos="720"/>
        </w:tabs>
        <w:ind w:left="720" w:hanging="720"/>
      </w:pPr>
      <w:rPr>
        <w:rFonts w:hint="default"/>
      </w:rPr>
    </w:lvl>
  </w:abstractNum>
  <w:abstractNum w:abstractNumId="173">
    <w:nsid w:val="4CF80762"/>
    <w:multiLevelType w:val="multilevel"/>
    <w:tmpl w:val="E8E6458A"/>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4">
    <w:nsid w:val="4DA74D72"/>
    <w:multiLevelType w:val="singleLevel"/>
    <w:tmpl w:val="841227FE"/>
    <w:lvl w:ilvl="0">
      <w:start w:val="4"/>
      <w:numFmt w:val="bullet"/>
      <w:lvlText w:val=""/>
      <w:lvlJc w:val="left"/>
      <w:pPr>
        <w:tabs>
          <w:tab w:val="num" w:pos="720"/>
        </w:tabs>
        <w:ind w:left="720" w:hanging="720"/>
      </w:pPr>
      <w:rPr>
        <w:rFonts w:ascii="Wingdings" w:hAnsi="Wingdings" w:hint="default"/>
        <w:sz w:val="16"/>
      </w:rPr>
    </w:lvl>
  </w:abstractNum>
  <w:abstractNum w:abstractNumId="175">
    <w:nsid w:val="4DE34488"/>
    <w:multiLevelType w:val="singleLevel"/>
    <w:tmpl w:val="D08ABDFE"/>
    <w:lvl w:ilvl="0">
      <w:start w:val="8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6">
    <w:nsid w:val="4E9D14D2"/>
    <w:multiLevelType w:val="multilevel"/>
    <w:tmpl w:val="CF940F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7">
    <w:nsid w:val="4ED33EDF"/>
    <w:multiLevelType w:val="multilevel"/>
    <w:tmpl w:val="827C4E2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8">
    <w:nsid w:val="4F024E45"/>
    <w:multiLevelType w:val="singleLevel"/>
    <w:tmpl w:val="ED7C52FC"/>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79">
    <w:nsid w:val="4FE37E6C"/>
    <w:multiLevelType w:val="multilevel"/>
    <w:tmpl w:val="79A04F32"/>
    <w:lvl w:ilvl="0">
      <w:start w:val="1"/>
      <w:numFmt w:val="lowerLetter"/>
      <w:lvlText w:val="%1)"/>
      <w:lvlJc w:val="left"/>
      <w:pPr>
        <w:tabs>
          <w:tab w:val="num" w:pos="2088"/>
        </w:tabs>
        <w:ind w:left="2088" w:hanging="360"/>
      </w:pPr>
    </w:lvl>
    <w:lvl w:ilvl="1" w:tentative="1">
      <w:start w:val="1"/>
      <w:numFmt w:val="lowerLetter"/>
      <w:lvlText w:val="%2."/>
      <w:lvlJc w:val="left"/>
      <w:pPr>
        <w:tabs>
          <w:tab w:val="num" w:pos="2808"/>
        </w:tabs>
        <w:ind w:left="2808" w:hanging="360"/>
      </w:pPr>
    </w:lvl>
    <w:lvl w:ilvl="2" w:tentative="1">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180">
    <w:nsid w:val="501E662D"/>
    <w:multiLevelType w:val="multilevel"/>
    <w:tmpl w:val="B2EE0AD0"/>
    <w:lvl w:ilvl="0">
      <w:start w:val="1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1">
    <w:nsid w:val="50545E73"/>
    <w:multiLevelType w:val="multilevel"/>
    <w:tmpl w:val="3788EF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2">
    <w:nsid w:val="50580B4E"/>
    <w:multiLevelType w:val="multilevel"/>
    <w:tmpl w:val="09044474"/>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560"/>
        </w:tabs>
        <w:ind w:left="1560" w:hanging="48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3">
    <w:nsid w:val="507A1C8B"/>
    <w:multiLevelType w:val="singleLevel"/>
    <w:tmpl w:val="F938A33E"/>
    <w:lvl w:ilvl="0">
      <w:numFmt w:val="bullet"/>
      <w:lvlText w:val="-"/>
      <w:lvlJc w:val="left"/>
      <w:pPr>
        <w:tabs>
          <w:tab w:val="num" w:pos="360"/>
        </w:tabs>
        <w:ind w:left="360" w:hanging="360"/>
      </w:pPr>
      <w:rPr>
        <w:rFonts w:hint="default"/>
      </w:rPr>
    </w:lvl>
  </w:abstractNum>
  <w:abstractNum w:abstractNumId="184">
    <w:nsid w:val="509F2A75"/>
    <w:multiLevelType w:val="singleLevel"/>
    <w:tmpl w:val="EA289FA2"/>
    <w:lvl w:ilvl="0">
      <w:start w:val="2"/>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85">
    <w:nsid w:val="50ED5F38"/>
    <w:multiLevelType w:val="singleLevel"/>
    <w:tmpl w:val="B00C54D0"/>
    <w:lvl w:ilvl="0">
      <w:numFmt w:val="bullet"/>
      <w:lvlText w:val="-"/>
      <w:lvlJc w:val="left"/>
      <w:pPr>
        <w:tabs>
          <w:tab w:val="num" w:pos="475"/>
        </w:tabs>
        <w:ind w:left="475" w:hanging="475"/>
      </w:pPr>
      <w:rPr>
        <w:rFonts w:hint="default"/>
      </w:rPr>
    </w:lvl>
  </w:abstractNum>
  <w:abstractNum w:abstractNumId="186">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87">
    <w:nsid w:val="513511CB"/>
    <w:multiLevelType w:val="multilevel"/>
    <w:tmpl w:val="89AE448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8">
    <w:nsid w:val="519B6010"/>
    <w:multiLevelType w:val="singleLevel"/>
    <w:tmpl w:val="11984E96"/>
    <w:lvl w:ilvl="0">
      <w:start w:val="4"/>
      <w:numFmt w:val="decimal"/>
      <w:lvlText w:val="%1."/>
      <w:lvlJc w:val="left"/>
      <w:pPr>
        <w:tabs>
          <w:tab w:val="num" w:pos="720"/>
        </w:tabs>
        <w:ind w:left="720" w:hanging="720"/>
      </w:pPr>
      <w:rPr>
        <w:rFonts w:hint="default"/>
      </w:rPr>
    </w:lvl>
  </w:abstractNum>
  <w:abstractNum w:abstractNumId="189">
    <w:nsid w:val="52C34885"/>
    <w:multiLevelType w:val="singleLevel"/>
    <w:tmpl w:val="E556B404"/>
    <w:lvl w:ilvl="0">
      <w:start w:val="1"/>
      <w:numFmt w:val="decimal"/>
      <w:lvlText w:val="%1."/>
      <w:lvlJc w:val="left"/>
      <w:pPr>
        <w:tabs>
          <w:tab w:val="num" w:pos="648"/>
        </w:tabs>
        <w:ind w:left="288" w:firstLine="0"/>
      </w:pPr>
    </w:lvl>
  </w:abstractNum>
  <w:abstractNum w:abstractNumId="190">
    <w:nsid w:val="52F00051"/>
    <w:multiLevelType w:val="singleLevel"/>
    <w:tmpl w:val="E556B404"/>
    <w:lvl w:ilvl="0">
      <w:start w:val="1"/>
      <w:numFmt w:val="decimal"/>
      <w:lvlText w:val="%1."/>
      <w:lvlJc w:val="left"/>
      <w:pPr>
        <w:tabs>
          <w:tab w:val="num" w:pos="648"/>
        </w:tabs>
        <w:ind w:left="288" w:firstLine="0"/>
      </w:pPr>
    </w:lvl>
  </w:abstractNum>
  <w:abstractNum w:abstractNumId="191">
    <w:nsid w:val="53081281"/>
    <w:multiLevelType w:val="singleLevel"/>
    <w:tmpl w:val="E556B404"/>
    <w:lvl w:ilvl="0">
      <w:start w:val="1"/>
      <w:numFmt w:val="decimal"/>
      <w:lvlText w:val="%1."/>
      <w:lvlJc w:val="left"/>
      <w:pPr>
        <w:tabs>
          <w:tab w:val="num" w:pos="648"/>
        </w:tabs>
        <w:ind w:left="288" w:firstLine="0"/>
      </w:pPr>
    </w:lvl>
  </w:abstractNum>
  <w:abstractNum w:abstractNumId="192">
    <w:nsid w:val="54C24DB7"/>
    <w:multiLevelType w:val="singleLevel"/>
    <w:tmpl w:val="79D089C4"/>
    <w:lvl w:ilvl="0">
      <w:start w:val="1"/>
      <w:numFmt w:val="decimal"/>
      <w:lvlText w:val="%1."/>
      <w:lvlJc w:val="left"/>
      <w:pPr>
        <w:tabs>
          <w:tab w:val="num" w:pos="360"/>
        </w:tabs>
        <w:ind w:left="0" w:firstLine="0"/>
      </w:pPr>
    </w:lvl>
  </w:abstractNum>
  <w:abstractNum w:abstractNumId="193">
    <w:nsid w:val="55DD52EB"/>
    <w:multiLevelType w:val="multilevel"/>
    <w:tmpl w:val="8A6A863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4">
    <w:nsid w:val="560E1ED1"/>
    <w:multiLevelType w:val="singleLevel"/>
    <w:tmpl w:val="0409000F"/>
    <w:lvl w:ilvl="0">
      <w:start w:val="1"/>
      <w:numFmt w:val="decimal"/>
      <w:lvlText w:val="%1."/>
      <w:lvlJc w:val="left"/>
      <w:pPr>
        <w:tabs>
          <w:tab w:val="num" w:pos="360"/>
        </w:tabs>
        <w:ind w:left="360" w:hanging="360"/>
      </w:pPr>
    </w:lvl>
  </w:abstractNum>
  <w:abstractNum w:abstractNumId="195">
    <w:nsid w:val="56293BC1"/>
    <w:multiLevelType w:val="singleLevel"/>
    <w:tmpl w:val="4B86DA22"/>
    <w:lvl w:ilvl="0">
      <w:start w:val="1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6">
    <w:nsid w:val="573711FF"/>
    <w:multiLevelType w:val="multilevel"/>
    <w:tmpl w:val="0D6AF9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7">
    <w:nsid w:val="573B31A3"/>
    <w:multiLevelType w:val="singleLevel"/>
    <w:tmpl w:val="CBECD16A"/>
    <w:lvl w:ilvl="0">
      <w:start w:val="3"/>
      <w:numFmt w:val="upperLetter"/>
      <w:lvlText w:val="%1."/>
      <w:lvlJc w:val="left"/>
      <w:pPr>
        <w:tabs>
          <w:tab w:val="num" w:pos="1080"/>
        </w:tabs>
        <w:ind w:left="1080" w:hanging="360"/>
      </w:pPr>
      <w:rPr>
        <w:rFonts w:hint="default"/>
      </w:rPr>
    </w:lvl>
  </w:abstractNum>
  <w:abstractNum w:abstractNumId="198">
    <w:nsid w:val="57B86EA9"/>
    <w:multiLevelType w:val="multilevel"/>
    <w:tmpl w:val="27A8DC36"/>
    <w:lvl w:ilvl="0">
      <w:start w:val="3"/>
      <w:numFmt w:val="decimal"/>
      <w:lvlText w:val="%1."/>
      <w:lvlJc w:val="left"/>
      <w:pPr>
        <w:tabs>
          <w:tab w:val="num" w:pos="648"/>
        </w:tabs>
        <w:ind w:left="648" w:hanging="360"/>
      </w:pPr>
      <w:rPr>
        <w:rFonts w:hint="default"/>
      </w:rPr>
    </w:lvl>
    <w:lvl w:ilvl="1" w:tentative="1">
      <w:start w:val="1"/>
      <w:numFmt w:val="lowerLetter"/>
      <w:lvlText w:val="%2."/>
      <w:lvlJc w:val="left"/>
      <w:pPr>
        <w:tabs>
          <w:tab w:val="num" w:pos="1368"/>
        </w:tabs>
        <w:ind w:left="1368" w:hanging="360"/>
      </w:pPr>
    </w:lvl>
    <w:lvl w:ilvl="2" w:tentative="1">
      <w:start w:val="1"/>
      <w:numFmt w:val="lowerRoman"/>
      <w:lvlText w:val="%3."/>
      <w:lvlJc w:val="right"/>
      <w:pPr>
        <w:tabs>
          <w:tab w:val="num" w:pos="2088"/>
        </w:tabs>
        <w:ind w:left="2088" w:hanging="180"/>
      </w:pPr>
    </w:lvl>
    <w:lvl w:ilvl="3" w:tentative="1">
      <w:start w:val="1"/>
      <w:numFmt w:val="decimal"/>
      <w:lvlText w:val="%4."/>
      <w:lvlJc w:val="left"/>
      <w:pPr>
        <w:tabs>
          <w:tab w:val="num" w:pos="2808"/>
        </w:tabs>
        <w:ind w:left="2808" w:hanging="360"/>
      </w:pPr>
    </w:lvl>
    <w:lvl w:ilvl="4" w:tentative="1">
      <w:start w:val="1"/>
      <w:numFmt w:val="lowerLetter"/>
      <w:lvlText w:val="%5."/>
      <w:lvlJc w:val="left"/>
      <w:pPr>
        <w:tabs>
          <w:tab w:val="num" w:pos="3528"/>
        </w:tabs>
        <w:ind w:left="3528" w:hanging="360"/>
      </w:pPr>
    </w:lvl>
    <w:lvl w:ilvl="5" w:tentative="1">
      <w:start w:val="1"/>
      <w:numFmt w:val="lowerRoman"/>
      <w:lvlText w:val="%6."/>
      <w:lvlJc w:val="right"/>
      <w:pPr>
        <w:tabs>
          <w:tab w:val="num" w:pos="4248"/>
        </w:tabs>
        <w:ind w:left="4248" w:hanging="180"/>
      </w:pPr>
    </w:lvl>
    <w:lvl w:ilvl="6" w:tentative="1">
      <w:start w:val="1"/>
      <w:numFmt w:val="decimal"/>
      <w:lvlText w:val="%7."/>
      <w:lvlJc w:val="left"/>
      <w:pPr>
        <w:tabs>
          <w:tab w:val="num" w:pos="4968"/>
        </w:tabs>
        <w:ind w:left="4968" w:hanging="360"/>
      </w:pPr>
    </w:lvl>
    <w:lvl w:ilvl="7" w:tentative="1">
      <w:start w:val="1"/>
      <w:numFmt w:val="lowerLetter"/>
      <w:lvlText w:val="%8."/>
      <w:lvlJc w:val="left"/>
      <w:pPr>
        <w:tabs>
          <w:tab w:val="num" w:pos="5688"/>
        </w:tabs>
        <w:ind w:left="5688" w:hanging="360"/>
      </w:pPr>
    </w:lvl>
    <w:lvl w:ilvl="8" w:tentative="1">
      <w:start w:val="1"/>
      <w:numFmt w:val="lowerRoman"/>
      <w:lvlText w:val="%9."/>
      <w:lvlJc w:val="right"/>
      <w:pPr>
        <w:tabs>
          <w:tab w:val="num" w:pos="6408"/>
        </w:tabs>
        <w:ind w:left="6408" w:hanging="180"/>
      </w:pPr>
    </w:lvl>
  </w:abstractNum>
  <w:abstractNum w:abstractNumId="199">
    <w:nsid w:val="595A0FF8"/>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00">
    <w:nsid w:val="5A220288"/>
    <w:multiLevelType w:val="singleLevel"/>
    <w:tmpl w:val="7E82D4EA"/>
    <w:lvl w:ilvl="0">
      <w:start w:val="7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1">
    <w:nsid w:val="5AAD7295"/>
    <w:multiLevelType w:val="singleLevel"/>
    <w:tmpl w:val="F8BAB2E8"/>
    <w:lvl w:ilvl="0">
      <w:start w:val="5"/>
      <w:numFmt w:val="upperRoman"/>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2">
    <w:nsid w:val="5B1738B9"/>
    <w:multiLevelType w:val="singleLevel"/>
    <w:tmpl w:val="0409000F"/>
    <w:lvl w:ilvl="0">
      <w:start w:val="1"/>
      <w:numFmt w:val="decimal"/>
      <w:lvlText w:val="%1."/>
      <w:lvlJc w:val="left"/>
      <w:pPr>
        <w:tabs>
          <w:tab w:val="num" w:pos="360"/>
        </w:tabs>
        <w:ind w:left="360" w:hanging="360"/>
      </w:pPr>
    </w:lvl>
  </w:abstractNum>
  <w:abstractNum w:abstractNumId="203">
    <w:nsid w:val="5B3722D1"/>
    <w:multiLevelType w:val="singleLevel"/>
    <w:tmpl w:val="22A42FB2"/>
    <w:lvl w:ilvl="0">
      <w:start w:val="1"/>
      <w:numFmt w:val="decimal"/>
      <w:lvlText w:val="%1."/>
      <w:lvlJc w:val="left"/>
      <w:pPr>
        <w:tabs>
          <w:tab w:val="num" w:pos="648"/>
        </w:tabs>
        <w:ind w:left="360" w:hanging="72"/>
      </w:pPr>
      <w:rPr>
        <w:b w:val="0"/>
        <w:i w:val="0"/>
        <w:u w:val="none"/>
      </w:rPr>
    </w:lvl>
  </w:abstractNum>
  <w:abstractNum w:abstractNumId="204">
    <w:nsid w:val="5B3D75ED"/>
    <w:multiLevelType w:val="multilevel"/>
    <w:tmpl w:val="A31E5A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5">
    <w:nsid w:val="5B9476C9"/>
    <w:multiLevelType w:val="singleLevel"/>
    <w:tmpl w:val="E0743FFA"/>
    <w:lvl w:ilvl="0">
      <w:start w:val="1"/>
      <w:numFmt w:val="decimal"/>
      <w:lvlText w:val="%1."/>
      <w:lvlJc w:val="left"/>
      <w:pPr>
        <w:tabs>
          <w:tab w:val="num" w:pos="648"/>
        </w:tabs>
        <w:ind w:left="360" w:hanging="72"/>
      </w:pPr>
    </w:lvl>
  </w:abstractNum>
  <w:abstractNum w:abstractNumId="206">
    <w:nsid w:val="5BAB79B9"/>
    <w:multiLevelType w:val="singleLevel"/>
    <w:tmpl w:val="0409000F"/>
    <w:lvl w:ilvl="0">
      <w:start w:val="1"/>
      <w:numFmt w:val="decimal"/>
      <w:lvlText w:val="%1."/>
      <w:lvlJc w:val="left"/>
      <w:pPr>
        <w:tabs>
          <w:tab w:val="num" w:pos="360"/>
        </w:tabs>
        <w:ind w:left="360" w:hanging="360"/>
      </w:pPr>
    </w:lvl>
  </w:abstractNum>
  <w:abstractNum w:abstractNumId="207">
    <w:nsid w:val="5C976239"/>
    <w:multiLevelType w:val="singleLevel"/>
    <w:tmpl w:val="BCF453B2"/>
    <w:lvl w:ilvl="0">
      <w:start w:val="1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8">
    <w:nsid w:val="5CDF13EF"/>
    <w:multiLevelType w:val="singleLevel"/>
    <w:tmpl w:val="DDFA387A"/>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9">
    <w:nsid w:val="5E0772A6"/>
    <w:multiLevelType w:val="singleLevel"/>
    <w:tmpl w:val="7ED4004C"/>
    <w:lvl w:ilvl="0">
      <w:numFmt w:val="bullet"/>
      <w:lvlText w:val=""/>
      <w:lvlJc w:val="left"/>
      <w:pPr>
        <w:tabs>
          <w:tab w:val="num" w:pos="720"/>
        </w:tabs>
        <w:ind w:left="720" w:hanging="648"/>
      </w:pPr>
      <w:rPr>
        <w:rFonts w:ascii="Wingdings" w:hAnsi="Wingdings" w:hint="default"/>
      </w:rPr>
    </w:lvl>
  </w:abstractNum>
  <w:abstractNum w:abstractNumId="210">
    <w:nsid w:val="5E9132A3"/>
    <w:multiLevelType w:val="singleLevel"/>
    <w:tmpl w:val="917E3110"/>
    <w:lvl w:ilvl="0">
      <w:start w:val="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1">
    <w:nsid w:val="5EA472E2"/>
    <w:multiLevelType w:val="multilevel"/>
    <w:tmpl w:val="1E7C01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2">
    <w:nsid w:val="5EA645AC"/>
    <w:multiLevelType w:val="singleLevel"/>
    <w:tmpl w:val="2F90F8EC"/>
    <w:lvl w:ilvl="0">
      <w:start w:val="1"/>
      <w:numFmt w:val="lowerLetter"/>
      <w:lvlText w:val="(%1)"/>
      <w:lvlJc w:val="left"/>
      <w:pPr>
        <w:tabs>
          <w:tab w:val="num" w:pos="1080"/>
        </w:tabs>
        <w:ind w:left="1080" w:hanging="360"/>
      </w:pPr>
      <w:rPr>
        <w:rFonts w:hint="default"/>
      </w:rPr>
    </w:lvl>
  </w:abstractNum>
  <w:abstractNum w:abstractNumId="213">
    <w:nsid w:val="5EA80B45"/>
    <w:multiLevelType w:val="singleLevel"/>
    <w:tmpl w:val="1D8A781A"/>
    <w:lvl w:ilvl="0">
      <w:start w:val="2"/>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4">
    <w:nsid w:val="5F02221A"/>
    <w:multiLevelType w:val="singleLevel"/>
    <w:tmpl w:val="04601AD2"/>
    <w:lvl w:ilvl="0">
      <w:start w:val="1"/>
      <w:numFmt w:val="upperRoman"/>
      <w:lvlText w:val="%1."/>
      <w:lvlJc w:val="left"/>
      <w:pPr>
        <w:tabs>
          <w:tab w:val="num" w:pos="1170"/>
        </w:tabs>
        <w:ind w:left="1170" w:hanging="720"/>
      </w:pPr>
      <w:rPr>
        <w:rFonts w:hint="default"/>
      </w:rPr>
    </w:lvl>
  </w:abstractNum>
  <w:abstractNum w:abstractNumId="215">
    <w:nsid w:val="5FBA2C93"/>
    <w:multiLevelType w:val="singleLevel"/>
    <w:tmpl w:val="B00C54D0"/>
    <w:lvl w:ilvl="0">
      <w:numFmt w:val="bullet"/>
      <w:lvlText w:val="-"/>
      <w:lvlJc w:val="left"/>
      <w:pPr>
        <w:tabs>
          <w:tab w:val="num" w:pos="475"/>
        </w:tabs>
        <w:ind w:left="475" w:hanging="475"/>
      </w:pPr>
      <w:rPr>
        <w:rFonts w:hint="default"/>
      </w:rPr>
    </w:lvl>
  </w:abstractNum>
  <w:abstractNum w:abstractNumId="216">
    <w:nsid w:val="602827E8"/>
    <w:multiLevelType w:val="singleLevel"/>
    <w:tmpl w:val="79D089C4"/>
    <w:lvl w:ilvl="0">
      <w:start w:val="1"/>
      <w:numFmt w:val="decimal"/>
      <w:lvlText w:val="%1."/>
      <w:lvlJc w:val="left"/>
      <w:pPr>
        <w:tabs>
          <w:tab w:val="num" w:pos="360"/>
        </w:tabs>
        <w:ind w:left="0" w:firstLine="0"/>
      </w:pPr>
    </w:lvl>
  </w:abstractNum>
  <w:abstractNum w:abstractNumId="217">
    <w:nsid w:val="605C02FF"/>
    <w:multiLevelType w:val="singleLevel"/>
    <w:tmpl w:val="77743DB6"/>
    <w:lvl w:ilvl="0">
      <w:start w:val="1"/>
      <w:numFmt w:val="lowerLetter"/>
      <w:lvlText w:val="(%1)"/>
      <w:lvlJc w:val="left"/>
      <w:pPr>
        <w:tabs>
          <w:tab w:val="num" w:pos="360"/>
        </w:tabs>
        <w:ind w:left="360" w:hanging="360"/>
      </w:pPr>
    </w:lvl>
  </w:abstractNum>
  <w:abstractNum w:abstractNumId="218">
    <w:nsid w:val="609A4A82"/>
    <w:multiLevelType w:val="singleLevel"/>
    <w:tmpl w:val="2360A0FA"/>
    <w:lvl w:ilvl="0">
      <w:start w:val="1"/>
      <w:numFmt w:val="upperRoman"/>
      <w:lvlText w:val="%1."/>
      <w:lvlJc w:val="left"/>
      <w:pPr>
        <w:tabs>
          <w:tab w:val="num" w:pos="1170"/>
        </w:tabs>
        <w:ind w:left="1170" w:hanging="1170"/>
      </w:pPr>
      <w:rPr>
        <w:rFonts w:hint="default"/>
      </w:rPr>
    </w:lvl>
  </w:abstractNum>
  <w:abstractNum w:abstractNumId="219">
    <w:nsid w:val="60AC7E9D"/>
    <w:multiLevelType w:val="multilevel"/>
    <w:tmpl w:val="2C80A3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0">
    <w:nsid w:val="60B25AE9"/>
    <w:multiLevelType w:val="singleLevel"/>
    <w:tmpl w:val="1D8A781A"/>
    <w:lvl w:ilvl="0">
      <w:start w:val="2"/>
      <w:numFmt w:val="upperLetter"/>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21">
    <w:nsid w:val="60C407F1"/>
    <w:multiLevelType w:val="singleLevel"/>
    <w:tmpl w:val="A33E16D0"/>
    <w:lvl w:ilvl="0">
      <w:start w:val="1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2">
    <w:nsid w:val="60E85D2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23">
    <w:nsid w:val="616B05F5"/>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24">
    <w:nsid w:val="6199747F"/>
    <w:multiLevelType w:val="singleLevel"/>
    <w:tmpl w:val="B00C54D0"/>
    <w:lvl w:ilvl="0">
      <w:numFmt w:val="bullet"/>
      <w:lvlText w:val="-"/>
      <w:lvlJc w:val="left"/>
      <w:pPr>
        <w:tabs>
          <w:tab w:val="num" w:pos="475"/>
        </w:tabs>
        <w:ind w:left="475" w:hanging="475"/>
      </w:pPr>
      <w:rPr>
        <w:rFonts w:hint="default"/>
      </w:rPr>
    </w:lvl>
  </w:abstractNum>
  <w:abstractNum w:abstractNumId="225">
    <w:nsid w:val="61AF43ED"/>
    <w:multiLevelType w:val="singleLevel"/>
    <w:tmpl w:val="04090013"/>
    <w:lvl w:ilvl="0">
      <w:start w:val="1"/>
      <w:numFmt w:val="upperRoman"/>
      <w:lvlText w:val="%1."/>
      <w:lvlJc w:val="left"/>
      <w:pPr>
        <w:tabs>
          <w:tab w:val="num" w:pos="720"/>
        </w:tabs>
        <w:ind w:left="720" w:hanging="720"/>
      </w:pPr>
      <w:rPr>
        <w:rFonts w:hint="default"/>
      </w:rPr>
    </w:lvl>
  </w:abstractNum>
  <w:abstractNum w:abstractNumId="226">
    <w:nsid w:val="61F830AA"/>
    <w:multiLevelType w:val="singleLevel"/>
    <w:tmpl w:val="4B0EBF18"/>
    <w:lvl w:ilvl="0">
      <w:start w:val="3"/>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27">
    <w:nsid w:val="625A5FCE"/>
    <w:multiLevelType w:val="singleLevel"/>
    <w:tmpl w:val="F938A33E"/>
    <w:lvl w:ilvl="0">
      <w:numFmt w:val="bullet"/>
      <w:lvlText w:val="-"/>
      <w:lvlJc w:val="left"/>
      <w:pPr>
        <w:tabs>
          <w:tab w:val="num" w:pos="360"/>
        </w:tabs>
        <w:ind w:left="360" w:hanging="360"/>
      </w:pPr>
      <w:rPr>
        <w:rFonts w:hint="default"/>
      </w:rPr>
    </w:lvl>
  </w:abstractNum>
  <w:abstractNum w:abstractNumId="228">
    <w:nsid w:val="62B87278"/>
    <w:multiLevelType w:val="singleLevel"/>
    <w:tmpl w:val="7ED4004C"/>
    <w:lvl w:ilvl="0">
      <w:numFmt w:val="bullet"/>
      <w:lvlText w:val=""/>
      <w:lvlJc w:val="left"/>
      <w:pPr>
        <w:tabs>
          <w:tab w:val="num" w:pos="720"/>
        </w:tabs>
        <w:ind w:left="720" w:hanging="648"/>
      </w:pPr>
      <w:rPr>
        <w:rFonts w:ascii="Wingdings" w:hAnsi="Wingdings" w:hint="default"/>
      </w:rPr>
    </w:lvl>
  </w:abstractNum>
  <w:abstractNum w:abstractNumId="229">
    <w:nsid w:val="63CF48FB"/>
    <w:multiLevelType w:val="singleLevel"/>
    <w:tmpl w:val="1F6E04D0"/>
    <w:lvl w:ilvl="0">
      <w:start w:val="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0">
    <w:nsid w:val="645D0754"/>
    <w:multiLevelType w:val="singleLevel"/>
    <w:tmpl w:val="999C6C32"/>
    <w:lvl w:ilvl="0">
      <w:start w:val="1"/>
      <w:numFmt w:val="decimal"/>
      <w:lvlText w:val="%1."/>
      <w:lvlJc w:val="left"/>
      <w:pPr>
        <w:tabs>
          <w:tab w:val="num" w:pos="720"/>
        </w:tabs>
        <w:ind w:left="720" w:hanging="720"/>
      </w:pPr>
      <w:rPr>
        <w:rFonts w:hint="default"/>
      </w:rPr>
    </w:lvl>
  </w:abstractNum>
  <w:abstractNum w:abstractNumId="231">
    <w:nsid w:val="64CD4C30"/>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2">
    <w:nsid w:val="64E270CB"/>
    <w:multiLevelType w:val="singleLevel"/>
    <w:tmpl w:val="B00C54D0"/>
    <w:lvl w:ilvl="0">
      <w:numFmt w:val="bullet"/>
      <w:lvlText w:val="-"/>
      <w:lvlJc w:val="left"/>
      <w:pPr>
        <w:tabs>
          <w:tab w:val="num" w:pos="475"/>
        </w:tabs>
        <w:ind w:left="475" w:hanging="475"/>
      </w:pPr>
      <w:rPr>
        <w:rFonts w:hint="default"/>
      </w:rPr>
    </w:lvl>
  </w:abstractNum>
  <w:abstractNum w:abstractNumId="233">
    <w:nsid w:val="64FA1F19"/>
    <w:multiLevelType w:val="multilevel"/>
    <w:tmpl w:val="8E70F91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4">
    <w:nsid w:val="652C22B3"/>
    <w:multiLevelType w:val="singleLevel"/>
    <w:tmpl w:val="E15E8F0A"/>
    <w:lvl w:ilvl="0">
      <w:start w:val="1"/>
      <w:numFmt w:val="lowerLetter"/>
      <w:lvlText w:val="%1)"/>
      <w:lvlJc w:val="left"/>
      <w:pPr>
        <w:tabs>
          <w:tab w:val="num" w:pos="1080"/>
        </w:tabs>
        <w:ind w:left="1080" w:hanging="360"/>
      </w:pPr>
      <w:rPr>
        <w:rFonts w:hint="default"/>
      </w:rPr>
    </w:lvl>
  </w:abstractNum>
  <w:abstractNum w:abstractNumId="235">
    <w:nsid w:val="660A6B07"/>
    <w:multiLevelType w:val="singleLevel"/>
    <w:tmpl w:val="99BEB8D8"/>
    <w:lvl w:ilvl="0">
      <w:start w:val="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6">
    <w:nsid w:val="66273806"/>
    <w:multiLevelType w:val="singleLevel"/>
    <w:tmpl w:val="1EEC89D8"/>
    <w:lvl w:ilvl="0">
      <w:start w:val="2"/>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237">
    <w:nsid w:val="663F5AE9"/>
    <w:multiLevelType w:val="singleLevel"/>
    <w:tmpl w:val="C834ECDE"/>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8">
    <w:nsid w:val="665223EC"/>
    <w:multiLevelType w:val="singleLevel"/>
    <w:tmpl w:val="C07E321E"/>
    <w:lvl w:ilvl="0">
      <w:start w:val="1"/>
      <w:numFmt w:val="upperLetter"/>
      <w:lvlText w:val="%1."/>
      <w:lvlJc w:val="left"/>
      <w:pPr>
        <w:tabs>
          <w:tab w:val="num" w:pos="720"/>
        </w:tabs>
        <w:ind w:left="720" w:hanging="720"/>
      </w:pPr>
      <w:rPr>
        <w:rFonts w:hint="default"/>
      </w:rPr>
    </w:lvl>
  </w:abstractNum>
  <w:abstractNum w:abstractNumId="239">
    <w:nsid w:val="66690D52"/>
    <w:multiLevelType w:val="multilevel"/>
    <w:tmpl w:val="868415F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0">
    <w:nsid w:val="67197D68"/>
    <w:multiLevelType w:val="singleLevel"/>
    <w:tmpl w:val="0409000F"/>
    <w:lvl w:ilvl="0">
      <w:start w:val="1"/>
      <w:numFmt w:val="decimal"/>
      <w:lvlText w:val="%1."/>
      <w:lvlJc w:val="left"/>
      <w:pPr>
        <w:tabs>
          <w:tab w:val="num" w:pos="360"/>
        </w:tabs>
        <w:ind w:left="360" w:hanging="360"/>
      </w:pPr>
    </w:lvl>
  </w:abstractNum>
  <w:abstractNum w:abstractNumId="241">
    <w:nsid w:val="671D0DCA"/>
    <w:multiLevelType w:val="multilevel"/>
    <w:tmpl w:val="7DF6A28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2">
    <w:nsid w:val="6767345D"/>
    <w:multiLevelType w:val="singleLevel"/>
    <w:tmpl w:val="29F06A40"/>
    <w:lvl w:ilvl="0">
      <w:start w:val="10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3">
    <w:nsid w:val="685B390E"/>
    <w:multiLevelType w:val="singleLevel"/>
    <w:tmpl w:val="15EEB430"/>
    <w:lvl w:ilvl="0">
      <w:start w:val="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4">
    <w:nsid w:val="694D7539"/>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5">
    <w:nsid w:val="6A17477D"/>
    <w:multiLevelType w:val="multilevel"/>
    <w:tmpl w:val="E55486E8"/>
    <w:lvl w:ilvl="0">
      <w:start w:val="1"/>
      <w:numFmt w:val="bullet"/>
      <w:lvlText w:val=""/>
      <w:lvlJc w:val="left"/>
      <w:pPr>
        <w:tabs>
          <w:tab w:val="num" w:pos="1152"/>
        </w:tabs>
        <w:ind w:left="1152"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6">
    <w:nsid w:val="6B671CC5"/>
    <w:multiLevelType w:val="multilevel"/>
    <w:tmpl w:val="8E40D480"/>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47">
    <w:nsid w:val="6CF54909"/>
    <w:multiLevelType w:val="multilevel"/>
    <w:tmpl w:val="66B6EFC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8">
    <w:nsid w:val="6D621C03"/>
    <w:multiLevelType w:val="singleLevel"/>
    <w:tmpl w:val="BCE0525A"/>
    <w:lvl w:ilvl="0">
      <w:start w:val="1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9">
    <w:nsid w:val="6D6751F4"/>
    <w:multiLevelType w:val="multilevel"/>
    <w:tmpl w:val="B3821464"/>
    <w:lvl w:ilvl="0">
      <w:start w:val="1"/>
      <w:numFmt w:val="decimal"/>
      <w:lvlText w:val="%1)"/>
      <w:lvlJc w:val="left"/>
      <w:pPr>
        <w:tabs>
          <w:tab w:val="num" w:pos="720"/>
        </w:tabs>
        <w:ind w:left="720" w:hanging="360"/>
      </w:pPr>
    </w:lvl>
    <w:lvl w:ilvl="1">
      <w:start w:val="2"/>
      <w:numFmt w:val="lowerLetter"/>
      <w:lvlText w:val="(%2)"/>
      <w:lvlJc w:val="left"/>
      <w:pPr>
        <w:tabs>
          <w:tab w:val="num" w:pos="1830"/>
        </w:tabs>
        <w:ind w:left="1830" w:hanging="39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50">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51">
    <w:nsid w:val="6E753AF7"/>
    <w:multiLevelType w:val="multilevel"/>
    <w:tmpl w:val="922068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2">
    <w:nsid w:val="6E9A472A"/>
    <w:multiLevelType w:val="singleLevel"/>
    <w:tmpl w:val="A254FEBE"/>
    <w:lvl w:ilvl="0">
      <w:start w:val="1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3">
    <w:nsid w:val="6FFE3B65"/>
    <w:multiLevelType w:val="singleLevel"/>
    <w:tmpl w:val="A4304618"/>
    <w:lvl w:ilvl="0">
      <w:start w:val="9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4">
    <w:nsid w:val="702B7804"/>
    <w:multiLevelType w:val="multilevel"/>
    <w:tmpl w:val="4B3CC29A"/>
    <w:lvl w:ilvl="0">
      <w:start w:val="1"/>
      <w:numFmt w:val="decimal"/>
      <w:lvlText w:val="%1."/>
      <w:lvlJc w:val="left"/>
      <w:pPr>
        <w:tabs>
          <w:tab w:val="num" w:pos="864"/>
        </w:tabs>
        <w:ind w:left="864" w:hanging="360"/>
      </w:pPr>
      <w:rPr>
        <w:rFonts w:hint="default"/>
      </w:rPr>
    </w:lvl>
    <w:lvl w:ilvl="1" w:tentative="1">
      <w:start w:val="1"/>
      <w:numFmt w:val="lowerLetter"/>
      <w:lvlText w:val="%2."/>
      <w:lvlJc w:val="left"/>
      <w:pPr>
        <w:tabs>
          <w:tab w:val="num" w:pos="1584"/>
        </w:tabs>
        <w:ind w:left="1584" w:hanging="360"/>
      </w:pPr>
    </w:lvl>
    <w:lvl w:ilvl="2" w:tentative="1">
      <w:start w:val="1"/>
      <w:numFmt w:val="lowerRoman"/>
      <w:lvlText w:val="%3."/>
      <w:lvlJc w:val="right"/>
      <w:pPr>
        <w:tabs>
          <w:tab w:val="num" w:pos="2304"/>
        </w:tabs>
        <w:ind w:left="2304" w:hanging="180"/>
      </w:pPr>
    </w:lvl>
    <w:lvl w:ilvl="3" w:tentative="1">
      <w:start w:val="1"/>
      <w:numFmt w:val="decimal"/>
      <w:lvlText w:val="%4."/>
      <w:lvlJc w:val="left"/>
      <w:pPr>
        <w:tabs>
          <w:tab w:val="num" w:pos="3024"/>
        </w:tabs>
        <w:ind w:left="3024" w:hanging="360"/>
      </w:pPr>
    </w:lvl>
    <w:lvl w:ilvl="4" w:tentative="1">
      <w:start w:val="1"/>
      <w:numFmt w:val="lowerLetter"/>
      <w:lvlText w:val="%5."/>
      <w:lvlJc w:val="left"/>
      <w:pPr>
        <w:tabs>
          <w:tab w:val="num" w:pos="3744"/>
        </w:tabs>
        <w:ind w:left="3744" w:hanging="360"/>
      </w:pPr>
    </w:lvl>
    <w:lvl w:ilvl="5" w:tentative="1">
      <w:start w:val="1"/>
      <w:numFmt w:val="lowerRoman"/>
      <w:lvlText w:val="%6."/>
      <w:lvlJc w:val="right"/>
      <w:pPr>
        <w:tabs>
          <w:tab w:val="num" w:pos="4464"/>
        </w:tabs>
        <w:ind w:left="4464" w:hanging="180"/>
      </w:pPr>
    </w:lvl>
    <w:lvl w:ilvl="6" w:tentative="1">
      <w:start w:val="1"/>
      <w:numFmt w:val="decimal"/>
      <w:lvlText w:val="%7."/>
      <w:lvlJc w:val="left"/>
      <w:pPr>
        <w:tabs>
          <w:tab w:val="num" w:pos="5184"/>
        </w:tabs>
        <w:ind w:left="5184" w:hanging="360"/>
      </w:pPr>
    </w:lvl>
    <w:lvl w:ilvl="7" w:tentative="1">
      <w:start w:val="1"/>
      <w:numFmt w:val="lowerLetter"/>
      <w:lvlText w:val="%8."/>
      <w:lvlJc w:val="left"/>
      <w:pPr>
        <w:tabs>
          <w:tab w:val="num" w:pos="5904"/>
        </w:tabs>
        <w:ind w:left="5904" w:hanging="360"/>
      </w:pPr>
    </w:lvl>
    <w:lvl w:ilvl="8" w:tentative="1">
      <w:start w:val="1"/>
      <w:numFmt w:val="lowerRoman"/>
      <w:lvlText w:val="%9."/>
      <w:lvlJc w:val="right"/>
      <w:pPr>
        <w:tabs>
          <w:tab w:val="num" w:pos="6624"/>
        </w:tabs>
        <w:ind w:left="6624" w:hanging="180"/>
      </w:pPr>
    </w:lvl>
  </w:abstractNum>
  <w:abstractNum w:abstractNumId="255">
    <w:nsid w:val="70B817F6"/>
    <w:multiLevelType w:val="singleLevel"/>
    <w:tmpl w:val="04190013"/>
    <w:lvl w:ilvl="0">
      <w:start w:val="1"/>
      <w:numFmt w:val="upperRoman"/>
      <w:lvlText w:val="%1."/>
      <w:lvlJc w:val="left"/>
      <w:pPr>
        <w:tabs>
          <w:tab w:val="num" w:pos="720"/>
        </w:tabs>
        <w:ind w:left="720" w:hanging="720"/>
      </w:pPr>
      <w:rPr>
        <w:rFonts w:hint="default"/>
      </w:rPr>
    </w:lvl>
  </w:abstractNum>
  <w:abstractNum w:abstractNumId="256">
    <w:nsid w:val="70BD49BA"/>
    <w:multiLevelType w:val="multilevel"/>
    <w:tmpl w:val="709690C6"/>
    <w:lvl w:ilvl="0">
      <w:start w:val="1"/>
      <w:numFmt w:val="lowerLetter"/>
      <w:lvlText w:val="%1)"/>
      <w:lvlJc w:val="left"/>
      <w:pPr>
        <w:tabs>
          <w:tab w:val="num" w:pos="2088"/>
        </w:tabs>
        <w:ind w:left="2088" w:hanging="360"/>
      </w:pPr>
    </w:lvl>
    <w:lvl w:ilvl="1">
      <w:start w:val="2"/>
      <w:numFmt w:val="lowerLetter"/>
      <w:lvlText w:val="(%2)"/>
      <w:lvlJc w:val="left"/>
      <w:pPr>
        <w:tabs>
          <w:tab w:val="num" w:pos="2988"/>
        </w:tabs>
        <w:ind w:left="2988" w:hanging="540"/>
      </w:pPr>
      <w:rPr>
        <w:rFonts w:hint="default"/>
      </w:rPr>
    </w:lvl>
    <w:lvl w:ilvl="2">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257">
    <w:nsid w:val="711A464D"/>
    <w:multiLevelType w:val="singleLevel"/>
    <w:tmpl w:val="A9F83AAA"/>
    <w:lvl w:ilvl="0">
      <w:start w:val="1"/>
      <w:numFmt w:val="upperRoman"/>
      <w:lvlText w:val="%1."/>
      <w:lvlJc w:val="left"/>
      <w:pPr>
        <w:tabs>
          <w:tab w:val="num" w:pos="720"/>
        </w:tabs>
        <w:ind w:left="720" w:hanging="720"/>
      </w:pPr>
      <w:rPr>
        <w:rFonts w:hint="default"/>
      </w:rPr>
    </w:lvl>
  </w:abstractNum>
  <w:abstractNum w:abstractNumId="258">
    <w:nsid w:val="71964F83"/>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59">
    <w:nsid w:val="726D1726"/>
    <w:multiLevelType w:val="multilevel"/>
    <w:tmpl w:val="A0A0AFE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0">
    <w:nsid w:val="75C72D34"/>
    <w:multiLevelType w:val="singleLevel"/>
    <w:tmpl w:val="BAEEE4B6"/>
    <w:lvl w:ilvl="0">
      <w:start w:val="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1">
    <w:nsid w:val="76307089"/>
    <w:multiLevelType w:val="multilevel"/>
    <w:tmpl w:val="0A5225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2">
    <w:nsid w:val="77474378"/>
    <w:multiLevelType w:val="singleLevel"/>
    <w:tmpl w:val="4B822C16"/>
    <w:lvl w:ilvl="0">
      <w:start w:val="1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3">
    <w:nsid w:val="77513B9C"/>
    <w:multiLevelType w:val="singleLevel"/>
    <w:tmpl w:val="32A8AD02"/>
    <w:lvl w:ilvl="0">
      <w:start w:val="4"/>
      <w:numFmt w:val="bullet"/>
      <w:lvlText w:val="-"/>
      <w:lvlJc w:val="left"/>
      <w:pPr>
        <w:tabs>
          <w:tab w:val="num" w:pos="720"/>
        </w:tabs>
        <w:ind w:left="720" w:hanging="720"/>
      </w:pPr>
      <w:rPr>
        <w:rFonts w:hint="default"/>
      </w:rPr>
    </w:lvl>
  </w:abstractNum>
  <w:abstractNum w:abstractNumId="264">
    <w:nsid w:val="786508EA"/>
    <w:multiLevelType w:val="multilevel"/>
    <w:tmpl w:val="3D928FFE"/>
    <w:lvl w:ilvl="0">
      <w:start w:val="5"/>
      <w:numFmt w:val="lowerLetter"/>
      <w:lvlText w:val="(%1)"/>
      <w:lvlJc w:val="left"/>
      <w:pPr>
        <w:tabs>
          <w:tab w:val="num" w:pos="1470"/>
        </w:tabs>
        <w:ind w:left="1470" w:hanging="36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265">
    <w:nsid w:val="794651A5"/>
    <w:multiLevelType w:val="multilevel"/>
    <w:tmpl w:val="DC44BCF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6">
    <w:nsid w:val="7955005E"/>
    <w:multiLevelType w:val="singleLevel"/>
    <w:tmpl w:val="4E441D04"/>
    <w:lvl w:ilvl="0">
      <w:numFmt w:val="bullet"/>
      <w:lvlText w:val=""/>
      <w:lvlJc w:val="left"/>
      <w:pPr>
        <w:tabs>
          <w:tab w:val="num" w:pos="720"/>
        </w:tabs>
        <w:ind w:left="720" w:hanging="648"/>
      </w:pPr>
      <w:rPr>
        <w:rFonts w:ascii="Wingdings" w:hAnsi="Wingdings" w:hint="default"/>
      </w:rPr>
    </w:lvl>
  </w:abstractNum>
  <w:abstractNum w:abstractNumId="267">
    <w:nsid w:val="7C8D01F9"/>
    <w:multiLevelType w:val="singleLevel"/>
    <w:tmpl w:val="D5A23F2E"/>
    <w:lvl w:ilvl="0">
      <w:start w:val="2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8">
    <w:nsid w:val="7CED72CA"/>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69">
    <w:nsid w:val="7DDA62FC"/>
    <w:multiLevelType w:val="singleLevel"/>
    <w:tmpl w:val="6D54D00C"/>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0">
    <w:nsid w:val="7E2057C8"/>
    <w:multiLevelType w:val="singleLevel"/>
    <w:tmpl w:val="BB122618"/>
    <w:lvl w:ilvl="0">
      <w:start w:val="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1">
    <w:nsid w:val="7F634374"/>
    <w:multiLevelType w:val="singleLevel"/>
    <w:tmpl w:val="07AA697E"/>
    <w:lvl w:ilvl="0">
      <w:start w:val="1"/>
      <w:numFmt w:val="lowerLetter"/>
      <w:lvlText w:val="(%1)"/>
      <w:lvlJc w:val="left"/>
      <w:pPr>
        <w:tabs>
          <w:tab w:val="num" w:pos="648"/>
        </w:tabs>
        <w:ind w:left="648" w:hanging="360"/>
      </w:pPr>
      <w:rPr>
        <w:rFonts w:hint="default"/>
      </w:rPr>
    </w:lvl>
  </w:abstractNum>
  <w:num w:numId="1">
    <w:abstractNumId w:val="122"/>
  </w:num>
  <w:num w:numId="2">
    <w:abstractNumId w:val="8"/>
  </w:num>
  <w:num w:numId="3">
    <w:abstractNumId w:val="8"/>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250"/>
  </w:num>
  <w:num w:numId="13">
    <w:abstractNumId w:val="186"/>
  </w:num>
  <w:num w:numId="14">
    <w:abstractNumId w:val="9"/>
  </w:num>
  <w:num w:numId="15">
    <w:abstractNumId w:val="255"/>
  </w:num>
  <w:num w:numId="16">
    <w:abstractNumId w:val="230"/>
  </w:num>
  <w:num w:numId="17">
    <w:abstractNumId w:val="214"/>
  </w:num>
  <w:num w:numId="18">
    <w:abstractNumId w:val="66"/>
  </w:num>
  <w:num w:numId="19">
    <w:abstractNumId w:val="218"/>
  </w:num>
  <w:num w:numId="20">
    <w:abstractNumId w:val="159"/>
  </w:num>
  <w:num w:numId="21">
    <w:abstractNumId w:val="257"/>
  </w:num>
  <w:num w:numId="22">
    <w:abstractNumId w:val="111"/>
  </w:num>
  <w:num w:numId="23">
    <w:abstractNumId w:val="121"/>
  </w:num>
  <w:num w:numId="24">
    <w:abstractNumId w:val="197"/>
  </w:num>
  <w:num w:numId="25">
    <w:abstractNumId w:val="88"/>
  </w:num>
  <w:num w:numId="26">
    <w:abstractNumId w:val="127"/>
  </w:num>
  <w:num w:numId="27">
    <w:abstractNumId w:val="238"/>
  </w:num>
  <w:num w:numId="28">
    <w:abstractNumId w:val="65"/>
  </w:num>
  <w:num w:numId="29">
    <w:abstractNumId w:val="54"/>
  </w:num>
  <w:num w:numId="30">
    <w:abstractNumId w:val="205"/>
  </w:num>
  <w:num w:numId="31">
    <w:abstractNumId w:val="157"/>
  </w:num>
  <w:num w:numId="32">
    <w:abstractNumId w:val="134"/>
  </w:num>
  <w:num w:numId="33">
    <w:abstractNumId w:val="59"/>
  </w:num>
  <w:num w:numId="34">
    <w:abstractNumId w:val="240"/>
  </w:num>
  <w:num w:numId="35">
    <w:abstractNumId w:val="202"/>
  </w:num>
  <w:num w:numId="36">
    <w:abstractNumId w:val="206"/>
  </w:num>
  <w:num w:numId="37">
    <w:abstractNumId w:val="216"/>
  </w:num>
  <w:num w:numId="38">
    <w:abstractNumId w:val="263"/>
  </w:num>
  <w:num w:numId="39">
    <w:abstractNumId w:val="172"/>
  </w:num>
  <w:num w:numId="40">
    <w:abstractNumId w:val="188"/>
  </w:num>
  <w:num w:numId="41">
    <w:abstractNumId w:val="168"/>
  </w:num>
  <w:num w:numId="42">
    <w:abstractNumId w:val="35"/>
  </w:num>
  <w:num w:numId="43">
    <w:abstractNumId w:val="227"/>
  </w:num>
  <w:num w:numId="44">
    <w:abstractNumId w:val="105"/>
  </w:num>
  <w:num w:numId="45">
    <w:abstractNumId w:val="183"/>
  </w:num>
  <w:num w:numId="46">
    <w:abstractNumId w:val="141"/>
  </w:num>
  <w:num w:numId="47">
    <w:abstractNumId w:val="24"/>
  </w:num>
  <w:num w:numId="48">
    <w:abstractNumId w:val="104"/>
  </w:num>
  <w:num w:numId="49">
    <w:abstractNumId w:val="203"/>
  </w:num>
  <w:num w:numId="50">
    <w:abstractNumId w:val="69"/>
  </w:num>
  <w:num w:numId="51">
    <w:abstractNumId w:val="31"/>
  </w:num>
  <w:num w:numId="52">
    <w:abstractNumId w:val="57"/>
  </w:num>
  <w:num w:numId="53">
    <w:abstractNumId w:val="20"/>
  </w:num>
  <w:num w:numId="54">
    <w:abstractNumId w:val="192"/>
  </w:num>
  <w:num w:numId="55">
    <w:abstractNumId w:val="64"/>
  </w:num>
  <w:num w:numId="56">
    <w:abstractNumId w:val="77"/>
  </w:num>
  <w:num w:numId="57">
    <w:abstractNumId w:val="40"/>
  </w:num>
  <w:num w:numId="58">
    <w:abstractNumId w:val="234"/>
  </w:num>
  <w:num w:numId="59">
    <w:abstractNumId w:val="28"/>
  </w:num>
  <w:num w:numId="60">
    <w:abstractNumId w:val="83"/>
  </w:num>
  <w:num w:numId="61">
    <w:abstractNumId w:val="212"/>
  </w:num>
  <w:num w:numId="62">
    <w:abstractNumId w:val="143"/>
  </w:num>
  <w:num w:numId="63">
    <w:abstractNumId w:val="271"/>
  </w:num>
  <w:num w:numId="64">
    <w:abstractNumId w:val="146"/>
  </w:num>
  <w:num w:numId="65">
    <w:abstractNumId w:val="61"/>
  </w:num>
  <w:num w:numId="66">
    <w:abstractNumId w:val="37"/>
  </w:num>
  <w:num w:numId="67">
    <w:abstractNumId w:val="34"/>
  </w:num>
  <w:num w:numId="68">
    <w:abstractNumId w:val="120"/>
  </w:num>
  <w:num w:numId="69">
    <w:abstractNumId w:val="56"/>
  </w:num>
  <w:num w:numId="70">
    <w:abstractNumId w:val="223"/>
  </w:num>
  <w:num w:numId="71">
    <w:abstractNumId w:val="119"/>
  </w:num>
  <w:num w:numId="72">
    <w:abstractNumId w:val="217"/>
  </w:num>
  <w:num w:numId="73">
    <w:abstractNumId w:val="75"/>
  </w:num>
  <w:num w:numId="74">
    <w:abstractNumId w:val="164"/>
  </w:num>
  <w:num w:numId="75">
    <w:abstractNumId w:val="93"/>
  </w:num>
  <w:num w:numId="76">
    <w:abstractNumId w:val="29"/>
  </w:num>
  <w:num w:numId="77">
    <w:abstractNumId w:val="199"/>
  </w:num>
  <w:num w:numId="78">
    <w:abstractNumId w:val="62"/>
  </w:num>
  <w:num w:numId="79">
    <w:abstractNumId w:val="162"/>
  </w:num>
  <w:num w:numId="80">
    <w:abstractNumId w:val="258"/>
  </w:num>
  <w:num w:numId="81">
    <w:abstractNumId w:val="94"/>
  </w:num>
  <w:num w:numId="82">
    <w:abstractNumId w:val="16"/>
  </w:num>
  <w:num w:numId="83">
    <w:abstractNumId w:val="225"/>
  </w:num>
  <w:num w:numId="84">
    <w:abstractNumId w:val="100"/>
  </w:num>
  <w:num w:numId="85">
    <w:abstractNumId w:val="95"/>
  </w:num>
  <w:num w:numId="86">
    <w:abstractNumId w:val="194"/>
  </w:num>
  <w:num w:numId="87">
    <w:abstractNumId w:val="189"/>
  </w:num>
  <w:num w:numId="88">
    <w:abstractNumId w:val="190"/>
  </w:num>
  <w:num w:numId="89">
    <w:abstractNumId w:val="191"/>
  </w:num>
  <w:num w:numId="90">
    <w:abstractNumId w:val="42"/>
  </w:num>
  <w:num w:numId="91">
    <w:abstractNumId w:val="98"/>
  </w:num>
  <w:num w:numId="92">
    <w:abstractNumId w:val="79"/>
  </w:num>
  <w:num w:numId="93">
    <w:abstractNumId w:val="109"/>
  </w:num>
  <w:num w:numId="94">
    <w:abstractNumId w:val="81"/>
  </w:num>
  <w:num w:numId="95">
    <w:abstractNumId w:val="180"/>
  </w:num>
  <w:num w:numId="96">
    <w:abstractNumId w:val="245"/>
  </w:num>
  <w:num w:numId="97">
    <w:abstractNumId w:val="10"/>
  </w:num>
  <w:num w:numId="98">
    <w:abstractNumId w:val="151"/>
  </w:num>
  <w:num w:numId="99">
    <w:abstractNumId w:val="86"/>
  </w:num>
  <w:num w:numId="100">
    <w:abstractNumId w:val="17"/>
  </w:num>
  <w:num w:numId="101">
    <w:abstractNumId w:val="85"/>
  </w:num>
  <w:num w:numId="102">
    <w:abstractNumId w:val="48"/>
  </w:num>
  <w:num w:numId="103">
    <w:abstractNumId w:val="171"/>
  </w:num>
  <w:num w:numId="104">
    <w:abstractNumId w:val="68"/>
  </w:num>
  <w:num w:numId="105">
    <w:abstractNumId w:val="11"/>
  </w:num>
  <w:num w:numId="106">
    <w:abstractNumId w:val="45"/>
  </w:num>
  <w:num w:numId="107">
    <w:abstractNumId w:val="198"/>
  </w:num>
  <w:num w:numId="108">
    <w:abstractNumId w:val="21"/>
  </w:num>
  <w:num w:numId="109">
    <w:abstractNumId w:val="254"/>
  </w:num>
  <w:num w:numId="110">
    <w:abstractNumId w:val="153"/>
  </w:num>
  <w:num w:numId="111">
    <w:abstractNumId w:val="110"/>
  </w:num>
  <w:num w:numId="112">
    <w:abstractNumId w:val="204"/>
  </w:num>
  <w:num w:numId="113">
    <w:abstractNumId w:val="87"/>
  </w:num>
  <w:num w:numId="114">
    <w:abstractNumId w:val="179"/>
  </w:num>
  <w:num w:numId="115">
    <w:abstractNumId w:val="71"/>
  </w:num>
  <w:num w:numId="116">
    <w:abstractNumId w:val="76"/>
  </w:num>
  <w:num w:numId="117">
    <w:abstractNumId w:val="43"/>
  </w:num>
  <w:num w:numId="118">
    <w:abstractNumId w:val="80"/>
  </w:num>
  <w:num w:numId="119">
    <w:abstractNumId w:val="166"/>
  </w:num>
  <w:num w:numId="120">
    <w:abstractNumId w:val="256"/>
  </w:num>
  <w:num w:numId="121">
    <w:abstractNumId w:val="261"/>
  </w:num>
  <w:num w:numId="122">
    <w:abstractNumId w:val="39"/>
  </w:num>
  <w:num w:numId="123">
    <w:abstractNumId w:val="139"/>
  </w:num>
  <w:num w:numId="124">
    <w:abstractNumId w:val="32"/>
  </w:num>
  <w:num w:numId="125">
    <w:abstractNumId w:val="177"/>
  </w:num>
  <w:num w:numId="126">
    <w:abstractNumId w:val="158"/>
  </w:num>
  <w:num w:numId="127">
    <w:abstractNumId w:val="249"/>
  </w:num>
  <w:num w:numId="128">
    <w:abstractNumId w:val="144"/>
  </w:num>
  <w:num w:numId="129">
    <w:abstractNumId w:val="142"/>
  </w:num>
  <w:num w:numId="130">
    <w:abstractNumId w:val="173"/>
  </w:num>
  <w:num w:numId="131">
    <w:abstractNumId w:val="96"/>
  </w:num>
  <w:num w:numId="132">
    <w:abstractNumId w:val="211"/>
  </w:num>
  <w:num w:numId="133">
    <w:abstractNumId w:val="219"/>
  </w:num>
  <w:num w:numId="134">
    <w:abstractNumId w:val="176"/>
  </w:num>
  <w:num w:numId="135">
    <w:abstractNumId w:val="147"/>
  </w:num>
  <w:num w:numId="136">
    <w:abstractNumId w:val="15"/>
  </w:num>
  <w:num w:numId="137">
    <w:abstractNumId w:val="102"/>
  </w:num>
  <w:num w:numId="138">
    <w:abstractNumId w:val="103"/>
  </w:num>
  <w:num w:numId="139">
    <w:abstractNumId w:val="246"/>
  </w:num>
  <w:num w:numId="140">
    <w:abstractNumId w:val="264"/>
  </w:num>
  <w:num w:numId="141">
    <w:abstractNumId w:val="73"/>
  </w:num>
  <w:num w:numId="142">
    <w:abstractNumId w:val="41"/>
  </w:num>
  <w:num w:numId="143">
    <w:abstractNumId w:val="132"/>
  </w:num>
  <w:num w:numId="144">
    <w:abstractNumId w:val="182"/>
  </w:num>
  <w:num w:numId="145">
    <w:abstractNumId w:val="19"/>
  </w:num>
  <w:num w:numId="146">
    <w:abstractNumId w:val="213"/>
  </w:num>
  <w:num w:numId="147">
    <w:abstractNumId w:val="49"/>
  </w:num>
  <w:num w:numId="148">
    <w:abstractNumId w:val="149"/>
  </w:num>
  <w:num w:numId="149">
    <w:abstractNumId w:val="231"/>
  </w:num>
  <w:num w:numId="150">
    <w:abstractNumId w:val="269"/>
  </w:num>
  <w:num w:numId="151">
    <w:abstractNumId w:val="26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2">
    <w:abstractNumId w:val="270"/>
  </w:num>
  <w:num w:numId="153">
    <w:abstractNumId w:val="27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4">
    <w:abstractNumId w:val="235"/>
  </w:num>
  <w:num w:numId="155">
    <w:abstractNumId w:val="23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6">
    <w:abstractNumId w:val="220"/>
  </w:num>
  <w:num w:numId="157">
    <w:abstractNumId w:val="243"/>
  </w:num>
  <w:num w:numId="158">
    <w:abstractNumId w:val="33"/>
  </w:num>
  <w:num w:numId="159">
    <w:abstractNumId w:val="53"/>
  </w:num>
  <w:num w:numId="160">
    <w:abstractNumId w:val="46"/>
  </w:num>
  <w:num w:numId="161">
    <w:abstractNumId w:val="262"/>
  </w:num>
  <w:num w:numId="162">
    <w:abstractNumId w:val="210"/>
  </w:num>
  <w:num w:numId="163">
    <w:abstractNumId w:val="21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4">
    <w:abstractNumId w:val="155"/>
  </w:num>
  <w:num w:numId="165">
    <w:abstractNumId w:val="15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6">
    <w:abstractNumId w:val="114"/>
  </w:num>
  <w:num w:numId="167">
    <w:abstractNumId w:val="208"/>
  </w:num>
  <w:num w:numId="168">
    <w:abstractNumId w:val="36"/>
  </w:num>
  <w:num w:numId="169">
    <w:abstractNumId w:val="201"/>
  </w:num>
  <w:num w:numId="170">
    <w:abstractNumId w:val="201"/>
    <w:lvlOverride w:ilvl="0">
      <w:lvl w:ilvl="0">
        <w:start w:val="1"/>
        <w:numFmt w:val="upperRoman"/>
        <w:lvlText w:val="%1. "/>
        <w:legacy w:legacy="1" w:legacySpace="0" w:legacyIndent="283"/>
        <w:lvlJc w:val="left"/>
        <w:pPr>
          <w:ind w:left="283" w:hanging="283"/>
        </w:pPr>
        <w:rPr>
          <w:rFonts w:ascii="Times New Roman" w:hAnsi="Times New Roman" w:hint="default"/>
          <w:b w:val="0"/>
          <w:i w:val="0"/>
          <w:sz w:val="28"/>
          <w:u w:val="none"/>
        </w:rPr>
      </w:lvl>
    </w:lvlOverride>
  </w:num>
  <w:num w:numId="171">
    <w:abstractNumId w:val="18"/>
  </w:num>
  <w:num w:numId="172">
    <w:abstractNumId w:val="1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3">
    <w:abstractNumId w:val="267"/>
  </w:num>
  <w:num w:numId="174">
    <w:abstractNumId w:val="26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5">
    <w:abstractNumId w:val="90"/>
  </w:num>
  <w:num w:numId="176">
    <w:abstractNumId w:val="9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7">
    <w:abstractNumId w:val="229"/>
  </w:num>
  <w:num w:numId="178">
    <w:abstractNumId w:val="260"/>
  </w:num>
  <w:num w:numId="179">
    <w:abstractNumId w:val="236"/>
  </w:num>
  <w:num w:numId="180">
    <w:abstractNumId w:val="165"/>
  </w:num>
  <w:num w:numId="181">
    <w:abstractNumId w:val="16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2">
    <w:abstractNumId w:val="58"/>
  </w:num>
  <w:num w:numId="183">
    <w:abstractNumId w:val="5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4">
    <w:abstractNumId w:val="244"/>
  </w:num>
  <w:num w:numId="185">
    <w:abstractNumId w:val="125"/>
  </w:num>
  <w:num w:numId="186">
    <w:abstractNumId w:val="128"/>
  </w:num>
  <w:num w:numId="187">
    <w:abstractNumId w:val="12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8">
    <w:abstractNumId w:val="97"/>
  </w:num>
  <w:num w:numId="189">
    <w:abstractNumId w:val="9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0">
    <w:abstractNumId w:val="169"/>
  </w:num>
  <w:num w:numId="191">
    <w:abstractNumId w:val="16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2">
    <w:abstractNumId w:val="115"/>
  </w:num>
  <w:num w:numId="193">
    <w:abstractNumId w:val="11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4">
    <w:abstractNumId w:val="140"/>
  </w:num>
  <w:num w:numId="195">
    <w:abstractNumId w:val="60"/>
  </w:num>
  <w:num w:numId="196">
    <w:abstractNumId w:val="6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7">
    <w:abstractNumId w:val="135"/>
  </w:num>
  <w:num w:numId="198">
    <w:abstractNumId w:val="112"/>
  </w:num>
  <w:num w:numId="199">
    <w:abstractNumId w:val="11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0">
    <w:abstractNumId w:val="237"/>
  </w:num>
  <w:num w:numId="201">
    <w:abstractNumId w:val="178"/>
  </w:num>
  <w:num w:numId="202">
    <w:abstractNumId w:val="51"/>
  </w:num>
  <w:num w:numId="203">
    <w:abstractNumId w:val="5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4">
    <w:abstractNumId w:val="130"/>
  </w:num>
  <w:num w:numId="205">
    <w:abstractNumId w:val="13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6">
    <w:abstractNumId w:val="52"/>
  </w:num>
  <w:num w:numId="207">
    <w:abstractNumId w:val="5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8">
    <w:abstractNumId w:val="118"/>
  </w:num>
  <w:num w:numId="209">
    <w:abstractNumId w:val="11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0">
    <w:abstractNumId w:val="200"/>
  </w:num>
  <w:num w:numId="211">
    <w:abstractNumId w:val="20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2">
    <w:abstractNumId w:val="170"/>
  </w:num>
  <w:num w:numId="213">
    <w:abstractNumId w:val="107"/>
  </w:num>
  <w:num w:numId="214">
    <w:abstractNumId w:val="175"/>
  </w:num>
  <w:num w:numId="215">
    <w:abstractNumId w:val="101"/>
  </w:num>
  <w:num w:numId="216">
    <w:abstractNumId w:val="10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7">
    <w:abstractNumId w:val="67"/>
  </w:num>
  <w:num w:numId="218">
    <w:abstractNumId w:val="6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9">
    <w:abstractNumId w:val="163"/>
  </w:num>
  <w:num w:numId="220">
    <w:abstractNumId w:val="16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1">
    <w:abstractNumId w:val="253"/>
  </w:num>
  <w:num w:numId="222">
    <w:abstractNumId w:val="25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3">
    <w:abstractNumId w:val="138"/>
  </w:num>
  <w:num w:numId="224">
    <w:abstractNumId w:val="13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5">
    <w:abstractNumId w:val="22"/>
  </w:num>
  <w:num w:numId="226">
    <w:abstractNumId w:val="92"/>
  </w:num>
  <w:num w:numId="227">
    <w:abstractNumId w:val="242"/>
  </w:num>
  <w:num w:numId="228">
    <w:abstractNumId w:val="24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9">
    <w:abstractNumId w:val="148"/>
  </w:num>
  <w:num w:numId="230">
    <w:abstractNumId w:val="167"/>
  </w:num>
  <w:num w:numId="231">
    <w:abstractNumId w:val="207"/>
  </w:num>
  <w:num w:numId="232">
    <w:abstractNumId w:val="72"/>
  </w:num>
  <w:num w:numId="233">
    <w:abstractNumId w:val="184"/>
  </w:num>
  <w:num w:numId="234">
    <w:abstractNumId w:val="145"/>
  </w:num>
  <w:num w:numId="235">
    <w:abstractNumId w:val="14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6">
    <w:abstractNumId w:val="226"/>
  </w:num>
  <w:num w:numId="237">
    <w:abstractNumId w:val="160"/>
  </w:num>
  <w:num w:numId="238">
    <w:abstractNumId w:val="16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9">
    <w:abstractNumId w:val="133"/>
  </w:num>
  <w:num w:numId="240">
    <w:abstractNumId w:val="117"/>
  </w:num>
  <w:num w:numId="241">
    <w:abstractNumId w:val="11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2">
    <w:abstractNumId w:val="47"/>
  </w:num>
  <w:num w:numId="243">
    <w:abstractNumId w:val="14"/>
  </w:num>
  <w:num w:numId="244">
    <w:abstractNumId w:val="55"/>
  </w:num>
  <w:num w:numId="245">
    <w:abstractNumId w:val="63"/>
  </w:num>
  <w:num w:numId="246">
    <w:abstractNumId w:val="6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7">
    <w:abstractNumId w:val="99"/>
  </w:num>
  <w:num w:numId="248">
    <w:abstractNumId w:val="124"/>
  </w:num>
  <w:num w:numId="249">
    <w:abstractNumId w:val="268"/>
  </w:num>
  <w:num w:numId="250">
    <w:abstractNumId w:val="89"/>
  </w:num>
  <w:num w:numId="251">
    <w:abstractNumId w:val="252"/>
  </w:num>
  <w:num w:numId="252">
    <w:abstractNumId w:val="161"/>
  </w:num>
  <w:num w:numId="253">
    <w:abstractNumId w:val="221"/>
  </w:num>
  <w:num w:numId="254">
    <w:abstractNumId w:val="22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5">
    <w:abstractNumId w:val="195"/>
  </w:num>
  <w:num w:numId="256">
    <w:abstractNumId w:val="19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7">
    <w:abstractNumId w:val="248"/>
  </w:num>
  <w:num w:numId="258">
    <w:abstractNumId w:val="24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9">
    <w:abstractNumId w:val="187"/>
  </w:num>
  <w:num w:numId="260">
    <w:abstractNumId w:val="129"/>
  </w:num>
  <w:num w:numId="261">
    <w:abstractNumId w:val="13"/>
  </w:num>
  <w:num w:numId="262">
    <w:abstractNumId w:val="241"/>
  </w:num>
  <w:num w:numId="263">
    <w:abstractNumId w:val="181"/>
  </w:num>
  <w:num w:numId="264">
    <w:abstractNumId w:val="152"/>
  </w:num>
  <w:num w:numId="265">
    <w:abstractNumId w:val="82"/>
  </w:num>
  <w:num w:numId="266">
    <w:abstractNumId w:val="12"/>
  </w:num>
  <w:num w:numId="267">
    <w:abstractNumId w:val="259"/>
  </w:num>
  <w:num w:numId="268">
    <w:abstractNumId w:val="239"/>
  </w:num>
  <w:num w:numId="269">
    <w:abstractNumId w:val="196"/>
  </w:num>
  <w:num w:numId="270">
    <w:abstractNumId w:val="30"/>
  </w:num>
  <w:num w:numId="271">
    <w:abstractNumId w:val="265"/>
  </w:num>
  <w:num w:numId="272">
    <w:abstractNumId w:val="23"/>
  </w:num>
  <w:num w:numId="273">
    <w:abstractNumId w:val="136"/>
  </w:num>
  <w:num w:numId="274">
    <w:abstractNumId w:val="106"/>
  </w:num>
  <w:num w:numId="275">
    <w:abstractNumId w:val="113"/>
  </w:num>
  <w:num w:numId="276">
    <w:abstractNumId w:val="50"/>
  </w:num>
  <w:num w:numId="277">
    <w:abstractNumId w:val="233"/>
  </w:num>
  <w:num w:numId="278">
    <w:abstractNumId w:val="38"/>
  </w:num>
  <w:num w:numId="279">
    <w:abstractNumId w:val="27"/>
  </w:num>
  <w:num w:numId="280">
    <w:abstractNumId w:val="251"/>
  </w:num>
  <w:num w:numId="281">
    <w:abstractNumId w:val="154"/>
  </w:num>
  <w:num w:numId="282">
    <w:abstractNumId w:val="25"/>
  </w:num>
  <w:num w:numId="283">
    <w:abstractNumId w:val="26"/>
  </w:num>
  <w:num w:numId="284">
    <w:abstractNumId w:val="247"/>
  </w:num>
  <w:num w:numId="285">
    <w:abstractNumId w:val="193"/>
  </w:num>
  <w:num w:numId="286">
    <w:abstractNumId w:val="7"/>
  </w:num>
  <w:num w:numId="287">
    <w:abstractNumId w:val="6"/>
  </w:num>
  <w:num w:numId="288">
    <w:abstractNumId w:val="5"/>
  </w:num>
  <w:num w:numId="289">
    <w:abstractNumId w:val="4"/>
  </w:num>
  <w:num w:numId="290">
    <w:abstractNumId w:val="174"/>
  </w:num>
  <w:num w:numId="291">
    <w:abstractNumId w:val="150"/>
  </w:num>
  <w:num w:numId="292">
    <w:abstractNumId w:val="224"/>
  </w:num>
  <w:num w:numId="293">
    <w:abstractNumId w:val="266"/>
  </w:num>
  <w:num w:numId="294">
    <w:abstractNumId w:val="116"/>
  </w:num>
  <w:num w:numId="295">
    <w:abstractNumId w:val="215"/>
  </w:num>
  <w:num w:numId="296">
    <w:abstractNumId w:val="185"/>
  </w:num>
  <w:num w:numId="297">
    <w:abstractNumId w:val="126"/>
  </w:num>
  <w:num w:numId="298">
    <w:abstractNumId w:val="78"/>
  </w:num>
  <w:num w:numId="299">
    <w:abstractNumId w:val="44"/>
  </w:num>
  <w:num w:numId="300">
    <w:abstractNumId w:val="131"/>
  </w:num>
  <w:num w:numId="301">
    <w:abstractNumId w:val="156"/>
  </w:num>
  <w:num w:numId="302">
    <w:abstractNumId w:val="222"/>
  </w:num>
  <w:num w:numId="303">
    <w:abstractNumId w:val="123"/>
  </w:num>
  <w:num w:numId="304">
    <w:abstractNumId w:val="84"/>
  </w:num>
  <w:num w:numId="305">
    <w:abstractNumId w:val="108"/>
  </w:num>
  <w:num w:numId="306">
    <w:abstractNumId w:val="232"/>
  </w:num>
  <w:num w:numId="307">
    <w:abstractNumId w:val="91"/>
  </w:num>
  <w:num w:numId="308">
    <w:abstractNumId w:val="209"/>
  </w:num>
  <w:num w:numId="309">
    <w:abstractNumId w:val="70"/>
  </w:num>
  <w:num w:numId="310">
    <w:abstractNumId w:val="228"/>
  </w:num>
  <w:num w:numId="311">
    <w:abstractNumId w:val="74"/>
  </w:num>
  <w:num w:numId="312">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261078R"/>
    <w:docVar w:name="OandT" w:val="Griaznova"/>
    <w:docVar w:name="Symbol1" w:val="CEDAW/C/FRA/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9">
    <w:name w:val="heading 9"/>
    <w:basedOn w:val="Normal"/>
    <w:next w:val="Normal"/>
    <w:qFormat/>
    <w:pPr>
      <w:keepNext/>
      <w:numPr>
        <w:numId w:val="57"/>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4"/>
      </w:numPr>
    </w:pPr>
  </w:style>
  <w:style w:type="paragraph" w:styleId="BodyText">
    <w:name w:val="Body Text"/>
    <w:basedOn w:val="Normal"/>
    <w:semiHidden/>
    <w:pPr>
      <w:tabs>
        <w:tab w:val="left" w:pos="1814"/>
      </w:tabs>
      <w:spacing w:after="120"/>
      <w:ind w:left="1247" w:right="1247"/>
      <w:jc w:val="both"/>
    </w:pPr>
    <w:rPr>
      <w:spacing w:val="0"/>
      <w:w w:val="1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30490</Words>
  <Characters>204283</Characters>
  <Application>Microsoft Office Word</Application>
  <DocSecurity>4</DocSecurity>
  <Lines>4863</Lines>
  <Paragraphs>1194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243920</CharactersWithSpaces>
  <SharedDoc>false</SharedDoc>
  <HLinks>
    <vt:vector size="6" baseType="variant">
      <vt:variant>
        <vt:i4>4522087</vt:i4>
      </vt:variant>
      <vt:variant>
        <vt:i4>485324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2002-12-06T07:58:00Z</cp:lastPrinted>
  <dcterms:created xsi:type="dcterms:W3CDTF">2002-12-12T11:31:00Z</dcterms:created>
  <dcterms:modified xsi:type="dcterms:W3CDTF">2002-12-12T11:36:00Z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CEDAW/C/FRA/5</vt:lpwstr>
  </property>
  <property fmtid="{D5CDD505-2E9C-101B-9397-08002B2CF9AE}" pid="5" name="JobNo">
    <vt:lpwstr>0261078R</vt:lpwstr>
  </property>
  <property fmtid="{D5CDD505-2E9C-101B-9397-08002B2CF9AE}" pid="6" name="Comment">
    <vt:lpwstr/>
  </property>
  <property fmtid="{D5CDD505-2E9C-101B-9397-08002B2CF9AE}" pid="7" name="DraftPages">
    <vt:lpwstr>102</vt:lpwstr>
  </property>
  <property fmtid="{D5CDD505-2E9C-101B-9397-08002B2CF9AE}" pid="8" name="Operator">
    <vt:lpwstr>Shibanova</vt:lpwstr>
  </property>
</Properties>
</file>