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2"/>
      </w:pPr>
    </w:p>
    <w:p w:rsidR="00000000" w:rsidRDefault="00000000">
      <w:pPr>
        <w:pStyle w:val="Heading2"/>
      </w:pPr>
      <w:r>
        <w:rPr>
          <w:rFonts w:hint="eastAsia"/>
        </w:rPr>
        <w:t>审议缔约方根据《公约》第</w:t>
      </w:r>
      <w:r>
        <w:t>40</w:t>
      </w:r>
      <w:r>
        <w:rPr>
          <w:rFonts w:hint="eastAsia"/>
        </w:rPr>
        <w:t>条提出的报告</w:t>
      </w:r>
    </w:p>
    <w:p w:rsidR="00000000" w:rsidRDefault="00000000">
      <w:pPr>
        <w:pStyle w:val="Heading3"/>
      </w:pPr>
      <w:r>
        <w:rPr>
          <w:rFonts w:hint="eastAsia"/>
        </w:rPr>
        <w:t>人权事务委员会的结论性意见</w:t>
      </w:r>
    </w:p>
    <w:p w:rsidR="00000000" w:rsidRDefault="00000000">
      <w:pPr>
        <w:pStyle w:val="Heading3"/>
      </w:pPr>
      <w:r>
        <w:rPr>
          <w:rFonts w:hint="eastAsia"/>
        </w:rPr>
        <w:t>香港特别行政区</w:t>
      </w:r>
    </w:p>
    <w:p w:rsidR="00000000" w:rsidRDefault="00000000">
      <w:pPr>
        <w:spacing w:after="320"/>
        <w:textAlignment w:val="center"/>
      </w:pPr>
      <w:r>
        <w:tab/>
        <w:t xml:space="preserve">1.  </w:t>
      </w:r>
      <w:r>
        <w:rPr>
          <w:rFonts w:hint="eastAsia"/>
        </w:rPr>
        <w:t>委员会</w:t>
      </w:r>
      <w:r>
        <w:t>1999</w:t>
      </w:r>
      <w:r>
        <w:rPr>
          <w:rFonts w:hint="eastAsia"/>
        </w:rPr>
        <w:t>年</w:t>
      </w:r>
      <w:r>
        <w:t>11</w:t>
      </w:r>
      <w:r>
        <w:rPr>
          <w:rFonts w:hint="eastAsia"/>
        </w:rPr>
        <w:t>月</w:t>
      </w:r>
      <w:r>
        <w:t>1</w:t>
      </w:r>
      <w:r>
        <w:rPr>
          <w:rFonts w:hint="eastAsia"/>
        </w:rPr>
        <w:t>日和</w:t>
      </w:r>
      <w:r>
        <w:t>2</w:t>
      </w:r>
      <w:r>
        <w:rPr>
          <w:rFonts w:hint="eastAsia"/>
        </w:rPr>
        <w:t>日举行的第</w:t>
      </w:r>
      <w:r>
        <w:t>1803</w:t>
      </w:r>
      <w:r>
        <w:rPr>
          <w:rFonts w:hint="eastAsia"/>
        </w:rPr>
        <w:t>次</w:t>
      </w:r>
      <w:r>
        <w:t>-1805</w:t>
      </w:r>
      <w:r>
        <w:rPr>
          <w:rFonts w:hint="eastAsia"/>
        </w:rPr>
        <w:t>次会议</w:t>
      </w:r>
      <w:r>
        <w:t>(CCPR/C/ SR.1803-SR.1805)</w:t>
      </w:r>
      <w:r>
        <w:rPr>
          <w:rFonts w:hint="eastAsia"/>
        </w:rPr>
        <w:t>审议了香港特别行政区提交的第五次定期报告</w:t>
      </w:r>
      <w:r>
        <w:t>(CCPR/C/ HKSAR/99/1</w:t>
      </w:r>
      <w:r>
        <w:rPr>
          <w:rFonts w:hint="eastAsia"/>
        </w:rPr>
        <w:t>和补充资料</w:t>
      </w:r>
      <w:r>
        <w:t>CCPR/C/HKSAR/99/1/Add.1)</w:t>
      </w:r>
      <w:r>
        <w:rPr>
          <w:rFonts w:hint="eastAsia"/>
        </w:rPr>
        <w:t>。这是香港主权于</w:t>
      </w:r>
      <w:r>
        <w:t>1997</w:t>
      </w:r>
      <w:r>
        <w:rPr>
          <w:rFonts w:hint="eastAsia"/>
        </w:rPr>
        <w:t>年</w:t>
      </w:r>
      <w:r>
        <w:t>7</w:t>
      </w:r>
      <w:r>
        <w:rPr>
          <w:rFonts w:hint="eastAsia"/>
        </w:rPr>
        <w:t>月</w:t>
      </w:r>
      <w:r>
        <w:t>1</w:t>
      </w:r>
      <w:r>
        <w:rPr>
          <w:rFonts w:hint="eastAsia"/>
        </w:rPr>
        <w:t>日归还中国后中华人民共和国提出的第一次报告。委员会</w:t>
      </w:r>
      <w:r>
        <w:t>1999</w:t>
      </w:r>
      <w:r>
        <w:rPr>
          <w:rFonts w:hint="eastAsia"/>
        </w:rPr>
        <w:t>年</w:t>
      </w:r>
      <w:r>
        <w:t>11</w:t>
      </w:r>
      <w:r>
        <w:rPr>
          <w:rFonts w:hint="eastAsia"/>
        </w:rPr>
        <w:t>月</w:t>
      </w:r>
      <w:r>
        <w:t>4</w:t>
      </w:r>
      <w:r>
        <w:rPr>
          <w:rFonts w:hint="eastAsia"/>
        </w:rPr>
        <w:t>日举行的第</w:t>
      </w:r>
      <w:r>
        <w:t>1810</w:t>
      </w:r>
      <w:r>
        <w:rPr>
          <w:rFonts w:hint="eastAsia"/>
        </w:rPr>
        <w:t>次会议</w:t>
      </w:r>
      <w:r>
        <w:t>(</w:t>
      </w:r>
      <w:r>
        <w:rPr>
          <w:rFonts w:hint="eastAsia"/>
        </w:rPr>
        <w:t>第六十七届会议</w:t>
      </w:r>
      <w:r>
        <w:t>)</w:t>
      </w:r>
      <w:r>
        <w:rPr>
          <w:rFonts w:hint="eastAsia"/>
        </w:rPr>
        <w:t>通过了下列结论性意见：</w:t>
      </w:r>
    </w:p>
    <w:p w:rsidR="00000000" w:rsidRDefault="00000000">
      <w:pPr>
        <w:pStyle w:val="Heading3"/>
      </w:pPr>
      <w:r>
        <w:rPr>
          <w:u w:val="none"/>
        </w:rPr>
        <w:t xml:space="preserve">A.  </w:t>
      </w:r>
      <w:r>
        <w:rPr>
          <w:rFonts w:hint="eastAsia"/>
        </w:rPr>
        <w:t>导</w:t>
      </w:r>
      <w:r>
        <w:t xml:space="preserve">  </w:t>
      </w:r>
      <w:r>
        <w:rPr>
          <w:rFonts w:hint="eastAsia"/>
        </w:rPr>
        <w:t>言</w:t>
      </w:r>
    </w:p>
    <w:p w:rsidR="00000000" w:rsidRDefault="00000000">
      <w:r>
        <w:tab/>
        <w:t xml:space="preserve">2.  </w:t>
      </w:r>
      <w:r>
        <w:rPr>
          <w:rFonts w:hint="eastAsia"/>
        </w:rPr>
        <w:t>委员会感谢特区代表团提供的资料和提供进一步书面资料的意愿。委员会还对特区代表团承认非政府组织对审议特区报告所作的贡献，表示欢迎。</w:t>
      </w:r>
    </w:p>
    <w:p w:rsidR="00000000" w:rsidRDefault="00000000">
      <w:pPr>
        <w:spacing w:after="320"/>
        <w:textAlignment w:val="center"/>
      </w:pPr>
      <w:r>
        <w:tab/>
        <w:t xml:space="preserve">3.  </w:t>
      </w:r>
      <w:r>
        <w:rPr>
          <w:rFonts w:hint="eastAsia"/>
        </w:rPr>
        <w:t>委员会感谢中华人民共和国愿参加《公约》第</w:t>
      </w:r>
      <w:r>
        <w:t>40</w:t>
      </w:r>
      <w:r>
        <w:rPr>
          <w:rFonts w:hint="eastAsia"/>
        </w:rPr>
        <w:t>条规定的报告程序，提交特区当局编写的报告和向委员会引荐特区代表团。委员会确认它早些时候的声明，即香港继续负有报告义务。</w:t>
      </w:r>
    </w:p>
    <w:p w:rsidR="00000000" w:rsidRDefault="00000000">
      <w:pPr>
        <w:pStyle w:val="Heading3"/>
      </w:pPr>
      <w:r>
        <w:rPr>
          <w:u w:val="none"/>
        </w:rPr>
        <w:t xml:space="preserve">B.  </w:t>
      </w:r>
      <w:r>
        <w:rPr>
          <w:rFonts w:hint="eastAsia"/>
        </w:rPr>
        <w:t>积极方面</w:t>
      </w:r>
    </w:p>
    <w:p w:rsidR="00000000" w:rsidRDefault="00000000">
      <w:r>
        <w:tab/>
        <w:t xml:space="preserve">4.  </w:t>
      </w:r>
      <w:r>
        <w:rPr>
          <w:rFonts w:hint="eastAsia"/>
        </w:rPr>
        <w:t>委员会注意到《基本法》第</w:t>
      </w:r>
      <w:r>
        <w:t>39</w:t>
      </w:r>
      <w:r>
        <w:rPr>
          <w:rFonts w:hint="eastAsia"/>
        </w:rPr>
        <w:t>条规定，《公约》中适用特区的条文仍将有效并将通过特区法律予以执行。委员会欢迎《基本法》第</w:t>
      </w:r>
      <w:r>
        <w:t>39</w:t>
      </w:r>
      <w:r>
        <w:rPr>
          <w:rFonts w:hint="eastAsia"/>
        </w:rPr>
        <w:t>和第</w:t>
      </w:r>
      <w:r>
        <w:t>11</w:t>
      </w:r>
      <w:r>
        <w:rPr>
          <w:rFonts w:hint="eastAsia"/>
        </w:rPr>
        <w:t>条共同保证《公约》在国内立法中的首要地位。</w:t>
      </w:r>
    </w:p>
    <w:p w:rsidR="00000000" w:rsidRDefault="00000000">
      <w:r>
        <w:tab/>
        <w:t xml:space="preserve">5.  </w:t>
      </w:r>
      <w:r>
        <w:rPr>
          <w:rFonts w:hint="eastAsia"/>
        </w:rPr>
        <w:t>委员会对特区宣传其报告和愿意广为传播委员会的结论性意见，表示欢迎。</w:t>
      </w:r>
    </w:p>
    <w:p w:rsidR="00000000" w:rsidRDefault="00000000">
      <w:r>
        <w:tab/>
        <w:t xml:space="preserve">6.  </w:t>
      </w:r>
      <w:r>
        <w:rPr>
          <w:rFonts w:hint="eastAsia"/>
        </w:rPr>
        <w:t>委员会欢迎特区向公民社会进行人权教育，尤其欢迎特区为人口各阶层包括公务人员部门、司法、警察和教育机构等举办许多培训班、讲习班和研讨会。</w:t>
      </w:r>
    </w:p>
    <w:p w:rsidR="00000000" w:rsidRDefault="00000000">
      <w:pPr>
        <w:spacing w:after="320"/>
        <w:textAlignment w:val="center"/>
      </w:pPr>
      <w:r>
        <w:tab/>
        <w:t xml:space="preserve">7.  </w:t>
      </w:r>
      <w:r>
        <w:rPr>
          <w:rFonts w:hint="eastAsia"/>
        </w:rPr>
        <w:t>委员会欢迎特区通过教育宣传和适当的立法促进性别平等。</w:t>
      </w:r>
    </w:p>
    <w:p w:rsidR="00000000" w:rsidRDefault="00000000">
      <w:pPr>
        <w:pStyle w:val="Heading3"/>
      </w:pPr>
      <w:r>
        <w:rPr>
          <w:u w:val="none"/>
        </w:rPr>
        <w:t xml:space="preserve">C.  </w:t>
      </w:r>
      <w:r>
        <w:rPr>
          <w:rFonts w:hint="eastAsia"/>
        </w:rPr>
        <w:t>主要关注事项和建议</w:t>
      </w:r>
    </w:p>
    <w:p w:rsidR="00000000" w:rsidRDefault="00000000">
      <w:r>
        <w:tab/>
        <w:t xml:space="preserve">8.  </w:t>
      </w:r>
      <w:r>
        <w:rPr>
          <w:rFonts w:hint="eastAsia"/>
        </w:rPr>
        <w:t>令委员会关切的是，委员会在结论性意见中提出的建议</w:t>
      </w:r>
      <w:r>
        <w:t>(</w:t>
      </w:r>
      <w:r>
        <w:rPr>
          <w:rFonts w:hint="eastAsia"/>
        </w:rPr>
        <w:t>载于</w:t>
      </w:r>
      <w:r>
        <w:t>A/51/40</w:t>
      </w:r>
      <w:r>
        <w:rPr>
          <w:rFonts w:hint="eastAsia"/>
        </w:rPr>
        <w:t>号文件第</w:t>
      </w:r>
      <w:r>
        <w:t>66-72</w:t>
      </w:r>
      <w:r>
        <w:rPr>
          <w:rFonts w:hint="eastAsia"/>
        </w:rPr>
        <w:t>段；</w:t>
      </w:r>
      <w:r>
        <w:t>A/52/40</w:t>
      </w:r>
      <w:r>
        <w:rPr>
          <w:rFonts w:hint="eastAsia"/>
        </w:rPr>
        <w:t>号文件第</w:t>
      </w:r>
      <w:r>
        <w:t>84-85</w:t>
      </w:r>
      <w:r>
        <w:rPr>
          <w:rFonts w:hint="eastAsia"/>
        </w:rPr>
        <w:t>段</w:t>
      </w:r>
      <w:r>
        <w:t>)</w:t>
      </w:r>
      <w:r>
        <w:rPr>
          <w:rFonts w:hint="eastAsia"/>
        </w:rPr>
        <w:t>多半尚未付诸实施。</w:t>
      </w:r>
    </w:p>
    <w:p w:rsidR="00000000" w:rsidRDefault="00000000">
      <w:r>
        <w:tab/>
        <w:t xml:space="preserve">9.  </w:t>
      </w:r>
      <w:r>
        <w:rPr>
          <w:rFonts w:hint="eastAsia"/>
        </w:rPr>
        <w:t>仍然令委员会关注的是，特区没有任何根据法律建立的独立机构可负责调查和监督侵犯人权现象并落实《公约》规定的权利。</w:t>
      </w:r>
    </w:p>
    <w:p w:rsidR="00000000" w:rsidRDefault="00000000">
      <w:r>
        <w:tab/>
        <w:t xml:space="preserve">10.  </w:t>
      </w:r>
      <w:r>
        <w:rPr>
          <w:rFonts w:hint="eastAsia"/>
        </w:rPr>
        <w:t>终审法院在</w:t>
      </w:r>
      <w:r>
        <w:t>Ng Ka Ling</w:t>
      </w:r>
      <w:r>
        <w:rPr>
          <w:rFonts w:hint="eastAsia"/>
        </w:rPr>
        <w:t>和</w:t>
      </w:r>
      <w:r>
        <w:t>Chan Kam Nga</w:t>
      </w:r>
      <w:r>
        <w:rPr>
          <w:rFonts w:hint="eastAsia"/>
        </w:rPr>
        <w:t>案件中的判决对第</w:t>
      </w:r>
      <w:r>
        <w:t>24(2)(3)</w:t>
      </w:r>
      <w:r>
        <w:rPr>
          <w:rFonts w:hint="eastAsia"/>
        </w:rPr>
        <w:t>条作了特别解释，继该判决后，特区行政长官要求全国人民代表大会常设委员会</w:t>
      </w:r>
      <w:r>
        <w:t>(</w:t>
      </w:r>
      <w:r>
        <w:rPr>
          <w:rFonts w:hint="eastAsia"/>
        </w:rPr>
        <w:t>根据《基本法》第</w:t>
      </w:r>
      <w:r>
        <w:t>158</w:t>
      </w:r>
      <w:r>
        <w:rPr>
          <w:rFonts w:hint="eastAsia"/>
        </w:rPr>
        <w:t>条</w:t>
      </w:r>
      <w:r>
        <w:t>)</w:t>
      </w:r>
      <w:r>
        <w:rPr>
          <w:rFonts w:hint="eastAsia"/>
        </w:rPr>
        <w:t>重新解释《基本法》第</w:t>
      </w:r>
      <w:r>
        <w:t>24(2)(3)</w:t>
      </w:r>
      <w:r>
        <w:rPr>
          <w:rFonts w:hint="eastAsia"/>
        </w:rPr>
        <w:t>条，委员会严重关切这一要求对司法独立的影响。委员会注意到特区关于除非在非常特殊情况下不再寻求这种解释的声明。尽管如此，委员会仍然感到关切，因为政府行政部门</w:t>
      </w:r>
      <w:r>
        <w:t>(</w:t>
      </w:r>
      <w:r>
        <w:rPr>
          <w:rFonts w:hint="eastAsia"/>
        </w:rPr>
        <w:t>请人大常委会</w:t>
      </w:r>
      <w:r>
        <w:t>)</w:t>
      </w:r>
      <w:r>
        <w:rPr>
          <w:rFonts w:hint="eastAsia"/>
        </w:rPr>
        <w:t>根据《基本法》第</w:t>
      </w:r>
      <w:r>
        <w:t>158(1)</w:t>
      </w:r>
      <w:r>
        <w:rPr>
          <w:rFonts w:hint="eastAsia"/>
        </w:rPr>
        <w:t>条作出解释的请求有可能在有损第</w:t>
      </w:r>
      <w:r>
        <w:t>14</w:t>
      </w:r>
      <w:r>
        <w:rPr>
          <w:rFonts w:hint="eastAsia"/>
        </w:rPr>
        <w:t>条规定的公平审判权利的情况下被利用。</w:t>
      </w:r>
    </w:p>
    <w:p w:rsidR="00000000" w:rsidRDefault="00000000">
      <w:r>
        <w:tab/>
        <w:t xml:space="preserve">11.  </w:t>
      </w:r>
      <w:r>
        <w:rPr>
          <w:rFonts w:hint="eastAsia"/>
        </w:rPr>
        <w:t>委员会认为警方接受投诉的独立监察委员会无权保证适当和有效地调查对警察的控诉。委员会仍然关切的是，对警察不法行为的调查仍掌握在警察自己手中，这有损这些调查的可信程度。</w:t>
      </w:r>
    </w:p>
    <w:p w:rsidR="00000000" w:rsidRDefault="00000000">
      <w:pPr>
        <w:ind w:left="1036"/>
      </w:pPr>
      <w:r>
        <w:tab/>
      </w:r>
      <w:r>
        <w:rPr>
          <w:rFonts w:hint="eastAsia"/>
        </w:rPr>
        <w:t>特区应重新考虑对该问题的处理方法并应就对警察的投诉进行独立的调查。</w:t>
      </w:r>
    </w:p>
    <w:p w:rsidR="00000000" w:rsidRDefault="00000000">
      <w:r>
        <w:tab/>
        <w:t xml:space="preserve">12.  </w:t>
      </w:r>
      <w:r>
        <w:rPr>
          <w:rFonts w:hint="eastAsia"/>
        </w:rPr>
        <w:t>委员会重申在结束审议第</w:t>
      </w:r>
      <w:r>
        <w:t>4</w:t>
      </w:r>
      <w:r>
        <w:rPr>
          <w:rFonts w:hint="eastAsia"/>
        </w:rPr>
        <w:t>次定期报告时通过的结论性意见第</w:t>
      </w:r>
      <w:r>
        <w:t>19</w:t>
      </w:r>
      <w:r>
        <w:rPr>
          <w:rFonts w:hint="eastAsia"/>
        </w:rPr>
        <w:t>段表示的关注，即立法委员会的选举制度不符合《公约》第</w:t>
      </w:r>
      <w:r>
        <w:t>2</w:t>
      </w:r>
      <w:r>
        <w:rPr>
          <w:rFonts w:hint="eastAsia"/>
        </w:rPr>
        <w:t>条第</w:t>
      </w:r>
      <w:r>
        <w:t>1</w:t>
      </w:r>
      <w:r>
        <w:rPr>
          <w:rFonts w:hint="eastAsia"/>
        </w:rPr>
        <w:t>款、第</w:t>
      </w:r>
      <w:r>
        <w:t>25</w:t>
      </w:r>
      <w:r>
        <w:rPr>
          <w:rFonts w:hint="eastAsia"/>
        </w:rPr>
        <w:t>条和第</w:t>
      </w:r>
      <w:r>
        <w:t>26</w:t>
      </w:r>
      <w:r>
        <w:rPr>
          <w:rFonts w:hint="eastAsia"/>
        </w:rPr>
        <w:t>条。委员会对市区各议事局即将被废除，表示关注，因为这将进一步减少特区居民参与公共事务的机会，而这项权利是第</w:t>
      </w:r>
      <w:r>
        <w:t>25</w:t>
      </w:r>
      <w:r>
        <w:rPr>
          <w:rFonts w:hint="eastAsia"/>
        </w:rPr>
        <w:t>条所保障的。</w:t>
      </w:r>
    </w:p>
    <w:p w:rsidR="00000000" w:rsidRDefault="00000000">
      <w:pPr>
        <w:ind w:left="1036"/>
      </w:pPr>
      <w:r>
        <w:tab/>
      </w:r>
      <w:r>
        <w:rPr>
          <w:rFonts w:hint="eastAsia"/>
        </w:rPr>
        <w:t>特区应重新考虑这一步骤，采取一切必要措施，维持并加强特区居民在公共事务中的民主代表制。</w:t>
      </w:r>
    </w:p>
    <w:p w:rsidR="00000000" w:rsidRDefault="00000000">
      <w:r>
        <w:tab/>
        <w:t xml:space="preserve">13.  </w:t>
      </w:r>
      <w:r>
        <w:rPr>
          <w:rFonts w:hint="eastAsia"/>
        </w:rPr>
        <w:t>令委员会关切的是，为了限制当局监听通讯的权力于</w:t>
      </w:r>
      <w:r>
        <w:t>1997</w:t>
      </w:r>
      <w:r>
        <w:rPr>
          <w:rFonts w:hint="eastAsia"/>
        </w:rPr>
        <w:t>年</w:t>
      </w:r>
      <w:r>
        <w:t>6</w:t>
      </w:r>
      <w:r>
        <w:rPr>
          <w:rFonts w:hint="eastAsia"/>
        </w:rPr>
        <w:t>月通过的监听通讯条例仍未生效，电讯条例第</w:t>
      </w:r>
      <w:r>
        <w:t>33</w:t>
      </w:r>
      <w:r>
        <w:rPr>
          <w:rFonts w:hint="eastAsia"/>
        </w:rPr>
        <w:t>节和邮政命令第</w:t>
      </w:r>
      <w:r>
        <w:t>13</w:t>
      </w:r>
      <w:r>
        <w:rPr>
          <w:rFonts w:hint="eastAsia"/>
        </w:rPr>
        <w:t>节却继续有效，从而听任当局违反《公约》第</w:t>
      </w:r>
      <w:r>
        <w:t>17</w:t>
      </w:r>
      <w:r>
        <w:rPr>
          <w:rFonts w:hint="eastAsia"/>
        </w:rPr>
        <w:t>条规定的隐私权。</w:t>
      </w:r>
    </w:p>
    <w:p w:rsidR="00000000" w:rsidRDefault="00000000">
      <w:pPr>
        <w:ind w:left="1036"/>
      </w:pPr>
      <w:r>
        <w:tab/>
      </w:r>
      <w:r>
        <w:rPr>
          <w:rFonts w:hint="eastAsia"/>
        </w:rPr>
        <w:t>特区必须保证其法律和诉讼程序保护第</w:t>
      </w:r>
      <w:r>
        <w:t>17</w:t>
      </w:r>
      <w:r>
        <w:rPr>
          <w:rFonts w:hint="eastAsia"/>
        </w:rPr>
        <w:t>条保证的权利。</w:t>
      </w:r>
    </w:p>
    <w:p w:rsidR="00000000" w:rsidRDefault="00000000">
      <w:r>
        <w:tab/>
        <w:t xml:space="preserve">14.  </w:t>
      </w:r>
      <w:r>
        <w:rPr>
          <w:rFonts w:hint="eastAsia"/>
        </w:rPr>
        <w:t>鉴于《公约》在特区的适用受一项保留的限制，而这项保留严重影响到有关驱逐案件中决策过程的第</w:t>
      </w:r>
      <w:r>
        <w:t>13</w:t>
      </w:r>
      <w:r>
        <w:rPr>
          <w:rFonts w:hint="eastAsia"/>
        </w:rPr>
        <w:t>条的适用，因此委员会仍然担心：因被特区驱逐出境而可能被判处死刑或遭到酷刑、或不人道、残忍或有辱人格待遇的人将得不到有效的保护。</w:t>
      </w:r>
    </w:p>
    <w:p w:rsidR="00000000" w:rsidRDefault="00000000">
      <w:pPr>
        <w:ind w:left="1036"/>
      </w:pPr>
      <w:r>
        <w:tab/>
      </w:r>
      <w:r>
        <w:rPr>
          <w:rFonts w:hint="eastAsia"/>
        </w:rPr>
        <w:t>为了在驱逐情况中保证遵守第</w:t>
      </w:r>
      <w:r>
        <w:t>6</w:t>
      </w:r>
      <w:r>
        <w:rPr>
          <w:rFonts w:hint="eastAsia"/>
        </w:rPr>
        <w:t>和第</w:t>
      </w:r>
      <w:r>
        <w:t>7</w:t>
      </w:r>
      <w:r>
        <w:rPr>
          <w:rFonts w:hint="eastAsia"/>
        </w:rPr>
        <w:t>条，特区应确保在驱逐程序中规定有效的保护措施，以防止被判处死刑或遭到酷刑或不人道、残忍或有辱人格待遇的危险。</w:t>
      </w:r>
    </w:p>
    <w:p w:rsidR="00000000" w:rsidRDefault="00000000">
      <w:r>
        <w:tab/>
        <w:t xml:space="preserve">15.  </w:t>
      </w:r>
      <w:r>
        <w:rPr>
          <w:rFonts w:hint="eastAsia"/>
        </w:rPr>
        <w:t>委员会仍然关注因种族或性倾向理由而遭歧视的个人无法从法律上争取任何补救措施。</w:t>
      </w:r>
    </w:p>
    <w:p w:rsidR="00000000" w:rsidRDefault="00000000">
      <w:pPr>
        <w:ind w:left="1036"/>
      </w:pPr>
      <w:r>
        <w:tab/>
      </w:r>
      <w:r>
        <w:rPr>
          <w:rFonts w:hint="eastAsia"/>
        </w:rPr>
        <w:t>应颁布必要立法为了确保充分遵守《公约》第</w:t>
      </w:r>
      <w:r>
        <w:t>26</w:t>
      </w:r>
      <w:r>
        <w:rPr>
          <w:rFonts w:hint="eastAsia"/>
        </w:rPr>
        <w:t>条。</w:t>
      </w:r>
    </w:p>
    <w:p w:rsidR="00000000" w:rsidRDefault="00000000">
      <w:r>
        <w:tab/>
        <w:t xml:space="preserve">16.  </w:t>
      </w:r>
      <w:r>
        <w:rPr>
          <w:rFonts w:hint="eastAsia"/>
        </w:rPr>
        <w:t>令委员会关切的是，特区教育制度在中学招生方面歧视女子、男女收入水平方面存在相当大的区别、妇女在公共事务委员会和公共机构中代表不足和小住宅政策对妇女有歧视。</w:t>
      </w:r>
    </w:p>
    <w:p w:rsidR="00000000" w:rsidRDefault="00000000">
      <w:pPr>
        <w:ind w:left="1036"/>
      </w:pPr>
      <w:r>
        <w:tab/>
      </w:r>
      <w:r>
        <w:rPr>
          <w:rFonts w:hint="eastAsia"/>
        </w:rPr>
        <w:t>特区应采取积极措施消除对妇女的歧视并应确保同工同酬。</w:t>
      </w:r>
    </w:p>
    <w:p w:rsidR="00000000" w:rsidRDefault="00000000">
      <w:r>
        <w:tab/>
        <w:t xml:space="preserve">17.  </w:t>
      </w:r>
      <w:r>
        <w:rPr>
          <w:rFonts w:hint="eastAsia"/>
        </w:rPr>
        <w:t>委员会对承担刑事责任的年龄为七岁的情况表示关切。委员会注意到特区代表团关于法律改革委员会目前正审查该问题的发言。</w:t>
      </w:r>
    </w:p>
    <w:p w:rsidR="00000000" w:rsidRDefault="00000000">
      <w:pPr>
        <w:ind w:left="1036"/>
      </w:pPr>
      <w:r>
        <w:tab/>
      </w:r>
      <w:r>
        <w:rPr>
          <w:rFonts w:hint="eastAsia"/>
        </w:rPr>
        <w:t>应该提高承担刑事责任的年龄以确保第</w:t>
      </w:r>
      <w:r>
        <w:t>24</w:t>
      </w:r>
      <w:r>
        <w:rPr>
          <w:rFonts w:hint="eastAsia"/>
        </w:rPr>
        <w:t>条规定的儿童权利。</w:t>
      </w:r>
    </w:p>
    <w:p w:rsidR="00000000" w:rsidRDefault="00000000">
      <w:r>
        <w:tab/>
        <w:t xml:space="preserve">18.  </w:t>
      </w:r>
      <w:r>
        <w:rPr>
          <w:rFonts w:hint="eastAsia"/>
        </w:rPr>
        <w:t>委员会担心：罪行条例对叛国和煽动罪界定过宽，会威胁到《公约》第</w:t>
      </w:r>
      <w:r>
        <w:t>19</w:t>
      </w:r>
      <w:r>
        <w:rPr>
          <w:rFonts w:hint="eastAsia"/>
        </w:rPr>
        <w:t>条保证的言论自由。</w:t>
      </w:r>
    </w:p>
    <w:p w:rsidR="00000000" w:rsidRDefault="00000000">
      <w:pPr>
        <w:ind w:left="1036"/>
      </w:pPr>
      <w:r>
        <w:tab/>
      </w:r>
      <w:r>
        <w:rPr>
          <w:rFonts w:hint="eastAsia"/>
        </w:rPr>
        <w:t>根据《基本法》第</w:t>
      </w:r>
      <w:r>
        <w:t>23</w:t>
      </w:r>
      <w:r>
        <w:rPr>
          <w:rFonts w:hint="eastAsia"/>
        </w:rPr>
        <w:t>条颁布的所有法律必须符合《公约》。</w:t>
      </w:r>
    </w:p>
    <w:p w:rsidR="00000000" w:rsidRDefault="00000000">
      <w:r>
        <w:tab/>
        <w:t xml:space="preserve">19.  </w:t>
      </w:r>
      <w:r>
        <w:rPr>
          <w:rFonts w:hint="eastAsia"/>
        </w:rPr>
        <w:t>关于集会自由，委员会知道特区经常有公共示威并注意到特区代表团关于特区从不拒绝举行示威申请的声明。尽管如此，委员会仍然担心，公共秩序条例可被用来不适当地限制人们享受《公约》第</w:t>
      </w:r>
      <w:r>
        <w:t>21</w:t>
      </w:r>
      <w:r>
        <w:rPr>
          <w:rFonts w:hint="eastAsia"/>
        </w:rPr>
        <w:t>条保障的权利。</w:t>
      </w:r>
    </w:p>
    <w:p w:rsidR="00000000" w:rsidRDefault="00000000">
      <w:pPr>
        <w:ind w:left="1036"/>
      </w:pPr>
      <w:r>
        <w:tab/>
      </w:r>
      <w:r>
        <w:rPr>
          <w:rFonts w:hint="eastAsia"/>
        </w:rPr>
        <w:t>特区应审查这项条例，使之符合《公约》第</w:t>
      </w:r>
      <w:r>
        <w:t>21</w:t>
      </w:r>
      <w:r>
        <w:rPr>
          <w:rFonts w:hint="eastAsia"/>
        </w:rPr>
        <w:t>条的规定。</w:t>
      </w:r>
    </w:p>
    <w:p w:rsidR="00000000" w:rsidRDefault="00000000">
      <w:r>
        <w:tab/>
        <w:t xml:space="preserve">20.  </w:t>
      </w:r>
      <w:r>
        <w:rPr>
          <w:rFonts w:hint="eastAsia"/>
        </w:rPr>
        <w:t>关于结社自由，委员会担心结社条例有可能被用来不适当地限制人们享受第</w:t>
      </w:r>
      <w:r>
        <w:t>22</w:t>
      </w:r>
      <w:r>
        <w:rPr>
          <w:rFonts w:hint="eastAsia"/>
        </w:rPr>
        <w:t>条规定的权利。</w:t>
      </w:r>
    </w:p>
    <w:p w:rsidR="00000000" w:rsidRDefault="00000000">
      <w:pPr>
        <w:spacing w:after="320"/>
        <w:ind w:left="1036"/>
        <w:textAlignment w:val="center"/>
      </w:pPr>
      <w:r>
        <w:tab/>
      </w:r>
      <w:r>
        <w:rPr>
          <w:rFonts w:hint="eastAsia"/>
        </w:rPr>
        <w:t>特区应审查该条例以确保充分保护《公约》第</w:t>
      </w:r>
      <w:r>
        <w:t>22</w:t>
      </w:r>
      <w:r>
        <w:rPr>
          <w:rFonts w:hint="eastAsia"/>
        </w:rPr>
        <w:t>条规定的结社自由权利，包括工会权利。</w:t>
      </w:r>
    </w:p>
    <w:p w:rsidR="00000000" w:rsidRDefault="00000000">
      <w:pPr>
        <w:pStyle w:val="Heading3"/>
      </w:pPr>
      <w:r>
        <w:rPr>
          <w:u w:val="none"/>
        </w:rPr>
        <w:t xml:space="preserve">D.  </w:t>
      </w:r>
      <w:r>
        <w:rPr>
          <w:rFonts w:hint="eastAsia"/>
        </w:rPr>
        <w:t>审查第六次定期报告的日期：传播资料</w:t>
      </w:r>
    </w:p>
    <w:p w:rsidR="00000000" w:rsidRDefault="00000000">
      <w:r>
        <w:tab/>
        <w:t xml:space="preserve">21.  </w:t>
      </w:r>
      <w:r>
        <w:rPr>
          <w:rFonts w:hint="eastAsia"/>
        </w:rPr>
        <w:t>委员会将提交下次定期报告的日期定为</w:t>
      </w:r>
      <w:r>
        <w:t>2003</w:t>
      </w:r>
      <w:r>
        <w:rPr>
          <w:rFonts w:hint="eastAsia"/>
        </w:rPr>
        <w:t>年</w:t>
      </w:r>
      <w:r>
        <w:t>10</w:t>
      </w:r>
      <w:r>
        <w:rPr>
          <w:rFonts w:hint="eastAsia"/>
        </w:rPr>
        <w:t>月</w:t>
      </w:r>
      <w:r>
        <w:t>31</w:t>
      </w:r>
      <w:r>
        <w:rPr>
          <w:rFonts w:hint="eastAsia"/>
        </w:rPr>
        <w:t>日。该报告应根据委员会新准则</w:t>
      </w:r>
      <w:r>
        <w:t>(CCPR/C/66/GUI/Rev.1)</w:t>
      </w:r>
      <w:r>
        <w:rPr>
          <w:rFonts w:hint="eastAsia"/>
        </w:rPr>
        <w:t>编写并应特别重视委员会在这些结论性意见中提出的问题。委员会敦促特区向公众以及立法和行政当局提供这些结论性意见的全文。委员会请特区向公众，包括公民社会和在特区开展活动的非政府组织广为传播下次定期报告。</w:t>
      </w:r>
    </w:p>
    <w:p w:rsidR="00000000" w:rsidRDefault="00000000"/>
    <w:p w:rsidR="00000000" w:rsidRDefault="00000000">
      <w:pPr>
        <w:jc w:val="center"/>
      </w:pPr>
      <w:r>
        <w:t>--  --  --  --  --</w:t>
      </w:r>
    </w:p>
    <w:p w:rsidR="00000000" w:rsidRDefault="00000000">
      <w:pPr>
        <w:spacing w:after="120"/>
        <w:textAlignment w:val="center"/>
      </w:pPr>
    </w:p>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Rounded MT Bold"/>
    <w:panose1 w:val="00000000000000000000"/>
    <w:charset w:val="00"/>
    <w:family w:val="swiss"/>
    <w:notTrueType/>
    <w:pitch w:val="default"/>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 99-45602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CCPR/C/79/Add.117</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CCPR/C/79/Add.117</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
    </w:pPr>
    <w:r>
      <w:rPr>
        <w:noProof/>
      </w:rPr>
      <w:pict>
        <v:rect id="_x0000_s1025" style="position:absolute;left:0;text-align:left;margin-left:481.05pt;margin-top:59.05pt;width:9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CCPR</w:t>
                </w:r>
              </w:p>
            </w:txbxContent>
          </v:textbox>
          <w10:wrap anchorx="page" anchory="page"/>
        </v:rect>
      </w:pict>
    </w:r>
  </w:p>
  <w:p w:rsidR="00000000" w:rsidRDefault="00000000">
    <w:pPr>
      <w:pStyle w:val="a"/>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
    </w:pPr>
    <w:r>
      <w:pict>
        <v:rect id="_x0000_s1029" style="position:absolute;left:0;text-align:left;margin-left:66.7pt;margin-top:110.5pt;width:65.05pt;height:55.55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55.5pt">
                      <v:imagedata r:id="rId1" o:title="" croptop="-108f" cropbottom="-92f" cropleft="-3349f" cropright="-3349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pPr>
    <w:r>
      <w:t>GENERAL</w:t>
    </w:r>
  </w:p>
  <w:p w:rsidR="00000000" w:rsidRDefault="00000000">
    <w:pPr>
      <w:pStyle w:val="1R2"/>
      <w:framePr w:wrap="around"/>
    </w:pPr>
  </w:p>
  <w:p w:rsidR="00000000" w:rsidRDefault="00000000">
    <w:pPr>
      <w:pStyle w:val="1R2"/>
      <w:framePr w:wrap="around"/>
    </w:pPr>
    <w:r>
      <w:t>CCPR/C/79/Add.117</w:t>
    </w:r>
  </w:p>
  <w:p w:rsidR="00000000" w:rsidRDefault="00000000">
    <w:pPr>
      <w:pStyle w:val="1R2"/>
      <w:framePr w:wrap="around"/>
    </w:pPr>
    <w:r>
      <w:t>15 November 1999</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
    </w:pPr>
  </w:p>
  <w:p w:rsidR="00000000" w:rsidRDefault="00000000">
    <w:pPr>
      <w:pStyle w:val="a"/>
    </w:pPr>
  </w:p>
  <w:p w:rsidR="00000000" w:rsidRDefault="00000000">
    <w:pPr>
      <w:pStyle w:val="a"/>
    </w:pPr>
    <w:r>
      <w:pict>
        <v:rect id="_x0000_s1027" style="position:absolute;left:0;text-align:left;margin-left:151.05pt;margin-top:116.25pt;width:216.05pt;height:62.45pt;z-index:-3;mso-position-horizontal-relative:page;mso-position-vertical-relative:page" o:allowincell="f" filled="f" stroked="f" strokeweight="0">
          <v:textbox inset="0,0,0,0">
            <w:txbxContent>
              <w:p w:rsidR="00000000" w:rsidRDefault="00000000">
                <w:pPr>
                  <w:pStyle w:val="1m1"/>
                  <w:rPr>
                    <w:spacing w:val="30"/>
                  </w:rPr>
                </w:pPr>
                <w:r>
                  <w:rPr>
                    <w:rFonts w:hint="eastAsia"/>
                    <w:spacing w:val="30"/>
                  </w:rPr>
                  <w:t>公民权利和政治权利</w:t>
                </w:r>
              </w:p>
              <w:p w:rsidR="00000000" w:rsidRDefault="00000000">
                <w:pPr>
                  <w:pStyle w:val="1m1"/>
                </w:pPr>
                <w:r>
                  <w:rPr>
                    <w:rFonts w:hint="eastAsia"/>
                    <w:spacing w:val="30"/>
                  </w:rPr>
                  <w:t>国际公约</w:t>
                </w:r>
              </w:p>
              <w:p w:rsidR="00000000" w:rsidRDefault="00000000">
                <w:pPr>
                  <w:pStyle w:val="1m1"/>
                </w:pPr>
              </w:p>
            </w:txbxContent>
          </v:textbox>
          <w10:wrap anchorx="page" anchory="page"/>
        </v:rect>
      </w:pict>
    </w:r>
  </w:p>
  <w:p w:rsidR="00000000" w:rsidRDefault="00000000">
    <w:pPr>
      <w:pStyle w:val="a"/>
    </w:pPr>
    <w:r>
      <w:pict>
        <v:rect id="_x0000_s1028" style="position:absolute;left:0;text-align:left;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
    </w:pPr>
  </w:p>
  <w:p w:rsidR="00000000" w:rsidRDefault="00000000">
    <w:pPr>
      <w:pStyle w:val="a"/>
    </w:pPr>
  </w:p>
  <w:p w:rsidR="00000000" w:rsidRDefault="00000000">
    <w:pPr>
      <w:pStyle w:val="a"/>
    </w:pPr>
    <w:r>
      <w:fldChar w:fldCharType="begin"/>
    </w:r>
    <w:r>
      <w:instrText>ADVANCE \Y 252.30</w:instrText>
    </w:r>
    <w:r>
      <w:fldChar w:fldCharType="end"/>
    </w:r>
  </w:p>
  <w:p w:rsidR="00000000" w:rsidRDefault="00000000">
    <w:pPr>
      <w:pStyle w:val="a"/>
    </w:pPr>
  </w:p>
  <w:p w:rsidR="00000000" w:rsidRDefault="00000000">
    <w:pPr>
      <w:pStyle w:val="a"/>
    </w:pPr>
  </w:p>
  <w:p w:rsidR="00000000" w:rsidRDefault="00000000">
    <w:pPr>
      <w:pStyle w:val="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1030"/>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s>
      <w:adjustRightInd w:val="0"/>
      <w:spacing w:line="336" w:lineRule="auto"/>
      <w:jc w:val="both"/>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s>
      <w:spacing w:after="320" w:line="288" w:lineRule="auto"/>
      <w:jc w:val="center"/>
      <w:outlineLvl w:val="0"/>
    </w:pPr>
    <w:rPr>
      <w:b/>
      <w:kern w:val="32"/>
      <w:sz w:val="30"/>
    </w:rPr>
  </w:style>
  <w:style w:type="paragraph" w:styleId="Heading2">
    <w:name w:val="heading 2"/>
    <w:basedOn w:val="Normal"/>
    <w:next w:val="Normal"/>
    <w:qFormat/>
    <w:pPr>
      <w:keepNext/>
      <w:keepLines/>
      <w:widowControl w:val="0"/>
      <w:tabs>
        <w:tab w:val="clear" w:pos="510"/>
        <w:tab w:val="clear" w:pos="1021"/>
        <w:tab w:val="clear" w:pos="1531"/>
        <w:tab w:val="clear" w:pos="2041"/>
      </w:tabs>
      <w:spacing w:after="320" w:line="288" w:lineRule="auto"/>
      <w:jc w:val="center"/>
      <w:outlineLvl w:val="1"/>
    </w:pPr>
    <w:rPr>
      <w:kern w:val="28"/>
      <w:sz w:val="28"/>
    </w:rPr>
  </w:style>
  <w:style w:type="paragraph" w:styleId="Heading3">
    <w:name w:val="heading 3"/>
    <w:basedOn w:val="Normal"/>
    <w:next w:val="Normal"/>
    <w:qFormat/>
    <w:pPr>
      <w:keepNext/>
      <w:keepLines/>
      <w:widowControl w:val="0"/>
      <w:tabs>
        <w:tab w:val="clear" w:pos="510"/>
        <w:tab w:val="clear" w:pos="1021"/>
        <w:tab w:val="clear" w:pos="1531"/>
        <w:tab w:val="clear" w:pos="2041"/>
      </w:tabs>
      <w:spacing w:after="320"/>
      <w:jc w:val="center"/>
      <w:outlineLvl w:val="2"/>
    </w:pPr>
    <w:rPr>
      <w:kern w:val="28"/>
      <w:u w:val="single"/>
    </w:rPr>
  </w:style>
  <w:style w:type="paragraph" w:styleId="Heading4">
    <w:name w:val="heading 4"/>
    <w:basedOn w:val="Normal"/>
    <w:next w:val="Normal"/>
    <w:qFormat/>
    <w:pPr>
      <w:keepNext/>
      <w:keepLines/>
      <w:widowControl w:val="0"/>
      <w:tabs>
        <w:tab w:val="left" w:pos="510"/>
        <w:tab w:val="left" w:pos="1021"/>
        <w:tab w:val="left" w:pos="1531"/>
        <w:tab w:val="left" w:pos="2041"/>
      </w:tabs>
      <w:spacing w:after="240"/>
      <w:jc w:val="left"/>
      <w:outlineLvl w:val="3"/>
    </w:pPr>
    <w:rPr>
      <w:u w:val="single"/>
    </w:rPr>
  </w:style>
  <w:style w:type="paragraph" w:styleId="Heading5">
    <w:name w:val="heading 5"/>
    <w:basedOn w:val="Normal"/>
    <w:next w:val="Normal"/>
    <w:qFormat/>
    <w:pPr>
      <w:keepNext/>
      <w:keepLines/>
      <w:widowControl w:val="0"/>
      <w:tabs>
        <w:tab w:val="left" w:pos="510"/>
        <w:tab w:val="left" w:pos="1021"/>
        <w:tab w:val="left" w:pos="1531"/>
        <w:tab w:val="left" w:pos="2041"/>
        <w:tab w:val="left" w:pos="2552"/>
      </w:tabs>
      <w:spacing w:after="240"/>
      <w:outlineLvl w:val="4"/>
    </w:pPr>
    <w:rPr>
      <w:rFonts w:eastAsia="SimHei"/>
    </w:rPr>
  </w:style>
  <w:style w:type="paragraph" w:styleId="Heading6">
    <w:name w:val="heading 6"/>
    <w:basedOn w:val="Normal"/>
    <w:next w:val="Normal"/>
    <w:qFormat/>
    <w:pPr>
      <w:keepNext/>
      <w:keepLines/>
      <w:widowControl w:val="0"/>
      <w:spacing w:after="240"/>
      <w:outlineLvl w:val="5"/>
    </w:pPr>
  </w:style>
  <w:style w:type="paragraph" w:styleId="Heading7">
    <w:name w:val="heading 7"/>
    <w:basedOn w:val="Normal"/>
    <w:next w:val="Normal"/>
    <w:qFormat/>
    <w:pPr>
      <w:keepNext/>
      <w:keepLines/>
      <w:tabs>
        <w:tab w:val="clear" w:pos="1531"/>
        <w:tab w:val="clear" w:pos="2041"/>
        <w:tab w:val="left" w:pos="510"/>
        <w:tab w:val="left" w:pos="1021"/>
        <w:tab w:val="left" w:pos="1191"/>
      </w:tabs>
      <w:spacing w:after="200"/>
      <w:outlineLvl w:val="6"/>
    </w:pPr>
    <w:rPr>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pacing w:val="0"/>
      <w:sz w:val="20"/>
    </w:rPr>
  </w:style>
  <w:style w:type="paragraph" w:styleId="Footer">
    <w:name w:val="footer"/>
    <w:basedOn w:val="Normal"/>
    <w:semiHidden/>
    <w:pPr>
      <w:tabs>
        <w:tab w:val="clear" w:pos="2041"/>
      </w:tabs>
      <w:spacing w:line="288" w:lineRule="auto"/>
      <w:jc w:val="left"/>
    </w:pPr>
    <w:rPr>
      <w:rFonts w:ascii="Courier New" w:hAnsi="Courier New"/>
      <w:spacing w:val="0"/>
      <w:sz w:val="20"/>
    </w:rPr>
  </w:style>
  <w:style w:type="character" w:styleId="PageNumber">
    <w:name w:val="page number"/>
    <w:semiHidden/>
    <w:rPr>
      <w:rFonts w:ascii="Courier" w:eastAsia="长城仿宋" w:hAnsi="Courier"/>
      <w:sz w:val="20"/>
    </w:rPr>
  </w:style>
  <w:style w:type="paragraph" w:styleId="FootnoteText">
    <w:name w:val="footnote text"/>
    <w:basedOn w:val="Normal"/>
    <w:semiHidden/>
    <w:pPr>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styleId="NormalIndent">
    <w:name w:val="Normal Indent"/>
    <w:basedOn w:val="Normal"/>
    <w:semiHidden/>
    <w:pPr>
      <w:ind w:firstLine="510"/>
    </w:pPr>
  </w:style>
  <w:style w:type="paragraph" w:customStyle="1" w:styleId="a1">
    <w:name w:val="悬挂(一)"/>
    <w:basedOn w:val="Normal"/>
    <w:pPr>
      <w:ind w:left="1531" w:hanging="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pPr>
    <w:rPr>
      <w:kern w:val="0"/>
    </w:r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s>
      <w:suppressAutoHyphens/>
      <w:spacing w:line="360" w:lineRule="auto"/>
      <w:jc w:val="left"/>
    </w:pPr>
    <w:rPr>
      <w:rFonts w:ascii="SimHei" w:eastAsia="SimHei"/>
      <w:spacing w:val="60"/>
      <w:sz w:val="40"/>
    </w:rPr>
  </w:style>
  <w:style w:type="paragraph" w:customStyle="1" w:styleId="1m1">
    <w:name w:val="页眉1m1"/>
    <w:basedOn w:val="Normal"/>
    <w:pPr>
      <w:tabs>
        <w:tab w:val="clear" w:pos="510"/>
        <w:tab w:val="clear" w:pos="1021"/>
        <w:tab w:val="clear" w:pos="1531"/>
        <w:tab w:val="clear" w:pos="2041"/>
      </w:tabs>
      <w:suppressAutoHyphens/>
      <w:spacing w:line="360" w:lineRule="auto"/>
      <w:jc w:val="left"/>
    </w:pPr>
    <w:rPr>
      <w:rFonts w:ascii="SimHei" w:eastAsia="SimHei"/>
      <w:spacing w:val="40"/>
      <w:sz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z w:val="2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pPr>
    <w:rPr>
      <w:kern w:val="0"/>
    </w:rPr>
  </w:style>
  <w:style w:type="paragraph" w:customStyle="1" w:styleId="UNLOGO">
    <w:name w:val="UNLOGO"/>
    <w:basedOn w:val="Normal"/>
    <w:pPr>
      <w:tabs>
        <w:tab w:val="clear" w:pos="510"/>
        <w:tab w:val="clear" w:pos="1021"/>
        <w:tab w:val="clear" w:pos="1531"/>
        <w:tab w:val="clear" w:pos="2041"/>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jc w:val="both"/>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widowControl w:val="0"/>
      <w:tabs>
        <w:tab w:val="clear" w:pos="6124"/>
        <w:tab w:val="clear" w:pos="6634"/>
        <w:tab w:val="clear" w:pos="7144"/>
        <w:tab w:val="clear" w:pos="7655"/>
        <w:tab w:val="clear" w:pos="8165"/>
      </w:tabs>
      <w:jc w:val="center"/>
    </w:pPr>
  </w:style>
  <w:style w:type="paragraph" w:customStyle="1" w:styleId="a5">
    <w:name w:val="悬挂符号－"/>
    <w:basedOn w:val="a6"/>
  </w:style>
  <w:style w:type="paragraph" w:customStyle="1" w:styleId="a6">
    <w:name w:val="悬挂"/>
    <w:basedOn w:val="Normal"/>
    <w:pPr>
      <w:ind w:left="510" w:hanging="510"/>
    </w:pPr>
  </w:style>
  <w:style w:type="paragraph" w:styleId="BodyText">
    <w:name w:val="Body Text"/>
    <w:basedOn w:val="Normal"/>
    <w:semiHidden/>
    <w:pPr>
      <w:spacing w:after="120"/>
    </w:pPr>
  </w:style>
  <w:style w:type="paragraph" w:customStyle="1" w:styleId="a7">
    <w:name w:val="悬挂符号●"/>
    <w:basedOn w:val="a6"/>
  </w:style>
  <w:style w:type="paragraph" w:customStyle="1" w:styleId="a8">
    <w:name w:val="目录段次"/>
    <w:basedOn w:val="Normal"/>
    <w:pPr>
      <w:tabs>
        <w:tab w:val="right" w:leader="dot" w:pos="7677"/>
        <w:tab w:val="right" w:pos="8335"/>
        <w:tab w:val="center" w:pos="8505"/>
        <w:tab w:val="left" w:pos="8675"/>
      </w:tabs>
      <w:spacing w:line="288" w:lineRule="auto"/>
      <w:jc w:val="left"/>
    </w:pPr>
  </w:style>
  <w:style w:type="paragraph" w:customStyle="1" w:styleId="12cm">
    <w:name w:val="12cm落款"/>
    <w:basedOn w:val="Normal"/>
    <w:pPr>
      <w:keepLines/>
      <w:widowControl w:val="0"/>
      <w:spacing w:before="160" w:after="280" w:line="288" w:lineRule="auto"/>
      <w:ind w:left="6804"/>
    </w:pPr>
  </w:style>
  <w:style w:type="paragraph" w:customStyle="1" w:styleId="cdL1">
    <w:name w:val="cdL1"/>
    <w:basedOn w:val="Normal"/>
  </w:style>
  <w:style w:type="paragraph" w:customStyle="1" w:styleId="9cm">
    <w:name w:val="9cm落款"/>
    <w:basedOn w:val="Normal"/>
    <w:pPr>
      <w:keepLines/>
      <w:widowControl w:val="0"/>
      <w:spacing w:before="160" w:after="280" w:line="288" w:lineRule="auto"/>
      <w:ind w:left="5103"/>
    </w:pPr>
  </w:style>
  <w:style w:type="paragraph" w:customStyle="1" w:styleId="1">
    <w:name w:val="悬挂(1)"/>
    <w:basedOn w:val="Normal"/>
    <w:pPr>
      <w:ind w:left="1531" w:hanging="510"/>
    </w:pPr>
  </w:style>
  <w:style w:type="paragraph" w:customStyle="1" w:styleId="x">
    <w:name w:val="悬挂[(x)"/>
    <w:basedOn w:val="Normal"/>
    <w:pPr>
      <w:ind w:left="1531" w:hanging="595"/>
    </w:pPr>
  </w:style>
  <w:style w:type="paragraph" w:customStyle="1" w:styleId="x0">
    <w:name w:val="悬挂“(x)"/>
    <w:basedOn w:val="a0"/>
    <w:pPr>
      <w:ind w:left="1530" w:hanging="765"/>
    </w:pPr>
  </w:style>
  <w:style w:type="character" w:styleId="EndnoteReference">
    <w:name w:val="endnote reference"/>
    <w:semiHidden/>
    <w:rPr>
      <w:color w:val="FF0000"/>
      <w:vertAlign w:val="superscript"/>
    </w:rPr>
  </w:style>
  <w:style w:type="paragraph" w:customStyle="1" w:styleId="a9">
    <w:name w:val="黑体标题"/>
    <w:next w:val="Normal"/>
    <w:pPr>
      <w:keepNext/>
      <w:keepLines/>
      <w:widowControl w:val="0"/>
      <w:adjustRightInd w:val="0"/>
      <w:spacing w:after="320" w:line="336" w:lineRule="auto"/>
      <w:jc w:val="center"/>
      <w:textAlignment w:val="baseline"/>
    </w:pPr>
    <w:rPr>
      <w:rFonts w:eastAsia="SimHei"/>
      <w:noProof/>
      <w:spacing w:val="10"/>
      <w:kern w:val="24"/>
      <w:sz w:val="24"/>
      <w:lang w:eastAsia="zh-CN"/>
    </w:rPr>
  </w:style>
  <w:style w:type="paragraph" w:customStyle="1" w:styleId="aa">
    <w:name w:val="黑体"/>
    <w:basedOn w:val="Normal"/>
    <w:rPr>
      <w:rFonts w:eastAsia="SimHei"/>
    </w:rPr>
  </w:style>
  <w:style w:type="paragraph" w:customStyle="1" w:styleId="ab">
    <w:name w:val="楷体"/>
    <w:basedOn w:val="Normal"/>
    <w:rPr>
      <w:rFonts w:eastAsia="长城楷体"/>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WINWORD\TEMPLATE\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24</TotalTime>
  <Pages>4</Pages>
  <Words>2112</Words>
  <Characters>2340</Characters>
  <Application>Microsoft Office Word</Application>
  <DocSecurity>4</DocSecurity>
  <Lines>87</Lines>
  <Paragraphs>39</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ÈËÈ¨ÊÂÎñÎ¯Ô±»á</dc:title>
  <dc:subject/>
  <dc:creator>KONG</dc:creator>
  <cp:keywords/>
  <cp:lastModifiedBy>KONG</cp:lastModifiedBy>
  <cp:revision>6</cp:revision>
  <cp:lastPrinted>1999-11-24T10:15:00Z</cp:lastPrinted>
  <dcterms:created xsi:type="dcterms:W3CDTF">1999-11-24T09:47:00Z</dcterms:created>
  <dcterms:modified xsi:type="dcterms:W3CDTF">1999-11-24T10:35:00Z</dcterms:modified>
</cp:coreProperties>
</file>