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BFE2A32" w14:textId="77777777" w:rsidTr="00C01462">
        <w:trPr>
          <w:cantSplit/>
          <w:trHeight w:hRule="exact" w:val="851"/>
        </w:trPr>
        <w:tc>
          <w:tcPr>
            <w:tcW w:w="1276" w:type="dxa"/>
            <w:tcBorders>
              <w:bottom w:val="single" w:sz="4" w:space="0" w:color="auto"/>
            </w:tcBorders>
            <w:vAlign w:val="bottom"/>
          </w:tcPr>
          <w:p w14:paraId="5041C868" w14:textId="77777777" w:rsidR="00307688" w:rsidRPr="007233F9" w:rsidRDefault="00307688" w:rsidP="007233F9">
            <w:pPr>
              <w:pStyle w:val="SingleTxtG"/>
            </w:pPr>
          </w:p>
        </w:tc>
        <w:tc>
          <w:tcPr>
            <w:tcW w:w="2268" w:type="dxa"/>
            <w:tcBorders>
              <w:bottom w:val="single" w:sz="4" w:space="0" w:color="auto"/>
            </w:tcBorders>
            <w:vAlign w:val="bottom"/>
          </w:tcPr>
          <w:p w14:paraId="06B22BD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491D83" w14:textId="77777777" w:rsidR="00307688" w:rsidRPr="002E51B7" w:rsidRDefault="00FA3AA4" w:rsidP="00FA3AA4">
            <w:pPr>
              <w:suppressAutoHyphens w:val="0"/>
              <w:spacing w:after="20"/>
              <w:jc w:val="right"/>
            </w:pPr>
            <w:r w:rsidRPr="00FA3AA4">
              <w:rPr>
                <w:sz w:val="40"/>
              </w:rPr>
              <w:t>CERD</w:t>
            </w:r>
            <w:r>
              <w:t>/C/MCO/Q/7-9</w:t>
            </w:r>
          </w:p>
        </w:tc>
      </w:tr>
      <w:tr w:rsidR="00307688" w14:paraId="70DB2C16" w14:textId="77777777" w:rsidTr="00C01462">
        <w:trPr>
          <w:cantSplit/>
          <w:trHeight w:hRule="exact" w:val="2835"/>
        </w:trPr>
        <w:tc>
          <w:tcPr>
            <w:tcW w:w="1276" w:type="dxa"/>
            <w:tcBorders>
              <w:top w:val="single" w:sz="4" w:space="0" w:color="auto"/>
              <w:bottom w:val="single" w:sz="12" w:space="0" w:color="auto"/>
            </w:tcBorders>
          </w:tcPr>
          <w:p w14:paraId="00A58088" w14:textId="77777777" w:rsidR="00307688" w:rsidRDefault="00307688" w:rsidP="00C01462">
            <w:pPr>
              <w:spacing w:before="120"/>
              <w:jc w:val="center"/>
            </w:pPr>
            <w:r>
              <w:rPr>
                <w:noProof/>
                <w:lang w:val="fr-CH" w:eastAsia="fr-CH"/>
              </w:rPr>
              <w:drawing>
                <wp:inline distT="0" distB="0" distL="0" distR="0" wp14:anchorId="430BB683" wp14:editId="336597E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409601"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0C791D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183155E" w14:textId="77777777" w:rsidR="00FA3AA4" w:rsidRPr="0021638B" w:rsidRDefault="00FA3AA4" w:rsidP="00FA3AA4">
            <w:pPr>
              <w:spacing w:before="240"/>
            </w:pPr>
            <w:r>
              <w:t>Distr.: General</w:t>
            </w:r>
          </w:p>
          <w:p w14:paraId="3CD77AE2" w14:textId="77777777" w:rsidR="00FA3AA4" w:rsidRPr="0021638B" w:rsidRDefault="00FA3AA4" w:rsidP="00FA3AA4">
            <w:r>
              <w:t>7 October 2024</w:t>
            </w:r>
          </w:p>
          <w:p w14:paraId="319211BC" w14:textId="77777777" w:rsidR="00FA3AA4" w:rsidRDefault="00FA3AA4" w:rsidP="00FA3AA4">
            <w:r>
              <w:t>English</w:t>
            </w:r>
          </w:p>
          <w:p w14:paraId="4BBF26C6" w14:textId="77777777" w:rsidR="00FA3AA4" w:rsidRPr="0021638B" w:rsidRDefault="00FA3AA4" w:rsidP="00FA3AA4">
            <w:r w:rsidRPr="00021E27">
              <w:t>Original:</w:t>
            </w:r>
            <w:r>
              <w:t xml:space="preserve"> French</w:t>
            </w:r>
          </w:p>
          <w:p w14:paraId="18B19CDB" w14:textId="7F3F4CB9" w:rsidR="00FA3AA4" w:rsidRDefault="00FA3AA4" w:rsidP="00FA3AA4">
            <w:pPr>
              <w:suppressAutoHyphens w:val="0"/>
            </w:pPr>
            <w:r>
              <w:t>English, French and Spanish only</w:t>
            </w:r>
          </w:p>
        </w:tc>
      </w:tr>
    </w:tbl>
    <w:p w14:paraId="4972E82F" w14:textId="77777777" w:rsidR="00FA3AA4" w:rsidRPr="00DB49C6" w:rsidRDefault="00FA3AA4" w:rsidP="00FA3AA4">
      <w:pPr>
        <w:spacing w:before="120"/>
        <w:rPr>
          <w:b/>
          <w:sz w:val="24"/>
          <w:szCs w:val="24"/>
        </w:rPr>
      </w:pPr>
      <w:r w:rsidRPr="00DB49C6">
        <w:rPr>
          <w:b/>
          <w:sz w:val="24"/>
          <w:szCs w:val="24"/>
        </w:rPr>
        <w:t>Committee on the Elimination of Racial Discrimination</w:t>
      </w:r>
    </w:p>
    <w:p w14:paraId="58423A40" w14:textId="77777777" w:rsidR="00FA3AA4" w:rsidRPr="00552E8E" w:rsidRDefault="00FA3AA4" w:rsidP="00FA3AA4">
      <w:pPr>
        <w:rPr>
          <w:b/>
          <w:bCs/>
        </w:rPr>
      </w:pPr>
      <w:r w:rsidRPr="00552E8E">
        <w:rPr>
          <w:b/>
          <w:bCs/>
        </w:rPr>
        <w:t>114th session</w:t>
      </w:r>
    </w:p>
    <w:p w14:paraId="7FC187A8" w14:textId="77777777" w:rsidR="00FA3AA4" w:rsidRPr="0021638B" w:rsidRDefault="00FA3AA4" w:rsidP="00FA3AA4">
      <w:r>
        <w:t>Geneva, 25 November–13 December 2024</w:t>
      </w:r>
    </w:p>
    <w:p w14:paraId="3E7E3324" w14:textId="77777777" w:rsidR="00FA3AA4" w:rsidRPr="0021638B" w:rsidRDefault="00FA3AA4" w:rsidP="00FA3AA4">
      <w:r>
        <w:t xml:space="preserve">Item 4 </w:t>
      </w:r>
      <w:r w:rsidRPr="006D1D7E">
        <w:t>of the provisional agenda</w:t>
      </w:r>
    </w:p>
    <w:p w14:paraId="0A7CB057" w14:textId="77777777" w:rsidR="00FA3AA4" w:rsidRPr="00F17C44" w:rsidRDefault="00FA3AA4" w:rsidP="00FA3AA4">
      <w:pPr>
        <w:rPr>
          <w:b/>
          <w:bCs/>
        </w:rPr>
      </w:pPr>
      <w:r w:rsidRPr="00F17C44">
        <w:rPr>
          <w:b/>
          <w:bCs/>
        </w:rPr>
        <w:t>Consideration of reports, comments and information submitted</w:t>
      </w:r>
    </w:p>
    <w:p w14:paraId="6C85BF49" w14:textId="77777777" w:rsidR="00FA3AA4" w:rsidRPr="0021638B" w:rsidRDefault="00FA3AA4" w:rsidP="00FA3AA4">
      <w:pPr>
        <w:rPr>
          <w:b/>
        </w:rPr>
      </w:pPr>
      <w:r w:rsidRPr="00F17C44">
        <w:rPr>
          <w:b/>
          <w:bCs/>
        </w:rPr>
        <w:t>by States parties under article 9 of the Convention</w:t>
      </w:r>
    </w:p>
    <w:p w14:paraId="620850DF" w14:textId="77777777" w:rsidR="00FA3AA4" w:rsidRPr="0021638B" w:rsidRDefault="00FA3AA4" w:rsidP="00FA3AA4">
      <w:pPr>
        <w:pStyle w:val="HChG"/>
      </w:pPr>
      <w:r>
        <w:tab/>
      </w:r>
      <w:r>
        <w:tab/>
      </w:r>
      <w:r w:rsidRPr="00875FA9">
        <w:rPr>
          <w:bCs/>
        </w:rPr>
        <w:t>List of themes in relation to the</w:t>
      </w:r>
      <w:r>
        <w:rPr>
          <w:bCs/>
        </w:rPr>
        <w:t xml:space="preserve"> </w:t>
      </w:r>
      <w:r w:rsidRPr="006B78CD">
        <w:rPr>
          <w:bCs/>
        </w:rPr>
        <w:t>combined seventh to ninth periodic reports of Monaco</w:t>
      </w:r>
    </w:p>
    <w:p w14:paraId="741376DE" w14:textId="77777777" w:rsidR="00FA3AA4" w:rsidRPr="0021638B" w:rsidRDefault="00FA3AA4" w:rsidP="00FA3AA4">
      <w:pPr>
        <w:pStyle w:val="H1G"/>
      </w:pPr>
      <w:r>
        <w:tab/>
      </w:r>
      <w:r>
        <w:tab/>
      </w:r>
      <w:r w:rsidRPr="00EE6E88">
        <w:rPr>
          <w:bCs/>
        </w:rPr>
        <w:t>Note by the Country Rapporteur</w:t>
      </w:r>
    </w:p>
    <w:p w14:paraId="29C40628" w14:textId="7AACFB23" w:rsidR="00FA3AA4" w:rsidRPr="0021638B" w:rsidRDefault="00FA3AA4" w:rsidP="00FA3AA4">
      <w:pPr>
        <w:pStyle w:val="SingleTxtG"/>
      </w:pPr>
      <w:r>
        <w:t>1.</w:t>
      </w:r>
      <w:r>
        <w:tab/>
      </w:r>
      <w:r w:rsidRPr="008A2D93">
        <w:t>The Committee on the Elimination of Racial Discrimination decided at its seventy</w:t>
      </w:r>
      <w:r w:rsidR="007968DD">
        <w:noBreakHyphen/>
      </w:r>
      <w:r w:rsidRPr="008A2D93">
        <w:t>sixth session</w:t>
      </w:r>
      <w:r>
        <w:rPr>
          <w:rStyle w:val="FootnoteReference"/>
        </w:rPr>
        <w:footnoteReference w:id="1"/>
      </w:r>
      <w:r w:rsidRPr="008A2D93">
        <w:t xml:space="preserve"> that the Country Rapporteur would send to the State party concerned a short list of themes, with a view to guiding and focusing the dialogue between the State party</w:t>
      </w:r>
      <w:r>
        <w:t>’</w:t>
      </w:r>
      <w:r w:rsidRPr="008A2D93">
        <w:t>s delegation and the Committee during the consideration of the State party</w:t>
      </w:r>
      <w:r>
        <w:t>’</w:t>
      </w:r>
      <w:r w:rsidRPr="008A2D93">
        <w:t>s report. The present document contains a list of such themes. It is not an exhaustive list; other issues may also be raised in the course of the dialogue. No written replies are required</w:t>
      </w:r>
      <w:r>
        <w:t>.</w:t>
      </w:r>
      <w:r w:rsidRPr="00202B29">
        <w:rPr>
          <w:rStyle w:val="FootnoteReference"/>
        </w:rPr>
        <w:t xml:space="preserve"> </w:t>
      </w:r>
    </w:p>
    <w:p w14:paraId="602CE866" w14:textId="77777777" w:rsidR="00FA3AA4" w:rsidRPr="0075544B" w:rsidRDefault="00FA3AA4" w:rsidP="00FA3AA4">
      <w:pPr>
        <w:pStyle w:val="H23G"/>
      </w:pPr>
      <w:r>
        <w:tab/>
      </w:r>
      <w:r>
        <w:tab/>
      </w:r>
      <w:r w:rsidRPr="0075544B">
        <w:t>The Convention in domestic law and the institutional and policy framework for its implementation</w:t>
      </w:r>
      <w:r>
        <w:t xml:space="preserve"> (arts. 1, 2, 4 and 6)</w:t>
      </w:r>
    </w:p>
    <w:p w14:paraId="35DC6FEA" w14:textId="065F66FF" w:rsidR="00FA3AA4" w:rsidRPr="0021638B" w:rsidRDefault="00FA3AA4" w:rsidP="00FA3AA4">
      <w:pPr>
        <w:pStyle w:val="SingleTxtG"/>
      </w:pPr>
      <w:r>
        <w:t>2.</w:t>
      </w:r>
      <w:r>
        <w:tab/>
        <w:t>I</w:t>
      </w:r>
      <w:r w:rsidRPr="00C31EFA">
        <w:t xml:space="preserve">ndicators relating to the </w:t>
      </w:r>
      <w:r w:rsidRPr="00C00A3B">
        <w:t>socioeconomic</w:t>
      </w:r>
      <w:r w:rsidRPr="00C31EFA">
        <w:t xml:space="preserve"> situation of the population</w:t>
      </w:r>
      <w:r>
        <w:t xml:space="preserve">, including </w:t>
      </w:r>
      <w:r w:rsidRPr="00261E74">
        <w:t>non</w:t>
      </w:r>
      <w:r w:rsidR="006A2923">
        <w:noBreakHyphen/>
      </w:r>
      <w:r w:rsidRPr="00261E74">
        <w:t>citizen</w:t>
      </w:r>
      <w:r>
        <w:t>s residing or working in the State party, disaggregated by sex, gender and national and ethnic origin.</w:t>
      </w:r>
      <w:r>
        <w:rPr>
          <w:rStyle w:val="FootnoteReference"/>
        </w:rPr>
        <w:footnoteReference w:id="2"/>
      </w:r>
      <w:r>
        <w:t xml:space="preserve"> Measures taken or envisaged </w:t>
      </w:r>
      <w:r w:rsidRPr="00FB01EA">
        <w:t>to strengthen the data</w:t>
      </w:r>
      <w:r w:rsidR="00526361">
        <w:t>-</w:t>
      </w:r>
      <w:r w:rsidRPr="00FB01EA">
        <w:t xml:space="preserve">collection system, including </w:t>
      </w:r>
      <w:r>
        <w:t xml:space="preserve">through the </w:t>
      </w:r>
      <w:r w:rsidRPr="00FB01EA">
        <w:t>incorporati</w:t>
      </w:r>
      <w:r>
        <w:t xml:space="preserve">on of </w:t>
      </w:r>
      <w:r w:rsidRPr="00FB01EA">
        <w:t>variables related to ethnic and national origin</w:t>
      </w:r>
      <w:r>
        <w:t xml:space="preserve"> </w:t>
      </w:r>
      <w:r w:rsidRPr="00723131">
        <w:t>and the use of self-identification</w:t>
      </w:r>
      <w:r>
        <w:t xml:space="preserve">, with a view to obtaining </w:t>
      </w:r>
      <w:r w:rsidRPr="004E0222">
        <w:t>more detailed information on the difficulties specific to certain groups, especially as regards racial discrimination</w:t>
      </w:r>
      <w:r>
        <w:t xml:space="preserve"> and socioeconomic inequalities, and assessing </w:t>
      </w:r>
      <w:r w:rsidRPr="00D34264">
        <w:t>the enjoyment of</w:t>
      </w:r>
      <w:r>
        <w:t xml:space="preserve"> the rights provided for in the Convention.</w:t>
      </w:r>
    </w:p>
    <w:p w14:paraId="64BE3C32" w14:textId="77777777" w:rsidR="00FA3AA4" w:rsidRPr="0021638B" w:rsidRDefault="00FA3AA4" w:rsidP="00FA3AA4">
      <w:pPr>
        <w:pStyle w:val="SingleTxtG"/>
      </w:pPr>
      <w:r>
        <w:t>3.</w:t>
      </w:r>
      <w:r>
        <w:tab/>
        <w:t>In the light of articles 14 and 68 of the State party’s Constitution, i</w:t>
      </w:r>
      <w:r w:rsidRPr="00F94C53">
        <w:t>nformation on the status of the Convention in the domestic legal system</w:t>
      </w:r>
      <w:r>
        <w:t xml:space="preserve"> and the possibility for the provisions of the Convention to be directly invoked before domestic courts. </w:t>
      </w:r>
      <w:r w:rsidRPr="00936246">
        <w:t>Examples of cases in which provisions of the Convention have been invoked and directly applied by domestic courts</w:t>
      </w:r>
      <w:r>
        <w:t xml:space="preserve">. Additional information </w:t>
      </w:r>
      <w:r w:rsidRPr="00361698">
        <w:t>on measures taken to raise awareness of the Convention among judges,</w:t>
      </w:r>
      <w:r>
        <w:t xml:space="preserve"> public defenders, </w:t>
      </w:r>
      <w:r w:rsidRPr="001934D2">
        <w:t>law enforcement offic</w:t>
      </w:r>
      <w:r>
        <w:t>ial</w:t>
      </w:r>
      <w:r w:rsidRPr="001934D2">
        <w:t>s,</w:t>
      </w:r>
      <w:r>
        <w:t xml:space="preserve"> other </w:t>
      </w:r>
      <w:r w:rsidRPr="00AF040B">
        <w:t>public officials</w:t>
      </w:r>
      <w:r>
        <w:t>,</w:t>
      </w:r>
      <w:r w:rsidRPr="00CE5FA1">
        <w:t xml:space="preserve"> </w:t>
      </w:r>
      <w:r>
        <w:t xml:space="preserve">lawyers and members of the public, including non-citizens, </w:t>
      </w:r>
      <w:r w:rsidRPr="00FE23C1">
        <w:t>and the effects of the measures</w:t>
      </w:r>
      <w:r>
        <w:t>.</w:t>
      </w:r>
      <w:r>
        <w:rPr>
          <w:rStyle w:val="FootnoteReference"/>
        </w:rPr>
        <w:footnoteReference w:id="3"/>
      </w:r>
    </w:p>
    <w:p w14:paraId="71184259" w14:textId="77777777" w:rsidR="00FA3AA4" w:rsidRPr="0021638B" w:rsidRDefault="00FA3AA4" w:rsidP="00FA3AA4">
      <w:pPr>
        <w:pStyle w:val="SingleTxtG"/>
      </w:pPr>
      <w:r>
        <w:t>4.</w:t>
      </w:r>
      <w:r>
        <w:tab/>
        <w:t>Efforts made to prohibit racial discrimination in the State party’s domestic legal system. M</w:t>
      </w:r>
      <w:r w:rsidRPr="0083719A">
        <w:t>easures taken or envisaged</w:t>
      </w:r>
      <w:r>
        <w:t xml:space="preserve"> </w:t>
      </w:r>
      <w:r w:rsidRPr="00603FF7">
        <w:t>to adopt comprehensive anti-discrimination legislation containing a clear definition of racial discrimination, including direct</w:t>
      </w:r>
      <w:r>
        <w:t xml:space="preserve">, indirect, </w:t>
      </w:r>
      <w:r w:rsidRPr="00006C18">
        <w:t xml:space="preserve">multiple and </w:t>
      </w:r>
      <w:r w:rsidRPr="00006C18">
        <w:lastRenderedPageBreak/>
        <w:t>intersecting</w:t>
      </w:r>
      <w:r>
        <w:t xml:space="preserve"> </w:t>
      </w:r>
      <w:r w:rsidRPr="00DF3562">
        <w:t xml:space="preserve">forms of </w:t>
      </w:r>
      <w:r>
        <w:t>such</w:t>
      </w:r>
      <w:r w:rsidRPr="00DF3562">
        <w:t xml:space="preserve"> discrimination, covering all fields of law and public life</w:t>
      </w:r>
      <w:r>
        <w:t xml:space="preserve"> and all grounds of discrimination referred to in article 1 (1) of the Convention.</w:t>
      </w:r>
      <w:r>
        <w:rPr>
          <w:rStyle w:val="FootnoteReference"/>
        </w:rPr>
        <w:footnoteReference w:id="4"/>
      </w:r>
    </w:p>
    <w:p w14:paraId="4AB637A8" w14:textId="77777777" w:rsidR="00FA3AA4" w:rsidRPr="0021638B" w:rsidRDefault="00FA3AA4" w:rsidP="00FA3AA4">
      <w:pPr>
        <w:pStyle w:val="SingleTxtG"/>
      </w:pPr>
      <w:r>
        <w:t>5.</w:t>
      </w:r>
      <w:r>
        <w:tab/>
      </w:r>
      <w:r w:rsidRPr="0024757F">
        <w:t xml:space="preserve">Information on measures taken or envisaged </w:t>
      </w:r>
      <w:r>
        <w:t xml:space="preserve">with a view </w:t>
      </w:r>
      <w:r w:rsidRPr="0024757F">
        <w:t>to adopt</w:t>
      </w:r>
      <w:r>
        <w:t>ing</w:t>
      </w:r>
      <w:r w:rsidRPr="0024757F">
        <w:t xml:space="preserve"> a national action plan to combat racism, racial discrimination, xenophobia and related intolerance.</w:t>
      </w:r>
      <w:r>
        <w:rPr>
          <w:rStyle w:val="FootnoteReference"/>
        </w:rPr>
        <w:footnoteReference w:id="5"/>
      </w:r>
      <w:r>
        <w:t xml:space="preserve"> </w:t>
      </w:r>
      <w:r w:rsidRPr="00370A7F">
        <w:t xml:space="preserve">Information on the measures adopted and the programme of activities organized in the </w:t>
      </w:r>
      <w:r>
        <w:t>State party</w:t>
      </w:r>
      <w:r w:rsidRPr="00370A7F">
        <w:t xml:space="preserve"> to mark the </w:t>
      </w:r>
      <w:r w:rsidRPr="0080441E">
        <w:t>International Decade for People of African Descent</w:t>
      </w:r>
      <w:r w:rsidRPr="00370A7F">
        <w:t>.</w:t>
      </w:r>
    </w:p>
    <w:p w14:paraId="4B821474" w14:textId="77777777" w:rsidR="00FA3AA4" w:rsidRPr="0021638B" w:rsidRDefault="00FA3AA4" w:rsidP="00FA3AA4">
      <w:pPr>
        <w:pStyle w:val="SingleTxtG"/>
      </w:pPr>
      <w:r>
        <w:t>6.</w:t>
      </w:r>
      <w:r>
        <w:tab/>
        <w:t xml:space="preserve">Steps taken recently or envisaged to put in place a </w:t>
      </w:r>
      <w:r w:rsidRPr="00721E00">
        <w:t xml:space="preserve">national human rights institution </w:t>
      </w:r>
      <w:r>
        <w:t xml:space="preserve">compliant with the </w:t>
      </w:r>
      <w:r w:rsidRPr="000B6BC7">
        <w:t>principles relating to the status of national institutions for the promotion and protection of human rights (the Paris Principles)</w:t>
      </w:r>
      <w:r>
        <w:t xml:space="preserve">. Measures taken or envisaged to bolster the </w:t>
      </w:r>
      <w:r w:rsidRPr="002631E9">
        <w:t>mandate and work</w:t>
      </w:r>
      <w:r>
        <w:t xml:space="preserve"> of the </w:t>
      </w:r>
      <w:r w:rsidRPr="0006006E">
        <w:t>Office of the High Commissioner for the Protection of Rights and Freedoms and for Mediation</w:t>
      </w:r>
      <w:r>
        <w:t xml:space="preserve"> as they relate to </w:t>
      </w:r>
      <w:r w:rsidRPr="00467586">
        <w:t>preventing and combating racial discrimination</w:t>
      </w:r>
      <w:r>
        <w:t>.</w:t>
      </w:r>
      <w:r>
        <w:rPr>
          <w:rStyle w:val="FootnoteReference"/>
        </w:rPr>
        <w:footnoteReference w:id="6"/>
      </w:r>
      <w:r>
        <w:t xml:space="preserve"> Information on </w:t>
      </w:r>
      <w:r w:rsidRPr="0062193B">
        <w:t>complaints of racial discrimination</w:t>
      </w:r>
      <w:r>
        <w:t xml:space="preserve">, including that based on national origin, received by the </w:t>
      </w:r>
      <w:r w:rsidRPr="008B1787">
        <w:t>Office of the High Commissioner</w:t>
      </w:r>
      <w:r>
        <w:t xml:space="preserve"> and their outcomes.</w:t>
      </w:r>
    </w:p>
    <w:p w14:paraId="5857799C" w14:textId="77777777" w:rsidR="00FA3AA4" w:rsidRPr="00464B0E" w:rsidRDefault="00FA3AA4" w:rsidP="00FA3AA4">
      <w:pPr>
        <w:pStyle w:val="SingleTxtG"/>
      </w:pPr>
      <w:r>
        <w:t>7.</w:t>
      </w:r>
      <w:r>
        <w:tab/>
        <w:t xml:space="preserve">Additional information on the measures taken or envisaged to ensure that the </w:t>
      </w:r>
      <w:r w:rsidRPr="00260E2F">
        <w:t>Criminal Code</w:t>
      </w:r>
      <w:r>
        <w:t xml:space="preserve"> and other relevant laws are fully in line with article 4 of the Convention, including the provisions under which </w:t>
      </w:r>
      <w:r w:rsidRPr="002F09E0">
        <w:t>organizations</w:t>
      </w:r>
      <w:r>
        <w:t xml:space="preserve"> that </w:t>
      </w:r>
      <w:r w:rsidRPr="00590395">
        <w:t>promote and incite racial discrimination</w:t>
      </w:r>
      <w:r>
        <w:t xml:space="preserve"> are to be declared illegal and prohibited and the promotion of or incitement to racial discrimination by </w:t>
      </w:r>
      <w:r w:rsidRPr="00F835CB">
        <w:t xml:space="preserve">public authorities or institutions </w:t>
      </w:r>
      <w:r>
        <w:t xml:space="preserve">is to be made an offence, and that they </w:t>
      </w:r>
      <w:r w:rsidRPr="00E60F2E">
        <w:t xml:space="preserve">cover all the grounds of discrimination </w:t>
      </w:r>
      <w:r>
        <w:t xml:space="preserve">referred to </w:t>
      </w:r>
      <w:r w:rsidRPr="00E60F2E">
        <w:t>in article 1 of the Convention</w:t>
      </w:r>
      <w:r>
        <w:t xml:space="preserve">, including </w:t>
      </w:r>
      <w:r w:rsidRPr="00BB178B">
        <w:t>colour and descent</w:t>
      </w:r>
      <w:r>
        <w:t>.</w:t>
      </w:r>
      <w:r>
        <w:rPr>
          <w:rStyle w:val="FootnoteReference"/>
        </w:rPr>
        <w:footnoteReference w:id="7"/>
      </w:r>
    </w:p>
    <w:p w14:paraId="2EE13CD9" w14:textId="77777777" w:rsidR="00FA3AA4" w:rsidRPr="0021638B" w:rsidRDefault="00FA3AA4" w:rsidP="00FA3AA4">
      <w:pPr>
        <w:pStyle w:val="SingleTxtG"/>
      </w:pPr>
      <w:r>
        <w:t>8.</w:t>
      </w:r>
      <w:r>
        <w:tab/>
        <w:t xml:space="preserve">Additional information on </w:t>
      </w:r>
      <w:r w:rsidRPr="006D7446">
        <w:t>specific measures taken to prevent and combat</w:t>
      </w:r>
      <w:r>
        <w:t xml:space="preserve"> </w:t>
      </w:r>
      <w:r w:rsidRPr="00B03B30">
        <w:t>racist hate speech and hate crimes</w:t>
      </w:r>
      <w:r>
        <w:t xml:space="preserve"> and </w:t>
      </w:r>
      <w:r w:rsidRPr="00EF099F">
        <w:t>incitement to racial hatred and xenophobia</w:t>
      </w:r>
      <w:r>
        <w:t xml:space="preserve">, including </w:t>
      </w:r>
      <w:r w:rsidRPr="00CC543A">
        <w:t xml:space="preserve">in the media and </w:t>
      </w:r>
      <w:r>
        <w:t>on the Internet.</w:t>
      </w:r>
      <w:r>
        <w:rPr>
          <w:rStyle w:val="FootnoteReference"/>
        </w:rPr>
        <w:footnoteReference w:id="8"/>
      </w:r>
      <w:r>
        <w:t xml:space="preserve"> Updated information on the handling of cases relating to </w:t>
      </w:r>
      <w:r w:rsidRPr="001B5BEF">
        <w:t xml:space="preserve">racist hate speech and hate crimes </w:t>
      </w:r>
      <w:r>
        <w:t xml:space="preserve">and acts of incitement to racial hatred, including in the media and on the Internet, by </w:t>
      </w:r>
      <w:r w:rsidRPr="009E3506">
        <w:t>the State party’s civil, administrative and criminal courts</w:t>
      </w:r>
      <w:r>
        <w:t xml:space="preserve">, including on the </w:t>
      </w:r>
      <w:r w:rsidRPr="00D71002">
        <w:t>complaints filed, investigations and prosecutions undertaken</w:t>
      </w:r>
      <w:r>
        <w:t xml:space="preserve">, </w:t>
      </w:r>
      <w:r w:rsidRPr="00AB1402">
        <w:t>convictions secured</w:t>
      </w:r>
      <w:r>
        <w:t xml:space="preserve">, penalties imposed and </w:t>
      </w:r>
      <w:r w:rsidRPr="009E47E4">
        <w:t>reparation granted to victims</w:t>
      </w:r>
      <w:r>
        <w:t>.</w:t>
      </w:r>
      <w:r>
        <w:rPr>
          <w:rStyle w:val="FootnoteReference"/>
        </w:rPr>
        <w:footnoteReference w:id="9"/>
      </w:r>
      <w:r>
        <w:t xml:space="preserve"> Steps taken to put in place, as a preventive measure, </w:t>
      </w:r>
      <w:r w:rsidRPr="00392077">
        <w:t>a data-collection and storage system</w:t>
      </w:r>
      <w:r>
        <w:t xml:space="preserve"> to enable </w:t>
      </w:r>
      <w:r w:rsidRPr="002A6C99">
        <w:t xml:space="preserve">the reporting and </w:t>
      </w:r>
      <w:r>
        <w:t>monitoring</w:t>
      </w:r>
      <w:r w:rsidRPr="002A6C99">
        <w:t xml:space="preserve"> of </w:t>
      </w:r>
      <w:r w:rsidRPr="00370922">
        <w:t>racist hate speech and hate crimes</w:t>
      </w:r>
      <w:r>
        <w:t>.</w:t>
      </w:r>
      <w:r>
        <w:rPr>
          <w:rStyle w:val="FootnoteReference"/>
        </w:rPr>
        <w:footnoteReference w:id="10"/>
      </w:r>
    </w:p>
    <w:p w14:paraId="11E82F3F" w14:textId="77777777" w:rsidR="00FA3AA4" w:rsidRPr="0021638B" w:rsidRDefault="00FA3AA4" w:rsidP="00FA3AA4">
      <w:pPr>
        <w:pStyle w:val="SingleTxtG"/>
        <w:kinsoku w:val="0"/>
        <w:overflowPunct w:val="0"/>
        <w:autoSpaceDE w:val="0"/>
        <w:autoSpaceDN w:val="0"/>
        <w:adjustRightInd w:val="0"/>
        <w:snapToGrid w:val="0"/>
      </w:pPr>
      <w:r>
        <w:t>9.</w:t>
      </w:r>
      <w:r>
        <w:tab/>
      </w:r>
      <w:r w:rsidRPr="0046253C">
        <w:t xml:space="preserve">Measures taken </w:t>
      </w:r>
      <w:r>
        <w:t>or</w:t>
      </w:r>
      <w:r w:rsidRPr="0046253C">
        <w:t xml:space="preserve"> envisaged, particularly at the legislative level, to prevent and explicitly prohibit racial profiling by law enforcement offic</w:t>
      </w:r>
      <w:r>
        <w:t>er</w:t>
      </w:r>
      <w:r w:rsidRPr="0046253C">
        <w:t>s</w:t>
      </w:r>
      <w:r>
        <w:t xml:space="preserve">. </w:t>
      </w:r>
      <w:r w:rsidRPr="00AB1F48">
        <w:t>Specific disciplinary and criminal measures to</w:t>
      </w:r>
      <w:r>
        <w:t xml:space="preserve"> ensure that cases of racial profiling are investigated and punished in practice.</w:t>
      </w:r>
    </w:p>
    <w:p w14:paraId="13693245" w14:textId="77777777" w:rsidR="00FA3AA4" w:rsidRPr="0021638B" w:rsidRDefault="00FA3AA4" w:rsidP="00FA3AA4">
      <w:pPr>
        <w:pStyle w:val="H23G"/>
      </w:pPr>
      <w:r>
        <w:tab/>
      </w:r>
      <w:r>
        <w:tab/>
      </w:r>
      <w:r w:rsidRPr="00805C25">
        <w:rPr>
          <w:bCs/>
        </w:rPr>
        <w:t>Situation of non-citizens, including migrants, refugees and asylum-seekers</w:t>
      </w:r>
      <w:r>
        <w:rPr>
          <w:bCs/>
        </w:rPr>
        <w:t xml:space="preserve"> (art. 5)</w:t>
      </w:r>
    </w:p>
    <w:p w14:paraId="45BA4540" w14:textId="77777777" w:rsidR="00FA3AA4" w:rsidRPr="0021638B" w:rsidRDefault="00FA3AA4" w:rsidP="00FA3AA4">
      <w:pPr>
        <w:pStyle w:val="SingleTxtG"/>
      </w:pPr>
      <w:r>
        <w:t>10.</w:t>
      </w:r>
      <w:r>
        <w:tab/>
        <w:t xml:space="preserve">Additional information on the implementation of articles 17 and 32 of the Constitution, including on case law of the </w:t>
      </w:r>
      <w:r w:rsidRPr="00E42B65">
        <w:t>Supreme Court</w:t>
      </w:r>
      <w:r>
        <w:t xml:space="preserve"> and other judicial bodies aimed at ensuring equality before the law for all persons under the State’s jurisdiction</w:t>
      </w:r>
      <w:r w:rsidRPr="00FA59A0">
        <w:t xml:space="preserve">, without discrimination </w:t>
      </w:r>
      <w:r>
        <w:t xml:space="preserve">on the basis </w:t>
      </w:r>
      <w:r w:rsidRPr="00FA59A0">
        <w:t>o</w:t>
      </w:r>
      <w:r>
        <w:t>f</w:t>
      </w:r>
      <w:r w:rsidRPr="00FA59A0">
        <w:t xml:space="preserve"> race, colour, descent or national or ethnic origin</w:t>
      </w:r>
      <w:r>
        <w:t>.</w:t>
      </w:r>
      <w:r>
        <w:rPr>
          <w:rStyle w:val="FootnoteReference"/>
        </w:rPr>
        <w:footnoteReference w:id="11"/>
      </w:r>
      <w:r>
        <w:t xml:space="preserve"> Information on any assessments of the impact of laws and policies granting priority or preference based on nationality to either citizens of </w:t>
      </w:r>
      <w:r w:rsidRPr="006A0F33">
        <w:t>Monaco</w:t>
      </w:r>
      <w:r>
        <w:t xml:space="preserve"> or non-citizens in employment, social assistance or housing.</w:t>
      </w:r>
      <w:r>
        <w:rPr>
          <w:rStyle w:val="FootnoteReference"/>
        </w:rPr>
        <w:footnoteReference w:id="12"/>
      </w:r>
    </w:p>
    <w:p w14:paraId="15FF8D55" w14:textId="77777777" w:rsidR="00FA3AA4" w:rsidRPr="0021638B" w:rsidRDefault="00FA3AA4" w:rsidP="00FA3AA4">
      <w:pPr>
        <w:pStyle w:val="SingleTxtG"/>
      </w:pPr>
      <w:r>
        <w:t>11.</w:t>
      </w:r>
      <w:r>
        <w:tab/>
        <w:t xml:space="preserve">Information on measures taken to facilitate the integration of migrants, refugees and asylum-seekers into society, including the relevant plans, programmes or strategies and the steps taken to assess their impact, including on the effective enjoyment of </w:t>
      </w:r>
      <w:r w:rsidRPr="00DA654A">
        <w:t>economic, social and cultural rights</w:t>
      </w:r>
      <w:r>
        <w:t xml:space="preserve">. Information on the legal framework governing </w:t>
      </w:r>
      <w:r w:rsidRPr="006D2D81">
        <w:t>family reunification</w:t>
      </w:r>
      <w:r>
        <w:t xml:space="preserve"> for non-citizens.</w:t>
      </w:r>
    </w:p>
    <w:p w14:paraId="07DDAAA2" w14:textId="77777777" w:rsidR="00FA3AA4" w:rsidRPr="0021638B" w:rsidRDefault="00FA3AA4" w:rsidP="00FA3AA4">
      <w:pPr>
        <w:pStyle w:val="SingleTxtG"/>
      </w:pPr>
      <w:r>
        <w:t>12.</w:t>
      </w:r>
      <w:r>
        <w:tab/>
        <w:t xml:space="preserve">Additional information on measures taken or envisaged to make social assistance, </w:t>
      </w:r>
      <w:r w:rsidRPr="00D2104E">
        <w:t>housing benefits</w:t>
      </w:r>
      <w:r>
        <w:t xml:space="preserve"> and healthcare services available to non-citizens who have been residing in the country for less than five years and have a low income level.</w:t>
      </w:r>
      <w:r>
        <w:rPr>
          <w:rStyle w:val="FootnoteReference"/>
        </w:rPr>
        <w:footnoteReference w:id="13"/>
      </w:r>
      <w:r>
        <w:t xml:space="preserve"> Further information on measures taken to guarantee, in law and in practice, that non-national children have access to free schooling.</w:t>
      </w:r>
      <w:r>
        <w:rPr>
          <w:rStyle w:val="FootnoteReference"/>
        </w:rPr>
        <w:footnoteReference w:id="14"/>
      </w:r>
    </w:p>
    <w:p w14:paraId="5DE7B788" w14:textId="1CEF8A6A" w:rsidR="00FA3AA4" w:rsidRPr="0021638B" w:rsidRDefault="00FA3AA4" w:rsidP="00FA3AA4">
      <w:pPr>
        <w:pStyle w:val="SingleTxtG"/>
      </w:pPr>
      <w:r>
        <w:t>13.</w:t>
      </w:r>
      <w:r>
        <w:tab/>
        <w:t xml:space="preserve">Additional information on the measures taken to ensure that </w:t>
      </w:r>
      <w:r w:rsidRPr="0039542E">
        <w:t xml:space="preserve">the application of </w:t>
      </w:r>
      <w:r w:rsidRPr="00F33D69">
        <w:t>the system giving priority in employment to Monegasque nationals</w:t>
      </w:r>
      <w:r>
        <w:t xml:space="preserve"> </w:t>
      </w:r>
      <w:r w:rsidRPr="0039542E">
        <w:t>d</w:t>
      </w:r>
      <w:r>
        <w:t>oes</w:t>
      </w:r>
      <w:r w:rsidRPr="0039542E">
        <w:t xml:space="preserve"> not lead to cases of discrimination against non-citizens</w:t>
      </w:r>
      <w:r>
        <w:t xml:space="preserve"> and to prohibit dismissals without </w:t>
      </w:r>
      <w:r w:rsidRPr="00820659">
        <w:t>pre-exist</w:t>
      </w:r>
      <w:r>
        <w:t>ing valid grounds.</w:t>
      </w:r>
      <w:r>
        <w:rPr>
          <w:rStyle w:val="FootnoteReference"/>
        </w:rPr>
        <w:footnoteReference w:id="15"/>
      </w:r>
      <w:r>
        <w:t xml:space="preserve"> Information on measures taken, </w:t>
      </w:r>
      <w:r w:rsidRPr="009857E5">
        <w:t>in law and in practice</w:t>
      </w:r>
      <w:r>
        <w:t xml:space="preserve">, to </w:t>
      </w:r>
      <w:r w:rsidRPr="00B5217D">
        <w:t xml:space="preserve">strengthen the protection of migrant workers </w:t>
      </w:r>
      <w:r>
        <w:t>and increase the capacity and resources of the l</w:t>
      </w:r>
      <w:r w:rsidRPr="00FE28DB">
        <w:t xml:space="preserve">abour </w:t>
      </w:r>
      <w:r>
        <w:t>i</w:t>
      </w:r>
      <w:r w:rsidRPr="00FE28DB">
        <w:t>nspectorate</w:t>
      </w:r>
      <w:r>
        <w:t xml:space="preserve">, including with respect to the working conditions of </w:t>
      </w:r>
      <w:r w:rsidRPr="00540C0B">
        <w:t>migrant domestic workers</w:t>
      </w:r>
      <w:r>
        <w:t xml:space="preserve"> and </w:t>
      </w:r>
      <w:r w:rsidRPr="00DB7691">
        <w:t>non</w:t>
      </w:r>
      <w:r w:rsidR="00A51F1E">
        <w:noBreakHyphen/>
      </w:r>
      <w:r w:rsidRPr="00DB7691">
        <w:t>documented migrant worker</w:t>
      </w:r>
      <w:r>
        <w:t>s.</w:t>
      </w:r>
      <w:r>
        <w:rPr>
          <w:rStyle w:val="FootnoteReference"/>
        </w:rPr>
        <w:footnoteReference w:id="16"/>
      </w:r>
      <w:r>
        <w:t xml:space="preserve"> Measures taken to inform </w:t>
      </w:r>
      <w:r w:rsidRPr="00401F36">
        <w:t>migrant worker</w:t>
      </w:r>
      <w:r>
        <w:t xml:space="preserve">s </w:t>
      </w:r>
      <w:r w:rsidRPr="00216B55">
        <w:t xml:space="preserve">about their rights and, in particular, about complaint mechanisms and </w:t>
      </w:r>
      <w:r>
        <w:t xml:space="preserve">to </w:t>
      </w:r>
      <w:r w:rsidRPr="00216B55">
        <w:t xml:space="preserve">facilitate </w:t>
      </w:r>
      <w:r>
        <w:t xml:space="preserve">their </w:t>
      </w:r>
      <w:r w:rsidRPr="00216B55">
        <w:t>access to those mechanisms</w:t>
      </w:r>
      <w:r>
        <w:t>.</w:t>
      </w:r>
      <w:r>
        <w:rPr>
          <w:rStyle w:val="FootnoteReference"/>
        </w:rPr>
        <w:footnoteReference w:id="17"/>
      </w:r>
    </w:p>
    <w:p w14:paraId="1D78BC77" w14:textId="241C5E25" w:rsidR="00FA3AA4" w:rsidRPr="0021638B" w:rsidRDefault="00FA3AA4" w:rsidP="00FA3AA4">
      <w:pPr>
        <w:pStyle w:val="SingleTxtG"/>
      </w:pPr>
      <w:r>
        <w:t>14.</w:t>
      </w:r>
      <w:r>
        <w:tab/>
        <w:t xml:space="preserve">Measures taken to harmonize </w:t>
      </w:r>
      <w:r w:rsidRPr="00A3194D">
        <w:t>national legislation</w:t>
      </w:r>
      <w:r>
        <w:t xml:space="preserve">, including </w:t>
      </w:r>
      <w:r w:rsidRPr="00D82EF8">
        <w:t>Sovereign Order No.</w:t>
      </w:r>
      <w:r w:rsidR="008F3D5F">
        <w:t> </w:t>
      </w:r>
      <w:r>
        <w:t xml:space="preserve">3.153 of 19 March 1964 on the conditions for </w:t>
      </w:r>
      <w:r w:rsidRPr="008F692C">
        <w:t>the entry and stay of foreign nationals</w:t>
      </w:r>
      <w:r>
        <w:t xml:space="preserve"> in the </w:t>
      </w:r>
      <w:r w:rsidRPr="00B20461">
        <w:t>Principality</w:t>
      </w:r>
      <w:r>
        <w:t xml:space="preserve"> and, in particular, provisions making </w:t>
      </w:r>
      <w:r w:rsidRPr="00525906">
        <w:t>irregular migration</w:t>
      </w:r>
      <w:r>
        <w:t xml:space="preserve"> a criminal offence</w:t>
      </w:r>
      <w:r w:rsidRPr="00525906">
        <w:t>,</w:t>
      </w:r>
      <w:r>
        <w:t xml:space="preserve"> with the relevant international obligations. Information on measures taken or envisaged to effectively protect migrant women who are victims of violence and whose status as a resident depends on that of the violent partner.</w:t>
      </w:r>
    </w:p>
    <w:p w14:paraId="3BE2F5D3" w14:textId="77777777" w:rsidR="00FA3AA4" w:rsidRPr="0021638B" w:rsidRDefault="00FA3AA4" w:rsidP="00FA3AA4">
      <w:pPr>
        <w:pStyle w:val="SingleTxtG"/>
      </w:pPr>
      <w:r>
        <w:t>15.</w:t>
      </w:r>
      <w:r>
        <w:tab/>
        <w:t xml:space="preserve">Information on the legal framework governing the </w:t>
      </w:r>
      <w:r w:rsidRPr="007F1D1E">
        <w:t>right of peaceful assembly</w:t>
      </w:r>
      <w:r>
        <w:t>, including the enjoyment of the right by non-citizens, in the light of article 29 of the State party’s Constitution. Information on measures taken to amend the legislation on trade unions, particularly the provisions requiring a majority of the members of the bodies of trade unions and federations of trade unions to be citizens of Monaco or France.</w:t>
      </w:r>
    </w:p>
    <w:p w14:paraId="0CFD7C44" w14:textId="77777777" w:rsidR="00FA3AA4" w:rsidRPr="0021638B" w:rsidRDefault="00FA3AA4" w:rsidP="00FA3AA4">
      <w:pPr>
        <w:pStyle w:val="SingleTxtG"/>
      </w:pPr>
      <w:r>
        <w:t>16.</w:t>
      </w:r>
      <w:r>
        <w:tab/>
        <w:t xml:space="preserve">Information on the legal framework governing the acquisition of </w:t>
      </w:r>
      <w:r w:rsidRPr="00A3541B">
        <w:t>Monegasque</w:t>
      </w:r>
      <w:r>
        <w:t xml:space="preserve"> nationality and the measures taken or envisaged to facilitate acquisition of </w:t>
      </w:r>
      <w:r w:rsidRPr="00FF142A">
        <w:t xml:space="preserve">Monegasque </w:t>
      </w:r>
      <w:r>
        <w:t xml:space="preserve">nationality by </w:t>
      </w:r>
      <w:r w:rsidRPr="00C76377">
        <w:t>foreign national</w:t>
      </w:r>
      <w:r>
        <w:t xml:space="preserve">s living and working in Monaco. Updated information on measures taken or envisaged </w:t>
      </w:r>
      <w:r w:rsidRPr="002427C7">
        <w:t>to ensure that persons who have become Monegasque can transmit their Monegasque nationality after divorce, regardless of how they acquired it</w:t>
      </w:r>
      <w:r>
        <w:t>.</w:t>
      </w:r>
      <w:r>
        <w:rPr>
          <w:rStyle w:val="FootnoteReference"/>
        </w:rPr>
        <w:footnoteReference w:id="18"/>
      </w:r>
    </w:p>
    <w:p w14:paraId="739503A8" w14:textId="77777777" w:rsidR="00FA3AA4" w:rsidRPr="0021638B" w:rsidRDefault="00FA3AA4" w:rsidP="00FA3AA4">
      <w:pPr>
        <w:pStyle w:val="SingleTxtG"/>
      </w:pPr>
      <w:r>
        <w:t>17.</w:t>
      </w:r>
      <w:r>
        <w:tab/>
        <w:t xml:space="preserve">Updated information on measures taken to prevent and combat </w:t>
      </w:r>
      <w:r w:rsidRPr="009D21BE">
        <w:t>trafficking in persons</w:t>
      </w:r>
      <w:r>
        <w:t xml:space="preserve">, including for the purposes of </w:t>
      </w:r>
      <w:r w:rsidRPr="000903E9">
        <w:t>labour exploitation</w:t>
      </w:r>
      <w:r>
        <w:t xml:space="preserve"> and including of non-citizens, in particular on efforts that are directed towards the adoption of </w:t>
      </w:r>
      <w:r w:rsidRPr="0088381E">
        <w:t xml:space="preserve">a plan of action on the issue </w:t>
      </w:r>
      <w:r>
        <w:t xml:space="preserve">or that seek to improve the identification of victims and </w:t>
      </w:r>
      <w:r w:rsidRPr="00AF26D9">
        <w:t>provide them with appropriate protection and assistance</w:t>
      </w:r>
      <w:r>
        <w:t>, regardless of the status of their stay.</w:t>
      </w:r>
      <w:r>
        <w:rPr>
          <w:rStyle w:val="FootnoteReference"/>
        </w:rPr>
        <w:footnoteReference w:id="19"/>
      </w:r>
      <w:r>
        <w:t xml:space="preserve"> </w:t>
      </w:r>
      <w:r w:rsidRPr="00FC1BB3">
        <w:t>Measures to ensure that victims of trafficking are not</w:t>
      </w:r>
      <w:r>
        <w:t xml:space="preserve"> punished for acts that they have committed as a direct result of being a </w:t>
      </w:r>
      <w:r w:rsidRPr="002C3615">
        <w:t>victim of trafficking</w:t>
      </w:r>
      <w:r>
        <w:t xml:space="preserve">. </w:t>
      </w:r>
      <w:r w:rsidRPr="007C130D">
        <w:t>Information on complaints, investigations, prosecutions, convictions</w:t>
      </w:r>
      <w:r>
        <w:t>, penalties</w:t>
      </w:r>
      <w:r w:rsidRPr="007C130D">
        <w:t xml:space="preserve"> and reparation and rehabilitation measures for victims</w:t>
      </w:r>
      <w:r>
        <w:t xml:space="preserve"> of trafficking.</w:t>
      </w:r>
      <w:r>
        <w:rPr>
          <w:rStyle w:val="FootnoteReference"/>
        </w:rPr>
        <w:footnoteReference w:id="20"/>
      </w:r>
    </w:p>
    <w:p w14:paraId="36BA44C2" w14:textId="2ADB0CBB" w:rsidR="00FA3AA4" w:rsidRPr="0021638B" w:rsidRDefault="00FA3AA4" w:rsidP="00FA3AA4">
      <w:pPr>
        <w:pStyle w:val="SingleTxtG"/>
      </w:pPr>
      <w:r>
        <w:t>18.</w:t>
      </w:r>
      <w:r>
        <w:tab/>
        <w:t xml:space="preserve">Measures taken to </w:t>
      </w:r>
      <w:r w:rsidRPr="00ED2921">
        <w:t>adopt a legislative framework for the protection of refugees and asylum-seekers that complies with international standards, incorporates the principles of non</w:t>
      </w:r>
      <w:r w:rsidR="008A7FD0">
        <w:noBreakHyphen/>
      </w:r>
      <w:r w:rsidRPr="00ED2921">
        <w:t>refoulement and non-discrimination and provides for a refugee status determination procedure</w:t>
      </w:r>
      <w:r>
        <w:t>.</w:t>
      </w:r>
      <w:r>
        <w:rPr>
          <w:rStyle w:val="FootnoteReference"/>
        </w:rPr>
        <w:footnoteReference w:id="21"/>
      </w:r>
    </w:p>
    <w:p w14:paraId="22ECA2B7" w14:textId="77777777" w:rsidR="00FA3AA4" w:rsidRPr="0021638B" w:rsidRDefault="00FA3AA4" w:rsidP="00FA3AA4">
      <w:pPr>
        <w:pStyle w:val="H23G"/>
      </w:pPr>
      <w:r>
        <w:tab/>
      </w:r>
      <w:r>
        <w:tab/>
      </w:r>
      <w:r w:rsidRPr="00A07190">
        <w:rPr>
          <w:bCs/>
        </w:rPr>
        <w:t>Access to justice (arts. 5 and 6)</w:t>
      </w:r>
    </w:p>
    <w:p w14:paraId="6B2B10F5" w14:textId="77777777" w:rsidR="00FA3AA4" w:rsidRPr="0021638B" w:rsidRDefault="00FA3AA4" w:rsidP="00FA3AA4">
      <w:pPr>
        <w:pStyle w:val="SingleTxtG"/>
      </w:pPr>
      <w:r>
        <w:t>19.</w:t>
      </w:r>
      <w:r>
        <w:tab/>
        <w:t>Additional information on the administrative and judicial remedies available for reporting or filing complaints regarding cases involving racial discrimination and related offences, and on m</w:t>
      </w:r>
      <w:r w:rsidRPr="00015E0B">
        <w:t>easures to raise awareness among the population of the State party and non-citizens</w:t>
      </w:r>
      <w:r>
        <w:t xml:space="preserve"> of their rights under the Convention and the remedies available to them.</w:t>
      </w:r>
      <w:r>
        <w:rPr>
          <w:rStyle w:val="FootnoteReference"/>
        </w:rPr>
        <w:footnoteReference w:id="22"/>
      </w:r>
      <w:r>
        <w:t xml:space="preserve"> Information on measures to guarantee access to justice in cases of racial discrimination, in particular measures taken to make it easier to file complaints and gain access to </w:t>
      </w:r>
      <w:r w:rsidRPr="00B604EE">
        <w:t>legal aid</w:t>
      </w:r>
      <w:r>
        <w:t xml:space="preserve">, including for non-citizens, and </w:t>
      </w:r>
      <w:r w:rsidRPr="0086185F">
        <w:t>to reverse the burden of proof in favour of the victims</w:t>
      </w:r>
      <w:r>
        <w:t>.</w:t>
      </w:r>
      <w:r>
        <w:rPr>
          <w:rStyle w:val="FootnoteReference"/>
        </w:rPr>
        <w:footnoteReference w:id="23"/>
      </w:r>
    </w:p>
    <w:p w14:paraId="6E3675F8" w14:textId="77777777" w:rsidR="00FA3AA4" w:rsidRPr="0021638B" w:rsidRDefault="00FA3AA4" w:rsidP="00FA3AA4">
      <w:pPr>
        <w:pStyle w:val="SingleTxtG"/>
      </w:pPr>
      <w:r>
        <w:t>20.</w:t>
      </w:r>
      <w:r>
        <w:tab/>
        <w:t xml:space="preserve">Updated information regarding cases involving racial discrimination and related offences brought before the courts or other national institutions, including the </w:t>
      </w:r>
      <w:r w:rsidRPr="00492584">
        <w:t>Office of the High Commissioner for the Protection of Rights and Freedoms and for Mediation</w:t>
      </w:r>
      <w:r>
        <w:t>, and regarding the results of the investigations conducted, the penalties imposed and the reparation granted to the victims.</w:t>
      </w:r>
      <w:r>
        <w:rPr>
          <w:rStyle w:val="FootnoteReference"/>
        </w:rPr>
        <w:footnoteReference w:id="24"/>
      </w:r>
    </w:p>
    <w:p w14:paraId="3A58ABBF" w14:textId="77777777" w:rsidR="00FA3AA4" w:rsidRPr="0021638B" w:rsidRDefault="00FA3AA4" w:rsidP="00FA3AA4">
      <w:pPr>
        <w:pStyle w:val="H23G"/>
      </w:pPr>
      <w:r>
        <w:tab/>
      </w:r>
      <w:r>
        <w:tab/>
      </w:r>
      <w:r w:rsidRPr="00DB7ACE">
        <w:rPr>
          <w:bCs/>
        </w:rPr>
        <w:t>Training, education and other measures to combat prejudice and intolerance (art. 7)</w:t>
      </w:r>
    </w:p>
    <w:p w14:paraId="76C19394" w14:textId="77777777" w:rsidR="00FA3AA4" w:rsidRPr="0021638B" w:rsidRDefault="00FA3AA4" w:rsidP="00FA3AA4">
      <w:pPr>
        <w:pStyle w:val="SingleTxtG"/>
      </w:pPr>
      <w:r>
        <w:t>21.</w:t>
      </w:r>
      <w:r>
        <w:tab/>
      </w:r>
      <w:r w:rsidRPr="003F6C82">
        <w:t>Further detailed information on the measures taken to promote human rights education, specifically with regard to the Convention and combating racial discrimination, racism and xenophobia, in school curricula and vocational training programmes, and information on the impact of these measures.</w:t>
      </w:r>
      <w:r>
        <w:t xml:space="preserve"> </w:t>
      </w:r>
      <w:r w:rsidRPr="005D0260">
        <w:t>Information on whether textbooks and curricula at all levels contain representations of</w:t>
      </w:r>
      <w:r>
        <w:t xml:space="preserve"> migrants and </w:t>
      </w:r>
      <w:r w:rsidRPr="00D821EB">
        <w:t>address their contributions to the development and national history of the State party</w:t>
      </w:r>
      <w:r>
        <w:t>.</w:t>
      </w:r>
      <w:r>
        <w:rPr>
          <w:rStyle w:val="FootnoteReference"/>
        </w:rPr>
        <w:footnoteReference w:id="25"/>
      </w:r>
      <w:r>
        <w:t xml:space="preserve"> Information on </w:t>
      </w:r>
      <w:r w:rsidRPr="00775CC9">
        <w:t>awareness-raising campaign</w:t>
      </w:r>
      <w:r w:rsidRPr="004D3BD9">
        <w:t>s</w:t>
      </w:r>
      <w:r>
        <w:t xml:space="preserve"> carried out to further eliminate all discriminatory practices </w:t>
      </w:r>
      <w:r w:rsidRPr="00F552CF">
        <w:t>based on race, colour, descent or national or ethnic origin</w:t>
      </w:r>
      <w:r>
        <w:t>.</w:t>
      </w:r>
    </w:p>
    <w:p w14:paraId="629C276E" w14:textId="77777777" w:rsidR="00FA3AA4" w:rsidRDefault="00FA3AA4"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A3AA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BDA67" w14:textId="77777777" w:rsidR="009D6122" w:rsidRPr="00A0297D" w:rsidRDefault="009D6122" w:rsidP="00A0297D">
      <w:pPr>
        <w:pStyle w:val="Footer"/>
      </w:pPr>
    </w:p>
  </w:endnote>
  <w:endnote w:type="continuationSeparator" w:id="0">
    <w:p w14:paraId="28660E9C" w14:textId="77777777" w:rsidR="009D6122" w:rsidRPr="00A0297D" w:rsidRDefault="009D612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E7B9" w14:textId="77777777" w:rsidR="00FA3AA4" w:rsidRDefault="00FA3AA4" w:rsidP="00FA3AA4">
    <w:pPr>
      <w:pStyle w:val="Footer"/>
      <w:tabs>
        <w:tab w:val="right" w:pos="9638"/>
      </w:tabs>
    </w:pPr>
    <w:r w:rsidRPr="00FA3AA4">
      <w:rPr>
        <w:b/>
        <w:bCs/>
        <w:sz w:val="18"/>
      </w:rPr>
      <w:fldChar w:fldCharType="begin"/>
    </w:r>
    <w:r w:rsidRPr="00FA3AA4">
      <w:rPr>
        <w:b/>
        <w:bCs/>
        <w:sz w:val="18"/>
      </w:rPr>
      <w:instrText xml:space="preserve"> PAGE  \* MERGEFORMAT </w:instrText>
    </w:r>
    <w:r w:rsidRPr="00FA3AA4">
      <w:rPr>
        <w:b/>
        <w:bCs/>
        <w:sz w:val="18"/>
      </w:rPr>
      <w:fldChar w:fldCharType="separate"/>
    </w:r>
    <w:r w:rsidRPr="00FA3AA4">
      <w:rPr>
        <w:b/>
        <w:bCs/>
        <w:noProof/>
        <w:sz w:val="18"/>
      </w:rPr>
      <w:t>2</w:t>
    </w:r>
    <w:r w:rsidRPr="00FA3AA4">
      <w:rPr>
        <w:b/>
        <w:bCs/>
        <w:sz w:val="18"/>
      </w:rPr>
      <w:fldChar w:fldCharType="end"/>
    </w:r>
    <w:r>
      <w:tab/>
      <w:t>GE.24-17392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4A1B" w14:textId="77777777" w:rsidR="00FA3AA4" w:rsidRDefault="00FA3AA4" w:rsidP="00FA3AA4">
    <w:pPr>
      <w:pStyle w:val="Footer"/>
      <w:tabs>
        <w:tab w:val="right" w:pos="9638"/>
      </w:tabs>
    </w:pPr>
    <w:r>
      <w:t>GE.24-17392</w:t>
    </w:r>
    <w:r>
      <w:tab/>
    </w:r>
    <w:r w:rsidRPr="00FA3AA4">
      <w:rPr>
        <w:b/>
        <w:bCs/>
        <w:sz w:val="18"/>
      </w:rPr>
      <w:fldChar w:fldCharType="begin"/>
    </w:r>
    <w:r w:rsidRPr="00FA3AA4">
      <w:rPr>
        <w:b/>
        <w:bCs/>
        <w:sz w:val="18"/>
      </w:rPr>
      <w:instrText xml:space="preserve"> PAGE  \* MERGEFORMAT </w:instrText>
    </w:r>
    <w:r w:rsidRPr="00FA3AA4">
      <w:rPr>
        <w:b/>
        <w:bCs/>
        <w:sz w:val="18"/>
      </w:rPr>
      <w:fldChar w:fldCharType="separate"/>
    </w:r>
    <w:r w:rsidRPr="00FA3AA4">
      <w:rPr>
        <w:b/>
        <w:bCs/>
        <w:noProof/>
        <w:sz w:val="18"/>
      </w:rPr>
      <w:t>3</w:t>
    </w:r>
    <w:r w:rsidRPr="00FA3A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85874" w14:textId="7AF95487" w:rsidR="00FA3AA4" w:rsidRDefault="009D06A7">
    <w:pPr>
      <w:pStyle w:val="Footer"/>
      <w:rPr>
        <w:sz w:val="20"/>
      </w:rPr>
    </w:pPr>
    <w:r>
      <w:rPr>
        <w:noProof/>
        <w:sz w:val="20"/>
      </w:rPr>
      <w:drawing>
        <wp:anchor distT="0" distB="0" distL="114300" distR="114300" simplePos="0" relativeHeight="251660288" behindDoc="0" locked="0" layoutInCell="1" allowOverlap="1" wp14:anchorId="35C046B4" wp14:editId="71C27A44">
          <wp:simplePos x="0" y="0"/>
          <wp:positionH relativeFrom="column">
            <wp:posOffset>5482247</wp:posOffset>
          </wp:positionH>
          <wp:positionV relativeFrom="paragraph">
            <wp:posOffset>-184283</wp:posOffset>
          </wp:positionV>
          <wp:extent cx="571500" cy="571500"/>
          <wp:effectExtent l="0" t="0" r="0" b="0"/>
          <wp:wrapNone/>
          <wp:docPr id="9463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3AA4" w:rsidRPr="0027112F">
      <w:rPr>
        <w:noProof/>
        <w:lang w:val="en-US"/>
      </w:rPr>
      <w:drawing>
        <wp:anchor distT="0" distB="0" distL="114300" distR="114300" simplePos="0" relativeHeight="251659264" behindDoc="0" locked="1" layoutInCell="1" allowOverlap="1" wp14:anchorId="08C2079E" wp14:editId="7BD737F4">
          <wp:simplePos x="0" y="0"/>
          <wp:positionH relativeFrom="margin">
            <wp:posOffset>4439285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563FE4" w14:textId="5665AF8D" w:rsidR="00FA3AA4" w:rsidRPr="00FA3AA4" w:rsidRDefault="00FA3AA4" w:rsidP="00FA3AA4">
    <w:pPr>
      <w:pStyle w:val="Footer"/>
      <w:tabs>
        <w:tab w:val="right" w:pos="7370"/>
      </w:tabs>
      <w:rPr>
        <w:sz w:val="20"/>
      </w:rPr>
    </w:pPr>
    <w:r>
      <w:rPr>
        <w:sz w:val="20"/>
      </w:rPr>
      <w:t>GE.24-17392  (E)</w:t>
    </w:r>
    <w:r w:rsidR="00672C80">
      <w:rPr>
        <w:sz w:val="20"/>
      </w:rPr>
      <w:t xml:space="preserve">    211024    211024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A43B2" w14:textId="77777777" w:rsidR="009D6122" w:rsidRPr="00A0297D" w:rsidRDefault="009D6122" w:rsidP="00A0297D">
      <w:pPr>
        <w:tabs>
          <w:tab w:val="right" w:pos="2155"/>
        </w:tabs>
        <w:spacing w:after="80" w:line="240" w:lineRule="auto"/>
        <w:ind w:left="680"/>
      </w:pPr>
      <w:r>
        <w:rPr>
          <w:u w:val="single"/>
        </w:rPr>
        <w:tab/>
      </w:r>
    </w:p>
  </w:footnote>
  <w:footnote w:type="continuationSeparator" w:id="0">
    <w:p w14:paraId="754D41E5" w14:textId="77777777" w:rsidR="009D6122" w:rsidRPr="00A0297D" w:rsidRDefault="009D6122" w:rsidP="00A0297D">
      <w:pPr>
        <w:tabs>
          <w:tab w:val="right" w:pos="2155"/>
        </w:tabs>
        <w:spacing w:after="80" w:line="240" w:lineRule="auto"/>
        <w:ind w:left="680"/>
      </w:pPr>
      <w:r>
        <w:rPr>
          <w:u w:val="single"/>
        </w:rPr>
        <w:tab/>
      </w:r>
    </w:p>
  </w:footnote>
  <w:footnote w:id="1">
    <w:p w14:paraId="01703F32" w14:textId="6044294E" w:rsidR="00FA3AA4" w:rsidRPr="0021638B" w:rsidRDefault="00FA3AA4" w:rsidP="00FA3AA4">
      <w:pPr>
        <w:pStyle w:val="FootnoteText"/>
        <w:widowControl w:val="0"/>
        <w:tabs>
          <w:tab w:val="clear" w:pos="1021"/>
          <w:tab w:val="right" w:pos="1020"/>
        </w:tabs>
        <w:rPr>
          <w:lang w:val="es-ES"/>
        </w:rPr>
      </w:pPr>
      <w:r>
        <w:tab/>
      </w:r>
      <w:r>
        <w:rPr>
          <w:rStyle w:val="FootnoteReference"/>
        </w:rPr>
        <w:footnoteRef/>
      </w:r>
      <w:r w:rsidRPr="0021638B">
        <w:rPr>
          <w:lang w:val="es-ES"/>
        </w:rPr>
        <w:tab/>
      </w:r>
      <w:hyperlink r:id="rId1" w:history="1">
        <w:r w:rsidRPr="004F5C67">
          <w:rPr>
            <w:rStyle w:val="Hyperlink"/>
            <w:lang w:val="es-ES"/>
          </w:rPr>
          <w:t>A/65/18</w:t>
        </w:r>
      </w:hyperlink>
      <w:r w:rsidRPr="0021638B">
        <w:rPr>
          <w:lang w:val="es-ES"/>
        </w:rPr>
        <w:t xml:space="preserve">, para. </w:t>
      </w:r>
      <w:r w:rsidRPr="005950D9">
        <w:rPr>
          <w:lang w:val="es-ES"/>
        </w:rPr>
        <w:t>85</w:t>
      </w:r>
      <w:r w:rsidRPr="0021638B">
        <w:rPr>
          <w:lang w:val="es-ES"/>
        </w:rPr>
        <w:t>.</w:t>
      </w:r>
    </w:p>
  </w:footnote>
  <w:footnote w:id="2">
    <w:p w14:paraId="4A35183C" w14:textId="1D72BFB5" w:rsidR="00FA3AA4" w:rsidRPr="007A759C" w:rsidRDefault="00FA3AA4" w:rsidP="00FA3AA4">
      <w:pPr>
        <w:pStyle w:val="FootnoteText"/>
        <w:widowControl w:val="0"/>
        <w:tabs>
          <w:tab w:val="clear" w:pos="1021"/>
          <w:tab w:val="right" w:pos="1020"/>
        </w:tabs>
        <w:rPr>
          <w:lang w:val="es-ES"/>
        </w:rPr>
      </w:pPr>
      <w:r w:rsidRPr="0021638B">
        <w:rPr>
          <w:lang w:val="es-ES"/>
        </w:rPr>
        <w:tab/>
      </w:r>
      <w:r>
        <w:rPr>
          <w:rStyle w:val="FootnoteReference"/>
        </w:rPr>
        <w:footnoteRef/>
      </w:r>
      <w:r w:rsidRPr="006A7F6D">
        <w:rPr>
          <w:lang w:val="es-ES"/>
        </w:rPr>
        <w:tab/>
      </w:r>
      <w:hyperlink r:id="rId2" w:history="1">
        <w:r w:rsidRPr="004F5C67">
          <w:rPr>
            <w:rStyle w:val="Hyperlink"/>
            <w:lang w:val="es-ES"/>
          </w:rPr>
          <w:t>CERD/C/MCO/CO/6</w:t>
        </w:r>
      </w:hyperlink>
      <w:r w:rsidRPr="006A7F6D">
        <w:rPr>
          <w:lang w:val="es-ES"/>
        </w:rPr>
        <w:t xml:space="preserve">, para. </w:t>
      </w:r>
      <w:r w:rsidRPr="006A7F6D">
        <w:t xml:space="preserve">6; and </w:t>
      </w:r>
      <w:hyperlink r:id="rId3" w:history="1">
        <w:r w:rsidRPr="004F5C67">
          <w:rPr>
            <w:rStyle w:val="Hyperlink"/>
          </w:rPr>
          <w:t>CERD/C/MCO/7-9</w:t>
        </w:r>
      </w:hyperlink>
      <w:r w:rsidRPr="006A7F6D">
        <w:t xml:space="preserve">, paras. </w:t>
      </w:r>
      <w:r w:rsidRPr="007A759C">
        <w:rPr>
          <w:lang w:val="es-ES"/>
        </w:rPr>
        <w:t>1–10.</w:t>
      </w:r>
    </w:p>
  </w:footnote>
  <w:footnote w:id="3">
    <w:p w14:paraId="71EFA30A" w14:textId="52F5C8EB" w:rsidR="00FA3AA4" w:rsidRPr="007A759C" w:rsidRDefault="00FA3AA4" w:rsidP="00FA3AA4">
      <w:pPr>
        <w:pStyle w:val="FootnoteText"/>
        <w:widowControl w:val="0"/>
        <w:tabs>
          <w:tab w:val="clear" w:pos="1021"/>
          <w:tab w:val="right" w:pos="1020"/>
        </w:tabs>
        <w:rPr>
          <w:lang w:val="es-ES"/>
        </w:rPr>
      </w:pPr>
      <w:r w:rsidRPr="007A759C">
        <w:rPr>
          <w:lang w:val="es-ES"/>
        </w:rPr>
        <w:tab/>
      </w:r>
      <w:r>
        <w:rPr>
          <w:rStyle w:val="FootnoteReference"/>
        </w:rPr>
        <w:footnoteRef/>
      </w:r>
      <w:r w:rsidRPr="007A759C">
        <w:rPr>
          <w:lang w:val="es-ES"/>
        </w:rPr>
        <w:tab/>
      </w:r>
      <w:hyperlink r:id="rId4" w:history="1">
        <w:r w:rsidRPr="004F5C67">
          <w:rPr>
            <w:rStyle w:val="Hyperlink"/>
            <w:lang w:val="es-ES"/>
          </w:rPr>
          <w:t>CERD/C/MCO/7-9</w:t>
        </w:r>
      </w:hyperlink>
      <w:r w:rsidRPr="007A759C">
        <w:rPr>
          <w:lang w:val="es-ES"/>
        </w:rPr>
        <w:t>, paras. 47 and 159–167.</w:t>
      </w:r>
    </w:p>
  </w:footnote>
  <w:footnote w:id="4">
    <w:p w14:paraId="114EBBDC" w14:textId="77777777" w:rsidR="00FA3AA4" w:rsidRPr="0021638B" w:rsidRDefault="00FA3AA4" w:rsidP="00FA3AA4">
      <w:pPr>
        <w:pStyle w:val="FootnoteText"/>
        <w:widowControl w:val="0"/>
        <w:tabs>
          <w:tab w:val="clear" w:pos="1021"/>
          <w:tab w:val="right" w:pos="1020"/>
        </w:tabs>
        <w:rPr>
          <w:lang w:val="es-ES"/>
        </w:rPr>
      </w:pPr>
      <w:r w:rsidRPr="007A759C">
        <w:rPr>
          <w:lang w:val="es-ES"/>
        </w:rPr>
        <w:tab/>
      </w:r>
      <w:r>
        <w:rPr>
          <w:rStyle w:val="FootnoteReference"/>
        </w:rPr>
        <w:footnoteRef/>
      </w:r>
      <w:r w:rsidRPr="0021638B">
        <w:rPr>
          <w:lang w:val="es-ES"/>
        </w:rPr>
        <w:tab/>
        <w:t xml:space="preserve">Ibid., para. </w:t>
      </w:r>
      <w:r w:rsidRPr="006567D5">
        <w:rPr>
          <w:lang w:val="es-ES"/>
        </w:rPr>
        <w:t>12</w:t>
      </w:r>
      <w:r w:rsidRPr="0021638B">
        <w:rPr>
          <w:lang w:val="es-ES"/>
        </w:rPr>
        <w:t>.</w:t>
      </w:r>
    </w:p>
  </w:footnote>
  <w:footnote w:id="5">
    <w:p w14:paraId="148998E7" w14:textId="77777777" w:rsidR="00FA3AA4" w:rsidRPr="0021638B" w:rsidRDefault="00FA3AA4" w:rsidP="00FA3AA4">
      <w:pPr>
        <w:pStyle w:val="FootnoteText"/>
        <w:widowControl w:val="0"/>
        <w:tabs>
          <w:tab w:val="clear" w:pos="1021"/>
          <w:tab w:val="right" w:pos="1020"/>
        </w:tabs>
        <w:rPr>
          <w:lang w:val="es-ES"/>
        </w:rPr>
      </w:pPr>
      <w:r w:rsidRPr="0021638B">
        <w:rPr>
          <w:lang w:val="es-ES"/>
        </w:rPr>
        <w:tab/>
      </w:r>
      <w:r>
        <w:rPr>
          <w:rStyle w:val="FootnoteReference"/>
        </w:rPr>
        <w:footnoteRef/>
      </w:r>
      <w:r w:rsidRPr="0021638B">
        <w:rPr>
          <w:lang w:val="es-ES"/>
        </w:rPr>
        <w:tab/>
        <w:t xml:space="preserve">Ibid., paras. </w:t>
      </w:r>
      <w:r w:rsidRPr="003E1DBF">
        <w:rPr>
          <w:lang w:val="es-ES"/>
        </w:rPr>
        <w:t>43</w:t>
      </w:r>
      <w:r>
        <w:rPr>
          <w:lang w:val="es-ES"/>
        </w:rPr>
        <w:t>–</w:t>
      </w:r>
      <w:r w:rsidRPr="003E1DBF">
        <w:rPr>
          <w:lang w:val="es-ES"/>
        </w:rPr>
        <w:t>53</w:t>
      </w:r>
      <w:r w:rsidRPr="0021638B">
        <w:rPr>
          <w:lang w:val="es-ES"/>
        </w:rPr>
        <w:t>.</w:t>
      </w:r>
    </w:p>
  </w:footnote>
  <w:footnote w:id="6">
    <w:p w14:paraId="7DBB8F4F" w14:textId="7287D0AD" w:rsidR="00FA3AA4" w:rsidRPr="0021638B" w:rsidRDefault="00FA3AA4" w:rsidP="00FA3AA4">
      <w:pPr>
        <w:pStyle w:val="FootnoteText"/>
        <w:widowControl w:val="0"/>
        <w:tabs>
          <w:tab w:val="clear" w:pos="1021"/>
          <w:tab w:val="right" w:pos="1020"/>
        </w:tabs>
      </w:pPr>
      <w:r w:rsidRPr="0021638B">
        <w:rPr>
          <w:lang w:val="es-ES"/>
        </w:rPr>
        <w:tab/>
      </w:r>
      <w:r>
        <w:rPr>
          <w:rStyle w:val="FootnoteReference"/>
        </w:rPr>
        <w:footnoteRef/>
      </w:r>
      <w:r w:rsidRPr="000532EA">
        <w:rPr>
          <w:lang w:val="es-ES"/>
        </w:rPr>
        <w:tab/>
      </w:r>
      <w:hyperlink r:id="rId5" w:history="1">
        <w:r w:rsidRPr="004F5C67">
          <w:rPr>
            <w:rStyle w:val="Hyperlink"/>
            <w:lang w:val="es-ES"/>
          </w:rPr>
          <w:t>CERD/C/MCO/CO/6</w:t>
        </w:r>
      </w:hyperlink>
      <w:r w:rsidRPr="000532EA">
        <w:rPr>
          <w:lang w:val="es-ES"/>
        </w:rPr>
        <w:t xml:space="preserve">, para. </w:t>
      </w:r>
      <w:r w:rsidRPr="004916B0">
        <w:t>9</w:t>
      </w:r>
      <w:r>
        <w:t xml:space="preserve">; and </w:t>
      </w:r>
      <w:hyperlink r:id="rId6" w:history="1">
        <w:r w:rsidRPr="004F5C67">
          <w:rPr>
            <w:rStyle w:val="Hyperlink"/>
          </w:rPr>
          <w:t>CERD/C/MCO/7-9</w:t>
        </w:r>
      </w:hyperlink>
      <w:r>
        <w:t>, paras. 45, 46 and 54</w:t>
      </w:r>
      <w:r w:rsidR="00432DCA">
        <w:t>–</w:t>
      </w:r>
      <w:r>
        <w:t>75.</w:t>
      </w:r>
    </w:p>
  </w:footnote>
  <w:footnote w:id="7">
    <w:p w14:paraId="1F75CF26" w14:textId="27F2B13F" w:rsidR="00FA3AA4" w:rsidRPr="0021638B" w:rsidRDefault="00FA3AA4" w:rsidP="00FA3AA4">
      <w:pPr>
        <w:pStyle w:val="FootnoteText"/>
        <w:widowControl w:val="0"/>
        <w:tabs>
          <w:tab w:val="clear" w:pos="1021"/>
          <w:tab w:val="right" w:pos="1020"/>
        </w:tabs>
      </w:pPr>
      <w:r>
        <w:tab/>
      </w:r>
      <w:r>
        <w:rPr>
          <w:rStyle w:val="FootnoteReference"/>
        </w:rPr>
        <w:footnoteRef/>
      </w:r>
      <w:r w:rsidRPr="003D11CB">
        <w:tab/>
      </w:r>
      <w:hyperlink r:id="rId7" w:history="1">
        <w:r w:rsidRPr="004F5C67">
          <w:rPr>
            <w:rStyle w:val="Hyperlink"/>
          </w:rPr>
          <w:t>CERD/C/MCO/CO/6</w:t>
        </w:r>
      </w:hyperlink>
      <w:r w:rsidRPr="003D11CB">
        <w:t xml:space="preserve">, para. </w:t>
      </w:r>
      <w:r w:rsidRPr="00CC5345">
        <w:t xml:space="preserve">10; </w:t>
      </w:r>
      <w:hyperlink r:id="rId8" w:history="1">
        <w:r w:rsidRPr="004F5C67">
          <w:rPr>
            <w:rStyle w:val="Hyperlink"/>
          </w:rPr>
          <w:t>CERD/C/MCO/CO/6/Add.1</w:t>
        </w:r>
      </w:hyperlink>
      <w:r w:rsidRPr="00CC5345">
        <w:t>, par</w:t>
      </w:r>
      <w:r>
        <w:t>as</w:t>
      </w:r>
      <w:r w:rsidRPr="00CC5345">
        <w:t>. 6</w:t>
      </w:r>
      <w:r>
        <w:t>–</w:t>
      </w:r>
      <w:r w:rsidRPr="00CC5345">
        <w:t>16</w:t>
      </w:r>
      <w:r>
        <w:t xml:space="preserve">; </w:t>
      </w:r>
      <w:r w:rsidRPr="002313F8">
        <w:t>Committee’s follow-up letter</w:t>
      </w:r>
      <w:r>
        <w:t xml:space="preserve"> dated </w:t>
      </w:r>
      <w:r w:rsidRPr="00387A5C">
        <w:t xml:space="preserve">2 </w:t>
      </w:r>
      <w:r>
        <w:t>September</w:t>
      </w:r>
      <w:r w:rsidRPr="00387A5C">
        <w:t xml:space="preserve"> 2011, p. 1</w:t>
      </w:r>
      <w:r>
        <w:t xml:space="preserve">; and </w:t>
      </w:r>
      <w:hyperlink r:id="rId9" w:history="1">
        <w:r w:rsidRPr="004F5C67">
          <w:rPr>
            <w:rStyle w:val="Hyperlink"/>
          </w:rPr>
          <w:t>CERD/C/MCO/7-9</w:t>
        </w:r>
      </w:hyperlink>
      <w:r w:rsidRPr="006411EE">
        <w:t>, par</w:t>
      </w:r>
      <w:r>
        <w:t>as</w:t>
      </w:r>
      <w:r w:rsidRPr="006411EE">
        <w:t>. 79</w:t>
      </w:r>
      <w:r>
        <w:t>–</w:t>
      </w:r>
      <w:r w:rsidRPr="006411EE">
        <w:t xml:space="preserve">107 </w:t>
      </w:r>
      <w:r>
        <w:t>and</w:t>
      </w:r>
      <w:r w:rsidRPr="006411EE">
        <w:t xml:space="preserve"> 168</w:t>
      </w:r>
      <w:r>
        <w:t>–</w:t>
      </w:r>
      <w:r w:rsidRPr="006411EE">
        <w:t>180</w:t>
      </w:r>
      <w:r>
        <w:t>.</w:t>
      </w:r>
    </w:p>
  </w:footnote>
  <w:footnote w:id="8">
    <w:p w14:paraId="0598AB9E" w14:textId="43502286" w:rsidR="00FA3AA4" w:rsidRPr="003D11CB" w:rsidRDefault="00FA3AA4" w:rsidP="00FA3AA4">
      <w:pPr>
        <w:pStyle w:val="FootnoteText"/>
        <w:widowControl w:val="0"/>
        <w:tabs>
          <w:tab w:val="clear" w:pos="1021"/>
          <w:tab w:val="right" w:pos="1020"/>
        </w:tabs>
      </w:pPr>
      <w:r>
        <w:tab/>
      </w:r>
      <w:r>
        <w:rPr>
          <w:rStyle w:val="FootnoteReference"/>
        </w:rPr>
        <w:footnoteRef/>
      </w:r>
      <w:r w:rsidRPr="003D11CB">
        <w:tab/>
      </w:r>
      <w:hyperlink r:id="rId10" w:history="1">
        <w:r w:rsidRPr="004F5C67">
          <w:rPr>
            <w:rStyle w:val="Hyperlink"/>
          </w:rPr>
          <w:t>CERD/C/MCO/7-9</w:t>
        </w:r>
      </w:hyperlink>
      <w:r w:rsidRPr="003D11CB">
        <w:t>, paras. 79–92, 168–171 and 178–180.</w:t>
      </w:r>
    </w:p>
  </w:footnote>
  <w:footnote w:id="9">
    <w:p w14:paraId="4CFC7276" w14:textId="77777777" w:rsidR="00FA3AA4" w:rsidRPr="0021638B" w:rsidRDefault="00FA3AA4" w:rsidP="00FA3AA4">
      <w:pPr>
        <w:pStyle w:val="FootnoteText"/>
        <w:widowControl w:val="0"/>
        <w:tabs>
          <w:tab w:val="clear" w:pos="1021"/>
          <w:tab w:val="right" w:pos="1020"/>
        </w:tabs>
      </w:pPr>
      <w:r w:rsidRPr="003D11CB">
        <w:tab/>
      </w:r>
      <w:r>
        <w:rPr>
          <w:rStyle w:val="FootnoteReference"/>
        </w:rPr>
        <w:footnoteRef/>
      </w:r>
      <w:r>
        <w:tab/>
        <w:t>Ibid., para. 109.</w:t>
      </w:r>
    </w:p>
  </w:footnote>
  <w:footnote w:id="10">
    <w:p w14:paraId="0BBFFD33" w14:textId="77777777" w:rsidR="00FA3AA4" w:rsidRPr="0021638B" w:rsidRDefault="00FA3AA4" w:rsidP="00FA3AA4">
      <w:pPr>
        <w:pStyle w:val="FootnoteText"/>
        <w:widowControl w:val="0"/>
        <w:tabs>
          <w:tab w:val="clear" w:pos="1021"/>
          <w:tab w:val="right" w:pos="1020"/>
        </w:tabs>
      </w:pPr>
      <w:r>
        <w:tab/>
      </w:r>
      <w:r>
        <w:rPr>
          <w:rStyle w:val="FootnoteReference"/>
        </w:rPr>
        <w:footnoteRef/>
      </w:r>
      <w:r>
        <w:tab/>
        <w:t>Ibid., para. 110.</w:t>
      </w:r>
    </w:p>
  </w:footnote>
  <w:footnote w:id="11">
    <w:p w14:paraId="5F614952" w14:textId="77777777" w:rsidR="00FA3AA4" w:rsidRPr="0021638B" w:rsidRDefault="00FA3AA4" w:rsidP="00FA3AA4">
      <w:pPr>
        <w:pStyle w:val="FootnoteText"/>
        <w:widowControl w:val="0"/>
        <w:tabs>
          <w:tab w:val="clear" w:pos="1021"/>
          <w:tab w:val="right" w:pos="1020"/>
        </w:tabs>
      </w:pPr>
      <w:r>
        <w:tab/>
      </w:r>
      <w:r>
        <w:rPr>
          <w:rStyle w:val="FootnoteReference"/>
        </w:rPr>
        <w:footnoteRef/>
      </w:r>
      <w:r>
        <w:tab/>
        <w:t xml:space="preserve">Ibid., paras. </w:t>
      </w:r>
      <w:r w:rsidRPr="00156590">
        <w:t xml:space="preserve">43 </w:t>
      </w:r>
      <w:r>
        <w:t>and</w:t>
      </w:r>
      <w:r w:rsidRPr="00156590">
        <w:t xml:space="preserve"> 44</w:t>
      </w:r>
      <w:r>
        <w:t>.</w:t>
      </w:r>
    </w:p>
  </w:footnote>
  <w:footnote w:id="12">
    <w:p w14:paraId="3246A6AE" w14:textId="77777777" w:rsidR="00FA3AA4" w:rsidRPr="0021638B" w:rsidRDefault="00FA3AA4" w:rsidP="00FA3AA4">
      <w:pPr>
        <w:pStyle w:val="FootnoteText"/>
        <w:widowControl w:val="0"/>
        <w:tabs>
          <w:tab w:val="clear" w:pos="1021"/>
          <w:tab w:val="right" w:pos="1020"/>
        </w:tabs>
      </w:pPr>
      <w:r>
        <w:tab/>
      </w:r>
      <w:r>
        <w:rPr>
          <w:rStyle w:val="FootnoteReference"/>
        </w:rPr>
        <w:footnoteRef/>
      </w:r>
      <w:r>
        <w:tab/>
        <w:t xml:space="preserve">Ibid., paras. </w:t>
      </w:r>
      <w:r w:rsidRPr="005E1659">
        <w:t>13</w:t>
      </w:r>
      <w:r>
        <w:t>–</w:t>
      </w:r>
      <w:r w:rsidRPr="005E1659">
        <w:t xml:space="preserve">42, 78 </w:t>
      </w:r>
      <w:r>
        <w:t>and</w:t>
      </w:r>
      <w:r w:rsidRPr="005E1659">
        <w:t xml:space="preserve"> 119</w:t>
      </w:r>
      <w:r>
        <w:t>.</w:t>
      </w:r>
    </w:p>
  </w:footnote>
  <w:footnote w:id="13">
    <w:p w14:paraId="5B753D85" w14:textId="77777777" w:rsidR="00FA3AA4" w:rsidRPr="0021638B" w:rsidRDefault="00FA3AA4" w:rsidP="00FA3AA4">
      <w:pPr>
        <w:pStyle w:val="FootnoteText"/>
        <w:widowControl w:val="0"/>
        <w:tabs>
          <w:tab w:val="clear" w:pos="1021"/>
          <w:tab w:val="right" w:pos="1020"/>
        </w:tabs>
      </w:pPr>
      <w:r>
        <w:tab/>
      </w:r>
      <w:r>
        <w:rPr>
          <w:rStyle w:val="FootnoteReference"/>
        </w:rPr>
        <w:footnoteRef/>
      </w:r>
      <w:r>
        <w:tab/>
        <w:t xml:space="preserve">Ibid., paras. </w:t>
      </w:r>
      <w:r w:rsidRPr="00AF3C77">
        <w:t>31</w:t>
      </w:r>
      <w:r>
        <w:t>–</w:t>
      </w:r>
      <w:r w:rsidRPr="00AF3C77">
        <w:t xml:space="preserve">39 </w:t>
      </w:r>
      <w:r>
        <w:t>and</w:t>
      </w:r>
      <w:r w:rsidRPr="00AF3C77">
        <w:t xml:space="preserve"> 115</w:t>
      </w:r>
      <w:r>
        <w:t>–</w:t>
      </w:r>
      <w:r w:rsidRPr="00AF3C77">
        <w:t>118</w:t>
      </w:r>
      <w:r>
        <w:t>.</w:t>
      </w:r>
    </w:p>
  </w:footnote>
  <w:footnote w:id="14">
    <w:p w14:paraId="3BC60F21" w14:textId="77777777" w:rsidR="00FA3AA4" w:rsidRPr="0021638B" w:rsidRDefault="00FA3AA4" w:rsidP="00FA3AA4">
      <w:pPr>
        <w:pStyle w:val="FootnoteText"/>
        <w:widowControl w:val="0"/>
        <w:tabs>
          <w:tab w:val="clear" w:pos="1021"/>
          <w:tab w:val="right" w:pos="1020"/>
        </w:tabs>
      </w:pPr>
      <w:r>
        <w:tab/>
      </w:r>
      <w:r>
        <w:rPr>
          <w:rStyle w:val="FootnoteReference"/>
        </w:rPr>
        <w:footnoteRef/>
      </w:r>
      <w:r>
        <w:tab/>
        <w:t xml:space="preserve">Ibid., paras. </w:t>
      </w:r>
      <w:r w:rsidRPr="005D0FC3">
        <w:t xml:space="preserve">40, 41 </w:t>
      </w:r>
      <w:r>
        <w:t>and</w:t>
      </w:r>
      <w:r w:rsidRPr="005D0FC3">
        <w:t xml:space="preserve"> 204</w:t>
      </w:r>
      <w:r>
        <w:t>.</w:t>
      </w:r>
    </w:p>
  </w:footnote>
  <w:footnote w:id="15">
    <w:p w14:paraId="383F2979" w14:textId="3B165E81" w:rsidR="00FA3AA4" w:rsidRPr="00DF3198" w:rsidRDefault="00FA3AA4" w:rsidP="00FA3AA4">
      <w:pPr>
        <w:pStyle w:val="FootnoteText"/>
        <w:widowControl w:val="0"/>
        <w:tabs>
          <w:tab w:val="clear" w:pos="1021"/>
          <w:tab w:val="right" w:pos="1020"/>
        </w:tabs>
      </w:pPr>
      <w:r>
        <w:tab/>
      </w:r>
      <w:r>
        <w:rPr>
          <w:rStyle w:val="FootnoteReference"/>
        </w:rPr>
        <w:footnoteRef/>
      </w:r>
      <w:r w:rsidRPr="003D11CB">
        <w:tab/>
      </w:r>
      <w:hyperlink r:id="rId11" w:history="1">
        <w:r w:rsidRPr="004F5C67">
          <w:rPr>
            <w:rStyle w:val="Hyperlink"/>
          </w:rPr>
          <w:t>CERD/C/MCO/CO/6</w:t>
        </w:r>
      </w:hyperlink>
      <w:r w:rsidRPr="003D11CB">
        <w:t xml:space="preserve">, para. </w:t>
      </w:r>
      <w:r w:rsidRPr="0019577F">
        <w:t xml:space="preserve">12; and </w:t>
      </w:r>
      <w:hyperlink r:id="rId12" w:history="1">
        <w:r w:rsidRPr="004F5C67">
          <w:rPr>
            <w:rStyle w:val="Hyperlink"/>
          </w:rPr>
          <w:t>CERD/C/MCO/7-9</w:t>
        </w:r>
      </w:hyperlink>
      <w:r w:rsidRPr="0019577F">
        <w:t xml:space="preserve">, paras. </w:t>
      </w:r>
      <w:r w:rsidRPr="00DF3198">
        <w:t>13–29 and 119.</w:t>
      </w:r>
    </w:p>
  </w:footnote>
  <w:footnote w:id="16">
    <w:p w14:paraId="6A26E18B" w14:textId="2858CC12" w:rsidR="00FA3AA4" w:rsidRPr="00A57339" w:rsidRDefault="00FA3AA4" w:rsidP="00FA3AA4">
      <w:pPr>
        <w:pStyle w:val="FootnoteText"/>
        <w:widowControl w:val="0"/>
        <w:tabs>
          <w:tab w:val="clear" w:pos="1021"/>
          <w:tab w:val="right" w:pos="1020"/>
        </w:tabs>
      </w:pPr>
      <w:r w:rsidRPr="00DF3198">
        <w:tab/>
      </w:r>
      <w:r>
        <w:rPr>
          <w:rStyle w:val="FootnoteReference"/>
        </w:rPr>
        <w:footnoteRef/>
      </w:r>
      <w:r w:rsidRPr="00DF3198">
        <w:rPr>
          <w:lang w:val="es-ES"/>
        </w:rPr>
        <w:tab/>
      </w:r>
      <w:hyperlink r:id="rId13" w:history="1">
        <w:r w:rsidRPr="004F5C67">
          <w:rPr>
            <w:rStyle w:val="Hyperlink"/>
            <w:lang w:val="es-ES"/>
          </w:rPr>
          <w:t>CERD/C/MCO/CO/6</w:t>
        </w:r>
      </w:hyperlink>
      <w:r w:rsidRPr="00DF3198">
        <w:rPr>
          <w:lang w:val="es-ES"/>
        </w:rPr>
        <w:t xml:space="preserve">, para. </w:t>
      </w:r>
      <w:r w:rsidRPr="0003086F">
        <w:t xml:space="preserve">12; and </w:t>
      </w:r>
      <w:hyperlink r:id="rId14" w:history="1">
        <w:r w:rsidRPr="004F5C67">
          <w:rPr>
            <w:rStyle w:val="Hyperlink"/>
          </w:rPr>
          <w:t>CERD/C/MCO/7-9</w:t>
        </w:r>
      </w:hyperlink>
      <w:r w:rsidRPr="0003086F">
        <w:t xml:space="preserve">, paras. </w:t>
      </w:r>
      <w:r w:rsidRPr="00A57339">
        <w:t>13–29 and 119–122.</w:t>
      </w:r>
    </w:p>
  </w:footnote>
  <w:footnote w:id="17">
    <w:p w14:paraId="70A7827C" w14:textId="45AB900F" w:rsidR="00FA3AA4" w:rsidRPr="003D11CB" w:rsidRDefault="00FA3AA4" w:rsidP="00FA3AA4">
      <w:pPr>
        <w:pStyle w:val="FootnoteText"/>
        <w:widowControl w:val="0"/>
        <w:tabs>
          <w:tab w:val="clear" w:pos="1021"/>
          <w:tab w:val="right" w:pos="1020"/>
        </w:tabs>
      </w:pPr>
      <w:r w:rsidRPr="00A57339">
        <w:tab/>
      </w:r>
      <w:r>
        <w:rPr>
          <w:rStyle w:val="FootnoteReference"/>
        </w:rPr>
        <w:footnoteRef/>
      </w:r>
      <w:r w:rsidRPr="003D11CB">
        <w:tab/>
      </w:r>
      <w:hyperlink r:id="rId15" w:history="1">
        <w:r w:rsidRPr="004F5C67">
          <w:rPr>
            <w:rStyle w:val="Hyperlink"/>
          </w:rPr>
          <w:t>CERD/C/MCO/CO/6</w:t>
        </w:r>
      </w:hyperlink>
      <w:r w:rsidRPr="003D11CB">
        <w:t xml:space="preserve">, para. </w:t>
      </w:r>
      <w:r w:rsidRPr="00F4091C">
        <w:t xml:space="preserve">12; and </w:t>
      </w:r>
      <w:hyperlink r:id="rId16" w:history="1">
        <w:r w:rsidRPr="004F5C67">
          <w:rPr>
            <w:rStyle w:val="Hyperlink"/>
          </w:rPr>
          <w:t>CERD/C/MCO/7-9</w:t>
        </w:r>
      </w:hyperlink>
      <w:r w:rsidRPr="00F4091C">
        <w:t xml:space="preserve">, paras. </w:t>
      </w:r>
      <w:r w:rsidRPr="003D11CB">
        <w:t>120–122 and 147–153.</w:t>
      </w:r>
    </w:p>
  </w:footnote>
  <w:footnote w:id="18">
    <w:p w14:paraId="6545CBF3" w14:textId="051107D5" w:rsidR="00FA3AA4" w:rsidRPr="003D11CB" w:rsidRDefault="00FA3AA4" w:rsidP="00FA3AA4">
      <w:pPr>
        <w:pStyle w:val="FootnoteText"/>
        <w:widowControl w:val="0"/>
        <w:tabs>
          <w:tab w:val="clear" w:pos="1021"/>
          <w:tab w:val="right" w:pos="1020"/>
        </w:tabs>
        <w:rPr>
          <w:lang w:val="es-ES"/>
        </w:rPr>
      </w:pPr>
      <w:r w:rsidRPr="003D11CB">
        <w:tab/>
      </w:r>
      <w:r>
        <w:rPr>
          <w:rStyle w:val="FootnoteReference"/>
        </w:rPr>
        <w:footnoteRef/>
      </w:r>
      <w:r w:rsidRPr="003D11CB">
        <w:tab/>
      </w:r>
      <w:hyperlink r:id="rId17" w:history="1">
        <w:r w:rsidRPr="004F5C67">
          <w:rPr>
            <w:rStyle w:val="Hyperlink"/>
          </w:rPr>
          <w:t>CERD/C/MCO/7-9</w:t>
        </w:r>
      </w:hyperlink>
      <w:r w:rsidRPr="003D11CB">
        <w:t xml:space="preserve">, paras. </w:t>
      </w:r>
      <w:r w:rsidRPr="003D11CB">
        <w:rPr>
          <w:lang w:val="es-ES"/>
        </w:rPr>
        <w:t>111–114.</w:t>
      </w:r>
    </w:p>
  </w:footnote>
  <w:footnote w:id="19">
    <w:p w14:paraId="41AE21B0" w14:textId="77777777" w:rsidR="00FA3AA4" w:rsidRPr="0021638B" w:rsidRDefault="00FA3AA4" w:rsidP="00FA3AA4">
      <w:pPr>
        <w:pStyle w:val="FootnoteText"/>
        <w:widowControl w:val="0"/>
        <w:tabs>
          <w:tab w:val="clear" w:pos="1021"/>
          <w:tab w:val="right" w:pos="1020"/>
        </w:tabs>
        <w:rPr>
          <w:lang w:val="es-ES"/>
        </w:rPr>
      </w:pPr>
      <w:r w:rsidRPr="003D11CB">
        <w:rPr>
          <w:lang w:val="es-ES"/>
        </w:rPr>
        <w:tab/>
      </w:r>
      <w:r>
        <w:rPr>
          <w:rStyle w:val="FootnoteReference"/>
        </w:rPr>
        <w:footnoteRef/>
      </w:r>
      <w:r w:rsidRPr="0021638B">
        <w:rPr>
          <w:lang w:val="es-ES"/>
        </w:rPr>
        <w:tab/>
        <w:t xml:space="preserve">Ibid., paras. </w:t>
      </w:r>
      <w:r w:rsidRPr="00DB603D">
        <w:rPr>
          <w:lang w:val="es-ES"/>
        </w:rPr>
        <w:t>129</w:t>
      </w:r>
      <w:r>
        <w:rPr>
          <w:lang w:val="es-ES"/>
        </w:rPr>
        <w:t>–</w:t>
      </w:r>
      <w:r w:rsidRPr="00DB603D">
        <w:rPr>
          <w:lang w:val="es-ES"/>
        </w:rPr>
        <w:t>136</w:t>
      </w:r>
      <w:r w:rsidRPr="0021638B">
        <w:rPr>
          <w:lang w:val="es-ES"/>
        </w:rPr>
        <w:t>.</w:t>
      </w:r>
    </w:p>
  </w:footnote>
  <w:footnote w:id="20">
    <w:p w14:paraId="504F32CE" w14:textId="77777777" w:rsidR="00FA3AA4" w:rsidRPr="0021638B" w:rsidRDefault="00FA3AA4" w:rsidP="00FA3AA4">
      <w:pPr>
        <w:pStyle w:val="FootnoteText"/>
        <w:widowControl w:val="0"/>
        <w:tabs>
          <w:tab w:val="clear" w:pos="1021"/>
          <w:tab w:val="right" w:pos="1020"/>
        </w:tabs>
        <w:rPr>
          <w:lang w:val="es-ES"/>
        </w:rPr>
      </w:pPr>
      <w:r w:rsidRPr="0021638B">
        <w:rPr>
          <w:lang w:val="es-ES"/>
        </w:rPr>
        <w:tab/>
      </w:r>
      <w:r>
        <w:rPr>
          <w:rStyle w:val="FootnoteReference"/>
        </w:rPr>
        <w:footnoteRef/>
      </w:r>
      <w:r w:rsidRPr="0021638B">
        <w:rPr>
          <w:lang w:val="es-ES"/>
        </w:rPr>
        <w:tab/>
        <w:t xml:space="preserve">Ibid., para. </w:t>
      </w:r>
      <w:r w:rsidRPr="0037352C">
        <w:rPr>
          <w:lang w:val="es-ES"/>
        </w:rPr>
        <w:t>181</w:t>
      </w:r>
      <w:r w:rsidRPr="0021638B">
        <w:rPr>
          <w:lang w:val="es-ES"/>
        </w:rPr>
        <w:t>.</w:t>
      </w:r>
    </w:p>
  </w:footnote>
  <w:footnote w:id="21">
    <w:p w14:paraId="095CE8D3" w14:textId="77777777" w:rsidR="00FA3AA4" w:rsidRPr="003D11CB" w:rsidRDefault="00FA3AA4" w:rsidP="00FA3AA4">
      <w:pPr>
        <w:pStyle w:val="FootnoteText"/>
        <w:widowControl w:val="0"/>
        <w:tabs>
          <w:tab w:val="clear" w:pos="1021"/>
          <w:tab w:val="right" w:pos="1020"/>
        </w:tabs>
        <w:rPr>
          <w:lang w:val="es-ES"/>
        </w:rPr>
      </w:pPr>
      <w:r w:rsidRPr="0021638B">
        <w:rPr>
          <w:lang w:val="es-ES"/>
        </w:rPr>
        <w:tab/>
      </w:r>
      <w:r>
        <w:rPr>
          <w:rStyle w:val="FootnoteReference"/>
        </w:rPr>
        <w:footnoteRef/>
      </w:r>
      <w:r w:rsidRPr="0021638B">
        <w:rPr>
          <w:lang w:val="es-ES"/>
        </w:rPr>
        <w:tab/>
        <w:t xml:space="preserve">Ibid., paras. </w:t>
      </w:r>
      <w:r w:rsidRPr="003D11CB">
        <w:rPr>
          <w:lang w:val="es-ES"/>
        </w:rPr>
        <w:t>123–127.</w:t>
      </w:r>
    </w:p>
  </w:footnote>
  <w:footnote w:id="22">
    <w:p w14:paraId="4C5C8DEA" w14:textId="59FC412C" w:rsidR="00FA3AA4" w:rsidRPr="003D11CB" w:rsidRDefault="00FA3AA4" w:rsidP="00FA3AA4">
      <w:pPr>
        <w:pStyle w:val="FootnoteText"/>
        <w:widowControl w:val="0"/>
        <w:tabs>
          <w:tab w:val="clear" w:pos="1021"/>
          <w:tab w:val="right" w:pos="1020"/>
        </w:tabs>
      </w:pPr>
      <w:r w:rsidRPr="003D11CB">
        <w:rPr>
          <w:lang w:val="es-ES"/>
        </w:rPr>
        <w:tab/>
      </w:r>
      <w:r>
        <w:rPr>
          <w:rStyle w:val="FootnoteReference"/>
        </w:rPr>
        <w:footnoteRef/>
      </w:r>
      <w:r w:rsidRPr="00F52B43">
        <w:rPr>
          <w:lang w:val="es-ES"/>
        </w:rPr>
        <w:tab/>
      </w:r>
      <w:hyperlink r:id="rId18" w:history="1">
        <w:r w:rsidRPr="004F5C67">
          <w:rPr>
            <w:rStyle w:val="Hyperlink"/>
            <w:lang w:val="es-ES"/>
          </w:rPr>
          <w:t>CERD/C/MCO/CO/6</w:t>
        </w:r>
      </w:hyperlink>
      <w:r w:rsidRPr="00F52B43">
        <w:rPr>
          <w:lang w:val="es-ES"/>
        </w:rPr>
        <w:t xml:space="preserve">, para. </w:t>
      </w:r>
      <w:r w:rsidRPr="001906EA">
        <w:t xml:space="preserve">14; and </w:t>
      </w:r>
      <w:hyperlink r:id="rId19" w:history="1">
        <w:r w:rsidRPr="004F5C67">
          <w:rPr>
            <w:rStyle w:val="Hyperlink"/>
          </w:rPr>
          <w:t>CERD/C/MCO/7-9</w:t>
        </w:r>
      </w:hyperlink>
      <w:r w:rsidRPr="001906EA">
        <w:t xml:space="preserve">, paras. </w:t>
      </w:r>
      <w:r w:rsidRPr="003D11CB">
        <w:t>147–153.</w:t>
      </w:r>
    </w:p>
  </w:footnote>
  <w:footnote w:id="23">
    <w:p w14:paraId="15BD2ABE" w14:textId="69B9735F" w:rsidR="00FA3AA4" w:rsidRPr="003D11CB" w:rsidRDefault="00FA3AA4" w:rsidP="00FA3AA4">
      <w:pPr>
        <w:pStyle w:val="FootnoteText"/>
        <w:widowControl w:val="0"/>
        <w:tabs>
          <w:tab w:val="clear" w:pos="1021"/>
          <w:tab w:val="right" w:pos="1020"/>
        </w:tabs>
      </w:pPr>
      <w:r w:rsidRPr="003D11CB">
        <w:tab/>
      </w:r>
      <w:r>
        <w:rPr>
          <w:rStyle w:val="FootnoteReference"/>
        </w:rPr>
        <w:footnoteRef/>
      </w:r>
      <w:r w:rsidRPr="003D11CB">
        <w:tab/>
      </w:r>
      <w:hyperlink r:id="rId20" w:history="1">
        <w:r w:rsidRPr="004F5C67">
          <w:rPr>
            <w:rStyle w:val="Hyperlink"/>
          </w:rPr>
          <w:t>CERD/C/MCO/7-9</w:t>
        </w:r>
      </w:hyperlink>
      <w:r w:rsidRPr="003D11CB">
        <w:t>, paras. 147–155 and 189–202.</w:t>
      </w:r>
    </w:p>
  </w:footnote>
  <w:footnote w:id="24">
    <w:p w14:paraId="151D819C" w14:textId="16313EE7" w:rsidR="00FA3AA4" w:rsidRPr="003D11CB" w:rsidRDefault="00FA3AA4" w:rsidP="00FA3AA4">
      <w:pPr>
        <w:pStyle w:val="FootnoteText"/>
        <w:widowControl w:val="0"/>
        <w:tabs>
          <w:tab w:val="clear" w:pos="1021"/>
          <w:tab w:val="right" w:pos="1020"/>
        </w:tabs>
      </w:pPr>
      <w:r w:rsidRPr="003D11CB">
        <w:tab/>
      </w:r>
      <w:r>
        <w:rPr>
          <w:rStyle w:val="FootnoteReference"/>
        </w:rPr>
        <w:footnoteRef/>
      </w:r>
      <w:r w:rsidRPr="003D11CB">
        <w:tab/>
      </w:r>
      <w:hyperlink r:id="rId21" w:history="1">
        <w:r w:rsidRPr="004F5C67">
          <w:rPr>
            <w:rStyle w:val="Hyperlink"/>
          </w:rPr>
          <w:t>CERD/C/MCO/CO/6</w:t>
        </w:r>
      </w:hyperlink>
      <w:r w:rsidRPr="003D11CB">
        <w:t xml:space="preserve">, para. </w:t>
      </w:r>
      <w:r w:rsidRPr="00EE52FB">
        <w:t xml:space="preserve">14; and </w:t>
      </w:r>
      <w:hyperlink r:id="rId22" w:history="1">
        <w:r w:rsidRPr="004F5C67">
          <w:rPr>
            <w:rStyle w:val="Hyperlink"/>
          </w:rPr>
          <w:t>CERD/C/MCO/7-9</w:t>
        </w:r>
      </w:hyperlink>
      <w:r w:rsidRPr="00EE52FB">
        <w:t xml:space="preserve">, paras. </w:t>
      </w:r>
      <w:r w:rsidRPr="003D11CB">
        <w:t>109 and 147–155.</w:t>
      </w:r>
    </w:p>
  </w:footnote>
  <w:footnote w:id="25">
    <w:p w14:paraId="2801F532" w14:textId="6F33FF47" w:rsidR="00FA3AA4" w:rsidRPr="002A4860" w:rsidRDefault="00FA3AA4" w:rsidP="00FA3AA4">
      <w:pPr>
        <w:pStyle w:val="FootnoteText"/>
        <w:widowControl w:val="0"/>
        <w:tabs>
          <w:tab w:val="clear" w:pos="1021"/>
          <w:tab w:val="right" w:pos="1020"/>
        </w:tabs>
      </w:pPr>
      <w:r w:rsidRPr="003D11CB">
        <w:tab/>
      </w:r>
      <w:r>
        <w:rPr>
          <w:rStyle w:val="FootnoteReference"/>
        </w:rPr>
        <w:footnoteRef/>
      </w:r>
      <w:r w:rsidRPr="002A4860">
        <w:tab/>
      </w:r>
      <w:hyperlink r:id="rId23" w:history="1">
        <w:r w:rsidRPr="004F5C67">
          <w:rPr>
            <w:rStyle w:val="Hyperlink"/>
          </w:rPr>
          <w:t>CERD/C/MCO/7-9</w:t>
        </w:r>
      </w:hyperlink>
      <w:r w:rsidRPr="002A4860">
        <w:t>, par</w:t>
      </w:r>
      <w:r>
        <w:t>as</w:t>
      </w:r>
      <w:r w:rsidRPr="002A4860">
        <w:t>. 156</w:t>
      </w:r>
      <w:r>
        <w:t>–</w:t>
      </w:r>
      <w:r w:rsidRPr="002A4860">
        <w:t>158.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DF425" w14:textId="77777777" w:rsidR="00FA3AA4" w:rsidRDefault="00FA3AA4" w:rsidP="00FA3AA4">
    <w:pPr>
      <w:pStyle w:val="Header"/>
    </w:pPr>
    <w:r>
      <w:t>CERD/C/MCO/Q/7-9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6B983" w14:textId="77777777" w:rsidR="00FA3AA4" w:rsidRDefault="00FA3AA4" w:rsidP="00FA3AA4">
    <w:pPr>
      <w:pStyle w:val="Header"/>
      <w:jc w:val="right"/>
    </w:pPr>
    <w:r>
      <w:t>CERD/C/MCO/Q/7-9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3469602">
    <w:abstractNumId w:val="3"/>
  </w:num>
  <w:num w:numId="2" w16cid:durableId="402994501">
    <w:abstractNumId w:val="2"/>
  </w:num>
  <w:num w:numId="3" w16cid:durableId="920220071">
    <w:abstractNumId w:val="0"/>
  </w:num>
  <w:num w:numId="4" w16cid:durableId="1045376941">
    <w:abstractNumId w:val="4"/>
  </w:num>
  <w:num w:numId="5" w16cid:durableId="842093030">
    <w:abstractNumId w:val="5"/>
  </w:num>
  <w:num w:numId="6" w16cid:durableId="753630711">
    <w:abstractNumId w:val="6"/>
  </w:num>
  <w:num w:numId="7" w16cid:durableId="1890190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122"/>
    <w:rsid w:val="00021C97"/>
    <w:rsid w:val="00046E92"/>
    <w:rsid w:val="000619CA"/>
    <w:rsid w:val="001A662A"/>
    <w:rsid w:val="001C3218"/>
    <w:rsid w:val="00247E2C"/>
    <w:rsid w:val="002D6C53"/>
    <w:rsid w:val="002F5595"/>
    <w:rsid w:val="00307688"/>
    <w:rsid w:val="00334F6A"/>
    <w:rsid w:val="00342AC8"/>
    <w:rsid w:val="003B4550"/>
    <w:rsid w:val="00432DCA"/>
    <w:rsid w:val="00461253"/>
    <w:rsid w:val="004F5C67"/>
    <w:rsid w:val="005042C2"/>
    <w:rsid w:val="00526361"/>
    <w:rsid w:val="00557F19"/>
    <w:rsid w:val="00671529"/>
    <w:rsid w:val="00672C80"/>
    <w:rsid w:val="00685480"/>
    <w:rsid w:val="00691FE5"/>
    <w:rsid w:val="006A2923"/>
    <w:rsid w:val="007233F9"/>
    <w:rsid w:val="007268F9"/>
    <w:rsid w:val="00735147"/>
    <w:rsid w:val="007968DD"/>
    <w:rsid w:val="007C52B0"/>
    <w:rsid w:val="00883988"/>
    <w:rsid w:val="008A7FD0"/>
    <w:rsid w:val="008E0F96"/>
    <w:rsid w:val="008F3D5F"/>
    <w:rsid w:val="009411B4"/>
    <w:rsid w:val="0097793E"/>
    <w:rsid w:val="009D0139"/>
    <w:rsid w:val="009D06A7"/>
    <w:rsid w:val="009D6122"/>
    <w:rsid w:val="009F5CDC"/>
    <w:rsid w:val="00A0297D"/>
    <w:rsid w:val="00A51F1E"/>
    <w:rsid w:val="00A775CF"/>
    <w:rsid w:val="00A8196B"/>
    <w:rsid w:val="00B06045"/>
    <w:rsid w:val="00B65189"/>
    <w:rsid w:val="00C01462"/>
    <w:rsid w:val="00C35A27"/>
    <w:rsid w:val="00CB1FB9"/>
    <w:rsid w:val="00D20D0E"/>
    <w:rsid w:val="00D70FE1"/>
    <w:rsid w:val="00DA7116"/>
    <w:rsid w:val="00DD4530"/>
    <w:rsid w:val="00DE532E"/>
    <w:rsid w:val="00E02C2B"/>
    <w:rsid w:val="00ED6C48"/>
    <w:rsid w:val="00F65F5D"/>
    <w:rsid w:val="00F86A3A"/>
    <w:rsid w:val="00FA3A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7B749"/>
  <w15:docId w15:val="{C4DFB7D8-8AEF-4E01-ACFF-C3D5D0859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FA3AA4"/>
    <w:pPr>
      <w:keepNext/>
      <w:keepLines/>
      <w:tabs>
        <w:tab w:val="right" w:pos="851"/>
      </w:tabs>
      <w:suppressAutoHyphens w:val="0"/>
      <w:spacing w:before="240" w:after="240" w:line="360" w:lineRule="exact"/>
      <w:ind w:left="1134" w:right="1134" w:hanging="1134"/>
    </w:pPr>
    <w:rPr>
      <w:rFonts w:eastAsia="SimSun"/>
      <w:b/>
      <w:kern w:val="2"/>
      <w:sz w:val="34"/>
      <w:lang w:eastAsia="zh-CN"/>
      <w14:ligatures w14:val="standardContextual"/>
    </w:rPr>
  </w:style>
  <w:style w:type="paragraph" w:customStyle="1" w:styleId="HChG">
    <w:name w:val="_ H _Ch_G"/>
    <w:basedOn w:val="Normal"/>
    <w:next w:val="Normal"/>
    <w:qFormat/>
    <w:rsid w:val="00691FE5"/>
    <w:pPr>
      <w:keepNext/>
      <w:keepLines/>
      <w:tabs>
        <w:tab w:val="right" w:pos="851"/>
      </w:tabs>
      <w:suppressAutoHyphens w:val="0"/>
      <w:spacing w:before="360" w:after="240" w:line="300" w:lineRule="exact"/>
      <w:ind w:left="1134" w:right="1134" w:hanging="1134"/>
      <w:outlineLvl w:val="1"/>
    </w:pPr>
    <w:rPr>
      <w:rFonts w:eastAsia="SimSun"/>
      <w:b/>
      <w:kern w:val="2"/>
      <w:sz w:val="28"/>
      <w:lang w:eastAsia="zh-CN"/>
      <w14:ligatures w14:val="standardContextual"/>
    </w:rPr>
  </w:style>
  <w:style w:type="paragraph" w:customStyle="1" w:styleId="H1G">
    <w:name w:val="_ H_1_G"/>
    <w:basedOn w:val="Normal"/>
    <w:next w:val="Normal"/>
    <w:link w:val="H1GChar"/>
    <w:qFormat/>
    <w:rsid w:val="00691FE5"/>
    <w:pPr>
      <w:keepNext/>
      <w:keepLines/>
      <w:tabs>
        <w:tab w:val="right" w:pos="851"/>
      </w:tabs>
      <w:suppressAutoHyphens w:val="0"/>
      <w:spacing w:before="360" w:after="240" w:line="270" w:lineRule="exact"/>
      <w:ind w:left="1134" w:right="1134" w:hanging="1134"/>
      <w:outlineLvl w:val="2"/>
    </w:pPr>
    <w:rPr>
      <w:rFonts w:eastAsia="SimSun"/>
      <w:b/>
      <w:kern w:val="2"/>
      <w:sz w:val="24"/>
      <w:lang w:eastAsia="zh-CN"/>
      <w14:ligatures w14:val="standardContextual"/>
    </w:rPr>
  </w:style>
  <w:style w:type="paragraph" w:customStyle="1" w:styleId="H23G">
    <w:name w:val="_ H_2/3_G"/>
    <w:basedOn w:val="Normal"/>
    <w:next w:val="Normal"/>
    <w:qFormat/>
    <w:rsid w:val="00691FE5"/>
    <w:pPr>
      <w:keepNext/>
      <w:keepLines/>
      <w:tabs>
        <w:tab w:val="right" w:pos="851"/>
      </w:tabs>
      <w:suppressAutoHyphens w:val="0"/>
      <w:spacing w:before="240" w:after="120" w:line="240" w:lineRule="exact"/>
      <w:ind w:left="1134" w:right="1134" w:hanging="1134"/>
      <w:outlineLvl w:val="3"/>
    </w:pPr>
    <w:rPr>
      <w:rFonts w:eastAsia="SimSun"/>
      <w:b/>
      <w:kern w:val="2"/>
      <w:lang w:eastAsia="zh-CN"/>
      <w14:ligatures w14:val="standardContextual"/>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FA3AA4"/>
    <w:rPr>
      <w:rFonts w:ascii="Times New Roman" w:hAnsi="Times New Roman" w:cs="Times New Roman"/>
      <w:sz w:val="20"/>
      <w:szCs w:val="20"/>
    </w:rPr>
  </w:style>
  <w:style w:type="character" w:customStyle="1" w:styleId="H1GChar">
    <w:name w:val="_ H_1_G Char"/>
    <w:link w:val="H1G"/>
    <w:locked/>
    <w:rsid w:val="00691FE5"/>
    <w:rPr>
      <w:rFonts w:ascii="Times New Roman" w:hAnsi="Times New Roman" w:cs="Times New Roman"/>
      <w:b/>
      <w:kern w:val="2"/>
      <w:sz w:val="24"/>
      <w:szCs w:val="20"/>
      <w14:ligatures w14:val="standardContextual"/>
    </w:rPr>
  </w:style>
  <w:style w:type="character" w:styleId="Hyperlink">
    <w:name w:val="Hyperlink"/>
    <w:basedOn w:val="DefaultParagraphFont"/>
    <w:uiPriority w:val="99"/>
    <w:unhideWhenUsed/>
    <w:rsid w:val="00DD4530"/>
    <w:rPr>
      <w:color w:val="0000FF"/>
      <w:u w:val="none"/>
    </w:rPr>
  </w:style>
  <w:style w:type="character" w:styleId="FollowedHyperlink">
    <w:name w:val="FollowedHyperlink"/>
    <w:basedOn w:val="DefaultParagraphFont"/>
    <w:uiPriority w:val="99"/>
    <w:semiHidden/>
    <w:unhideWhenUsed/>
    <w:rsid w:val="00DD4530"/>
    <w:rPr>
      <w:color w:val="0000FF"/>
      <w:u w:val="single"/>
    </w:rPr>
  </w:style>
  <w:style w:type="character" w:styleId="UnresolvedMention">
    <w:name w:val="Unresolved Mention"/>
    <w:basedOn w:val="DefaultParagraphFont"/>
    <w:uiPriority w:val="99"/>
    <w:semiHidden/>
    <w:unhideWhenUsed/>
    <w:rsid w:val="00DD45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MCO/CO/6/Add.1" TargetMode="External"/><Relationship Id="rId13" Type="http://schemas.openxmlformats.org/officeDocument/2006/relationships/hyperlink" Target="http://undocs.org/en/CERD/C/MCO/CO/6" TargetMode="External"/><Relationship Id="rId18" Type="http://schemas.openxmlformats.org/officeDocument/2006/relationships/hyperlink" Target="http://undocs.org/en/CERD/C/MCO/CO/6" TargetMode="External"/><Relationship Id="rId3" Type="http://schemas.openxmlformats.org/officeDocument/2006/relationships/hyperlink" Target="http://undocs.org/en/CERD/C/MCO/7-9" TargetMode="External"/><Relationship Id="rId21" Type="http://schemas.openxmlformats.org/officeDocument/2006/relationships/hyperlink" Target="http://undocs.org/en/CERD/C/MCO/CO/6" TargetMode="External"/><Relationship Id="rId7" Type="http://schemas.openxmlformats.org/officeDocument/2006/relationships/hyperlink" Target="http://undocs.org/en/CERD/C/MCO/CO/6" TargetMode="External"/><Relationship Id="rId12" Type="http://schemas.openxmlformats.org/officeDocument/2006/relationships/hyperlink" Target="http://undocs.org/en/CERD/C/MCO/7-9" TargetMode="External"/><Relationship Id="rId17" Type="http://schemas.openxmlformats.org/officeDocument/2006/relationships/hyperlink" Target="http://undocs.org/en/CERD/C/MCO/7-9" TargetMode="External"/><Relationship Id="rId2" Type="http://schemas.openxmlformats.org/officeDocument/2006/relationships/hyperlink" Target="http://undocs.org/en/CERD/C/MCO/CO/6" TargetMode="External"/><Relationship Id="rId16" Type="http://schemas.openxmlformats.org/officeDocument/2006/relationships/hyperlink" Target="http://undocs.org/en/CERD/C/MCO/7-9" TargetMode="External"/><Relationship Id="rId20" Type="http://schemas.openxmlformats.org/officeDocument/2006/relationships/hyperlink" Target="http://undocs.org/en/CERD/C/MCO/7-9" TargetMode="External"/><Relationship Id="rId1" Type="http://schemas.openxmlformats.org/officeDocument/2006/relationships/hyperlink" Target="http://undocs.org/en/A/65/18" TargetMode="External"/><Relationship Id="rId6" Type="http://schemas.openxmlformats.org/officeDocument/2006/relationships/hyperlink" Target="http://undocs.org/en/CERD/C/MCO/7-9" TargetMode="External"/><Relationship Id="rId11" Type="http://schemas.openxmlformats.org/officeDocument/2006/relationships/hyperlink" Target="http://undocs.org/en/CERD/C/MCO/CO/6" TargetMode="External"/><Relationship Id="rId5" Type="http://schemas.openxmlformats.org/officeDocument/2006/relationships/hyperlink" Target="http://undocs.org/en/CERD/C/MCO/CO/6" TargetMode="External"/><Relationship Id="rId15" Type="http://schemas.openxmlformats.org/officeDocument/2006/relationships/hyperlink" Target="http://undocs.org/en/CERD/C/MCO/CO/6" TargetMode="External"/><Relationship Id="rId23" Type="http://schemas.openxmlformats.org/officeDocument/2006/relationships/hyperlink" Target="http://undocs.org/en/CERD/C/MCO/7-9" TargetMode="External"/><Relationship Id="rId10" Type="http://schemas.openxmlformats.org/officeDocument/2006/relationships/hyperlink" Target="http://undocs.org/en/CERD/C/MCO/7-9" TargetMode="External"/><Relationship Id="rId19" Type="http://schemas.openxmlformats.org/officeDocument/2006/relationships/hyperlink" Target="http://undocs.org/en/CERD/C/MCO/7-9" TargetMode="External"/><Relationship Id="rId4" Type="http://schemas.openxmlformats.org/officeDocument/2006/relationships/hyperlink" Target="http://undocs.org/en/CERD/C/MCO/7-9" TargetMode="External"/><Relationship Id="rId9" Type="http://schemas.openxmlformats.org/officeDocument/2006/relationships/hyperlink" Target="http://undocs.org/en/CERD/C/MCO/7-9" TargetMode="External"/><Relationship Id="rId14" Type="http://schemas.openxmlformats.org/officeDocument/2006/relationships/hyperlink" Target="http://undocs.org/en/CERD/C/MCO/7-9" TargetMode="External"/><Relationship Id="rId22" Type="http://schemas.openxmlformats.org/officeDocument/2006/relationships/hyperlink" Target="http://undocs.org/en/CERD/C/MCO/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1740</Words>
  <Characters>9998</Characters>
  <Application>Microsoft Office Word</Application>
  <DocSecurity>0</DocSecurity>
  <Lines>158</Lines>
  <Paragraphs>41</Paragraphs>
  <ScaleCrop>false</ScaleCrop>
  <Company>DCM</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CERD/C/MCO/Q/7-9</dc:title>
  <dc:subject>2417392</dc:subject>
  <dc:creator>cg</dc:creator>
  <cp:keywords/>
  <dc:description/>
  <cp:lastModifiedBy>Maria Rosario Corazon Gatmaytan</cp:lastModifiedBy>
  <cp:revision>2</cp:revision>
  <dcterms:created xsi:type="dcterms:W3CDTF">2024-10-21T06:45:00Z</dcterms:created>
  <dcterms:modified xsi:type="dcterms:W3CDTF">2024-10-21T06:45:00Z</dcterms:modified>
</cp:coreProperties>
</file>