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30AE" w:rsidRDefault="006330AE" w:rsidP="006330AE">
      <w:pPr>
        <w:spacing w:line="60" w:lineRule="exact"/>
        <w:rPr>
          <w:sz w:val="6"/>
        </w:rPr>
        <w:sectPr w:rsidR="006330AE" w:rsidSect="006330A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6330AE" w:rsidRDefault="006330AE" w:rsidP="006330AE">
      <w:pPr>
        <w:spacing w:line="60" w:lineRule="exact"/>
        <w:rPr>
          <w:sz w:val="6"/>
        </w:rPr>
      </w:pPr>
    </w:p>
    <w:p w:rsidR="00E641D3" w:rsidRDefault="00E641D3" w:rsidP="009471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4" w:right="1259" w:hanging="1264"/>
        <w:rPr>
          <w:rFonts w:hint="eastAsia"/>
        </w:rPr>
      </w:pPr>
      <w:r>
        <w:rPr>
          <w:rFonts w:hint="eastAsia"/>
        </w:rPr>
        <w:t>消除对妇女歧视委员会</w:t>
      </w:r>
    </w:p>
    <w:p w:rsidR="00E641D3" w:rsidRDefault="00E641D3" w:rsidP="009471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4" w:right="1259" w:hanging="1264"/>
        <w:rPr>
          <w:rFonts w:hint="eastAsia"/>
        </w:rPr>
      </w:pPr>
      <w:r>
        <w:rPr>
          <w:rFonts w:hint="eastAsia"/>
        </w:rPr>
        <w:t>会前工作组</w:t>
      </w:r>
    </w:p>
    <w:p w:rsidR="00E641D3" w:rsidRDefault="00E641D3" w:rsidP="009471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4" w:right="1259" w:hanging="1264"/>
        <w:rPr>
          <w:rFonts w:hint="eastAsia"/>
        </w:rPr>
      </w:pPr>
      <w:r>
        <w:rPr>
          <w:rFonts w:hint="eastAsia"/>
        </w:rPr>
        <w:t>第四十二届会议</w:t>
      </w:r>
    </w:p>
    <w:p w:rsidR="00E641D3" w:rsidRDefault="00E641D3" w:rsidP="0085792E">
      <w:pPr>
        <w:pStyle w:val="SingleTxt"/>
        <w:ind w:left="0"/>
        <w:rPr>
          <w:rFonts w:hint="eastAsia"/>
        </w:rPr>
      </w:pPr>
      <w:r>
        <w:rPr>
          <w:rFonts w:hint="eastAsia"/>
        </w:rPr>
        <w:t>2008年</w:t>
      </w:r>
      <w:r w:rsidR="00947171">
        <w:t>10</w:t>
      </w:r>
      <w:r>
        <w:rPr>
          <w:rFonts w:hint="eastAsia"/>
        </w:rPr>
        <w:t>月</w:t>
      </w:r>
      <w:r w:rsidR="00947171">
        <w:t>20</w:t>
      </w:r>
      <w:r>
        <w:rPr>
          <w:rFonts w:hint="eastAsia"/>
        </w:rPr>
        <w:t>日至</w:t>
      </w:r>
      <w:r w:rsidR="00947171">
        <w:rPr>
          <w:rFonts w:hint="eastAsia"/>
        </w:rPr>
        <w:t>11月7</w:t>
      </w:r>
      <w:r>
        <w:rPr>
          <w:rFonts w:hint="eastAsia"/>
        </w:rPr>
        <w:t>日</w:t>
      </w:r>
    </w:p>
    <w:p w:rsidR="0085792E" w:rsidRPr="0085792E" w:rsidRDefault="0085792E" w:rsidP="0085792E">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SimSun" w:eastAsia="SimSun"/>
          <w:color w:val="auto"/>
          <w:sz w:val="10"/>
        </w:rPr>
      </w:pPr>
    </w:p>
    <w:p w:rsidR="0085792E" w:rsidRPr="0085792E" w:rsidRDefault="0085792E" w:rsidP="0085792E">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947171" w:rsidRPr="00947171" w:rsidRDefault="00947171" w:rsidP="00947171">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E641D3" w:rsidRDefault="0085792E" w:rsidP="0085792E">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E641D3">
        <w:rPr>
          <w:rFonts w:hint="eastAsia"/>
        </w:rPr>
        <w:t>与审议定期报告有关的议题和问题清单</w:t>
      </w:r>
    </w:p>
    <w:p w:rsidR="0085792E" w:rsidRPr="0085792E" w:rsidRDefault="0085792E" w:rsidP="0085792E">
      <w:pPr>
        <w:pStyle w:val="SingleTxt"/>
        <w:spacing w:after="0" w:line="120" w:lineRule="exact"/>
        <w:rPr>
          <w:sz w:val="10"/>
        </w:rPr>
      </w:pPr>
    </w:p>
    <w:p w:rsidR="0085792E" w:rsidRPr="0085792E" w:rsidRDefault="0085792E" w:rsidP="0085792E">
      <w:pPr>
        <w:pStyle w:val="SingleTxt"/>
        <w:spacing w:after="0" w:line="120" w:lineRule="exact"/>
        <w:rPr>
          <w:rFonts w:hint="eastAsia"/>
          <w:sz w:val="10"/>
        </w:rPr>
      </w:pPr>
    </w:p>
    <w:p w:rsidR="0085792E" w:rsidRPr="0085792E" w:rsidRDefault="0085792E" w:rsidP="008579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E641D3" w:rsidRDefault="0085792E" w:rsidP="008579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E641D3">
        <w:rPr>
          <w:rFonts w:hint="eastAsia"/>
        </w:rPr>
        <w:t>乌拉圭</w:t>
      </w:r>
    </w:p>
    <w:p w:rsidR="0085792E" w:rsidRPr="0085792E" w:rsidRDefault="0085792E" w:rsidP="0085792E">
      <w:pPr>
        <w:pStyle w:val="SingleTxt"/>
        <w:spacing w:after="0" w:line="120" w:lineRule="exact"/>
        <w:rPr>
          <w:sz w:val="10"/>
        </w:rPr>
      </w:pPr>
    </w:p>
    <w:p w:rsidR="0085792E" w:rsidRPr="0085792E" w:rsidRDefault="0085792E" w:rsidP="0085792E">
      <w:pPr>
        <w:pStyle w:val="SingleTxt"/>
        <w:spacing w:after="0" w:line="120" w:lineRule="exact"/>
        <w:rPr>
          <w:rFonts w:hint="eastAsia"/>
          <w:sz w:val="10"/>
        </w:rPr>
      </w:pPr>
    </w:p>
    <w:p w:rsidR="00E641D3" w:rsidRDefault="00E641D3" w:rsidP="00E641D3">
      <w:pPr>
        <w:pStyle w:val="SingleTxt"/>
        <w:rPr>
          <w:rFonts w:hint="eastAsia"/>
        </w:rPr>
      </w:pPr>
      <w:r>
        <w:rPr>
          <w:rFonts w:hint="eastAsia"/>
        </w:rPr>
        <w:tab/>
      </w:r>
      <w:r w:rsidRPr="004A094C">
        <w:rPr>
          <w:rFonts w:hint="eastAsia"/>
          <w:spacing w:val="-2"/>
        </w:rPr>
        <w:t>会前工作组审议了乌拉圭</w:t>
      </w:r>
      <w:r w:rsidR="00947171">
        <w:rPr>
          <w:rFonts w:hint="eastAsia"/>
          <w:spacing w:val="-2"/>
        </w:rPr>
        <w:t>的</w:t>
      </w:r>
      <w:r w:rsidRPr="004A094C">
        <w:rPr>
          <w:rFonts w:hint="eastAsia"/>
          <w:spacing w:val="-2"/>
        </w:rPr>
        <w:t>第四次、第五次、第六次和第七次合并</w:t>
      </w:r>
      <w:r w:rsidR="0017714B">
        <w:rPr>
          <w:rFonts w:hint="eastAsia"/>
          <w:spacing w:val="-2"/>
        </w:rPr>
        <w:t>定期</w:t>
      </w:r>
      <w:r w:rsidRPr="004A094C">
        <w:rPr>
          <w:rFonts w:hint="eastAsia"/>
          <w:spacing w:val="-2"/>
        </w:rPr>
        <w:t>报告</w:t>
      </w:r>
      <w:r>
        <w:rPr>
          <w:rFonts w:hint="eastAsia"/>
        </w:rPr>
        <w:t>（CEDAW/C/URY/7）。</w:t>
      </w:r>
    </w:p>
    <w:p w:rsidR="00E641D3" w:rsidRPr="0085792E" w:rsidRDefault="00E641D3" w:rsidP="00E641D3">
      <w:pPr>
        <w:pStyle w:val="SingleTxt"/>
        <w:rPr>
          <w:rFonts w:ascii="SimHei" w:eastAsia="SimHei" w:hint="eastAsia"/>
          <w:color w:val="FF0000"/>
        </w:rPr>
      </w:pPr>
      <w:r w:rsidRPr="0085792E">
        <w:rPr>
          <w:rFonts w:ascii="SimHei" w:eastAsia="SimHei" w:hint="eastAsia"/>
          <w:color w:val="FF0000"/>
        </w:rPr>
        <w:t>立法和体制框架</w:t>
      </w:r>
    </w:p>
    <w:p w:rsidR="00E641D3" w:rsidRDefault="00E641D3" w:rsidP="00E641D3">
      <w:pPr>
        <w:pStyle w:val="SingleTxt"/>
        <w:rPr>
          <w:rFonts w:hint="eastAsia"/>
        </w:rPr>
      </w:pPr>
      <w:r>
        <w:rPr>
          <w:rFonts w:hint="eastAsia"/>
        </w:rPr>
        <w:t>1.</w:t>
      </w:r>
      <w:r>
        <w:rPr>
          <w:rFonts w:hint="eastAsia"/>
        </w:rPr>
        <w:tab/>
        <w:t>报告称，2004年8月18日关于反对种族主义、仇外心理和歧视的第17.817</w:t>
      </w:r>
      <w:r w:rsidR="0017714B">
        <w:rPr>
          <w:rFonts w:hint="eastAsia"/>
        </w:rPr>
        <w:t>号法提出了关于政治、社会和文化领域的歧视</w:t>
      </w:r>
      <w:r>
        <w:rPr>
          <w:rFonts w:hint="eastAsia"/>
        </w:rPr>
        <w:t>定义，内含性别歧视。但这一定义并非专门针对妇女，而且如报告中所承认，也没有为妇女在私人生活中提供保护（第7页）。根据委员会在审议缔约国第二次和第三次定期报告时提出的建议，请说明贵国采取了哪些其他措施将《公约》第1</w:t>
      </w:r>
      <w:r w:rsidR="0017714B">
        <w:rPr>
          <w:rFonts w:hint="eastAsia"/>
        </w:rPr>
        <w:t>条关于歧视妇女</w:t>
      </w:r>
      <w:r>
        <w:rPr>
          <w:rFonts w:hint="eastAsia"/>
        </w:rPr>
        <w:t>的定义列入国内法。</w:t>
      </w:r>
      <w:r w:rsidR="007527B3">
        <w:rPr>
          <w:rStyle w:val="FootnoteReference"/>
        </w:rPr>
        <w:footnoteReference w:id="1"/>
      </w:r>
      <w:r>
        <w:rPr>
          <w:rFonts w:hint="eastAsia"/>
        </w:rPr>
        <w:t xml:space="preserve"> </w:t>
      </w:r>
    </w:p>
    <w:p w:rsidR="00E641D3" w:rsidRDefault="00E641D3" w:rsidP="00E641D3">
      <w:pPr>
        <w:pStyle w:val="SingleTxt"/>
        <w:rPr>
          <w:rFonts w:hint="eastAsia"/>
        </w:rPr>
      </w:pPr>
      <w:r>
        <w:rPr>
          <w:rFonts w:hint="eastAsia"/>
        </w:rPr>
        <w:t>2.</w:t>
      </w:r>
      <w:r>
        <w:rPr>
          <w:rFonts w:hint="eastAsia"/>
        </w:rPr>
        <w:tab/>
        <w:t>报告称，根据2005年3月21日第17.866号法设立的国家妇女事务局已开始扭转原家庭和妇女事务局曾面临的局面。委员会在2002年审查时曾对这一局面表示关切。第17.296号法增加了妇女事务局的预算，其中略多于50</w:t>
      </w:r>
      <w:r w:rsidR="0085792E">
        <w:rPr>
          <w:rFonts w:hint="eastAsia"/>
        </w:rPr>
        <w:t>％</w:t>
      </w:r>
      <w:r>
        <w:rPr>
          <w:rFonts w:hint="eastAsia"/>
        </w:rPr>
        <w:t>的款额是用于支付薪金（第13至16页）。请说明这一预算是否足以满足该局完成任务的需要。此外，报告中没有清楚说明该机构在人力资源</w:t>
      </w:r>
      <w:r w:rsidR="0017714B">
        <w:rPr>
          <w:rFonts w:hint="eastAsia"/>
        </w:rPr>
        <w:t>方面在何种程度上已得到切实加强，在何种程度上已具备</w:t>
      </w:r>
      <w:r>
        <w:rPr>
          <w:rFonts w:hint="eastAsia"/>
        </w:rPr>
        <w:t>分权结构</w:t>
      </w:r>
      <w:r w:rsidR="0017714B">
        <w:rPr>
          <w:rFonts w:hint="eastAsia"/>
        </w:rPr>
        <w:t>且已落实</w:t>
      </w:r>
      <w:r>
        <w:rPr>
          <w:rFonts w:hint="eastAsia"/>
        </w:rPr>
        <w:t>问责机制和行政权限。请提供具体信息，包括统计数据，反映人员增加情况以及该机构工作涵盖的部门和市政厅比例。</w:t>
      </w:r>
    </w:p>
    <w:p w:rsidR="00E641D3" w:rsidRDefault="00E641D3" w:rsidP="00E641D3">
      <w:pPr>
        <w:pStyle w:val="SingleTxt"/>
        <w:rPr>
          <w:rFonts w:hint="eastAsia"/>
        </w:rPr>
      </w:pPr>
      <w:r>
        <w:rPr>
          <w:rFonts w:hint="eastAsia"/>
        </w:rPr>
        <w:t>3．</w:t>
      </w:r>
      <w:r>
        <w:rPr>
          <w:rFonts w:hint="eastAsia"/>
        </w:rPr>
        <w:tab/>
        <w:t>报告指出，现行《刑法》需要加以大幅度修订（第13页），并承认特别是《刑法》关于“伤风败俗和破坏家庭罪”的第十章所涉概念是上个世纪的理念，在描述性犯罪的性质时，保留了诸如“羞辱”、“贞节”和“公共丑闻”等提法（第23页）。请说明新的立法机关进行了哪些努力，以修订现有法律，特别是《刑法》，使其符合《公约》的规定。</w:t>
      </w:r>
      <w:r w:rsidR="007527B3">
        <w:rPr>
          <w:rStyle w:val="FootnoteReference"/>
        </w:rPr>
        <w:footnoteReference w:id="2"/>
      </w:r>
      <w:r>
        <w:rPr>
          <w:rFonts w:hint="eastAsia"/>
        </w:rPr>
        <w:t xml:space="preserve"> 请特别说明《刑法》第十章修订工作的进展，并说明婚内性虐待行为是否受到处罚。</w:t>
      </w:r>
    </w:p>
    <w:p w:rsidR="00E641D3" w:rsidRDefault="00E641D3" w:rsidP="00E641D3">
      <w:pPr>
        <w:pStyle w:val="SingleTxt"/>
        <w:rPr>
          <w:rFonts w:hint="eastAsia"/>
        </w:rPr>
      </w:pPr>
      <w:r>
        <w:rPr>
          <w:rFonts w:hint="eastAsia"/>
        </w:rPr>
        <w:t>4．</w:t>
      </w:r>
      <w:r>
        <w:rPr>
          <w:rFonts w:hint="eastAsia"/>
        </w:rPr>
        <w:tab/>
        <w:t>报告指出，现行《刑法》没有明文禁止暴力侵害妇女行为，也没有规定“在刑事司法程序中为受害者提供保护和护送”，因此，在送交刑事审理的本来就为数甚少的案件中，最终很难对被告判刑。报告还认为，《刑法》在这方面需要“做大幅度修订”（第10和13页）。请说明缔约国为修订《刑法》关于暴力侵害妇女行为的条款进行了哪些努力。</w:t>
      </w:r>
    </w:p>
    <w:p w:rsidR="00E641D3" w:rsidRDefault="00E641D3" w:rsidP="00E641D3">
      <w:pPr>
        <w:pStyle w:val="SingleTxt"/>
        <w:rPr>
          <w:rFonts w:hint="eastAsia"/>
        </w:rPr>
      </w:pPr>
      <w:r>
        <w:rPr>
          <w:rFonts w:hint="eastAsia"/>
        </w:rPr>
        <w:t>5．</w:t>
      </w:r>
      <w:r>
        <w:rPr>
          <w:rFonts w:hint="eastAsia"/>
        </w:rPr>
        <w:tab/>
        <w:t>请解释实施第一个机会和权利平等计划（2002</w:t>
      </w:r>
      <w:r w:rsidR="0085792E">
        <w:t>-</w:t>
      </w:r>
      <w:r>
        <w:rPr>
          <w:rFonts w:hint="eastAsia"/>
        </w:rPr>
        <w:t>2005年）的主要成果和挑战，包括提供关于在该行动计划框架内开展的行动和执行的方案的详细信息。</w:t>
      </w:r>
    </w:p>
    <w:p w:rsidR="00E641D3" w:rsidRPr="0085792E" w:rsidRDefault="00E641D3" w:rsidP="00E641D3">
      <w:pPr>
        <w:pStyle w:val="SingleTxt"/>
        <w:rPr>
          <w:rFonts w:ascii="SimHei" w:eastAsia="SimHei" w:hint="eastAsia"/>
          <w:color w:val="FF0000"/>
        </w:rPr>
      </w:pPr>
      <w:r w:rsidRPr="0085792E">
        <w:rPr>
          <w:rFonts w:ascii="SimHei" w:eastAsia="SimHei" w:hint="eastAsia"/>
          <w:color w:val="FF0000"/>
        </w:rPr>
        <w:t>暴力侵害妇女行为</w:t>
      </w:r>
    </w:p>
    <w:p w:rsidR="00E641D3" w:rsidRDefault="00E641D3" w:rsidP="00E641D3">
      <w:pPr>
        <w:pStyle w:val="SingleTxt"/>
        <w:rPr>
          <w:rFonts w:hint="eastAsia"/>
        </w:rPr>
      </w:pPr>
      <w:r>
        <w:rPr>
          <w:rFonts w:hint="eastAsia"/>
        </w:rPr>
        <w:t>6．</w:t>
      </w:r>
      <w:r>
        <w:rPr>
          <w:rFonts w:hint="eastAsia"/>
        </w:rPr>
        <w:tab/>
        <w:t>报告中承认，在法律实施过程中往往优先注重《少年儿童保护法》的规定，而该法律没有为防止性虐待和（或）性凌辱提供任何保障，因此，受家庭暴力之害的女孩和少女遭到歧视性的对待（第13页）。请提供资料，说明《少年儿童保护法》修正案的现况，详细介绍其内容，特别是对这类罪行的行为人的处罚。</w:t>
      </w:r>
    </w:p>
    <w:p w:rsidR="00E641D3" w:rsidRDefault="00E641D3" w:rsidP="00E641D3">
      <w:pPr>
        <w:pStyle w:val="SingleTxt"/>
        <w:rPr>
          <w:rFonts w:hint="eastAsia"/>
        </w:rPr>
      </w:pPr>
      <w:r>
        <w:rPr>
          <w:rFonts w:hint="eastAsia"/>
        </w:rPr>
        <w:t>7.</w:t>
      </w:r>
      <w:r>
        <w:rPr>
          <w:rFonts w:hint="eastAsia"/>
        </w:rPr>
        <w:tab/>
        <w:t>报告指出，为了执行2002年7月2日关于家庭暴力问题的第17.514号法，现已在蒙得维的亚省设立四个专门的家庭法庭（第10至13页）。然而，报告中承认，一方面，这些法庭需审理的家庭暴力案件和与未成年人有关的其他案件极多，而另一方面，仅4</w:t>
      </w:r>
      <w:r w:rsidR="00BB43C6">
        <w:rPr>
          <w:rFonts w:hint="eastAsia"/>
        </w:rPr>
        <w:t>％</w:t>
      </w:r>
      <w:r>
        <w:rPr>
          <w:rFonts w:hint="eastAsia"/>
        </w:rPr>
        <w:t>的家庭暴力案件随后作为刑事案件处理（第19页）。请缔约国提供资料，说明为使这些家庭法庭能正常运作而为其调拨的经费和人力资源情况。另请提供统计资料，载列这些法庭审理的家庭暴力案件数目、做出判决的数目以及刑罚的类别。</w:t>
      </w:r>
    </w:p>
    <w:p w:rsidR="00E641D3" w:rsidRPr="0085792E" w:rsidRDefault="00E641D3" w:rsidP="00E641D3">
      <w:pPr>
        <w:pStyle w:val="SingleTxt"/>
        <w:rPr>
          <w:rFonts w:ascii="SimHei" w:eastAsia="SimHei" w:hint="eastAsia"/>
          <w:color w:val="FF0000"/>
        </w:rPr>
      </w:pPr>
      <w:r w:rsidRPr="0085792E">
        <w:rPr>
          <w:rFonts w:ascii="SimHei" w:eastAsia="SimHei" w:hint="eastAsia"/>
          <w:color w:val="FF0000"/>
        </w:rPr>
        <w:t>贩卖妇女和利用妇女卖淫营利</w:t>
      </w:r>
    </w:p>
    <w:p w:rsidR="00E641D3" w:rsidRDefault="00E641D3" w:rsidP="00E641D3">
      <w:pPr>
        <w:pStyle w:val="SingleTxt"/>
        <w:rPr>
          <w:rFonts w:hint="eastAsia"/>
        </w:rPr>
      </w:pPr>
      <w:r>
        <w:rPr>
          <w:rFonts w:hint="eastAsia"/>
        </w:rPr>
        <w:t>8.</w:t>
      </w:r>
      <w:r>
        <w:rPr>
          <w:rFonts w:hint="eastAsia"/>
        </w:rPr>
        <w:tab/>
        <w:t>报告在第29页介绍说，关于由本国和国际网络从事的贩卖妇女活动，乌拉圭没有官方登记的资料，没有这方面统计数据，也没有对此进行研究。请说明贵国现在有无进行或准备进行研究，以评估这个问题所涉范围。请说明缔约国如何努力打击和根除对其有影响的这一现象，特别是说明有无可能订立法案，以处罚贩卖妇女的行为，并说明如何规定对行为人的刑罚。请说明贵国在这方面有无同邻近过境国或目的地国合作行动。</w:t>
      </w:r>
    </w:p>
    <w:p w:rsidR="00E641D3" w:rsidRPr="0085792E" w:rsidRDefault="00E641D3" w:rsidP="00E641D3">
      <w:pPr>
        <w:pStyle w:val="SingleTxt"/>
        <w:rPr>
          <w:rFonts w:ascii="SimHei" w:eastAsia="SimHei" w:hint="eastAsia"/>
          <w:color w:val="FF0000"/>
        </w:rPr>
      </w:pPr>
      <w:r w:rsidRPr="0085792E">
        <w:rPr>
          <w:rFonts w:ascii="SimHei" w:eastAsia="SimHei" w:hint="eastAsia"/>
          <w:color w:val="FF0000"/>
        </w:rPr>
        <w:t>政治和公共生活</w:t>
      </w:r>
    </w:p>
    <w:p w:rsidR="00E641D3" w:rsidRDefault="00E641D3" w:rsidP="00E641D3">
      <w:pPr>
        <w:pStyle w:val="SingleTxt"/>
        <w:rPr>
          <w:rFonts w:hint="eastAsia"/>
        </w:rPr>
      </w:pPr>
      <w:r>
        <w:rPr>
          <w:rFonts w:hint="eastAsia"/>
        </w:rPr>
        <w:t>9.</w:t>
      </w:r>
      <w:r>
        <w:rPr>
          <w:rFonts w:hint="eastAsia"/>
        </w:rPr>
        <w:tab/>
        <w:t>请介绍缔约国对委员会审议其第二次和第三次定期报告时提出的建议采取的后续行动，贵国采取了哪些适当行动，实施了哪些广泛战略，包括第4条第1款规定的特别措施，来推动妇女更多参与公共生活，特别是参与决策。</w:t>
      </w:r>
      <w:r w:rsidR="007527B3">
        <w:rPr>
          <w:rStyle w:val="FootnoteReference"/>
        </w:rPr>
        <w:footnoteReference w:id="3"/>
      </w:r>
      <w:r>
        <w:rPr>
          <w:rFonts w:hint="eastAsia"/>
        </w:rPr>
        <w:t xml:space="preserve"> </w:t>
      </w:r>
    </w:p>
    <w:p w:rsidR="00E641D3" w:rsidRDefault="00E641D3" w:rsidP="00E641D3">
      <w:pPr>
        <w:pStyle w:val="SingleTxt"/>
        <w:rPr>
          <w:rFonts w:hint="eastAsia"/>
        </w:rPr>
      </w:pPr>
      <w:r>
        <w:rPr>
          <w:rFonts w:hint="eastAsia"/>
        </w:rPr>
        <w:t>10.</w:t>
      </w:r>
      <w:r>
        <w:rPr>
          <w:rFonts w:hint="eastAsia"/>
        </w:rPr>
        <w:tab/>
        <w:t>请说明乌拉圭政党选举名单编制程序法草案的现况，并介绍其内容。</w:t>
      </w:r>
    </w:p>
    <w:p w:rsidR="00E641D3" w:rsidRDefault="00E641D3" w:rsidP="00E641D3">
      <w:pPr>
        <w:pStyle w:val="SingleTxt"/>
        <w:rPr>
          <w:rFonts w:hint="eastAsia"/>
        </w:rPr>
      </w:pPr>
      <w:r>
        <w:rPr>
          <w:rFonts w:hint="eastAsia"/>
        </w:rPr>
        <w:t>11.</w:t>
      </w:r>
      <w:r>
        <w:rPr>
          <w:rFonts w:hint="eastAsia"/>
        </w:rPr>
        <w:tab/>
        <w:t>请提供最新资料，说明在提交报告时已提交参议院的政治参与法草案的讨论和核准过程（第31页）。</w:t>
      </w:r>
    </w:p>
    <w:p w:rsidR="00E641D3" w:rsidRDefault="00E641D3" w:rsidP="00E641D3">
      <w:pPr>
        <w:pStyle w:val="SingleTxt"/>
        <w:rPr>
          <w:rFonts w:hint="eastAsia"/>
        </w:rPr>
      </w:pPr>
      <w:r>
        <w:rPr>
          <w:rFonts w:hint="eastAsia"/>
        </w:rPr>
        <w:t>12.</w:t>
      </w:r>
      <w:r>
        <w:rPr>
          <w:rFonts w:hint="eastAsia"/>
        </w:rPr>
        <w:tab/>
        <w:t>报告中详细解释了妇女在不同权力机构的选举机关的情况（第32至34页）。请提供关于妇女在国家行政各级任职情况的统计资料。</w:t>
      </w:r>
    </w:p>
    <w:p w:rsidR="00E641D3" w:rsidRPr="00B01A67" w:rsidRDefault="00E641D3" w:rsidP="00E641D3">
      <w:pPr>
        <w:pStyle w:val="SingleTxt"/>
        <w:rPr>
          <w:rFonts w:ascii="SimHei" w:eastAsia="SimHei" w:hint="eastAsia"/>
          <w:color w:val="FF0000"/>
        </w:rPr>
      </w:pPr>
      <w:r w:rsidRPr="00B01A67">
        <w:rPr>
          <w:rFonts w:ascii="SimHei" w:eastAsia="SimHei" w:hint="eastAsia"/>
          <w:color w:val="FF0000"/>
        </w:rPr>
        <w:t>定型观念与教育</w:t>
      </w:r>
    </w:p>
    <w:p w:rsidR="00E641D3" w:rsidRDefault="00E641D3" w:rsidP="00E641D3">
      <w:pPr>
        <w:pStyle w:val="SingleTxt"/>
        <w:rPr>
          <w:rFonts w:hint="eastAsia"/>
        </w:rPr>
      </w:pPr>
      <w:r>
        <w:rPr>
          <w:rFonts w:hint="eastAsia"/>
        </w:rPr>
        <w:t>13.</w:t>
      </w:r>
      <w:r>
        <w:rPr>
          <w:rFonts w:hint="eastAsia"/>
        </w:rPr>
        <w:tab/>
        <w:t>按照委员会审议缔约国第二次和第三次定期报告时提出的建议，请介绍贵国为消除国内社会文化中长期存在的歧视妇女的定型观念而采取的措施，特别是针对传播媒体、司法人员和教育专业人员的措施。</w:t>
      </w:r>
      <w:r w:rsidR="007527B3">
        <w:rPr>
          <w:rStyle w:val="FootnoteReference"/>
        </w:rPr>
        <w:footnoteReference w:id="4"/>
      </w:r>
      <w:r>
        <w:rPr>
          <w:rFonts w:hint="eastAsia"/>
        </w:rPr>
        <w:t xml:space="preserve"> </w:t>
      </w:r>
    </w:p>
    <w:p w:rsidR="00E641D3" w:rsidRDefault="00E641D3" w:rsidP="00E641D3">
      <w:pPr>
        <w:pStyle w:val="SingleTxt"/>
        <w:rPr>
          <w:rFonts w:hint="eastAsia"/>
        </w:rPr>
      </w:pPr>
      <w:r>
        <w:rPr>
          <w:rFonts w:hint="eastAsia"/>
        </w:rPr>
        <w:t>14.</w:t>
      </w:r>
      <w:r>
        <w:rPr>
          <w:rFonts w:hint="eastAsia"/>
        </w:rPr>
        <w:tab/>
        <w:t>请提供关于缔约国将性教育纳入教育方案的提案的最新资料。</w:t>
      </w:r>
    </w:p>
    <w:p w:rsidR="00E641D3" w:rsidRDefault="00E641D3" w:rsidP="00E641D3">
      <w:pPr>
        <w:pStyle w:val="SingleTxt"/>
        <w:rPr>
          <w:rFonts w:hint="eastAsia"/>
        </w:rPr>
      </w:pPr>
      <w:r>
        <w:rPr>
          <w:rFonts w:hint="eastAsia"/>
        </w:rPr>
        <w:t>15.</w:t>
      </w:r>
      <w:r>
        <w:rPr>
          <w:rFonts w:hint="eastAsia"/>
        </w:rPr>
        <w:tab/>
        <w:t>报告称，缔约国于2005年12月组建了性教育委员会，该委员会于2006年正式开展工作。该委员会负责拟定新的性教育方案，该方案应于2007年实施（第38和39页）。请介绍该方案的内容以及实施一年后的成果。</w:t>
      </w:r>
    </w:p>
    <w:p w:rsidR="00E641D3" w:rsidRDefault="00E641D3" w:rsidP="00E641D3">
      <w:pPr>
        <w:pStyle w:val="SingleTxt"/>
        <w:rPr>
          <w:rFonts w:hint="eastAsia"/>
        </w:rPr>
      </w:pPr>
      <w:r>
        <w:rPr>
          <w:rFonts w:hint="eastAsia"/>
        </w:rPr>
        <w:t>16.</w:t>
      </w:r>
      <w:r>
        <w:rPr>
          <w:rFonts w:hint="eastAsia"/>
        </w:rPr>
        <w:tab/>
      </w:r>
      <w:r w:rsidRPr="00B01A67">
        <w:rPr>
          <w:rFonts w:hint="eastAsia"/>
          <w:spacing w:val="-2"/>
        </w:rPr>
        <w:t>请介绍缔约国采取何种措施来防止怀孕少女辍学，并确保她们在分娩后返校。</w:t>
      </w:r>
    </w:p>
    <w:p w:rsidR="00E641D3" w:rsidRPr="00B01A67" w:rsidRDefault="00E641D3" w:rsidP="00E641D3">
      <w:pPr>
        <w:pStyle w:val="SingleTxt"/>
        <w:rPr>
          <w:rFonts w:ascii="SimHei" w:eastAsia="SimHei" w:hint="eastAsia"/>
          <w:color w:val="FF0000"/>
        </w:rPr>
      </w:pPr>
      <w:r w:rsidRPr="00B01A67">
        <w:rPr>
          <w:rFonts w:ascii="SimHei" w:eastAsia="SimHei" w:hint="eastAsia"/>
          <w:color w:val="FF0000"/>
        </w:rPr>
        <w:t>就业</w:t>
      </w:r>
    </w:p>
    <w:p w:rsidR="00E641D3" w:rsidRDefault="00E641D3" w:rsidP="00E641D3">
      <w:pPr>
        <w:pStyle w:val="SingleTxt"/>
        <w:rPr>
          <w:rFonts w:hint="eastAsia"/>
        </w:rPr>
      </w:pPr>
      <w:r>
        <w:rPr>
          <w:rFonts w:hint="eastAsia"/>
        </w:rPr>
        <w:t>17.</w:t>
      </w:r>
      <w:r>
        <w:rPr>
          <w:rFonts w:hint="eastAsia"/>
        </w:rPr>
        <w:tab/>
        <w:t>贵国实施了各种方案，力求防止在工作场所歧视妇女的行为，特别是处理对妇女产生负面影响的失业问题和收入低的问题，并加强工作场所的两性平等（第52至57页）。请说明这些方案的影响力。另请介绍关于通过一项就业待遇和机会平等全国计划的提案（2004年）的现况。</w:t>
      </w:r>
    </w:p>
    <w:p w:rsidR="00E641D3" w:rsidRDefault="00E641D3" w:rsidP="00E641D3">
      <w:pPr>
        <w:pStyle w:val="SingleTxt"/>
        <w:rPr>
          <w:rFonts w:hint="eastAsia"/>
        </w:rPr>
      </w:pPr>
      <w:r>
        <w:rPr>
          <w:rFonts w:hint="eastAsia"/>
        </w:rPr>
        <w:t>18.</w:t>
      </w:r>
      <w:r>
        <w:rPr>
          <w:rFonts w:hint="eastAsia"/>
        </w:rPr>
        <w:tab/>
        <w:t>请介绍2005年和2006年对工作场所性骚扰控告的后续行动。请说明对这些控告有无进行调查，有关行为人受到何种处罚。</w:t>
      </w:r>
    </w:p>
    <w:p w:rsidR="00E641D3" w:rsidRDefault="00E641D3" w:rsidP="00E641D3">
      <w:pPr>
        <w:pStyle w:val="SingleTxt"/>
        <w:rPr>
          <w:rFonts w:hint="eastAsia"/>
        </w:rPr>
      </w:pPr>
      <w:r>
        <w:rPr>
          <w:rFonts w:hint="eastAsia"/>
        </w:rPr>
        <w:t>19.</w:t>
      </w:r>
      <w:r>
        <w:rPr>
          <w:rFonts w:hint="eastAsia"/>
        </w:rPr>
        <w:tab/>
        <w:t>请解释2006年11月关于家务劳动的第18.065号法的实施结果。报告称，2004年87.1</w:t>
      </w:r>
      <w:r w:rsidR="00B01A67">
        <w:rPr>
          <w:rFonts w:hint="eastAsia"/>
        </w:rPr>
        <w:t>％</w:t>
      </w:r>
      <w:r>
        <w:rPr>
          <w:rFonts w:hint="eastAsia"/>
        </w:rPr>
        <w:t>的家务劳动者没有享受社会保障。请向委员会提供资料，介绍家务劳动者社会保障的现行制度。</w:t>
      </w:r>
    </w:p>
    <w:p w:rsidR="00E641D3" w:rsidRDefault="00E641D3" w:rsidP="00E641D3">
      <w:pPr>
        <w:pStyle w:val="SingleTxt"/>
        <w:rPr>
          <w:rFonts w:hint="eastAsia"/>
        </w:rPr>
      </w:pPr>
      <w:r>
        <w:rPr>
          <w:rFonts w:hint="eastAsia"/>
        </w:rPr>
        <w:t>20.</w:t>
      </w:r>
      <w:r>
        <w:rPr>
          <w:rFonts w:hint="eastAsia"/>
        </w:rPr>
        <w:tab/>
        <w:t>根据报告中的资料，劳动法庭法官可采取措施制止对妇女的歧视。然而，法律并没有规定妇女可重新回到工作岗位（第56页）。缔约国在这一点上有无修订劳工法？</w:t>
      </w:r>
    </w:p>
    <w:p w:rsidR="00E641D3" w:rsidRDefault="00E641D3" w:rsidP="00E641D3">
      <w:pPr>
        <w:pStyle w:val="SingleTxt"/>
        <w:rPr>
          <w:rFonts w:hint="eastAsia"/>
        </w:rPr>
      </w:pPr>
      <w:r>
        <w:rPr>
          <w:rFonts w:hint="eastAsia"/>
        </w:rPr>
        <w:t>21.</w:t>
      </w:r>
      <w:r>
        <w:rPr>
          <w:rFonts w:hint="eastAsia"/>
        </w:rPr>
        <w:tab/>
        <w:t>报告表示，虽然国际劳工组织《第156号公约》以及第165号建议要求在公共或私营工作场所设立托儿所或幼儿园，但乌拉圭尚无规定这种义务的条例（第56页）。缔约国有无计划批准上述国际规范？如果尚无此计划，阻碍批准这些文书的障碍是什么？</w:t>
      </w:r>
    </w:p>
    <w:p w:rsidR="00E641D3" w:rsidRPr="00B01A67" w:rsidRDefault="00E641D3" w:rsidP="00E641D3">
      <w:pPr>
        <w:pStyle w:val="SingleTxt"/>
        <w:rPr>
          <w:rFonts w:ascii="SimHei" w:eastAsia="SimHei" w:hint="eastAsia"/>
          <w:color w:val="FF0000"/>
        </w:rPr>
      </w:pPr>
      <w:r w:rsidRPr="00B01A67">
        <w:rPr>
          <w:rFonts w:ascii="SimHei" w:eastAsia="SimHei" w:hint="eastAsia"/>
          <w:color w:val="FF0000"/>
        </w:rPr>
        <w:t>健康</w:t>
      </w:r>
    </w:p>
    <w:p w:rsidR="00E641D3" w:rsidRDefault="00E641D3" w:rsidP="00E641D3">
      <w:pPr>
        <w:pStyle w:val="SingleTxt"/>
        <w:rPr>
          <w:rFonts w:hint="eastAsia"/>
        </w:rPr>
      </w:pPr>
      <w:r>
        <w:rPr>
          <w:rFonts w:hint="eastAsia"/>
        </w:rPr>
        <w:t>22.</w:t>
      </w:r>
      <w:r>
        <w:rPr>
          <w:rFonts w:hint="eastAsia"/>
        </w:rPr>
        <w:tab/>
        <w:t>报告承认，1938年1月24日第9.763号法存在不足，该法律规定处罚自愿堕胎行为，并将挽救“家庭荣誉”视为犯罪责任的减刑情节。报告还承认，该法律并没有帮助减少不安全的秘密堕胎，而实际上这一现象有增无减（第21和22页）。请说明目前有无对上述法律进行修正，并提供关于生殖健康保护法草案现况的最新资料。</w:t>
      </w:r>
    </w:p>
    <w:p w:rsidR="00E641D3" w:rsidRDefault="00E641D3" w:rsidP="00E641D3">
      <w:pPr>
        <w:pStyle w:val="SingleTxt"/>
        <w:rPr>
          <w:rFonts w:hint="eastAsia"/>
        </w:rPr>
      </w:pPr>
      <w:r>
        <w:rPr>
          <w:rFonts w:hint="eastAsia"/>
        </w:rPr>
        <w:t>23.</w:t>
      </w:r>
      <w:r>
        <w:rPr>
          <w:rFonts w:hint="eastAsia"/>
        </w:rPr>
        <w:tab/>
        <w:t>请提供关于不安全堕胎的具体统计数据。根据报告，这种现象在缔约国是造成产妇死亡的主要原因（第65页）。</w:t>
      </w:r>
    </w:p>
    <w:p w:rsidR="00E641D3" w:rsidRDefault="00E641D3" w:rsidP="00E641D3">
      <w:pPr>
        <w:pStyle w:val="SingleTxt"/>
        <w:rPr>
          <w:rFonts w:hint="eastAsia"/>
        </w:rPr>
      </w:pPr>
      <w:r>
        <w:rPr>
          <w:rFonts w:hint="eastAsia"/>
        </w:rPr>
        <w:t>24.</w:t>
      </w:r>
      <w:r>
        <w:rPr>
          <w:rFonts w:hint="eastAsia"/>
        </w:rPr>
        <w:tab/>
        <w:t>请提供资料说明卫生部第369号令及其议定书和实践指南的实施以及报告中所述各个方案的实施对防止意外怀孕的作用（第65页）。</w:t>
      </w:r>
    </w:p>
    <w:p w:rsidR="00E641D3" w:rsidRDefault="00E641D3" w:rsidP="00E641D3">
      <w:pPr>
        <w:pStyle w:val="SingleTxt"/>
        <w:rPr>
          <w:rFonts w:hint="eastAsia"/>
        </w:rPr>
      </w:pPr>
      <w:r>
        <w:rPr>
          <w:rFonts w:hint="eastAsia"/>
        </w:rPr>
        <w:t>25.</w:t>
      </w:r>
      <w:r>
        <w:rPr>
          <w:rFonts w:hint="eastAsia"/>
        </w:rPr>
        <w:tab/>
        <w:t>缔约国承认没有掌握按性别分列的关于计划生育服务的最新信息。请介绍贵国为改变这一局面进行的努力以及报告所述各个方案的成果（第59页）。</w:t>
      </w:r>
    </w:p>
    <w:p w:rsidR="00E641D3" w:rsidRDefault="00E641D3" w:rsidP="00E641D3">
      <w:pPr>
        <w:pStyle w:val="SingleTxt"/>
        <w:rPr>
          <w:rFonts w:hint="eastAsia"/>
        </w:rPr>
      </w:pPr>
      <w:r>
        <w:rPr>
          <w:rFonts w:hint="eastAsia"/>
        </w:rPr>
        <w:t>26.</w:t>
      </w:r>
      <w:r>
        <w:rPr>
          <w:rFonts w:hint="eastAsia"/>
        </w:rPr>
        <w:tab/>
        <w:t>报告指出，艾滋病毒/艾滋病感染率上升，已从2000年的0.23</w:t>
      </w:r>
      <w:r w:rsidR="00B01A67">
        <w:rPr>
          <w:rFonts w:hint="eastAsia"/>
        </w:rPr>
        <w:t>％</w:t>
      </w:r>
      <w:r>
        <w:rPr>
          <w:rFonts w:hint="eastAsia"/>
        </w:rPr>
        <w:t>升至2004年的0.45</w:t>
      </w:r>
      <w:r w:rsidR="00B01A67">
        <w:rPr>
          <w:rFonts w:hint="eastAsia"/>
        </w:rPr>
        <w:t>％</w:t>
      </w:r>
      <w:r>
        <w:rPr>
          <w:rFonts w:hint="eastAsia"/>
        </w:rPr>
        <w:t>（第64页）。请提供关于截至2007年底发病率的最新数据。</w:t>
      </w:r>
      <w:r w:rsidR="0017714B">
        <w:rPr>
          <w:rFonts w:hint="eastAsia"/>
        </w:rPr>
        <w:t>请介绍</w:t>
      </w:r>
      <w:r>
        <w:rPr>
          <w:rFonts w:hint="eastAsia"/>
        </w:rPr>
        <w:t>贵国为防治艾滋病毒/艾滋病采取</w:t>
      </w:r>
      <w:r w:rsidR="0017714B">
        <w:rPr>
          <w:rFonts w:hint="eastAsia"/>
        </w:rPr>
        <w:t>的</w:t>
      </w:r>
      <w:r>
        <w:rPr>
          <w:rFonts w:hint="eastAsia"/>
        </w:rPr>
        <w:t>卫生措施和教育措施</w:t>
      </w:r>
      <w:r w:rsidR="0017714B">
        <w:rPr>
          <w:rFonts w:hint="eastAsia"/>
        </w:rPr>
        <w:t>。</w:t>
      </w:r>
      <w:r>
        <w:rPr>
          <w:rFonts w:hint="eastAsia"/>
        </w:rPr>
        <w:t>请提供资料，特别介绍预防行动和孕妇护理工作，解释孕妇能否获得防治艾滋病毒/艾滋病的抗逆转录病毒疗法的治疗。</w:t>
      </w:r>
    </w:p>
    <w:p w:rsidR="00E641D3" w:rsidRPr="00B01A67" w:rsidRDefault="00E641D3" w:rsidP="00E641D3">
      <w:pPr>
        <w:pStyle w:val="SingleTxt"/>
        <w:rPr>
          <w:rFonts w:ascii="SimHei" w:eastAsia="SimHei" w:hint="eastAsia"/>
          <w:color w:val="FF0000"/>
        </w:rPr>
      </w:pPr>
      <w:r w:rsidRPr="00B01A67">
        <w:rPr>
          <w:rFonts w:ascii="SimHei" w:eastAsia="SimHei" w:hint="eastAsia"/>
          <w:color w:val="FF0000"/>
        </w:rPr>
        <w:t>农村妇女和少数群体妇女</w:t>
      </w:r>
    </w:p>
    <w:p w:rsidR="00E641D3" w:rsidRDefault="00E641D3" w:rsidP="00E641D3">
      <w:pPr>
        <w:pStyle w:val="SingleTxt"/>
        <w:rPr>
          <w:rFonts w:hint="eastAsia"/>
        </w:rPr>
      </w:pPr>
      <w:r>
        <w:rPr>
          <w:rFonts w:hint="eastAsia"/>
        </w:rPr>
        <w:t>27.</w:t>
      </w:r>
      <w:r>
        <w:rPr>
          <w:rFonts w:hint="eastAsia"/>
        </w:rPr>
        <w:tab/>
        <w:t>报告指出，妇女当户主的家庭与男子当户主的家庭的平均收入有明显差距，在农村特别如此。此外，农村无报酬的劳动者比例很高。在这方面，报告指出，</w:t>
      </w:r>
      <w:r w:rsidRPr="00B01A67">
        <w:rPr>
          <w:rFonts w:hint="eastAsia"/>
          <w:spacing w:val="2"/>
        </w:rPr>
        <w:t>乌拉圭没有专门针对农村妇女的公共政策（第78页）。请说明贵国已采取或准备采取哪些具体措施来确保农村妇女的人权得到尊重，特别是劳动和健康领域的权利。</w:t>
      </w:r>
    </w:p>
    <w:p w:rsidR="00E641D3" w:rsidRDefault="00E641D3" w:rsidP="00E641D3">
      <w:pPr>
        <w:pStyle w:val="SingleTxt"/>
        <w:rPr>
          <w:rFonts w:hint="eastAsia"/>
        </w:rPr>
      </w:pPr>
      <w:r>
        <w:rPr>
          <w:rFonts w:hint="eastAsia"/>
        </w:rPr>
        <w:t>28.</w:t>
      </w:r>
      <w:r>
        <w:rPr>
          <w:rFonts w:hint="eastAsia"/>
        </w:rPr>
        <w:tab/>
        <w:t>按照委员会的建议，请提供关于土著妇女和非洲裔妇女人权状况的资料。</w:t>
      </w:r>
      <w:r w:rsidR="007527B3">
        <w:rPr>
          <w:rStyle w:val="FootnoteReference"/>
        </w:rPr>
        <w:footnoteReference w:id="5"/>
      </w:r>
      <w:r>
        <w:rPr>
          <w:rFonts w:hint="eastAsia"/>
        </w:rPr>
        <w:t xml:space="preserve"> </w:t>
      </w:r>
    </w:p>
    <w:p w:rsidR="00E641D3" w:rsidRPr="00B01A67" w:rsidRDefault="00E641D3" w:rsidP="00E641D3">
      <w:pPr>
        <w:pStyle w:val="SingleTxt"/>
        <w:rPr>
          <w:rFonts w:ascii="SimHei" w:eastAsia="SimHei" w:hint="eastAsia"/>
          <w:color w:val="FF0000"/>
        </w:rPr>
      </w:pPr>
      <w:r w:rsidRPr="00B01A67">
        <w:rPr>
          <w:rFonts w:ascii="SimHei" w:eastAsia="SimHei" w:hint="eastAsia"/>
          <w:color w:val="FF0000"/>
        </w:rPr>
        <w:t>婚姻和家庭</w:t>
      </w:r>
    </w:p>
    <w:p w:rsidR="00E641D3" w:rsidRDefault="00E641D3" w:rsidP="00E641D3">
      <w:pPr>
        <w:pStyle w:val="SingleTxt"/>
        <w:rPr>
          <w:rFonts w:hint="eastAsia"/>
        </w:rPr>
      </w:pPr>
      <w:r>
        <w:rPr>
          <w:rFonts w:hint="eastAsia"/>
        </w:rPr>
        <w:t>29.</w:t>
      </w:r>
      <w:r>
        <w:rPr>
          <w:rFonts w:hint="eastAsia"/>
        </w:rPr>
        <w:tab/>
        <w:t>请说明贵国准备采取哪些措施来执行本委员会</w:t>
      </w:r>
      <w:r w:rsidR="007527B3">
        <w:rPr>
          <w:rStyle w:val="FootnoteReference"/>
        </w:rPr>
        <w:footnoteReference w:id="6"/>
      </w:r>
      <w:r>
        <w:rPr>
          <w:rFonts w:hint="eastAsia"/>
        </w:rPr>
        <w:t xml:space="preserve"> 和儿童权利委员会（CRC/C/</w:t>
      </w:r>
      <w:r w:rsidR="00B01A67">
        <w:rPr>
          <w:rFonts w:hint="eastAsia"/>
        </w:rPr>
        <w:t xml:space="preserve">　</w:t>
      </w:r>
      <w:r>
        <w:rPr>
          <w:rFonts w:hint="eastAsia"/>
        </w:rPr>
        <w:t>URY/CO/2，第26段）在审议第二次定期报告时提出的建议，修订《民法》中关于家庭和婚姻的某些歧视性条款。请特别说明贵国有无修订关于婚姻最低年龄的第16条第2款。此外，《民法》第112条规定，寡妇或离婚妇女在离婚或配偶死亡后301天内不准改嫁。第183条规定，如果妇女“生活不检点”，则不予提供赡养费。请提供关于这种规定持续存在的资料。</w:t>
      </w:r>
    </w:p>
    <w:p w:rsidR="00E641D3" w:rsidRPr="00B01A67" w:rsidRDefault="00B01A67" w:rsidP="00B01A67">
      <w:pPr>
        <w:pStyle w:val="SingleTxt"/>
        <w:spacing w:after="0" w:line="240" w:lineRule="auto"/>
        <w:rPr>
          <w:sz w:val="20"/>
        </w:rPr>
      </w:pPr>
      <w:r>
        <w:rPr>
          <w:noProof/>
          <w:sz w:val="20"/>
        </w:rPr>
        <w:pict>
          <v:line id="_x0000_s1026" style="position:absolute;left:0;text-align:left;z-index:1;mso-position-horizontal:center" from="0,30pt" to="1in,30pt" strokeweight=".25pt"/>
        </w:pict>
      </w:r>
    </w:p>
    <w:p w:rsidR="00EA31C3" w:rsidRPr="006330AE" w:rsidRDefault="00EA31C3" w:rsidP="00E641D3">
      <w:pPr>
        <w:pStyle w:val="SingleTxt"/>
        <w:rPr>
          <w:rFonts w:hint="eastAsia"/>
        </w:rPr>
      </w:pPr>
    </w:p>
    <w:sectPr w:rsidR="00EA31C3" w:rsidRPr="006330AE" w:rsidSect="006330AE">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19T09:02:00Z" w:initials="Start">
    <w:p w:rsidR="00694B9A" w:rsidRDefault="00694B9A">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NO&gt;&gt;N0822025C&lt;&lt;ODS JOB NO&gt;&gt;</w:t>
      </w:r>
    </w:p>
    <w:p w:rsidR="00694B9A" w:rsidRDefault="00694B9A">
      <w:pPr>
        <w:pStyle w:val="CommentText"/>
      </w:pPr>
      <w:r>
        <w:t>&lt;&lt;ODS DOC SYMBOL1&gt;&gt;CEDAW/C/URY/Q/7&lt;&lt;ODS DOC SYMBOL1&gt;&gt;</w:t>
      </w:r>
    </w:p>
    <w:p w:rsidR="00694B9A" w:rsidRDefault="00694B9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5943" w:rsidRDefault="00755943" w:rsidP="006330AE">
      <w:pPr>
        <w:pStyle w:val="Header"/>
      </w:pPr>
      <w:r>
        <w:separator/>
      </w:r>
    </w:p>
  </w:endnote>
  <w:endnote w:type="continuationSeparator" w:id="0">
    <w:p w:rsidR="00755943" w:rsidRDefault="00755943" w:rsidP="006330AE">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94B9A" w:rsidTr="006330AE">
      <w:tblPrEx>
        <w:tblCellMar>
          <w:top w:w="0" w:type="dxa"/>
          <w:bottom w:w="0" w:type="dxa"/>
        </w:tblCellMar>
      </w:tblPrEx>
      <w:tc>
        <w:tcPr>
          <w:tcW w:w="5033" w:type="dxa"/>
          <w:shd w:val="clear" w:color="auto" w:fill="auto"/>
        </w:tcPr>
        <w:p w:rsidR="00694B9A" w:rsidRPr="006330AE" w:rsidRDefault="00694B9A" w:rsidP="006330AE">
          <w:pPr>
            <w:pStyle w:val="Footer"/>
            <w:jc w:val="right"/>
            <w:rPr>
              <w:b w:val="0"/>
              <w:w w:val="103"/>
              <w:sz w:val="14"/>
            </w:rPr>
          </w:pPr>
          <w:r>
            <w:rPr>
              <w:b w:val="0"/>
              <w:w w:val="103"/>
              <w:sz w:val="14"/>
            </w:rPr>
            <w:t>08-22025 (C)</w:t>
          </w:r>
        </w:p>
      </w:tc>
      <w:tc>
        <w:tcPr>
          <w:tcW w:w="5033" w:type="dxa"/>
          <w:shd w:val="clear" w:color="auto" w:fill="auto"/>
        </w:tcPr>
        <w:p w:rsidR="00694B9A" w:rsidRPr="006330AE" w:rsidRDefault="00694B9A" w:rsidP="006330AE">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1A3705">
            <w:rPr>
              <w:w w:val="103"/>
              <w:sz w:val="17"/>
            </w:rPr>
            <w:t>4</w:t>
          </w:r>
          <w:r>
            <w:rPr>
              <w:w w:val="103"/>
              <w:sz w:val="17"/>
            </w:rPr>
            <w:fldChar w:fldCharType="end"/>
          </w:r>
        </w:p>
      </w:tc>
    </w:tr>
  </w:tbl>
  <w:p w:rsidR="00694B9A" w:rsidRPr="006330AE" w:rsidRDefault="00694B9A" w:rsidP="006330A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94B9A" w:rsidTr="006330AE">
      <w:tblPrEx>
        <w:tblCellMar>
          <w:top w:w="0" w:type="dxa"/>
          <w:bottom w:w="0" w:type="dxa"/>
        </w:tblCellMar>
      </w:tblPrEx>
      <w:tc>
        <w:tcPr>
          <w:tcW w:w="5033" w:type="dxa"/>
          <w:shd w:val="clear" w:color="auto" w:fill="auto"/>
        </w:tcPr>
        <w:p w:rsidR="00694B9A" w:rsidRPr="006330AE" w:rsidRDefault="00694B9A" w:rsidP="006330AE">
          <w:pPr>
            <w:pStyle w:val="Footer"/>
            <w:jc w:val="right"/>
          </w:pPr>
          <w:r>
            <w:fldChar w:fldCharType="begin"/>
          </w:r>
          <w:r>
            <w:instrText xml:space="preserve"> PAGE  \* MERGEFORMAT </w:instrText>
          </w:r>
          <w:r>
            <w:fldChar w:fldCharType="separate"/>
          </w:r>
          <w:r w:rsidR="001A3705">
            <w:t>5</w:t>
          </w:r>
          <w:r>
            <w:fldChar w:fldCharType="end"/>
          </w:r>
        </w:p>
      </w:tc>
      <w:tc>
        <w:tcPr>
          <w:tcW w:w="5033" w:type="dxa"/>
          <w:shd w:val="clear" w:color="auto" w:fill="auto"/>
        </w:tcPr>
        <w:p w:rsidR="00694B9A" w:rsidRPr="006330AE" w:rsidRDefault="00694B9A" w:rsidP="006330AE">
          <w:pPr>
            <w:pStyle w:val="Footer"/>
            <w:jc w:val="left"/>
            <w:rPr>
              <w:b w:val="0"/>
              <w:w w:val="103"/>
              <w:sz w:val="14"/>
            </w:rPr>
          </w:pPr>
          <w:r>
            <w:rPr>
              <w:b w:val="0"/>
              <w:w w:val="103"/>
              <w:sz w:val="14"/>
            </w:rPr>
            <w:t>08-22025 (C)</w:t>
          </w:r>
        </w:p>
      </w:tc>
    </w:tr>
  </w:tbl>
  <w:p w:rsidR="00694B9A" w:rsidRPr="006330AE" w:rsidRDefault="00694B9A" w:rsidP="006330A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B9A" w:rsidRDefault="00694B9A" w:rsidP="006330AE">
    <w:pPr>
      <w:pStyle w:val="Footer"/>
      <w:rPr>
        <w:b w:val="0"/>
        <w:sz w:val="21"/>
      </w:rPr>
    </w:pPr>
    <w:r w:rsidRPr="0005297C">
      <w:rPr>
        <w:b w:val="0"/>
        <w:sz w:val="21"/>
      </w:rPr>
      <w:t xml:space="preserve">08-22025 </w:t>
    </w:r>
    <w:r>
      <w:rPr>
        <w:b w:val="0"/>
        <w:sz w:val="21"/>
      </w:rPr>
      <w:t xml:space="preserve">* </w:t>
    </w:r>
    <w:r w:rsidRPr="0005297C">
      <w:rPr>
        <w:b w:val="0"/>
        <w:sz w:val="21"/>
      </w:rPr>
      <w:t>(C)</w:t>
    </w:r>
    <w:r>
      <w:rPr>
        <w:b w:val="0"/>
        <w:sz w:val="21"/>
      </w:rPr>
      <w:t xml:space="preserve">    170308    190308</w:t>
    </w:r>
  </w:p>
  <w:p w:rsidR="00694B9A" w:rsidRPr="006330AE" w:rsidRDefault="00694B9A" w:rsidP="006330AE">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1A3705">
      <w:rPr>
        <w:rFonts w:ascii="Barcode 3 of 9 by request" w:hAnsi="Barcode 3 of 9 by request"/>
        <w:sz w:val="24"/>
      </w:rPr>
      <w:t>*0822025*</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5943" w:rsidRPr="007527B3" w:rsidRDefault="00755943" w:rsidP="007527B3">
      <w:pPr>
        <w:pStyle w:val="Footer"/>
        <w:spacing w:after="80"/>
        <w:ind w:left="792"/>
        <w:rPr>
          <w:sz w:val="16"/>
        </w:rPr>
      </w:pPr>
      <w:r w:rsidRPr="007527B3">
        <w:rPr>
          <w:sz w:val="16"/>
        </w:rPr>
        <w:t>__________________</w:t>
      </w:r>
    </w:p>
  </w:footnote>
  <w:footnote w:type="continuationSeparator" w:id="0">
    <w:p w:rsidR="00755943" w:rsidRPr="007527B3" w:rsidRDefault="00755943" w:rsidP="007527B3">
      <w:pPr>
        <w:pStyle w:val="Footer"/>
        <w:spacing w:after="80"/>
        <w:ind w:left="792"/>
        <w:rPr>
          <w:sz w:val="16"/>
        </w:rPr>
      </w:pPr>
      <w:r w:rsidRPr="007527B3">
        <w:rPr>
          <w:sz w:val="16"/>
        </w:rPr>
        <w:t>__________________</w:t>
      </w:r>
    </w:p>
  </w:footnote>
  <w:footnote w:id="1">
    <w:p w:rsidR="00694B9A" w:rsidRPr="0017714B" w:rsidRDefault="00694B9A" w:rsidP="007527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ascii="Times New Roman" w:hint="eastAsia"/>
        </w:rPr>
      </w:pPr>
      <w:r>
        <w:tab/>
      </w:r>
      <w:r w:rsidRPr="0017714B">
        <w:rPr>
          <w:rFonts w:ascii="Times New Roman"/>
          <w:vertAlign w:val="superscript"/>
        </w:rPr>
        <w:t>*</w:t>
      </w:r>
      <w:r w:rsidRPr="0017714B">
        <w:rPr>
          <w:rFonts w:ascii="Times New Roman"/>
          <w:vertAlign w:val="superscript"/>
        </w:rPr>
        <w:tab/>
      </w:r>
      <w:r>
        <w:rPr>
          <w:rFonts w:ascii="Times New Roman" w:hint="eastAsia"/>
        </w:rPr>
        <w:t>由于技术原因重新印发。</w:t>
      </w:r>
    </w:p>
    <w:p w:rsidR="00694B9A" w:rsidRDefault="00694B9A" w:rsidP="007527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hint="eastAsia"/>
        </w:rPr>
      </w:pPr>
      <w:r>
        <w:tab/>
      </w:r>
      <w:r>
        <w:rPr>
          <w:rStyle w:val="FootnoteReference"/>
        </w:rPr>
        <w:footnoteRef/>
      </w:r>
      <w:r>
        <w:tab/>
      </w:r>
      <w:r>
        <w:rPr>
          <w:rFonts w:hint="eastAsia"/>
        </w:rPr>
        <w:t>见《大会正式记录，第五十七届会议，补编第38号》（A/57/38），第一部分，第187段。</w:t>
      </w:r>
    </w:p>
  </w:footnote>
  <w:footnote w:id="2">
    <w:p w:rsidR="00694B9A" w:rsidRDefault="00694B9A" w:rsidP="007527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hint="eastAsia"/>
        </w:rPr>
      </w:pPr>
      <w:r>
        <w:tab/>
      </w:r>
      <w:r>
        <w:rPr>
          <w:rStyle w:val="FootnoteReference"/>
        </w:rPr>
        <w:footnoteRef/>
      </w:r>
      <w:r>
        <w:tab/>
      </w:r>
      <w:r>
        <w:rPr>
          <w:rFonts w:hint="eastAsia"/>
        </w:rPr>
        <w:t>同上，第197段。</w:t>
      </w:r>
    </w:p>
  </w:footnote>
  <w:footnote w:id="3">
    <w:p w:rsidR="00694B9A" w:rsidRDefault="00694B9A" w:rsidP="007527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hint="eastAsia"/>
        </w:rPr>
      </w:pPr>
      <w:r>
        <w:tab/>
      </w:r>
      <w:r>
        <w:rPr>
          <w:rStyle w:val="FootnoteReference"/>
        </w:rPr>
        <w:footnoteRef/>
      </w:r>
      <w:r>
        <w:tab/>
      </w:r>
      <w:r>
        <w:rPr>
          <w:rFonts w:hint="eastAsia"/>
        </w:rPr>
        <w:t>同上，第201段。</w:t>
      </w:r>
    </w:p>
  </w:footnote>
  <w:footnote w:id="4">
    <w:p w:rsidR="00694B9A" w:rsidRDefault="00694B9A" w:rsidP="007527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hint="eastAsia"/>
        </w:rPr>
      </w:pPr>
      <w:r>
        <w:tab/>
      </w:r>
      <w:r>
        <w:rPr>
          <w:rStyle w:val="FootnoteReference"/>
        </w:rPr>
        <w:footnoteRef/>
      </w:r>
      <w:r>
        <w:tab/>
      </w:r>
      <w:r>
        <w:rPr>
          <w:rFonts w:hint="eastAsia"/>
        </w:rPr>
        <w:t>同上，第193段。</w:t>
      </w:r>
    </w:p>
  </w:footnote>
  <w:footnote w:id="5">
    <w:p w:rsidR="00694B9A" w:rsidRDefault="00694B9A" w:rsidP="007527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hint="eastAsia"/>
        </w:rPr>
      </w:pPr>
      <w:r>
        <w:tab/>
      </w:r>
      <w:r>
        <w:rPr>
          <w:rStyle w:val="FootnoteReference"/>
        </w:rPr>
        <w:footnoteRef/>
      </w:r>
      <w:r>
        <w:tab/>
      </w:r>
      <w:r>
        <w:rPr>
          <w:rFonts w:hint="eastAsia"/>
        </w:rPr>
        <w:t>同上，第209段。</w:t>
      </w:r>
    </w:p>
  </w:footnote>
  <w:footnote w:id="6">
    <w:p w:rsidR="00694B9A" w:rsidRDefault="00694B9A" w:rsidP="007527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hint="eastAsia"/>
        </w:rPr>
      </w:pPr>
      <w:r>
        <w:tab/>
      </w:r>
      <w:r>
        <w:rPr>
          <w:rStyle w:val="FootnoteReference"/>
        </w:rPr>
        <w:footnoteRef/>
      </w:r>
      <w:r>
        <w:tab/>
      </w:r>
      <w:r>
        <w:rPr>
          <w:rFonts w:hint="eastAsia"/>
        </w:rPr>
        <w:t>同上，第205段。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94B9A" w:rsidTr="006330AE">
      <w:tblPrEx>
        <w:tblCellMar>
          <w:top w:w="0" w:type="dxa"/>
          <w:bottom w:w="0" w:type="dxa"/>
        </w:tblCellMar>
      </w:tblPrEx>
      <w:trPr>
        <w:trHeight w:hRule="exact" w:val="864"/>
      </w:trPr>
      <w:tc>
        <w:tcPr>
          <w:tcW w:w="4838" w:type="dxa"/>
          <w:shd w:val="clear" w:color="auto" w:fill="auto"/>
          <w:vAlign w:val="bottom"/>
        </w:tcPr>
        <w:p w:rsidR="00694B9A" w:rsidRPr="006330AE" w:rsidRDefault="00694B9A" w:rsidP="006330AE">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1A3705">
            <w:rPr>
              <w:b/>
              <w:sz w:val="17"/>
            </w:rPr>
            <w:t>CEDAW/C/URY/Q/7</w:t>
          </w:r>
          <w:r>
            <w:rPr>
              <w:b/>
              <w:sz w:val="17"/>
            </w:rPr>
            <w:fldChar w:fldCharType="end"/>
          </w:r>
        </w:p>
      </w:tc>
      <w:tc>
        <w:tcPr>
          <w:tcW w:w="5033" w:type="dxa"/>
          <w:shd w:val="clear" w:color="auto" w:fill="auto"/>
          <w:vAlign w:val="bottom"/>
        </w:tcPr>
        <w:p w:rsidR="00694B9A" w:rsidRDefault="00694B9A" w:rsidP="006330AE">
          <w:pPr>
            <w:pStyle w:val="Header"/>
          </w:pPr>
        </w:p>
      </w:tc>
    </w:tr>
  </w:tbl>
  <w:p w:rsidR="00694B9A" w:rsidRPr="006330AE" w:rsidRDefault="00694B9A" w:rsidP="006330A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94B9A" w:rsidTr="006330AE">
      <w:tblPrEx>
        <w:tblCellMar>
          <w:top w:w="0" w:type="dxa"/>
          <w:bottom w:w="0" w:type="dxa"/>
        </w:tblCellMar>
      </w:tblPrEx>
      <w:trPr>
        <w:trHeight w:hRule="exact" w:val="864"/>
      </w:trPr>
      <w:tc>
        <w:tcPr>
          <w:tcW w:w="4838" w:type="dxa"/>
          <w:shd w:val="clear" w:color="auto" w:fill="auto"/>
          <w:vAlign w:val="bottom"/>
        </w:tcPr>
        <w:p w:rsidR="00694B9A" w:rsidRDefault="00694B9A" w:rsidP="006330AE">
          <w:pPr>
            <w:pStyle w:val="Header"/>
          </w:pPr>
        </w:p>
      </w:tc>
      <w:tc>
        <w:tcPr>
          <w:tcW w:w="5033" w:type="dxa"/>
          <w:shd w:val="clear" w:color="auto" w:fill="auto"/>
          <w:vAlign w:val="bottom"/>
        </w:tcPr>
        <w:p w:rsidR="00694B9A" w:rsidRPr="006330AE" w:rsidRDefault="00694B9A" w:rsidP="006330AE">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1A3705">
            <w:rPr>
              <w:b/>
              <w:sz w:val="17"/>
            </w:rPr>
            <w:t>CEDAW/C/URY/Q/7</w:t>
          </w:r>
          <w:r>
            <w:rPr>
              <w:b/>
              <w:sz w:val="17"/>
            </w:rPr>
            <w:fldChar w:fldCharType="end"/>
          </w:r>
        </w:p>
      </w:tc>
    </w:tr>
  </w:tbl>
  <w:p w:rsidR="00694B9A" w:rsidRPr="006330AE" w:rsidRDefault="00694B9A" w:rsidP="006330A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694B9A" w:rsidTr="006330A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94B9A" w:rsidRDefault="00694B9A" w:rsidP="006330AE">
          <w:pPr>
            <w:pStyle w:val="Header"/>
            <w:spacing w:after="120"/>
          </w:pPr>
        </w:p>
      </w:tc>
      <w:tc>
        <w:tcPr>
          <w:tcW w:w="1872" w:type="dxa"/>
          <w:tcBorders>
            <w:bottom w:val="single" w:sz="4" w:space="0" w:color="auto"/>
          </w:tcBorders>
          <w:shd w:val="clear" w:color="auto" w:fill="auto"/>
          <w:vAlign w:val="bottom"/>
        </w:tcPr>
        <w:p w:rsidR="00694B9A" w:rsidRPr="006330AE" w:rsidRDefault="00694B9A" w:rsidP="006330AE">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694B9A" w:rsidRDefault="00694B9A" w:rsidP="006330AE">
          <w:pPr>
            <w:pStyle w:val="Header"/>
            <w:spacing w:after="120"/>
          </w:pPr>
        </w:p>
      </w:tc>
      <w:tc>
        <w:tcPr>
          <w:tcW w:w="6523" w:type="dxa"/>
          <w:gridSpan w:val="3"/>
          <w:tcBorders>
            <w:bottom w:val="single" w:sz="4" w:space="0" w:color="auto"/>
          </w:tcBorders>
          <w:shd w:val="clear" w:color="auto" w:fill="auto"/>
          <w:vAlign w:val="bottom"/>
        </w:tcPr>
        <w:p w:rsidR="00694B9A" w:rsidRPr="006330AE" w:rsidRDefault="00694B9A" w:rsidP="006330AE">
          <w:pPr>
            <w:spacing w:after="80" w:line="240" w:lineRule="auto"/>
            <w:jc w:val="right"/>
            <w:rPr>
              <w:rFonts w:ascii="Times New Roman"/>
              <w:position w:val="-4"/>
            </w:rPr>
          </w:pPr>
          <w:r>
            <w:rPr>
              <w:rFonts w:ascii="Times New Roman"/>
              <w:position w:val="-4"/>
              <w:sz w:val="40"/>
            </w:rPr>
            <w:t>CEDAW</w:t>
          </w:r>
          <w:r>
            <w:rPr>
              <w:rFonts w:ascii="Times New Roman"/>
              <w:position w:val="-4"/>
            </w:rPr>
            <w:t>/C/URY/Q/7*</w:t>
          </w:r>
        </w:p>
      </w:tc>
    </w:tr>
    <w:tr w:rsidR="00694B9A" w:rsidRPr="006330AE" w:rsidTr="006330A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94B9A" w:rsidRDefault="00694B9A" w:rsidP="006330AE">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94B9A" w:rsidRPr="006330AE" w:rsidRDefault="00694B9A" w:rsidP="006330AE">
          <w:pPr>
            <w:pStyle w:val="Header"/>
            <w:spacing w:before="109"/>
            <w:ind w:left="-72"/>
          </w:pPr>
        </w:p>
      </w:tc>
      <w:tc>
        <w:tcPr>
          <w:tcW w:w="5227" w:type="dxa"/>
          <w:gridSpan w:val="3"/>
          <w:tcBorders>
            <w:top w:val="single" w:sz="4" w:space="0" w:color="auto"/>
            <w:bottom w:val="single" w:sz="12" w:space="0" w:color="auto"/>
          </w:tcBorders>
          <w:shd w:val="clear" w:color="auto" w:fill="auto"/>
        </w:tcPr>
        <w:p w:rsidR="00694B9A" w:rsidRPr="006330AE" w:rsidRDefault="00694B9A" w:rsidP="006330AE">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694B9A" w:rsidRPr="006330AE" w:rsidRDefault="00694B9A" w:rsidP="006330AE">
          <w:pPr>
            <w:pStyle w:val="Header"/>
            <w:spacing w:before="109"/>
          </w:pPr>
        </w:p>
      </w:tc>
      <w:tc>
        <w:tcPr>
          <w:tcW w:w="3180" w:type="dxa"/>
          <w:gridSpan w:val="2"/>
          <w:tcBorders>
            <w:top w:val="single" w:sz="4" w:space="0" w:color="auto"/>
            <w:bottom w:val="single" w:sz="12" w:space="0" w:color="auto"/>
          </w:tcBorders>
          <w:shd w:val="clear" w:color="auto" w:fill="auto"/>
        </w:tcPr>
        <w:p w:rsidR="00694B9A" w:rsidRDefault="00694B9A" w:rsidP="006330AE">
          <w:pPr>
            <w:spacing w:before="240" w:line="240" w:lineRule="exact"/>
            <w:rPr>
              <w:rFonts w:ascii="Times New Roman"/>
            </w:rPr>
          </w:pPr>
          <w:r>
            <w:rPr>
              <w:rFonts w:ascii="Times New Roman"/>
            </w:rPr>
            <w:t>Distr.: General</w:t>
          </w:r>
        </w:p>
        <w:p w:rsidR="00694B9A" w:rsidRDefault="00694B9A" w:rsidP="006330AE">
          <w:pPr>
            <w:spacing w:line="240" w:lineRule="exact"/>
            <w:rPr>
              <w:rFonts w:ascii="Times New Roman"/>
            </w:rPr>
          </w:pPr>
          <w:r>
            <w:rPr>
              <w:rFonts w:ascii="Times New Roman"/>
            </w:rPr>
            <w:t>6 March 2008</w:t>
          </w:r>
        </w:p>
        <w:p w:rsidR="00694B9A" w:rsidRDefault="00694B9A" w:rsidP="006330AE">
          <w:pPr>
            <w:spacing w:line="240" w:lineRule="exact"/>
            <w:rPr>
              <w:rFonts w:ascii="Times New Roman"/>
            </w:rPr>
          </w:pPr>
          <w:r>
            <w:rPr>
              <w:rFonts w:ascii="Times New Roman"/>
            </w:rPr>
            <w:t>Chinese</w:t>
          </w:r>
        </w:p>
        <w:p w:rsidR="00694B9A" w:rsidRPr="006330AE" w:rsidRDefault="00694B9A" w:rsidP="006330AE">
          <w:pPr>
            <w:spacing w:line="240" w:lineRule="exact"/>
            <w:rPr>
              <w:rFonts w:ascii="Times New Roman"/>
            </w:rPr>
          </w:pPr>
          <w:r>
            <w:rPr>
              <w:rFonts w:ascii="Times New Roman"/>
            </w:rPr>
            <w:t>Original: English/Spanish</w:t>
          </w:r>
        </w:p>
      </w:tc>
    </w:tr>
  </w:tbl>
  <w:p w:rsidR="00694B9A" w:rsidRPr="006330AE" w:rsidRDefault="00694B9A" w:rsidP="006330A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2025*"/>
    <w:docVar w:name="CreationDt" w:val="30/01/2008 17:48:36"/>
    <w:docVar w:name="DocCategory" w:val="Doc"/>
    <w:docVar w:name="DocType" w:val="Final"/>
    <w:docVar w:name="FooterJN" w:val="08-22025"/>
    <w:docVar w:name="jobn" w:val="08-22025 (C)"/>
    <w:docVar w:name="jobnDT" w:val="08-22025 (C)   300108"/>
    <w:docVar w:name="jobnDTDT" w:val="08-22025 (C)   300108   300108"/>
    <w:docVar w:name="JobNo" w:val="0822025C"/>
    <w:docVar w:name="OandT" w:val="jia"/>
    <w:docVar w:name="sss1" w:val="CEDAW/C/URY/Q/7"/>
    <w:docVar w:name="sss2" w:val="-"/>
    <w:docVar w:name="Symbol1" w:val="CEDAW/C/URY/Q/7"/>
    <w:docVar w:name="Symbol2" w:val="-"/>
  </w:docVars>
  <w:rsids>
    <w:rsidRoot w:val="006B321F"/>
    <w:rsid w:val="000125BC"/>
    <w:rsid w:val="00021A2B"/>
    <w:rsid w:val="00032940"/>
    <w:rsid w:val="00037B39"/>
    <w:rsid w:val="00044CA4"/>
    <w:rsid w:val="00045EFE"/>
    <w:rsid w:val="0005297C"/>
    <w:rsid w:val="0007337D"/>
    <w:rsid w:val="000758DF"/>
    <w:rsid w:val="00076EB8"/>
    <w:rsid w:val="00095C67"/>
    <w:rsid w:val="000A31F9"/>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7714B"/>
    <w:rsid w:val="001950BF"/>
    <w:rsid w:val="001A3705"/>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7645D"/>
    <w:rsid w:val="00280671"/>
    <w:rsid w:val="002814F9"/>
    <w:rsid w:val="00282D17"/>
    <w:rsid w:val="00286550"/>
    <w:rsid w:val="002A4AEF"/>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33F12"/>
    <w:rsid w:val="003649EE"/>
    <w:rsid w:val="00371BC6"/>
    <w:rsid w:val="00373A15"/>
    <w:rsid w:val="00394A02"/>
    <w:rsid w:val="003C7B20"/>
    <w:rsid w:val="003E4565"/>
    <w:rsid w:val="003E748F"/>
    <w:rsid w:val="003E7612"/>
    <w:rsid w:val="00414423"/>
    <w:rsid w:val="00435AFB"/>
    <w:rsid w:val="004411AD"/>
    <w:rsid w:val="004424EF"/>
    <w:rsid w:val="00453BB0"/>
    <w:rsid w:val="00460162"/>
    <w:rsid w:val="004620A8"/>
    <w:rsid w:val="00487444"/>
    <w:rsid w:val="004A06D1"/>
    <w:rsid w:val="004A094C"/>
    <w:rsid w:val="004A11FC"/>
    <w:rsid w:val="004C0224"/>
    <w:rsid w:val="004C3255"/>
    <w:rsid w:val="004D07E1"/>
    <w:rsid w:val="004D1C19"/>
    <w:rsid w:val="004F29B8"/>
    <w:rsid w:val="0050413E"/>
    <w:rsid w:val="00515657"/>
    <w:rsid w:val="00521275"/>
    <w:rsid w:val="0052216F"/>
    <w:rsid w:val="005232CA"/>
    <w:rsid w:val="00523636"/>
    <w:rsid w:val="005335B9"/>
    <w:rsid w:val="00536CCE"/>
    <w:rsid w:val="005541E4"/>
    <w:rsid w:val="0058302A"/>
    <w:rsid w:val="005A4CAD"/>
    <w:rsid w:val="005B7338"/>
    <w:rsid w:val="005C02AB"/>
    <w:rsid w:val="005D0F04"/>
    <w:rsid w:val="005F12F0"/>
    <w:rsid w:val="005F3273"/>
    <w:rsid w:val="005F34A3"/>
    <w:rsid w:val="00610CF2"/>
    <w:rsid w:val="006328DE"/>
    <w:rsid w:val="006330AE"/>
    <w:rsid w:val="006479F1"/>
    <w:rsid w:val="00650BEE"/>
    <w:rsid w:val="006520FA"/>
    <w:rsid w:val="0065377D"/>
    <w:rsid w:val="00666F57"/>
    <w:rsid w:val="006740A7"/>
    <w:rsid w:val="00691524"/>
    <w:rsid w:val="00694B9A"/>
    <w:rsid w:val="006A654B"/>
    <w:rsid w:val="006B321F"/>
    <w:rsid w:val="006E2924"/>
    <w:rsid w:val="006E7A26"/>
    <w:rsid w:val="006F2B3D"/>
    <w:rsid w:val="006F6089"/>
    <w:rsid w:val="007319E0"/>
    <w:rsid w:val="00737B00"/>
    <w:rsid w:val="00745265"/>
    <w:rsid w:val="0075155C"/>
    <w:rsid w:val="007527B3"/>
    <w:rsid w:val="00753A05"/>
    <w:rsid w:val="00755943"/>
    <w:rsid w:val="00757193"/>
    <w:rsid w:val="00761190"/>
    <w:rsid w:val="00776537"/>
    <w:rsid w:val="0078344E"/>
    <w:rsid w:val="00783A25"/>
    <w:rsid w:val="007877F4"/>
    <w:rsid w:val="007E1B5E"/>
    <w:rsid w:val="007E6253"/>
    <w:rsid w:val="007F2278"/>
    <w:rsid w:val="00802A83"/>
    <w:rsid w:val="00805783"/>
    <w:rsid w:val="00806F57"/>
    <w:rsid w:val="00806F90"/>
    <w:rsid w:val="00824C19"/>
    <w:rsid w:val="00826250"/>
    <w:rsid w:val="008378D1"/>
    <w:rsid w:val="00846462"/>
    <w:rsid w:val="0085792E"/>
    <w:rsid w:val="0086691F"/>
    <w:rsid w:val="00883DB0"/>
    <w:rsid w:val="00884C8F"/>
    <w:rsid w:val="00896D38"/>
    <w:rsid w:val="008C3296"/>
    <w:rsid w:val="008E2D03"/>
    <w:rsid w:val="008F2BB5"/>
    <w:rsid w:val="008F425D"/>
    <w:rsid w:val="008F5472"/>
    <w:rsid w:val="008F5D0F"/>
    <w:rsid w:val="009122E0"/>
    <w:rsid w:val="00913351"/>
    <w:rsid w:val="00947171"/>
    <w:rsid w:val="0096193C"/>
    <w:rsid w:val="009769E1"/>
    <w:rsid w:val="00977E0D"/>
    <w:rsid w:val="00986C04"/>
    <w:rsid w:val="009A2F76"/>
    <w:rsid w:val="009C741B"/>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5404"/>
    <w:rsid w:val="00A968C5"/>
    <w:rsid w:val="00AA3C28"/>
    <w:rsid w:val="00AB2786"/>
    <w:rsid w:val="00AD4308"/>
    <w:rsid w:val="00AE40CD"/>
    <w:rsid w:val="00AF2A33"/>
    <w:rsid w:val="00B01A67"/>
    <w:rsid w:val="00B309DD"/>
    <w:rsid w:val="00B36621"/>
    <w:rsid w:val="00B36D64"/>
    <w:rsid w:val="00B41B48"/>
    <w:rsid w:val="00B447FE"/>
    <w:rsid w:val="00B56194"/>
    <w:rsid w:val="00B61A34"/>
    <w:rsid w:val="00B64E8E"/>
    <w:rsid w:val="00B65E8B"/>
    <w:rsid w:val="00B8025A"/>
    <w:rsid w:val="00B827B1"/>
    <w:rsid w:val="00BB23A4"/>
    <w:rsid w:val="00BB43C6"/>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2BDA"/>
    <w:rsid w:val="00D9586D"/>
    <w:rsid w:val="00DB0932"/>
    <w:rsid w:val="00DC2506"/>
    <w:rsid w:val="00DC49FA"/>
    <w:rsid w:val="00DD3D6B"/>
    <w:rsid w:val="00DD4467"/>
    <w:rsid w:val="00DD61C8"/>
    <w:rsid w:val="00DD772B"/>
    <w:rsid w:val="00E050BA"/>
    <w:rsid w:val="00E25442"/>
    <w:rsid w:val="00E25A1F"/>
    <w:rsid w:val="00E37EEB"/>
    <w:rsid w:val="00E51531"/>
    <w:rsid w:val="00E641D3"/>
    <w:rsid w:val="00E710FB"/>
    <w:rsid w:val="00E806D9"/>
    <w:rsid w:val="00E82CA2"/>
    <w:rsid w:val="00E94E5A"/>
    <w:rsid w:val="00E95594"/>
    <w:rsid w:val="00EA31C3"/>
    <w:rsid w:val="00EB33AC"/>
    <w:rsid w:val="00EC6F21"/>
    <w:rsid w:val="00EE0913"/>
    <w:rsid w:val="00F01440"/>
    <w:rsid w:val="00F13305"/>
    <w:rsid w:val="00F40463"/>
    <w:rsid w:val="00F50336"/>
    <w:rsid w:val="00F62E3F"/>
    <w:rsid w:val="00F67F90"/>
    <w:rsid w:val="00F7284F"/>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52</TotalTime>
  <Pages>1</Pages>
  <Words>530</Words>
  <Characters>3027</Characters>
  <Application>Microsoft Office Word</Application>
  <DocSecurity>4</DocSecurity>
  <Lines>25</Lines>
  <Paragraphs>7</Paragraphs>
  <ScaleCrop>false</ScaleCrop>
  <Company>United Nations</Company>
  <LinksUpToDate>false</LinksUpToDate>
  <CharactersWithSpaces>3550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Qiping.Jia</dc:creator>
  <cp:keywords/>
  <dc:description/>
  <cp:lastModifiedBy>ctpu1</cp:lastModifiedBy>
  <cp:revision>37</cp:revision>
  <cp:lastPrinted>2008-03-19T10:49:00Z</cp:lastPrinted>
  <dcterms:created xsi:type="dcterms:W3CDTF">2008-01-30T16:47:00Z</dcterms:created>
  <dcterms:modified xsi:type="dcterms:W3CDTF">2008-03-19T10:52:00Z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0822025</vt:lpwstr>
  </property>
  <property fmtid="{D5CDD505-2E9C-101B-9397-08002B2CF9AE}" pid="3" name="Symbol1">
    <vt:lpwstr>CEDAW/C/URY/Q/7</vt:lpwstr>
  </property>
  <property fmtid="{D5CDD505-2E9C-101B-9397-08002B2CF9AE}" pid="4" name="Symbol2">
    <vt:lpwstr/>
  </property>
  <property fmtid="{D5CDD505-2E9C-101B-9397-08002B2CF9AE}" pid="5" name="Translator">
    <vt:lpwstr/>
  </property>
  <property fmtid="{D5CDD505-2E9C-101B-9397-08002B2CF9AE}" pid="6" name="Operator">
    <vt:lpwstr>jia</vt:lpwstr>
  </property>
  <property fmtid="{D5CDD505-2E9C-101B-9397-08002B2CF9AE}" pid="7" name="DraftPages">
    <vt:lpwstr> </vt:lpwstr>
  </property>
  <property fmtid="{D5CDD505-2E9C-101B-9397-08002B2CF9AE}" pid="8" name="Comment">
    <vt:lpwstr/>
  </property>
</Properties>
</file>