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F34CF" w14:textId="77777777" w:rsidR="00E3609F" w:rsidRDefault="00E3609F" w:rsidP="00E3609F">
      <w:pPr>
        <w:spacing w:line="60" w:lineRule="exact"/>
        <w:rPr>
          <w:sz w:val="2"/>
        </w:rPr>
        <w:sectPr w:rsidR="00E3609F" w:rsidSect="00A825B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p>
    <w:p w14:paraId="77C58EC3" w14:textId="77777777" w:rsidR="00291A31" w:rsidRDefault="00291A31" w:rsidP="00B7265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残疾人权利委员会</w:t>
      </w:r>
    </w:p>
    <w:p w14:paraId="5E93847B" w14:textId="495562FA" w:rsidR="00291A31" w:rsidRPr="00291A31" w:rsidRDefault="00291A31" w:rsidP="00291A3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F6F911D" wp14:editId="7BFB9A0F">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C150C"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r>
      <w:r w:rsidRPr="00291A31">
        <w:rPr>
          <w:rFonts w:hint="eastAsia"/>
          <w:sz w:val="18"/>
        </w:rPr>
        <w:t>*</w:t>
      </w:r>
      <w:r>
        <w:rPr>
          <w:sz w:val="18"/>
        </w:rPr>
        <w:tab/>
      </w:r>
      <w:r w:rsidRPr="00291A31">
        <w:rPr>
          <w:rFonts w:hint="eastAsia"/>
          <w:sz w:val="18"/>
        </w:rPr>
        <w:t>委员会第二十七届会议</w:t>
      </w:r>
      <w:r w:rsidRPr="00291A31">
        <w:rPr>
          <w:rFonts w:hint="eastAsia"/>
          <w:sz w:val="18"/>
        </w:rPr>
        <w:t>(2022</w:t>
      </w:r>
      <w:r w:rsidRPr="00291A31">
        <w:rPr>
          <w:rFonts w:hint="eastAsia"/>
          <w:sz w:val="18"/>
        </w:rPr>
        <w:t>年</w:t>
      </w:r>
      <w:r w:rsidRPr="00291A31">
        <w:rPr>
          <w:rFonts w:hint="eastAsia"/>
          <w:sz w:val="18"/>
        </w:rPr>
        <w:t>8</w:t>
      </w:r>
      <w:r w:rsidRPr="00291A31">
        <w:rPr>
          <w:rFonts w:hint="eastAsia"/>
          <w:sz w:val="18"/>
        </w:rPr>
        <w:t>月</w:t>
      </w:r>
      <w:r w:rsidRPr="00291A31">
        <w:rPr>
          <w:rFonts w:hint="eastAsia"/>
          <w:sz w:val="18"/>
        </w:rPr>
        <w:t>15</w:t>
      </w:r>
      <w:r w:rsidRPr="00291A31">
        <w:rPr>
          <w:rFonts w:hint="eastAsia"/>
          <w:sz w:val="18"/>
        </w:rPr>
        <w:t>日至</w:t>
      </w:r>
      <w:r w:rsidRPr="00291A31">
        <w:rPr>
          <w:rFonts w:hint="eastAsia"/>
          <w:sz w:val="18"/>
        </w:rPr>
        <w:t>9</w:t>
      </w:r>
      <w:r w:rsidRPr="00291A31">
        <w:rPr>
          <w:rFonts w:hint="eastAsia"/>
          <w:sz w:val="18"/>
        </w:rPr>
        <w:t>月</w:t>
      </w:r>
      <w:r w:rsidRPr="00291A31">
        <w:rPr>
          <w:rFonts w:hint="eastAsia"/>
          <w:sz w:val="18"/>
        </w:rPr>
        <w:t>9</w:t>
      </w:r>
      <w:proofErr w:type="gramStart"/>
      <w:r w:rsidRPr="00291A31">
        <w:rPr>
          <w:rFonts w:hint="eastAsia"/>
          <w:sz w:val="18"/>
        </w:rPr>
        <w:t>日</w:t>
      </w:r>
      <w:r w:rsidRPr="00291A31">
        <w:rPr>
          <w:rFonts w:hint="eastAsia"/>
          <w:sz w:val="18"/>
        </w:rPr>
        <w:t>)</w:t>
      </w:r>
      <w:r w:rsidRPr="00291A31">
        <w:rPr>
          <w:rFonts w:hint="eastAsia"/>
          <w:sz w:val="18"/>
        </w:rPr>
        <w:t>通过</w:t>
      </w:r>
      <w:proofErr w:type="gramEnd"/>
      <w:r w:rsidRPr="00291A31">
        <w:rPr>
          <w:rFonts w:hint="eastAsia"/>
          <w:sz w:val="18"/>
        </w:rPr>
        <w:t>。</w:t>
      </w:r>
    </w:p>
    <w:p w14:paraId="7102D3FC" w14:textId="77777777" w:rsidR="00291A31" w:rsidRDefault="00291A31" w:rsidP="00B7265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解除收容的准则</w:t>
      </w:r>
      <w:r>
        <w:rPr>
          <w:rFonts w:hint="eastAsia"/>
        </w:rPr>
        <w:t>(</w:t>
      </w:r>
      <w:r>
        <w:rPr>
          <w:rFonts w:hint="eastAsia"/>
        </w:rPr>
        <w:t>包括在紧急情况下</w:t>
      </w:r>
      <w:r>
        <w:rPr>
          <w:rFonts w:hint="eastAsia"/>
        </w:rPr>
        <w:t>)*</w:t>
      </w:r>
    </w:p>
    <w:p w14:paraId="148B6236" w14:textId="45F7E6E2" w:rsidR="00291A31" w:rsidRDefault="00B72652" w:rsidP="00B7265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proofErr w:type="gramStart"/>
      <w:r w:rsidR="00291A31">
        <w:rPr>
          <w:rFonts w:hint="eastAsia"/>
        </w:rPr>
        <w:t>一</w:t>
      </w:r>
      <w:proofErr w:type="gramEnd"/>
      <w:r w:rsidR="00291A31">
        <w:rPr>
          <w:rFonts w:hint="eastAsia"/>
        </w:rPr>
        <w:t>.</w:t>
      </w:r>
      <w:r w:rsidR="00291A31">
        <w:rPr>
          <w:rFonts w:hint="eastAsia"/>
        </w:rPr>
        <w:tab/>
      </w:r>
      <w:r w:rsidR="00291A31">
        <w:rPr>
          <w:rFonts w:hint="eastAsia"/>
        </w:rPr>
        <w:t>目的和进程</w:t>
      </w:r>
    </w:p>
    <w:p w14:paraId="4243683D" w14:textId="444A23BA" w:rsidR="00291A31" w:rsidRDefault="00291A31" w:rsidP="00291A31">
      <w:pPr>
        <w:pStyle w:val="SingleTxt"/>
      </w:pPr>
      <w:r>
        <w:rPr>
          <w:rFonts w:hint="eastAsia"/>
        </w:rPr>
        <w:t>1.</w:t>
      </w:r>
      <w:r>
        <w:rPr>
          <w:rFonts w:hint="eastAsia"/>
        </w:rPr>
        <w:tab/>
      </w:r>
      <w:r>
        <w:rPr>
          <w:rFonts w:hint="eastAsia"/>
        </w:rPr>
        <w:t>本准则是对委员会关于独立生活和融入社区的第</w:t>
      </w:r>
      <w:r>
        <w:rPr>
          <w:rFonts w:hint="eastAsia"/>
        </w:rPr>
        <w:t>5</w:t>
      </w:r>
      <w:r>
        <w:rPr>
          <w:rFonts w:hint="eastAsia"/>
        </w:rPr>
        <w:t>号一般性意见</w:t>
      </w:r>
      <w:r>
        <w:rPr>
          <w:rFonts w:hint="eastAsia"/>
        </w:rPr>
        <w:t>(2017</w:t>
      </w:r>
      <w:r>
        <w:rPr>
          <w:rFonts w:hint="eastAsia"/>
        </w:rPr>
        <w:t>年</w:t>
      </w:r>
      <w:r>
        <w:rPr>
          <w:rFonts w:hint="eastAsia"/>
        </w:rPr>
        <w:t>)</w:t>
      </w:r>
      <w:r w:rsidR="00577AC2">
        <w:t xml:space="preserve"> </w:t>
      </w:r>
      <w:r>
        <w:rPr>
          <w:rFonts w:hint="eastAsia"/>
        </w:rPr>
        <w:t>(</w:t>
      </w:r>
      <w:r>
        <w:rPr>
          <w:rFonts w:hint="eastAsia"/>
        </w:rPr>
        <w:t>《公约》</w:t>
      </w:r>
      <w:proofErr w:type="gramStart"/>
      <w:r>
        <w:rPr>
          <w:rFonts w:hint="eastAsia"/>
        </w:rPr>
        <w:t>第十九条</w:t>
      </w:r>
      <w:r>
        <w:rPr>
          <w:rFonts w:hint="eastAsia"/>
        </w:rPr>
        <w:t>)</w:t>
      </w:r>
      <w:r>
        <w:rPr>
          <w:rFonts w:hint="eastAsia"/>
        </w:rPr>
        <w:t>和委员会关于残疾人自由和安全权的准则</w:t>
      </w:r>
      <w:proofErr w:type="gramEnd"/>
      <w:r>
        <w:rPr>
          <w:rFonts w:hint="eastAsia"/>
        </w:rPr>
        <w:t>(</w:t>
      </w:r>
      <w:r>
        <w:rPr>
          <w:rFonts w:hint="eastAsia"/>
        </w:rPr>
        <w:t>第十四条</w:t>
      </w:r>
      <w:r>
        <w:rPr>
          <w:rFonts w:hint="eastAsia"/>
        </w:rPr>
        <w:t>)</w:t>
      </w:r>
      <w:r>
        <w:rPr>
          <w:rFonts w:hint="eastAsia"/>
        </w:rPr>
        <w:t>的补充，并应与之一并阅读。这些准则旨在指导和支持缔约国努力实现残疾人独立生活和融入社区的权利，并作为规划解除收容进程和防止收容的依据。</w:t>
      </w:r>
    </w:p>
    <w:p w14:paraId="2F02D5F6" w14:textId="77777777" w:rsidR="00291A31" w:rsidRDefault="00291A31" w:rsidP="00291A31">
      <w:pPr>
        <w:pStyle w:val="SingleTxt"/>
      </w:pPr>
      <w:r>
        <w:rPr>
          <w:rFonts w:hint="eastAsia"/>
        </w:rPr>
        <w:t>2.</w:t>
      </w:r>
      <w:r>
        <w:rPr>
          <w:rFonts w:hint="eastAsia"/>
        </w:rPr>
        <w:tab/>
      </w:r>
      <w:proofErr w:type="gramStart"/>
      <w:r>
        <w:rPr>
          <w:rFonts w:hint="eastAsia"/>
        </w:rPr>
        <w:t>本准则借鉴了残疾人在冠状病毒病</w:t>
      </w:r>
      <w:r>
        <w:rPr>
          <w:rFonts w:hint="eastAsia"/>
        </w:rPr>
        <w:t>(</w:t>
      </w:r>
      <w:proofErr w:type="gramEnd"/>
      <w:r>
        <w:rPr>
          <w:rFonts w:hint="eastAsia"/>
        </w:rPr>
        <w:t>COVID-19)</w:t>
      </w:r>
      <w:r>
        <w:rPr>
          <w:rFonts w:hint="eastAsia"/>
        </w:rPr>
        <w:t>大流行之前和期间的经验，这些经验暴露了收容的广泛存在，同时凸显了收容对残疾人的权利和生活造成的有害影响，以及他们在收容机构中遭受的暴力、忽视、侵害、虐待和酷刑，其中包括化学、机械和身体限制。</w:t>
      </w:r>
    </w:p>
    <w:p w14:paraId="1AD70421" w14:textId="77777777" w:rsidR="00291A31" w:rsidRDefault="00291A31" w:rsidP="00291A31">
      <w:pPr>
        <w:pStyle w:val="SingleTxt"/>
      </w:pPr>
      <w:r>
        <w:rPr>
          <w:rFonts w:hint="eastAsia"/>
        </w:rPr>
        <w:t>3.</w:t>
      </w:r>
      <w:r>
        <w:rPr>
          <w:rFonts w:hint="eastAsia"/>
        </w:rPr>
        <w:tab/>
      </w:r>
      <w:r>
        <w:rPr>
          <w:rFonts w:hint="eastAsia"/>
        </w:rPr>
        <w:t>本准则是一个参与性进程所取得的成果，其中包括委员会组织举行的七次区域协商。有</w:t>
      </w:r>
      <w:r>
        <w:rPr>
          <w:rFonts w:hint="eastAsia"/>
        </w:rPr>
        <w:t>500</w:t>
      </w:r>
      <w:r>
        <w:rPr>
          <w:rFonts w:hint="eastAsia"/>
        </w:rPr>
        <w:t>多名残疾人参与协商，其中包括残疾妇女、残疾儿童、收容经历的幸存者和白化病患者，以及基层组织和其他民间社会组织。</w:t>
      </w:r>
    </w:p>
    <w:p w14:paraId="45C61D96" w14:textId="4FAC1134"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二</w:t>
      </w:r>
      <w:r w:rsidR="00291A31">
        <w:rPr>
          <w:rFonts w:hint="eastAsia"/>
        </w:rPr>
        <w:t>.</w:t>
      </w:r>
      <w:r w:rsidR="00291A31">
        <w:rPr>
          <w:rFonts w:hint="eastAsia"/>
        </w:rPr>
        <w:tab/>
      </w:r>
      <w:r w:rsidR="00291A31">
        <w:rPr>
          <w:rFonts w:hint="eastAsia"/>
        </w:rPr>
        <w:t>缔约国结束收容的义务</w:t>
      </w:r>
    </w:p>
    <w:p w14:paraId="5C69D4CA" w14:textId="77777777" w:rsidR="00291A31" w:rsidRDefault="00291A31" w:rsidP="00291A31">
      <w:pPr>
        <w:pStyle w:val="SingleTxt"/>
      </w:pPr>
      <w:r>
        <w:rPr>
          <w:rFonts w:hint="eastAsia"/>
        </w:rPr>
        <w:t>4.</w:t>
      </w:r>
      <w:r>
        <w:rPr>
          <w:rFonts w:hint="eastAsia"/>
        </w:rPr>
        <w:tab/>
      </w:r>
      <w:r>
        <w:rPr>
          <w:rFonts w:hint="eastAsia"/>
        </w:rPr>
        <w:t>尽管国际法对各项义务作出规定，但世界各地的残疾人依然在有生命危险的情况下被收容。</w:t>
      </w:r>
    </w:p>
    <w:p w14:paraId="6315264B" w14:textId="77777777" w:rsidR="00291A31" w:rsidRDefault="00291A31" w:rsidP="00291A31">
      <w:pPr>
        <w:pStyle w:val="SingleTxt"/>
      </w:pPr>
      <w:r>
        <w:rPr>
          <w:rFonts w:hint="eastAsia"/>
        </w:rPr>
        <w:t>5.</w:t>
      </w:r>
      <w:r>
        <w:rPr>
          <w:rFonts w:hint="eastAsia"/>
        </w:rPr>
        <w:tab/>
      </w:r>
      <w:r>
        <w:rPr>
          <w:rFonts w:hint="eastAsia"/>
        </w:rPr>
        <w:t>委员会表示，解除收容进程要么不符合《公约》，要么迟迟没有进行。</w:t>
      </w:r>
    </w:p>
    <w:p w14:paraId="3D6AEE14" w14:textId="77777777" w:rsidR="00291A31" w:rsidRDefault="00291A31" w:rsidP="00291A31">
      <w:pPr>
        <w:pStyle w:val="SingleTxt"/>
      </w:pPr>
      <w:r>
        <w:rPr>
          <w:rFonts w:hint="eastAsia"/>
        </w:rPr>
        <w:t>6.</w:t>
      </w:r>
      <w:r>
        <w:rPr>
          <w:rFonts w:hint="eastAsia"/>
        </w:rPr>
        <w:tab/>
      </w:r>
      <w:r>
        <w:rPr>
          <w:rFonts w:hint="eastAsia"/>
        </w:rPr>
        <w:t>收容是对残疾人的歧视性做法，违反了《公约》第五条。它涉及事实上剥夺残疾人的法律能力，违反了第十二条。这构成了基于残障的留置和剥夺自由，违反了第十四条。缔约国应承认，收容是暴力侵害残疾人的一种形式。它使残疾人被迫接受精神药物的医疗干预，如镇静剂、情绪稳定剂、电惊厥治疗和转换疗法，违反了第十五、十六和十七条。它使残疾人在未经其自由、事先和知情同意的情况下接受用药和其他干预措施，违反了第十五条和第二十五条。</w:t>
      </w:r>
    </w:p>
    <w:p w14:paraId="4A3C3F25" w14:textId="77777777" w:rsidR="00291A31" w:rsidRDefault="00291A31" w:rsidP="00291A31">
      <w:pPr>
        <w:pStyle w:val="SingleTxt"/>
      </w:pPr>
      <w:r>
        <w:rPr>
          <w:rFonts w:hint="eastAsia"/>
        </w:rPr>
        <w:lastRenderedPageBreak/>
        <w:t>7.</w:t>
      </w:r>
      <w:r>
        <w:rPr>
          <w:rFonts w:hint="eastAsia"/>
        </w:rPr>
        <w:tab/>
      </w:r>
      <w:r>
        <w:rPr>
          <w:rFonts w:hint="eastAsia"/>
        </w:rPr>
        <w:t>收容与残疾人独立生活和融入社区的权利相抵触。</w:t>
      </w:r>
    </w:p>
    <w:p w14:paraId="044F4C08" w14:textId="77777777" w:rsidR="00291A31" w:rsidRDefault="00291A31" w:rsidP="0000468E">
      <w:pPr>
        <w:pStyle w:val="SingleTxt"/>
      </w:pPr>
      <w:r w:rsidRPr="00291A31">
        <w:rPr>
          <w:rFonts w:hint="eastAsia"/>
          <w:sz w:val="20"/>
        </w:rPr>
        <w:t>8</w:t>
      </w:r>
      <w:r>
        <w:rPr>
          <w:rFonts w:hint="eastAsia"/>
        </w:rPr>
        <w:t>.</w:t>
      </w:r>
      <w:r>
        <w:rPr>
          <w:rFonts w:hint="eastAsia"/>
        </w:rPr>
        <w:tab/>
      </w:r>
      <w:r>
        <w:rPr>
          <w:rFonts w:hint="eastAsia"/>
        </w:rPr>
        <w:t>缔约国应废除一切形式的收容，停止在收容机构中安置新的人员，并避免对这些机构进行投资。</w:t>
      </w:r>
      <w:proofErr w:type="gramStart"/>
      <w:r>
        <w:rPr>
          <w:rFonts w:hint="eastAsia"/>
        </w:rPr>
        <w:t>绝不能将收容视为保护残疾人的一种形式或一种“</w:t>
      </w:r>
      <w:proofErr w:type="gramEnd"/>
      <w:r>
        <w:rPr>
          <w:rFonts w:hint="eastAsia"/>
        </w:rPr>
        <w:t>选择”。在紧急情况下</w:t>
      </w:r>
      <w:r>
        <w:rPr>
          <w:rFonts w:hint="eastAsia"/>
        </w:rPr>
        <w:t>(</w:t>
      </w:r>
      <w:r>
        <w:rPr>
          <w:rFonts w:hint="eastAsia"/>
        </w:rPr>
        <w:t>包括在公共卫生紧急情况下</w:t>
      </w:r>
      <w:r>
        <w:rPr>
          <w:rFonts w:hint="eastAsia"/>
        </w:rPr>
        <w:t>)</w:t>
      </w:r>
      <w:r>
        <w:rPr>
          <w:rFonts w:hint="eastAsia"/>
        </w:rPr>
        <w:t>不得中止行使《公约》第十九条规定的权利。</w:t>
      </w:r>
    </w:p>
    <w:p w14:paraId="71247D5C" w14:textId="77777777" w:rsidR="00291A31" w:rsidRDefault="00291A31" w:rsidP="00291A31">
      <w:pPr>
        <w:pStyle w:val="SingleTxt"/>
      </w:pPr>
      <w:r>
        <w:rPr>
          <w:rFonts w:hint="eastAsia"/>
        </w:rPr>
        <w:t>9.</w:t>
      </w:r>
      <w:r>
        <w:rPr>
          <w:rFonts w:hint="eastAsia"/>
        </w:rPr>
        <w:tab/>
      </w:r>
      <w:r>
        <w:rPr>
          <w:rFonts w:hint="eastAsia"/>
        </w:rPr>
        <w:t>没有任何理由使收容永久化。缔约国不应以缺乏社区支助和服务、贫穷或污名为由，继续维持或推迟关闭收容机构。不应利用包容性规划、研究、试点项目或法律改革的必要性来推迟改革或限制当下在支助融入社区方面的行动。</w:t>
      </w:r>
    </w:p>
    <w:p w14:paraId="1FEA23F1" w14:textId="77777777" w:rsidR="00291A31" w:rsidRDefault="00291A31" w:rsidP="00291A31">
      <w:pPr>
        <w:pStyle w:val="SingleTxt"/>
      </w:pPr>
      <w:r>
        <w:rPr>
          <w:rFonts w:hint="eastAsia"/>
        </w:rPr>
        <w:t>10.</w:t>
      </w:r>
      <w:r>
        <w:rPr>
          <w:rFonts w:hint="eastAsia"/>
        </w:rPr>
        <w:tab/>
      </w:r>
      <w:r>
        <w:rPr>
          <w:rFonts w:hint="eastAsia"/>
        </w:rPr>
        <w:t>遇到个人危机的残疾人绝不应被送入收容机构。个人危机不应被视为需要治疗的医疗问题，也不应被视为需要国家干预、强迫服药或强迫治疗的社会问题。</w:t>
      </w:r>
    </w:p>
    <w:p w14:paraId="74718F37" w14:textId="77777777" w:rsidR="00291A31" w:rsidRDefault="00291A31" w:rsidP="00291A31">
      <w:pPr>
        <w:pStyle w:val="SingleTxt"/>
      </w:pPr>
      <w:r>
        <w:rPr>
          <w:rFonts w:hint="eastAsia"/>
        </w:rPr>
        <w:t>11.</w:t>
      </w:r>
      <w:r>
        <w:rPr>
          <w:rFonts w:hint="eastAsia"/>
        </w:rPr>
        <w:tab/>
      </w:r>
      <w:r>
        <w:rPr>
          <w:rFonts w:hint="eastAsia"/>
        </w:rPr>
        <w:t>解除收容进程应旨在结束私人和公共领域中对残疾人一切形式的收容、隔绝和隔离。</w:t>
      </w:r>
    </w:p>
    <w:p w14:paraId="439039CD" w14:textId="77777777" w:rsidR="00291A31" w:rsidRDefault="00291A31" w:rsidP="00291A31">
      <w:pPr>
        <w:pStyle w:val="SingleTxt"/>
      </w:pPr>
      <w:r>
        <w:rPr>
          <w:rFonts w:hint="eastAsia"/>
        </w:rPr>
        <w:t>12.</w:t>
      </w:r>
      <w:r>
        <w:rPr>
          <w:rFonts w:hint="eastAsia"/>
        </w:rPr>
        <w:tab/>
      </w:r>
      <w:r>
        <w:rPr>
          <w:rFonts w:hint="eastAsia"/>
        </w:rPr>
        <w:t>收容绝不能被视为保护残疾儿童的一种形式。一切形式针对残疾儿童的收容</w:t>
      </w:r>
      <w:r>
        <w:rPr>
          <w:rFonts w:hint="eastAsia"/>
        </w:rPr>
        <w:t>(</w:t>
      </w:r>
      <w:r>
        <w:rPr>
          <w:rFonts w:hint="eastAsia"/>
        </w:rPr>
        <w:t>即安置在任何非家庭环境中</w:t>
      </w:r>
      <w:r>
        <w:rPr>
          <w:rFonts w:hint="eastAsia"/>
        </w:rPr>
        <w:t>)</w:t>
      </w:r>
      <w:r>
        <w:rPr>
          <w:rFonts w:hint="eastAsia"/>
        </w:rPr>
        <w:t>均构成一种隔离形式，是有害的，违反了《公约》。与所有儿童一样，残疾儿童有权享受家庭生活，需要在社区中与家庭一起生活和成长。</w:t>
      </w:r>
    </w:p>
    <w:p w14:paraId="0F063B07" w14:textId="77777777" w:rsidR="00291A31" w:rsidRDefault="00291A31" w:rsidP="00291A31">
      <w:pPr>
        <w:pStyle w:val="SingleTxt"/>
      </w:pPr>
      <w:r>
        <w:rPr>
          <w:rFonts w:hint="eastAsia"/>
        </w:rPr>
        <w:t>13.</w:t>
      </w:r>
      <w:r>
        <w:rPr>
          <w:rFonts w:hint="eastAsia"/>
        </w:rPr>
        <w:tab/>
      </w:r>
      <w:r>
        <w:rPr>
          <w:rFonts w:hint="eastAsia"/>
        </w:rPr>
        <w:t>缔约国应立即为个人提供离开收容机构的机会，取缔根据不符合《公约》第十四条的立法规定授权进行的任何留置，无论是根据精神卫生法还是其他法律，并禁止基于残疾的非自愿留置。缔约国应立即停止在收容机构进行新的安置，暂停新的收容和新的收容机构和房室的建造，并应避免翻新或翻修现有收容机构。</w:t>
      </w:r>
    </w:p>
    <w:p w14:paraId="7D132EF1" w14:textId="492FADE2"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三</w:t>
      </w:r>
      <w:r w:rsidR="00291A31">
        <w:rPr>
          <w:rFonts w:hint="eastAsia"/>
        </w:rPr>
        <w:t>.</w:t>
      </w:r>
      <w:r w:rsidR="00291A31">
        <w:rPr>
          <w:rFonts w:hint="eastAsia"/>
        </w:rPr>
        <w:tab/>
      </w:r>
      <w:r w:rsidR="00291A31">
        <w:rPr>
          <w:rFonts w:hint="eastAsia"/>
        </w:rPr>
        <w:t>了解和落实解除收容进程的关键要素</w:t>
      </w:r>
    </w:p>
    <w:p w14:paraId="63FCC49E" w14:textId="60F6FC64"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A.</w:t>
      </w:r>
      <w:r w:rsidR="00291A31">
        <w:rPr>
          <w:rFonts w:hint="eastAsia"/>
        </w:rPr>
        <w:tab/>
      </w:r>
      <w:r w:rsidR="00291A31">
        <w:rPr>
          <w:rFonts w:hint="eastAsia"/>
        </w:rPr>
        <w:t>收容</w:t>
      </w:r>
    </w:p>
    <w:p w14:paraId="730FBEFB" w14:textId="77777777" w:rsidR="00291A31" w:rsidRDefault="00291A31" w:rsidP="00291A31">
      <w:pPr>
        <w:pStyle w:val="SingleTxt"/>
      </w:pPr>
      <w:r>
        <w:rPr>
          <w:rFonts w:hint="eastAsia"/>
        </w:rPr>
        <w:t>14.</w:t>
      </w:r>
      <w:r>
        <w:rPr>
          <w:rFonts w:hint="eastAsia"/>
        </w:rPr>
        <w:tab/>
      </w:r>
      <w:r>
        <w:rPr>
          <w:rFonts w:hint="eastAsia"/>
        </w:rPr>
        <w:t>一个收容机构有某些确定性要素，例如必须与他人分享助手，对于由谁提供协助没有或只有有限的影响力；在社区中与外界隔绝和隔离，不能独立生活；缺乏对日常决策的控制；个人对与谁一起生活缺乏选择；日常生活规律刻板，不考虑个人意愿和偏好；一群人在某个权威人物管理下，在同一个地方进行相同活动；在提供服务方面采取家长式做法；监督生活安排；同一环境中残疾人人数过多。</w:t>
      </w:r>
    </w:p>
    <w:p w14:paraId="3E1E9E5E" w14:textId="77777777" w:rsidR="00291A31" w:rsidRDefault="00291A31" w:rsidP="00291A31">
      <w:pPr>
        <w:pStyle w:val="SingleTxt"/>
      </w:pPr>
      <w:r>
        <w:rPr>
          <w:rFonts w:hint="eastAsia"/>
        </w:rPr>
        <w:t>15.</w:t>
      </w:r>
      <w:r>
        <w:rPr>
          <w:rFonts w:hint="eastAsia"/>
        </w:rPr>
        <w:tab/>
      </w:r>
      <w:proofErr w:type="gramStart"/>
      <w:r>
        <w:rPr>
          <w:rFonts w:hint="eastAsia"/>
        </w:rPr>
        <w:t>收容残疾人是指仅基于残疾或结合“</w:t>
      </w:r>
      <w:proofErr w:type="gramEnd"/>
      <w:r>
        <w:rPr>
          <w:rFonts w:hint="eastAsia"/>
        </w:rPr>
        <w:t>照护”或“治疗”等其他理由进行的任何留置。针对残疾人的留置通常发生在以下机构，包括但不限于：社会照护机构、精神病院、长期住院医院、养老院、安全的失智症病房、特殊寄宿学校、社区中心以外的康复中心、过渡机构、集体之家、家庭式儿童之家、庇护或保护性居家、法医精神病机构、中转之家、白化病招待所、麻风病收容所和其他聚集场所。在精神健康场所，可以出于观察、照护或治疗和</w:t>
      </w:r>
      <w:r>
        <w:rPr>
          <w:rFonts w:hint="eastAsia"/>
        </w:rPr>
        <w:t>/</w:t>
      </w:r>
      <w:r>
        <w:rPr>
          <w:rFonts w:hint="eastAsia"/>
        </w:rPr>
        <w:t>或预防性留置等目的剥夺一个人的自由，这是一种收容形式。</w:t>
      </w:r>
    </w:p>
    <w:p w14:paraId="37AE474D" w14:textId="77777777" w:rsidR="00291A31" w:rsidRDefault="00291A31" w:rsidP="00291A31">
      <w:pPr>
        <w:pStyle w:val="SingleTxt"/>
      </w:pPr>
      <w:r>
        <w:rPr>
          <w:rFonts w:hint="eastAsia"/>
        </w:rPr>
        <w:lastRenderedPageBreak/>
        <w:t>16.</w:t>
      </w:r>
      <w:r>
        <w:rPr>
          <w:rFonts w:hint="eastAsia"/>
        </w:rPr>
        <w:tab/>
      </w:r>
      <w:r>
        <w:rPr>
          <w:rFonts w:hint="eastAsia"/>
        </w:rPr>
        <w:t>所有收容机构，包括由非国家行为者经营和控制的收容机构，都应被纳入解除收容改革。不能把缺失、改革或取消一个或多个机构要素作为依据，对一种环境进行社区定性。例如，此类环境包括：残疾成年人继续由他人替代决策或接受强制治疗，或他们共用助理；</w:t>
      </w:r>
      <w:proofErr w:type="gramStart"/>
      <w:r>
        <w:rPr>
          <w:rFonts w:hint="eastAsia"/>
        </w:rPr>
        <w:t>位于“</w:t>
      </w:r>
      <w:proofErr w:type="gramEnd"/>
      <w:r>
        <w:rPr>
          <w:rFonts w:hint="eastAsia"/>
        </w:rPr>
        <w:t>社区内”，但服务提供方在其中规定生活规律并剥夺自主权；在“家庭”中，相同的服务提供方将住房和支助打包在一起。</w:t>
      </w:r>
    </w:p>
    <w:p w14:paraId="33F235EE" w14:textId="77777777" w:rsidR="00291A31" w:rsidRDefault="00291A31" w:rsidP="00291A31">
      <w:pPr>
        <w:pStyle w:val="SingleTxt"/>
      </w:pPr>
      <w:r>
        <w:rPr>
          <w:rFonts w:hint="eastAsia"/>
        </w:rPr>
        <w:t>17.</w:t>
      </w:r>
      <w:r>
        <w:rPr>
          <w:rFonts w:hint="eastAsia"/>
        </w:rPr>
        <w:tab/>
      </w:r>
      <w:r>
        <w:rPr>
          <w:rFonts w:hint="eastAsia"/>
        </w:rPr>
        <w:t>缔约国应认识到，根据《公约》第十九条，独立生活和融入社区是指各种寄宿机构之外的生活环境。无论大小、目的或特点，或任何安置或留置的时间长短，一个收容机构永远不能被视为符合《公约》规定。</w:t>
      </w:r>
    </w:p>
    <w:p w14:paraId="6E0BC6F2" w14:textId="77777777" w:rsidR="00291A31" w:rsidRDefault="00291A31" w:rsidP="00291A31">
      <w:pPr>
        <w:pStyle w:val="SingleTxt"/>
      </w:pPr>
      <w:r>
        <w:rPr>
          <w:rFonts w:hint="eastAsia"/>
        </w:rPr>
        <w:t>18.</w:t>
      </w:r>
      <w:r>
        <w:rPr>
          <w:rFonts w:hint="eastAsia"/>
        </w:rPr>
        <w:tab/>
      </w:r>
      <w:r>
        <w:rPr>
          <w:rFonts w:hint="eastAsia"/>
        </w:rPr>
        <w:t>在其他留置场所</w:t>
      </w:r>
      <w:r>
        <w:rPr>
          <w:rFonts w:hint="eastAsia"/>
        </w:rPr>
        <w:t>(</w:t>
      </w:r>
      <w:r>
        <w:rPr>
          <w:rFonts w:hint="eastAsia"/>
        </w:rPr>
        <w:t>如监狱</w:t>
      </w:r>
      <w:r>
        <w:rPr>
          <w:rFonts w:hint="eastAsia"/>
        </w:rPr>
        <w:t>)</w:t>
      </w:r>
      <w:r>
        <w:rPr>
          <w:rFonts w:hint="eastAsia"/>
        </w:rPr>
        <w:t>、难民营和移民收容所、无家可归者收容所和祈祷营等隔离场所，残疾人的比例可能过高。各国应保障被留置在其他留置场所的残疾人的权利，并消除他们因残疾而遭受的歧视性做法。</w:t>
      </w:r>
    </w:p>
    <w:p w14:paraId="54DC29CC" w14:textId="36B23F41"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B.</w:t>
      </w:r>
      <w:r w:rsidR="00291A31">
        <w:rPr>
          <w:rFonts w:hint="eastAsia"/>
        </w:rPr>
        <w:tab/>
      </w:r>
      <w:r w:rsidR="00291A31">
        <w:rPr>
          <w:rFonts w:hint="eastAsia"/>
        </w:rPr>
        <w:t>解除收容进程</w:t>
      </w:r>
    </w:p>
    <w:p w14:paraId="1D3C68EE" w14:textId="77777777" w:rsidR="00291A31" w:rsidRDefault="00291A31" w:rsidP="00291A31">
      <w:pPr>
        <w:pStyle w:val="SingleTxt"/>
      </w:pPr>
      <w:r>
        <w:rPr>
          <w:rFonts w:hint="eastAsia"/>
        </w:rPr>
        <w:t>19.</w:t>
      </w:r>
      <w:r>
        <w:rPr>
          <w:rFonts w:hint="eastAsia"/>
        </w:rPr>
        <w:tab/>
      </w:r>
      <w:r>
        <w:rPr>
          <w:rFonts w:hint="eastAsia"/>
        </w:rPr>
        <w:t>解除收容包括相互关联的进程，这些进程应侧重于恢复残疾人的自主权、选择权和控制权，让他们决定如何、在哪里生活和与谁一起生活。</w:t>
      </w:r>
    </w:p>
    <w:p w14:paraId="31922291" w14:textId="6B496D43" w:rsidR="00291A31" w:rsidRDefault="00291A31" w:rsidP="00291A31">
      <w:pPr>
        <w:pStyle w:val="SingleTxt"/>
      </w:pPr>
      <w:r>
        <w:rPr>
          <w:rFonts w:hint="eastAsia"/>
        </w:rPr>
        <w:t>20.</w:t>
      </w:r>
      <w:r>
        <w:rPr>
          <w:rFonts w:hint="eastAsia"/>
        </w:rPr>
        <w:tab/>
      </w:r>
      <w:r>
        <w:rPr>
          <w:rFonts w:hint="eastAsia"/>
        </w:rPr>
        <w:t>解除收容进程应由残疾人主导，包括受收容影响的残疾人，而不是由参与管理或维持机构的人主导。应避免违反《公约》第十九条的做法，如翻修环境、增加床位、以较小机构取代较大机构、重新命名机构或在精神卫生立法中采用最低限制性选择原则等标准。</w:t>
      </w:r>
    </w:p>
    <w:p w14:paraId="4E44DFAE" w14:textId="592AE066"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C.</w:t>
      </w:r>
      <w:r w:rsidR="00291A31">
        <w:rPr>
          <w:rFonts w:hint="eastAsia"/>
        </w:rPr>
        <w:tab/>
      </w:r>
      <w:r w:rsidR="00291A31">
        <w:rPr>
          <w:rFonts w:hint="eastAsia"/>
        </w:rPr>
        <w:t>尊重选择权以及个人意愿和偏好</w:t>
      </w:r>
    </w:p>
    <w:p w14:paraId="4345E93B" w14:textId="77777777" w:rsidR="00291A31" w:rsidRDefault="00291A31" w:rsidP="00291A31">
      <w:pPr>
        <w:pStyle w:val="SingleTxt"/>
      </w:pPr>
      <w:r>
        <w:rPr>
          <w:rFonts w:hint="eastAsia"/>
        </w:rPr>
        <w:t>21.</w:t>
      </w:r>
      <w:r>
        <w:rPr>
          <w:rFonts w:hint="eastAsia"/>
        </w:rPr>
        <w:tab/>
      </w:r>
      <w:r>
        <w:rPr>
          <w:rFonts w:hint="eastAsia"/>
        </w:rPr>
        <w:t>若要独立生活和融入社区，就必须拥有完全法律能力，获得可及、使人们能够重新掌握自身生活的住房、支助和服务。有选择意味着残疾人</w:t>
      </w:r>
      <w:r>
        <w:rPr>
          <w:rFonts w:hint="eastAsia"/>
        </w:rPr>
        <w:t>(</w:t>
      </w:r>
      <w:r>
        <w:rPr>
          <w:rFonts w:hint="eastAsia"/>
        </w:rPr>
        <w:t>包括残疾妇女和残疾老年人</w:t>
      </w:r>
      <w:r>
        <w:rPr>
          <w:rFonts w:hint="eastAsia"/>
        </w:rPr>
        <w:t>)</w:t>
      </w:r>
      <w:r>
        <w:rPr>
          <w:rFonts w:hint="eastAsia"/>
        </w:rPr>
        <w:t>在决策中得到尊重，残疾儿童不断成长的能力得到尊重。缔约国应向离开机构的人提供多种选项，并确保残疾人在决策过程中获得可能需要的支助。</w:t>
      </w:r>
    </w:p>
    <w:p w14:paraId="6C116029" w14:textId="20731955"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D.</w:t>
      </w:r>
      <w:r w:rsidR="00291A31">
        <w:rPr>
          <w:rFonts w:hint="eastAsia"/>
        </w:rPr>
        <w:tab/>
      </w:r>
      <w:r w:rsidR="00291A31">
        <w:rPr>
          <w:rFonts w:hint="eastAsia"/>
        </w:rPr>
        <w:t>社区支助</w:t>
      </w:r>
    </w:p>
    <w:p w14:paraId="71A2FC07" w14:textId="77777777" w:rsidR="00291A31" w:rsidRDefault="00291A31" w:rsidP="00291A31">
      <w:pPr>
        <w:pStyle w:val="SingleTxt"/>
      </w:pPr>
      <w:r>
        <w:rPr>
          <w:rFonts w:hint="eastAsia"/>
        </w:rPr>
        <w:t>22.</w:t>
      </w:r>
      <w:r>
        <w:rPr>
          <w:rFonts w:hint="eastAsia"/>
        </w:rPr>
        <w:tab/>
      </w:r>
      <w:r>
        <w:rPr>
          <w:rFonts w:hint="eastAsia"/>
        </w:rPr>
        <w:t>缔约国应毫不拖延地优先在社区发展一系列高质量、个人化支助和包容性主流服务。</w:t>
      </w:r>
    </w:p>
    <w:p w14:paraId="14AB918E" w14:textId="77777777" w:rsidR="00291A31" w:rsidRDefault="00291A31" w:rsidP="00291A31">
      <w:pPr>
        <w:pStyle w:val="SingleTxt"/>
      </w:pPr>
      <w:r>
        <w:rPr>
          <w:rFonts w:hint="eastAsia"/>
        </w:rPr>
        <w:t>23.</w:t>
      </w:r>
      <w:r>
        <w:rPr>
          <w:rFonts w:hint="eastAsia"/>
        </w:rPr>
        <w:tab/>
      </w:r>
      <w:r>
        <w:rPr>
          <w:rFonts w:hint="eastAsia"/>
        </w:rPr>
        <w:t>独立生活和融入社区的一个核心要素是，所有残疾人都能根据自己的选择获得其在开展日常活动和参与社会方面所需的支助。支助应该个人化和个性化，并通过各种选项提供。支助涵盖各种广泛的正式援助以及非正式的社区网络。</w:t>
      </w:r>
    </w:p>
    <w:p w14:paraId="14FBB58D" w14:textId="1E0E7897" w:rsidR="00291A31" w:rsidRDefault="00291A31" w:rsidP="00291A31">
      <w:pPr>
        <w:pStyle w:val="SingleTxt"/>
      </w:pPr>
      <w:r>
        <w:rPr>
          <w:rFonts w:hint="eastAsia"/>
        </w:rPr>
        <w:t>24.</w:t>
      </w:r>
      <w:r w:rsidR="00B07064">
        <w:tab/>
      </w:r>
      <w:r>
        <w:rPr>
          <w:rFonts w:hint="eastAsia"/>
        </w:rPr>
        <w:t>应使残疾人能够在其选择、管理和终止社区支助的提供方面行使法律能力。可以在行使法律能力方面提供支助，将此作为一项由国家资助的服务，也可以通过个人非正式网络提供。</w:t>
      </w:r>
    </w:p>
    <w:p w14:paraId="1770A835" w14:textId="77777777" w:rsidR="00291A31" w:rsidRDefault="00291A31" w:rsidP="00291A31">
      <w:pPr>
        <w:pStyle w:val="SingleTxt"/>
      </w:pPr>
      <w:r>
        <w:rPr>
          <w:rFonts w:hint="eastAsia"/>
        </w:rPr>
        <w:t>25.</w:t>
      </w:r>
      <w:r>
        <w:rPr>
          <w:rFonts w:hint="eastAsia"/>
        </w:rPr>
        <w:tab/>
      </w:r>
      <w:r>
        <w:rPr>
          <w:rFonts w:hint="eastAsia"/>
        </w:rPr>
        <w:t>对独立生活的支助服务应当是可获、可及、可接受、可负担和可调整的。</w:t>
      </w:r>
    </w:p>
    <w:p w14:paraId="57F1C5C1" w14:textId="77777777" w:rsidR="00291A31" w:rsidRDefault="00291A31" w:rsidP="00291A31">
      <w:pPr>
        <w:pStyle w:val="SingleTxt"/>
      </w:pPr>
      <w:r>
        <w:rPr>
          <w:rFonts w:hint="eastAsia"/>
        </w:rPr>
        <w:t>26.</w:t>
      </w:r>
      <w:r>
        <w:rPr>
          <w:rFonts w:hint="eastAsia"/>
        </w:rPr>
        <w:tab/>
      </w:r>
      <w:r>
        <w:rPr>
          <w:rFonts w:hint="eastAsia"/>
        </w:rPr>
        <w:t>支助服务包括个人援助、同侪支助、家庭环境中为儿童提供支助性照护者、危机支助、沟通支助、行动支助、辅助性技术的提供、在获得住房和家务帮助方</w:t>
      </w:r>
      <w:r>
        <w:rPr>
          <w:rFonts w:hint="eastAsia"/>
        </w:rPr>
        <w:lastRenderedPageBreak/>
        <w:t>面的支助以及其他社区服务。还应提供支助，以便在教育、就业、司法系统、医疗保健等领域获得和使用主流服务。</w:t>
      </w:r>
    </w:p>
    <w:p w14:paraId="713C6868" w14:textId="41409D28" w:rsidR="00291A31" w:rsidRDefault="00291A31" w:rsidP="00291A31">
      <w:pPr>
        <w:pStyle w:val="SingleTxt"/>
      </w:pPr>
      <w:r>
        <w:rPr>
          <w:rFonts w:hint="eastAsia"/>
        </w:rPr>
        <w:t>27.</w:t>
      </w:r>
      <w:r>
        <w:rPr>
          <w:rFonts w:hint="eastAsia"/>
        </w:rPr>
        <w:tab/>
      </w:r>
      <w:r>
        <w:rPr>
          <w:rFonts w:hint="eastAsia"/>
        </w:rPr>
        <w:t>个人协助服务必须是个人化的，基于个人需求，并由用户控制。用户应该能够决定自己管理这种服务的程度，无论是以雇主身份行事还是从各种提供方那里聘用服务。所有残疾人都应获得个人协助，无论他们在行使法律能力方面是否需要支助。应</w:t>
      </w:r>
      <w:r w:rsidR="00A762DF">
        <w:rPr>
          <w:rFonts w:hint="eastAsia"/>
        </w:rPr>
        <w:t>在</w:t>
      </w:r>
      <w:r>
        <w:rPr>
          <w:rFonts w:hint="eastAsia"/>
        </w:rPr>
        <w:t>他们离开收容机构前为其联系好个人协助安排，以确保他们在离开后立即获得服务。</w:t>
      </w:r>
    </w:p>
    <w:p w14:paraId="357E622E" w14:textId="1E44F4E9" w:rsidR="00291A31" w:rsidRDefault="00291A31" w:rsidP="00291A31">
      <w:pPr>
        <w:pStyle w:val="SingleTxt"/>
      </w:pPr>
      <w:r>
        <w:rPr>
          <w:rFonts w:hint="eastAsia"/>
        </w:rPr>
        <w:t>28.</w:t>
      </w:r>
      <w:r w:rsidR="00577AC2">
        <w:tab/>
      </w:r>
      <w:r>
        <w:rPr>
          <w:rFonts w:hint="eastAsia"/>
        </w:rPr>
        <w:t>对社区支助服务</w:t>
      </w:r>
      <w:r>
        <w:rPr>
          <w:rFonts w:hint="eastAsia"/>
        </w:rPr>
        <w:t>(</w:t>
      </w:r>
      <w:r>
        <w:rPr>
          <w:rFonts w:hint="eastAsia"/>
        </w:rPr>
        <w:t>包括家庭内和其他支助服务</w:t>
      </w:r>
      <w:r>
        <w:rPr>
          <w:rFonts w:hint="eastAsia"/>
        </w:rPr>
        <w:t>)</w:t>
      </w:r>
      <w:r>
        <w:rPr>
          <w:rFonts w:hint="eastAsia"/>
        </w:rPr>
        <w:t>以及个人援助的界定应防止出现新的隔离服务，例如集体住房</w:t>
      </w:r>
      <w:r>
        <w:rPr>
          <w:rFonts w:hint="eastAsia"/>
        </w:rPr>
        <w:t>(</w:t>
      </w:r>
      <w:r>
        <w:rPr>
          <w:rFonts w:hint="eastAsia"/>
        </w:rPr>
        <w:t>包括小群体之家</w:t>
      </w:r>
      <w:r>
        <w:rPr>
          <w:rFonts w:hint="eastAsia"/>
        </w:rPr>
        <w:t>)</w:t>
      </w:r>
      <w:r>
        <w:rPr>
          <w:rFonts w:hint="eastAsia"/>
        </w:rPr>
        <w:t>、庇护性工场、提供临时照护的机构、过渡之家、日托中心、或社区治疗令等这些不属于社区服务的强制措施。</w:t>
      </w:r>
    </w:p>
    <w:p w14:paraId="4C89570D" w14:textId="2C34EBE2"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E.</w:t>
      </w:r>
      <w:r w:rsidR="00291A31">
        <w:rPr>
          <w:rFonts w:hint="eastAsia"/>
        </w:rPr>
        <w:tab/>
      </w:r>
      <w:r w:rsidR="00291A31">
        <w:rPr>
          <w:rFonts w:hint="eastAsia"/>
        </w:rPr>
        <w:t>资金和资源的分配</w:t>
      </w:r>
    </w:p>
    <w:p w14:paraId="4BDD6D7B" w14:textId="77777777" w:rsidR="00291A31" w:rsidRDefault="00291A31" w:rsidP="00291A31">
      <w:pPr>
        <w:pStyle w:val="SingleTxt"/>
      </w:pPr>
      <w:r>
        <w:rPr>
          <w:rFonts w:hint="eastAsia"/>
        </w:rPr>
        <w:t>29.</w:t>
      </w:r>
      <w:r>
        <w:rPr>
          <w:rFonts w:hint="eastAsia"/>
        </w:rPr>
        <w:tab/>
      </w:r>
      <w:r>
        <w:rPr>
          <w:rFonts w:hint="eastAsia"/>
        </w:rPr>
        <w:t>应禁止对收容机构的投资，包括翻修。投资应该用于立即释放居民以及为独立生活提供一切必要和适当的支助。</w:t>
      </w:r>
      <w:proofErr w:type="gramStart"/>
      <w:r>
        <w:rPr>
          <w:rFonts w:hint="eastAsia"/>
        </w:rPr>
        <w:t>缔约国应避免暗示残疾人“</w:t>
      </w:r>
      <w:proofErr w:type="gramEnd"/>
      <w:r>
        <w:rPr>
          <w:rFonts w:hint="eastAsia"/>
        </w:rPr>
        <w:t>选择”居住在收容机构中，或使用类似的观点为维持收容机构辩护。</w:t>
      </w:r>
    </w:p>
    <w:p w14:paraId="08BDE6C5" w14:textId="77777777" w:rsidR="00291A31" w:rsidRDefault="00291A31" w:rsidP="00291A31">
      <w:pPr>
        <w:pStyle w:val="SingleTxt"/>
      </w:pPr>
      <w:r>
        <w:rPr>
          <w:rFonts w:hint="eastAsia"/>
        </w:rPr>
        <w:t>30.</w:t>
      </w:r>
      <w:r>
        <w:rPr>
          <w:rFonts w:hint="eastAsia"/>
        </w:rPr>
        <w:tab/>
      </w:r>
      <w:r>
        <w:rPr>
          <w:rFonts w:hint="eastAsia"/>
        </w:rPr>
        <w:t>缔约国应停止使用公共资金建造和翻修收容机构，并应划拨此类资金</w:t>
      </w:r>
      <w:r>
        <w:rPr>
          <w:rFonts w:hint="eastAsia"/>
        </w:rPr>
        <w:t>(</w:t>
      </w:r>
      <w:r>
        <w:rPr>
          <w:rFonts w:hint="eastAsia"/>
        </w:rPr>
        <w:t>包括来自国际合作的资金</w:t>
      </w:r>
      <w:r>
        <w:rPr>
          <w:rFonts w:hint="eastAsia"/>
        </w:rPr>
        <w:t>)</w:t>
      </w:r>
      <w:r>
        <w:rPr>
          <w:rFonts w:hint="eastAsia"/>
        </w:rPr>
        <w:t>用于确保包容性社区支助系统和包容性主流服务具有可持续性。</w:t>
      </w:r>
    </w:p>
    <w:p w14:paraId="784ADA4C" w14:textId="77777777" w:rsidR="00291A31" w:rsidRDefault="00291A31" w:rsidP="00291A31">
      <w:pPr>
        <w:pStyle w:val="SingleTxt"/>
      </w:pPr>
      <w:r>
        <w:rPr>
          <w:rFonts w:hint="eastAsia"/>
        </w:rPr>
        <w:t>31.</w:t>
      </w:r>
      <w:r>
        <w:rPr>
          <w:rFonts w:hint="eastAsia"/>
        </w:rPr>
        <w:tab/>
      </w:r>
      <w:r>
        <w:rPr>
          <w:rFonts w:hint="eastAsia"/>
        </w:rPr>
        <w:t>缔约国应在离开收容机构的残疾人</w:t>
      </w:r>
      <w:r>
        <w:rPr>
          <w:rFonts w:hint="eastAsia"/>
        </w:rPr>
        <w:t>(</w:t>
      </w:r>
      <w:r>
        <w:rPr>
          <w:rFonts w:hint="eastAsia"/>
        </w:rPr>
        <w:t>包括残疾儿童</w:t>
      </w:r>
      <w:r>
        <w:rPr>
          <w:rFonts w:hint="eastAsia"/>
        </w:rPr>
        <w:t>)</w:t>
      </w:r>
      <w:r>
        <w:rPr>
          <w:rFonts w:hint="eastAsia"/>
        </w:rPr>
        <w:t>离开时立即向其提供全面的一揽子补偿，包括日常生活用品、现金、食品券、通信设备和关于可提供的服务的信息。这类一揽子补偿应向离开收容机构的残疾人提供基本的安全、支助和信心，以便他们能够康复，在需要时寻求支助，并在社区中享有适当生活水准，不会面临无家可归或贫穷的风险。</w:t>
      </w:r>
    </w:p>
    <w:p w14:paraId="6AA5816E" w14:textId="5ADC24A3"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F.</w:t>
      </w:r>
      <w:r w:rsidR="00291A31">
        <w:rPr>
          <w:rFonts w:hint="eastAsia"/>
        </w:rPr>
        <w:tab/>
      </w:r>
      <w:r w:rsidR="00291A31">
        <w:rPr>
          <w:rFonts w:hint="eastAsia"/>
        </w:rPr>
        <w:t>可及的住房</w:t>
      </w:r>
    </w:p>
    <w:p w14:paraId="6A63417C" w14:textId="77777777" w:rsidR="00291A31" w:rsidRDefault="00291A31" w:rsidP="00291A31">
      <w:pPr>
        <w:pStyle w:val="SingleTxt"/>
      </w:pPr>
      <w:r>
        <w:rPr>
          <w:rFonts w:hint="eastAsia"/>
        </w:rPr>
        <w:t>32.</w:t>
      </w:r>
      <w:r>
        <w:rPr>
          <w:rFonts w:hint="eastAsia"/>
        </w:rPr>
        <w:tab/>
      </w:r>
      <w:r>
        <w:rPr>
          <w:rFonts w:hint="eastAsia"/>
        </w:rPr>
        <w:t>缔约国应通过公共住房或租房补贴，确保离开收容机构者在社区获得安全、无及、可负担的住房。将离开收容机构者集中到公用住房安排或指定居民区，或将住房与医疗或支助一揽子计划绑定，不符合《公约》第十九条和第十八条第一款的规定。离开收容机构者应有权签订具有法律约束力的租赁或所有权协议。住房不应受精神卫生系统或其他管理收容机构的服务提供方的控制，也不应以接受医疗或具体支助服务为前提。</w:t>
      </w:r>
    </w:p>
    <w:p w14:paraId="7CD41ACB" w14:textId="77777777" w:rsidR="00291A31" w:rsidRDefault="00291A31" w:rsidP="00291A31">
      <w:pPr>
        <w:pStyle w:val="SingleTxt"/>
      </w:pPr>
      <w:r>
        <w:rPr>
          <w:rFonts w:hint="eastAsia"/>
        </w:rPr>
        <w:t>33.</w:t>
      </w:r>
      <w:r>
        <w:rPr>
          <w:rFonts w:hint="eastAsia"/>
        </w:rPr>
        <w:tab/>
      </w:r>
      <w:r>
        <w:rPr>
          <w:rFonts w:hint="eastAsia"/>
        </w:rPr>
        <w:t>《公约》第十九条提到的住宿服务不应被当作维持收容机构的理由</w:t>
      </w:r>
      <w:proofErr w:type="gramStart"/>
      <w:r>
        <w:rPr>
          <w:rFonts w:hint="eastAsia"/>
        </w:rPr>
        <w:t>。“</w:t>
      </w:r>
      <w:proofErr w:type="gramEnd"/>
      <w:r>
        <w:rPr>
          <w:rFonts w:hint="eastAsia"/>
        </w:rPr>
        <w:t>居家服务”一词是指以社区为基础的支助服务，旨在确保残疾人在行使适当住房权时受到平等对待和不受歧视。居家服务的例子包括经济适用房、自我管理的共同住房、免费配套服务和反对住房歧视方面的协助。要使住房被认为是适足的，它就必须符合关于住房权的法律保障、服务的提供、材料、设施和基础设施、可负担性、宜居性、可及性、位置和文化适足性的最低标准。</w:t>
      </w:r>
    </w:p>
    <w:p w14:paraId="7014DB66" w14:textId="46F07A2C"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291A31">
        <w:rPr>
          <w:rFonts w:hint="eastAsia"/>
        </w:rPr>
        <w:t>G.</w:t>
      </w:r>
      <w:r w:rsidR="00291A31">
        <w:rPr>
          <w:rFonts w:hint="eastAsia"/>
        </w:rPr>
        <w:tab/>
      </w:r>
      <w:r w:rsidR="00291A31">
        <w:rPr>
          <w:rFonts w:hint="eastAsia"/>
        </w:rPr>
        <w:t>残疾人参与解除收容进程</w:t>
      </w:r>
    </w:p>
    <w:p w14:paraId="6B31C96B" w14:textId="77777777" w:rsidR="00291A31" w:rsidRDefault="00291A31" w:rsidP="00291A31">
      <w:pPr>
        <w:pStyle w:val="SingleTxt"/>
      </w:pPr>
      <w:r>
        <w:rPr>
          <w:rFonts w:hint="eastAsia"/>
        </w:rPr>
        <w:t>34.</w:t>
      </w:r>
      <w:r>
        <w:rPr>
          <w:rFonts w:hint="eastAsia"/>
        </w:rPr>
        <w:tab/>
      </w:r>
      <w:r>
        <w:rPr>
          <w:rFonts w:hint="eastAsia"/>
        </w:rPr>
        <w:t>缔约国应根据《公约》第四条第三款和第三十三条，在解除收容进程的所有阶段让残疾人及其代表组织密切参与，并优先考虑离开收容机构者和收容幸存者及其代表组织的意见。应防止服务提供方、慈善机构、专业和宗教团体、工会以及在保持收容机构开放方面有经济或其他利益的人对与解除收容有关的决策进程施加影响。</w:t>
      </w:r>
    </w:p>
    <w:p w14:paraId="70090754" w14:textId="77777777" w:rsidR="00291A31" w:rsidRDefault="00291A31" w:rsidP="00291A31">
      <w:pPr>
        <w:pStyle w:val="SingleTxt"/>
      </w:pPr>
      <w:r>
        <w:rPr>
          <w:rFonts w:hint="eastAsia"/>
        </w:rPr>
        <w:t>35.</w:t>
      </w:r>
      <w:r>
        <w:rPr>
          <w:rFonts w:hint="eastAsia"/>
        </w:rPr>
        <w:tab/>
      </w:r>
      <w:r>
        <w:rPr>
          <w:rFonts w:hint="eastAsia"/>
        </w:rPr>
        <w:t>应当以可及方式向生活在收容机构中的残疾人、收容幸存者和收容风险较高的人提供支助和信息，以便他们充分参与解除收容进程。</w:t>
      </w:r>
    </w:p>
    <w:p w14:paraId="256B0C4A" w14:textId="77777777" w:rsidR="00291A31" w:rsidRDefault="00291A31" w:rsidP="00291A31">
      <w:pPr>
        <w:pStyle w:val="SingleTxt"/>
      </w:pPr>
      <w:r>
        <w:rPr>
          <w:rFonts w:hint="eastAsia"/>
        </w:rPr>
        <w:t>36.</w:t>
      </w:r>
      <w:r>
        <w:rPr>
          <w:rFonts w:hint="eastAsia"/>
        </w:rPr>
        <w:tab/>
      </w:r>
      <w:r>
        <w:rPr>
          <w:rFonts w:hint="eastAsia"/>
        </w:rPr>
        <w:t>缔约国应建立开放、包容的规划进程，确保公众了解《公约》第十九条、收容和将残疾人排斥在社会之外的危害以及改革的必要性。这些进程应包括针对公众、残疾人、家庭成员、政策制定者和服务提供方传播信息和开展其他提高认识活动。</w:t>
      </w:r>
    </w:p>
    <w:p w14:paraId="16C34695" w14:textId="73C0FE58"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四</w:t>
      </w:r>
      <w:r w:rsidR="00291A31">
        <w:rPr>
          <w:rFonts w:hint="eastAsia"/>
        </w:rPr>
        <w:t>.</w:t>
      </w:r>
      <w:r w:rsidR="00291A31">
        <w:rPr>
          <w:rFonts w:hint="eastAsia"/>
        </w:rPr>
        <w:tab/>
      </w:r>
      <w:r w:rsidR="00291A31">
        <w:rPr>
          <w:rFonts w:hint="eastAsia"/>
        </w:rPr>
        <w:t>解除收容立足于残疾人的尊严和多样性</w:t>
      </w:r>
    </w:p>
    <w:p w14:paraId="5C77717B" w14:textId="77777777" w:rsidR="00291A31" w:rsidRPr="00577AC2" w:rsidRDefault="00291A31" w:rsidP="00291A31">
      <w:pPr>
        <w:pStyle w:val="SingleTxt"/>
        <w:rPr>
          <w:spacing w:val="-2"/>
        </w:rPr>
      </w:pPr>
      <w:r>
        <w:rPr>
          <w:rFonts w:hint="eastAsia"/>
        </w:rPr>
        <w:t>37.</w:t>
      </w:r>
      <w:r>
        <w:rPr>
          <w:rFonts w:hint="eastAsia"/>
        </w:rPr>
        <w:tab/>
      </w:r>
      <w:r w:rsidRPr="00577AC2">
        <w:rPr>
          <w:rFonts w:hint="eastAsia"/>
          <w:spacing w:val="-2"/>
        </w:rPr>
        <w:t>所有残疾人都拥有在社区生活的权利，决定一些人不能独立生活并应该留在收容机构里是歧视性的。被剥夺决定权的个人最初可能不愿意接受独立生活和融入社区的邀请，即使在得到支助的情况下。对许多人来说，收容机构可能是他们唯一知道的生活环境。缔约国应对被收容者的个人发展受到限制承担责任，</w:t>
      </w:r>
      <w:proofErr w:type="gramStart"/>
      <w:r w:rsidRPr="00577AC2">
        <w:rPr>
          <w:rFonts w:hint="eastAsia"/>
          <w:spacing w:val="-2"/>
        </w:rPr>
        <w:t>而且不应因认为残疾人具有“</w:t>
      </w:r>
      <w:proofErr w:type="gramEnd"/>
      <w:r w:rsidRPr="00577AC2">
        <w:rPr>
          <w:rFonts w:hint="eastAsia"/>
          <w:spacing w:val="-2"/>
        </w:rPr>
        <w:t>脆弱性”或“弱点”而在离开收容机构方面设置新的障碍。解除收容进程应旨在恢复残疾人的尊严和承认残疾人的多样性。基于残障评估独立生活能力具有歧视性，评估应转而注重个人化需求和在社区独立生活的障碍。</w:t>
      </w:r>
    </w:p>
    <w:p w14:paraId="6D497417" w14:textId="77777777" w:rsidR="00291A31" w:rsidRDefault="00291A31" w:rsidP="00291A31">
      <w:pPr>
        <w:pStyle w:val="SingleTxt"/>
      </w:pPr>
      <w:r>
        <w:rPr>
          <w:rFonts w:hint="eastAsia"/>
        </w:rPr>
        <w:t>38.</w:t>
      </w:r>
      <w:r>
        <w:rPr>
          <w:rFonts w:hint="eastAsia"/>
        </w:rPr>
        <w:tab/>
      </w:r>
      <w:r>
        <w:rPr>
          <w:rFonts w:hint="eastAsia"/>
        </w:rPr>
        <w:t>只有在成年残疾人明确同意的情况下，才允许残疾人家庭成员参与解除收容进程。一些残疾人可能更愿意接受家庭成员的支助，将此作为公共服务的补充或替代。如果一个人选择接受家庭成员的支助，缔约国则应确保家庭成员能够获得充分的财政、社会和其他援助，以履行其支助作用。只有残疾人在选择和控制所获支助的种类和支助使用方式方面的权利获得充分尊重的情况下，才能向家庭成员提供国家支助。对家庭成员的支助绝不应包括以任何形式将残疾人短期或长期安置在收容机构，并应使残疾人能够实现独立生活和融入社区的权利。</w:t>
      </w:r>
    </w:p>
    <w:p w14:paraId="35F79296" w14:textId="4DEA665C"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A.</w:t>
      </w:r>
      <w:r w:rsidR="00291A31">
        <w:rPr>
          <w:rFonts w:hint="eastAsia"/>
        </w:rPr>
        <w:tab/>
      </w:r>
      <w:r w:rsidR="00291A31">
        <w:rPr>
          <w:rFonts w:hint="eastAsia"/>
        </w:rPr>
        <w:t>交叉性</w:t>
      </w:r>
    </w:p>
    <w:p w14:paraId="75BF649F" w14:textId="77777777" w:rsidR="00291A31" w:rsidRDefault="00291A31" w:rsidP="00291A31">
      <w:pPr>
        <w:pStyle w:val="SingleTxt"/>
      </w:pPr>
      <w:r>
        <w:rPr>
          <w:rFonts w:hint="eastAsia"/>
        </w:rPr>
        <w:t>39.</w:t>
      </w:r>
      <w:r>
        <w:rPr>
          <w:rFonts w:hint="eastAsia"/>
        </w:rPr>
        <w:tab/>
      </w:r>
      <w:r>
        <w:rPr>
          <w:rFonts w:hint="eastAsia"/>
        </w:rPr>
        <w:t>缔约国应采取交叉办法，处理对生活在收容机构或离开收容机构的残疾人的歧视、隔离、孤立和其他形式的虐待。残疾人的个人身份有多面性，残疾只是一个特征。其他特征包括种族、性别和社会性别、性别认同和表达、性取向、性特征、语言、宗教、族裔、土著或社会出身、移民或难民身份、年龄、残障群体、政治或其他见解、监禁经历或其他身份，这些特征相互交叉，形成一个人的个人身份。交叉性在所有残疾人的生活经历中发挥着重要作用。</w:t>
      </w:r>
    </w:p>
    <w:p w14:paraId="4A8429B0" w14:textId="77777777" w:rsidR="00291A31" w:rsidRDefault="00291A31" w:rsidP="00291A31">
      <w:pPr>
        <w:pStyle w:val="SingleTxt"/>
      </w:pPr>
      <w:r>
        <w:rPr>
          <w:rFonts w:hint="eastAsia"/>
        </w:rPr>
        <w:lastRenderedPageBreak/>
        <w:t>40.</w:t>
      </w:r>
      <w:r>
        <w:rPr>
          <w:rFonts w:hint="eastAsia"/>
        </w:rPr>
        <w:tab/>
      </w:r>
      <w:r w:rsidRPr="00577AC2">
        <w:rPr>
          <w:rFonts w:hint="eastAsia"/>
          <w:spacing w:val="-2"/>
        </w:rPr>
        <w:t>无论是否个人明确地因残疾而被送入收容机构，都可能发生基于残疾的歧视。</w:t>
      </w:r>
      <w:r>
        <w:rPr>
          <w:rFonts w:hint="eastAsia"/>
        </w:rPr>
        <w:t>由于缺乏支助服务，社区中也可能发生多重歧视和法律上或事实上的歧视，从而迫使残疾人进入收容机构。</w:t>
      </w:r>
    </w:p>
    <w:p w14:paraId="4B401D94" w14:textId="77777777" w:rsidR="00291A31" w:rsidRDefault="00291A31" w:rsidP="00291A31">
      <w:pPr>
        <w:pStyle w:val="SingleTxt"/>
      </w:pPr>
      <w:r>
        <w:rPr>
          <w:rFonts w:hint="eastAsia"/>
        </w:rPr>
        <w:t>41.</w:t>
      </w:r>
      <w:r>
        <w:rPr>
          <w:rFonts w:hint="eastAsia"/>
        </w:rPr>
        <w:tab/>
      </w:r>
      <w:r>
        <w:rPr>
          <w:rFonts w:hint="eastAsia"/>
        </w:rPr>
        <w:t>缔约国应确保在解除收容进程的所有方面考虑到交叉性，特别是在规划、执行和监测收容机构的关闭、在发展包容性社区支助系统和包容性主流服务以及在确保残疾人参与所以这些进程方面，同时采用对性别问题有敏感认识和适龄的办法。缔约国还应处理结构性种族主义问题，防止因残疾与种族和族裔出身的叠加因素所发生的歧视和收容。</w:t>
      </w:r>
    </w:p>
    <w:p w14:paraId="75BB8C08" w14:textId="56D3064A"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B.</w:t>
      </w:r>
      <w:r w:rsidR="00291A31">
        <w:rPr>
          <w:rFonts w:hint="eastAsia"/>
        </w:rPr>
        <w:tab/>
      </w:r>
      <w:r w:rsidR="00291A31">
        <w:rPr>
          <w:rFonts w:hint="eastAsia"/>
        </w:rPr>
        <w:t>残疾妇女和女童</w:t>
      </w:r>
    </w:p>
    <w:p w14:paraId="36F803DF" w14:textId="77777777" w:rsidR="00291A31" w:rsidRDefault="00291A31" w:rsidP="00291A31">
      <w:pPr>
        <w:pStyle w:val="SingleTxt"/>
      </w:pPr>
      <w:r>
        <w:rPr>
          <w:rFonts w:hint="eastAsia"/>
        </w:rPr>
        <w:t>42.</w:t>
      </w:r>
      <w:r>
        <w:rPr>
          <w:rFonts w:hint="eastAsia"/>
        </w:rPr>
        <w:tab/>
      </w:r>
      <w:r>
        <w:rPr>
          <w:rFonts w:hint="eastAsia"/>
        </w:rPr>
        <w:t>缔约国应承认，残疾妇女和女童因性别和残疾而受到多重歧视，她们并不是一个同质群体。与其他妇女相比，残疾妇女在收容机构中遭受暴力、剥削和侵害的风险更高，遭受性别暴力和诸如强迫避孕、强迫堕胎和绝育等有害做法的风险也更高。她们比残疾男子和其他妇女更经常地被剥夺行使法律能力的权利，从而导致被剥夺诉诸司法、选择和自主的机会。在设计和实施解除收容计划时，应考虑到这些风险。</w:t>
      </w:r>
    </w:p>
    <w:p w14:paraId="63B94A51" w14:textId="2156F9F0"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C.</w:t>
      </w:r>
      <w:r w:rsidR="00291A31">
        <w:rPr>
          <w:rFonts w:hint="eastAsia"/>
        </w:rPr>
        <w:tab/>
      </w:r>
      <w:r w:rsidR="00291A31">
        <w:rPr>
          <w:rFonts w:hint="eastAsia"/>
        </w:rPr>
        <w:t>残疾儿童和青少年</w:t>
      </w:r>
    </w:p>
    <w:p w14:paraId="5664EA21" w14:textId="77777777" w:rsidR="00291A31" w:rsidRDefault="00291A31" w:rsidP="00291A31">
      <w:pPr>
        <w:pStyle w:val="SingleTxt"/>
      </w:pPr>
      <w:r>
        <w:rPr>
          <w:rFonts w:hint="eastAsia"/>
        </w:rPr>
        <w:t>43.</w:t>
      </w:r>
      <w:r>
        <w:rPr>
          <w:rFonts w:hint="eastAsia"/>
        </w:rPr>
        <w:tab/>
      </w:r>
      <w:r w:rsidRPr="00577AC2">
        <w:rPr>
          <w:rFonts w:hint="eastAsia"/>
          <w:spacing w:val="-2"/>
        </w:rPr>
        <w:t>对残疾儿童而言，解除收容应旨在保护家庭生活权，并符合他们的最大利益。对儿童来说，融入社区权利的核心是在家庭中成长的权利。就儿童而言</w:t>
      </w:r>
      <w:proofErr w:type="gramStart"/>
      <w:r w:rsidRPr="00577AC2">
        <w:rPr>
          <w:rFonts w:hint="eastAsia"/>
          <w:spacing w:val="-2"/>
        </w:rPr>
        <w:t>，“</w:t>
      </w:r>
      <w:proofErr w:type="gramEnd"/>
      <w:r w:rsidRPr="00577AC2">
        <w:rPr>
          <w:rFonts w:hint="eastAsia"/>
          <w:spacing w:val="-2"/>
        </w:rPr>
        <w:t>收容机构”是指任何不以家庭为基础的安置。大型或小型的集体住家对儿童来说特别危险。认为维持寄宿照护有理或鼓励此种做法的国际标准不符合《公约》，应予以更新。</w:t>
      </w:r>
    </w:p>
    <w:p w14:paraId="7876D29F" w14:textId="77777777" w:rsidR="00291A31" w:rsidRDefault="00291A31" w:rsidP="00291A31">
      <w:pPr>
        <w:pStyle w:val="SingleTxt"/>
      </w:pPr>
      <w:r>
        <w:rPr>
          <w:rFonts w:hint="eastAsia"/>
        </w:rPr>
        <w:t>44.</w:t>
      </w:r>
      <w:r>
        <w:rPr>
          <w:rFonts w:hint="eastAsia"/>
        </w:rPr>
        <w:tab/>
      </w:r>
      <w:r>
        <w:rPr>
          <w:rFonts w:hint="eastAsia"/>
        </w:rPr>
        <w:t>缔约国应确保所有残疾儿童的家庭生活权。家庭可以包括已婚和未婚父母、单亲父母、同性父母、收养家庭、亲属照护、兄弟姐妹照护、大家庭、替代家庭或寄养。健康的生活安排应使儿童能够与尽职尽责的成年照护者建立稳定关系，并应尽一切努力避免将不与原生家庭一起生活的儿童进行多次安置。国际资金不应支助孤儿院、寄宿照护、集体住家或儿童村。</w:t>
      </w:r>
    </w:p>
    <w:p w14:paraId="017B076A" w14:textId="77777777" w:rsidR="00291A31" w:rsidRDefault="00291A31" w:rsidP="00291A31">
      <w:pPr>
        <w:pStyle w:val="SingleTxt"/>
      </w:pPr>
      <w:r>
        <w:rPr>
          <w:rFonts w:hint="eastAsia"/>
        </w:rPr>
        <w:t>45.</w:t>
      </w:r>
      <w:r>
        <w:rPr>
          <w:rFonts w:hint="eastAsia"/>
        </w:rPr>
        <w:tab/>
      </w:r>
      <w:r>
        <w:rPr>
          <w:rFonts w:hint="eastAsia"/>
        </w:rPr>
        <w:t>由于实际缺陷或被认为的缺陷、贫困、族裔或其他社会关系而被安置在收容机构中的儿童很可能会出现残障情况，或者已有残障很可能会由于收容而加剧。应尽早将对残疾儿童和家庭的支助纳入对所有儿童的主流支助。向儿童和青少年提供同侪支助对于充分融入社区至关重要。</w:t>
      </w:r>
    </w:p>
    <w:p w14:paraId="67D8257A" w14:textId="56744D35" w:rsidR="00291A31" w:rsidRDefault="00291A31" w:rsidP="00291A31">
      <w:pPr>
        <w:pStyle w:val="SingleTxt"/>
      </w:pPr>
      <w:r>
        <w:rPr>
          <w:rFonts w:hint="eastAsia"/>
        </w:rPr>
        <w:t>46.</w:t>
      </w:r>
      <w:r>
        <w:rPr>
          <w:rFonts w:hint="eastAsia"/>
        </w:rPr>
        <w:tab/>
      </w:r>
      <w:r w:rsidRPr="00577AC2">
        <w:rPr>
          <w:rFonts w:hint="eastAsia"/>
          <w:spacing w:val="-2"/>
        </w:rPr>
        <w:t>即使是家庭之外的短期安置也会造成巨大的痛苦、创伤以及情感和身体损害。</w:t>
      </w:r>
      <w:r>
        <w:rPr>
          <w:rFonts w:hint="eastAsia"/>
        </w:rPr>
        <w:t>防止将儿童安置在收容机构中必须是一个优先事项。应当为所有残疾儿童创造以家庭为基础的安置机会，并提供财政和其他形式的支助。在作出任何其他家庭安排之前，应考虑安置在原生家庭。</w:t>
      </w:r>
    </w:p>
    <w:p w14:paraId="6A22AD75" w14:textId="77777777" w:rsidR="00291A31" w:rsidRDefault="00291A31" w:rsidP="00291A31">
      <w:pPr>
        <w:pStyle w:val="SingleTxt"/>
      </w:pPr>
      <w:r>
        <w:rPr>
          <w:rFonts w:hint="eastAsia"/>
        </w:rPr>
        <w:t>47.</w:t>
      </w:r>
      <w:r>
        <w:rPr>
          <w:rFonts w:hint="eastAsia"/>
        </w:rPr>
        <w:tab/>
      </w:r>
      <w:r>
        <w:rPr>
          <w:rFonts w:hint="eastAsia"/>
        </w:rPr>
        <w:t>《公约》第二十三条第四款保护儿童不因儿童或父母一方或双方残疾而与父母分离。缔约国应向残疾父母提供支助和合理便利，防止其子女被安置在收容机构中，并应建立包容性儿童保护制度。</w:t>
      </w:r>
    </w:p>
    <w:p w14:paraId="4F655BA3" w14:textId="77777777" w:rsidR="00291A31" w:rsidRDefault="00291A31" w:rsidP="00291A31">
      <w:pPr>
        <w:pStyle w:val="SingleTxt"/>
      </w:pPr>
      <w:r>
        <w:rPr>
          <w:rFonts w:hint="eastAsia"/>
        </w:rPr>
        <w:lastRenderedPageBreak/>
        <w:t>48.</w:t>
      </w:r>
      <w:r>
        <w:rPr>
          <w:rFonts w:hint="eastAsia"/>
        </w:rPr>
        <w:tab/>
      </w:r>
      <w:r>
        <w:rPr>
          <w:rFonts w:hint="eastAsia"/>
        </w:rPr>
        <w:t>与所有儿童一样，残疾儿童有权就对其产生影响的事项发表意见，他们的意见应根据其年龄和成熟程度获得适当考虑，</w:t>
      </w:r>
      <w:r w:rsidRPr="00577AC2">
        <w:rPr>
          <w:rFonts w:hint="eastAsia"/>
          <w:spacing w:val="-2"/>
        </w:rPr>
        <w:t>他们不会受到基于残疾或性别的歧视，</w:t>
      </w:r>
      <w:r>
        <w:rPr>
          <w:rFonts w:hint="eastAsia"/>
        </w:rPr>
        <w:t>并有权获得适合其年龄和残疾情况并对性别问题有敏感认识的支助。应提供支助和便利，确保残疾儿童和青少年能够表达自己的意愿和偏好，并参与当事人选择的事项和公共决策。父母、亲属和照护者在支持残疾儿童表达意见方面可发挥重要作用，并应考虑到儿童的意见。</w:t>
      </w:r>
    </w:p>
    <w:p w14:paraId="7E7958E6" w14:textId="77777777" w:rsidR="00291A31" w:rsidRDefault="00291A31" w:rsidP="00291A31">
      <w:pPr>
        <w:pStyle w:val="SingleTxt"/>
      </w:pPr>
      <w:r>
        <w:rPr>
          <w:rFonts w:hint="eastAsia"/>
        </w:rPr>
        <w:t>49.</w:t>
      </w:r>
      <w:r>
        <w:rPr>
          <w:rFonts w:hint="eastAsia"/>
        </w:rPr>
        <w:tab/>
      </w:r>
      <w:proofErr w:type="gramStart"/>
      <w:r>
        <w:rPr>
          <w:rFonts w:hint="eastAsia"/>
        </w:rPr>
        <w:t>残疾儿童和青少年不可能“</w:t>
      </w:r>
      <w:proofErr w:type="gramEnd"/>
      <w:r>
        <w:rPr>
          <w:rFonts w:hint="eastAsia"/>
        </w:rPr>
        <w:t>选择”在收容机构中生活。应让残疾青年有机会选择在哪里生活和与谁一起生活，同时铭记独立生活安排是指各种寄宿机构之外的生活环境。</w:t>
      </w:r>
    </w:p>
    <w:p w14:paraId="105463D9" w14:textId="77777777" w:rsidR="00291A31" w:rsidRDefault="00291A31" w:rsidP="00291A31">
      <w:pPr>
        <w:pStyle w:val="SingleTxt"/>
      </w:pPr>
      <w:r>
        <w:rPr>
          <w:rFonts w:hint="eastAsia"/>
        </w:rPr>
        <w:t>50.</w:t>
      </w:r>
      <w:r>
        <w:rPr>
          <w:rFonts w:hint="eastAsia"/>
        </w:rPr>
        <w:tab/>
      </w:r>
      <w:r>
        <w:rPr>
          <w:rFonts w:hint="eastAsia"/>
        </w:rPr>
        <w:t>缔约国应为残疾儿童和青少年发展建立社区支助服务并和确保他们获得这种服务，其中包括个人援助和同侪支助。教育系统应具有包容性。缔约国应将残疾儿童纳入主流学校，并防止将其安置在隔离式教育中，因为隔离式教育有损于社区包容，并加大将儿童安置在收容机构环境中的压力。</w:t>
      </w:r>
    </w:p>
    <w:p w14:paraId="10872BB7" w14:textId="77777777" w:rsidR="00291A31" w:rsidRDefault="00291A31" w:rsidP="00291A31">
      <w:pPr>
        <w:pStyle w:val="SingleTxt"/>
      </w:pPr>
      <w:r>
        <w:rPr>
          <w:rFonts w:hint="eastAsia"/>
        </w:rPr>
        <w:t>51.</w:t>
      </w:r>
      <w:r>
        <w:rPr>
          <w:rFonts w:hint="eastAsia"/>
        </w:rPr>
        <w:tab/>
      </w:r>
      <w:r>
        <w:rPr>
          <w:rFonts w:hint="eastAsia"/>
        </w:rPr>
        <w:t>为防止将儿童送入收容机构，应向家庭和儿童提供可获得的信息。这种信息应通过学校、社区中心、医生诊所、医疗保健设施、家长资源中心和宗教机构，以多种方便用户的形式提供。就符合人权的残疾模式对儿童保护专业人员、包括专业人员进行培训，是防止出现建议或鼓励家庭将其子女安置在收容机构这种情况的关键所在。</w:t>
      </w:r>
    </w:p>
    <w:p w14:paraId="2CA4C195" w14:textId="73064AB3"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D.</w:t>
      </w:r>
      <w:r w:rsidR="00291A31">
        <w:rPr>
          <w:rFonts w:hint="eastAsia"/>
        </w:rPr>
        <w:tab/>
      </w:r>
      <w:r w:rsidR="00291A31">
        <w:rPr>
          <w:rFonts w:hint="eastAsia"/>
        </w:rPr>
        <w:t>残疾老年人</w:t>
      </w:r>
    </w:p>
    <w:p w14:paraId="47A32A26" w14:textId="3CC39208" w:rsidR="00291A31" w:rsidRDefault="00291A31" w:rsidP="00291A31">
      <w:pPr>
        <w:pStyle w:val="SingleTxt"/>
      </w:pPr>
      <w:r>
        <w:rPr>
          <w:rFonts w:hint="eastAsia"/>
        </w:rPr>
        <w:t>52.</w:t>
      </w:r>
      <w:r w:rsidR="00577AC2">
        <w:tab/>
      </w:r>
      <w:r>
        <w:rPr>
          <w:rFonts w:hint="eastAsia"/>
        </w:rPr>
        <w:t>解除收容方面的所有努力都应包括残疾老年人，尤其是被安置在收容机构中或有可能被收容的失智症患者。解除收容应针对具体残疾及其他的老年人收容环境，</w:t>
      </w:r>
      <w:proofErr w:type="gramStart"/>
      <w:r>
        <w:rPr>
          <w:rFonts w:hint="eastAsia"/>
        </w:rPr>
        <w:t>包括“</w:t>
      </w:r>
      <w:proofErr w:type="gramEnd"/>
      <w:r>
        <w:rPr>
          <w:rFonts w:hint="eastAsia"/>
        </w:rPr>
        <w:t>失智症患者村”。就在社区和在自己住所获得支助和服务而言，缔约国应防止残疾老年人受到歧视。</w:t>
      </w:r>
    </w:p>
    <w:p w14:paraId="5994D669" w14:textId="793C4B4B"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五</w:t>
      </w:r>
      <w:r w:rsidR="00291A31">
        <w:rPr>
          <w:rFonts w:hint="eastAsia"/>
        </w:rPr>
        <w:t>.</w:t>
      </w:r>
      <w:r w:rsidR="00291A31">
        <w:rPr>
          <w:rFonts w:hint="eastAsia"/>
        </w:rPr>
        <w:tab/>
      </w:r>
      <w:r w:rsidR="00291A31">
        <w:rPr>
          <w:rFonts w:hint="eastAsia"/>
        </w:rPr>
        <w:t>有利的法律和政策框架</w:t>
      </w:r>
    </w:p>
    <w:p w14:paraId="3DF2557C" w14:textId="748DB42B" w:rsidR="00291A31" w:rsidRDefault="00291A31" w:rsidP="00291A31">
      <w:pPr>
        <w:pStyle w:val="SingleTxt"/>
      </w:pPr>
      <w:r>
        <w:rPr>
          <w:rFonts w:hint="eastAsia"/>
        </w:rPr>
        <w:t>53.</w:t>
      </w:r>
      <w:r>
        <w:rPr>
          <w:rFonts w:hint="eastAsia"/>
        </w:rPr>
        <w:tab/>
      </w:r>
      <w:r>
        <w:rPr>
          <w:rFonts w:hint="eastAsia"/>
        </w:rPr>
        <w:t>缔约国应废除妨碍残疾人独立生活和融入社区的法律和法规，修改或废除妨碍残疾人独立生活和融入社区的习俗和做法。法律和政策框架应使所有残疾人能够充分融入，并指导以关闭收容机构为导向的解除收容进程。此类框架应有助于发展包容性社区支助系统和主流服务以及建立一种赔偿机制，保证对收容幸存者的补救措施做到可供、可及和有效。</w:t>
      </w:r>
      <w:r w:rsidR="002050EE" w:rsidRPr="002050EE">
        <w:rPr>
          <w:rFonts w:hint="eastAsia"/>
        </w:rPr>
        <w:t>缔约国在继续开展工作时应立足于以下认知：缺乏全面法律改革并不是不作为的借口。</w:t>
      </w:r>
    </w:p>
    <w:p w14:paraId="14C639A3" w14:textId="19216346"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A.</w:t>
      </w:r>
      <w:r w:rsidR="00291A31">
        <w:rPr>
          <w:rFonts w:hint="eastAsia"/>
        </w:rPr>
        <w:tab/>
      </w:r>
      <w:r w:rsidR="00291A31">
        <w:rPr>
          <w:rFonts w:hint="eastAsia"/>
        </w:rPr>
        <w:t>创造有利的法律环境</w:t>
      </w:r>
    </w:p>
    <w:p w14:paraId="139DCF8D" w14:textId="77777777" w:rsidR="00291A31" w:rsidRDefault="00291A31" w:rsidP="00291A31">
      <w:pPr>
        <w:pStyle w:val="SingleTxt"/>
      </w:pPr>
      <w:r>
        <w:rPr>
          <w:rFonts w:hint="eastAsia"/>
        </w:rPr>
        <w:t>54.</w:t>
      </w:r>
      <w:r>
        <w:rPr>
          <w:rFonts w:hint="eastAsia"/>
        </w:rPr>
        <w:tab/>
      </w:r>
      <w:r>
        <w:rPr>
          <w:rFonts w:hint="eastAsia"/>
        </w:rPr>
        <w:t>解除收容的有利法律环境包括以立法形式承认所有残疾人拥有独立生活和融入社区的权利，尤其是获得个人援助的权利以及下列基本权利。</w:t>
      </w:r>
    </w:p>
    <w:p w14:paraId="1C634FEB" w14:textId="77777777" w:rsidR="00FF6511" w:rsidRDefault="00FF6511">
      <w:pPr>
        <w:spacing w:line="240" w:lineRule="auto"/>
        <w:jc w:val="left"/>
        <w:rPr>
          <w:rFonts w:eastAsia="SimHei"/>
          <w:szCs w:val="21"/>
        </w:rPr>
      </w:pPr>
      <w:r>
        <w:br w:type="page"/>
      </w:r>
    </w:p>
    <w:p w14:paraId="28300394" w14:textId="162173C7"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291A31">
        <w:rPr>
          <w:rFonts w:hint="eastAsia"/>
        </w:rPr>
        <w:t>1.</w:t>
      </w:r>
      <w:r w:rsidR="00291A31">
        <w:rPr>
          <w:rFonts w:hint="eastAsia"/>
        </w:rPr>
        <w:tab/>
      </w:r>
      <w:r w:rsidR="00291A31">
        <w:rPr>
          <w:rFonts w:hint="eastAsia"/>
        </w:rPr>
        <w:t>法律能力权利</w:t>
      </w:r>
    </w:p>
    <w:p w14:paraId="550616D0" w14:textId="77777777" w:rsidR="00291A31" w:rsidRDefault="00291A31" w:rsidP="00291A31">
      <w:pPr>
        <w:pStyle w:val="SingleTxt"/>
      </w:pPr>
      <w:r>
        <w:rPr>
          <w:rFonts w:hint="eastAsia"/>
        </w:rPr>
        <w:t>55.</w:t>
      </w:r>
      <w:r>
        <w:rPr>
          <w:rFonts w:hint="eastAsia"/>
        </w:rPr>
        <w:tab/>
      </w:r>
      <w:r>
        <w:rPr>
          <w:rFonts w:hint="eastAsia"/>
        </w:rPr>
        <w:t>根据第</w:t>
      </w:r>
      <w:r>
        <w:rPr>
          <w:rFonts w:hint="eastAsia"/>
        </w:rPr>
        <w:t>1</w:t>
      </w:r>
      <w:r>
        <w:rPr>
          <w:rFonts w:hint="eastAsia"/>
        </w:rPr>
        <w:t>号一般性意见</w:t>
      </w:r>
      <w:r>
        <w:rPr>
          <w:rFonts w:hint="eastAsia"/>
        </w:rPr>
        <w:t>(2014</w:t>
      </w:r>
      <w:proofErr w:type="gramStart"/>
      <w:r>
        <w:rPr>
          <w:rFonts w:hint="eastAsia"/>
        </w:rPr>
        <w:t>年</w:t>
      </w:r>
      <w:r>
        <w:rPr>
          <w:rFonts w:hint="eastAsia"/>
        </w:rPr>
        <w:t>)</w:t>
      </w:r>
      <w:r>
        <w:rPr>
          <w:rFonts w:hint="eastAsia"/>
        </w:rPr>
        <w:t>，</w:t>
      </w:r>
      <w:proofErr w:type="gramEnd"/>
      <w:r>
        <w:rPr>
          <w:rFonts w:hint="eastAsia"/>
        </w:rPr>
        <w:t>关于法律能力的立法改革应立即进行，并与解除收容同时进行。如果残疾人</w:t>
      </w:r>
      <w:r>
        <w:rPr>
          <w:rFonts w:hint="eastAsia"/>
        </w:rPr>
        <w:t>(</w:t>
      </w:r>
      <w:r>
        <w:rPr>
          <w:rFonts w:hint="eastAsia"/>
        </w:rPr>
        <w:t>包括被安置在收容机构中的残疾人</w:t>
      </w:r>
      <w:r>
        <w:rPr>
          <w:rFonts w:hint="eastAsia"/>
        </w:rPr>
        <w:t>)</w:t>
      </w:r>
      <w:r>
        <w:rPr>
          <w:rFonts w:hint="eastAsia"/>
        </w:rPr>
        <w:t>受到监护、强制心理健康治疗或其他替代决策制度的约束，则应立即取消这些措施。为防止强迫精神健康治疗，当事人必须以肯定、自由和知情的方式表示同意。在解除收容进程中，应尊重目前被安置在收容机构中的残疾人的决定权。应向他们提供行使其法律能力所需的便利和支助，充分落实他们的意愿和选择。残疾人在社区立足之后，应在必要时继续支持他们行使法律能力。</w:t>
      </w:r>
    </w:p>
    <w:p w14:paraId="65A5FF6E" w14:textId="79735986"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2.</w:t>
      </w:r>
      <w:r w:rsidR="00291A31">
        <w:rPr>
          <w:rFonts w:hint="eastAsia"/>
        </w:rPr>
        <w:tab/>
      </w:r>
      <w:r w:rsidR="00291A31">
        <w:rPr>
          <w:rFonts w:hint="eastAsia"/>
        </w:rPr>
        <w:t>诉诸司法的权利</w:t>
      </w:r>
    </w:p>
    <w:p w14:paraId="2C44FEF2" w14:textId="77777777" w:rsidR="00291A31" w:rsidRDefault="00291A31" w:rsidP="00291A31">
      <w:pPr>
        <w:pStyle w:val="SingleTxt"/>
      </w:pPr>
      <w:r>
        <w:rPr>
          <w:rFonts w:hint="eastAsia"/>
        </w:rPr>
        <w:t>56.</w:t>
      </w:r>
      <w:r>
        <w:rPr>
          <w:rFonts w:hint="eastAsia"/>
        </w:rPr>
        <w:tab/>
      </w:r>
      <w:r>
        <w:rPr>
          <w:rFonts w:hint="eastAsia"/>
        </w:rPr>
        <w:t>诉诸司法，特别是对生活在收容机构或离开收容机构、曾遭受性别暴力的妇女和女童而言，是解除收容的关键。应在所有法律领域消除妨碍残疾人</w:t>
      </w:r>
      <w:r>
        <w:rPr>
          <w:rFonts w:hint="eastAsia"/>
        </w:rPr>
        <w:t>(</w:t>
      </w:r>
      <w:r>
        <w:rPr>
          <w:rFonts w:hint="eastAsia"/>
        </w:rPr>
        <w:t>包括被安置在收容机构中的残疾人</w:t>
      </w:r>
      <w:r>
        <w:rPr>
          <w:rFonts w:hint="eastAsia"/>
        </w:rPr>
        <w:t>)</w:t>
      </w:r>
      <w:r>
        <w:rPr>
          <w:rFonts w:hint="eastAsia"/>
        </w:rPr>
        <w:t>在诉诸司法方面的环境、态度、法律、沟通和程序障碍。应提供合理便利和程序便利，包括但不限于易读和简明的语言。应确保在法院和法庭的法律地位，并确保提供免费和可利用的法律代表。缔约国必须改革刑法和诉讼程序法，取消宣布关于没有参加诉讼或被追究刑事责任的能力的规定。缔约国应确保制定立法和司法程序，</w:t>
      </w:r>
      <w:r w:rsidRPr="00DD2105">
        <w:rPr>
          <w:rFonts w:hint="eastAsia"/>
          <w:spacing w:val="-2"/>
        </w:rPr>
        <w:t>承认残疾人提供证词和作为证人出庭作证的权利，</w:t>
      </w:r>
      <w:r>
        <w:rPr>
          <w:rFonts w:hint="eastAsia"/>
        </w:rPr>
        <w:t>并确保被收容的人在收容机构中享有报警和提出刑事指控的有效权利。</w:t>
      </w:r>
    </w:p>
    <w:p w14:paraId="6DF5578A" w14:textId="77777777" w:rsidR="00291A31" w:rsidRDefault="00291A31" w:rsidP="00291A31">
      <w:pPr>
        <w:pStyle w:val="SingleTxt"/>
      </w:pPr>
      <w:r>
        <w:rPr>
          <w:rFonts w:hint="eastAsia"/>
        </w:rPr>
        <w:t>57.</w:t>
      </w:r>
      <w:r>
        <w:rPr>
          <w:rFonts w:hint="eastAsia"/>
        </w:rPr>
        <w:tab/>
      </w:r>
      <w:r>
        <w:rPr>
          <w:rFonts w:hint="eastAsia"/>
        </w:rPr>
        <w:t>如儿童或成年人被收容，无法自己提出申诉，国家人权机构和维权组织则可被授权采取法律行动。只有在当事人自由和知情同意的基础上，或者在当事人的权利受到威胁时而且尽管切实努力对当事人的意愿和偏好作出最佳解释却仍无法让当事人表达意愿的情况下，才能这样做。将残疾人从基于残疾的留置中释放出来和防止新的留置是直接义务，不必经司法或行政程序自由裁量。</w:t>
      </w:r>
    </w:p>
    <w:p w14:paraId="782C29DD" w14:textId="7D3D8391"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3.</w:t>
      </w:r>
      <w:r w:rsidR="00291A31">
        <w:rPr>
          <w:rFonts w:hint="eastAsia"/>
        </w:rPr>
        <w:tab/>
      </w:r>
      <w:r w:rsidR="00291A31">
        <w:rPr>
          <w:rFonts w:hint="eastAsia"/>
        </w:rPr>
        <w:t>人身自由和安全权</w:t>
      </w:r>
    </w:p>
    <w:p w14:paraId="514EF04E" w14:textId="77777777" w:rsidR="00291A31" w:rsidRDefault="00291A31" w:rsidP="00291A31">
      <w:pPr>
        <w:pStyle w:val="SingleTxt"/>
      </w:pPr>
      <w:r>
        <w:rPr>
          <w:rFonts w:hint="eastAsia"/>
        </w:rPr>
        <w:t>58.</w:t>
      </w:r>
      <w:r>
        <w:rPr>
          <w:rFonts w:hint="eastAsia"/>
        </w:rPr>
        <w:tab/>
      </w:r>
      <w:r>
        <w:rPr>
          <w:rFonts w:hint="eastAsia"/>
        </w:rPr>
        <w:t>凡授权以残障为由剥夺自由或对人身自由和安全作出其他限制的所有立法规定，</w:t>
      </w:r>
      <w:proofErr w:type="gramStart"/>
      <w:r>
        <w:rPr>
          <w:rFonts w:hint="eastAsia"/>
        </w:rPr>
        <w:t>其中包括基于“</w:t>
      </w:r>
      <w:proofErr w:type="gramEnd"/>
      <w:r>
        <w:rPr>
          <w:rFonts w:hint="eastAsia"/>
        </w:rPr>
        <w:t>精神疾病或精神失常”的非自愿住院或治疗，都应予以废除。在刑事诉讼、监护和其他替代决策办法中适用的安全措施，以及关于精神病住院</w:t>
      </w:r>
      <w:r>
        <w:rPr>
          <w:rFonts w:hint="eastAsia"/>
        </w:rPr>
        <w:t>(</w:t>
      </w:r>
      <w:r>
        <w:rPr>
          <w:rFonts w:hint="eastAsia"/>
        </w:rPr>
        <w:t>包括儿童住院</w:t>
      </w:r>
      <w:r>
        <w:rPr>
          <w:rFonts w:hint="eastAsia"/>
        </w:rPr>
        <w:t>)</w:t>
      </w:r>
      <w:r>
        <w:rPr>
          <w:rFonts w:hint="eastAsia"/>
        </w:rPr>
        <w:t>的规定，都应予以废除。缔约国应向残疾人提供紧急援助，使他们能够离开被任意留置的地方。</w:t>
      </w:r>
    </w:p>
    <w:p w14:paraId="5C65C543" w14:textId="2C7277E8"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4.</w:t>
      </w:r>
      <w:r w:rsidR="00291A31">
        <w:rPr>
          <w:rFonts w:hint="eastAsia"/>
        </w:rPr>
        <w:tab/>
      </w:r>
      <w:r w:rsidR="00291A31">
        <w:rPr>
          <w:rFonts w:hint="eastAsia"/>
        </w:rPr>
        <w:t>平等和不受歧视的权利</w:t>
      </w:r>
    </w:p>
    <w:p w14:paraId="474D8EE1" w14:textId="77777777" w:rsidR="00291A31" w:rsidRDefault="00291A31" w:rsidP="00291A31">
      <w:pPr>
        <w:pStyle w:val="SingleTxt"/>
      </w:pPr>
      <w:r>
        <w:rPr>
          <w:rFonts w:hint="eastAsia"/>
        </w:rPr>
        <w:t>59.</w:t>
      </w:r>
      <w:r>
        <w:rPr>
          <w:rFonts w:hint="eastAsia"/>
        </w:rPr>
        <w:tab/>
      </w:r>
      <w:r>
        <w:rPr>
          <w:rFonts w:hint="eastAsia"/>
        </w:rPr>
        <w:t>缔约国应在法律上承认，基于残疾的收容，无论是以单一理由还是与其他理由结合，都是一种被禁止的歧视形式。</w:t>
      </w:r>
    </w:p>
    <w:p w14:paraId="056F2B07" w14:textId="7163DD45"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B.</w:t>
      </w:r>
      <w:r w:rsidR="00291A31">
        <w:rPr>
          <w:rFonts w:hint="eastAsia"/>
        </w:rPr>
        <w:tab/>
      </w:r>
      <w:r w:rsidR="00291A31">
        <w:rPr>
          <w:rFonts w:hint="eastAsia"/>
        </w:rPr>
        <w:t>法律框架和资源</w:t>
      </w:r>
    </w:p>
    <w:p w14:paraId="14D2647E" w14:textId="77777777" w:rsidR="00291A31" w:rsidRDefault="00291A31" w:rsidP="00291A31">
      <w:pPr>
        <w:pStyle w:val="SingleTxt"/>
      </w:pPr>
      <w:r>
        <w:rPr>
          <w:rFonts w:hint="eastAsia"/>
        </w:rPr>
        <w:t>60.</w:t>
      </w:r>
      <w:r>
        <w:rPr>
          <w:rFonts w:hint="eastAsia"/>
        </w:rPr>
        <w:tab/>
      </w:r>
      <w:r>
        <w:rPr>
          <w:rFonts w:hint="eastAsia"/>
        </w:rPr>
        <w:t>对现有法律、监管框架、政策、预算、正式服务结构、基于社区的非正式支助、新的支助要素和劳动力进行适当摸底，对于为支持解除收容开展的全面法律和政策改革至关重要。应开展摸底工作，以加快解除收容，而不是推迟关闭收容机构。</w:t>
      </w:r>
    </w:p>
    <w:p w14:paraId="6665EB0C" w14:textId="48ABF261"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291A31">
        <w:rPr>
          <w:rFonts w:hint="eastAsia"/>
        </w:rPr>
        <w:t>1.</w:t>
      </w:r>
      <w:r w:rsidR="00291A31">
        <w:rPr>
          <w:rFonts w:hint="eastAsia"/>
        </w:rPr>
        <w:tab/>
      </w:r>
      <w:r w:rsidR="00291A31">
        <w:rPr>
          <w:rFonts w:hint="eastAsia"/>
        </w:rPr>
        <w:t>立法</w:t>
      </w:r>
    </w:p>
    <w:p w14:paraId="6EF70AD1" w14:textId="6555994E" w:rsidR="00291A31" w:rsidRDefault="00291A31" w:rsidP="00291A31">
      <w:pPr>
        <w:pStyle w:val="SingleTxt"/>
      </w:pPr>
      <w:r>
        <w:rPr>
          <w:rFonts w:hint="eastAsia"/>
        </w:rPr>
        <w:t>61.</w:t>
      </w:r>
      <w:r>
        <w:rPr>
          <w:rFonts w:hint="eastAsia"/>
        </w:rPr>
        <w:tab/>
      </w:r>
      <w:r>
        <w:rPr>
          <w:rFonts w:hint="eastAsia"/>
        </w:rPr>
        <w:t>应在所有领域系统地审查主要、次要、监管和其他法律来源，以便：</w:t>
      </w:r>
      <w:r>
        <w:rPr>
          <w:rFonts w:hint="eastAsia"/>
        </w:rPr>
        <w:t>(a)</w:t>
      </w:r>
      <w:r w:rsidR="00577AC2">
        <w:t xml:space="preserve"> </w:t>
      </w:r>
      <w:r>
        <w:rPr>
          <w:rFonts w:hint="eastAsia"/>
        </w:rPr>
        <w:t>查明那些便利或促成基于残疾的收容的规定，以期予以废除；</w:t>
      </w:r>
      <w:r>
        <w:rPr>
          <w:rFonts w:hint="eastAsia"/>
        </w:rPr>
        <w:t>(b)</w:t>
      </w:r>
      <w:r w:rsidR="00577AC2">
        <w:t xml:space="preserve"> </w:t>
      </w:r>
      <w:r>
        <w:rPr>
          <w:rFonts w:hint="eastAsia"/>
        </w:rPr>
        <w:t>确定独立生活和融入社区的权利以及相关权利在法律认可和可执行性方面的差距。以便提出立法建议，弥合这些差距；</w:t>
      </w:r>
      <w:r>
        <w:rPr>
          <w:rFonts w:hint="eastAsia"/>
        </w:rPr>
        <w:t>(c)</w:t>
      </w:r>
      <w:r w:rsidR="00577AC2">
        <w:t xml:space="preserve"> </w:t>
      </w:r>
      <w:r>
        <w:rPr>
          <w:rFonts w:hint="eastAsia"/>
        </w:rPr>
        <w:t>确保残疾人可以获得有效的法律补救措施，以防止因残疾而遭到收容和歧视，包括未能在社区提供合理的便利或支持。</w:t>
      </w:r>
    </w:p>
    <w:p w14:paraId="1666DD81" w14:textId="77777777" w:rsidR="00291A31" w:rsidRDefault="00291A31" w:rsidP="00291A31">
      <w:pPr>
        <w:pStyle w:val="SingleTxt"/>
      </w:pPr>
      <w:r>
        <w:rPr>
          <w:rFonts w:hint="eastAsia"/>
        </w:rPr>
        <w:t>62.</w:t>
      </w:r>
      <w:r>
        <w:rPr>
          <w:rFonts w:hint="eastAsia"/>
        </w:rPr>
        <w:tab/>
      </w:r>
      <w:r>
        <w:rPr>
          <w:rFonts w:hint="eastAsia"/>
        </w:rPr>
        <w:t>需要与《公约》协调一致的立法包括关于法律能力的法律规定、残疾法、反歧视法、家庭法、卫生法、民法、关于向儿童、成人和老年人提供社会照护的法律以及社会保障立法。应根据《公约》和委员会的一般性意见审查这类立法。应废除精神卫生法中允许对残疾人进行收容的规定。</w:t>
      </w:r>
    </w:p>
    <w:p w14:paraId="034C4ECC" w14:textId="63BBC61C"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2.</w:t>
      </w:r>
      <w:r w:rsidR="00291A31">
        <w:rPr>
          <w:rFonts w:hint="eastAsia"/>
        </w:rPr>
        <w:tab/>
      </w:r>
      <w:r w:rsidR="00291A31">
        <w:rPr>
          <w:rFonts w:hint="eastAsia"/>
        </w:rPr>
        <w:t>收容机构的设置和被收容人员的状况</w:t>
      </w:r>
    </w:p>
    <w:p w14:paraId="21778CAD" w14:textId="77777777" w:rsidR="00291A31" w:rsidRDefault="00291A31" w:rsidP="00291A31">
      <w:pPr>
        <w:pStyle w:val="SingleTxt"/>
      </w:pPr>
      <w:r>
        <w:rPr>
          <w:rFonts w:hint="eastAsia"/>
        </w:rPr>
        <w:t>63.</w:t>
      </w:r>
      <w:r>
        <w:rPr>
          <w:rFonts w:hint="eastAsia"/>
        </w:rPr>
        <w:tab/>
      </w:r>
      <w:r>
        <w:rPr>
          <w:rFonts w:hint="eastAsia"/>
        </w:rPr>
        <w:t>应该对现有收容机构进行摸底。缔约国应查明目前投入收容机构的资金，并将其重新分配给可以满足残疾人明确要求的服务。同样，在规划每个人所需的支助时，以及在建立和</w:t>
      </w:r>
      <w:r>
        <w:rPr>
          <w:rFonts w:hint="eastAsia"/>
        </w:rPr>
        <w:t>/</w:t>
      </w:r>
      <w:r>
        <w:rPr>
          <w:rFonts w:hint="eastAsia"/>
        </w:rPr>
        <w:t>或调整支助服务和主流社区服务的要素时，可以根据当事人的意愿和偏好，对每个人所拥有的网络和重要关系进行摸底。</w:t>
      </w:r>
    </w:p>
    <w:p w14:paraId="025C94E8" w14:textId="1D112730"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3.</w:t>
      </w:r>
      <w:r w:rsidR="00291A31">
        <w:rPr>
          <w:rFonts w:hint="eastAsia"/>
        </w:rPr>
        <w:tab/>
      </w:r>
      <w:r w:rsidR="00291A31">
        <w:rPr>
          <w:rFonts w:hint="eastAsia"/>
        </w:rPr>
        <w:t>社区服务</w:t>
      </w:r>
    </w:p>
    <w:p w14:paraId="34C93A69" w14:textId="77777777" w:rsidR="00291A31" w:rsidRDefault="00291A31" w:rsidP="00291A31">
      <w:pPr>
        <w:pStyle w:val="SingleTxt"/>
      </w:pPr>
      <w:r>
        <w:rPr>
          <w:rFonts w:hint="eastAsia"/>
        </w:rPr>
        <w:t>64.</w:t>
      </w:r>
      <w:r>
        <w:rPr>
          <w:rFonts w:hint="eastAsia"/>
        </w:rPr>
        <w:tab/>
      </w:r>
      <w:r>
        <w:rPr>
          <w:rFonts w:hint="eastAsia"/>
        </w:rPr>
        <w:t>应全面摸清现有的社区服务。如果服务属于隔离性、医疗化或不是基于残疾人意愿和偏好，则应予以停止。规划应确保一系列高质量社区服务的可供性、可及性、可接受性、可负担性和可适应性。</w:t>
      </w:r>
    </w:p>
    <w:p w14:paraId="26D2957B" w14:textId="7624783A"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4.</w:t>
      </w:r>
      <w:r w:rsidR="00291A31">
        <w:rPr>
          <w:rFonts w:hint="eastAsia"/>
        </w:rPr>
        <w:tab/>
      </w:r>
      <w:r w:rsidR="00291A31">
        <w:rPr>
          <w:rFonts w:hint="eastAsia"/>
        </w:rPr>
        <w:t>确定支助系统的新要素</w:t>
      </w:r>
    </w:p>
    <w:p w14:paraId="77BD572A" w14:textId="77777777" w:rsidR="00291A31" w:rsidRDefault="00291A31" w:rsidP="00291A31">
      <w:pPr>
        <w:pStyle w:val="SingleTxt"/>
      </w:pPr>
      <w:r>
        <w:rPr>
          <w:rFonts w:hint="eastAsia"/>
        </w:rPr>
        <w:t>65.</w:t>
      </w:r>
      <w:r>
        <w:rPr>
          <w:rFonts w:hint="eastAsia"/>
        </w:rPr>
        <w:tab/>
      </w:r>
      <w:r>
        <w:rPr>
          <w:rFonts w:hint="eastAsia"/>
        </w:rPr>
        <w:t>缔约国应与残疾人组织密切协商，以期：</w:t>
      </w:r>
    </w:p>
    <w:p w14:paraId="35C5CB0A" w14:textId="723D9484" w:rsidR="00291A31" w:rsidRDefault="00B07064" w:rsidP="00291A31">
      <w:pPr>
        <w:pStyle w:val="SingleTxt"/>
      </w:pPr>
      <w:r>
        <w:tab/>
      </w:r>
      <w:r w:rsidR="00291A31">
        <w:rPr>
          <w:rFonts w:hint="eastAsia"/>
        </w:rPr>
        <w:t>(a)</w:t>
      </w:r>
      <w:r w:rsidR="00291A31">
        <w:rPr>
          <w:rFonts w:hint="eastAsia"/>
        </w:rPr>
        <w:tab/>
      </w:r>
      <w:proofErr w:type="gramStart"/>
      <w:r w:rsidR="00291A31">
        <w:rPr>
          <w:rFonts w:hint="eastAsia"/>
        </w:rPr>
        <w:t>查明在支助残疾人方面的差距以及有待建立的新服务结构的必要性；</w:t>
      </w:r>
      <w:proofErr w:type="gramEnd"/>
    </w:p>
    <w:p w14:paraId="000AFDF4" w14:textId="3F778929" w:rsidR="00291A31" w:rsidRDefault="00B07064" w:rsidP="00291A31">
      <w:pPr>
        <w:pStyle w:val="SingleTxt"/>
      </w:pPr>
      <w:r>
        <w:tab/>
      </w:r>
      <w:r w:rsidR="00291A31">
        <w:rPr>
          <w:rFonts w:hint="eastAsia"/>
        </w:rPr>
        <w:t>(b)</w:t>
      </w:r>
      <w:r w:rsidR="00291A31">
        <w:rPr>
          <w:rFonts w:hint="eastAsia"/>
        </w:rPr>
        <w:tab/>
      </w:r>
      <w:r w:rsidR="00291A31">
        <w:rPr>
          <w:rFonts w:hint="eastAsia"/>
        </w:rPr>
        <w:t>制定、</w:t>
      </w:r>
      <w:proofErr w:type="gramStart"/>
      <w:r w:rsidR="00291A31">
        <w:rPr>
          <w:rFonts w:hint="eastAsia"/>
        </w:rPr>
        <w:t>推出和评价试点项目；</w:t>
      </w:r>
      <w:proofErr w:type="gramEnd"/>
    </w:p>
    <w:p w14:paraId="40BD1969" w14:textId="67D5B173" w:rsidR="00291A31" w:rsidRDefault="00B07064" w:rsidP="00291A31">
      <w:pPr>
        <w:pStyle w:val="SingleTxt"/>
      </w:pPr>
      <w:r>
        <w:tab/>
      </w:r>
      <w:r w:rsidR="00291A31">
        <w:rPr>
          <w:rFonts w:hint="eastAsia"/>
        </w:rPr>
        <w:t>(c)</w:t>
      </w:r>
      <w:r w:rsidR="00291A31">
        <w:rPr>
          <w:rFonts w:hint="eastAsia"/>
        </w:rPr>
        <w:tab/>
      </w:r>
      <w:r w:rsidR="00291A31">
        <w:rPr>
          <w:rFonts w:hint="eastAsia"/>
        </w:rPr>
        <w:t>确保社区中存在广泛的支助机制和服务，确保所有残疾人，包括需要大量支助的人和使用言语交流替代手段的人，都能规划和指导自己所获得的支助，</w:t>
      </w:r>
      <w:proofErr w:type="gramStart"/>
      <w:r w:rsidR="00291A31">
        <w:rPr>
          <w:rFonts w:hint="eastAsia"/>
        </w:rPr>
        <w:t>并确保残疾儿童的家庭得到与儿童和其他残疾人同等的支助；</w:t>
      </w:r>
      <w:proofErr w:type="gramEnd"/>
    </w:p>
    <w:p w14:paraId="3184AB96" w14:textId="0C057487" w:rsidR="00291A31" w:rsidRDefault="00B07064" w:rsidP="00291A31">
      <w:pPr>
        <w:pStyle w:val="SingleTxt"/>
      </w:pPr>
      <w:r>
        <w:tab/>
      </w:r>
      <w:r w:rsidR="00291A31">
        <w:rPr>
          <w:rFonts w:hint="eastAsia"/>
        </w:rPr>
        <w:t>(d)</w:t>
      </w:r>
      <w:r w:rsidR="00291A31">
        <w:rPr>
          <w:rFonts w:hint="eastAsia"/>
        </w:rPr>
        <w:tab/>
      </w:r>
      <w:proofErr w:type="gramStart"/>
      <w:r w:rsidR="00291A31">
        <w:rPr>
          <w:rFonts w:hint="eastAsia"/>
        </w:rPr>
        <w:t>确保支助服务符合残疾人的意愿和偏好；</w:t>
      </w:r>
      <w:proofErr w:type="gramEnd"/>
    </w:p>
    <w:p w14:paraId="49B763D2" w14:textId="48541A29" w:rsidR="00291A31" w:rsidRDefault="00B07064" w:rsidP="00291A31">
      <w:pPr>
        <w:pStyle w:val="SingleTxt"/>
      </w:pPr>
      <w:r>
        <w:tab/>
      </w:r>
      <w:r w:rsidR="00291A31">
        <w:rPr>
          <w:rFonts w:hint="eastAsia"/>
        </w:rPr>
        <w:t>(e)</w:t>
      </w:r>
      <w:r w:rsidR="00291A31">
        <w:rPr>
          <w:rFonts w:hint="eastAsia"/>
        </w:rPr>
        <w:tab/>
      </w:r>
      <w:r w:rsidR="00291A31">
        <w:rPr>
          <w:rFonts w:hint="eastAsia"/>
        </w:rPr>
        <w:t>确保残疾人</w:t>
      </w:r>
      <w:r w:rsidR="00291A31">
        <w:rPr>
          <w:rFonts w:hint="eastAsia"/>
        </w:rPr>
        <w:t>(</w:t>
      </w:r>
      <w:r w:rsidR="00291A31">
        <w:rPr>
          <w:rFonts w:hint="eastAsia"/>
        </w:rPr>
        <w:t>包括在选择和管理支助方面可能需要协助的残疾人</w:t>
      </w:r>
      <w:r w:rsidR="00291A31">
        <w:rPr>
          <w:rFonts w:hint="eastAsia"/>
        </w:rPr>
        <w:t>)</w:t>
      </w:r>
      <w:r w:rsidR="00291A31">
        <w:rPr>
          <w:rFonts w:hint="eastAsia"/>
        </w:rPr>
        <w:t>真正拥有选择权，而不是被迫在不符合《公约》的服务之间作出选择。</w:t>
      </w:r>
    </w:p>
    <w:p w14:paraId="1B7D5053" w14:textId="5D7C7CCC" w:rsidR="00291A31" w:rsidRDefault="00B07064" w:rsidP="00B070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5.</w:t>
      </w:r>
      <w:r w:rsidR="00291A31">
        <w:rPr>
          <w:rFonts w:hint="eastAsia"/>
        </w:rPr>
        <w:tab/>
      </w:r>
      <w:r w:rsidR="00291A31">
        <w:rPr>
          <w:rFonts w:hint="eastAsia"/>
        </w:rPr>
        <w:t>劳动力分析</w:t>
      </w:r>
    </w:p>
    <w:p w14:paraId="317F3C3F" w14:textId="77777777" w:rsidR="00291A31" w:rsidRDefault="00291A31" w:rsidP="00291A31">
      <w:pPr>
        <w:pStyle w:val="SingleTxt"/>
      </w:pPr>
      <w:r>
        <w:rPr>
          <w:rFonts w:hint="eastAsia"/>
        </w:rPr>
        <w:t>66.</w:t>
      </w:r>
      <w:r>
        <w:rPr>
          <w:rFonts w:hint="eastAsia"/>
        </w:rPr>
        <w:tab/>
      </w:r>
      <w:r>
        <w:rPr>
          <w:rFonts w:hint="eastAsia"/>
        </w:rPr>
        <w:t>缔约国应对劳动力进行摸底，包括人口和就业趋势以及这些趋势可能对解除收容产生的影响。缔约国应确定改进工作的优先事项，评估劳动力转型的可行性，以确保提供符合《公约》的服务。在提供服务时，应只在有关残疾人或残疾儿童</w:t>
      </w:r>
      <w:r>
        <w:rPr>
          <w:rFonts w:hint="eastAsia"/>
        </w:rPr>
        <w:lastRenderedPageBreak/>
        <w:t>的父母或监护人的指导下进行，并适当考虑儿童的意见。侵犯人权行为的责任人不应获得提供新服务的许可证。</w:t>
      </w:r>
    </w:p>
    <w:p w14:paraId="79370A49" w14:textId="6D442A2A"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C.</w:t>
      </w:r>
      <w:r w:rsidR="00291A31">
        <w:rPr>
          <w:rFonts w:hint="eastAsia"/>
        </w:rPr>
        <w:tab/>
      </w:r>
      <w:r w:rsidR="00291A31">
        <w:rPr>
          <w:rFonts w:hint="eastAsia"/>
        </w:rPr>
        <w:t>解除收容战略和行动计划</w:t>
      </w:r>
    </w:p>
    <w:p w14:paraId="4F9284B6" w14:textId="77777777" w:rsidR="00291A31" w:rsidRDefault="00291A31" w:rsidP="00291A31">
      <w:pPr>
        <w:pStyle w:val="SingleTxt"/>
      </w:pPr>
      <w:r>
        <w:rPr>
          <w:rFonts w:hint="eastAsia"/>
        </w:rPr>
        <w:t>67.</w:t>
      </w:r>
      <w:r>
        <w:rPr>
          <w:rFonts w:hint="eastAsia"/>
        </w:rPr>
        <w:tab/>
      </w:r>
      <w:r>
        <w:rPr>
          <w:rFonts w:hint="eastAsia"/>
        </w:rPr>
        <w:t>缔约国应通过一项高质量、结构合理的解除收容计划，该计划必须全面，载有一项详细的行动计划，其中包括时间表、基准以及对所分配的必要人力、技术和财政资源概述。缔约国应毫不拖延、最大限度地利用其现有资源。解除收容战略要求在整个执行过程中采取跨政府部门做法，需要部级或同等级别的高级别政治领导和协调，并拥有足够的权力来启动和领导立法改革进程，指导决策、方案拟订和预算编制。残疾人及其代表组织，包括残疾儿童的代表组织，特别是收容幸存者的组织，应参与解除收容的所有阶段，还应征求他们的意见。</w:t>
      </w:r>
    </w:p>
    <w:p w14:paraId="42FA0D10" w14:textId="77777777" w:rsidR="00291A31" w:rsidRDefault="00291A31" w:rsidP="00291A31">
      <w:pPr>
        <w:pStyle w:val="SingleTxt"/>
      </w:pPr>
      <w:r>
        <w:rPr>
          <w:rFonts w:hint="eastAsia"/>
        </w:rPr>
        <w:t>68.</w:t>
      </w:r>
      <w:r>
        <w:rPr>
          <w:rFonts w:hint="eastAsia"/>
        </w:rPr>
        <w:tab/>
      </w:r>
      <w:r>
        <w:rPr>
          <w:rFonts w:hint="eastAsia"/>
        </w:rPr>
        <w:t>应与残疾人、特别是收容幸存者及其代表组织协商，就解除收容进程将取得的成果编写一份明确陈述，将此作为解除收容战略和行动计划的基础。</w:t>
      </w:r>
    </w:p>
    <w:p w14:paraId="0DD3FB94" w14:textId="6924228C"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六</w:t>
      </w:r>
      <w:r w:rsidR="00291A31">
        <w:rPr>
          <w:rFonts w:hint="eastAsia"/>
        </w:rPr>
        <w:t>.</w:t>
      </w:r>
      <w:r w:rsidR="00291A31">
        <w:rPr>
          <w:rFonts w:hint="eastAsia"/>
        </w:rPr>
        <w:tab/>
      </w:r>
      <w:r w:rsidR="00291A31">
        <w:rPr>
          <w:rFonts w:hint="eastAsia"/>
        </w:rPr>
        <w:t>包容性社区支助服务、系统和网络</w:t>
      </w:r>
    </w:p>
    <w:p w14:paraId="18670B4D" w14:textId="32E863E7"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A.</w:t>
      </w:r>
      <w:r w:rsidR="00291A31">
        <w:rPr>
          <w:rFonts w:hint="eastAsia"/>
        </w:rPr>
        <w:tab/>
      </w:r>
      <w:r w:rsidR="00291A31">
        <w:rPr>
          <w:rFonts w:hint="eastAsia"/>
        </w:rPr>
        <w:t>支助系统和网络</w:t>
      </w:r>
    </w:p>
    <w:p w14:paraId="442934BB" w14:textId="77777777" w:rsidR="00291A31" w:rsidRDefault="00291A31" w:rsidP="00291A31">
      <w:pPr>
        <w:pStyle w:val="SingleTxt"/>
      </w:pPr>
      <w:r>
        <w:rPr>
          <w:rFonts w:hint="eastAsia"/>
        </w:rPr>
        <w:t>69.</w:t>
      </w:r>
      <w:r>
        <w:rPr>
          <w:rFonts w:hint="eastAsia"/>
        </w:rPr>
        <w:tab/>
      </w:r>
      <w:r>
        <w:rPr>
          <w:rFonts w:hint="eastAsia"/>
        </w:rPr>
        <w:t>支助系统和网络包括个人与家庭成员、朋友、邻居或其他受信赖的人建立的关系，这些人提供个人在决策或日常活动方面所需的支助，以便个人能够行使独立生活和融入社区的权利。支助系统对于使残疾人能够参与和充分融入社区十分重要。对于一些残疾人、特别是智力残疾人和需要特别支助的人来说，支助系统是弄清和决定他们可能需要的支助服务的关键。</w:t>
      </w:r>
    </w:p>
    <w:p w14:paraId="7BD8C6C4" w14:textId="77777777" w:rsidR="00291A31" w:rsidRDefault="00291A31" w:rsidP="00291A31">
      <w:pPr>
        <w:pStyle w:val="SingleTxt"/>
      </w:pPr>
      <w:r>
        <w:rPr>
          <w:rFonts w:hint="eastAsia"/>
        </w:rPr>
        <w:t>70.</w:t>
      </w:r>
      <w:r>
        <w:rPr>
          <w:rFonts w:hint="eastAsia"/>
        </w:rPr>
        <w:tab/>
      </w:r>
      <w:r>
        <w:rPr>
          <w:rFonts w:hint="eastAsia"/>
        </w:rPr>
        <w:t>缔约国应投资于同侪支助、自我维权、支助圈和其他支助网络——包括残疾人组织，特别是收容幸存者组织——以及独立生活中心。缔约国应鼓励建立这类支助网络，提供财政支助，为获得和设计人权、维权和危机支助方面的培训提供资金。</w:t>
      </w:r>
    </w:p>
    <w:p w14:paraId="464E4F6E" w14:textId="77777777" w:rsidR="00291A31" w:rsidRDefault="00291A31" w:rsidP="00291A31">
      <w:pPr>
        <w:pStyle w:val="SingleTxt"/>
      </w:pPr>
      <w:r>
        <w:rPr>
          <w:rFonts w:hint="eastAsia"/>
        </w:rPr>
        <w:t>71.</w:t>
      </w:r>
      <w:r>
        <w:rPr>
          <w:rFonts w:hint="eastAsia"/>
        </w:rPr>
        <w:tab/>
      </w:r>
      <w:r>
        <w:rPr>
          <w:rFonts w:hint="eastAsia"/>
        </w:rPr>
        <w:t>缔约国应承认非正式支助的存在，并确保社区和家庭在提供尊重残疾人的选择、意愿和偏好的支助方面得到培训和支助。残疾人应当有机会获得各种广泛的支助选项，无论他们是否希望得到家人或社区的支助。</w:t>
      </w:r>
    </w:p>
    <w:p w14:paraId="4549FD1C" w14:textId="77777777" w:rsidR="00291A31" w:rsidRDefault="00291A31" w:rsidP="00291A31">
      <w:pPr>
        <w:pStyle w:val="SingleTxt"/>
      </w:pPr>
      <w:r>
        <w:rPr>
          <w:rFonts w:hint="eastAsia"/>
        </w:rPr>
        <w:t>72.</w:t>
      </w:r>
      <w:r>
        <w:rPr>
          <w:rFonts w:hint="eastAsia"/>
        </w:rPr>
        <w:tab/>
      </w:r>
      <w:r>
        <w:rPr>
          <w:rFonts w:hint="eastAsia"/>
        </w:rPr>
        <w:t>支助人员、支助圈和支助网络只能由残疾人选择，而不能由司法或医疗主管部门、家庭成员或服务提供方等第三方选择。支助者应尊重残疾人的意愿和偏好。绝不应违背残疾人的意愿指定支助者。</w:t>
      </w:r>
    </w:p>
    <w:p w14:paraId="42800652" w14:textId="77777777" w:rsidR="00291A31" w:rsidRDefault="00291A31" w:rsidP="00291A31">
      <w:pPr>
        <w:pStyle w:val="SingleTxt"/>
      </w:pPr>
      <w:r>
        <w:rPr>
          <w:rFonts w:hint="eastAsia"/>
        </w:rPr>
        <w:t>73.</w:t>
      </w:r>
      <w:r>
        <w:rPr>
          <w:rFonts w:hint="eastAsia"/>
        </w:rPr>
        <w:tab/>
      </w:r>
      <w:r>
        <w:rPr>
          <w:rFonts w:hint="eastAsia"/>
        </w:rPr>
        <w:t>同侪支助应当是自我选定的，独立于收容机构和医疗专业人员，并由残疾人自主组织。同侪支助对收容幸存者尤其重要，有利于提高认识、辅助决策、危机支助和危机缓解、独立生活、赋权、创收、政治参与和社会活动参与。</w:t>
      </w:r>
    </w:p>
    <w:p w14:paraId="447F47E3" w14:textId="77777777" w:rsidR="00291A31" w:rsidRDefault="00291A31" w:rsidP="00291A31">
      <w:pPr>
        <w:pStyle w:val="SingleTxt"/>
      </w:pPr>
      <w:r>
        <w:rPr>
          <w:rFonts w:hint="eastAsia"/>
        </w:rPr>
        <w:t>74.</w:t>
      </w:r>
      <w:r>
        <w:rPr>
          <w:rFonts w:hint="eastAsia"/>
        </w:rPr>
        <w:tab/>
      </w:r>
      <w:r>
        <w:rPr>
          <w:rFonts w:hint="eastAsia"/>
        </w:rPr>
        <w:t>如果残疾人决定接受其家庭的支助，应向家庭照护者提供适当的支助服务，以便他们能够反过来协助其亲属在社区中独立生活。支助安排可包括支助使用者或残疾儿童的父母或监护人可以接受的多种支助者，</w:t>
      </w:r>
      <w:r w:rsidRPr="00577AC2">
        <w:rPr>
          <w:rFonts w:hint="eastAsia"/>
          <w:spacing w:val="-2"/>
        </w:rPr>
        <w:t>以确保支助的连续性和质量。</w:t>
      </w:r>
      <w:r>
        <w:rPr>
          <w:rFonts w:hint="eastAsia"/>
        </w:rPr>
        <w:lastRenderedPageBreak/>
        <w:t>缔约国应承认非正式支助，如支助圈以及家庭和同侪支助，并应资助社区支助，例如咨询服务。这种服务不应要求将残疾儿童或成年人安置在收容机构中，即使是短期安置。</w:t>
      </w:r>
    </w:p>
    <w:p w14:paraId="61F5AFF9" w14:textId="16485641"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B.</w:t>
      </w:r>
      <w:r w:rsidR="00291A31">
        <w:rPr>
          <w:rFonts w:hint="eastAsia"/>
        </w:rPr>
        <w:tab/>
      </w:r>
      <w:r w:rsidR="00291A31">
        <w:rPr>
          <w:rFonts w:hint="eastAsia"/>
        </w:rPr>
        <w:t>支助服务</w:t>
      </w:r>
    </w:p>
    <w:p w14:paraId="296CBB80" w14:textId="77777777" w:rsidR="00291A31" w:rsidRDefault="00291A31" w:rsidP="00291A31">
      <w:pPr>
        <w:pStyle w:val="SingleTxt"/>
      </w:pPr>
      <w:r>
        <w:rPr>
          <w:rFonts w:hint="eastAsia"/>
        </w:rPr>
        <w:t>75.</w:t>
      </w:r>
      <w:r>
        <w:rPr>
          <w:rFonts w:hint="eastAsia"/>
        </w:rPr>
        <w:tab/>
      </w:r>
      <w:r>
        <w:rPr>
          <w:rFonts w:hint="eastAsia"/>
        </w:rPr>
        <w:t>应根据人权模式发展支助服务，同时应尊重残疾人的意愿和偏好，并确保残疾人充分参与，并在残疾人愿意的情况下确保更广泛的残疾人支助网络的参与。应采用以人为本的程序，确定一个人独立生活和融入社区可能需要的支助范围，包括优先采用自我评估工具。缔约国在制定新的需求评估工具时，不应完全或主要依赖使用医疗标准，不应给予医疗专业人员比参与评估的其他专业人员更高的地位，也不应给予医疗专业人员任何高于残疾人的决定权。</w:t>
      </w:r>
    </w:p>
    <w:p w14:paraId="4B61E162" w14:textId="77777777" w:rsidR="00291A31" w:rsidRPr="00577AC2" w:rsidRDefault="00291A31" w:rsidP="00291A31">
      <w:pPr>
        <w:pStyle w:val="SingleTxt"/>
        <w:rPr>
          <w:spacing w:val="-2"/>
        </w:rPr>
      </w:pPr>
      <w:r>
        <w:rPr>
          <w:rFonts w:hint="eastAsia"/>
        </w:rPr>
        <w:t>76.</w:t>
      </w:r>
      <w:r>
        <w:rPr>
          <w:rFonts w:hint="eastAsia"/>
        </w:rPr>
        <w:tab/>
      </w:r>
      <w:r>
        <w:rPr>
          <w:rFonts w:hint="eastAsia"/>
        </w:rPr>
        <w:t>缔约国应确保医疗保健系统以外的选项充分尊重个人的自我认识、意愿和偏好，作为初级服务提供，而不需要在个人所在社区进行精神健康诊断或治疗。这些选项应满足与痛苦或异常感知有关的支助要求，包括危机支助、长期、间歇或紧急决策支助、</w:t>
      </w:r>
      <w:r w:rsidRPr="00577AC2">
        <w:rPr>
          <w:rFonts w:hint="eastAsia"/>
          <w:spacing w:val="-2"/>
        </w:rPr>
        <w:t>创伤愈合支助以及在社区生活和享受互助和陪伴所需的其他支助。</w:t>
      </w:r>
    </w:p>
    <w:p w14:paraId="05105C2C" w14:textId="77777777" w:rsidR="00291A31" w:rsidRDefault="00291A31" w:rsidP="00291A31">
      <w:pPr>
        <w:pStyle w:val="SingleTxt"/>
      </w:pPr>
      <w:r>
        <w:rPr>
          <w:rFonts w:hint="eastAsia"/>
        </w:rPr>
        <w:t>77.</w:t>
      </w:r>
      <w:r>
        <w:rPr>
          <w:rFonts w:hint="eastAsia"/>
        </w:rPr>
        <w:tab/>
      </w:r>
      <w:r>
        <w:rPr>
          <w:rFonts w:hint="eastAsia"/>
        </w:rPr>
        <w:t>在某些情况下，在基于社区的康复或基于社区的包容发展框架下提供的与残疾有关的支助服务应与社区现有的服务和网络联系起来。它们不应造成隔离，也不应加剧残疾人的隔绝。日托中心或保护性就业不符合《公约》。</w:t>
      </w:r>
    </w:p>
    <w:p w14:paraId="5FACC937" w14:textId="77777777" w:rsidR="00291A31" w:rsidRDefault="00291A31" w:rsidP="00291A31">
      <w:pPr>
        <w:pStyle w:val="SingleTxt"/>
      </w:pPr>
      <w:r>
        <w:rPr>
          <w:rFonts w:hint="eastAsia"/>
        </w:rPr>
        <w:t>78.</w:t>
      </w:r>
      <w:r>
        <w:rPr>
          <w:rFonts w:hint="eastAsia"/>
        </w:rPr>
        <w:tab/>
      </w:r>
      <w:r>
        <w:rPr>
          <w:rFonts w:hint="eastAsia"/>
        </w:rPr>
        <w:t>支助服务的供资模式应灵活，</w:t>
      </w:r>
      <w:proofErr w:type="gramStart"/>
      <w:r>
        <w:rPr>
          <w:rFonts w:hint="eastAsia"/>
        </w:rPr>
        <w:t>不受“</w:t>
      </w:r>
      <w:proofErr w:type="gramEnd"/>
      <w:r>
        <w:rPr>
          <w:rFonts w:hint="eastAsia"/>
        </w:rPr>
        <w:t>供应端”的限制。缔约国应投资于创建和发展各种灵活的支助服务，以满足不同个人的需求，同时尊重他们的选择和控制权，包括设计新的支助形式这一选项。</w:t>
      </w:r>
    </w:p>
    <w:p w14:paraId="02B03CE5" w14:textId="77777777" w:rsidR="00291A31" w:rsidRDefault="00291A31" w:rsidP="00291A31">
      <w:pPr>
        <w:pStyle w:val="SingleTxt"/>
      </w:pPr>
      <w:r>
        <w:rPr>
          <w:rFonts w:hint="eastAsia"/>
        </w:rPr>
        <w:t>79.</w:t>
      </w:r>
      <w:r>
        <w:rPr>
          <w:rFonts w:hint="eastAsia"/>
        </w:rPr>
        <w:tab/>
      </w:r>
      <w:r>
        <w:rPr>
          <w:rFonts w:hint="eastAsia"/>
        </w:rPr>
        <w:t>缔约国应确保一个人不会因在收容结束后选择返回自己的家庭住所而被剥夺获得永久独立住房的资格。</w:t>
      </w:r>
    </w:p>
    <w:p w14:paraId="3E1CBE9C" w14:textId="77777777" w:rsidR="00291A31" w:rsidRDefault="00291A31" w:rsidP="00291A31">
      <w:pPr>
        <w:pStyle w:val="SingleTxt"/>
      </w:pPr>
      <w:r>
        <w:rPr>
          <w:rFonts w:hint="eastAsia"/>
        </w:rPr>
        <w:t>80.</w:t>
      </w:r>
      <w:r>
        <w:rPr>
          <w:rFonts w:hint="eastAsia"/>
        </w:rPr>
        <w:tab/>
      </w:r>
      <w:r>
        <w:rPr>
          <w:rFonts w:hint="eastAsia"/>
        </w:rPr>
        <w:t>支助仍应由残疾人的选择和控制，不应非自愿地强加或以侵犯个人自主权、自由或隐私的方式提供。缔约国应为此制定保障措施，包括符合个人意愿和偏好的个人化安排，以及举报侵害行为的便利和保密手段。缔约国应确保所有支助服务，无论是私营还是公共服务，都以符合《公约》的道德规范框架为基础。</w:t>
      </w:r>
    </w:p>
    <w:p w14:paraId="6FC940F6" w14:textId="77777777" w:rsidR="00291A31" w:rsidRDefault="00291A31" w:rsidP="00291A31">
      <w:pPr>
        <w:pStyle w:val="SingleTxt"/>
      </w:pPr>
      <w:r>
        <w:rPr>
          <w:rFonts w:hint="eastAsia"/>
        </w:rPr>
        <w:t>81.</w:t>
      </w:r>
      <w:r>
        <w:rPr>
          <w:rFonts w:hint="eastAsia"/>
        </w:rPr>
        <w:tab/>
      </w:r>
      <w:r>
        <w:rPr>
          <w:rFonts w:hint="eastAsia"/>
        </w:rPr>
        <w:t>对残疾老年人的支助应使他们有机会留在自己在社区的家中。残疾人在进入老年后，不应失去获得支助的机会，如个人援助。相反，缔约国应根据需要逐步增加社区支助，决不能诉诸收容。</w:t>
      </w:r>
    </w:p>
    <w:p w14:paraId="16CE097E" w14:textId="77777777" w:rsidR="00291A31" w:rsidRDefault="00291A31" w:rsidP="00291A31">
      <w:pPr>
        <w:pStyle w:val="SingleTxt"/>
      </w:pPr>
      <w:r>
        <w:rPr>
          <w:rFonts w:hint="eastAsia"/>
        </w:rPr>
        <w:t>82.</w:t>
      </w:r>
      <w:r>
        <w:rPr>
          <w:rFonts w:hint="eastAsia"/>
        </w:rPr>
        <w:tab/>
      </w:r>
      <w:r>
        <w:rPr>
          <w:rFonts w:hint="eastAsia"/>
        </w:rPr>
        <w:t>残疾儿童可能需要特殊支助服务。缔约国应确保向儿童及其家庭提供的支助不会加剧隔离、排斥或忽视。相反，支助应使残疾儿童能够充分发挥其潜力。</w:t>
      </w:r>
    </w:p>
    <w:p w14:paraId="794EDE71" w14:textId="5BB1754B"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C.</w:t>
      </w:r>
      <w:r w:rsidR="00291A31">
        <w:rPr>
          <w:rFonts w:hint="eastAsia"/>
        </w:rPr>
        <w:tab/>
      </w:r>
      <w:r w:rsidR="00291A31">
        <w:rPr>
          <w:rFonts w:hint="eastAsia"/>
        </w:rPr>
        <w:t>个性化支助服务</w:t>
      </w:r>
    </w:p>
    <w:p w14:paraId="61B893AE" w14:textId="77777777" w:rsidR="00291A31" w:rsidRDefault="00291A31" w:rsidP="00291A31">
      <w:pPr>
        <w:pStyle w:val="SingleTxt"/>
      </w:pPr>
      <w:r>
        <w:rPr>
          <w:rFonts w:hint="eastAsia"/>
        </w:rPr>
        <w:t>83.</w:t>
      </w:r>
      <w:r>
        <w:rPr>
          <w:rFonts w:hint="eastAsia"/>
        </w:rPr>
        <w:tab/>
      </w:r>
      <w:r>
        <w:rPr>
          <w:rFonts w:hint="eastAsia"/>
        </w:rPr>
        <w:t>缔约国应确保所有残疾人</w:t>
      </w:r>
      <w:r>
        <w:rPr>
          <w:rFonts w:hint="eastAsia"/>
        </w:rPr>
        <w:t>(</w:t>
      </w:r>
      <w:r>
        <w:rPr>
          <w:rFonts w:hint="eastAsia"/>
        </w:rPr>
        <w:t>包括离开收容机构的残疾人</w:t>
      </w:r>
      <w:r>
        <w:rPr>
          <w:rFonts w:hint="eastAsia"/>
        </w:rPr>
        <w:t>)</w:t>
      </w:r>
      <w:r>
        <w:rPr>
          <w:rFonts w:hint="eastAsia"/>
        </w:rPr>
        <w:t>在需要时能够获得个人援助，并了解个人援助的运作方式，以便他们能够决定是否使用这种援助。</w:t>
      </w:r>
    </w:p>
    <w:p w14:paraId="01065328" w14:textId="77777777" w:rsidR="00291A31" w:rsidRDefault="00291A31" w:rsidP="00291A31">
      <w:pPr>
        <w:pStyle w:val="SingleTxt"/>
      </w:pPr>
      <w:r>
        <w:rPr>
          <w:rFonts w:hint="eastAsia"/>
        </w:rPr>
        <w:t>84.</w:t>
      </w:r>
      <w:r>
        <w:rPr>
          <w:rFonts w:hint="eastAsia"/>
        </w:rPr>
        <w:tab/>
      </w:r>
      <w:r>
        <w:rPr>
          <w:rFonts w:hint="eastAsia"/>
        </w:rPr>
        <w:t>缔约国应提供不同类型的个人化和以人为中心的支助服务，如支助人员、支助工作者、直接支助专业人员和个人援助。</w:t>
      </w:r>
    </w:p>
    <w:p w14:paraId="6AB0C9F2" w14:textId="4D01C57D"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291A31">
        <w:rPr>
          <w:rFonts w:hint="eastAsia"/>
        </w:rPr>
        <w:t>D.</w:t>
      </w:r>
      <w:r w:rsidR="00291A31">
        <w:rPr>
          <w:rFonts w:hint="eastAsia"/>
        </w:rPr>
        <w:tab/>
      </w:r>
      <w:r w:rsidR="00291A31">
        <w:rPr>
          <w:rFonts w:hint="eastAsia"/>
        </w:rPr>
        <w:t>辅助技术</w:t>
      </w:r>
    </w:p>
    <w:p w14:paraId="1B402D66" w14:textId="77777777" w:rsidR="00291A31" w:rsidRDefault="00291A31" w:rsidP="00291A31">
      <w:pPr>
        <w:pStyle w:val="SingleTxt"/>
      </w:pPr>
      <w:r>
        <w:rPr>
          <w:rFonts w:hint="eastAsia"/>
        </w:rPr>
        <w:t>85.</w:t>
      </w:r>
      <w:r>
        <w:rPr>
          <w:rFonts w:hint="eastAsia"/>
        </w:rPr>
        <w:tab/>
      </w:r>
      <w:r>
        <w:rPr>
          <w:rFonts w:hint="eastAsia"/>
        </w:rPr>
        <w:t>缔约国应扩大和确保获得可负担的辅助技术的机会，包括典型和传统的辅助器具，并确保获得现代信息和通信技术和器具。如果普通民众可以获得先进技术，则应在作出适当调整后，向残疾人提供获得先进技术的平等机会。</w:t>
      </w:r>
    </w:p>
    <w:p w14:paraId="081A50E3" w14:textId="3BD2C38B"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E.</w:t>
      </w:r>
      <w:r w:rsidR="00291A31">
        <w:rPr>
          <w:rFonts w:hint="eastAsia"/>
        </w:rPr>
        <w:tab/>
      </w:r>
      <w:proofErr w:type="gramStart"/>
      <w:r w:rsidR="00291A31">
        <w:rPr>
          <w:rFonts w:hint="eastAsia"/>
        </w:rPr>
        <w:t>收入支助；</w:t>
      </w:r>
      <w:proofErr w:type="gramEnd"/>
    </w:p>
    <w:p w14:paraId="749DDC18" w14:textId="1FE7294B" w:rsidR="00291A31" w:rsidRDefault="00291A31" w:rsidP="00291A31">
      <w:pPr>
        <w:pStyle w:val="SingleTxt"/>
      </w:pPr>
      <w:r>
        <w:rPr>
          <w:rFonts w:hint="eastAsia"/>
        </w:rPr>
        <w:t>86.</w:t>
      </w:r>
      <w:r>
        <w:rPr>
          <w:rFonts w:hint="eastAsia"/>
        </w:rPr>
        <w:tab/>
      </w:r>
      <w:r>
        <w:rPr>
          <w:rFonts w:hint="eastAsia"/>
        </w:rPr>
        <w:t>残疾人应获得个人化、直接的资助，用于提供基本收入保障以及支付医疗保健和残疾相关费用，包括根据他们的意愿和偏好，支付与收容所造成伤害的康复有关的部分。对个人的资助应根据个人的需求和在遇有突发情况时定期修订。资助应根据整个生命期间的费用变化作出调整，并考虑到通货膨胀。应通过同侪支助和自我维权提供行政支助和赋能，以鼓励采用用户主导的资助办法。对于离开收容机构者，应根据他们新的生活安排具体调整收入支助。</w:t>
      </w:r>
    </w:p>
    <w:p w14:paraId="6711776F" w14:textId="77777777" w:rsidR="00291A31" w:rsidRDefault="00291A31" w:rsidP="00291A31">
      <w:pPr>
        <w:pStyle w:val="SingleTxt"/>
      </w:pPr>
      <w:r>
        <w:rPr>
          <w:rFonts w:hint="eastAsia"/>
        </w:rPr>
        <w:t>87.</w:t>
      </w:r>
      <w:r>
        <w:rPr>
          <w:rFonts w:hint="eastAsia"/>
        </w:rPr>
        <w:tab/>
      </w:r>
      <w:r>
        <w:rPr>
          <w:rFonts w:hint="eastAsia"/>
        </w:rPr>
        <w:t>是否有资格获得用于支付残疾相关费用的收入支助，不应与个人或家庭的一般收入挂钩。缔约国应确保所有残疾人获得用于支付独立生活费用的资助，而不论其与工作有关的收入如何。</w:t>
      </w:r>
    </w:p>
    <w:p w14:paraId="241FBAC3" w14:textId="4E7718E4" w:rsidR="00291A31" w:rsidRDefault="00291A31" w:rsidP="00291A31">
      <w:pPr>
        <w:pStyle w:val="SingleTxt"/>
      </w:pPr>
      <w:r>
        <w:rPr>
          <w:rFonts w:hint="eastAsia"/>
        </w:rPr>
        <w:t>88.</w:t>
      </w:r>
      <w:r>
        <w:rPr>
          <w:rFonts w:hint="eastAsia"/>
        </w:rPr>
        <w:tab/>
      </w:r>
      <w:r>
        <w:rPr>
          <w:rFonts w:hint="eastAsia"/>
        </w:rPr>
        <w:t>用于残疾人服务的预算拨款应当由残疾人或儿童的主要照护者直接控制，从而确保他们获得必要形式的支助、合理便利和一系列选择，使他们能够有效地决定在哪里生活和与谁一起生活，以及在收容机构外接受哪些服务</w:t>
      </w:r>
      <w:r>
        <w:rPr>
          <w:rFonts w:hint="eastAsia"/>
        </w:rPr>
        <w:t>(</w:t>
      </w:r>
      <w:r>
        <w:rPr>
          <w:rFonts w:hint="eastAsia"/>
        </w:rPr>
        <w:t>如果有的话</w:t>
      </w:r>
      <w:r>
        <w:rPr>
          <w:rFonts w:hint="eastAsia"/>
        </w:rPr>
        <w:t>)</w:t>
      </w:r>
      <w:r>
        <w:rPr>
          <w:rFonts w:hint="eastAsia"/>
        </w:rPr>
        <w:t>。缔约国应向残疾人提供财政激励和支助，以购买和管理社区服务。缔约国应在管理与个人资金管理有关的行政程序的方面，应向残疾人</w:t>
      </w:r>
      <w:r>
        <w:rPr>
          <w:rFonts w:hint="eastAsia"/>
        </w:rPr>
        <w:t>(</w:t>
      </w:r>
      <w:r>
        <w:rPr>
          <w:rFonts w:hint="eastAsia"/>
        </w:rPr>
        <w:t>包括需要特别支助的残疾人</w:t>
      </w:r>
      <w:r>
        <w:rPr>
          <w:rFonts w:hint="eastAsia"/>
        </w:rPr>
        <w:t>)</w:t>
      </w:r>
      <w:r>
        <w:rPr>
          <w:rFonts w:hint="eastAsia"/>
        </w:rPr>
        <w:t>提供充分支助。</w:t>
      </w:r>
    </w:p>
    <w:p w14:paraId="704C91B8" w14:textId="77777777" w:rsidR="00291A31" w:rsidRDefault="00291A31" w:rsidP="00291A31">
      <w:pPr>
        <w:pStyle w:val="SingleTxt"/>
      </w:pPr>
      <w:r>
        <w:rPr>
          <w:rFonts w:hint="eastAsia"/>
        </w:rPr>
        <w:t>89.</w:t>
      </w:r>
      <w:r>
        <w:rPr>
          <w:rFonts w:hint="eastAsia"/>
        </w:rPr>
        <w:tab/>
      </w:r>
      <w:r>
        <w:rPr>
          <w:rFonts w:hint="eastAsia"/>
        </w:rPr>
        <w:t>对于残疾人及其家庭，贫困是收容的主要驱动因素。缔约国应向残疾成年人提供一般性收入支助，使他们能够享有适足生活水准，并向他们的受抚养人和作为其赡养人的亲属</w:t>
      </w:r>
      <w:r>
        <w:rPr>
          <w:rFonts w:hint="eastAsia"/>
        </w:rPr>
        <w:t>(</w:t>
      </w:r>
      <w:r>
        <w:rPr>
          <w:rFonts w:hint="eastAsia"/>
        </w:rPr>
        <w:t>包括残疾儿童的家庭</w:t>
      </w:r>
      <w:r>
        <w:rPr>
          <w:rFonts w:hint="eastAsia"/>
        </w:rPr>
        <w:t>)</w:t>
      </w:r>
      <w:r>
        <w:rPr>
          <w:rFonts w:hint="eastAsia"/>
        </w:rPr>
        <w:t>提供一般性收入支助。不应将这种支助视为与就业相抵触。对那些因承担赡养责任而在生活的其他方面处于不利处境的亲属，应提供额外支持。</w:t>
      </w:r>
    </w:p>
    <w:p w14:paraId="447F399A" w14:textId="6834A4F6"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七</w:t>
      </w:r>
      <w:r w:rsidR="00291A31">
        <w:rPr>
          <w:rFonts w:hint="eastAsia"/>
        </w:rPr>
        <w:t>.</w:t>
      </w:r>
      <w:r>
        <w:tab/>
      </w:r>
      <w:r w:rsidR="00291A31">
        <w:rPr>
          <w:rFonts w:hint="eastAsia"/>
        </w:rPr>
        <w:t>与其他人平等获得主流服务</w:t>
      </w:r>
    </w:p>
    <w:p w14:paraId="5FD1A93A" w14:textId="77777777" w:rsidR="00291A31" w:rsidRDefault="00291A31" w:rsidP="00291A31">
      <w:pPr>
        <w:pStyle w:val="SingleTxt"/>
      </w:pPr>
      <w:r>
        <w:rPr>
          <w:rFonts w:hint="eastAsia"/>
        </w:rPr>
        <w:t>90.</w:t>
      </w:r>
      <w:r>
        <w:rPr>
          <w:rFonts w:hint="eastAsia"/>
        </w:rPr>
        <w:tab/>
      </w:r>
      <w:r>
        <w:rPr>
          <w:rFonts w:hint="eastAsia"/>
        </w:rPr>
        <w:t>解除收容计划应确保所有残疾人在个人行动、无障碍环境、通信、医疗保健、家庭生活、适足生活水准、融合式教育、政治和公共生活参与、住房、社会保障、文化生活和社区生活参与、休闲、娱乐和体育运动等领域获得各种无障碍、可负担和高质量的主流服务。缔约国应确保在获得主流服务方面不存在歧视，不因评估、家庭或社会支助、服药依从性、</w:t>
      </w:r>
      <w:proofErr w:type="gramStart"/>
      <w:r>
        <w:rPr>
          <w:rFonts w:hint="eastAsia"/>
        </w:rPr>
        <w:t>对残疾“</w:t>
      </w:r>
      <w:proofErr w:type="gramEnd"/>
      <w:r>
        <w:rPr>
          <w:rFonts w:hint="eastAsia"/>
        </w:rPr>
        <w:t>严重程度”的任何认定或对所认为的支助需求强度、对“精神健康状况”的任何认定或任何其他不合格因素而受到制约、阻截或拒绝。</w:t>
      </w:r>
    </w:p>
    <w:p w14:paraId="0955FF93" w14:textId="77777777" w:rsidR="00291A31" w:rsidRDefault="00291A31" w:rsidP="00291A31">
      <w:pPr>
        <w:pStyle w:val="SingleTxt"/>
      </w:pPr>
      <w:r>
        <w:rPr>
          <w:rFonts w:hint="eastAsia"/>
        </w:rPr>
        <w:t>91.</w:t>
      </w:r>
      <w:r>
        <w:rPr>
          <w:rFonts w:hint="eastAsia"/>
        </w:rPr>
        <w:tab/>
      </w:r>
      <w:r>
        <w:rPr>
          <w:rFonts w:hint="eastAsia"/>
        </w:rPr>
        <w:t>缔约国应通过在教育和就业等领域提供可及的主流服务，防止收容，从而确保提供合理便利。</w:t>
      </w:r>
    </w:p>
    <w:p w14:paraId="433A544A" w14:textId="69CDA9DE" w:rsidR="00291A31" w:rsidRDefault="00291A31" w:rsidP="00291A31">
      <w:pPr>
        <w:pStyle w:val="SingleTxt"/>
      </w:pPr>
      <w:r>
        <w:rPr>
          <w:rFonts w:hint="eastAsia"/>
        </w:rPr>
        <w:lastRenderedPageBreak/>
        <w:t>92.</w:t>
      </w:r>
      <w:r>
        <w:rPr>
          <w:rFonts w:hint="eastAsia"/>
        </w:rPr>
        <w:tab/>
      </w:r>
      <w:r w:rsidRPr="00577AC2">
        <w:rPr>
          <w:rFonts w:hint="eastAsia"/>
          <w:spacing w:val="-2"/>
        </w:rPr>
        <w:t>在准备解除收容以及在选择社区居住地点、在社区中定居和之后的过程中，</w:t>
      </w:r>
      <w:r>
        <w:rPr>
          <w:rFonts w:hint="eastAsia"/>
        </w:rPr>
        <w:t>都应规划并确保获得主流服务。应确保获得社区资源、适足生活水准和社会保障。缔约国应禁止将过渡性收容服务作为临时措施或在社区生活前的铺垫。</w:t>
      </w:r>
    </w:p>
    <w:p w14:paraId="2FC062F7" w14:textId="3BAC8E2F"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A.</w:t>
      </w:r>
      <w:r w:rsidR="00291A31">
        <w:rPr>
          <w:rFonts w:hint="eastAsia"/>
        </w:rPr>
        <w:tab/>
      </w:r>
      <w:r w:rsidR="00291A31">
        <w:rPr>
          <w:rFonts w:hint="eastAsia"/>
        </w:rPr>
        <w:t>离开收容机构的准备</w:t>
      </w:r>
    </w:p>
    <w:p w14:paraId="02A16D88" w14:textId="11FAAA27" w:rsidR="00291A31" w:rsidRPr="003A79D4" w:rsidRDefault="00291A31" w:rsidP="00291A31">
      <w:pPr>
        <w:pStyle w:val="SingleTxt"/>
        <w:rPr>
          <w:spacing w:val="4"/>
        </w:rPr>
      </w:pPr>
      <w:r>
        <w:rPr>
          <w:rFonts w:hint="eastAsia"/>
        </w:rPr>
        <w:t>93.</w:t>
      </w:r>
      <w:r>
        <w:rPr>
          <w:rFonts w:hint="eastAsia"/>
        </w:rPr>
        <w:tab/>
      </w:r>
      <w:r w:rsidRPr="003A79D4">
        <w:rPr>
          <w:rFonts w:hint="eastAsia"/>
          <w:spacing w:val="4"/>
        </w:rPr>
        <w:t>解除收容可以扭转收容这一不公正做法。解除收容始于个人仍在收容机构时，必须为每个人定制规划进程。所有人都必须在解除收容方面拥有平等机会，并可以随时选择离开。在解除收容过程中，任何人都不应掉队，包括有特别支助需求的人。</w:t>
      </w:r>
    </w:p>
    <w:p w14:paraId="05F3BF0B" w14:textId="77777777" w:rsidR="00291A31" w:rsidRDefault="00291A31" w:rsidP="00291A31">
      <w:pPr>
        <w:pStyle w:val="SingleTxt"/>
      </w:pPr>
      <w:r>
        <w:rPr>
          <w:rFonts w:hint="eastAsia"/>
        </w:rPr>
        <w:t>94.</w:t>
      </w:r>
      <w:r>
        <w:rPr>
          <w:rFonts w:hint="eastAsia"/>
        </w:rPr>
        <w:tab/>
      </w:r>
      <w:r>
        <w:rPr>
          <w:rFonts w:hint="eastAsia"/>
        </w:rPr>
        <w:t>缔约国应确保对收容机构工作人员进行培训，使其了解以人权为基础、补偿性和以人为中心的解除收容办法。可信赖的人，其中包括家庭成员、朋友和其他人，应根据当事人的意愿和偏好参与规划进程。作为规划和过渡工作的一部分，应促进对被收容者和收容幸存者的同侪支助，以推动充分包容。应向被收容者的家庭成员提供信息和指导以及经济和行政支助和专门服务，以解决收容对其亲属造成的伤害，并准备在他们离开收容机构时给予建设性支助。</w:t>
      </w:r>
    </w:p>
    <w:p w14:paraId="72F4CB28" w14:textId="77777777" w:rsidR="00291A31" w:rsidRDefault="00291A31" w:rsidP="00291A31">
      <w:pPr>
        <w:pStyle w:val="SingleTxt"/>
      </w:pPr>
      <w:r>
        <w:rPr>
          <w:rFonts w:hint="eastAsia"/>
        </w:rPr>
        <w:t>95.</w:t>
      </w:r>
      <w:r>
        <w:rPr>
          <w:rFonts w:hint="eastAsia"/>
        </w:rPr>
        <w:tab/>
      </w:r>
      <w:r>
        <w:rPr>
          <w:rFonts w:hint="eastAsia"/>
        </w:rPr>
        <w:t>离开收容机构者应：</w:t>
      </w:r>
    </w:p>
    <w:p w14:paraId="3422BD47" w14:textId="28E368D3" w:rsidR="00291A31" w:rsidRDefault="00B07064" w:rsidP="00291A31">
      <w:pPr>
        <w:pStyle w:val="SingleTxt"/>
      </w:pPr>
      <w:r>
        <w:tab/>
      </w:r>
      <w:r w:rsidR="00291A31">
        <w:rPr>
          <w:rFonts w:hint="eastAsia"/>
        </w:rPr>
        <w:t>(a)</w:t>
      </w:r>
      <w:r>
        <w:tab/>
      </w:r>
      <w:r w:rsidR="00291A31">
        <w:rPr>
          <w:rFonts w:hint="eastAsia"/>
        </w:rPr>
        <w:t>在离开收容机构的所有方面作为决策者受到尊重，</w:t>
      </w:r>
      <w:proofErr w:type="gramStart"/>
      <w:r w:rsidR="00291A31">
        <w:rPr>
          <w:rFonts w:hint="eastAsia"/>
        </w:rPr>
        <w:t>在必要时给予支助；</w:t>
      </w:r>
      <w:proofErr w:type="gramEnd"/>
      <w:r w:rsidR="00291A31">
        <w:rPr>
          <w:rFonts w:hint="eastAsia"/>
        </w:rPr>
        <w:t xml:space="preserve"> </w:t>
      </w:r>
    </w:p>
    <w:p w14:paraId="33C40BCF" w14:textId="373937A7" w:rsidR="00291A31" w:rsidRDefault="00B07064" w:rsidP="00291A31">
      <w:pPr>
        <w:pStyle w:val="SingleTxt"/>
      </w:pPr>
      <w:r>
        <w:tab/>
      </w:r>
      <w:r w:rsidR="00291A31">
        <w:rPr>
          <w:rFonts w:hint="eastAsia"/>
        </w:rPr>
        <w:t>(b)</w:t>
      </w:r>
      <w:r w:rsidR="00291A31">
        <w:rPr>
          <w:rFonts w:hint="eastAsia"/>
        </w:rPr>
        <w:tab/>
      </w:r>
      <w:r w:rsidR="00291A31">
        <w:rPr>
          <w:rFonts w:hint="eastAsia"/>
        </w:rPr>
        <w:t>向其提供足够的时间和机会，为在社区生活做好身体和情绪上的准备，</w:t>
      </w:r>
      <w:proofErr w:type="gramStart"/>
      <w:r w:rsidR="00291A31">
        <w:rPr>
          <w:rFonts w:hint="eastAsia"/>
        </w:rPr>
        <w:t>而缔约国应确保所有人根据自己的意愿和偏好制定个人化计划；</w:t>
      </w:r>
      <w:proofErr w:type="gramEnd"/>
    </w:p>
    <w:p w14:paraId="0305D4D3" w14:textId="2918C2B5" w:rsidR="00291A31" w:rsidRDefault="00B07064" w:rsidP="00291A31">
      <w:pPr>
        <w:pStyle w:val="SingleTxt"/>
      </w:pPr>
      <w:r>
        <w:tab/>
      </w:r>
      <w:r w:rsidR="00291A31">
        <w:rPr>
          <w:rFonts w:hint="eastAsia"/>
        </w:rPr>
        <w:t>(c)</w:t>
      </w:r>
      <w:r w:rsidR="00291A31">
        <w:rPr>
          <w:rFonts w:hint="eastAsia"/>
        </w:rPr>
        <w:tab/>
      </w:r>
      <w:proofErr w:type="gramStart"/>
      <w:r w:rsidR="00291A31">
        <w:rPr>
          <w:rFonts w:hint="eastAsia"/>
        </w:rPr>
        <w:t>处于个人化规划过程的核心；</w:t>
      </w:r>
      <w:proofErr w:type="gramEnd"/>
    </w:p>
    <w:p w14:paraId="11C26737" w14:textId="35F266B5" w:rsidR="00291A31" w:rsidRDefault="00B07064" w:rsidP="00291A31">
      <w:pPr>
        <w:pStyle w:val="SingleTxt"/>
      </w:pPr>
      <w:r>
        <w:tab/>
      </w:r>
      <w:r w:rsidR="00291A31">
        <w:rPr>
          <w:rFonts w:hint="eastAsia"/>
        </w:rPr>
        <w:t>(d)</w:t>
      </w:r>
      <w:r w:rsidR="00291A31">
        <w:rPr>
          <w:rFonts w:hint="eastAsia"/>
        </w:rPr>
        <w:tab/>
      </w:r>
      <w:r w:rsidR="00291A31">
        <w:rPr>
          <w:rFonts w:hint="eastAsia"/>
        </w:rPr>
        <w:t>作为应得到赔偿的幸存者受到尊重，并在解除收容、</w:t>
      </w:r>
      <w:proofErr w:type="gramStart"/>
      <w:r w:rsidR="00291A31">
        <w:rPr>
          <w:rFonts w:hint="eastAsia"/>
        </w:rPr>
        <w:t>真相委员会和赔偿的规划和实施方面获得有关信息和充分参与的机会；</w:t>
      </w:r>
      <w:proofErr w:type="gramEnd"/>
    </w:p>
    <w:p w14:paraId="69FE642D" w14:textId="2F5AF623" w:rsidR="00291A31" w:rsidRDefault="00B07064" w:rsidP="00291A31">
      <w:pPr>
        <w:pStyle w:val="SingleTxt"/>
      </w:pPr>
      <w:r>
        <w:tab/>
      </w:r>
      <w:r w:rsidR="00291A31">
        <w:rPr>
          <w:rFonts w:hint="eastAsia"/>
        </w:rPr>
        <w:t>(e)</w:t>
      </w:r>
      <w:r w:rsidR="00291A31">
        <w:rPr>
          <w:rFonts w:hint="eastAsia"/>
        </w:rPr>
        <w:tab/>
      </w:r>
      <w:r w:rsidR="00291A31">
        <w:rPr>
          <w:rFonts w:hint="eastAsia"/>
        </w:rPr>
        <w:t>在准备离开收容机构时，获得广泛的社区经验，以帮助他们积累经验、优势、社交技能和生活技能，消除恐惧，</w:t>
      </w:r>
      <w:proofErr w:type="gramStart"/>
      <w:r w:rsidR="00291A31">
        <w:rPr>
          <w:rFonts w:hint="eastAsia"/>
        </w:rPr>
        <w:t>获得独立生活的积极经验；</w:t>
      </w:r>
      <w:proofErr w:type="gramEnd"/>
    </w:p>
    <w:p w14:paraId="5F55EFDB" w14:textId="4FA16206" w:rsidR="00291A31" w:rsidRDefault="00B07064" w:rsidP="00291A31">
      <w:pPr>
        <w:pStyle w:val="SingleTxt"/>
      </w:pPr>
      <w:r>
        <w:tab/>
      </w:r>
      <w:r w:rsidR="00291A31">
        <w:rPr>
          <w:rFonts w:hint="eastAsia"/>
        </w:rPr>
        <w:t>(f)</w:t>
      </w:r>
      <w:r w:rsidR="00291A31">
        <w:rPr>
          <w:rFonts w:hint="eastAsia"/>
        </w:rPr>
        <w:tab/>
      </w:r>
      <w:r w:rsidR="00291A31">
        <w:rPr>
          <w:rFonts w:hint="eastAsia"/>
        </w:rPr>
        <w:t>获得有关住房选项、交通、工作和就业、个人化资助以及确保适足生活水准所需的所有其他措施的信息。</w:t>
      </w:r>
    </w:p>
    <w:p w14:paraId="7EDF98C5" w14:textId="77777777" w:rsidR="00291A31" w:rsidRDefault="00291A31" w:rsidP="00291A31">
      <w:pPr>
        <w:pStyle w:val="SingleTxt"/>
      </w:pPr>
      <w:r>
        <w:rPr>
          <w:rFonts w:hint="eastAsia"/>
        </w:rPr>
        <w:t>96.</w:t>
      </w:r>
      <w:r>
        <w:rPr>
          <w:rFonts w:hint="eastAsia"/>
        </w:rPr>
        <w:tab/>
      </w:r>
      <w:r>
        <w:rPr>
          <w:rFonts w:hint="eastAsia"/>
        </w:rPr>
        <w:t>缔约国应消除离开收容机构者在出生登记和获得公民身份方面的一切障碍，并提供正式身份证件，包括用于非公民和人道主义情况的替代证件。这适用于所有证件，例如国民身份证、居留证、选民登记、就业号码、社会保障卡、残疾证和护照，并包括在必要时提供追溯证件。所有文件必须在离开时提供。缔约国应确保不存在歧视性或贬损性的识别标记或对离开收容机构者以前状况的描述，并确保所有健康文件都达到最高保护隐私和保密标准。</w:t>
      </w:r>
    </w:p>
    <w:p w14:paraId="62F4B334" w14:textId="77777777" w:rsidR="00291A31" w:rsidRDefault="00291A31" w:rsidP="00291A31">
      <w:pPr>
        <w:pStyle w:val="SingleTxt"/>
      </w:pPr>
      <w:r>
        <w:rPr>
          <w:rFonts w:hint="eastAsia"/>
        </w:rPr>
        <w:t>97.</w:t>
      </w:r>
      <w:r>
        <w:rPr>
          <w:rFonts w:hint="eastAsia"/>
        </w:rPr>
        <w:tab/>
      </w:r>
      <w:r>
        <w:rPr>
          <w:rFonts w:hint="eastAsia"/>
        </w:rPr>
        <w:t>金融机构、保险和其他金融服务机构应消除一切障碍，使残疾人能够与其他人平等享有参与理财的权利。残疾人因其以前的身份而受到询问、讯问或背景调查，属被禁止的歧视行为。</w:t>
      </w:r>
    </w:p>
    <w:p w14:paraId="608BB29F" w14:textId="77777777" w:rsidR="00291A31" w:rsidRDefault="00291A31" w:rsidP="00291A31">
      <w:pPr>
        <w:pStyle w:val="SingleTxt"/>
      </w:pPr>
      <w:r>
        <w:rPr>
          <w:rFonts w:hint="eastAsia"/>
        </w:rPr>
        <w:lastRenderedPageBreak/>
        <w:t>98.</w:t>
      </w:r>
      <w:r>
        <w:rPr>
          <w:rFonts w:hint="eastAsia"/>
        </w:rPr>
        <w:tab/>
      </w:r>
      <w:r w:rsidRPr="00577AC2">
        <w:rPr>
          <w:rFonts w:hint="eastAsia"/>
          <w:spacing w:val="-4"/>
        </w:rPr>
        <w:t>负责管理收容机构的主管部门和人员以及司法和执法人员应接受关于残疾人在社区生活的权利和无障碍通信的培训。缔约国应禁止对离开收容机构者在离开后进行行政或法律监视。</w:t>
      </w:r>
      <w:proofErr w:type="gramStart"/>
      <w:r w:rsidRPr="00577AC2">
        <w:rPr>
          <w:rFonts w:hint="eastAsia"/>
          <w:spacing w:val="-4"/>
        </w:rPr>
        <w:t>收容机构主管部门和人员不应在社区提供“</w:t>
      </w:r>
      <w:proofErr w:type="gramEnd"/>
      <w:r w:rsidRPr="00577AC2">
        <w:rPr>
          <w:rFonts w:hint="eastAsia"/>
          <w:spacing w:val="-4"/>
        </w:rPr>
        <w:t>连续性照护”。</w:t>
      </w:r>
    </w:p>
    <w:p w14:paraId="6A506AB5" w14:textId="7D3A5AB1" w:rsidR="00291A31" w:rsidRDefault="00B07064" w:rsidP="00B070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291A31">
        <w:rPr>
          <w:rFonts w:hint="eastAsia"/>
        </w:rPr>
        <w:t>B.</w:t>
      </w:r>
      <w:r w:rsidR="00291A31">
        <w:rPr>
          <w:rFonts w:hint="eastAsia"/>
        </w:rPr>
        <w:tab/>
      </w:r>
      <w:r w:rsidR="00291A31">
        <w:rPr>
          <w:rFonts w:hint="eastAsia"/>
        </w:rPr>
        <w:t>在社区中独立生活</w:t>
      </w:r>
    </w:p>
    <w:p w14:paraId="2A1A7FA4" w14:textId="77777777" w:rsidR="00291A31" w:rsidRDefault="00291A31" w:rsidP="00291A31">
      <w:pPr>
        <w:pStyle w:val="SingleTxt"/>
      </w:pPr>
      <w:r>
        <w:rPr>
          <w:rFonts w:hint="eastAsia"/>
        </w:rPr>
        <w:t>99.</w:t>
      </w:r>
      <w:r>
        <w:rPr>
          <w:rFonts w:hint="eastAsia"/>
        </w:rPr>
        <w:tab/>
      </w:r>
      <w:r w:rsidRPr="00577AC2">
        <w:rPr>
          <w:rFonts w:hint="eastAsia"/>
          <w:spacing w:val="2"/>
        </w:rPr>
        <w:t>离开收容机构者在日常生活、生活经验和在社区中发展的机会方面需要各种各样的可能性。缔约国必须履行其一般义务，与其他人平等维护这些人在无障碍环境、个人行动能力、隐私、身心健全、法律能力、自由、免遭暴力、侵害和剥削、免遭酷刑和其他虐待、受教育、参与文化生活和娱乐、参与政治生活等方面的权利</w:t>
      </w:r>
      <w:r>
        <w:rPr>
          <w:rFonts w:hint="eastAsia"/>
        </w:rPr>
        <w:t>。</w:t>
      </w:r>
    </w:p>
    <w:p w14:paraId="559F80E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100.</w:t>
      </w:r>
      <w:r>
        <w:rPr>
          <w:rFonts w:hint="eastAsia"/>
        </w:rPr>
        <w:tab/>
      </w:r>
      <w:r>
        <w:rPr>
          <w:rFonts w:hint="eastAsia"/>
        </w:rPr>
        <w:t>缔约国应支持关于包容残疾人的提高认识活动，逐步提高家庭、邻里和社区在包容价值观和做法方面的能力。缔约国应积极争取残疾人的参与，特别是生活在收容机构中的残疾人或收容幸存者。社区组织、个人和邻里团体可以在提供社会支助方面发挥多种作用，将个人与当地资源联系起来，或作为社区更广泛的社会资本的一员提供支助。</w:t>
      </w:r>
    </w:p>
    <w:p w14:paraId="63212550"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101.</w:t>
      </w:r>
      <w:r>
        <w:rPr>
          <w:rFonts w:hint="eastAsia"/>
        </w:rPr>
        <w:tab/>
      </w:r>
      <w:r>
        <w:rPr>
          <w:rFonts w:hint="eastAsia"/>
        </w:rPr>
        <w:t>缔约国应确保离开收容机构者可以使用交通工具，可以在城市、农村地区和社区任意来去，并可以与其他人平等使用公共空间。</w:t>
      </w:r>
    </w:p>
    <w:p w14:paraId="09A15086"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102.</w:t>
      </w:r>
      <w:r>
        <w:rPr>
          <w:rFonts w:hint="eastAsia"/>
        </w:rPr>
        <w:tab/>
      </w:r>
      <w:r>
        <w:rPr>
          <w:rFonts w:hint="eastAsia"/>
        </w:rPr>
        <w:t>缔约国应履行其义务，确保公共场所的无障碍环境，同时考虑到残疾人友好型巡逻、道路相关的无障碍环境与完全无障碍的信息和通信</w:t>
      </w:r>
      <w:r>
        <w:rPr>
          <w:rFonts w:hint="eastAsia"/>
        </w:rPr>
        <w:t>(</w:t>
      </w:r>
      <w:proofErr w:type="gramStart"/>
      <w:r>
        <w:rPr>
          <w:rFonts w:hint="eastAsia"/>
        </w:rPr>
        <w:t>例如使用“</w:t>
      </w:r>
      <w:proofErr w:type="gramEnd"/>
      <w:r>
        <w:rPr>
          <w:rFonts w:hint="eastAsia"/>
        </w:rPr>
        <w:t>易读”</w:t>
      </w:r>
      <w:r>
        <w:rPr>
          <w:rFonts w:hint="eastAsia"/>
        </w:rPr>
        <w:t>)</w:t>
      </w:r>
      <w:r>
        <w:rPr>
          <w:rFonts w:hint="eastAsia"/>
        </w:rPr>
        <w:t>的提供、支助服务等方面，以便残疾人能够独立和安全地在城市地区通行，包括找到安全返回住家和社区的路。</w:t>
      </w:r>
    </w:p>
    <w:p w14:paraId="0C9ACBB9"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103.</w:t>
      </w:r>
      <w:r>
        <w:rPr>
          <w:rFonts w:hint="eastAsia"/>
        </w:rPr>
        <w:tab/>
      </w:r>
      <w:r>
        <w:rPr>
          <w:rFonts w:hint="eastAsia"/>
        </w:rPr>
        <w:t>缔约国应确保离开收容机构者与其他人平等获得全面医疗保健，包括初级医疗保健、适应训练和康复以及辅助技术。医疗保健服务应尊重离开收容机构的残疾人的选择、意愿和偏好，避免植入医学残疾模式，并根据需要提供额外的医疗保健支助。这可以包括协助停止精神病药物治疗，并参与营养和健身方案，但这始终是基于自由和知情同意，目的是恢复整体健康和福祉。</w:t>
      </w:r>
    </w:p>
    <w:p w14:paraId="29861DAC"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104.</w:t>
      </w:r>
      <w:r>
        <w:rPr>
          <w:rFonts w:hint="eastAsia"/>
        </w:rPr>
        <w:tab/>
      </w:r>
      <w:r>
        <w:rPr>
          <w:rFonts w:hint="eastAsia"/>
        </w:rPr>
        <w:t>缔约国应确保离开收容机构者与其他人平等获得就业机会，并必须禁止保护性或隔离性就业。缔约国应确保在就业方面制定包容性法律和政策框架，消除离开收容机构者面临的障碍。应当为离开收容机构者提供一系列选择，使他们拥有作出决定的时间和支助，以行使其工作和就业权利。</w:t>
      </w:r>
    </w:p>
    <w:p w14:paraId="192D226F"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105.</w:t>
      </w:r>
      <w:r>
        <w:rPr>
          <w:rFonts w:hint="eastAsia"/>
        </w:rPr>
        <w:tab/>
      </w:r>
      <w:r>
        <w:rPr>
          <w:rFonts w:hint="eastAsia"/>
        </w:rPr>
        <w:t>缔约国应认识到，离开收容机构者面临无家可归和陷入贫困的很大风险。应向所有离开收容机构的残疾人提供一揽子强有力的社会保障，以满足近期和中期的重新安置需要。还应在整个生命周期提供长期经济和社会支助。缔约国应确保残疾人和残疾儿童的家庭能够与其他人平等获得现有社会保障措施，例如子女抚养费、失业福利、租金补贴、食品券、养恤金、公共卫生计划、公共交通补贴和税收优待。接受社会保障不应与待遇条件、监护或与就业有关的资格标准挂钩。与残疾人有关的社会保障计划应包括为与残疾有关的费用提供资金。</w:t>
      </w:r>
    </w:p>
    <w:p w14:paraId="738EB2B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lastRenderedPageBreak/>
        <w:t>106.</w:t>
      </w:r>
      <w:r>
        <w:rPr>
          <w:rFonts w:hint="eastAsia"/>
        </w:rPr>
        <w:tab/>
      </w:r>
      <w:r>
        <w:rPr>
          <w:rFonts w:hint="eastAsia"/>
        </w:rPr>
        <w:t>离开收容机构者应在不受歧视的情况下获得包容性教育，包括有机会参与终身学习、完成学业和做学徒或接受高等教育，以促进其社会和经济赋权，防止遭到隔离和收容。缔约国应确保离开收容机构的残疾人</w:t>
      </w:r>
      <w:r>
        <w:rPr>
          <w:rFonts w:hint="eastAsia"/>
        </w:rPr>
        <w:t>(</w:t>
      </w:r>
      <w:r>
        <w:rPr>
          <w:rFonts w:hint="eastAsia"/>
        </w:rPr>
        <w:t>包括儿童</w:t>
      </w:r>
      <w:r>
        <w:rPr>
          <w:rFonts w:hint="eastAsia"/>
        </w:rPr>
        <w:t>)</w:t>
      </w:r>
      <w:r>
        <w:rPr>
          <w:rFonts w:hint="eastAsia"/>
        </w:rPr>
        <w:t>能够以无障碍格式获得信息，了解继续接受或完成教育的机会，并能够按照自己的意愿和喜好继续学习。</w:t>
      </w:r>
    </w:p>
    <w:p w14:paraId="446B381A" w14:textId="41A0BEA7"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八</w:t>
      </w:r>
      <w:r w:rsidR="00291A31">
        <w:rPr>
          <w:rFonts w:hint="eastAsia"/>
        </w:rPr>
        <w:t>.</w:t>
      </w:r>
      <w:r w:rsidR="00291A31">
        <w:rPr>
          <w:rFonts w:hint="eastAsia"/>
        </w:rPr>
        <w:tab/>
      </w:r>
      <w:r w:rsidR="00291A31">
        <w:rPr>
          <w:rFonts w:hint="eastAsia"/>
        </w:rPr>
        <w:t>在危险局势和人道主义紧急情况下</w:t>
      </w:r>
      <w:r w:rsidR="00291A31">
        <w:rPr>
          <w:rFonts w:hint="eastAsia"/>
        </w:rPr>
        <w:t>(</w:t>
      </w:r>
      <w:r w:rsidR="00291A31">
        <w:rPr>
          <w:rFonts w:hint="eastAsia"/>
        </w:rPr>
        <w:t>包括在冲突中</w:t>
      </w:r>
      <w:r w:rsidR="00291A31">
        <w:rPr>
          <w:rFonts w:hint="eastAsia"/>
        </w:rPr>
        <w:t>)</w:t>
      </w:r>
      <w:r w:rsidR="00291A31">
        <w:rPr>
          <w:rFonts w:hint="eastAsia"/>
        </w:rPr>
        <w:t>紧急解除收容</w:t>
      </w:r>
    </w:p>
    <w:p w14:paraId="60540FA4"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107.</w:t>
      </w:r>
      <w:r>
        <w:rPr>
          <w:rFonts w:hint="eastAsia"/>
        </w:rPr>
        <w:tab/>
      </w:r>
      <w:r>
        <w:rPr>
          <w:rFonts w:hint="eastAsia"/>
        </w:rPr>
        <w:t>在发生大流行病、自然灾害或冲突等紧急情况时，缔约国应继续并加快努力关闭收容机构。缔约国还应认识到，气候变化对残疾人、特别是收容机构中的残疾人造成不成比例的影响。在紧急情况下，必须立即努力查明收容机构中的残疾人，并查明境内流离失所的残疾人、无人陪伴和失散的残疾儿童以及残疾难民，以防止他们被收容。需要作出有针对性的努力，以确保在疏散、人道主义救济和恢复措施中做到包容以及在风险和紧急情况下提供完全无障碍环境。应急和恢复资金不应支助继续进行收容。相反，应将加速解除收容计划纳入恢复工作和国家解除收容战略，并在紧急情况下立即执行这些计划。</w:t>
      </w:r>
    </w:p>
    <w:p w14:paraId="13E8EA63"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108.</w:t>
      </w:r>
      <w:r>
        <w:rPr>
          <w:rFonts w:hint="eastAsia"/>
        </w:rPr>
        <w:tab/>
      </w:r>
      <w:r>
        <w:rPr>
          <w:rFonts w:hint="eastAsia"/>
        </w:rPr>
        <w:t>虽然紧急情况需要对残疾人采取额外的预防措施，但这种预防措施不应要求对解除收容的当前行动计划或长期计划作出改变。即使在紧急情况下，缔约国也应维持国际商定最低核心标准，防止在分流规程中存在隔绝、虐待、基于残疾的歧视和偏见，并避免可预防的伤害、疾病和死亡。应禁止基于残疾的留置和维护法律能力权利，包括在紧急情况下。缔约国应确保向残疾人提供符合人权的支助服务，并应适用机构间常设委员会《关于将残疾人纳入人道主义行动的准则》。根据这些准则，在所有方案和行动中，必须确保在危险局势和人道主义紧急情况下不歧视，必须让残疾儿童参与寻亲和家庭团聚方面的所有努力。</w:t>
      </w:r>
    </w:p>
    <w:p w14:paraId="69748957"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109.</w:t>
      </w:r>
      <w:r>
        <w:rPr>
          <w:rFonts w:hint="eastAsia"/>
        </w:rPr>
        <w:tab/>
      </w:r>
      <w:r>
        <w:rPr>
          <w:rFonts w:hint="eastAsia"/>
        </w:rPr>
        <w:t>缔约国在紧急情况下继续和加快解除收容的计划，应借鉴残疾人及其代表组织、特别是收容幸存者组织的意见和建议。缔约国和其他利益攸关方，包括人道主义行为体，应确保旨在社区内包容残疾复原力的措施必须要有残疾人组织的积极参与和协调以及必须与其进行有意义的协商，包括代表残疾成人和儿童以及仍在被收容者的各级组织。这些组织应参与制定、执行、监测和评价应急、救济和恢复方案和政策。</w:t>
      </w:r>
    </w:p>
    <w:p w14:paraId="36C5C35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110.</w:t>
      </w:r>
      <w:r>
        <w:rPr>
          <w:rFonts w:hint="eastAsia"/>
        </w:rPr>
        <w:tab/>
      </w:r>
      <w:r>
        <w:rPr>
          <w:rFonts w:hint="eastAsia"/>
        </w:rPr>
        <w:t>在紧急情况下，健康风险最高的残疾人应优先接受解除收容。</w:t>
      </w:r>
    </w:p>
    <w:p w14:paraId="5BE3E0A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111.</w:t>
      </w:r>
      <w:r>
        <w:rPr>
          <w:rFonts w:hint="eastAsia"/>
        </w:rPr>
        <w:tab/>
      </w:r>
      <w:r>
        <w:rPr>
          <w:rFonts w:hint="eastAsia"/>
        </w:rPr>
        <w:t>与其他妇女和女童相比，处于危险局势和人道主义紧急情况的残疾妇女和女童遭受性暴力和性别暴力的风险更大，获得恢复和康复服务以及诉诸司法的可能性更小。她们面临遭受基于性别、多重和交叉形式的歧视和收容的风险。缔约国应确保在与应急准备、应对和恢复有关的立法、政策和方案中，对残疾包容采取一种交叉办法。这包括但不限于优先获得包容残疾的救济方案、医疗保健服务、性健康和生殖健康服务、适应训练和康复、辅助器具、个人援助、住房、就业和社区服务。</w:t>
      </w:r>
    </w:p>
    <w:p w14:paraId="502E7721" w14:textId="77777777" w:rsidR="00291A31" w:rsidRPr="00577AC2"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rPr>
          <w:spacing w:val="-2"/>
        </w:rPr>
      </w:pPr>
      <w:r>
        <w:rPr>
          <w:rFonts w:hint="eastAsia"/>
        </w:rPr>
        <w:lastRenderedPageBreak/>
        <w:t>112.</w:t>
      </w:r>
      <w:r>
        <w:rPr>
          <w:rFonts w:hint="eastAsia"/>
        </w:rPr>
        <w:tab/>
      </w:r>
      <w:r w:rsidRPr="00577AC2">
        <w:rPr>
          <w:rFonts w:hint="eastAsia"/>
          <w:spacing w:val="-2"/>
        </w:rPr>
        <w:t>应将《公约》的原则纳入应急准备、应对和恢复工作，并对明确的时限、充足资源、预算拨款、训练有素的工作人员和明确的责任作出规定。国家应急方案应纳入解除收容，这包括但不限于疏散和提供无障碍信息和通信求助热线。缔约国应确保人道主义援助以无障碍和不歧视方式分发，并确保难民、寻求庇护者和境内流离失所者紧急收容所和营地的水、环境卫生和个人卫生设施对残疾人无障碍。国家恢复战略应包括防范性剥削、性侵害和性骚扰以及确保性别平等的措施。</w:t>
      </w:r>
    </w:p>
    <w:p w14:paraId="219D0E9F"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113.</w:t>
      </w:r>
      <w:r>
        <w:rPr>
          <w:rFonts w:hint="eastAsia"/>
        </w:rPr>
        <w:tab/>
      </w:r>
      <w:r>
        <w:rPr>
          <w:rFonts w:hint="eastAsia"/>
        </w:rPr>
        <w:t>缔约国应确保在紧急情况后不重建收容机构或重新安置人员。缔约国应提供充足的财政和人力资源，确保残疾人在应对和恢复过程中不被落在后面；此类措施可包括将资金从收容机构转到社区支助和服务。在紧急情况发生后或冲突平息后，不应将难民和国内流离失所者送回收容机构。缔约国应确保残疾难民能够获得所需的社会援助、主流服务和合理便利。</w:t>
      </w:r>
    </w:p>
    <w:p w14:paraId="2146B73D"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114.</w:t>
      </w:r>
      <w:r>
        <w:rPr>
          <w:rFonts w:hint="eastAsia"/>
        </w:rPr>
        <w:tab/>
      </w:r>
      <w:r>
        <w:rPr>
          <w:rFonts w:hint="eastAsia"/>
        </w:rPr>
        <w:t>在应急准备和紧急情况期间，缔约国应确保使用和收集分类数据。减少灾害风险需要在按性别、年龄和残疾分列数据的公开交流和传播以及在关于残疾人在整个人道主义方案周期所需支助的已有信息的基础上，采取多种危害办法并作出包容、基于风险的决策。关于那些生活在收容机构中和</w:t>
      </w:r>
      <w:r>
        <w:rPr>
          <w:rFonts w:hint="eastAsia"/>
        </w:rPr>
        <w:t>/</w:t>
      </w:r>
      <w:r>
        <w:rPr>
          <w:rFonts w:hint="eastAsia"/>
        </w:rPr>
        <w:t>或正处于解除收容进程的人，也需要同样的数据和信息。</w:t>
      </w:r>
    </w:p>
    <w:p w14:paraId="30F071F5" w14:textId="67F82082"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九</w:t>
      </w:r>
      <w:r w:rsidR="00291A31">
        <w:rPr>
          <w:rFonts w:hint="eastAsia"/>
        </w:rPr>
        <w:t>.</w:t>
      </w:r>
      <w:r w:rsidR="00291A31">
        <w:rPr>
          <w:rFonts w:hint="eastAsia"/>
        </w:rPr>
        <w:tab/>
      </w:r>
      <w:r w:rsidR="00291A31">
        <w:rPr>
          <w:rFonts w:hint="eastAsia"/>
        </w:rPr>
        <w:t>补救、赔偿和救济</w:t>
      </w:r>
    </w:p>
    <w:p w14:paraId="135092D5"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115.</w:t>
      </w:r>
      <w:r>
        <w:rPr>
          <w:rFonts w:hint="eastAsia"/>
        </w:rPr>
        <w:tab/>
      </w:r>
      <w:r>
        <w:rPr>
          <w:rFonts w:hint="eastAsia"/>
        </w:rPr>
        <w:t>缔约国应认识到，各种形式的收容都是对《公约》所载权利的多重侵犯。加重因素可能包括拒绝给予有效补救、停留时间过长、进行强制医疗干预或其他暴力或侵害以及不人道和有辱人格的条件。</w:t>
      </w:r>
    </w:p>
    <w:p w14:paraId="151DAC2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116.</w:t>
      </w:r>
      <w:r>
        <w:rPr>
          <w:rFonts w:hint="eastAsia"/>
        </w:rPr>
        <w:tab/>
      </w:r>
      <w:r>
        <w:rPr>
          <w:rFonts w:hint="eastAsia"/>
        </w:rPr>
        <w:t>缔约国应承诺根据其国际义务，特别是根据《公约》、《残疾人诉诸司法的国际原则和准则》、委员会关于残疾人自由和安全权的准则、《联合国与任何被剥夺自由者向法院提起诉讼的权利有关的补救措施和程序的基本原则和准则》和《严重违反国际人权法和严重违反国际人道主义法行为受害人获得补救和赔偿的权利基本原则和导则》，查明和纠正收容及其带来的伤害。</w:t>
      </w:r>
    </w:p>
    <w:p w14:paraId="2E62258B"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117.</w:t>
      </w:r>
      <w:r>
        <w:rPr>
          <w:rFonts w:hint="eastAsia"/>
        </w:rPr>
        <w:tab/>
      </w:r>
      <w:r>
        <w:rPr>
          <w:rFonts w:hint="eastAsia"/>
        </w:rPr>
        <w:t>缔约国应建立一种机制，用以查明各种形式的收容所造成的损害的性质和范围以及提高这方面的认识，并建议修改法律和政策。缔约国应当为希望寻求补救、赔偿和恢复性司法以及其他形式追责的残疾人提供个人化、无障碍、有效、迅速和具有参与性的诉诸司法途径。与收容有牵连的主管部门和专家不应在建立或实施补救和赔偿机制方面发挥作用，而应被要求接受问责。</w:t>
      </w:r>
    </w:p>
    <w:p w14:paraId="06470304"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118.</w:t>
      </w:r>
      <w:r>
        <w:rPr>
          <w:rFonts w:hint="eastAsia"/>
        </w:rPr>
        <w:tab/>
      </w:r>
      <w:r>
        <w:rPr>
          <w:rFonts w:hint="eastAsia"/>
        </w:rPr>
        <w:t>补救机制应承认收容残疾人所造成的一切形式的侵犯人权行为。补救和赔偿应针对所遭受的侵权行为以及收容期间和收容后对个人生活的影响，包括持续、间接和交叉伤害。</w:t>
      </w:r>
    </w:p>
    <w:p w14:paraId="6D4B68CC"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119.</w:t>
      </w:r>
      <w:r>
        <w:rPr>
          <w:rFonts w:hint="eastAsia"/>
        </w:rPr>
        <w:tab/>
      </w:r>
      <w:r>
        <w:rPr>
          <w:rFonts w:hint="eastAsia"/>
        </w:rPr>
        <w:t>缔约国应与所有代表曾经历收容的残疾人的团体谈判，建立一个向收容幸存者正式道歉的机制，并规定制定进一步教育、历史和其他文化措施，以提高幸存者在整个社会中的地位。缔约国应向收容幸存者提供自动补偿，数额足以补偿</w:t>
      </w:r>
      <w:r>
        <w:rPr>
          <w:rFonts w:hint="eastAsia"/>
        </w:rPr>
        <w:lastRenderedPageBreak/>
        <w:t>因收容而遭受的痛苦和间接损害。这种经济赔偿不能损害个人提起诉讼或诉诸其他形式司法的合法权利。</w:t>
      </w:r>
    </w:p>
    <w:p w14:paraId="01004ABB"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120.</w:t>
      </w:r>
      <w:r>
        <w:rPr>
          <w:rFonts w:hint="eastAsia"/>
        </w:rPr>
        <w:tab/>
      </w:r>
      <w:r>
        <w:rPr>
          <w:rFonts w:hint="eastAsia"/>
        </w:rPr>
        <w:t>赔偿不应仅限于经济赔偿，而应包括复原、适应训练和康复——其中可包括《公约》第二十六条所述的措施，以及为协助在社区中立足以及保障所有权利和应享待遇所提供的法律和社会服务，包括修复收容所造成损害的医疗保健服务和治疗方式——同时应附有不重犯的保证。缔约国应进行立法，将基于残疾的留置、收容和其他导致与残疾有关的酷刑和虐待的行为定为刑事犯罪。恢复原状、适应训练和康复应根据个人的需要及其所遭受的损失或被剥夺权利的情况而定，并应满足他们当前和长期的愿望和期望，</w:t>
      </w:r>
      <w:r w:rsidRPr="00577AC2">
        <w:rPr>
          <w:rFonts w:hint="eastAsia"/>
          <w:spacing w:val="-2"/>
        </w:rPr>
        <w:t>例如与其子女或原生家庭重新建立关系，</w:t>
      </w:r>
      <w:r>
        <w:rPr>
          <w:rFonts w:hint="eastAsia"/>
        </w:rPr>
        <w:t>或取回任何可以找到的财产。</w:t>
      </w:r>
    </w:p>
    <w:p w14:paraId="033F9BB7"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121.</w:t>
      </w:r>
      <w:r>
        <w:rPr>
          <w:rFonts w:hint="eastAsia"/>
        </w:rPr>
        <w:tab/>
      </w:r>
      <w:r>
        <w:rPr>
          <w:rFonts w:hint="eastAsia"/>
        </w:rPr>
        <w:t>应设立真相委员会，调查各种形式的收容以及对过去和现在的幸存者造成的全面伤害并促进公众的认识，还应消除历史上维持残疾人收容制度的政策本身所造成的社会危害。</w:t>
      </w:r>
    </w:p>
    <w:p w14:paraId="3A455C4D"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122.</w:t>
      </w:r>
      <w:r>
        <w:rPr>
          <w:rFonts w:hint="eastAsia"/>
        </w:rPr>
        <w:tab/>
      </w:r>
      <w:r>
        <w:rPr>
          <w:rFonts w:hint="eastAsia"/>
        </w:rPr>
        <w:t>在制定和落实所有对收容幸存者的补救措施时，都应与残疾人、特别是收容幸存者协商并让他们参与。缔约国应确保补救和赔偿机制和程序尊重收容幸存者的意愿和偏好，确保行为人在此类机制或程序中不拥有权威职位或专家地位，也不让他们提供适应训练、康复或其他服务。</w:t>
      </w:r>
    </w:p>
    <w:p w14:paraId="11F2CA61"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123.</w:t>
      </w:r>
      <w:r>
        <w:rPr>
          <w:rFonts w:hint="eastAsia"/>
        </w:rPr>
        <w:tab/>
      </w:r>
      <w:r>
        <w:rPr>
          <w:rFonts w:hint="eastAsia"/>
        </w:rPr>
        <w:t>上述规定均不减损缔约国在根据相关国内立法和国际人权法调查和起诉对残疾人实施暴力和侵害的行为人方面承担的义务。缔约国必须防止对收容幸存者的打击报复。</w:t>
      </w:r>
    </w:p>
    <w:p w14:paraId="2A4AB2A6" w14:textId="039A2A96"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十</w:t>
      </w:r>
      <w:r w:rsidR="00291A31">
        <w:rPr>
          <w:rFonts w:hint="eastAsia"/>
        </w:rPr>
        <w:t>.</w:t>
      </w:r>
      <w:r w:rsidR="00291A31">
        <w:rPr>
          <w:rFonts w:hint="eastAsia"/>
        </w:rPr>
        <w:tab/>
      </w:r>
      <w:r w:rsidR="00291A31">
        <w:rPr>
          <w:rFonts w:hint="eastAsia"/>
        </w:rPr>
        <w:t>分列数据</w:t>
      </w:r>
    </w:p>
    <w:p w14:paraId="0EB441C1"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124.</w:t>
      </w:r>
      <w:r>
        <w:rPr>
          <w:rFonts w:hint="eastAsia"/>
        </w:rPr>
        <w:tab/>
      </w:r>
      <w:r>
        <w:rPr>
          <w:rFonts w:hint="eastAsia"/>
        </w:rPr>
        <w:t>缔约国应以适当、符合伦理道德的方式收集统计、研究和行政方面的分类数据，并利用这些数据为决策提供参考借鉴。数据的这种使用可加强解除收容进程，促进解除收容政策、计划和方案的设计，并有助于衡量和跟踪解除收容的进展。所收集的统计数字和数据应涵盖所有形式的公共、私营和信仰机构。缔约国可参考华盛顿小组关于残疾问题的简短问题集，并应作出其他努力，以确保不排除任何群体。缔约国应实施《官方统计基本原则》，确保数据收集符合参与、自我识别、分类、隐私、透明度和问责等既定标准。</w:t>
      </w:r>
    </w:p>
    <w:p w14:paraId="344B4C7A" w14:textId="77777777" w:rsidR="00291A31" w:rsidRPr="00300DB9"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rPr>
          <w:spacing w:val="-2"/>
        </w:rPr>
      </w:pPr>
      <w:r>
        <w:rPr>
          <w:rFonts w:hint="eastAsia"/>
        </w:rPr>
        <w:t>125.</w:t>
      </w:r>
      <w:r>
        <w:rPr>
          <w:rFonts w:hint="eastAsia"/>
        </w:rPr>
        <w:tab/>
      </w:r>
      <w:r w:rsidRPr="00300DB9">
        <w:rPr>
          <w:rFonts w:hint="eastAsia"/>
          <w:spacing w:val="-2"/>
        </w:rPr>
        <w:t>缔约国应当促进残疾人及其代表组织对相关数据收集进程和工作的参与，例如提出数据收集的优先事项、确定残疾人身份以及提供关于其境况和需求的信息。</w:t>
      </w:r>
    </w:p>
    <w:p w14:paraId="47C1A31C" w14:textId="77777777" w:rsidR="00291A31" w:rsidRPr="00300DB9"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rPr>
          <w:spacing w:val="-2"/>
        </w:rPr>
      </w:pPr>
      <w:r>
        <w:rPr>
          <w:rFonts w:hint="eastAsia"/>
        </w:rPr>
        <w:t>126.</w:t>
      </w:r>
      <w:r>
        <w:rPr>
          <w:rFonts w:hint="eastAsia"/>
        </w:rPr>
        <w:tab/>
      </w:r>
      <w:r w:rsidRPr="00300DB9">
        <w:rPr>
          <w:rFonts w:hint="eastAsia"/>
          <w:spacing w:val="-2"/>
        </w:rPr>
        <w:t>缔约国收集的数据应按种族、族裔、年龄、社会性别、性别、性取向、社会经济地位、残障类型、收容原因、收容日期、预计或实际脱离收容日期和其他属性分列。这包括收集：可靠、可获取和最新的关于精神病或心理健康机构中的人数和人口特征的记录；关于是否已履行允许残疾人离开收容机构的义务的记录；关于已行使离开选择权的人数的记录；关于尚未离开收容机构者的规划的其他信息。</w:t>
      </w:r>
    </w:p>
    <w:p w14:paraId="6A9B4B40"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lastRenderedPageBreak/>
        <w:t>127.</w:t>
      </w:r>
      <w:r>
        <w:rPr>
          <w:rFonts w:hint="eastAsia"/>
        </w:rPr>
        <w:tab/>
      </w:r>
      <w:r>
        <w:rPr>
          <w:rFonts w:hint="eastAsia"/>
        </w:rPr>
        <w:t>缔约国应确保残疾人、民间社会、研究人员和决策者能够查阅以各种无障碍形式收集的关于解除收容的数据，包括在紧急情况下。</w:t>
      </w:r>
    </w:p>
    <w:p w14:paraId="62A2CD89"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128.</w:t>
      </w:r>
      <w:r>
        <w:rPr>
          <w:rFonts w:hint="eastAsia"/>
        </w:rPr>
        <w:tab/>
      </w:r>
      <w:r>
        <w:rPr>
          <w:rFonts w:hint="eastAsia"/>
        </w:rPr>
        <w:t>在收集数据时，缔约国应适用现有法律保障措施</w:t>
      </w:r>
      <w:r>
        <w:rPr>
          <w:rFonts w:hint="eastAsia"/>
        </w:rPr>
        <w:t>(</w:t>
      </w:r>
      <w:r>
        <w:rPr>
          <w:rFonts w:hint="eastAsia"/>
        </w:rPr>
        <w:t>例如数据保护法</w:t>
      </w:r>
      <w:r>
        <w:rPr>
          <w:rFonts w:hint="eastAsia"/>
        </w:rPr>
        <w:t>)</w:t>
      </w:r>
      <w:r>
        <w:rPr>
          <w:rFonts w:hint="eastAsia"/>
        </w:rPr>
        <w:t>，并充分尊重个人数据隐私权。现行法律往往不尊重残疾人的法律能力，侵犯了他们的隐私权，破坏了人权监测和倡导工作，因此应予以修正。应使数据保护法符合关于数据隐私的国际标准，但须遵守《公约》。</w:t>
      </w:r>
    </w:p>
    <w:p w14:paraId="1AB3E134" w14:textId="0FD84C80"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十一</w:t>
      </w:r>
      <w:r w:rsidR="00291A31">
        <w:rPr>
          <w:rFonts w:hint="eastAsia"/>
        </w:rPr>
        <w:t>.</w:t>
      </w:r>
      <w:r w:rsidR="00291A31">
        <w:rPr>
          <w:rFonts w:hint="eastAsia"/>
        </w:rPr>
        <w:tab/>
      </w:r>
      <w:r w:rsidR="00291A31">
        <w:rPr>
          <w:rFonts w:hint="eastAsia"/>
        </w:rPr>
        <w:t>监测解除收容进程</w:t>
      </w:r>
    </w:p>
    <w:p w14:paraId="01D358F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129.</w:t>
      </w:r>
      <w:r>
        <w:rPr>
          <w:rFonts w:hint="eastAsia"/>
        </w:rPr>
        <w:tab/>
      </w:r>
      <w:r>
        <w:rPr>
          <w:rFonts w:hint="eastAsia"/>
        </w:rPr>
        <w:t>监测机制应在解除收容进程的所有阶段确保问责、透明以及保护和促进残疾人的人权。这些机制应根据独立监测框架的准则及其对委员会工作的参与，查明、预防和补救侵犯人权行为，就最佳做法提出建议，并根据任务授权履行《公约》第三十三条规定的全部义务。</w:t>
      </w:r>
    </w:p>
    <w:p w14:paraId="2408C3BD"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130.</w:t>
      </w:r>
      <w:r>
        <w:rPr>
          <w:rFonts w:hint="eastAsia"/>
        </w:rPr>
        <w:tab/>
      </w:r>
      <w:r>
        <w:rPr>
          <w:rFonts w:hint="eastAsia"/>
        </w:rPr>
        <w:t>监测机制应遵守人权监测的既定原则，包括确保残疾人、特别是仍被收容的残疾人或收容幸存者及其代表组织的切实参与。国家预防机制、国家人权机构和其他监测机制应将收容机构工作人员排除在解除收容进程监测之外。</w:t>
      </w:r>
    </w:p>
    <w:p w14:paraId="7F49F27D"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131.</w:t>
      </w:r>
      <w:r>
        <w:rPr>
          <w:rFonts w:hint="eastAsia"/>
        </w:rPr>
        <w:tab/>
      </w:r>
      <w:r>
        <w:rPr>
          <w:rFonts w:hint="eastAsia"/>
        </w:rPr>
        <w:t>缔约国应确保根据《公约》第三十三条第二款指定的独立监测机制拥有足够资源，并可不受限制地</w:t>
      </w:r>
      <w:r>
        <w:rPr>
          <w:rFonts w:hint="eastAsia"/>
        </w:rPr>
        <w:t>(</w:t>
      </w:r>
      <w:r>
        <w:rPr>
          <w:rFonts w:hint="eastAsia"/>
        </w:rPr>
        <w:t>无论是亲自或以其他方式</w:t>
      </w:r>
      <w:r>
        <w:rPr>
          <w:rFonts w:hint="eastAsia"/>
        </w:rPr>
        <w:t>)</w:t>
      </w:r>
      <w:r>
        <w:rPr>
          <w:rFonts w:hint="eastAsia"/>
        </w:rPr>
        <w:t>接触收容机构、文件和资料。缔约国还应确保促进民间社会和残疾人代表组织所开展的独立监督活动，包括第三十三条第三款规定的活动，并确保消除接触收容机构、文件和信息的障碍。</w:t>
      </w:r>
    </w:p>
    <w:p w14:paraId="52E8AB88"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132.</w:t>
      </w:r>
      <w:r>
        <w:rPr>
          <w:rFonts w:hint="eastAsia"/>
        </w:rPr>
        <w:tab/>
      </w:r>
      <w:r>
        <w:rPr>
          <w:rFonts w:hint="eastAsia"/>
        </w:rPr>
        <w:t>应允许所有监测机制自由地调查公共和私营机构内的条件和侵犯人权行为。这种接触应尊重和保护幸存者的隐私。个人隐私与缔约国不妨碍发表人权报告的义务是一致的。缔约国不得以隐私和保密为由阻碍独立监测。应保护获得、储存和公布关于收容机构条件的信息的能力。关于收容机构条件的照片和视频记录对补充和证实人权监测员的事实调查结果至关重要。</w:t>
      </w:r>
    </w:p>
    <w:p w14:paraId="43095FA4"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133.</w:t>
      </w:r>
      <w:r>
        <w:rPr>
          <w:rFonts w:hint="eastAsia"/>
        </w:rPr>
        <w:tab/>
      </w:r>
      <w:r>
        <w:rPr>
          <w:rFonts w:hint="eastAsia"/>
        </w:rPr>
        <w:t>缔约国应及时有效地处理侵犯人权行为，包括通过独立监测查明的侵犯人权行为。</w:t>
      </w:r>
    </w:p>
    <w:p w14:paraId="59A6EB3F"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134.</w:t>
      </w:r>
      <w:r>
        <w:rPr>
          <w:rFonts w:hint="eastAsia"/>
        </w:rPr>
        <w:tab/>
      </w:r>
      <w:r>
        <w:rPr>
          <w:rFonts w:hint="eastAsia"/>
        </w:rPr>
        <w:t>缔约国应不加限制地尊重和便利公共和私营收容机构的幸存者所提出的索取个人数据的要求。缔约国不应以公共卫生或公共秩序为理由限制或不准查阅医疗记录。</w:t>
      </w:r>
    </w:p>
    <w:p w14:paraId="739BB377"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135.</w:t>
      </w:r>
      <w:r>
        <w:rPr>
          <w:rFonts w:hint="eastAsia"/>
        </w:rPr>
        <w:tab/>
      </w:r>
      <w:r>
        <w:rPr>
          <w:rFonts w:hint="eastAsia"/>
        </w:rPr>
        <w:t>残疾人离开收容机构后，应根据本人意愿和偏好，将其档案移交给当事人和</w:t>
      </w:r>
      <w:r>
        <w:rPr>
          <w:rFonts w:hint="eastAsia"/>
        </w:rPr>
        <w:t>/</w:t>
      </w:r>
      <w:r>
        <w:rPr>
          <w:rFonts w:hint="eastAsia"/>
        </w:rPr>
        <w:t>或予以删除。应尊重幸存者对披露的选择，应立即废除允许缔约国、执法机构、卫生专业人员和其他人查阅记录的法律规定。</w:t>
      </w:r>
    </w:p>
    <w:p w14:paraId="3740C56E" w14:textId="77777777" w:rsidR="00291A31" w:rsidRDefault="00291A31" w:rsidP="00300DB9">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136.</w:t>
      </w:r>
      <w:r>
        <w:rPr>
          <w:rFonts w:hint="eastAsia"/>
        </w:rPr>
        <w:tab/>
      </w:r>
      <w:r>
        <w:rPr>
          <w:rFonts w:hint="eastAsia"/>
        </w:rPr>
        <w:t>缔约国应允许在紧急情况下继续进行监测，确保最大限度地减轻风险。在无法由人员亲自监测的情况下，缔约国应将现有资源用于采用替代办法，如数字、电子或其他远程通信方式，以确保进行有效的独立监测。</w:t>
      </w:r>
    </w:p>
    <w:p w14:paraId="4AE2E7B3"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lastRenderedPageBreak/>
        <w:t>137.</w:t>
      </w:r>
      <w:r>
        <w:rPr>
          <w:rFonts w:hint="eastAsia"/>
        </w:rPr>
        <w:tab/>
      </w:r>
      <w:r>
        <w:rPr>
          <w:rFonts w:hint="eastAsia"/>
        </w:rPr>
        <w:t>对寄宿机构的独立监测应继续进行，直到所有收容机构关闭，而且在紧急情况下也不应暂停。根据《公约》第十六条和第三十三条第三款，应让残疾人</w:t>
      </w:r>
      <w:r>
        <w:rPr>
          <w:rFonts w:hint="eastAsia"/>
        </w:rPr>
        <w:t>(</w:t>
      </w:r>
      <w:r>
        <w:rPr>
          <w:rFonts w:hint="eastAsia"/>
        </w:rPr>
        <w:t>特别是收容幸存者并包括残疾儿童</w:t>
      </w:r>
      <w:r>
        <w:rPr>
          <w:rFonts w:hint="eastAsia"/>
        </w:rPr>
        <w:t>)</w:t>
      </w:r>
      <w:r>
        <w:rPr>
          <w:rFonts w:hint="eastAsia"/>
        </w:rPr>
        <w:t>、他们的代表组织和独立民间社会组织参与独立监测。</w:t>
      </w:r>
    </w:p>
    <w:p w14:paraId="7DDF9697" w14:textId="6BB716BC" w:rsidR="00291A31" w:rsidRDefault="00B07064" w:rsidP="00B070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291A31">
        <w:rPr>
          <w:rFonts w:hint="eastAsia"/>
        </w:rPr>
        <w:t>十二</w:t>
      </w:r>
      <w:r w:rsidR="00291A31">
        <w:rPr>
          <w:rFonts w:hint="eastAsia"/>
        </w:rPr>
        <w:t>.</w:t>
      </w:r>
      <w:r w:rsidR="00291A31">
        <w:rPr>
          <w:rFonts w:hint="eastAsia"/>
        </w:rPr>
        <w:tab/>
      </w:r>
      <w:r w:rsidR="00291A31">
        <w:rPr>
          <w:rFonts w:hint="eastAsia"/>
        </w:rPr>
        <w:t>国际合作</w:t>
      </w:r>
    </w:p>
    <w:p w14:paraId="05A11386"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138.</w:t>
      </w:r>
      <w:r>
        <w:rPr>
          <w:rFonts w:hint="eastAsia"/>
        </w:rPr>
        <w:tab/>
      </w:r>
      <w:r>
        <w:rPr>
          <w:rFonts w:hint="eastAsia"/>
        </w:rPr>
        <w:t>国际合作是支持解除收容改革的关键。对收容任何形式的投资，包括应急投资和对较小收容机构的投资，都不符合《公约》，</w:t>
      </w:r>
      <w:proofErr w:type="gramStart"/>
      <w:r>
        <w:rPr>
          <w:rFonts w:hint="eastAsia"/>
        </w:rPr>
        <w:t>也不符合“</w:t>
      </w:r>
      <w:proofErr w:type="gramEnd"/>
      <w:r>
        <w:rPr>
          <w:rFonts w:hint="eastAsia"/>
        </w:rPr>
        <w:t>逐步实现”的原则。</w:t>
      </w:r>
    </w:p>
    <w:p w14:paraId="0F76A81E"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139.</w:t>
      </w:r>
      <w:r>
        <w:rPr>
          <w:rFonts w:hint="eastAsia"/>
        </w:rPr>
        <w:tab/>
      </w:r>
      <w:r>
        <w:rPr>
          <w:rFonts w:hint="eastAsia"/>
        </w:rPr>
        <w:t>应建立透明的国际合作执行程序和独立问责机制，以确保它们不被用来维持或加强收容机构中的隔离或基于残疾的强制性措施。这包括分类数据收集、对所有项目和方案的独立监测和评价以及资助对象的透明度。缔约国和捐助方应建立申诉机制。</w:t>
      </w:r>
    </w:p>
    <w:p w14:paraId="561C2F5C"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140.</w:t>
      </w:r>
      <w:r>
        <w:rPr>
          <w:rFonts w:hint="eastAsia"/>
        </w:rPr>
        <w:tab/>
      </w:r>
      <w:r>
        <w:rPr>
          <w:rFonts w:hint="eastAsia"/>
        </w:rPr>
        <w:t>在设计和实施国际合作所资助的发展项目方面，缔约国应与残疾人及其代表组织建立公开和直接的协商进程。收容机构中的残疾人和收容幸存者应被纳入这一进程。如果民间社会组织对独立生活和融入社区的权利缺乏认识，则应在加强民间社会的名义下通过国际合作支持协商进程。</w:t>
      </w:r>
    </w:p>
    <w:p w14:paraId="1251B990"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141.</w:t>
      </w:r>
      <w:r>
        <w:rPr>
          <w:rFonts w:hint="eastAsia"/>
        </w:rPr>
        <w:tab/>
      </w:r>
      <w:r>
        <w:rPr>
          <w:rFonts w:hint="eastAsia"/>
        </w:rPr>
        <w:t>缔约国应将残疾人权利纳入所有国际合作努力的主流，确保落实《</w:t>
      </w:r>
      <w:r>
        <w:rPr>
          <w:rFonts w:hint="eastAsia"/>
        </w:rPr>
        <w:t>2030</w:t>
      </w:r>
      <w:r>
        <w:rPr>
          <w:rFonts w:hint="eastAsia"/>
        </w:rPr>
        <w:t>年可持续发展议程》的所有措施都有助于解除收容。由于国际合作无法有效地确保长期提供基于社区的支助和服务，缔约国应计划继续开办新设立的服务，完成解除收容进程。</w:t>
      </w:r>
    </w:p>
    <w:p w14:paraId="64487452" w14:textId="77777777" w:rsidR="00291A31" w:rsidRDefault="00291A31" w:rsidP="00B07064">
      <w:pPr>
        <w:pStyle w:val="SingleTxt"/>
        <w:tabs>
          <w:tab w:val="clear" w:pos="1695"/>
          <w:tab w:val="clear" w:pos="2126"/>
          <w:tab w:val="clear" w:pos="2557"/>
          <w:tab w:val="clear" w:pos="2988"/>
          <w:tab w:val="clear" w:pos="3419"/>
          <w:tab w:val="clear" w:pos="3850"/>
          <w:tab w:val="clear" w:pos="4712"/>
          <w:tab w:val="clear" w:pos="5143"/>
          <w:tab w:val="clear" w:pos="5574"/>
          <w:tab w:val="clear" w:pos="6005"/>
          <w:tab w:val="clear" w:pos="6435"/>
          <w:tab w:val="left" w:pos="1886"/>
          <w:tab w:val="left" w:pos="2362"/>
          <w:tab w:val="left" w:pos="2837"/>
          <w:tab w:val="left" w:pos="3326"/>
          <w:tab w:val="left" w:pos="3802"/>
          <w:tab w:val="left" w:pos="4766"/>
          <w:tab w:val="left" w:pos="5242"/>
          <w:tab w:val="left" w:pos="5717"/>
          <w:tab w:val="left" w:pos="6192"/>
        </w:tabs>
        <w:ind w:right="1260"/>
      </w:pPr>
      <w:r>
        <w:rPr>
          <w:rFonts w:hint="eastAsia"/>
        </w:rPr>
        <w:t>142.</w:t>
      </w:r>
      <w:r>
        <w:rPr>
          <w:rFonts w:hint="eastAsia"/>
        </w:rPr>
        <w:tab/>
      </w:r>
      <w:r>
        <w:rPr>
          <w:rFonts w:hint="eastAsia"/>
        </w:rPr>
        <w:t>作为国际合作的一部分，区域组织可以在促进解除收容进程方面发挥重要作用。国家、区域和国际组织的残疾问题协调中心应与残疾人及其代表组织、被收容者和收容幸存者密切合作。区域一体化组织在遵守《公约》方面负有与缔约国相同的责任，并应建立透明和问责机制。</w:t>
      </w:r>
    </w:p>
    <w:p w14:paraId="2BEF864B" w14:textId="7C73C196" w:rsidR="00B31E9D" w:rsidRDefault="00291A31" w:rsidP="00B070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rFonts w:hint="eastAsia"/>
        </w:rPr>
        <w:t>143.</w:t>
      </w:r>
      <w:r w:rsidR="00B07064">
        <w:tab/>
      </w:r>
      <w:r>
        <w:rPr>
          <w:rFonts w:hint="eastAsia"/>
        </w:rPr>
        <w:t>在支持解除收容方面进行国际协调对于防止复制不良做法</w:t>
      </w:r>
      <w:r>
        <w:rPr>
          <w:rFonts w:hint="eastAsia"/>
        </w:rPr>
        <w:t>(</w:t>
      </w:r>
      <w:r>
        <w:rPr>
          <w:rFonts w:hint="eastAsia"/>
        </w:rPr>
        <w:t>例如推广医疗残疾模式和强制性精神卫生法</w:t>
      </w:r>
      <w:r>
        <w:rPr>
          <w:rFonts w:hint="eastAsia"/>
        </w:rPr>
        <w:t>)</w:t>
      </w:r>
      <w:r>
        <w:rPr>
          <w:rFonts w:hint="eastAsia"/>
        </w:rPr>
        <w:t>具有重要意义。缔约国应考虑与残疾人、特别是收容幸存者及其代表组织密切协商，建立一个关于解除收容良好做法的国际平台。缔约国应通过提供适当的旅行指导意见以及提高对《公约》和收容危害的认识，防止外国游客在收容机构中从事志愿活动</w:t>
      </w:r>
      <w:r>
        <w:rPr>
          <w:rFonts w:hint="eastAsia"/>
        </w:rPr>
        <w:t>(</w:t>
      </w:r>
      <w:proofErr w:type="gramStart"/>
      <w:r>
        <w:rPr>
          <w:rFonts w:hint="eastAsia"/>
        </w:rPr>
        <w:t>称为“</w:t>
      </w:r>
      <w:proofErr w:type="gramEnd"/>
      <w:r>
        <w:rPr>
          <w:rFonts w:hint="eastAsia"/>
        </w:rPr>
        <w:t>志愿旅游”</w:t>
      </w:r>
      <w:r>
        <w:rPr>
          <w:rFonts w:hint="eastAsia"/>
        </w:rPr>
        <w:t>)</w:t>
      </w:r>
      <w:r>
        <w:rPr>
          <w:rFonts w:hint="eastAsia"/>
        </w:rPr>
        <w:t>。</w:t>
      </w:r>
    </w:p>
    <w:p w14:paraId="4AE414A2" w14:textId="16472B75" w:rsidR="00291A31" w:rsidRPr="00291A31" w:rsidRDefault="00291A31" w:rsidP="00291A31">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435AF069" wp14:editId="1B17B948">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60F77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291A31" w:rsidRPr="00291A31" w:rsidSect="00291A31">
      <w:type w:val="continuous"/>
      <w:pgSz w:w="12242" w:h="15842"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DFE29" w14:textId="77777777" w:rsidR="007F64A6" w:rsidRDefault="007F64A6">
      <w:r>
        <w:separator/>
      </w:r>
    </w:p>
  </w:endnote>
  <w:endnote w:type="continuationSeparator" w:id="0">
    <w:p w14:paraId="316554CC" w14:textId="77777777" w:rsidR="007F64A6" w:rsidRDefault="007F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
    <w:altName w:val="楷体"/>
    <w:panose1 w:val="02010609060101010101"/>
    <w:charset w:val="86"/>
    <w:family w:val="modern"/>
    <w:pitch w:val="fixed"/>
    <w:sig w:usb0="800002BF" w:usb1="38CF7CFA" w:usb2="00000016" w:usb3="00000000" w:csb0="00040001" w:csb1="00000000"/>
  </w:font>
  <w:font w:name="STZhongsong">
    <w:altName w:val="华文中宋"/>
    <w:panose1 w:val="02010600040101010101"/>
    <w:charset w:val="86"/>
    <w:family w:val="auto"/>
    <w:pitch w:val="variable"/>
    <w:sig w:usb0="00000287" w:usb1="080F0000" w:usb2="00000010" w:usb3="00000000" w:csb0="0004009F" w:csb1="00000000"/>
  </w:font>
  <w:font w:name="KaiTi_GB2312">
    <w:altName w:val="微软雅黑"/>
    <w:panose1 w:val="0201060906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E3609F" w14:paraId="10359D89" w14:textId="77777777" w:rsidTr="00E3609F">
      <w:tc>
        <w:tcPr>
          <w:tcW w:w="4921" w:type="dxa"/>
          <w:shd w:val="clear" w:color="auto" w:fill="auto"/>
        </w:tcPr>
        <w:p w14:paraId="3EAEFAC0" w14:textId="4617A5BD" w:rsidR="00E3609F" w:rsidRPr="00E3609F" w:rsidRDefault="00E3609F" w:rsidP="00E360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028B">
            <w:rPr>
              <w:b w:val="0"/>
              <w:w w:val="103"/>
              <w:sz w:val="14"/>
            </w:rPr>
            <w:t>22-16314</w:t>
          </w:r>
          <w:r>
            <w:rPr>
              <w:b w:val="0"/>
              <w:w w:val="103"/>
              <w:sz w:val="14"/>
            </w:rPr>
            <w:fldChar w:fldCharType="end"/>
          </w:r>
        </w:p>
      </w:tc>
      <w:tc>
        <w:tcPr>
          <w:tcW w:w="4921" w:type="dxa"/>
          <w:shd w:val="clear" w:color="auto" w:fill="auto"/>
        </w:tcPr>
        <w:p w14:paraId="59D66034" w14:textId="52029616" w:rsidR="00E3609F" w:rsidRPr="00E3609F" w:rsidRDefault="00E3609F" w:rsidP="00E3609F">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4D89B6" w14:textId="77777777" w:rsidR="00E3609F" w:rsidRPr="00E3609F" w:rsidRDefault="00E3609F" w:rsidP="00E360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E3609F" w14:paraId="67517C48" w14:textId="77777777" w:rsidTr="00E3609F">
      <w:tc>
        <w:tcPr>
          <w:tcW w:w="4921" w:type="dxa"/>
          <w:shd w:val="clear" w:color="auto" w:fill="auto"/>
        </w:tcPr>
        <w:p w14:paraId="0F890490" w14:textId="58C8C59D" w:rsidR="00E3609F" w:rsidRPr="00E3609F" w:rsidRDefault="00E3609F" w:rsidP="00E3609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1680D3FE" w14:textId="2CEA9597" w:rsidR="00E3609F" w:rsidRPr="00E3609F" w:rsidRDefault="00E3609F" w:rsidP="00E3609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028B">
            <w:rPr>
              <w:b w:val="0"/>
              <w:w w:val="103"/>
              <w:sz w:val="14"/>
            </w:rPr>
            <w:t>22-16314</w:t>
          </w:r>
          <w:r>
            <w:rPr>
              <w:b w:val="0"/>
              <w:w w:val="103"/>
              <w:sz w:val="14"/>
            </w:rPr>
            <w:fldChar w:fldCharType="end"/>
          </w:r>
        </w:p>
      </w:tc>
    </w:tr>
  </w:tbl>
  <w:p w14:paraId="1E87BC25" w14:textId="77777777" w:rsidR="00E3609F" w:rsidRPr="00E3609F" w:rsidRDefault="00E3609F" w:rsidP="00E360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E3609F" w14:paraId="5BA166E2" w14:textId="77777777" w:rsidTr="00E3609F">
      <w:tc>
        <w:tcPr>
          <w:tcW w:w="3744" w:type="dxa"/>
          <w:shd w:val="clear" w:color="auto" w:fill="auto"/>
        </w:tcPr>
        <w:p w14:paraId="54C6E7EC" w14:textId="5651BBA2" w:rsidR="00E3609F" w:rsidRDefault="00E3609F" w:rsidP="00E3609F">
          <w:pPr>
            <w:pStyle w:val="Release"/>
          </w:pPr>
          <w:r>
            <w:rPr>
              <w:noProof/>
            </w:rPr>
            <w:drawing>
              <wp:anchor distT="0" distB="0" distL="114300" distR="114300" simplePos="0" relativeHeight="251658240" behindDoc="0" locked="0" layoutInCell="1" allowOverlap="1" wp14:anchorId="6EAA3108" wp14:editId="430703F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B028B">
              <w:t>22-16314 (C)</w:t>
            </w:r>
          </w:fldSimple>
          <w:r>
            <w:t xml:space="preserve">    231122    2</w:t>
          </w:r>
          <w:r w:rsidR="00A825B6">
            <w:t>9</w:t>
          </w:r>
          <w:r>
            <w:t>1122</w:t>
          </w:r>
        </w:p>
        <w:p w14:paraId="451C8157" w14:textId="3103FBF9" w:rsidR="00E3609F" w:rsidRPr="00E3609F" w:rsidRDefault="00E3609F" w:rsidP="00E3609F">
          <w:pPr>
            <w:spacing w:before="80" w:line="210" w:lineRule="exact"/>
            <w:rPr>
              <w:rFonts w:ascii="Barcode 3 of 9 by request" w:hAnsi="Barcode 3 of 9 by request"/>
              <w:sz w:val="24"/>
            </w:rPr>
          </w:pPr>
        </w:p>
      </w:tc>
      <w:tc>
        <w:tcPr>
          <w:tcW w:w="4921" w:type="dxa"/>
          <w:shd w:val="clear" w:color="auto" w:fill="auto"/>
        </w:tcPr>
        <w:p w14:paraId="719AD319" w14:textId="0111A59A" w:rsidR="00E3609F" w:rsidRDefault="00E3609F" w:rsidP="00E3609F">
          <w:pPr>
            <w:pStyle w:val="Footer"/>
            <w:jc w:val="right"/>
            <w:rPr>
              <w:b w:val="0"/>
              <w:sz w:val="21"/>
            </w:rPr>
          </w:pPr>
          <w:r>
            <w:rPr>
              <w:b w:val="0"/>
              <w:sz w:val="21"/>
            </w:rPr>
            <w:drawing>
              <wp:inline distT="0" distB="0" distL="0" distR="0" wp14:anchorId="1D0AC4C9" wp14:editId="555D612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F7AAED2" w14:textId="77777777" w:rsidR="00E3609F" w:rsidRPr="00E3609F" w:rsidRDefault="00E3609F" w:rsidP="00E3609F">
    <w:pPr>
      <w:pStyle w:val="Footer"/>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E2EED" w14:textId="77777777" w:rsidR="007F64A6" w:rsidRDefault="007F64A6">
      <w:r>
        <w:separator/>
      </w:r>
    </w:p>
  </w:footnote>
  <w:footnote w:type="continuationSeparator" w:id="0">
    <w:p w14:paraId="4D06DD8D" w14:textId="77777777" w:rsidR="007F64A6" w:rsidRDefault="007F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E3609F" w14:paraId="11D6454F" w14:textId="77777777" w:rsidTr="00E3609F">
      <w:trPr>
        <w:trHeight w:hRule="exact" w:val="864"/>
      </w:trPr>
      <w:tc>
        <w:tcPr>
          <w:tcW w:w="4925" w:type="dxa"/>
          <w:shd w:val="clear" w:color="auto" w:fill="auto"/>
          <w:vAlign w:val="bottom"/>
        </w:tcPr>
        <w:p w14:paraId="4B640209" w14:textId="50B8E687" w:rsidR="00E3609F" w:rsidRPr="00E3609F" w:rsidRDefault="00E3609F" w:rsidP="00E3609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B028B">
            <w:rPr>
              <w:b/>
              <w:sz w:val="17"/>
            </w:rPr>
            <w:t>CRPD/C/5</w:t>
          </w:r>
          <w:r>
            <w:rPr>
              <w:b/>
              <w:sz w:val="17"/>
            </w:rPr>
            <w:fldChar w:fldCharType="end"/>
          </w:r>
        </w:p>
      </w:tc>
      <w:tc>
        <w:tcPr>
          <w:tcW w:w="4921" w:type="dxa"/>
          <w:shd w:val="clear" w:color="auto" w:fill="auto"/>
          <w:vAlign w:val="bottom"/>
        </w:tcPr>
        <w:p w14:paraId="56AEFABF" w14:textId="77777777" w:rsidR="00E3609F" w:rsidRDefault="00E3609F" w:rsidP="00E3609F">
          <w:pPr>
            <w:pStyle w:val="Header"/>
          </w:pPr>
        </w:p>
      </w:tc>
    </w:tr>
  </w:tbl>
  <w:p w14:paraId="5EB8DEC0" w14:textId="77777777" w:rsidR="00E3609F" w:rsidRPr="00E3609F" w:rsidRDefault="00E3609F" w:rsidP="00E360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E3609F" w14:paraId="7EC88C03" w14:textId="77777777" w:rsidTr="00E3609F">
      <w:trPr>
        <w:trHeight w:hRule="exact" w:val="864"/>
      </w:trPr>
      <w:tc>
        <w:tcPr>
          <w:tcW w:w="4925" w:type="dxa"/>
          <w:shd w:val="clear" w:color="auto" w:fill="auto"/>
          <w:vAlign w:val="bottom"/>
        </w:tcPr>
        <w:p w14:paraId="17A29FDB" w14:textId="77777777" w:rsidR="00E3609F" w:rsidRDefault="00E3609F" w:rsidP="00E3609F">
          <w:pPr>
            <w:pStyle w:val="Header"/>
          </w:pPr>
        </w:p>
      </w:tc>
      <w:tc>
        <w:tcPr>
          <w:tcW w:w="4921" w:type="dxa"/>
          <w:shd w:val="clear" w:color="auto" w:fill="auto"/>
          <w:vAlign w:val="bottom"/>
        </w:tcPr>
        <w:p w14:paraId="54DB5E96" w14:textId="5B0616B4" w:rsidR="00E3609F" w:rsidRPr="00E3609F" w:rsidRDefault="00E3609F" w:rsidP="00E3609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B028B">
            <w:rPr>
              <w:b/>
              <w:sz w:val="17"/>
            </w:rPr>
            <w:t>CRPD/C/5</w:t>
          </w:r>
          <w:r>
            <w:rPr>
              <w:b/>
              <w:sz w:val="17"/>
            </w:rPr>
            <w:fldChar w:fldCharType="end"/>
          </w:r>
        </w:p>
      </w:tc>
    </w:tr>
  </w:tbl>
  <w:p w14:paraId="271CBF80" w14:textId="77777777" w:rsidR="00E3609F" w:rsidRPr="00E3609F" w:rsidRDefault="00E3609F" w:rsidP="00E360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3609F" w14:paraId="57EE2AF9" w14:textId="77777777" w:rsidTr="00E3609F">
      <w:trPr>
        <w:trHeight w:hRule="exact" w:val="864"/>
      </w:trPr>
      <w:tc>
        <w:tcPr>
          <w:tcW w:w="1267" w:type="dxa"/>
          <w:tcBorders>
            <w:bottom w:val="single" w:sz="4" w:space="0" w:color="auto"/>
          </w:tcBorders>
          <w:shd w:val="clear" w:color="auto" w:fill="auto"/>
          <w:vAlign w:val="bottom"/>
        </w:tcPr>
        <w:p w14:paraId="48975700" w14:textId="77777777" w:rsidR="00E3609F" w:rsidRDefault="00E3609F" w:rsidP="00E3609F">
          <w:pPr>
            <w:pStyle w:val="Header"/>
            <w:spacing w:after="120"/>
          </w:pPr>
        </w:p>
      </w:tc>
      <w:tc>
        <w:tcPr>
          <w:tcW w:w="1872" w:type="dxa"/>
          <w:tcBorders>
            <w:bottom w:val="single" w:sz="4" w:space="0" w:color="auto"/>
          </w:tcBorders>
          <w:shd w:val="clear" w:color="auto" w:fill="auto"/>
          <w:vAlign w:val="bottom"/>
        </w:tcPr>
        <w:p w14:paraId="70F17360" w14:textId="2A8943A5" w:rsidR="00E3609F" w:rsidRPr="00E3609F" w:rsidRDefault="00E3609F" w:rsidP="00E3609F">
          <w:pPr>
            <w:pStyle w:val="HCh"/>
            <w:spacing w:after="80"/>
            <w:ind w:right="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14:paraId="79E42042" w14:textId="77777777" w:rsidR="00E3609F" w:rsidRDefault="00E3609F" w:rsidP="00E3609F">
          <w:pPr>
            <w:pStyle w:val="Header"/>
            <w:spacing w:after="120"/>
          </w:pPr>
        </w:p>
      </w:tc>
      <w:tc>
        <w:tcPr>
          <w:tcW w:w="6437" w:type="dxa"/>
          <w:gridSpan w:val="3"/>
          <w:tcBorders>
            <w:bottom w:val="single" w:sz="4" w:space="0" w:color="auto"/>
          </w:tcBorders>
          <w:shd w:val="clear" w:color="auto" w:fill="auto"/>
          <w:vAlign w:val="bottom"/>
        </w:tcPr>
        <w:p w14:paraId="3FB683E1" w14:textId="401FE309" w:rsidR="00E3609F" w:rsidRPr="00E3609F" w:rsidRDefault="00E3609F" w:rsidP="00E3609F">
          <w:pPr>
            <w:spacing w:after="80" w:line="240" w:lineRule="auto"/>
            <w:jc w:val="right"/>
            <w:rPr>
              <w:position w:val="-4"/>
            </w:rPr>
          </w:pPr>
          <w:r>
            <w:rPr>
              <w:position w:val="-4"/>
              <w:sz w:val="40"/>
            </w:rPr>
            <w:t>CRPD</w:t>
          </w:r>
          <w:r>
            <w:rPr>
              <w:position w:val="-4"/>
            </w:rPr>
            <w:t>/C/5</w:t>
          </w:r>
        </w:p>
      </w:tc>
    </w:tr>
    <w:tr w:rsidR="00E3609F" w:rsidRPr="00E3609F" w14:paraId="60049306" w14:textId="77777777" w:rsidTr="00E3609F">
      <w:trPr>
        <w:trHeight w:hRule="exact" w:val="2880"/>
      </w:trPr>
      <w:tc>
        <w:tcPr>
          <w:tcW w:w="1267" w:type="dxa"/>
          <w:tcBorders>
            <w:top w:val="single" w:sz="4" w:space="0" w:color="auto"/>
            <w:bottom w:val="single" w:sz="12" w:space="0" w:color="auto"/>
          </w:tcBorders>
          <w:shd w:val="clear" w:color="auto" w:fill="auto"/>
        </w:tcPr>
        <w:p w14:paraId="66F3834C" w14:textId="384100C9" w:rsidR="00E3609F" w:rsidRPr="00E3609F" w:rsidRDefault="00E3609F" w:rsidP="00E3609F">
          <w:pPr>
            <w:pStyle w:val="Header"/>
            <w:spacing w:before="109"/>
            <w:ind w:left="-72"/>
          </w:pPr>
          <w:r>
            <w:t xml:space="preserve"> </w:t>
          </w:r>
          <w:r>
            <w:drawing>
              <wp:inline distT="0" distB="0" distL="0" distR="0" wp14:anchorId="30C7F2F1" wp14:editId="5668722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DCC255" w14:textId="77777777" w:rsidR="00E3609F" w:rsidRDefault="00E3609F" w:rsidP="00E3609F">
          <w:pPr>
            <w:pStyle w:val="XLarge"/>
            <w:spacing w:before="109" w:after="140" w:line="440" w:lineRule="exact"/>
            <w:ind w:left="0" w:firstLine="0"/>
            <w:rPr>
              <w:sz w:val="38"/>
            </w:rPr>
          </w:pPr>
          <w:r>
            <w:rPr>
              <w:rFonts w:hint="eastAsia"/>
              <w:sz w:val="38"/>
            </w:rPr>
            <w:t>残疾人权利公约</w:t>
          </w:r>
        </w:p>
        <w:p w14:paraId="55AC008F" w14:textId="77777777" w:rsidR="00E3609F" w:rsidRPr="00E3609F" w:rsidRDefault="00E3609F" w:rsidP="00E3609F">
          <w:pPr>
            <w:pStyle w:val="XLarge"/>
            <w:spacing w:line="120" w:lineRule="exact"/>
            <w:ind w:left="0" w:firstLine="0"/>
            <w:rPr>
              <w:sz w:val="10"/>
            </w:rPr>
          </w:pPr>
        </w:p>
        <w:p w14:paraId="2700E994" w14:textId="5E17E4A9" w:rsidR="00E3609F" w:rsidRPr="00E3609F" w:rsidRDefault="00E3609F" w:rsidP="00E3609F">
          <w:pPr>
            <w:pStyle w:val="XLarge"/>
            <w:spacing w:before="109" w:after="140" w:line="440" w:lineRule="exact"/>
            <w:ind w:left="0" w:firstLine="0"/>
            <w:rPr>
              <w:sz w:val="38"/>
            </w:rPr>
          </w:pPr>
        </w:p>
      </w:tc>
      <w:tc>
        <w:tcPr>
          <w:tcW w:w="245" w:type="dxa"/>
          <w:tcBorders>
            <w:top w:val="single" w:sz="4" w:space="0" w:color="auto"/>
            <w:bottom w:val="single" w:sz="12" w:space="0" w:color="auto"/>
          </w:tcBorders>
          <w:shd w:val="clear" w:color="auto" w:fill="auto"/>
        </w:tcPr>
        <w:p w14:paraId="690DACFA" w14:textId="77777777" w:rsidR="00E3609F" w:rsidRPr="00E3609F" w:rsidRDefault="00E3609F" w:rsidP="00E3609F">
          <w:pPr>
            <w:pStyle w:val="Header"/>
            <w:spacing w:before="109"/>
          </w:pPr>
        </w:p>
      </w:tc>
      <w:tc>
        <w:tcPr>
          <w:tcW w:w="3080" w:type="dxa"/>
          <w:tcBorders>
            <w:top w:val="single" w:sz="4" w:space="0" w:color="auto"/>
            <w:bottom w:val="single" w:sz="12" w:space="0" w:color="auto"/>
          </w:tcBorders>
          <w:shd w:val="clear" w:color="auto" w:fill="auto"/>
        </w:tcPr>
        <w:p w14:paraId="7018E25C" w14:textId="77777777" w:rsidR="00E3609F" w:rsidRDefault="00E3609F" w:rsidP="00E3609F">
          <w:pPr>
            <w:pStyle w:val="Distr"/>
          </w:pPr>
          <w:r>
            <w:t>Distr.: General</w:t>
          </w:r>
        </w:p>
        <w:p w14:paraId="0BE396E5" w14:textId="77777777" w:rsidR="00E3609F" w:rsidRDefault="00E3609F" w:rsidP="00E3609F">
          <w:pPr>
            <w:pStyle w:val="Publication"/>
          </w:pPr>
          <w:r>
            <w:t>10 October 2022</w:t>
          </w:r>
        </w:p>
        <w:p w14:paraId="0ACE76C3" w14:textId="77777777" w:rsidR="00E3609F" w:rsidRDefault="00E3609F" w:rsidP="00E3609F">
          <w:pPr>
            <w:spacing w:line="240" w:lineRule="exact"/>
          </w:pPr>
          <w:r>
            <w:t>Chinese</w:t>
          </w:r>
        </w:p>
        <w:p w14:paraId="630FB73C" w14:textId="77777777" w:rsidR="00E3609F" w:rsidRDefault="00E3609F" w:rsidP="00E3609F">
          <w:pPr>
            <w:pStyle w:val="Original"/>
          </w:pPr>
          <w:r>
            <w:t>Original: English</w:t>
          </w:r>
        </w:p>
        <w:p w14:paraId="4CB1E755" w14:textId="5E0E3B8F" w:rsidR="00E3609F" w:rsidRPr="00E3609F" w:rsidRDefault="00E3609F" w:rsidP="00E3609F"/>
      </w:tc>
    </w:tr>
  </w:tbl>
  <w:p w14:paraId="0C36F517" w14:textId="77777777" w:rsidR="00E3609F" w:rsidRPr="00E3609F" w:rsidRDefault="00E3609F" w:rsidP="00E360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985547259">
    <w:abstractNumId w:val="0"/>
  </w:num>
  <w:num w:numId="2" w16cid:durableId="1956866278">
    <w:abstractNumId w:val="1"/>
  </w:num>
  <w:num w:numId="3" w16cid:durableId="564142692">
    <w:abstractNumId w:val="2"/>
  </w:num>
  <w:num w:numId="4" w16cid:durableId="848102525">
    <w:abstractNumId w:val="4"/>
  </w:num>
  <w:num w:numId="5" w16cid:durableId="58525301">
    <w:abstractNumId w:val="5"/>
  </w:num>
  <w:num w:numId="6" w16cid:durableId="362289852">
    <w:abstractNumId w:val="3"/>
  </w:num>
  <w:num w:numId="7" w16cid:durableId="1583489497">
    <w:abstractNumId w:val="6"/>
  </w:num>
  <w:num w:numId="8" w16cid:durableId="1040666503">
    <w:abstractNumId w:val="2"/>
  </w:num>
  <w:num w:numId="9" w16cid:durableId="2101947088">
    <w:abstractNumId w:val="4"/>
  </w:num>
  <w:num w:numId="10" w16cid:durableId="1138184470">
    <w:abstractNumId w:val="5"/>
  </w:num>
  <w:num w:numId="11" w16cid:durableId="1111704661">
    <w:abstractNumId w:val="2"/>
  </w:num>
  <w:num w:numId="12" w16cid:durableId="1564096522">
    <w:abstractNumId w:val="4"/>
  </w:num>
  <w:num w:numId="13" w16cid:durableId="307981900">
    <w:abstractNumId w:val="5"/>
  </w:num>
  <w:num w:numId="14" w16cid:durableId="1189444101">
    <w:abstractNumId w:val="2"/>
  </w:num>
  <w:num w:numId="15" w16cid:durableId="1837064646">
    <w:abstractNumId w:val="4"/>
  </w:num>
  <w:num w:numId="16" w16cid:durableId="794180082">
    <w:abstractNumId w:val="5"/>
  </w:num>
  <w:num w:numId="17" w16cid:durableId="862598433">
    <w:abstractNumId w:val="2"/>
  </w:num>
  <w:num w:numId="18" w16cid:durableId="2048724809">
    <w:abstractNumId w:val="4"/>
  </w:num>
  <w:num w:numId="19" w16cid:durableId="147408166">
    <w:abstractNumId w:val="5"/>
  </w:num>
  <w:num w:numId="20" w16cid:durableId="1561089726">
    <w:abstractNumId w:val="2"/>
  </w:num>
  <w:num w:numId="21" w16cid:durableId="754716081">
    <w:abstractNumId w:val="4"/>
  </w:num>
  <w:num w:numId="22" w16cid:durableId="2552081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6314*"/>
    <w:docVar w:name="CreationDt" w:val="23/11/2022 14:14:53"/>
    <w:docVar w:name="DocCategory" w:val="Doc"/>
    <w:docVar w:name="DocType" w:val="Final"/>
    <w:docVar w:name="DutyStation" w:val="New York"/>
    <w:docVar w:name="FooterJN" w:val="22-16314"/>
    <w:docVar w:name="jobn" w:val="22-16314 (C)"/>
    <w:docVar w:name="jobnDT" w:val="22-16314 (C)   231122"/>
    <w:docVar w:name="jobnDTDT" w:val="22-16314 (C)   231122   231122"/>
    <w:docVar w:name="JobNo" w:val="2216314C"/>
    <w:docVar w:name="LocalDrive" w:val="-1"/>
    <w:docVar w:name="OandT" w:val="Xie"/>
    <w:docVar w:name="sss1" w:val="CRPD/C/5"/>
    <w:docVar w:name="sss2" w:val="-"/>
    <w:docVar w:name="Symbol1" w:val="CRPD/C/5"/>
    <w:docVar w:name="Symbol2" w:val="-"/>
    <w:docVar w:name="Title1" w:val="_x0009__x0009_解除收容的准则(包括在紧急情况下)*_x000d_"/>
  </w:docVars>
  <w:rsids>
    <w:rsidRoot w:val="00F204BC"/>
    <w:rsid w:val="00000689"/>
    <w:rsid w:val="0000347C"/>
    <w:rsid w:val="0000468E"/>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243A"/>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7AB3"/>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50EE"/>
    <w:rsid w:val="00207135"/>
    <w:rsid w:val="00212008"/>
    <w:rsid w:val="002145EA"/>
    <w:rsid w:val="002200D0"/>
    <w:rsid w:val="00221884"/>
    <w:rsid w:val="00223D01"/>
    <w:rsid w:val="002253E5"/>
    <w:rsid w:val="00225709"/>
    <w:rsid w:val="0022603B"/>
    <w:rsid w:val="00226203"/>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1A31"/>
    <w:rsid w:val="00293025"/>
    <w:rsid w:val="002A4AEF"/>
    <w:rsid w:val="002A5E53"/>
    <w:rsid w:val="002B028B"/>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E6C50"/>
    <w:rsid w:val="002F41E2"/>
    <w:rsid w:val="002F746E"/>
    <w:rsid w:val="00300DB9"/>
    <w:rsid w:val="00300EC5"/>
    <w:rsid w:val="00301C97"/>
    <w:rsid w:val="003063F6"/>
    <w:rsid w:val="00313030"/>
    <w:rsid w:val="00320C99"/>
    <w:rsid w:val="003274A9"/>
    <w:rsid w:val="00327D8B"/>
    <w:rsid w:val="003305F1"/>
    <w:rsid w:val="00331221"/>
    <w:rsid w:val="00331D4A"/>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01E5"/>
    <w:rsid w:val="003A1C26"/>
    <w:rsid w:val="003A2BC6"/>
    <w:rsid w:val="003A4C66"/>
    <w:rsid w:val="003A4D87"/>
    <w:rsid w:val="003A79D4"/>
    <w:rsid w:val="003A7A96"/>
    <w:rsid w:val="003A7B88"/>
    <w:rsid w:val="003B23D0"/>
    <w:rsid w:val="003B7AB8"/>
    <w:rsid w:val="003C3A4C"/>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77AC2"/>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0194"/>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20FB"/>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D434E"/>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7DDA"/>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7F64A6"/>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62DF"/>
    <w:rsid w:val="00A778F1"/>
    <w:rsid w:val="00A800EC"/>
    <w:rsid w:val="00A825B6"/>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3FAC"/>
    <w:rsid w:val="00AF4C2D"/>
    <w:rsid w:val="00AF4FD7"/>
    <w:rsid w:val="00AF51A0"/>
    <w:rsid w:val="00B014C7"/>
    <w:rsid w:val="00B01FB8"/>
    <w:rsid w:val="00B0250B"/>
    <w:rsid w:val="00B02C51"/>
    <w:rsid w:val="00B03EFA"/>
    <w:rsid w:val="00B07064"/>
    <w:rsid w:val="00B16C8C"/>
    <w:rsid w:val="00B171E7"/>
    <w:rsid w:val="00B22C2F"/>
    <w:rsid w:val="00B24A9F"/>
    <w:rsid w:val="00B309DD"/>
    <w:rsid w:val="00B31E9D"/>
    <w:rsid w:val="00B32B80"/>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2652"/>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2087"/>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2DE"/>
    <w:rsid w:val="00D11E0A"/>
    <w:rsid w:val="00D177F1"/>
    <w:rsid w:val="00D21209"/>
    <w:rsid w:val="00D21377"/>
    <w:rsid w:val="00D21DF3"/>
    <w:rsid w:val="00D22A31"/>
    <w:rsid w:val="00D23674"/>
    <w:rsid w:val="00D24E82"/>
    <w:rsid w:val="00D25E6B"/>
    <w:rsid w:val="00D26510"/>
    <w:rsid w:val="00D32015"/>
    <w:rsid w:val="00D323B5"/>
    <w:rsid w:val="00D336C9"/>
    <w:rsid w:val="00D344E2"/>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78C"/>
    <w:rsid w:val="00DC49FA"/>
    <w:rsid w:val="00DD0DFE"/>
    <w:rsid w:val="00DD2105"/>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609F"/>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0A6E"/>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04BC"/>
    <w:rsid w:val="00F21C01"/>
    <w:rsid w:val="00F26864"/>
    <w:rsid w:val="00F26F00"/>
    <w:rsid w:val="00F27454"/>
    <w:rsid w:val="00F32339"/>
    <w:rsid w:val="00F3596A"/>
    <w:rsid w:val="00F36446"/>
    <w:rsid w:val="00F40463"/>
    <w:rsid w:val="00F412CD"/>
    <w:rsid w:val="00F44A01"/>
    <w:rsid w:val="00F50336"/>
    <w:rsid w:val="00F50D76"/>
    <w:rsid w:val="00F55E5B"/>
    <w:rsid w:val="00F569BC"/>
    <w:rsid w:val="00F608E4"/>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ACB"/>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511"/>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233B8D"/>
  <w15:chartTrackingRefBased/>
  <w15:docId w15:val="{91042A5B-D4A7-4C82-B518-2833C1CE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128A"/>
    <w:pPr>
      <w:spacing w:line="320" w:lineRule="exact"/>
      <w:jc w:val="both"/>
    </w:pPr>
    <w:rPr>
      <w:rFonts w:eastAsia="SimSun"/>
      <w:kern w:val="14"/>
      <w:sz w:val="21"/>
      <w:lang w:val="en-US"/>
    </w:rPr>
  </w:style>
  <w:style w:type="paragraph" w:styleId="Heading1">
    <w:name w:val="heading 1"/>
    <w:basedOn w:val="Normal"/>
    <w:next w:val="HCh"/>
    <w:link w:val="Heading1Char"/>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Heading2">
    <w:name w:val="heading 2"/>
    <w:basedOn w:val="Normal"/>
    <w:next w:val="H1"/>
    <w:link w:val="Heading2Char"/>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Heading3">
    <w:name w:val="heading 3"/>
    <w:basedOn w:val="Normal"/>
    <w:next w:val="Normal"/>
    <w:link w:val="Heading3Char"/>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128A"/>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Normal"/>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SingleTxt"/>
    <w:qFormat/>
    <w:rsid w:val="0093128A"/>
    <w:pPr>
      <w:ind w:left="1264" w:right="1264" w:hanging="1264"/>
      <w:outlineLvl w:val="1"/>
    </w:pPr>
    <w:rPr>
      <w:rFonts w:eastAsia="SimHei"/>
      <w:szCs w:val="21"/>
    </w:rPr>
  </w:style>
  <w:style w:type="paragraph" w:customStyle="1" w:styleId="H4">
    <w:name w:val="_ H_4"/>
    <w:basedOn w:val="Normal"/>
    <w:next w:val="Normal"/>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Normal"/>
    <w:next w:val="Normal"/>
    <w:qFormat/>
    <w:rsid w:val="0093128A"/>
    <w:pPr>
      <w:keepNext/>
      <w:keepLines/>
      <w:tabs>
        <w:tab w:val="right" w:pos="360"/>
      </w:tabs>
      <w:suppressAutoHyphens/>
      <w:outlineLvl w:val="4"/>
    </w:pPr>
    <w:rPr>
      <w:rFonts w:eastAsia="STZhongsong"/>
      <w:noProof/>
      <w:spacing w:val="4"/>
      <w:w w:val="103"/>
    </w:rPr>
  </w:style>
  <w:style w:type="paragraph" w:customStyle="1" w:styleId="DualTxt">
    <w:name w:val="__Dual Txt"/>
    <w:basedOn w:val="Normal"/>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3128A"/>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Normal"/>
    <w:qFormat/>
    <w:rsid w:val="0093128A"/>
    <w:pPr>
      <w:spacing w:line="640" w:lineRule="exact"/>
    </w:pPr>
    <w:rPr>
      <w:spacing w:val="-8"/>
      <w:w w:val="96"/>
      <w:sz w:val="57"/>
    </w:rPr>
  </w:style>
  <w:style w:type="paragraph" w:customStyle="1" w:styleId="SS">
    <w:name w:val="__S_S"/>
    <w:basedOn w:val="HCh"/>
    <w:next w:val="Normal"/>
    <w:qFormat/>
    <w:rsid w:val="0093128A"/>
  </w:style>
  <w:style w:type="paragraph" w:customStyle="1" w:styleId="SingleTxt">
    <w:name w:val="__Single Txt"/>
    <w:basedOn w:val="Normal"/>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93128A"/>
    <w:pPr>
      <w:tabs>
        <w:tab w:val="right" w:pos="9965"/>
      </w:tabs>
      <w:spacing w:line="210" w:lineRule="exact"/>
    </w:pPr>
    <w:rPr>
      <w:noProof/>
      <w:spacing w:val="5"/>
      <w:w w:val="104"/>
      <w:sz w:val="17"/>
    </w:rPr>
  </w:style>
  <w:style w:type="paragraph" w:customStyle="1" w:styleId="SmallX">
    <w:name w:val="SmallX"/>
    <w:basedOn w:val="Small"/>
    <w:next w:val="Normal"/>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FootnoteReference">
    <w:name w:val="footnote reference"/>
    <w:basedOn w:val="DefaultParagraphFont"/>
    <w:semiHidden/>
    <w:rsid w:val="0093128A"/>
    <w:rPr>
      <w:color w:val="auto"/>
      <w:spacing w:val="0"/>
      <w:w w:val="100"/>
      <w:position w:val="0"/>
      <w:vertAlign w:val="superscript"/>
    </w:rPr>
  </w:style>
  <w:style w:type="character" w:styleId="EndnoteReference">
    <w:name w:val="endnote reference"/>
    <w:basedOn w:val="FootnoteReference"/>
    <w:rsid w:val="0093128A"/>
    <w:rPr>
      <w:color w:val="auto"/>
      <w:spacing w:val="0"/>
      <w:w w:val="150"/>
      <w:position w:val="0"/>
      <w:vertAlign w:val="superscript"/>
    </w:rPr>
  </w:style>
  <w:style w:type="paragraph" w:styleId="FootnoteText">
    <w:name w:val="footnote text"/>
    <w:basedOn w:val="Normal"/>
    <w:link w:val="FootnoteTextChar"/>
    <w:semiHidden/>
    <w:rsid w:val="0093128A"/>
    <w:pPr>
      <w:tabs>
        <w:tab w:val="right" w:pos="418"/>
      </w:tabs>
      <w:spacing w:after="120" w:line="240" w:lineRule="exact"/>
      <w:ind w:left="170" w:hanging="170"/>
    </w:pPr>
    <w:rPr>
      <w:noProof/>
      <w:sz w:val="18"/>
    </w:rPr>
  </w:style>
  <w:style w:type="paragraph" w:styleId="EndnoteText">
    <w:name w:val="endnote text"/>
    <w:basedOn w:val="FootnoteText"/>
    <w:link w:val="EndnoteTextChar"/>
    <w:semiHidden/>
    <w:rsid w:val="0093128A"/>
  </w:style>
  <w:style w:type="paragraph" w:styleId="CommentText">
    <w:name w:val="annotation text"/>
    <w:basedOn w:val="Normal"/>
    <w:link w:val="CommentTextChar"/>
    <w:semiHidden/>
    <w:rsid w:val="0093128A"/>
  </w:style>
  <w:style w:type="paragraph" w:styleId="CommentSubject">
    <w:name w:val="annotation subject"/>
    <w:basedOn w:val="CommentText"/>
    <w:next w:val="CommentText"/>
    <w:link w:val="CommentSubjectChar"/>
    <w:semiHidden/>
    <w:rsid w:val="0093128A"/>
    <w:rPr>
      <w:b/>
      <w:bCs/>
    </w:rPr>
  </w:style>
  <w:style w:type="character" w:styleId="CommentReference">
    <w:name w:val="annotation reference"/>
    <w:basedOn w:val="DefaultParagraphFont"/>
    <w:semiHidden/>
    <w:rsid w:val="0093128A"/>
    <w:rPr>
      <w:sz w:val="21"/>
      <w:szCs w:val="21"/>
    </w:rPr>
  </w:style>
  <w:style w:type="paragraph" w:styleId="BalloonText">
    <w:name w:val="Balloon Text"/>
    <w:basedOn w:val="Normal"/>
    <w:link w:val="BalloonTextChar"/>
    <w:semiHidden/>
    <w:rsid w:val="0093128A"/>
    <w:rPr>
      <w:sz w:val="18"/>
      <w:szCs w:val="18"/>
    </w:rPr>
  </w:style>
  <w:style w:type="paragraph" w:customStyle="1" w:styleId="1211022234">
    <w:name w:val="样式 尾注文本 + 左侧:  1.21 厘米 悬挂缩进: 1.02 厘米 右侧:  2.23 厘米 段后: 4 磅"/>
    <w:basedOn w:val="EndnoteText"/>
    <w:rsid w:val="0093128A"/>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93128A"/>
    <w:pPr>
      <w:ind w:left="1264" w:right="1264" w:hanging="578"/>
    </w:pPr>
    <w:rPr>
      <w:rFonts w:cs="SimSun"/>
    </w:rPr>
  </w:style>
  <w:style w:type="paragraph" w:styleId="Header">
    <w:name w:val="header"/>
    <w:link w:val="HeaderChar"/>
    <w:rsid w:val="0093128A"/>
    <w:pPr>
      <w:tabs>
        <w:tab w:val="center" w:pos="4320"/>
        <w:tab w:val="right" w:pos="8640"/>
      </w:tabs>
      <w:jc w:val="both"/>
    </w:pPr>
    <w:rPr>
      <w:noProof/>
      <w:sz w:val="18"/>
      <w:lang w:val="en-US"/>
    </w:rPr>
  </w:style>
  <w:style w:type="paragraph" w:styleId="Footer">
    <w:name w:val="footer"/>
    <w:link w:val="FooterChar"/>
    <w:rsid w:val="0093128A"/>
    <w:pPr>
      <w:tabs>
        <w:tab w:val="center" w:pos="4320"/>
        <w:tab w:val="right" w:pos="8640"/>
      </w:tabs>
      <w:jc w:val="both"/>
    </w:pPr>
    <w:rPr>
      <w:b/>
      <w:noProof/>
      <w:sz w:val="18"/>
      <w:szCs w:val="18"/>
      <w:lang w:val="en-US"/>
    </w:rPr>
  </w:style>
  <w:style w:type="character" w:styleId="Hyperlink">
    <w:name w:val="Hyperlink"/>
    <w:basedOn w:val="DefaultParagraphFont"/>
    <w:rsid w:val="0093128A"/>
    <w:rPr>
      <w:color w:val="0000FF"/>
      <w:u w:val="none"/>
    </w:rPr>
  </w:style>
  <w:style w:type="character" w:styleId="FollowedHyperlink">
    <w:name w:val="FollowedHyperlink"/>
    <w:basedOn w:val="DefaultParagraphFont"/>
    <w:qFormat/>
    <w:rsid w:val="0093128A"/>
    <w:rPr>
      <w:color w:val="0000FF"/>
      <w:u w:val="none"/>
    </w:rPr>
  </w:style>
  <w:style w:type="paragraph" w:customStyle="1" w:styleId="Distr">
    <w:name w:val="Distr 分发种类"/>
    <w:next w:val="Normal"/>
    <w:qFormat/>
    <w:rsid w:val="0093128A"/>
    <w:pPr>
      <w:spacing w:before="240" w:line="240" w:lineRule="exact"/>
    </w:pPr>
    <w:rPr>
      <w:kern w:val="14"/>
      <w:lang w:val="en-US"/>
    </w:rPr>
  </w:style>
  <w:style w:type="paragraph" w:customStyle="1" w:styleId="Publication">
    <w:name w:val="Publication 印发日期"/>
    <w:next w:val="Normal"/>
    <w:qFormat/>
    <w:rsid w:val="0093128A"/>
    <w:pPr>
      <w:spacing w:line="240" w:lineRule="exact"/>
    </w:pPr>
    <w:rPr>
      <w:kern w:val="14"/>
      <w:lang w:val="en-US"/>
    </w:rPr>
  </w:style>
  <w:style w:type="paragraph" w:customStyle="1" w:styleId="Original">
    <w:name w:val="Original 原件种类"/>
    <w:next w:val="Normal"/>
    <w:qFormat/>
    <w:rsid w:val="0093128A"/>
    <w:pPr>
      <w:spacing w:line="240" w:lineRule="exact"/>
    </w:pPr>
    <w:rPr>
      <w:kern w:val="14"/>
      <w:lang w:val="en-US"/>
    </w:rPr>
  </w:style>
  <w:style w:type="paragraph" w:customStyle="1" w:styleId="Release">
    <w:name w:val="Release 送印日期"/>
    <w:next w:val="Normal"/>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NormalWeb"/>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NormalWeb">
    <w:name w:val="Normal (Web)"/>
    <w:basedOn w:val="Normal"/>
    <w:rsid w:val="0093128A"/>
    <w:rPr>
      <w:sz w:val="24"/>
      <w:szCs w:val="24"/>
    </w:rPr>
  </w:style>
  <w:style w:type="character" w:customStyle="1" w:styleId="Heading1Char">
    <w:name w:val="Heading 1 Char"/>
    <w:basedOn w:val="DefaultParagraphFont"/>
    <w:link w:val="Heading1"/>
    <w:rsid w:val="0093128A"/>
    <w:rPr>
      <w:rFonts w:eastAsia="SimHei"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Heading2Char">
    <w:name w:val="Heading 2 Char"/>
    <w:basedOn w:val="DefaultParagraphFont"/>
    <w:link w:val="Heading2"/>
    <w:rsid w:val="0093128A"/>
    <w:rPr>
      <w:rFonts w:ascii="SimHei" w:eastAsiaTheme="majorEastAsia" w:hAnsi="SimHei" w:cstheme="majorBidi"/>
      <w:b/>
      <w:bCs/>
      <w:kern w:val="14"/>
      <w:sz w:val="28"/>
      <w:szCs w:val="26"/>
      <w:lang w:val="en-US"/>
    </w:rPr>
  </w:style>
  <w:style w:type="character" w:customStyle="1" w:styleId="Heading3Char">
    <w:name w:val="Heading 3 Char"/>
    <w:basedOn w:val="DefaultParagraphFont"/>
    <w:link w:val="Heading3"/>
    <w:rsid w:val="0093128A"/>
    <w:rPr>
      <w:rFonts w:asciiTheme="minorEastAsia" w:eastAsiaTheme="majorEastAsia" w:hAnsiTheme="minorEastAsia" w:cstheme="majorBidi"/>
      <w:b/>
      <w:bCs/>
      <w:kern w:val="14"/>
      <w:sz w:val="32"/>
      <w:lang w:val="en-US"/>
    </w:rPr>
  </w:style>
  <w:style w:type="paragraph" w:customStyle="1" w:styleId="1">
    <w:name w:val="日刊标题1"/>
    <w:basedOn w:val="Normal"/>
    <w:qFormat/>
    <w:rsid w:val="0093128A"/>
    <w:pPr>
      <w:spacing w:line="560" w:lineRule="exact"/>
    </w:pPr>
    <w:rPr>
      <w:rFonts w:ascii="SimHei" w:eastAsia="SimHei" w:hAnsi="SimHei"/>
      <w:sz w:val="36"/>
    </w:rPr>
  </w:style>
  <w:style w:type="paragraph" w:customStyle="1" w:styleId="2">
    <w:name w:val="日刊标题2"/>
    <w:basedOn w:val="Normal"/>
    <w:next w:val="Normal"/>
    <w:qFormat/>
    <w:rsid w:val="0093128A"/>
    <w:pPr>
      <w:spacing w:line="400" w:lineRule="exact"/>
    </w:pPr>
    <w:rPr>
      <w:rFonts w:ascii="SimHei" w:hAnsi="SimHei"/>
      <w:sz w:val="28"/>
    </w:rPr>
  </w:style>
  <w:style w:type="paragraph" w:customStyle="1" w:styleId="3">
    <w:name w:val="日刊标题3"/>
    <w:basedOn w:val="Normal"/>
    <w:next w:val="Normal"/>
    <w:qFormat/>
    <w:rsid w:val="0093128A"/>
    <w:pPr>
      <w:spacing w:line="360" w:lineRule="exact"/>
    </w:pPr>
    <w:rPr>
      <w:rFonts w:ascii="SimHei" w:eastAsia="SimHei" w:hAnsi="SimHei"/>
      <w:sz w:val="24"/>
    </w:rPr>
  </w:style>
  <w:style w:type="paragraph" w:customStyle="1" w:styleId="4">
    <w:name w:val="日刊标题4"/>
    <w:basedOn w:val="Normal"/>
    <w:next w:val="Normal"/>
    <w:qFormat/>
    <w:rsid w:val="0093128A"/>
    <w:rPr>
      <w:rFonts w:ascii="SimHei" w:eastAsia="SimHei" w:hAnsi="SimHei"/>
      <w:sz w:val="24"/>
    </w:rPr>
  </w:style>
  <w:style w:type="paragraph" w:customStyle="1" w:styleId="Bullet1">
    <w:name w:val="Bullet 1"/>
    <w:basedOn w:val="Normal"/>
    <w:qFormat/>
    <w:rsid w:val="0093128A"/>
    <w:pPr>
      <w:numPr>
        <w:numId w:val="20"/>
      </w:numPr>
      <w:spacing w:after="120" w:line="240" w:lineRule="exact"/>
      <w:ind w:right="1267"/>
    </w:pPr>
    <w:rPr>
      <w:spacing w:val="4"/>
      <w:w w:val="103"/>
      <w:sz w:val="20"/>
    </w:rPr>
  </w:style>
  <w:style w:type="paragraph" w:customStyle="1" w:styleId="Bullet2">
    <w:name w:val="Bullet 2"/>
    <w:basedOn w:val="Normal"/>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Normal"/>
    <w:rsid w:val="0093128A"/>
    <w:pPr>
      <w:spacing w:after="120" w:line="240" w:lineRule="auto"/>
      <w:jc w:val="right"/>
    </w:pPr>
    <w:rPr>
      <w:rFonts w:ascii="SimSun" w:eastAsia="KaiTi_GB2312" w:cs="SimSun"/>
      <w:sz w:val="15"/>
    </w:rPr>
  </w:style>
  <w:style w:type="paragraph" w:customStyle="1" w:styleId="HCh6">
    <w:name w:val="样式 _ H _Ch + (中文) 宋体 段后: 6 磅"/>
    <w:basedOn w:val="HCh"/>
    <w:rsid w:val="0093128A"/>
    <w:pPr>
      <w:spacing w:after="120"/>
      <w:jc w:val="left"/>
    </w:pPr>
    <w:rPr>
      <w:rFonts w:eastAsia="SimSun" w:cs="SimSun"/>
    </w:rPr>
  </w:style>
  <w:style w:type="paragraph" w:customStyle="1" w:styleId="AgendaTitleH2">
    <w:name w:val="Agenda_Title_H2"/>
    <w:basedOn w:val="Normal"/>
    <w:next w:val="Normal"/>
    <w:qFormat/>
    <w:rsid w:val="0093128A"/>
    <w:pPr>
      <w:adjustRightInd w:val="0"/>
      <w:ind w:right="1985"/>
      <w:outlineLvl w:val="1"/>
    </w:pPr>
    <w:rPr>
      <w:rFonts w:ascii="SimHei" w:eastAsia="SimHei" w:hAnsi="SimHei"/>
      <w:szCs w:val="21"/>
    </w:rPr>
  </w:style>
  <w:style w:type="paragraph" w:customStyle="1" w:styleId="TitleHCH">
    <w:name w:val="Title_H_CH"/>
    <w:basedOn w:val="H1"/>
    <w:next w:val="Normal"/>
    <w:link w:val="TitleHCHChar"/>
    <w:qFormat/>
    <w:rsid w:val="0093128A"/>
    <w:pPr>
      <w:spacing w:line="400" w:lineRule="exact"/>
    </w:pPr>
    <w:rPr>
      <w:sz w:val="28"/>
    </w:rPr>
  </w:style>
  <w:style w:type="character" w:customStyle="1" w:styleId="TitleHCHChar">
    <w:name w:val="Title_H_CH Char"/>
    <w:basedOn w:val="DefaultParagraphFont"/>
    <w:link w:val="TitleHCH"/>
    <w:rsid w:val="0093128A"/>
    <w:rPr>
      <w:rFonts w:eastAsia="SimHei"/>
      <w:kern w:val="14"/>
      <w:sz w:val="28"/>
      <w:lang w:val="en-US"/>
    </w:rPr>
  </w:style>
  <w:style w:type="paragraph" w:customStyle="1" w:styleId="TitleH1">
    <w:name w:val="Title_H1"/>
    <w:basedOn w:val="Normal"/>
    <w:next w:val="Normal"/>
    <w:link w:val="TitleH1Char"/>
    <w:qFormat/>
    <w:rsid w:val="0093128A"/>
    <w:pPr>
      <w:keepNext/>
      <w:keepLines/>
      <w:ind w:left="1264" w:right="1264" w:hanging="1264"/>
      <w:outlineLvl w:val="0"/>
    </w:pPr>
    <w:rPr>
      <w:rFonts w:eastAsia="SimHei"/>
      <w:sz w:val="24"/>
    </w:rPr>
  </w:style>
  <w:style w:type="paragraph" w:customStyle="1" w:styleId="TitleH2">
    <w:name w:val="Title_H2"/>
    <w:basedOn w:val="Normal"/>
    <w:next w:val="Normal"/>
    <w:link w:val="TitleH2Char"/>
    <w:qFormat/>
    <w:rsid w:val="0093128A"/>
    <w:pPr>
      <w:ind w:left="1264" w:right="1264" w:hanging="1264"/>
      <w:outlineLvl w:val="1"/>
    </w:pPr>
    <w:rPr>
      <w:rFonts w:eastAsia="SimHei"/>
      <w:spacing w:val="2"/>
    </w:rPr>
  </w:style>
  <w:style w:type="character" w:customStyle="1" w:styleId="TitleH1Char">
    <w:name w:val="Title_H1 Char"/>
    <w:basedOn w:val="DefaultParagraphFont"/>
    <w:link w:val="TitleH1"/>
    <w:rsid w:val="0093128A"/>
    <w:rPr>
      <w:rFonts w:eastAsia="SimHei"/>
      <w:kern w:val="14"/>
      <w:sz w:val="24"/>
      <w:lang w:val="en-US"/>
    </w:rPr>
  </w:style>
  <w:style w:type="character" w:customStyle="1" w:styleId="TitleH2Char">
    <w:name w:val="Title_H2 Char"/>
    <w:basedOn w:val="DefaultParagraphFont"/>
    <w:link w:val="TitleH2"/>
    <w:rsid w:val="0093128A"/>
    <w:rPr>
      <w:rFonts w:eastAsia="SimHei"/>
      <w:spacing w:val="2"/>
      <w:kern w:val="14"/>
      <w:sz w:val="21"/>
      <w:lang w:val="en-US"/>
    </w:rPr>
  </w:style>
  <w:style w:type="paragraph" w:customStyle="1" w:styleId="STitleM">
    <w:name w:val="S_Title_M"/>
    <w:basedOn w:val="Normal"/>
    <w:next w:val="Normal"/>
    <w:qFormat/>
    <w:rsid w:val="0093128A"/>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Normal"/>
    <w:qFormat/>
    <w:rsid w:val="0093128A"/>
    <w:pPr>
      <w:ind w:firstLine="0"/>
    </w:pPr>
    <w:rPr>
      <w:lang w:eastAsia="en-US"/>
    </w:rPr>
  </w:style>
  <w:style w:type="paragraph" w:customStyle="1" w:styleId="STitleL">
    <w:name w:val="S_Title_L"/>
    <w:basedOn w:val="SM"/>
    <w:next w:val="Normal"/>
    <w:qFormat/>
    <w:rsid w:val="0093128A"/>
    <w:pPr>
      <w:spacing w:line="640" w:lineRule="exact"/>
    </w:pPr>
    <w:rPr>
      <w:spacing w:val="-8"/>
      <w:w w:val="96"/>
      <w:sz w:val="57"/>
    </w:rPr>
  </w:style>
  <w:style w:type="paragraph" w:customStyle="1" w:styleId="SRMeetingInfo">
    <w:name w:val="SR_Meeting_Info"/>
    <w:basedOn w:val="NormalWeb"/>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FootnoteTextChar">
    <w:name w:val="Footnote Text Char"/>
    <w:basedOn w:val="DefaultParagraphFont"/>
    <w:link w:val="FootnoteText"/>
    <w:semiHidden/>
    <w:rsid w:val="0093128A"/>
    <w:rPr>
      <w:noProof/>
      <w:kern w:val="14"/>
      <w:sz w:val="18"/>
      <w:lang w:val="en-US"/>
    </w:rPr>
  </w:style>
  <w:style w:type="character" w:customStyle="1" w:styleId="EndnoteTextChar">
    <w:name w:val="Endnote Text Char"/>
    <w:basedOn w:val="DefaultParagraphFont"/>
    <w:link w:val="EndnoteText"/>
    <w:semiHidden/>
    <w:rsid w:val="0093128A"/>
    <w:rPr>
      <w:noProof/>
      <w:kern w:val="14"/>
      <w:sz w:val="18"/>
      <w:lang w:val="en-US"/>
    </w:rPr>
  </w:style>
  <w:style w:type="character" w:customStyle="1" w:styleId="CommentTextChar">
    <w:name w:val="Comment Text Char"/>
    <w:basedOn w:val="DefaultParagraphFont"/>
    <w:link w:val="CommentText"/>
    <w:semiHidden/>
    <w:rsid w:val="0093128A"/>
    <w:rPr>
      <w:kern w:val="14"/>
      <w:sz w:val="21"/>
      <w:lang w:val="en-US"/>
    </w:rPr>
  </w:style>
  <w:style w:type="character" w:customStyle="1" w:styleId="CommentSubjectChar">
    <w:name w:val="Comment Subject Char"/>
    <w:basedOn w:val="CommentTextChar"/>
    <w:link w:val="CommentSubject"/>
    <w:semiHidden/>
    <w:rsid w:val="0093128A"/>
    <w:rPr>
      <w:b/>
      <w:bCs/>
      <w:kern w:val="14"/>
      <w:sz w:val="21"/>
      <w:lang w:val="en-US"/>
    </w:rPr>
  </w:style>
  <w:style w:type="character" w:customStyle="1" w:styleId="BalloonTextChar">
    <w:name w:val="Balloon Text Char"/>
    <w:basedOn w:val="DefaultParagraphFont"/>
    <w:link w:val="BalloonText"/>
    <w:semiHidden/>
    <w:rsid w:val="0093128A"/>
    <w:rPr>
      <w:kern w:val="14"/>
      <w:sz w:val="18"/>
      <w:szCs w:val="18"/>
      <w:lang w:val="en-US"/>
    </w:rPr>
  </w:style>
  <w:style w:type="character" w:customStyle="1" w:styleId="HeaderChar">
    <w:name w:val="Header Char"/>
    <w:basedOn w:val="DefaultParagraphFont"/>
    <w:link w:val="Header"/>
    <w:rsid w:val="0093128A"/>
    <w:rPr>
      <w:noProof/>
      <w:sz w:val="18"/>
      <w:lang w:val="en-US"/>
    </w:rPr>
  </w:style>
  <w:style w:type="character" w:customStyle="1" w:styleId="FooterChar">
    <w:name w:val="Footer Char"/>
    <w:basedOn w:val="DefaultParagraphFont"/>
    <w:link w:val="Footer"/>
    <w:rsid w:val="0093128A"/>
    <w:rPr>
      <w:b/>
      <w:noProof/>
      <w:sz w:val="18"/>
      <w:szCs w:val="18"/>
      <w:lang w:val="en-US"/>
    </w:rPr>
  </w:style>
  <w:style w:type="paragraph" w:customStyle="1" w:styleId="SRContents">
    <w:name w:val="SR_Contents"/>
    <w:basedOn w:val="Normal"/>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Normal"/>
    <w:next w:val="AgendaItemNormal"/>
    <w:qFormat/>
    <w:rsid w:val="0093128A"/>
    <w:pPr>
      <w:spacing w:after="60"/>
    </w:pPr>
  </w:style>
  <w:style w:type="paragraph" w:customStyle="1" w:styleId="AgendaItemTitle">
    <w:name w:val="Agenda_Item_Title"/>
    <w:basedOn w:val="Normal"/>
    <w:next w:val="Normal"/>
    <w:qFormat/>
    <w:rsid w:val="0093128A"/>
    <w:pPr>
      <w:ind w:right="1985"/>
      <w:outlineLvl w:val="1"/>
    </w:pPr>
  </w:style>
  <w:style w:type="paragraph" w:customStyle="1" w:styleId="DecisionNumber">
    <w:name w:val="DecisionNumber"/>
    <w:basedOn w:val="Normal"/>
    <w:next w:val="Normal"/>
    <w:qFormat/>
    <w:rsid w:val="0093128A"/>
    <w:pPr>
      <w:ind w:right="1985"/>
      <w:outlineLvl w:val="1"/>
    </w:pPr>
  </w:style>
  <w:style w:type="paragraph" w:customStyle="1" w:styleId="DecisionTitle">
    <w:name w:val="DecisionTitle"/>
    <w:basedOn w:val="Normal"/>
    <w:next w:val="Normal"/>
    <w:qFormat/>
    <w:rsid w:val="0093128A"/>
    <w:pPr>
      <w:ind w:right="1985"/>
      <w:outlineLvl w:val="1"/>
    </w:pPr>
  </w:style>
  <w:style w:type="paragraph" w:customStyle="1" w:styleId="MeetingNumber">
    <w:name w:val="MeetingNumber"/>
    <w:basedOn w:val="Normal"/>
    <w:next w:val="Normal"/>
    <w:qFormat/>
    <w:rsid w:val="0093128A"/>
    <w:pPr>
      <w:ind w:right="1985"/>
      <w:outlineLvl w:val="1"/>
    </w:pPr>
  </w:style>
  <w:style w:type="paragraph" w:styleId="Revision">
    <w:name w:val="Revision"/>
    <w:hidden/>
    <w:uiPriority w:val="99"/>
    <w:semiHidden/>
    <w:rsid w:val="00A825B6"/>
    <w:rPr>
      <w:rFonts w:eastAsia="SimSun"/>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19059</Words>
  <Characters>19474</Characters>
  <Application>Microsoft Office Word</Application>
  <DocSecurity>0</DocSecurity>
  <Lines>650</Lines>
  <Paragraphs>199</Paragraphs>
  <ScaleCrop>false</ScaleCrop>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Christian BRUN-COSME-BRUNI</cp:lastModifiedBy>
  <cp:revision>2</cp:revision>
  <cp:lastPrinted>2022-11-28T16:07:00Z</cp:lastPrinted>
  <dcterms:created xsi:type="dcterms:W3CDTF">2024-11-29T10:10:00Z</dcterms:created>
  <dcterms:modified xsi:type="dcterms:W3CDTF">2024-11-29T10:10:00Z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2216314</vt:lpwstr>
  </property>
  <property fmtid="{D5CDD505-2E9C-101B-9397-08002B2CF9AE}" pid="3" name="ODSRefJobNo">
    <vt:lpwstr>22-C</vt:lpwstr>
  </property>
  <property fmtid="{D5CDD505-2E9C-101B-9397-08002B2CF9AE}" pid="4" name="Symbol1">
    <vt:lpwstr>CRPD/C/5</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October 2022</vt:lpwstr>
  </property>
  <property fmtid="{D5CDD505-2E9C-101B-9397-08002B2CF9AE}" pid="14" name="Original">
    <vt:lpwstr>English</vt:lpwstr>
  </property>
  <property fmtid="{D5CDD505-2E9C-101B-9397-08002B2CF9AE}" pid="15" name="Release Date">
    <vt:lpwstr>231122</vt:lpwstr>
  </property>
  <property fmtid="{D5CDD505-2E9C-101B-9397-08002B2CF9AE}" pid="16" name="Title1">
    <vt:lpwstr>		解除收容的准则(包括在紧急情况下)*_x000d_</vt:lpwstr>
  </property>
  <property fmtid="{D5CDD505-2E9C-101B-9397-08002B2CF9AE}" pid="17" name="GrammarlyDocumentId">
    <vt:lpwstr>eaaa5c0750099a9cd544046420c85228c73fb93b4c10454fb68ecb6465439369</vt:lpwstr>
  </property>
</Properties>
</file>