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 xml:space="preserve">в отношении женщин 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  <w:rPr>
          <w:b/>
        </w:rPr>
      </w:pPr>
      <w:r>
        <w:rPr>
          <w:b/>
        </w:rPr>
        <w:t>Предсессионная рабочая группа для тридцать пятой сессии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15 мая — 2 июня 2006 года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первоначальных и периодических докладов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Босния и Герцеговина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Предсессионная рабочая группа рассмотрела объединенные первоначал</w:t>
      </w:r>
      <w:r>
        <w:t>ь</w:t>
      </w:r>
      <w:r>
        <w:t>ный, второй и третий периодические доклады Боснии и Герцеговины (CEDAW/C/BIH/1–3).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Общие замечания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1.</w:t>
      </w:r>
      <w:r>
        <w:tab/>
        <w:t>Просьба представить информацию о процессе подготовки объединенных первоначального, второго и третьего периодических докладов. В этой инфо</w:t>
      </w:r>
      <w:r>
        <w:t>р</w:t>
      </w:r>
      <w:r>
        <w:t>мации должны содержаться сведения о том, какие государственные ведомства и учреждения принимали участие в этом процессе, о характере и масштабах их участия, проводились ли консультации с неправительственными организаци</w:t>
      </w:r>
      <w:r>
        <w:t>я</w:t>
      </w:r>
      <w:r>
        <w:t>ми, в частности женскими организациями, и был ли этот доклад утвержден правительством Боснии и Герцеговины, обсуждался ли и оценивался ли он на уровне образований и представлялся ли он на рассмотрение парламе</w:t>
      </w:r>
      <w:r>
        <w:t>н</w:t>
      </w:r>
      <w:r>
        <w:t xml:space="preserve">та.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Статьи 1 и 2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2.</w:t>
      </w:r>
      <w:r>
        <w:tab/>
        <w:t>Просьба представить информацию о правовом статусе Конвенции в ра</w:t>
      </w:r>
      <w:r>
        <w:t>м</w:t>
      </w:r>
      <w:r>
        <w:t>ках внутренней правовой системы Боснии и Герцеговины. В ответе следует уточнить, можно ли в судах прямо ссылаться на Конвенцию, и, если да, указать количество дел, при разбирательстве которых делались ссылки на положения Ко</w:t>
      </w:r>
      <w:r>
        <w:t>н</w:t>
      </w:r>
      <w:r>
        <w:t xml:space="preserve">венции. </w:t>
      </w:r>
    </w:p>
    <w:p w:rsidR="00000000" w:rsidRDefault="00000000">
      <w:pPr>
        <w:pStyle w:val="SingleTxt"/>
      </w:pPr>
      <w:r>
        <w:t>3.</w:t>
      </w:r>
      <w:r>
        <w:tab/>
        <w:t xml:space="preserve">Просьба дать описание имеющихся в политической системе Боснии и Герцеговины надзорных и консультационных механизмов для обеспечения единообразного и последовательного осуществления охраняемых Конвенцией прав женщин как в Федерации Боснии и Герцеговины, так и в Республике Сербской. </w:t>
      </w:r>
    </w:p>
    <w:p w:rsidR="00000000" w:rsidRDefault="00000000">
      <w:pPr>
        <w:pStyle w:val="SingleTxt"/>
      </w:pPr>
      <w:r>
        <w:t>4.</w:t>
      </w:r>
      <w:r>
        <w:tab/>
        <w:t>В докладе отмечается, что, несмотря на наличие в Боснии и Герцеговине прочной общей законодательной основы для предотвращения дискриминации по признаку пола, суды не имели возможности применять соответствующие з</w:t>
      </w:r>
      <w:r>
        <w:t>а</w:t>
      </w:r>
      <w:r>
        <w:t>коны в связи с общей перегруженностью судов делами и отсутствием судов по трудовым вопросам. Просьба указать, в какой степени реформа судебной си</w:t>
      </w:r>
      <w:r>
        <w:t>с</w:t>
      </w:r>
      <w:r>
        <w:t>темы способствовала увеличению числа подачи женщинами индивидуальных исков, связанных с дискриминацией, в частности на рынке труда. Просьба также сообщить, занимается ли Омбудсмен исками, возбужденными женщин</w:t>
      </w:r>
      <w:r>
        <w:t>а</w:t>
      </w:r>
      <w:r>
        <w:t>ми в связи с дискр</w:t>
      </w:r>
      <w:r>
        <w:t>и</w:t>
      </w:r>
      <w:r>
        <w:t>минацией по признаку пола.</w:t>
      </w:r>
    </w:p>
    <w:p w:rsidR="00000000" w:rsidRDefault="00000000">
      <w:pPr>
        <w:pStyle w:val="SingleTxt"/>
      </w:pPr>
      <w:r>
        <w:t>5.</w:t>
      </w:r>
      <w:r>
        <w:tab/>
        <w:t>Просьба представить данные о результатах, достигнутых к настоящему времени за счет принятия правовых и политических мер на уровне государства и образований по сбору, анализу и использованию дезагрегированных по полу и этнической принадлежности статистических данных о всех формах дискр</w:t>
      </w:r>
      <w:r>
        <w:t>и</w:t>
      </w:r>
      <w:r>
        <w:t>минации в отношении женщин. Просьба также сообщить, каким образом ос</w:t>
      </w:r>
      <w:r>
        <w:t>у</w:t>
      </w:r>
      <w:r>
        <w:t>ществляется координация этих усилий в целях достижения всеобъемлющих и единообразных результ</w:t>
      </w:r>
      <w:r>
        <w:t>а</w:t>
      </w:r>
      <w:r>
        <w:t>тов.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3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6.</w:t>
      </w:r>
      <w:r>
        <w:tab/>
        <w:t>В докладе отмечается (пункт 17), что Законом о равенстве мужчин и женщин, в котором установлен запрет на дискриминацию по признаку пола во всех областях жизни женщин, предусматривается создание на государственном уровне в рамках министерства по правам человека и делам беженцев агентства по вопросам равенства между мужчинами и женщинами, которое в настоящее время действует в качестве национального механизма. Просьба сообщить, б</w:t>
      </w:r>
      <w:r>
        <w:t>ы</w:t>
      </w:r>
      <w:r>
        <w:t>ло ли создано это агентство, и, если да, представить информацию о его статусе, мандате, людских и финансовых ресурсах и деятельности, а также о его мех</w:t>
      </w:r>
      <w:r>
        <w:t>а</w:t>
      </w:r>
      <w:r>
        <w:t>низмах связи для осуществления контроля за учетом гендерных аспектов пр</w:t>
      </w:r>
      <w:r>
        <w:t>а</w:t>
      </w:r>
      <w:r>
        <w:t>вительством на государственном уровне и правительствами на уровне образ</w:t>
      </w:r>
      <w:r>
        <w:t>о</w:t>
      </w:r>
      <w:r>
        <w:t>ваний.</w:t>
      </w:r>
    </w:p>
    <w:p w:rsidR="00000000" w:rsidRDefault="00000000">
      <w:pPr>
        <w:pStyle w:val="SingleTxt"/>
      </w:pPr>
      <w:r>
        <w:t>7.</w:t>
      </w:r>
      <w:r>
        <w:tab/>
        <w:t>Просьба представить подробные данные о конкретных целевых показат</w:t>
      </w:r>
      <w:r>
        <w:t>е</w:t>
      </w:r>
      <w:r>
        <w:t>лях и сроках осуществления Национального плана действий по улучшению п</w:t>
      </w:r>
      <w:r>
        <w:t>о</w:t>
      </w:r>
      <w:r>
        <w:t>ложения женщин, разработанного на уровне образований на основе Пекинской платформы действий. В ответе следует также уточнить, был ли принят этот план и кто отвечает за его осуществление и контроль за его осуществлением.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4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8.</w:t>
      </w:r>
      <w:r>
        <w:tab/>
        <w:t>В докладе говорится о требованиях в отношении избирательных квот и о программе профессиональной подготовки и поддержки для женщин-предпринимателей. Просьба сообщить, предпринимает ли правительство к</w:t>
      </w:r>
      <w:r>
        <w:t>а</w:t>
      </w:r>
      <w:r>
        <w:t>кие</w:t>
      </w:r>
      <w:r>
        <w:noBreakHyphen/>
        <w:t>либо дополнительные шаги для принятия временных специальных мер в целях ускорения процесса обеспечения равенства женщин во всех областях их жизни в соответствии с пунктом 1 статьи 4 Конвенции и общей рекомендацией Комитета № 25 относительно временных специальных мер.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5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9.</w:t>
      </w:r>
      <w:r>
        <w:tab/>
        <w:t>В докладе обращается внимание на сохранение стереотипов по признаку пола и в отношении роли женщин, особенно в сельских районах, что находит свое отражение в разделении труда в рамках семьи. В нем также отмечается сохранение стереотипных представлений в отношении роли женщин и мужчин в средствах массовой информации. Просьба представить информацию о прин</w:t>
      </w:r>
      <w:r>
        <w:t>я</w:t>
      </w:r>
      <w:r>
        <w:t>тых мерах и достигнутых результатах на всех государственных и других и</w:t>
      </w:r>
      <w:r>
        <w:t>н</w:t>
      </w:r>
      <w:r>
        <w:t>ституциональных уровнях в целях изменения взглядов и поведения, имеющих дискриминационный характер по отношению к женщинам, в том числе через посредство воспитания и образования, в средствах массовой информации и также в конкретных сельских районах.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10.</w:t>
      </w:r>
      <w:r>
        <w:tab/>
        <w:t>В 1994 году Босния и Герцеговина представила Комитету специальное устное сообщение о нарушениях прав женщин в ходе войны при уделении ос</w:t>
      </w:r>
      <w:r>
        <w:t>о</w:t>
      </w:r>
      <w:r>
        <w:t>бого внимания массовым и систематическим изнасилованиям и принудител</w:t>
      </w:r>
      <w:r>
        <w:t>ь</w:t>
      </w:r>
      <w:r>
        <w:t>ной беременности. Просьба представить информацию об уголовном преслед</w:t>
      </w:r>
      <w:r>
        <w:t>о</w:t>
      </w:r>
      <w:r>
        <w:t>вании за совершение таких преступлений и помощи, которая может оказыват</w:t>
      </w:r>
      <w:r>
        <w:t>ь</w:t>
      </w:r>
      <w:r>
        <w:t>ся женщинам, ставшим жертвами такого насилия.</w:t>
      </w:r>
    </w:p>
    <w:p w:rsidR="00000000" w:rsidRDefault="00000000">
      <w:pPr>
        <w:pStyle w:val="SingleTxt"/>
      </w:pPr>
      <w:r>
        <w:t>11.</w:t>
      </w:r>
      <w:r>
        <w:tab/>
        <w:t>В докладе говорится о наличии относительно подробного законодательс</w:t>
      </w:r>
      <w:r>
        <w:t>т</w:t>
      </w:r>
      <w:r>
        <w:t>ва, касающегося уголовных деяний и отношений в семье. В нем также отмеч</w:t>
      </w:r>
      <w:r>
        <w:t>а</w:t>
      </w:r>
      <w:r>
        <w:t>ется (пункт 100), что «была предпринята инициатива по разработке закона о защите от насилия в семье при участии как государственного, так и негосуда</w:t>
      </w:r>
      <w:r>
        <w:t>р</w:t>
      </w:r>
      <w:r>
        <w:t>ственного секторов». В докладе говорится о том (пункт 70), что в стране отсу</w:t>
      </w:r>
      <w:r>
        <w:t>т</w:t>
      </w:r>
      <w:r>
        <w:t>ствуют план действий и стратегия в области борьбы с насилием. Просьба пре</w:t>
      </w:r>
      <w:r>
        <w:t>д</w:t>
      </w:r>
      <w:r>
        <w:t>ставить подробную информацию об общей правовой основе для решения в</w:t>
      </w:r>
      <w:r>
        <w:t>о</w:t>
      </w:r>
      <w:r>
        <w:t>просов, связанных с насилием в отношении женщин, в частности о ходе подг</w:t>
      </w:r>
      <w:r>
        <w:t>о</w:t>
      </w:r>
      <w:r>
        <w:t>товки предложенного закона о защите от насилия в семье. Просьба также ук</w:t>
      </w:r>
      <w:r>
        <w:t>а</w:t>
      </w:r>
      <w:r>
        <w:t>зать, предпринимаются ли какие-либо усилия на государственном уровне для ускорения осуществления законодательных актов в рамках национального пл</w:t>
      </w:r>
      <w:r>
        <w:t>а</w:t>
      </w:r>
      <w:r>
        <w:t>на действий для предотвращения насилия в отношении женщин и защиты п</w:t>
      </w:r>
      <w:r>
        <w:t>о</w:t>
      </w:r>
      <w:r>
        <w:t>терпевших.</w:t>
      </w:r>
    </w:p>
    <w:p w:rsidR="00000000" w:rsidRDefault="00000000">
      <w:pPr>
        <w:pStyle w:val="SingleTxt"/>
      </w:pPr>
      <w:r>
        <w:t>12.</w:t>
      </w:r>
      <w:r>
        <w:tab/>
        <w:t>Просьба представить информацию о видах мер защиты, к которым в н</w:t>
      </w:r>
      <w:r>
        <w:t>а</w:t>
      </w:r>
      <w:r>
        <w:t>стоящее время могут прибегать в обоих образованиях женщины, ставшие жертвами насилия, и о факторах, не позволяющих правительствам государства и образований обеспечивать более широкую защиту женщин от насилия в б</w:t>
      </w:r>
      <w:r>
        <w:t>ы</w:t>
      </w:r>
      <w:r>
        <w:t>ту.</w:t>
      </w:r>
    </w:p>
    <w:p w:rsidR="00000000" w:rsidRDefault="00000000">
      <w:pPr>
        <w:pStyle w:val="SingleTxt"/>
      </w:pPr>
      <w:r>
        <w:t>13.</w:t>
      </w:r>
      <w:r>
        <w:tab/>
        <w:t>Специальный докладчик Комиссии по правам человека по вопросу о н</w:t>
      </w:r>
      <w:r>
        <w:t>а</w:t>
      </w:r>
      <w:r>
        <w:t>силии в отношении женщин, его причинах и последствиях в своем докладе (E/CN.4/2003/75/Add.1, пункт 1921) выразила озабоченность по поводу того, что женщины воздерживаются от представления информации о случаях нас</w:t>
      </w:r>
      <w:r>
        <w:t>и</w:t>
      </w:r>
      <w:r>
        <w:t>лия в семье, поскольку в обществе традиционно царит патриархальный уклад, а насилие в быту считается обычным явлением. Она также обратила внимание на нежелание жертв насилия в быту обращаться в полицию, главным образом из</w:t>
      </w:r>
      <w:r>
        <w:noBreakHyphen/>
        <w:t>за опасений в отношении того, что их не поймут или что они могут по</w:t>
      </w:r>
      <w:r>
        <w:t>д</w:t>
      </w:r>
      <w:r>
        <w:t>вергнуться еще большему порицанию за разглашение информации, касающе</w:t>
      </w:r>
      <w:r>
        <w:t>й</w:t>
      </w:r>
      <w:r>
        <w:t>ся их частной жизни, особенно в случаях изнасилования или других форм се</w:t>
      </w:r>
      <w:r>
        <w:t>к</w:t>
      </w:r>
      <w:r>
        <w:t>суального посягательства. Эта озабоченность также отмечается и в докладе г</w:t>
      </w:r>
      <w:r>
        <w:t>о</w:t>
      </w:r>
      <w:r>
        <w:t>сударства-участника (пункт 76). Какие меры были приняты правительствами государства и образований для поощрения представления сообщений, повыш</w:t>
      </w:r>
      <w:r>
        <w:t>е</w:t>
      </w:r>
      <w:r>
        <w:t>ния степени информированности женщин о своих правах и предоставления им доступа к юридической помощи, а также для расширения возможностей гос</w:t>
      </w:r>
      <w:r>
        <w:t>у</w:t>
      </w:r>
      <w:r>
        <w:t>дарственных должностных лиц в различных областях (например, сотрудников полиции, социальных и медицинских работников) в целях оказания жертвам насилия в б</w:t>
      </w:r>
      <w:r>
        <w:t>ы</w:t>
      </w:r>
      <w:r>
        <w:t>ту помощи с учетом особых интересов женщин?</w:t>
      </w:r>
    </w:p>
    <w:p w:rsidR="00000000" w:rsidRDefault="00000000">
      <w:pPr>
        <w:pStyle w:val="SingleTxt"/>
      </w:pPr>
      <w:r>
        <w:t>14.</w:t>
      </w:r>
      <w:r>
        <w:tab/>
        <w:t>Просьба представить информацию о мерах, принятых для налаживания систематического сбора данных о насилии в отношении женщин, в том числе о случаях насилия, и для преследования и наказания виновных в совершении а</w:t>
      </w:r>
      <w:r>
        <w:t>к</w:t>
      </w:r>
      <w:r>
        <w:t>тов насилия.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6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15.</w:t>
      </w:r>
      <w:r>
        <w:tab/>
        <w:t>В своем докладе о посещении Боснии и Герцеговины Специальный до</w:t>
      </w:r>
      <w:r>
        <w:t>к</w:t>
      </w:r>
      <w:r>
        <w:t>ладчик Комиссии по правам человека по вопросу о торговле людьми, особенно женщинами и детьми, выразила озабоченность по поводу некоторых несоо</w:t>
      </w:r>
      <w:r>
        <w:t>т</w:t>
      </w:r>
      <w:r>
        <w:t>ветствий между федеральными законами государства и законами образований, которые в сочетании с проблемами юрисдикции создают дополнительные трудности для обеспечения соблюдения правовых норм и преследования пр</w:t>
      </w:r>
      <w:r>
        <w:t>а</w:t>
      </w:r>
      <w:r>
        <w:t>вонарушителей (E/CN.4/2005/71/Add.1, пункт 8). Просьба представить инфо</w:t>
      </w:r>
      <w:r>
        <w:t>р</w:t>
      </w:r>
      <w:r>
        <w:t>мацию о шагах, предпринятых правительством в целях согласования всех з</w:t>
      </w:r>
      <w:r>
        <w:t>а</w:t>
      </w:r>
      <w:r>
        <w:t>конов, касающихся торговли людьми. Просьба также представить информацию о том, были ли внесены поправки в закон о защите свидетелей в целях обесп</w:t>
      </w:r>
      <w:r>
        <w:t>е</w:t>
      </w:r>
      <w:r>
        <w:t>чения защиты потерпевших после завершения судебного разбирательства и до обеспечения их репатриации или реинтеграции.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7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16.</w:t>
      </w:r>
      <w:r>
        <w:tab/>
        <w:t>В статье 15 Закона о равенстве мужчин и женщин Боснии и Герцеговины предусматривается равное представительство мужчин и женщин в государс</w:t>
      </w:r>
      <w:r>
        <w:t>т</w:t>
      </w:r>
      <w:r>
        <w:t>венных органах во всех областях и на всех уровнях (см. пункт 113). Это треб</w:t>
      </w:r>
      <w:r>
        <w:t>о</w:t>
      </w:r>
      <w:r>
        <w:t>вание до настоящего времени не соблюдалось. Какие усилия предпринимаются государством-участником для обеспечения единообразного осуществления эт</w:t>
      </w:r>
      <w:r>
        <w:t>о</w:t>
      </w:r>
      <w:r>
        <w:t>го закона в обоих образованиях, но особенно в Республике Сербской? Пред</w:t>
      </w:r>
      <w:r>
        <w:t>у</w:t>
      </w:r>
      <w:r>
        <w:t>сматривают ли эти усилия применение временных специальных мер в соотве</w:t>
      </w:r>
      <w:r>
        <w:t>т</w:t>
      </w:r>
      <w:r>
        <w:t>ствии с пунктом 1 статьи 4 Конвенции и общей рекомендации Комитета № 25, таких, как параллельное выдвижение кандидатур и установление целевых п</w:t>
      </w:r>
      <w:r>
        <w:t>о</w:t>
      </w:r>
      <w:r>
        <w:t>казателей и квот, для увеличения в директивных органах числа женщин, в том числе сельских женщин и женщин из числа рома?</w:t>
      </w:r>
    </w:p>
    <w:p w:rsidR="00000000" w:rsidRDefault="00000000">
      <w:pPr>
        <w:pStyle w:val="SingleTxt"/>
      </w:pPr>
      <w:r>
        <w:t>17.</w:t>
      </w:r>
      <w:r>
        <w:tab/>
        <w:t>В докладе отмечается (пункт 105), что, несмотря на наличие у мужчин и женщин равных прав на участие в голосовании, в некоторых сельских районах сохраняется практика «семейного голосования», в соответствии с которой мужчины, являющиеся «главой семьи», принимают решение о том, как следует голосовать, которому женщины в большинстве случаев подчиняются». В Зак</w:t>
      </w:r>
      <w:r>
        <w:t>о</w:t>
      </w:r>
      <w:r>
        <w:t>не о выборах Боснии и Герцеговины установлена система квот (см. пункт 111), согласно которой все партии обязаны соблюдать требование о том, чтобы по крайней мере одну треть выдвигаемых кандидатов составляли представители гендерного меньшинства. Как представляется, эта система квот в определенной степени уравновешивается наличием «открытых списков» (пункт 117), позв</w:t>
      </w:r>
      <w:r>
        <w:t>о</w:t>
      </w:r>
      <w:r>
        <w:t>ляющих избирателям выбирать кандидатов независимо от их позиции, и «в нашем случае избиратели предпочитают кандидатов-мужчин». В связи с этим просьба сообщить о мерах, принимаемых на различных уровнях системы управления для повышения степени осведомленности женщин об их правах в плане участия в голосовании в соответствии с их убеждениями и без всякого да</w:t>
      </w:r>
      <w:r>
        <w:t>в</w:t>
      </w:r>
      <w:r>
        <w:t>ления извне.</w:t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8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18.</w:t>
      </w:r>
      <w:r>
        <w:tab/>
        <w:t>В докладе отмечается (пункт 136), что женщины «в силу их традиционн</w:t>
      </w:r>
      <w:r>
        <w:t>о</w:t>
      </w:r>
      <w:r>
        <w:t>го положения в обществе по</w:t>
      </w:r>
      <w:r>
        <w:noBreakHyphen/>
        <w:t>прежнему недостаточно широко представлены в международных кругах и представительствах страны за рубежом». Просьба представить информацию о мерах, направленных на повышение уровня пре</w:t>
      </w:r>
      <w:r>
        <w:t>д</w:t>
      </w:r>
      <w:r>
        <w:t>ставленности женщин на руководящих должностях в министерстве иностра</w:t>
      </w:r>
      <w:r>
        <w:t>н</w:t>
      </w:r>
      <w:r>
        <w:t>ных дел, а также в дипломатических представительствах и консульских учре</w:t>
      </w:r>
      <w:r>
        <w:t>ж</w:t>
      </w:r>
      <w:r>
        <w:t>ден</w:t>
      </w:r>
      <w:r>
        <w:t>и</w:t>
      </w:r>
      <w:r>
        <w:t>ях.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10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19.</w:t>
      </w:r>
      <w:r>
        <w:tab/>
        <w:t>В докладе отмечается (пункт 128), что в обоих образованиях начался пр</w:t>
      </w:r>
      <w:r>
        <w:t>о</w:t>
      </w:r>
      <w:r>
        <w:t>цесс образовательной реформы, направленной на согласование и модерниз</w:t>
      </w:r>
      <w:r>
        <w:t>а</w:t>
      </w:r>
      <w:r>
        <w:t>цию существующей системы образования, включая введение в действие новой правовой основы. Просьба представить подробную информацию об этой р</w:t>
      </w:r>
      <w:r>
        <w:t>е</w:t>
      </w:r>
      <w:r>
        <w:t>форме, в том числе о новых законах и усилиях, предпринимаемых для пер</w:t>
      </w:r>
      <w:r>
        <w:t>е</w:t>
      </w:r>
      <w:r>
        <w:t>смотра стереотипных представлений о роли женщин и мужчин, сохраняющи</w:t>
      </w:r>
      <w:r>
        <w:t>х</w:t>
      </w:r>
      <w:r>
        <w:t>ся в учебниках, учебных программах и взглядах и поведении учителей.</w:t>
      </w:r>
    </w:p>
    <w:p w:rsidR="00000000" w:rsidRDefault="00000000">
      <w:pPr>
        <w:pStyle w:val="SingleTxt"/>
      </w:pPr>
      <w:r>
        <w:t>20.</w:t>
      </w:r>
      <w:r>
        <w:tab/>
        <w:t>Просьба сообщить о том, какие меры намерено принять правительство для устранения наблюдающегося в обоих образованиях неравенства между д</w:t>
      </w:r>
      <w:r>
        <w:t>е</w:t>
      </w:r>
      <w:r>
        <w:t>вочками и мальчиками в том, что касается уровня образования, а также выбора предметов.</w:t>
      </w:r>
    </w:p>
    <w:p w:rsidR="00000000" w:rsidRDefault="00000000">
      <w:pPr>
        <w:pStyle w:val="SingleTxt"/>
      </w:pPr>
      <w:r>
        <w:t>21.</w:t>
      </w:r>
      <w:r>
        <w:tab/>
        <w:t>Просьба сообщить о мерах, принятых правительствами государства и о</w:t>
      </w:r>
      <w:r>
        <w:t>б</w:t>
      </w:r>
      <w:r>
        <w:t>разований для обеспечения обучения девочек в сельских районах, предотвр</w:t>
      </w:r>
      <w:r>
        <w:t>а</w:t>
      </w:r>
      <w:r>
        <w:t>щения ухода из школы этих девочек после четвертого класса, предоставления им более широких возможностей для получения среднего образования и ли</w:t>
      </w:r>
      <w:r>
        <w:t>к</w:t>
      </w:r>
      <w:r>
        <w:t>видации неграмотности среди сельских женщин пожилого возраста.</w:t>
      </w:r>
    </w:p>
    <w:p w:rsidR="00000000" w:rsidRDefault="00000000">
      <w:pPr>
        <w:pStyle w:val="SingleTxt"/>
      </w:pPr>
      <w:r>
        <w:t>22.</w:t>
      </w:r>
      <w:r>
        <w:tab/>
        <w:t>В докладе отмечается, что неграмотность широко распространена среди женщин из числа рома. Просьба сообщить о том, какие меры планируются или принимаются для решения проблемы высокой доли неграмотных среди же</w:t>
      </w:r>
      <w:r>
        <w:t>н</w:t>
      </w:r>
      <w:r>
        <w:t>щин из числа рома и обеспеч</w:t>
      </w:r>
      <w:r>
        <w:t>е</w:t>
      </w:r>
      <w:r>
        <w:t xml:space="preserve">ния обучения девочек рома.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Статья 11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23.</w:t>
      </w:r>
      <w:r>
        <w:tab/>
        <w:t>В докладе отмечается (пункт 187), что в переходный период, в котором находится Босния и Герцеговина, работодатели, как правило, в первую очередь увольняют женщин. Просьба представить информацию о том, о каких работ</w:t>
      </w:r>
      <w:r>
        <w:t>о</w:t>
      </w:r>
      <w:r>
        <w:t>дателях идет речь — из государственного или частного секторов и какие меры принимаются правительствами государства и образований для предотвращения и пресечения развития этой тенденции в целях всестороннего осуществления положений статьи 11 Конвенции.</w:t>
      </w:r>
    </w:p>
    <w:p w:rsidR="00000000" w:rsidRDefault="00000000">
      <w:pPr>
        <w:pStyle w:val="SingleTxt"/>
      </w:pPr>
      <w:r>
        <w:t>24.</w:t>
      </w:r>
      <w:r>
        <w:tab/>
        <w:t>Каковы причины особо высокого уровня безработицы среди наиболее о</w:t>
      </w:r>
      <w:r>
        <w:t>б</w:t>
      </w:r>
      <w:r>
        <w:t>разованных женщин в Боснии и Герцеговине и какие меры принимаются для поддержки расширения экономических возможностей этой группы женщин и каковы их результаты?</w:t>
      </w:r>
    </w:p>
    <w:p w:rsidR="00000000" w:rsidRDefault="00000000">
      <w:pPr>
        <w:pStyle w:val="SingleTxt"/>
      </w:pPr>
      <w:r>
        <w:t>25.</w:t>
      </w:r>
      <w:r>
        <w:tab/>
        <w:t>В докладе приводится информация о присутствии женщин в частном се</w:t>
      </w:r>
      <w:r>
        <w:t>к</w:t>
      </w:r>
      <w:r>
        <w:t>торе, в частности в качестве владельцев частных магазинов/мелких предпр</w:t>
      </w:r>
      <w:r>
        <w:t>и</w:t>
      </w:r>
      <w:r>
        <w:t>ятий в период 1999–2001 годов (см. пункты 193–194), в котором половина женщин являлись владельцами частных структур. Какие меры принимаются органами государства и образований для поддержки работы или самостоятел</w:t>
      </w:r>
      <w:r>
        <w:t>ь</w:t>
      </w:r>
      <w:r>
        <w:t>ной занятости женщин в частном секторе, в том числе за счет осуществления программ предоставления микрокредитов, обеспечения профессиональной подготовки и предоставления вспомогательных услуг? Просьба также уто</w:t>
      </w:r>
      <w:r>
        <w:t>ч</w:t>
      </w:r>
      <w:r>
        <w:t>нить, как регистрируются малые предприятия, принадлежащие женщинам, и распространяется ли на владельцев и работников этого сектора действие пл</w:t>
      </w:r>
      <w:r>
        <w:t>а</w:t>
      </w:r>
      <w:r>
        <w:t>нов медицинского страхования и на случай потери трудоспособности, а также пенсио</w:t>
      </w:r>
      <w:r>
        <w:t>н</w:t>
      </w:r>
      <w:r>
        <w:t>ных систем.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12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26.</w:t>
      </w:r>
      <w:r>
        <w:tab/>
        <w:t>В докладе отмечается, что аборты используются в качестве одного из м</w:t>
      </w:r>
      <w:r>
        <w:t>е</w:t>
      </w:r>
      <w:r>
        <w:t>тодов планирования семьи, что приводит к существенному увеличению коэ</w:t>
      </w:r>
      <w:r>
        <w:t>ф</w:t>
      </w:r>
      <w:r>
        <w:t>фициента материнской смертности (пункт 250). В нем также указывается, что половое воспитание по</w:t>
      </w:r>
      <w:r>
        <w:noBreakHyphen/>
        <w:t>прежнему является недостаточным и что беременность среди подростков является широко распространенным явлением, приводящим к вступлению в брак до достижения законного возраста (пункт 253). Какие ш</w:t>
      </w:r>
      <w:r>
        <w:t>а</w:t>
      </w:r>
      <w:r>
        <w:t>ги предпринимаются для обеспечения того, чтобы женщины и мужчины, вкл</w:t>
      </w:r>
      <w:r>
        <w:t>ю</w:t>
      </w:r>
      <w:r>
        <w:t>чая подростков, имели доступ к информации об услугах по охране репроду</w:t>
      </w:r>
      <w:r>
        <w:t>к</w:t>
      </w:r>
      <w:r>
        <w:t>тивного здоровья и методах планирования семьи и к доступным методам ко</w:t>
      </w:r>
      <w:r>
        <w:t>н</w:t>
      </w:r>
      <w:r>
        <w:t>трацепции? В частности, какие имеются планы для сокращения числа случаев бер</w:t>
      </w:r>
      <w:r>
        <w:t>е</w:t>
      </w:r>
      <w:r>
        <w:t>менности среди подростков?</w:t>
      </w:r>
    </w:p>
    <w:p w:rsidR="00000000" w:rsidRDefault="00000000">
      <w:pPr>
        <w:pStyle w:val="SingleTxt"/>
      </w:pPr>
      <w:r>
        <w:t>27.</w:t>
      </w:r>
      <w:r>
        <w:tab/>
        <w:t>Данные о предоставлении медицинского обслуживания относятся к 2001 году. Просьба представить информацию о том, была ли проведена рефо</w:t>
      </w:r>
      <w:r>
        <w:t>р</w:t>
      </w:r>
      <w:r>
        <w:t>ма системы здравоохранения и получили ли женщины какие</w:t>
      </w:r>
      <w:r>
        <w:noBreakHyphen/>
        <w:t>либо выгоды от этой реформы, в частности женщины, травмированные в результате войны и таких связанных с войной преступлений, как изнасилования, женщины-инвалиды и женщины в сельских районах.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Статья 14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28.</w:t>
      </w:r>
      <w:r>
        <w:tab/>
        <w:t>Просьба сообщить, какие меры были приняты правительствами госуда</w:t>
      </w:r>
      <w:r>
        <w:t>р</w:t>
      </w:r>
      <w:r>
        <w:t>ства и образований для улучшения положения сельских, в том числе пожилых сельских, женщин, с точки зрения их доступа к образованию, трудоустройству, микрокредитам и помощи. Просьба также сообщить о том, какие усилия были предприняты для повышения степени осведомленности женщин и предоста</w:t>
      </w:r>
      <w:r>
        <w:t>в</w:t>
      </w:r>
      <w:r>
        <w:t>ления женщинам более широких возможностей для осуществления своих прав, таких, как имущественные права и права наследования.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16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29.</w:t>
      </w:r>
      <w:r>
        <w:tab/>
        <w:t>Просьба представить дополнительную информацию о положении домох</w:t>
      </w:r>
      <w:r>
        <w:t>о</w:t>
      </w:r>
      <w:r>
        <w:t>зяйств, возглавляемых женщинами. Она должна включать информацию о пр</w:t>
      </w:r>
      <w:r>
        <w:t>о</w:t>
      </w:r>
      <w:r>
        <w:t>центной доле таких домохозяйств в сравнении с домохозяйствами, в которых имеются оба родителя, их экономическом положении и мерах, принимаемых правительствами государства и образований для оказания помощи домохозя</w:t>
      </w:r>
      <w:r>
        <w:t>й</w:t>
      </w:r>
      <w:r>
        <w:t>ствам, возглавляемым женщинами, в ч</w:t>
      </w:r>
      <w:r>
        <w:t>а</w:t>
      </w:r>
      <w:r>
        <w:t>стности вдовами и матерями-одиночками после развода.</w:t>
      </w:r>
    </w:p>
    <w:p w:rsidR="00000000" w:rsidRDefault="00000000">
      <w:pPr>
        <w:pStyle w:val="SingleTxt"/>
      </w:pPr>
      <w:r>
        <w:t>30.</w:t>
      </w:r>
      <w:r>
        <w:tab/>
        <w:t>Просьба представить информацию о положении женщин, которые явл</w:t>
      </w:r>
      <w:r>
        <w:t>я</w:t>
      </w:r>
      <w:r>
        <w:t>лись ранее или являются в настоящее время беженцами или внутренне пер</w:t>
      </w:r>
      <w:r>
        <w:t>е</w:t>
      </w:r>
      <w:r>
        <w:t>мещенными лицами, в частности женщин, у которых мужья пропали без вести, вдов и оставленных женщин. В этой связи просьба указать, какие шаги были предприняты для содействия воссоединению семей и повторному вступлению в права собственности, а также предоставлению этой уязвимой группе женщин помощи в вопросах, связанных с восстановлением и возвращением к нормал</w:t>
      </w:r>
      <w:r>
        <w:t>ь</w:t>
      </w:r>
      <w:r>
        <w:t>ной жизни.</w:t>
      </w:r>
    </w:p>
    <w:p w:rsidR="00000000" w:rsidRDefault="00000000">
      <w:pPr>
        <w:pStyle w:val="SingleTxt"/>
      </w:pPr>
      <w:r>
        <w:t>31.</w:t>
      </w:r>
      <w:r>
        <w:tab/>
        <w:t>Представитель Генерального секретаря по правам человека внутренне п</w:t>
      </w:r>
      <w:r>
        <w:t>е</w:t>
      </w:r>
      <w:r>
        <w:t>ремещенных лиц после своего визита в Боснию и Герцеговину в июне 2005 года рекомендовал начать предпринимать систематические усилия для отыскания прочных решений для особо уязвимых групп, таких, как травмир</w:t>
      </w:r>
      <w:r>
        <w:t>о</w:t>
      </w:r>
      <w:r>
        <w:t>ванные лица или инвалиды, пожилые лица, не получающие помощи от семьи, представители рома и другие лица, которые вероятнее всего не смогут ве</w:t>
      </w:r>
      <w:r>
        <w:t>р</w:t>
      </w:r>
      <w:r>
        <w:t>нуться в свои бывшие дома. Просьба представить информацию о доле женщин в этих категориях и о шагах, предпринимаемых правительствами государства и образований для выполнения этой рекомендации, и о тех выгодах, которые женщины получат в р</w:t>
      </w:r>
      <w:r>
        <w:t>е</w:t>
      </w:r>
      <w:r>
        <w:t>зультате принятия этих мер.</w:t>
      </w:r>
    </w:p>
    <w:p w:rsidR="00000000" w:rsidRDefault="00000000">
      <w:pPr>
        <w:pStyle w:val="SingleTxt"/>
      </w:pPr>
      <w:r>
        <w:t>32.</w:t>
      </w:r>
      <w:r>
        <w:tab/>
        <w:t>Какие программы имеются или разрабатываются для решения проблемы отсутствия у женщин из числа рома документов, необходимых для получения услуг, требующихся для осуществления основных гражданских, политических, социальных и экономических прав, таких, как свидетельства о рождении, уд</w:t>
      </w:r>
      <w:r>
        <w:t>о</w:t>
      </w:r>
      <w:r>
        <w:t>стоверения личности или паспорта?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rPr>
          <w:w w:val="100"/>
        </w:rPr>
        <w:pict>
          <v:line id="_x0000_s2050" style="position:absolute;left:0;text-align:left;z-index:1;mso-position-horizontal:absolute;mso-position-horizontal-relative:text;mso-position-vertical:absolute;mso-position-vertical-relative:text" from="199.45pt,52.4pt" to="271.45pt,52.4pt" o:allowincell="f" strokeweight=".25pt"/>
        </w:pict>
      </w:r>
      <w:r>
        <w:t>33.</w:t>
      </w:r>
      <w:r>
        <w:tab/>
        <w:t>Просьба представить информацию о разрабатываемых или принятых пр</w:t>
      </w:r>
      <w:r>
        <w:t>а</w:t>
      </w:r>
      <w:r>
        <w:t>вительством мерах для распространения информации о Факультативном пр</w:t>
      </w:r>
      <w:r>
        <w:t>о</w:t>
      </w:r>
      <w:r>
        <w:t>токоле и поощрения его применения.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NO&gt;&gt;N0624229R&lt;&lt;ODS JOB NO&gt;&gt;</w:t>
      </w:r>
    </w:p>
    <w:p w:rsidR="00000000" w:rsidRDefault="00000000">
      <w:pPr>
        <w:pStyle w:val="CommentText"/>
      </w:pPr>
      <w:r>
        <w:t>&lt;&lt;ODS DOC SYMBOL1&gt;&gt;CEDAW/C/BIH/Q/3&lt;&lt;ODS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06-24229 (R)    060306    060306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*0624229*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CEDAW/C/BIH/Q/3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CEDAW/C/BIH/Q/3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/C/BIH/Q/3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10 February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6/03/2006 18:52:53"/>
    <w:docVar w:name="DocCategory" w:val="Doc"/>
    <w:docVar w:name="DocType" w:val="Final"/>
    <w:docVar w:name="JobNo" w:val="0624229R"/>
    <w:docVar w:name="OandT" w:val=" "/>
    <w:docVar w:name="Symbol1" w:val="CEDAW/C/BIH/Q/3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7</Pages>
  <Words>2597</Words>
  <Characters>14808</Characters>
  <Application>Microsoft Office Word</Application>
  <DocSecurity>4</DocSecurity>
  <Lines>123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18185</CharactersWithSpaces>
  <SharedDoc>false</SharedDoc>
  <HLinks>
    <vt:vector size="6" baseType="variant">
      <vt:variant>
        <vt:i4>4522087</vt:i4>
      </vt:variant>
      <vt:variant>
        <vt:i4>37178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6</cp:revision>
  <cp:lastPrinted>2006-03-06T20:52:00Z</cp:lastPrinted>
  <dcterms:created xsi:type="dcterms:W3CDTF">2006-03-06T20:52:00Z</dcterms:created>
  <dcterms:modified xsi:type="dcterms:W3CDTF">2006-03-06T21:08:00Z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0624229</vt:lpwstr>
  </property>
  <property fmtid="{D5CDD505-2E9C-101B-9397-08002B2CF9AE}" pid="3" name="Symbol1">
    <vt:lpwstr>CEDAW/C/BIH/Q/3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7</vt:lpwstr>
  </property>
  <property fmtid="{D5CDD505-2E9C-101B-9397-08002B2CF9AE}" pid="8" name="Operator">
    <vt:lpwstr>Kostyuchenko</vt:lpwstr>
  </property>
</Properties>
</file>