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9DBE7" w14:textId="77777777" w:rsidR="0095211E" w:rsidRPr="00B3585D" w:rsidRDefault="0095211E" w:rsidP="0095211E">
      <w:pPr>
        <w:spacing w:line="240" w:lineRule="auto"/>
        <w:rPr>
          <w:sz w:val="2"/>
        </w:rPr>
        <w:sectPr w:rsidR="0095211E" w:rsidRPr="00B3585D" w:rsidSect="001B053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3585D">
        <w:rPr>
          <w:rStyle w:val="CommentReference"/>
          <w:szCs w:val="20"/>
        </w:rPr>
        <w:commentReference w:id="0"/>
      </w:r>
    </w:p>
    <w:p w14:paraId="1808214B" w14:textId="77777777" w:rsidR="001B053B" w:rsidRPr="00B3585D" w:rsidRDefault="001B053B" w:rsidP="001B05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B3585D">
        <w:t>Comité para la Eliminación de la Discriminación contra la Mujer</w:t>
      </w:r>
    </w:p>
    <w:p w14:paraId="0AF2039B" w14:textId="77777777" w:rsidR="001B053B" w:rsidRPr="00B3585D" w:rsidRDefault="001B053B" w:rsidP="001B053B">
      <w:pPr>
        <w:pStyle w:val="Session"/>
      </w:pPr>
      <w:r w:rsidRPr="002B0A80">
        <w:t>80</w:t>
      </w:r>
      <w:r w:rsidRPr="00B3585D">
        <w:t>º período de sesiones</w:t>
      </w:r>
    </w:p>
    <w:p w14:paraId="0180FE1F" w14:textId="77777777" w:rsidR="001B053B" w:rsidRPr="001B053B" w:rsidRDefault="001B053B" w:rsidP="001B053B">
      <w:r w:rsidRPr="001B053B">
        <w:t>18 de octubre a 12 de noviembre de 2021</w:t>
      </w:r>
    </w:p>
    <w:p w14:paraId="4CA19033" w14:textId="77777777" w:rsidR="001B053B" w:rsidRPr="00B3585D" w:rsidRDefault="001B053B" w:rsidP="001B053B">
      <w:pPr>
        <w:pStyle w:val="AgendaItemNormal"/>
      </w:pPr>
      <w:r w:rsidRPr="00B3585D">
        <w:t xml:space="preserve">Tema </w:t>
      </w:r>
      <w:r w:rsidRPr="002B0A80">
        <w:t>2</w:t>
      </w:r>
      <w:r w:rsidRPr="00B3585D">
        <w:t xml:space="preserve"> del programa provisional</w:t>
      </w:r>
    </w:p>
    <w:p w14:paraId="48315781" w14:textId="50EB6B5B" w:rsidR="0095211E" w:rsidRPr="00B3585D" w:rsidRDefault="001B053B" w:rsidP="001B053B">
      <w:pPr>
        <w:pStyle w:val="AgendaTitleH2"/>
        <w:ind w:left="1267" w:right="0" w:hanging="1267"/>
      </w:pPr>
      <w:r w:rsidRPr="00B3585D">
        <w:t>Aprobación del programa y organización de los trabajos</w:t>
      </w:r>
    </w:p>
    <w:p w14:paraId="72826539" w14:textId="0F723817" w:rsidR="001B053B" w:rsidRPr="00B3585D" w:rsidRDefault="001B053B" w:rsidP="001B053B">
      <w:pPr>
        <w:spacing w:line="120" w:lineRule="exact"/>
        <w:rPr>
          <w:sz w:val="10"/>
        </w:rPr>
      </w:pPr>
    </w:p>
    <w:p w14:paraId="2BDE91EA" w14:textId="41CFF68E" w:rsidR="001B053B" w:rsidRPr="00B3585D" w:rsidRDefault="001B053B" w:rsidP="001B053B">
      <w:pPr>
        <w:spacing w:line="120" w:lineRule="exact"/>
        <w:rPr>
          <w:sz w:val="10"/>
        </w:rPr>
      </w:pPr>
    </w:p>
    <w:p w14:paraId="6232815F" w14:textId="469A06E8" w:rsidR="001B053B" w:rsidRPr="00B3585D" w:rsidRDefault="001B053B" w:rsidP="001B053B">
      <w:pPr>
        <w:spacing w:line="120" w:lineRule="exact"/>
        <w:rPr>
          <w:sz w:val="10"/>
        </w:rPr>
      </w:pPr>
    </w:p>
    <w:p w14:paraId="732450DE" w14:textId="0AEA0723" w:rsidR="001B053B" w:rsidRPr="00B3585D" w:rsidRDefault="001B053B" w:rsidP="001B053B">
      <w:pPr>
        <w:pStyle w:val="TitleHCH"/>
        <w:rPr>
          <w:b w:val="0"/>
          <w:bCs/>
          <w:sz w:val="20"/>
          <w:szCs w:val="20"/>
        </w:rPr>
      </w:pPr>
      <w:r w:rsidRPr="00B3585D">
        <w:tab/>
      </w:r>
      <w:r w:rsidRPr="00B3585D">
        <w:tab/>
        <w:t>Programa provisional anotado</w:t>
      </w:r>
      <w:r w:rsidRPr="00B3585D">
        <w:rPr>
          <w:b w:val="0"/>
          <w:bCs/>
          <w:sz w:val="20"/>
          <w:szCs w:val="20"/>
        </w:rPr>
        <w:footnoteReference w:customMarkFollows="1" w:id="1"/>
        <w:t>*</w:t>
      </w:r>
    </w:p>
    <w:p w14:paraId="4F207360" w14:textId="2AF7036A" w:rsidR="001B053B" w:rsidRPr="00B3585D" w:rsidRDefault="001B053B" w:rsidP="001B053B">
      <w:pPr>
        <w:pStyle w:val="SingleTxt"/>
        <w:spacing w:after="0" w:line="120" w:lineRule="exact"/>
        <w:rPr>
          <w:sz w:val="10"/>
        </w:rPr>
      </w:pPr>
    </w:p>
    <w:p w14:paraId="614AD5AB" w14:textId="0EF3EB00" w:rsidR="001B053B" w:rsidRPr="00B3585D" w:rsidRDefault="001B053B" w:rsidP="001B053B">
      <w:pPr>
        <w:pStyle w:val="SingleTxt"/>
        <w:spacing w:after="0" w:line="120" w:lineRule="exact"/>
        <w:rPr>
          <w:sz w:val="10"/>
        </w:rPr>
      </w:pPr>
    </w:p>
    <w:p w14:paraId="43CC4EA4" w14:textId="76599A9F" w:rsidR="001B053B" w:rsidRPr="00B3585D" w:rsidRDefault="001B053B" w:rsidP="001B053B">
      <w:pPr>
        <w:pStyle w:val="TitleH1"/>
      </w:pPr>
      <w:r w:rsidRPr="00B3585D">
        <w:tab/>
      </w:r>
      <w:r w:rsidRPr="00B3585D">
        <w:tab/>
        <w:t>Programa provisional</w:t>
      </w:r>
    </w:p>
    <w:p w14:paraId="668DBDCB" w14:textId="66B714A6" w:rsidR="001B053B" w:rsidRPr="00B3585D" w:rsidRDefault="001B053B" w:rsidP="001B053B">
      <w:pPr>
        <w:pStyle w:val="SingleTxt"/>
        <w:spacing w:after="0" w:line="120" w:lineRule="exact"/>
        <w:rPr>
          <w:sz w:val="10"/>
        </w:rPr>
      </w:pPr>
    </w:p>
    <w:p w14:paraId="18A00078" w14:textId="4D3EBF1B" w:rsidR="001B053B" w:rsidRPr="00B3585D" w:rsidRDefault="001B053B" w:rsidP="001B053B">
      <w:pPr>
        <w:pStyle w:val="SingleTxt"/>
        <w:spacing w:after="0" w:line="120" w:lineRule="exact"/>
        <w:rPr>
          <w:sz w:val="10"/>
        </w:rPr>
      </w:pPr>
    </w:p>
    <w:p w14:paraId="4F81922A" w14:textId="77777777" w:rsidR="001B053B" w:rsidRPr="001B053B" w:rsidRDefault="001B053B" w:rsidP="001B053B">
      <w:pPr>
        <w:pStyle w:val="SingleTxt"/>
        <w:jc w:val="left"/>
      </w:pPr>
      <w:r w:rsidRPr="001B053B">
        <w:t>1.</w:t>
      </w:r>
      <w:r w:rsidRPr="001B053B">
        <w:tab/>
        <w:t>Apertura del período de sesiones.</w:t>
      </w:r>
    </w:p>
    <w:p w14:paraId="38D13E9C" w14:textId="77777777" w:rsidR="001B053B" w:rsidRPr="001B053B" w:rsidRDefault="001B053B" w:rsidP="001B053B">
      <w:pPr>
        <w:pStyle w:val="SingleTxt"/>
        <w:jc w:val="left"/>
      </w:pPr>
      <w:r w:rsidRPr="001B053B">
        <w:t>2.</w:t>
      </w:r>
      <w:r w:rsidRPr="001B053B">
        <w:tab/>
        <w:t>Aprobación del programa y organización de los trabajos.</w:t>
      </w:r>
    </w:p>
    <w:p w14:paraId="4E5BA8FC" w14:textId="77777777" w:rsidR="001B053B" w:rsidRPr="001B053B" w:rsidRDefault="001B053B" w:rsidP="0013066F">
      <w:pPr>
        <w:pStyle w:val="SingleTxt"/>
        <w:ind w:left="1742" w:hanging="475"/>
        <w:jc w:val="left"/>
      </w:pPr>
      <w:r w:rsidRPr="001B053B">
        <w:t>3.</w:t>
      </w:r>
      <w:r w:rsidRPr="001B053B">
        <w:tab/>
        <w:t>Informe de la Presidencia sobre las actividades realizadas entre los períodos de sesiones 79º y 80º del Comité.</w:t>
      </w:r>
    </w:p>
    <w:p w14:paraId="2D6E9BDF" w14:textId="77777777" w:rsidR="001B053B" w:rsidRPr="001B053B" w:rsidRDefault="001B053B" w:rsidP="001B053B">
      <w:pPr>
        <w:pStyle w:val="SingleTxt"/>
        <w:ind w:left="1742" w:hanging="475"/>
        <w:jc w:val="left"/>
      </w:pPr>
      <w:r w:rsidRPr="001B053B">
        <w:t>4.</w:t>
      </w:r>
      <w:r w:rsidRPr="001B053B">
        <w:tab/>
        <w:t>Examen de los informes presentados por los Estados partes en virtud del artículo 18 de la Convención sobre la Eliminación de Todas las Formas de Discriminación contra la Mujer.</w:t>
      </w:r>
    </w:p>
    <w:p w14:paraId="075E8911" w14:textId="77777777" w:rsidR="001B053B" w:rsidRPr="001B053B" w:rsidRDefault="001B053B" w:rsidP="001B053B">
      <w:pPr>
        <w:pStyle w:val="SingleTxt"/>
        <w:ind w:left="1742" w:hanging="475"/>
        <w:jc w:val="left"/>
      </w:pPr>
      <w:r w:rsidRPr="001B053B">
        <w:t>5.</w:t>
      </w:r>
      <w:r w:rsidRPr="001B053B">
        <w:tab/>
        <w:t>Seguimiento del examen de los informes presentados por los Estados partes en virtud del artículo 18 de la Convención.</w:t>
      </w:r>
    </w:p>
    <w:p w14:paraId="50BCF67D" w14:textId="77777777" w:rsidR="001B053B" w:rsidRPr="001B053B" w:rsidRDefault="001B053B" w:rsidP="001B053B">
      <w:pPr>
        <w:pStyle w:val="SingleTxt"/>
        <w:ind w:left="1742" w:hanging="475"/>
        <w:jc w:val="left"/>
      </w:pPr>
      <w:r w:rsidRPr="001B053B">
        <w:t>6.</w:t>
      </w:r>
      <w:r w:rsidRPr="001B053B">
        <w:tab/>
        <w:t>Aplicación de los artículos 21 y 22 de la Convención.</w:t>
      </w:r>
    </w:p>
    <w:p w14:paraId="7C4904C7" w14:textId="77777777" w:rsidR="001B053B" w:rsidRPr="001B053B" w:rsidRDefault="001B053B" w:rsidP="001B053B">
      <w:pPr>
        <w:pStyle w:val="SingleTxt"/>
        <w:ind w:left="1742" w:hanging="475"/>
        <w:jc w:val="left"/>
      </w:pPr>
      <w:r w:rsidRPr="001B053B">
        <w:t>7.</w:t>
      </w:r>
      <w:r w:rsidRPr="001B053B">
        <w:tab/>
        <w:t>Medios de agilizar los trabajos del Comité.</w:t>
      </w:r>
    </w:p>
    <w:p w14:paraId="184951AA" w14:textId="77777777" w:rsidR="001B053B" w:rsidRPr="001B053B" w:rsidRDefault="001B053B" w:rsidP="001B053B">
      <w:pPr>
        <w:pStyle w:val="SingleTxt"/>
        <w:ind w:left="1742" w:hanging="475"/>
        <w:jc w:val="left"/>
      </w:pPr>
      <w:r w:rsidRPr="001B053B">
        <w:t>8.</w:t>
      </w:r>
      <w:r w:rsidRPr="001B053B">
        <w:tab/>
        <w:t>Actividades del Comité en relación con el Protocolo Facultativo de la Convención.</w:t>
      </w:r>
    </w:p>
    <w:p w14:paraId="4FCE948A" w14:textId="77777777" w:rsidR="001B053B" w:rsidRPr="001B053B" w:rsidRDefault="001B053B" w:rsidP="001B053B">
      <w:pPr>
        <w:pStyle w:val="SingleTxt"/>
        <w:ind w:left="1742" w:hanging="475"/>
        <w:jc w:val="left"/>
      </w:pPr>
      <w:r w:rsidRPr="001B053B">
        <w:t>9.</w:t>
      </w:r>
      <w:r w:rsidRPr="001B053B">
        <w:tab/>
        <w:t>Programa provisional del 81º período de sesiones del Comité.</w:t>
      </w:r>
    </w:p>
    <w:p w14:paraId="43254B4C" w14:textId="6A96D09B" w:rsidR="001B053B" w:rsidRPr="00B3585D" w:rsidRDefault="001B053B" w:rsidP="001B053B">
      <w:pPr>
        <w:pStyle w:val="SingleTxt"/>
        <w:ind w:left="1742" w:hanging="475"/>
        <w:jc w:val="left"/>
      </w:pPr>
      <w:r w:rsidRPr="001B053B">
        <w:t>10.</w:t>
      </w:r>
      <w:r w:rsidRPr="001B053B">
        <w:tab/>
        <w:t>Aprobación del informe del Comité sobre su 80º período de sesiones.</w:t>
      </w:r>
    </w:p>
    <w:p w14:paraId="36CDC26B" w14:textId="0EA8633B" w:rsidR="001B053B" w:rsidRPr="00B3585D" w:rsidRDefault="001B053B" w:rsidP="001B053B">
      <w:pPr>
        <w:pStyle w:val="SingleTxt"/>
        <w:spacing w:after="0" w:line="120" w:lineRule="exact"/>
        <w:ind w:left="1742" w:hanging="475"/>
        <w:jc w:val="left"/>
        <w:rPr>
          <w:sz w:val="10"/>
        </w:rPr>
      </w:pPr>
    </w:p>
    <w:p w14:paraId="6CF39889" w14:textId="167BBCEA" w:rsidR="001B053B" w:rsidRPr="00B3585D" w:rsidRDefault="001B053B">
      <w:pPr>
        <w:suppressAutoHyphens w:val="0"/>
        <w:spacing w:after="200" w:line="276" w:lineRule="auto"/>
        <w:rPr>
          <w:kern w:val="14"/>
          <w:sz w:val="10"/>
        </w:rPr>
      </w:pPr>
      <w:r w:rsidRPr="00B3585D">
        <w:rPr>
          <w:sz w:val="10"/>
        </w:rPr>
        <w:br w:type="page"/>
      </w:r>
    </w:p>
    <w:p w14:paraId="75CE6DA3" w14:textId="177E6A64" w:rsidR="001B053B" w:rsidRPr="00B3585D" w:rsidRDefault="001B053B" w:rsidP="001B05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lastRenderedPageBreak/>
        <w:tab/>
      </w:r>
      <w:r w:rsidRPr="00B3585D">
        <w:tab/>
        <w:t>Anotaciones</w:t>
      </w:r>
    </w:p>
    <w:p w14:paraId="67C42E5B" w14:textId="6C334374" w:rsidR="001B053B" w:rsidRPr="00B3585D" w:rsidRDefault="001B053B" w:rsidP="001B053B">
      <w:pPr>
        <w:pStyle w:val="SingleTxt"/>
        <w:spacing w:after="0" w:line="120" w:lineRule="exact"/>
        <w:rPr>
          <w:sz w:val="10"/>
        </w:rPr>
      </w:pPr>
    </w:p>
    <w:p w14:paraId="05AFB6A6" w14:textId="40FEBB5F" w:rsidR="001B053B" w:rsidRPr="00B3585D" w:rsidRDefault="001B053B" w:rsidP="001B053B">
      <w:pPr>
        <w:pStyle w:val="SingleTxt"/>
        <w:spacing w:after="0" w:line="120" w:lineRule="exact"/>
        <w:rPr>
          <w:sz w:val="10"/>
        </w:rPr>
      </w:pPr>
    </w:p>
    <w:p w14:paraId="18D9C1EA" w14:textId="57369A36" w:rsidR="001B053B" w:rsidRPr="00B3585D" w:rsidRDefault="001B053B" w:rsidP="001B0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1</w:t>
      </w:r>
      <w:r w:rsidRPr="00B3585D">
        <w:t>.</w:t>
      </w:r>
      <w:r w:rsidRPr="00B3585D">
        <w:tab/>
        <w:t>Apertura del período de sesiones</w:t>
      </w:r>
    </w:p>
    <w:p w14:paraId="64C6DF2F" w14:textId="3C6CF88C" w:rsidR="001B053B" w:rsidRPr="00B3585D" w:rsidRDefault="001B053B" w:rsidP="001B053B">
      <w:pPr>
        <w:pStyle w:val="SingleTxt"/>
        <w:spacing w:after="0" w:line="120" w:lineRule="exact"/>
        <w:rPr>
          <w:sz w:val="10"/>
        </w:rPr>
      </w:pPr>
    </w:p>
    <w:p w14:paraId="5C7F303F" w14:textId="69343953" w:rsidR="001B053B" w:rsidRPr="00B3585D" w:rsidRDefault="001B053B" w:rsidP="001B053B">
      <w:pPr>
        <w:pStyle w:val="SingleTxt"/>
      </w:pPr>
      <w:r w:rsidRPr="001B053B">
        <w:t>El 80º período de sesiones del Comité para la Eliminación de la Discriminación contra la Mujer será inaugurado por la Presidencia del Comité el 18 de octubre de 2021.</w:t>
      </w:r>
    </w:p>
    <w:p w14:paraId="13882030" w14:textId="68478EA7" w:rsidR="001B053B" w:rsidRPr="00B3585D" w:rsidRDefault="001B053B" w:rsidP="001B053B">
      <w:pPr>
        <w:pStyle w:val="SingleTxt"/>
        <w:spacing w:after="0" w:line="120" w:lineRule="exact"/>
        <w:rPr>
          <w:sz w:val="10"/>
        </w:rPr>
      </w:pPr>
    </w:p>
    <w:p w14:paraId="18E333BA" w14:textId="3F747063" w:rsidR="001B053B" w:rsidRPr="00B3585D" w:rsidRDefault="001B053B" w:rsidP="001B0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2</w:t>
      </w:r>
      <w:r w:rsidRPr="00B3585D">
        <w:t>.</w:t>
      </w:r>
      <w:r w:rsidRPr="00B3585D">
        <w:tab/>
        <w:t>Aprobación del programa y organización de los trabajos</w:t>
      </w:r>
    </w:p>
    <w:p w14:paraId="71085E87" w14:textId="691F55B4" w:rsidR="001B053B" w:rsidRPr="00B3585D" w:rsidRDefault="001B053B" w:rsidP="001B053B">
      <w:pPr>
        <w:pStyle w:val="SingleTxt"/>
        <w:spacing w:after="0" w:line="120" w:lineRule="exact"/>
        <w:rPr>
          <w:sz w:val="10"/>
        </w:rPr>
      </w:pPr>
    </w:p>
    <w:p w14:paraId="5337C990" w14:textId="77777777" w:rsidR="001B053B" w:rsidRPr="001B053B" w:rsidRDefault="001B053B" w:rsidP="001B053B">
      <w:pPr>
        <w:pStyle w:val="SingleTxt"/>
      </w:pPr>
      <w:r w:rsidRPr="001B053B">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1E3C8AD5" w14:textId="7CEB970B" w:rsidR="001B053B" w:rsidRPr="00B3585D" w:rsidRDefault="001B053B" w:rsidP="001B053B">
      <w:pPr>
        <w:pStyle w:val="SingleTxt"/>
      </w:pPr>
      <w:r w:rsidRPr="001B053B">
        <w:t>En su 79º período de sesiones, el Comité aprobó el programa provisional de su 80º período de sesiones.</w:t>
      </w:r>
    </w:p>
    <w:p w14:paraId="750E847E" w14:textId="48FDCD95" w:rsidR="001B053B" w:rsidRPr="00B3585D" w:rsidRDefault="001B053B" w:rsidP="001B053B">
      <w:pPr>
        <w:pStyle w:val="SingleTxt"/>
        <w:spacing w:after="0" w:line="120" w:lineRule="exact"/>
        <w:rPr>
          <w:sz w:val="10"/>
        </w:rPr>
      </w:pPr>
    </w:p>
    <w:p w14:paraId="005276F3" w14:textId="4CC8171E" w:rsidR="001B053B" w:rsidRPr="00B3585D" w:rsidRDefault="001B053B" w:rsidP="001B0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B3585D">
        <w:tab/>
      </w:r>
      <w:r w:rsidRPr="002B0A80">
        <w:t>3</w:t>
      </w:r>
      <w:r w:rsidRPr="00B3585D">
        <w:t>.</w:t>
      </w:r>
      <w:r w:rsidRPr="00B3585D">
        <w:tab/>
        <w:t xml:space="preserve">Informe de la Presidencia sobre las actividades realizadas entre los períodos de sesiones </w:t>
      </w:r>
      <w:r w:rsidRPr="002B0A80">
        <w:t>79</w:t>
      </w:r>
      <w:r w:rsidRPr="00B3585D">
        <w:t xml:space="preserve">º y </w:t>
      </w:r>
      <w:r w:rsidRPr="002B0A80">
        <w:t>80</w:t>
      </w:r>
      <w:r w:rsidRPr="00B3585D">
        <w:t>º del Comité</w:t>
      </w:r>
    </w:p>
    <w:p w14:paraId="332BC1E6" w14:textId="30BA72E4" w:rsidR="001B053B" w:rsidRPr="00B3585D" w:rsidRDefault="001B053B" w:rsidP="001B053B">
      <w:pPr>
        <w:pStyle w:val="SingleTxt"/>
        <w:spacing w:after="0" w:line="120" w:lineRule="exact"/>
        <w:rPr>
          <w:sz w:val="10"/>
        </w:rPr>
      </w:pPr>
    </w:p>
    <w:p w14:paraId="70ECDB24" w14:textId="6A919C9D" w:rsidR="001B053B" w:rsidRPr="00B3585D" w:rsidRDefault="001B053B" w:rsidP="001B053B">
      <w:pPr>
        <w:pStyle w:val="SingleTxt"/>
      </w:pPr>
      <w:r w:rsidRPr="001B053B">
        <w:t>La Presidencia informará al Comité sobre las actividades y los acontecimientos relacionados con la labor del Comité que hayan ocurrido desde el período de sesiones anterior.</w:t>
      </w:r>
    </w:p>
    <w:p w14:paraId="6F3217D0" w14:textId="6FC86C2A" w:rsidR="001B053B" w:rsidRPr="00B3585D" w:rsidRDefault="001B053B" w:rsidP="001B053B">
      <w:pPr>
        <w:pStyle w:val="SingleTxt"/>
        <w:spacing w:after="0" w:line="120" w:lineRule="exact"/>
        <w:rPr>
          <w:sz w:val="10"/>
        </w:rPr>
      </w:pPr>
    </w:p>
    <w:p w14:paraId="1454EEFB" w14:textId="1A5C39A8" w:rsidR="001B053B" w:rsidRPr="002B0A80" w:rsidRDefault="001B053B" w:rsidP="001B05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0A80">
        <w:tab/>
      </w:r>
      <w:r w:rsidRPr="002B0A80">
        <w:tab/>
        <w:t>Documentación</w:t>
      </w:r>
    </w:p>
    <w:p w14:paraId="5F1CA564" w14:textId="6901D27B" w:rsidR="001B053B" w:rsidRPr="00B3585D" w:rsidRDefault="001B053B" w:rsidP="001B053B">
      <w:pPr>
        <w:pStyle w:val="SingleTxt"/>
        <w:spacing w:after="0" w:line="120" w:lineRule="exact"/>
        <w:rPr>
          <w:sz w:val="10"/>
        </w:rPr>
      </w:pPr>
    </w:p>
    <w:p w14:paraId="3241A117" w14:textId="61C3740A" w:rsidR="001B053B" w:rsidRPr="00B3585D" w:rsidRDefault="001B053B" w:rsidP="001B053B">
      <w:pPr>
        <w:pStyle w:val="SingleTxt"/>
      </w:pPr>
      <w:r w:rsidRPr="001B053B">
        <w:t>Programa provisional anotado (CEDAW/C/80/1)</w:t>
      </w:r>
    </w:p>
    <w:p w14:paraId="6544060E" w14:textId="7DA93E85" w:rsidR="001B053B" w:rsidRPr="00B3585D" w:rsidRDefault="001B053B" w:rsidP="001B053B">
      <w:pPr>
        <w:pStyle w:val="SingleTxt"/>
        <w:spacing w:after="0" w:line="120" w:lineRule="exact"/>
        <w:rPr>
          <w:sz w:val="10"/>
        </w:rPr>
      </w:pPr>
    </w:p>
    <w:p w14:paraId="63FFB115" w14:textId="3566C2D8" w:rsidR="001B053B" w:rsidRPr="00B3585D" w:rsidRDefault="001B053B" w:rsidP="001B0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4</w:t>
      </w:r>
      <w:r w:rsidRPr="00B3585D">
        <w:t>.</w:t>
      </w:r>
      <w:r w:rsidRPr="00B3585D">
        <w:tab/>
        <w:t xml:space="preserve">Examen de los informes presentados por los Estados partes en virtud del artículo </w:t>
      </w:r>
      <w:r w:rsidRPr="002B0A80">
        <w:t>18</w:t>
      </w:r>
      <w:r w:rsidRPr="00B3585D">
        <w:t xml:space="preserve"> de la Convención sobre la Eliminación de Todas las Formas de Discriminación contra la Mujer</w:t>
      </w:r>
    </w:p>
    <w:p w14:paraId="424DA831" w14:textId="383A43D5" w:rsidR="001B053B" w:rsidRPr="00B3585D" w:rsidRDefault="001B053B" w:rsidP="001B053B">
      <w:pPr>
        <w:pStyle w:val="SingleTxt"/>
        <w:spacing w:after="0" w:line="120" w:lineRule="exact"/>
        <w:rPr>
          <w:sz w:val="10"/>
        </w:rPr>
      </w:pPr>
    </w:p>
    <w:p w14:paraId="2D3C4F75" w14:textId="77777777" w:rsidR="001B053B" w:rsidRPr="001B053B" w:rsidRDefault="001B053B" w:rsidP="001B053B">
      <w:pPr>
        <w:pStyle w:val="SingleTxt"/>
      </w:pPr>
      <w:r w:rsidRPr="001B053B">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7DC11437" w14:textId="77777777" w:rsidR="001B053B" w:rsidRPr="001B053B" w:rsidRDefault="001B053B" w:rsidP="001B053B">
      <w:pPr>
        <w:pStyle w:val="SingleTxt"/>
      </w:pPr>
      <w:r w:rsidRPr="001B053B">
        <w:t>Está previsto que en su 80º período de sesiones el Comité examine los informes de los siguientes Estados partes: Ecuador, Egipto, Federación de Rusia, Indonesia, Kirguistán, Maldivas, Nicaragua, Sudáfrica, Sudán del Sur, Suecia y Yemen.</w:t>
      </w:r>
    </w:p>
    <w:p w14:paraId="73318494" w14:textId="77777777" w:rsidR="001B053B" w:rsidRPr="001B053B" w:rsidRDefault="001B053B" w:rsidP="001B053B">
      <w:pPr>
        <w:pStyle w:val="SingleTxt"/>
      </w:pPr>
      <w:r w:rsidRPr="001B053B">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4DB812AF" w14:textId="77777777" w:rsidR="001B053B" w:rsidRPr="001B053B" w:rsidRDefault="001B053B" w:rsidP="001B053B">
      <w:pPr>
        <w:pStyle w:val="SingleTxt"/>
      </w:pPr>
      <w:r w:rsidRPr="001B053B">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29B1933A" w14:textId="19A5AD13" w:rsidR="001B053B" w:rsidRPr="00B3585D" w:rsidRDefault="001B053B" w:rsidP="001B053B">
      <w:pPr>
        <w:pStyle w:val="SingleTxt"/>
      </w:pPr>
      <w:r w:rsidRPr="001B053B">
        <w:lastRenderedPageBreak/>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80º período de sesiones se reunió a distancia del 1 al 3 y el 5 de marzo de 2021. El Comité tendrá ante sí el informe del grupo de trabajo anterior al período de sesiones (</w:t>
      </w:r>
      <w:hyperlink r:id="rId17" w:history="1">
        <w:r w:rsidRPr="001B053B">
          <w:rPr>
            <w:rStyle w:val="Hyperlink"/>
          </w:rPr>
          <w:t>CEDAW/C/PSWG/80/1</w:t>
        </w:r>
      </w:hyperlink>
      <w:r w:rsidRPr="001B053B">
        <w:t>) y las respuestas de los Estados partes a las listas de cuestiones y preguntas.</w:t>
      </w:r>
    </w:p>
    <w:p w14:paraId="5F0F1761" w14:textId="6100C3C5" w:rsidR="001B053B" w:rsidRPr="00B3585D" w:rsidRDefault="001B053B" w:rsidP="001B053B">
      <w:pPr>
        <w:pStyle w:val="SingleTxt"/>
        <w:spacing w:after="0" w:line="120" w:lineRule="exact"/>
        <w:rPr>
          <w:sz w:val="10"/>
        </w:rPr>
      </w:pPr>
    </w:p>
    <w:p w14:paraId="1C69CEC5" w14:textId="7D91FE44" w:rsidR="001B053B" w:rsidRPr="00B3585D" w:rsidRDefault="001B053B" w:rsidP="001B0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B3585D">
        <w:tab/>
        <w:t>Documentación</w:t>
      </w:r>
    </w:p>
    <w:p w14:paraId="64D46179" w14:textId="42AC5904" w:rsidR="001B053B" w:rsidRPr="00B3585D" w:rsidRDefault="001B053B" w:rsidP="001B053B">
      <w:pPr>
        <w:pStyle w:val="SingleTxt"/>
        <w:spacing w:after="0" w:line="120" w:lineRule="exact"/>
        <w:rPr>
          <w:sz w:val="10"/>
        </w:rPr>
      </w:pPr>
    </w:p>
    <w:p w14:paraId="222E25F9" w14:textId="6B759E07" w:rsidR="001B053B" w:rsidRPr="002B0A80" w:rsidRDefault="001B053B" w:rsidP="001B05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0A80">
        <w:tab/>
      </w:r>
      <w:r w:rsidRPr="002B0A80">
        <w:tab/>
        <w:t>Informes</w:t>
      </w:r>
    </w:p>
    <w:p w14:paraId="1A3C6EC7" w14:textId="1B728211" w:rsidR="001B053B" w:rsidRPr="00B3585D" w:rsidRDefault="001B053B" w:rsidP="001B053B">
      <w:pPr>
        <w:pStyle w:val="SingleTxt"/>
        <w:spacing w:after="0" w:line="120" w:lineRule="exact"/>
        <w:rPr>
          <w:sz w:val="10"/>
        </w:rPr>
      </w:pPr>
    </w:p>
    <w:p w14:paraId="5F738318" w14:textId="03ED6E60" w:rsidR="001B053B" w:rsidRPr="001B053B" w:rsidRDefault="001B053B" w:rsidP="001B053B">
      <w:pPr>
        <w:pStyle w:val="SingleTxt"/>
        <w:rPr>
          <w:bCs/>
        </w:rPr>
      </w:pPr>
      <w:r w:rsidRPr="001B053B">
        <w:t>Décimo informe periódico del Ecuador, presentado conforme al procedimiento simplificado (</w:t>
      </w:r>
      <w:hyperlink r:id="rId18" w:history="1">
        <w:r w:rsidRPr="001B053B">
          <w:rPr>
            <w:rStyle w:val="Hyperlink"/>
          </w:rPr>
          <w:t>CEDAW/C/ECU/10</w:t>
        </w:r>
      </w:hyperlink>
      <w:r w:rsidRPr="001B053B">
        <w:t>)</w:t>
      </w:r>
    </w:p>
    <w:p w14:paraId="6D790E0D" w14:textId="46AFFC64" w:rsidR="001B053B" w:rsidRPr="001B053B" w:rsidRDefault="001B053B" w:rsidP="001B053B">
      <w:pPr>
        <w:pStyle w:val="SingleTxt"/>
        <w:rPr>
          <w:bCs/>
        </w:rPr>
      </w:pPr>
      <w:r w:rsidRPr="001B053B">
        <w:t>Informes periódicos octavo a décimo combinados de Egipto (</w:t>
      </w:r>
      <w:hyperlink r:id="rId19" w:history="1">
        <w:r w:rsidRPr="001B053B">
          <w:rPr>
            <w:rStyle w:val="Hyperlink"/>
          </w:rPr>
          <w:t>CEDAW/C/EGY/8-10</w:t>
        </w:r>
      </w:hyperlink>
      <w:r w:rsidRPr="001B053B">
        <w:t>)</w:t>
      </w:r>
    </w:p>
    <w:p w14:paraId="581CFCDC" w14:textId="687265E9" w:rsidR="001B053B" w:rsidRPr="001B053B" w:rsidRDefault="001B053B" w:rsidP="001B053B">
      <w:pPr>
        <w:pStyle w:val="SingleTxt"/>
      </w:pPr>
      <w:r w:rsidRPr="001B053B">
        <w:t>Octavo informe periódico de Indonesia (</w:t>
      </w:r>
      <w:hyperlink r:id="rId20" w:history="1">
        <w:r w:rsidRPr="001B053B">
          <w:rPr>
            <w:rStyle w:val="Hyperlink"/>
          </w:rPr>
          <w:t>CEDAW/C/IDN/8</w:t>
        </w:r>
      </w:hyperlink>
      <w:r w:rsidRPr="001B053B">
        <w:t>)</w:t>
      </w:r>
    </w:p>
    <w:p w14:paraId="6B1D72BD" w14:textId="07BC96D5" w:rsidR="001B053B" w:rsidRPr="001B053B" w:rsidRDefault="001B053B" w:rsidP="001B053B">
      <w:pPr>
        <w:pStyle w:val="SingleTxt"/>
        <w:rPr>
          <w:bCs/>
        </w:rPr>
      </w:pPr>
      <w:r w:rsidRPr="001B053B">
        <w:t>Quinto informe periódico de Kirguistán (</w:t>
      </w:r>
      <w:hyperlink r:id="rId21" w:history="1">
        <w:r w:rsidRPr="001B053B">
          <w:rPr>
            <w:rStyle w:val="Hyperlink"/>
          </w:rPr>
          <w:t>CEDAW/C/KGZ/5</w:t>
        </w:r>
      </w:hyperlink>
      <w:r w:rsidRPr="001B053B">
        <w:t>)</w:t>
      </w:r>
    </w:p>
    <w:p w14:paraId="63C7AF4C" w14:textId="68F30E2B" w:rsidR="001B053B" w:rsidRPr="001B053B" w:rsidRDefault="001B053B" w:rsidP="001B053B">
      <w:pPr>
        <w:pStyle w:val="SingleTxt"/>
      </w:pPr>
      <w:r w:rsidRPr="001B053B">
        <w:t>Sexto informe periódico de Maldivas (</w:t>
      </w:r>
      <w:hyperlink r:id="rId22" w:history="1">
        <w:r w:rsidRPr="001B053B">
          <w:rPr>
            <w:rStyle w:val="Hyperlink"/>
          </w:rPr>
          <w:t>CEDAW/C/MDV/6</w:t>
        </w:r>
      </w:hyperlink>
      <w:r w:rsidRPr="001B053B">
        <w:t>)</w:t>
      </w:r>
    </w:p>
    <w:p w14:paraId="7E9CF383" w14:textId="4F736894" w:rsidR="001B053B" w:rsidRPr="001B053B" w:rsidRDefault="001B053B" w:rsidP="001B053B">
      <w:pPr>
        <w:pStyle w:val="SingleTxt"/>
      </w:pPr>
      <w:r w:rsidRPr="001B053B">
        <w:t>Informes periódicos séptimo a décimo combinados de Nicaragua (</w:t>
      </w:r>
      <w:hyperlink r:id="rId23" w:history="1">
        <w:r w:rsidRPr="001B053B">
          <w:rPr>
            <w:rStyle w:val="Hyperlink"/>
          </w:rPr>
          <w:t>CEDAW/C/NIC/7</w:t>
        </w:r>
        <w:r w:rsidR="00B3585D" w:rsidRPr="002B0A80">
          <w:rPr>
            <w:rStyle w:val="Hyperlink"/>
          </w:rPr>
          <w:noBreakHyphen/>
        </w:r>
        <w:r w:rsidRPr="001B053B">
          <w:rPr>
            <w:rStyle w:val="Hyperlink"/>
          </w:rPr>
          <w:t>10</w:t>
        </w:r>
      </w:hyperlink>
      <w:r w:rsidRPr="001B053B">
        <w:t>)</w:t>
      </w:r>
    </w:p>
    <w:p w14:paraId="6636E0EC" w14:textId="578B7C22" w:rsidR="001B053B" w:rsidRPr="001B053B" w:rsidRDefault="001B053B" w:rsidP="001B053B">
      <w:pPr>
        <w:pStyle w:val="SingleTxt"/>
        <w:rPr>
          <w:bCs/>
        </w:rPr>
      </w:pPr>
      <w:r w:rsidRPr="001B053B">
        <w:t>Noveno informe periódico de la Federación de Rusia (</w:t>
      </w:r>
      <w:hyperlink r:id="rId24" w:history="1">
        <w:r w:rsidRPr="001B053B">
          <w:rPr>
            <w:rStyle w:val="Hyperlink"/>
          </w:rPr>
          <w:t>CEDAW/C/RUS/9</w:t>
        </w:r>
      </w:hyperlink>
      <w:r w:rsidRPr="001B053B">
        <w:t xml:space="preserve"> y </w:t>
      </w:r>
      <w:hyperlink r:id="rId25" w:history="1">
        <w:r w:rsidRPr="001B053B">
          <w:rPr>
            <w:rStyle w:val="Hyperlink"/>
          </w:rPr>
          <w:t>CEDAW/C/RUS/9/Corr.1</w:t>
        </w:r>
      </w:hyperlink>
      <w:r w:rsidRPr="001B053B">
        <w:t>)</w:t>
      </w:r>
    </w:p>
    <w:p w14:paraId="625FB325" w14:textId="1D26162C" w:rsidR="001B053B" w:rsidRPr="001B053B" w:rsidRDefault="001B053B" w:rsidP="001B053B">
      <w:pPr>
        <w:pStyle w:val="SingleTxt"/>
        <w:rPr>
          <w:b/>
          <w:bCs/>
        </w:rPr>
      </w:pPr>
      <w:r w:rsidRPr="001B053B">
        <w:t>Quinto informe periódico de Sudáfrica (</w:t>
      </w:r>
      <w:hyperlink r:id="rId26" w:history="1">
        <w:r w:rsidRPr="001B053B">
          <w:rPr>
            <w:rStyle w:val="Hyperlink"/>
          </w:rPr>
          <w:t>CEDAW/C/ZAF/5</w:t>
        </w:r>
      </w:hyperlink>
      <w:r w:rsidRPr="001B053B">
        <w:t>)</w:t>
      </w:r>
    </w:p>
    <w:p w14:paraId="0C68847C" w14:textId="592D4616" w:rsidR="001B053B" w:rsidRPr="001B053B" w:rsidRDefault="001B053B" w:rsidP="001B053B">
      <w:pPr>
        <w:pStyle w:val="SingleTxt"/>
        <w:rPr>
          <w:bCs/>
        </w:rPr>
      </w:pPr>
      <w:r w:rsidRPr="001B053B">
        <w:t>Informe inicial de Sudán del Sur (</w:t>
      </w:r>
      <w:hyperlink r:id="rId27" w:history="1">
        <w:r w:rsidRPr="001B053B">
          <w:rPr>
            <w:rStyle w:val="Hyperlink"/>
          </w:rPr>
          <w:t>CEDAW/C/SSD/1</w:t>
        </w:r>
      </w:hyperlink>
      <w:r w:rsidRPr="001B053B">
        <w:t>)</w:t>
      </w:r>
    </w:p>
    <w:p w14:paraId="20AF4E0F" w14:textId="38E6AB5C" w:rsidR="001B053B" w:rsidRPr="001B053B" w:rsidRDefault="001B053B" w:rsidP="001B053B">
      <w:pPr>
        <w:pStyle w:val="SingleTxt"/>
      </w:pPr>
      <w:r w:rsidRPr="001B053B">
        <w:t>Décimo informe periódico de Suecia, presentado conforme al procedimiento simplificado (</w:t>
      </w:r>
      <w:hyperlink r:id="rId28" w:history="1">
        <w:r w:rsidRPr="001B053B">
          <w:rPr>
            <w:rStyle w:val="Hyperlink"/>
          </w:rPr>
          <w:t>CEDAW/C/SWE/10</w:t>
        </w:r>
      </w:hyperlink>
      <w:r w:rsidRPr="001B053B">
        <w:t>)</w:t>
      </w:r>
    </w:p>
    <w:p w14:paraId="00525418" w14:textId="0448BB72" w:rsidR="001B053B" w:rsidRPr="00B3585D" w:rsidRDefault="001B053B" w:rsidP="001B053B">
      <w:pPr>
        <w:pStyle w:val="SingleTxt"/>
      </w:pPr>
      <w:r w:rsidRPr="001B053B">
        <w:t>Informes periódicos combinados séptimo y octavo del Yemen (</w:t>
      </w:r>
      <w:hyperlink r:id="rId29" w:history="1">
        <w:r w:rsidRPr="001B053B">
          <w:rPr>
            <w:rStyle w:val="Hyperlink"/>
          </w:rPr>
          <w:t>CEDAW/C/YEM/7-8</w:t>
        </w:r>
      </w:hyperlink>
      <w:r w:rsidRPr="001B053B">
        <w:t>)</w:t>
      </w:r>
    </w:p>
    <w:p w14:paraId="2484DF7B" w14:textId="187E4887" w:rsidR="001B053B" w:rsidRPr="00B3585D" w:rsidRDefault="001B053B" w:rsidP="001B053B">
      <w:pPr>
        <w:pStyle w:val="SingleTxt"/>
        <w:spacing w:after="0" w:line="120" w:lineRule="exact"/>
        <w:rPr>
          <w:sz w:val="10"/>
        </w:rPr>
      </w:pPr>
    </w:p>
    <w:p w14:paraId="7170CA7F" w14:textId="0AB93B76" w:rsidR="001B053B" w:rsidRPr="002B0A80" w:rsidRDefault="001B053B" w:rsidP="001B05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0A80">
        <w:tab/>
      </w:r>
      <w:r w:rsidRPr="002B0A80">
        <w:tab/>
        <w:t>Listas de cuestiones y preguntas</w:t>
      </w:r>
    </w:p>
    <w:p w14:paraId="7F2ADD1A" w14:textId="2A713A57" w:rsidR="001B053B" w:rsidRPr="00B3585D" w:rsidRDefault="001B053B" w:rsidP="001B053B">
      <w:pPr>
        <w:pStyle w:val="SingleTxt"/>
        <w:spacing w:after="0" w:line="120" w:lineRule="exact"/>
        <w:rPr>
          <w:sz w:val="10"/>
        </w:rPr>
      </w:pPr>
    </w:p>
    <w:p w14:paraId="0F1569AB" w14:textId="754BC1C7" w:rsidR="001B053B" w:rsidRPr="001B053B" w:rsidRDefault="001B053B" w:rsidP="001B053B">
      <w:pPr>
        <w:pStyle w:val="SingleTxt"/>
        <w:rPr>
          <w:bCs/>
        </w:rPr>
      </w:pPr>
      <w:r w:rsidRPr="001B053B">
        <w:t>Ecuador (</w:t>
      </w:r>
      <w:hyperlink r:id="rId30" w:history="1">
        <w:r w:rsidRPr="001B053B">
          <w:rPr>
            <w:rStyle w:val="Hyperlink"/>
          </w:rPr>
          <w:t>CEDAW/C/ECU/QPR/10</w:t>
        </w:r>
      </w:hyperlink>
      <w:r w:rsidRPr="001B053B">
        <w:t>)</w:t>
      </w:r>
    </w:p>
    <w:p w14:paraId="43838CD4" w14:textId="7655E66D" w:rsidR="001B053B" w:rsidRPr="001B053B" w:rsidRDefault="001B053B" w:rsidP="001B053B">
      <w:pPr>
        <w:pStyle w:val="SingleTxt"/>
        <w:rPr>
          <w:bCs/>
        </w:rPr>
      </w:pPr>
      <w:r w:rsidRPr="001B053B">
        <w:t>Egipto (</w:t>
      </w:r>
      <w:hyperlink r:id="rId31" w:history="1">
        <w:r w:rsidRPr="001B053B">
          <w:rPr>
            <w:rStyle w:val="Hyperlink"/>
          </w:rPr>
          <w:t>CEDAW/C/EGY/Q/8-10</w:t>
        </w:r>
      </w:hyperlink>
      <w:r w:rsidRPr="001B053B">
        <w:t>)</w:t>
      </w:r>
    </w:p>
    <w:p w14:paraId="28BE7456" w14:textId="5875DC9B" w:rsidR="001B053B" w:rsidRPr="001B053B" w:rsidRDefault="001B053B" w:rsidP="001B053B">
      <w:pPr>
        <w:pStyle w:val="SingleTxt"/>
      </w:pPr>
      <w:r w:rsidRPr="001B053B">
        <w:t>Indonesia (</w:t>
      </w:r>
      <w:hyperlink r:id="rId32" w:history="1">
        <w:r w:rsidRPr="001B053B">
          <w:rPr>
            <w:rStyle w:val="Hyperlink"/>
          </w:rPr>
          <w:t>CEDAW/C/IDN/Q/8</w:t>
        </w:r>
      </w:hyperlink>
      <w:r w:rsidRPr="001B053B">
        <w:t>)</w:t>
      </w:r>
    </w:p>
    <w:p w14:paraId="2D81E07C" w14:textId="3C9D0DA3" w:rsidR="001B053B" w:rsidRPr="001B053B" w:rsidRDefault="001B053B" w:rsidP="001B053B">
      <w:pPr>
        <w:pStyle w:val="SingleTxt"/>
        <w:rPr>
          <w:bCs/>
        </w:rPr>
      </w:pPr>
      <w:r w:rsidRPr="001B053B">
        <w:t>Kirguistán (</w:t>
      </w:r>
      <w:hyperlink r:id="rId33" w:history="1">
        <w:r w:rsidRPr="001B053B">
          <w:rPr>
            <w:rStyle w:val="Hyperlink"/>
          </w:rPr>
          <w:t>CEDAW/C/KGZ/Q/5</w:t>
        </w:r>
      </w:hyperlink>
      <w:r w:rsidRPr="001B053B">
        <w:t>)</w:t>
      </w:r>
    </w:p>
    <w:p w14:paraId="6A8DB555" w14:textId="7020EC32" w:rsidR="001B053B" w:rsidRPr="001B053B" w:rsidRDefault="001B053B" w:rsidP="001B053B">
      <w:pPr>
        <w:pStyle w:val="SingleTxt"/>
      </w:pPr>
      <w:r w:rsidRPr="001B053B">
        <w:t>Maldivas (</w:t>
      </w:r>
      <w:hyperlink r:id="rId34" w:history="1">
        <w:r w:rsidRPr="001B053B">
          <w:rPr>
            <w:rStyle w:val="Hyperlink"/>
          </w:rPr>
          <w:t>CEDAW/C/MDV/Q/6</w:t>
        </w:r>
      </w:hyperlink>
      <w:r w:rsidRPr="001B053B">
        <w:t>)</w:t>
      </w:r>
    </w:p>
    <w:p w14:paraId="5972783C" w14:textId="3A122D08" w:rsidR="001B053B" w:rsidRPr="001B053B" w:rsidRDefault="001B053B" w:rsidP="001B053B">
      <w:pPr>
        <w:pStyle w:val="SingleTxt"/>
      </w:pPr>
      <w:r w:rsidRPr="001B053B">
        <w:t>Nicaragua (</w:t>
      </w:r>
      <w:hyperlink r:id="rId35" w:history="1">
        <w:r w:rsidRPr="001B053B">
          <w:rPr>
            <w:rStyle w:val="Hyperlink"/>
          </w:rPr>
          <w:t>CEDAW/C/NIC/Q/7-10</w:t>
        </w:r>
      </w:hyperlink>
      <w:r w:rsidRPr="001B053B">
        <w:t>)</w:t>
      </w:r>
    </w:p>
    <w:p w14:paraId="177B8764" w14:textId="665650EA" w:rsidR="001B053B" w:rsidRPr="001B053B" w:rsidRDefault="001B053B" w:rsidP="001B053B">
      <w:pPr>
        <w:pStyle w:val="SingleTxt"/>
        <w:rPr>
          <w:bCs/>
        </w:rPr>
      </w:pPr>
      <w:r w:rsidRPr="001B053B">
        <w:t>Federación de Rusia (</w:t>
      </w:r>
      <w:hyperlink r:id="rId36" w:history="1">
        <w:r w:rsidRPr="001B053B">
          <w:rPr>
            <w:rStyle w:val="Hyperlink"/>
          </w:rPr>
          <w:t>CEDAW/C/RUS/Q/9</w:t>
        </w:r>
      </w:hyperlink>
      <w:r w:rsidRPr="001B053B">
        <w:t>)</w:t>
      </w:r>
    </w:p>
    <w:p w14:paraId="7905C8E3" w14:textId="186B0604" w:rsidR="001B053B" w:rsidRPr="001B053B" w:rsidRDefault="001B053B" w:rsidP="001B053B">
      <w:pPr>
        <w:pStyle w:val="SingleTxt"/>
        <w:rPr>
          <w:b/>
          <w:bCs/>
        </w:rPr>
      </w:pPr>
      <w:r w:rsidRPr="001B053B">
        <w:t>Sudáfrica (</w:t>
      </w:r>
      <w:hyperlink r:id="rId37" w:history="1">
        <w:r w:rsidRPr="001B053B">
          <w:rPr>
            <w:rStyle w:val="Hyperlink"/>
          </w:rPr>
          <w:t>CEDAW/C/ZAF/Q/5</w:t>
        </w:r>
      </w:hyperlink>
      <w:r w:rsidRPr="001B053B">
        <w:t>)</w:t>
      </w:r>
    </w:p>
    <w:p w14:paraId="6DF8AA31" w14:textId="5CD2753C" w:rsidR="001B053B" w:rsidRPr="001B053B" w:rsidRDefault="001B053B" w:rsidP="001B053B">
      <w:pPr>
        <w:pStyle w:val="SingleTxt"/>
        <w:rPr>
          <w:bCs/>
        </w:rPr>
      </w:pPr>
      <w:r w:rsidRPr="001B053B">
        <w:t>Sudán del Sur (</w:t>
      </w:r>
      <w:hyperlink r:id="rId38" w:history="1">
        <w:r w:rsidRPr="001B053B">
          <w:rPr>
            <w:rStyle w:val="Hyperlink"/>
          </w:rPr>
          <w:t>CEDAW/C/SSD/Q/1</w:t>
        </w:r>
      </w:hyperlink>
      <w:r w:rsidRPr="001B053B">
        <w:t>)</w:t>
      </w:r>
    </w:p>
    <w:p w14:paraId="77A61235" w14:textId="10E857F7" w:rsidR="001B053B" w:rsidRPr="001B053B" w:rsidRDefault="001B053B" w:rsidP="001B053B">
      <w:pPr>
        <w:pStyle w:val="SingleTxt"/>
      </w:pPr>
      <w:r w:rsidRPr="001B053B">
        <w:t>Suecia (</w:t>
      </w:r>
      <w:hyperlink r:id="rId39" w:history="1">
        <w:r w:rsidRPr="001B053B">
          <w:rPr>
            <w:rStyle w:val="Hyperlink"/>
          </w:rPr>
          <w:t>CEDAW/C/SWE/QPR/10</w:t>
        </w:r>
      </w:hyperlink>
      <w:r w:rsidRPr="001B053B">
        <w:t>)</w:t>
      </w:r>
    </w:p>
    <w:p w14:paraId="39157790" w14:textId="3C83580D" w:rsidR="001B053B" w:rsidRPr="00B3585D" w:rsidRDefault="001B053B" w:rsidP="001B053B">
      <w:pPr>
        <w:pStyle w:val="SingleTxt"/>
        <w:rPr>
          <w:lang w:val="en-US"/>
        </w:rPr>
      </w:pPr>
      <w:r w:rsidRPr="001B053B">
        <w:rPr>
          <w:lang w:val="en-US"/>
        </w:rPr>
        <w:t>Yemen (</w:t>
      </w:r>
      <w:hyperlink r:id="rId40" w:history="1">
        <w:r w:rsidRPr="001B053B">
          <w:rPr>
            <w:rStyle w:val="Hyperlink"/>
            <w:lang w:val="en-US"/>
          </w:rPr>
          <w:t>CEDAW/C/YEM/Q/7-8/Rev.1</w:t>
        </w:r>
      </w:hyperlink>
      <w:r w:rsidRPr="001B053B">
        <w:rPr>
          <w:lang w:val="en-US"/>
        </w:rPr>
        <w:t>)</w:t>
      </w:r>
    </w:p>
    <w:p w14:paraId="426E1E5D" w14:textId="158FBC11" w:rsidR="001B053B" w:rsidRPr="00B3585D" w:rsidRDefault="001B053B" w:rsidP="001B053B">
      <w:pPr>
        <w:pStyle w:val="SingleTxt"/>
        <w:spacing w:after="0" w:line="120" w:lineRule="exact"/>
        <w:rPr>
          <w:sz w:val="10"/>
          <w:lang w:val="en-US"/>
        </w:rPr>
      </w:pPr>
    </w:p>
    <w:p w14:paraId="07988FFB" w14:textId="02573B5A" w:rsidR="001B053B" w:rsidRPr="002B0A80" w:rsidRDefault="001B053B" w:rsidP="001B05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0A80">
        <w:rPr>
          <w:lang w:val="en-US"/>
        </w:rPr>
        <w:tab/>
      </w:r>
      <w:r w:rsidRPr="002B0A80">
        <w:rPr>
          <w:lang w:val="en-US"/>
        </w:rPr>
        <w:tab/>
      </w:r>
      <w:r w:rsidRPr="002B0A80">
        <w:t>Respuestas a las listas de cuestiones y preguntas</w:t>
      </w:r>
    </w:p>
    <w:p w14:paraId="678CAB62" w14:textId="1A97B795" w:rsidR="001B053B" w:rsidRPr="00B3585D" w:rsidRDefault="001B053B" w:rsidP="001B053B">
      <w:pPr>
        <w:pStyle w:val="SingleTxt"/>
        <w:spacing w:after="0" w:line="120" w:lineRule="exact"/>
        <w:rPr>
          <w:sz w:val="10"/>
        </w:rPr>
      </w:pPr>
    </w:p>
    <w:p w14:paraId="02D83A4C" w14:textId="15D5C2D7" w:rsidR="001B053B" w:rsidRPr="001B053B" w:rsidRDefault="001B053B" w:rsidP="001B053B">
      <w:pPr>
        <w:pStyle w:val="SingleTxt"/>
        <w:rPr>
          <w:bCs/>
        </w:rPr>
      </w:pPr>
      <w:r w:rsidRPr="001B053B">
        <w:t>Egipto (</w:t>
      </w:r>
      <w:hyperlink r:id="rId41" w:history="1">
        <w:r w:rsidRPr="001B053B">
          <w:rPr>
            <w:rStyle w:val="Hyperlink"/>
          </w:rPr>
          <w:t>CEDAW/C/EGY/RQ/8-10</w:t>
        </w:r>
      </w:hyperlink>
      <w:r w:rsidRPr="001B053B">
        <w:t>)</w:t>
      </w:r>
    </w:p>
    <w:p w14:paraId="3C412C3C" w14:textId="44A07CF5" w:rsidR="001B053B" w:rsidRPr="001B053B" w:rsidRDefault="001B053B" w:rsidP="001B053B">
      <w:pPr>
        <w:pStyle w:val="SingleTxt"/>
      </w:pPr>
      <w:r w:rsidRPr="001B053B">
        <w:t>Indonesia (</w:t>
      </w:r>
      <w:hyperlink r:id="rId42" w:history="1">
        <w:r w:rsidRPr="001B053B">
          <w:rPr>
            <w:rStyle w:val="Hyperlink"/>
          </w:rPr>
          <w:t>CEDAW/C/IDN/RQ/8</w:t>
        </w:r>
      </w:hyperlink>
      <w:r w:rsidRPr="001B053B">
        <w:t>)</w:t>
      </w:r>
    </w:p>
    <w:p w14:paraId="2B4ABD3C" w14:textId="5BE6AE73" w:rsidR="001B053B" w:rsidRPr="001B053B" w:rsidRDefault="001B053B" w:rsidP="001B053B">
      <w:pPr>
        <w:pStyle w:val="SingleTxt"/>
        <w:rPr>
          <w:bCs/>
        </w:rPr>
      </w:pPr>
      <w:r w:rsidRPr="001B053B">
        <w:lastRenderedPageBreak/>
        <w:t>Kirguistán (</w:t>
      </w:r>
      <w:hyperlink r:id="rId43" w:history="1">
        <w:r w:rsidRPr="001B053B">
          <w:rPr>
            <w:rStyle w:val="Hyperlink"/>
          </w:rPr>
          <w:t>CEDAW/C/KGZ/RQ/5</w:t>
        </w:r>
      </w:hyperlink>
      <w:r w:rsidRPr="001B053B">
        <w:t>)</w:t>
      </w:r>
    </w:p>
    <w:p w14:paraId="6D4A838E" w14:textId="3BBF5DC0" w:rsidR="001B053B" w:rsidRPr="001B053B" w:rsidRDefault="001B053B" w:rsidP="001B053B">
      <w:pPr>
        <w:pStyle w:val="SingleTxt"/>
      </w:pPr>
      <w:r w:rsidRPr="001B053B">
        <w:t>Maldivas (</w:t>
      </w:r>
      <w:hyperlink r:id="rId44" w:history="1">
        <w:r w:rsidRPr="001B053B">
          <w:rPr>
            <w:rStyle w:val="Hyperlink"/>
          </w:rPr>
          <w:t>CEDAW/C/MDV/RQ/6</w:t>
        </w:r>
      </w:hyperlink>
      <w:r w:rsidRPr="001B053B">
        <w:t>)</w:t>
      </w:r>
    </w:p>
    <w:p w14:paraId="5EA5D9D7" w14:textId="377C5EC6" w:rsidR="001B053B" w:rsidRPr="001B053B" w:rsidRDefault="001B053B" w:rsidP="001B053B">
      <w:pPr>
        <w:pStyle w:val="SingleTxt"/>
      </w:pPr>
      <w:r w:rsidRPr="001B053B">
        <w:t>Nicaragua (</w:t>
      </w:r>
      <w:hyperlink r:id="rId45" w:history="1">
        <w:r w:rsidRPr="001B053B">
          <w:rPr>
            <w:rStyle w:val="Hyperlink"/>
          </w:rPr>
          <w:t>CEDAW/C/NIC/RQ/7-10</w:t>
        </w:r>
      </w:hyperlink>
      <w:r w:rsidRPr="001B053B">
        <w:t>)</w:t>
      </w:r>
    </w:p>
    <w:p w14:paraId="1BA305AB" w14:textId="394CAB78" w:rsidR="001B053B" w:rsidRPr="001B053B" w:rsidRDefault="001B053B" w:rsidP="001B053B">
      <w:pPr>
        <w:pStyle w:val="SingleTxt"/>
        <w:rPr>
          <w:bCs/>
        </w:rPr>
      </w:pPr>
      <w:r w:rsidRPr="001B053B">
        <w:t>Federación de Rusia (</w:t>
      </w:r>
      <w:hyperlink r:id="rId46" w:history="1">
        <w:r w:rsidRPr="001B053B">
          <w:rPr>
            <w:rStyle w:val="Hyperlink"/>
          </w:rPr>
          <w:t>CEDAW/C/RUS/RQ/9</w:t>
        </w:r>
      </w:hyperlink>
      <w:r w:rsidRPr="001B053B">
        <w:t>)</w:t>
      </w:r>
    </w:p>
    <w:p w14:paraId="581D2E90" w14:textId="4D5AF6C1" w:rsidR="001B053B" w:rsidRPr="001B053B" w:rsidRDefault="001B053B" w:rsidP="001B053B">
      <w:pPr>
        <w:pStyle w:val="SingleTxt"/>
        <w:rPr>
          <w:b/>
          <w:bCs/>
        </w:rPr>
      </w:pPr>
      <w:r w:rsidRPr="001B053B">
        <w:t>Sudáfrica (</w:t>
      </w:r>
      <w:hyperlink r:id="rId47" w:history="1">
        <w:r w:rsidRPr="001B053B">
          <w:rPr>
            <w:rStyle w:val="Hyperlink"/>
          </w:rPr>
          <w:t>CEDAW/C/ZAF/RQ/5</w:t>
        </w:r>
      </w:hyperlink>
      <w:r w:rsidRPr="001B053B">
        <w:t>)</w:t>
      </w:r>
    </w:p>
    <w:p w14:paraId="7290220D" w14:textId="35B933FD" w:rsidR="001B053B" w:rsidRPr="001B053B" w:rsidRDefault="001B053B" w:rsidP="001B053B">
      <w:pPr>
        <w:pStyle w:val="SingleTxt"/>
        <w:rPr>
          <w:bCs/>
        </w:rPr>
      </w:pPr>
      <w:r w:rsidRPr="001B053B">
        <w:t>Sudán del Sur (</w:t>
      </w:r>
      <w:hyperlink r:id="rId48" w:history="1">
        <w:r w:rsidRPr="001B053B">
          <w:rPr>
            <w:rStyle w:val="Hyperlink"/>
          </w:rPr>
          <w:t>CEDAW/C/SSD/RQ/1</w:t>
        </w:r>
      </w:hyperlink>
      <w:r w:rsidRPr="001B053B">
        <w:t>)</w:t>
      </w:r>
    </w:p>
    <w:p w14:paraId="1E774177" w14:textId="1D0C3DA4" w:rsidR="001B053B" w:rsidRPr="00B3585D" w:rsidRDefault="001B053B" w:rsidP="001B053B">
      <w:pPr>
        <w:pStyle w:val="SingleTxt"/>
        <w:rPr>
          <w:lang w:val="en-US"/>
        </w:rPr>
      </w:pPr>
      <w:r w:rsidRPr="001B053B">
        <w:rPr>
          <w:lang w:val="en-US"/>
        </w:rPr>
        <w:t>Yemen (</w:t>
      </w:r>
      <w:hyperlink r:id="rId49" w:history="1">
        <w:r w:rsidRPr="001B053B">
          <w:rPr>
            <w:rStyle w:val="Hyperlink"/>
            <w:lang w:val="en-US"/>
          </w:rPr>
          <w:t>CEDAW/C/YEM/RQ/7-8</w:t>
        </w:r>
      </w:hyperlink>
      <w:r w:rsidRPr="001B053B">
        <w:rPr>
          <w:lang w:val="en-US"/>
        </w:rPr>
        <w:t>)</w:t>
      </w:r>
    </w:p>
    <w:p w14:paraId="50871333" w14:textId="68F868BC" w:rsidR="001B053B" w:rsidRPr="00B3585D" w:rsidRDefault="001B053B" w:rsidP="001B053B">
      <w:pPr>
        <w:pStyle w:val="SingleTxt"/>
        <w:spacing w:after="0" w:line="120" w:lineRule="exact"/>
        <w:rPr>
          <w:sz w:val="10"/>
          <w:lang w:val="en-US"/>
        </w:rPr>
      </w:pPr>
    </w:p>
    <w:p w14:paraId="730E626C" w14:textId="5F14AF13" w:rsidR="001B053B" w:rsidRPr="00B3585D" w:rsidRDefault="001B053B" w:rsidP="00B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3585D">
        <w:rPr>
          <w:lang w:val="en-US"/>
        </w:rPr>
        <w:tab/>
      </w:r>
      <w:r w:rsidRPr="002B0A80">
        <w:t>5</w:t>
      </w:r>
      <w:r w:rsidRPr="00B3585D">
        <w:t>.</w:t>
      </w:r>
      <w:r w:rsidRPr="00B3585D">
        <w:tab/>
        <w:t xml:space="preserve">Seguimiento del examen de los informes presentados por los Estados partes en virtud del artículo </w:t>
      </w:r>
      <w:r w:rsidRPr="002B0A80">
        <w:t>18</w:t>
      </w:r>
      <w:r w:rsidRPr="00B3585D">
        <w:t xml:space="preserve"> de la Convención</w:t>
      </w:r>
    </w:p>
    <w:p w14:paraId="378D52EE" w14:textId="43B344EF" w:rsidR="00B3585D" w:rsidRPr="00B3585D" w:rsidRDefault="00B3585D" w:rsidP="00B3585D">
      <w:pPr>
        <w:pStyle w:val="SingleTxt"/>
        <w:spacing w:after="0" w:line="120" w:lineRule="exact"/>
        <w:rPr>
          <w:sz w:val="10"/>
        </w:rPr>
      </w:pPr>
    </w:p>
    <w:p w14:paraId="5C456035" w14:textId="727D2BFF" w:rsidR="001B053B" w:rsidRPr="00B3585D" w:rsidRDefault="001B053B" w:rsidP="001B053B">
      <w:pPr>
        <w:pStyle w:val="SingleTxt"/>
      </w:pPr>
      <w:r w:rsidRPr="001B053B">
        <w:t>El Comité examinará cuestiones relacionadas con el seguimiento de las observaciones finales.</w:t>
      </w:r>
    </w:p>
    <w:p w14:paraId="470DC1C2" w14:textId="75CF0D82" w:rsidR="00B3585D" w:rsidRPr="00B3585D" w:rsidRDefault="00B3585D" w:rsidP="00B3585D">
      <w:pPr>
        <w:pStyle w:val="SingleTxt"/>
        <w:spacing w:after="0" w:line="120" w:lineRule="exact"/>
        <w:rPr>
          <w:sz w:val="10"/>
        </w:rPr>
      </w:pPr>
    </w:p>
    <w:p w14:paraId="56C73376" w14:textId="5719D47F" w:rsidR="001B053B" w:rsidRPr="00B3585D" w:rsidRDefault="001B053B" w:rsidP="00B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6</w:t>
      </w:r>
      <w:r w:rsidRPr="00B3585D">
        <w:t>.</w:t>
      </w:r>
      <w:r w:rsidRPr="00B3585D">
        <w:tab/>
        <w:t xml:space="preserve">Aplicación de los artículos </w:t>
      </w:r>
      <w:r w:rsidRPr="002B0A80">
        <w:t>21</w:t>
      </w:r>
      <w:r w:rsidRPr="00B3585D">
        <w:t xml:space="preserve"> y </w:t>
      </w:r>
      <w:r w:rsidRPr="002B0A80">
        <w:t>22</w:t>
      </w:r>
      <w:r w:rsidRPr="00B3585D">
        <w:t xml:space="preserve"> de la Convención</w:t>
      </w:r>
    </w:p>
    <w:p w14:paraId="14F9FD48" w14:textId="55767145" w:rsidR="00B3585D" w:rsidRPr="00B3585D" w:rsidRDefault="00B3585D" w:rsidP="00B3585D">
      <w:pPr>
        <w:pStyle w:val="SingleTxt"/>
        <w:spacing w:after="0" w:line="120" w:lineRule="exact"/>
        <w:rPr>
          <w:sz w:val="10"/>
        </w:rPr>
      </w:pPr>
    </w:p>
    <w:p w14:paraId="3E9CD77E" w14:textId="77777777" w:rsidR="001B053B" w:rsidRPr="001B053B" w:rsidRDefault="001B053B" w:rsidP="001B053B">
      <w:pPr>
        <w:pStyle w:val="SingleTxt"/>
      </w:pPr>
      <w:r w:rsidRPr="001B053B">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2203E00E" w14:textId="417D788B" w:rsidR="001B053B" w:rsidRPr="00B3585D" w:rsidRDefault="001B053B" w:rsidP="001B053B">
      <w:pPr>
        <w:pStyle w:val="SingleTxt"/>
      </w:pPr>
      <w:r w:rsidRPr="001B053B">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esferas.</w:t>
      </w:r>
    </w:p>
    <w:p w14:paraId="05864990" w14:textId="0BC0BD5B" w:rsidR="00B3585D" w:rsidRPr="00B3585D" w:rsidRDefault="00B3585D" w:rsidP="00B3585D">
      <w:pPr>
        <w:pStyle w:val="SingleTxt"/>
        <w:spacing w:after="0" w:line="120" w:lineRule="exact"/>
        <w:rPr>
          <w:sz w:val="10"/>
        </w:rPr>
      </w:pPr>
    </w:p>
    <w:p w14:paraId="5715155E" w14:textId="677343FF" w:rsidR="001B053B" w:rsidRPr="002B0A80" w:rsidRDefault="001B053B" w:rsidP="00B358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0A80">
        <w:tab/>
      </w:r>
      <w:r w:rsidRPr="002B0A80">
        <w:tab/>
        <w:t>Documentación</w:t>
      </w:r>
    </w:p>
    <w:p w14:paraId="4C0481DA" w14:textId="63F65778" w:rsidR="00B3585D" w:rsidRPr="00B3585D" w:rsidRDefault="00B3585D" w:rsidP="00B3585D">
      <w:pPr>
        <w:pStyle w:val="SingleTxt"/>
        <w:spacing w:after="0" w:line="120" w:lineRule="exact"/>
        <w:rPr>
          <w:sz w:val="10"/>
        </w:rPr>
      </w:pPr>
    </w:p>
    <w:p w14:paraId="0E19B05F" w14:textId="4D96D85B" w:rsidR="001B053B" w:rsidRPr="00B3585D" w:rsidRDefault="001B053B" w:rsidP="001B053B">
      <w:pPr>
        <w:pStyle w:val="SingleTxt"/>
      </w:pPr>
      <w:r w:rsidRPr="001B053B">
        <w:t>Informes presentados por los organismos especializados del sistema de las Naciones Unidas sobre la aplicación de la Convención en la esfera de sus actividades</w:t>
      </w:r>
    </w:p>
    <w:p w14:paraId="2EF70130" w14:textId="54F55804" w:rsidR="00B3585D" w:rsidRPr="00B3585D" w:rsidRDefault="00B3585D" w:rsidP="00B3585D">
      <w:pPr>
        <w:pStyle w:val="SingleTxt"/>
        <w:spacing w:after="0" w:line="120" w:lineRule="exact"/>
        <w:rPr>
          <w:sz w:val="10"/>
        </w:rPr>
      </w:pPr>
    </w:p>
    <w:p w14:paraId="4C5A210A" w14:textId="77777777" w:rsidR="001B053B" w:rsidRPr="00B3585D" w:rsidRDefault="001B053B" w:rsidP="00B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7</w:t>
      </w:r>
      <w:r w:rsidRPr="00B3585D">
        <w:t>.</w:t>
      </w:r>
      <w:r w:rsidRPr="00B3585D">
        <w:tab/>
        <w:t>Medios de agilizar los trabajos del Comité</w:t>
      </w:r>
    </w:p>
    <w:p w14:paraId="38B25799" w14:textId="6EC91558" w:rsidR="001B053B" w:rsidRPr="00B3585D" w:rsidRDefault="001B053B" w:rsidP="00B3585D">
      <w:pPr>
        <w:pStyle w:val="SingleTxt"/>
        <w:spacing w:after="0" w:line="120" w:lineRule="exact"/>
        <w:rPr>
          <w:sz w:val="10"/>
        </w:rPr>
      </w:pPr>
    </w:p>
    <w:p w14:paraId="2CD74FB1" w14:textId="027B221A" w:rsidR="001B053B" w:rsidRPr="00B3585D" w:rsidRDefault="001B053B" w:rsidP="001B053B">
      <w:pPr>
        <w:pStyle w:val="SingleTxt"/>
      </w:pPr>
      <w:r w:rsidRPr="001B053B">
        <w:t>El Comité examinará cuestiones relacionadas con sus métodos de trabajo.</w:t>
      </w:r>
    </w:p>
    <w:p w14:paraId="48D7F791" w14:textId="20415165" w:rsidR="00B3585D" w:rsidRPr="00B3585D" w:rsidRDefault="00B3585D" w:rsidP="00B3585D">
      <w:pPr>
        <w:pStyle w:val="SingleTxt"/>
        <w:spacing w:after="0" w:line="120" w:lineRule="exact"/>
        <w:rPr>
          <w:sz w:val="10"/>
        </w:rPr>
      </w:pPr>
    </w:p>
    <w:p w14:paraId="686B2701" w14:textId="109F3F15" w:rsidR="001B053B" w:rsidRPr="00B3585D" w:rsidRDefault="001B053B" w:rsidP="00B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8</w:t>
      </w:r>
      <w:r w:rsidRPr="00B3585D">
        <w:t>.</w:t>
      </w:r>
      <w:r w:rsidRPr="00B3585D">
        <w:tab/>
        <w:t>Actividades del Comité en relación con el Protocolo Facultativo de la Convención</w:t>
      </w:r>
    </w:p>
    <w:p w14:paraId="4843BAAE" w14:textId="695D8BEF" w:rsidR="00B3585D" w:rsidRPr="00B3585D" w:rsidRDefault="00B3585D" w:rsidP="00B3585D">
      <w:pPr>
        <w:pStyle w:val="SingleTxt"/>
        <w:spacing w:after="0" w:line="120" w:lineRule="exact"/>
        <w:rPr>
          <w:sz w:val="10"/>
        </w:rPr>
      </w:pPr>
    </w:p>
    <w:p w14:paraId="0F32CAA0" w14:textId="77777777" w:rsidR="001B053B" w:rsidRPr="001B053B" w:rsidRDefault="001B053B" w:rsidP="001B053B">
      <w:pPr>
        <w:pStyle w:val="SingleTxt"/>
      </w:pPr>
      <w:r w:rsidRPr="001B053B">
        <w:t>El 51º período de sesiones del Grupo de Trabajo sobre las Comunicaciones presentadas en virtud del Protocolo Facultativo se celebrará del 13 al 15 de octubre de 2021 en Ginebra.</w:t>
      </w:r>
    </w:p>
    <w:p w14:paraId="2A940C75" w14:textId="77777777" w:rsidR="001B053B" w:rsidRPr="001B053B" w:rsidRDefault="001B053B" w:rsidP="001B053B">
      <w:pPr>
        <w:pStyle w:val="SingleTxt"/>
      </w:pPr>
      <w:r w:rsidRPr="001B053B">
        <w:t>El 20º período de sesiones del Grupo de Trabajo sobre Investigaciones con arreglo al Protocolo Facultativo se celebrará los días 14 y 15 de octubre de 2021 en Ginebra.</w:t>
      </w:r>
    </w:p>
    <w:p w14:paraId="0CAE9E0D" w14:textId="3A0C0C47" w:rsidR="001B053B" w:rsidRPr="00B3585D" w:rsidRDefault="001B053B" w:rsidP="001B053B">
      <w:pPr>
        <w:pStyle w:val="SingleTxt"/>
      </w:pPr>
      <w:r w:rsidRPr="001B053B">
        <w:t>En su 80º período de sesiones, el Comité continuará cumpliendo su mandato en virtud de los artículos 2 y 8 del Protocolo Facultativo de la Convención.</w:t>
      </w:r>
    </w:p>
    <w:p w14:paraId="7B3FC1BA" w14:textId="57F7F6C7" w:rsidR="00B3585D" w:rsidRPr="00B3585D" w:rsidRDefault="00B3585D" w:rsidP="00B3585D">
      <w:pPr>
        <w:pStyle w:val="SingleTxt"/>
        <w:spacing w:after="0" w:line="120" w:lineRule="exact"/>
        <w:rPr>
          <w:sz w:val="10"/>
        </w:rPr>
      </w:pPr>
    </w:p>
    <w:p w14:paraId="60AAB117" w14:textId="7CE3FAF3" w:rsidR="001B053B" w:rsidRPr="00B3585D" w:rsidRDefault="001B053B" w:rsidP="00B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9</w:t>
      </w:r>
      <w:r w:rsidRPr="00B3585D">
        <w:t>.</w:t>
      </w:r>
      <w:r w:rsidRPr="00B3585D">
        <w:tab/>
        <w:t xml:space="preserve">Programa provisional del </w:t>
      </w:r>
      <w:r w:rsidRPr="002B0A80">
        <w:t>81</w:t>
      </w:r>
      <w:r w:rsidRPr="00B3585D">
        <w:t>º período de sesiones del Comité</w:t>
      </w:r>
    </w:p>
    <w:p w14:paraId="511F3523" w14:textId="3546591B" w:rsidR="00B3585D" w:rsidRPr="00B3585D" w:rsidRDefault="00B3585D" w:rsidP="00B3585D">
      <w:pPr>
        <w:pStyle w:val="SingleTxt"/>
        <w:spacing w:after="0" w:line="120" w:lineRule="exact"/>
        <w:rPr>
          <w:sz w:val="10"/>
        </w:rPr>
      </w:pPr>
    </w:p>
    <w:p w14:paraId="57C88481" w14:textId="1B7A3806" w:rsidR="001B053B" w:rsidRPr="002B0A80" w:rsidRDefault="001B053B" w:rsidP="00B358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0A80">
        <w:tab/>
      </w:r>
      <w:r w:rsidRPr="002B0A80">
        <w:tab/>
        <w:t>Documentación</w:t>
      </w:r>
    </w:p>
    <w:p w14:paraId="3AC40A28" w14:textId="0DC6816B" w:rsidR="00B3585D" w:rsidRPr="00B3585D" w:rsidRDefault="00B3585D" w:rsidP="00B3585D">
      <w:pPr>
        <w:pStyle w:val="SingleTxt"/>
        <w:spacing w:after="0" w:line="120" w:lineRule="exact"/>
        <w:rPr>
          <w:sz w:val="10"/>
        </w:rPr>
      </w:pPr>
    </w:p>
    <w:p w14:paraId="2F539C45" w14:textId="79A5700D" w:rsidR="001B053B" w:rsidRPr="001B053B" w:rsidRDefault="001B053B" w:rsidP="001B053B">
      <w:pPr>
        <w:pStyle w:val="SingleTxt"/>
      </w:pPr>
      <w:r w:rsidRPr="001B053B">
        <w:t>Programa provisional anotado del 81º período de sesiones (</w:t>
      </w:r>
      <w:hyperlink r:id="rId50" w:history="1">
        <w:r w:rsidRPr="001B053B">
          <w:rPr>
            <w:rStyle w:val="Hyperlink"/>
          </w:rPr>
          <w:t>CEDAW/C/81/1</w:t>
        </w:r>
      </w:hyperlink>
      <w:r w:rsidRPr="001B053B">
        <w:t>)</w:t>
      </w:r>
    </w:p>
    <w:p w14:paraId="1E07D39E" w14:textId="54BEA62F" w:rsidR="001B053B" w:rsidRPr="00B3585D" w:rsidRDefault="001B053B" w:rsidP="00B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585D">
        <w:tab/>
      </w:r>
      <w:r w:rsidRPr="002B0A80">
        <w:t>10</w:t>
      </w:r>
      <w:r w:rsidRPr="00B3585D">
        <w:t>.</w:t>
      </w:r>
      <w:r w:rsidRPr="00B3585D">
        <w:tab/>
        <w:t xml:space="preserve">Aprobación del informe del Comité sobre su </w:t>
      </w:r>
      <w:r w:rsidRPr="002B0A80">
        <w:t>80</w:t>
      </w:r>
      <w:r w:rsidRPr="00B3585D">
        <w:t>º período de sesiones</w:t>
      </w:r>
    </w:p>
    <w:p w14:paraId="30FA4A84" w14:textId="3D476353" w:rsidR="00B3585D" w:rsidRPr="00B3585D" w:rsidRDefault="00B3585D" w:rsidP="00B3585D">
      <w:pPr>
        <w:pStyle w:val="SingleTxt"/>
      </w:pPr>
      <w:r w:rsidRPr="00B3585D">
        <w:rPr>
          <w:noProof/>
          <w:w w:val="100"/>
        </w:rPr>
        <mc:AlternateContent>
          <mc:Choice Requires="wps">
            <w:drawing>
              <wp:anchor distT="0" distB="0" distL="114300" distR="114300" simplePos="0" relativeHeight="251660288" behindDoc="0" locked="0" layoutInCell="1" allowOverlap="1" wp14:anchorId="76BA493B" wp14:editId="7F0231C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149DC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r w:rsidRPr="00B3585D">
        <w:rPr>
          <w:noProof/>
          <w:w w:val="100"/>
        </w:rPr>
        <mc:AlternateContent>
          <mc:Choice Requires="wps">
            <w:drawing>
              <wp:anchor distT="0" distB="0" distL="114300" distR="114300" simplePos="0" relativeHeight="251659264" behindDoc="0" locked="0" layoutInCell="1" allowOverlap="1" wp14:anchorId="409BBA0B" wp14:editId="2EB4CFC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6EED2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3585D" w:rsidRPr="00B3585D" w:rsidSect="001B053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9-15T14:58:00Z" w:initials="Start">
    <w:p w14:paraId="331D4F4F" w14:textId="77777777" w:rsidR="0095211E" w:rsidRPr="001B053B" w:rsidRDefault="0095211E">
      <w:pPr>
        <w:pStyle w:val="CommentText"/>
        <w:rPr>
          <w:lang w:val="en-US"/>
        </w:rPr>
      </w:pPr>
      <w:r>
        <w:rPr>
          <w:rStyle w:val="CommentReference"/>
        </w:rPr>
        <w:annotationRef/>
      </w:r>
      <w:r w:rsidRPr="001B053B">
        <w:rPr>
          <w:lang w:val="en-US"/>
        </w:rPr>
        <w:t>&lt;&lt;ODS JOB NO&gt;&gt;N2123957S&lt;&lt;ODS JOB NO&gt;&gt;</w:t>
      </w:r>
    </w:p>
    <w:p w14:paraId="067868DD" w14:textId="77777777" w:rsidR="0095211E" w:rsidRDefault="0095211E">
      <w:pPr>
        <w:pStyle w:val="CommentText"/>
      </w:pPr>
      <w:r>
        <w:t>&lt;&lt;ODS DOC SYMBOL1&gt;&gt;CEDAW/C/80/1&lt;&lt;ODS DOC SYMBOL1&gt;&gt;</w:t>
      </w:r>
    </w:p>
    <w:p w14:paraId="545B8D9F" w14:textId="77777777" w:rsidR="0095211E" w:rsidRDefault="009521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45B8D9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EC8887" w16cex:dateUtc="2021-09-15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45B8D9F" w16cid:durableId="24EC88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DB70D" w14:textId="77777777" w:rsidR="00D01478" w:rsidRDefault="00D01478" w:rsidP="00101B18">
      <w:r>
        <w:separator/>
      </w:r>
    </w:p>
  </w:endnote>
  <w:endnote w:type="continuationSeparator" w:id="0">
    <w:p w14:paraId="79A9236B" w14:textId="77777777" w:rsidR="00D01478" w:rsidRDefault="00D0147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5211E" w14:paraId="3E1C2032" w14:textId="77777777" w:rsidTr="0095211E">
      <w:tc>
        <w:tcPr>
          <w:tcW w:w="4920" w:type="dxa"/>
          <w:shd w:val="clear" w:color="auto" w:fill="auto"/>
          <w:vAlign w:val="bottom"/>
        </w:tcPr>
        <w:p w14:paraId="30785BF9" w14:textId="77777777" w:rsidR="0095211E" w:rsidRPr="0095211E" w:rsidRDefault="0095211E" w:rsidP="0095211E">
          <w:pPr>
            <w:pStyle w:val="Footer"/>
            <w:rPr>
              <w:color w:val="000000"/>
            </w:rPr>
          </w:pPr>
          <w:r>
            <w:fldChar w:fldCharType="begin"/>
          </w:r>
          <w:r>
            <w:instrText xml:space="preserve"> PAGE  \* Arabic  \* MERGEFORMAT </w:instrText>
          </w:r>
          <w:r>
            <w:fldChar w:fldCharType="separate"/>
          </w:r>
          <w:r>
            <w:t>3</w:t>
          </w:r>
          <w:r>
            <w:fldChar w:fldCharType="end"/>
          </w:r>
          <w:r>
            <w:t>/</w:t>
          </w:r>
          <w:r w:rsidR="00C400E1">
            <w:fldChar w:fldCharType="begin"/>
          </w:r>
          <w:r w:rsidR="00C400E1">
            <w:instrText xml:space="preserve"> NUMPAGES  \* Arabic  \* MERGEFORMAT </w:instrText>
          </w:r>
          <w:r w:rsidR="00C400E1">
            <w:fldChar w:fldCharType="separate"/>
          </w:r>
          <w:r>
            <w:t>4</w:t>
          </w:r>
          <w:r w:rsidR="00C400E1">
            <w:fldChar w:fldCharType="end"/>
          </w:r>
        </w:p>
      </w:tc>
      <w:tc>
        <w:tcPr>
          <w:tcW w:w="4920" w:type="dxa"/>
          <w:shd w:val="clear" w:color="auto" w:fill="auto"/>
          <w:vAlign w:val="bottom"/>
        </w:tcPr>
        <w:p w14:paraId="146D3F25" w14:textId="304A4D7B" w:rsidR="0095211E" w:rsidRPr="0095211E" w:rsidRDefault="0095211E" w:rsidP="009521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00E1">
            <w:rPr>
              <w:b w:val="0"/>
              <w:color w:val="000000"/>
              <w:sz w:val="14"/>
            </w:rPr>
            <w:t>21-12059</w:t>
          </w:r>
          <w:r>
            <w:rPr>
              <w:b w:val="0"/>
              <w:color w:val="000000"/>
              <w:sz w:val="14"/>
            </w:rPr>
            <w:fldChar w:fldCharType="end"/>
          </w:r>
        </w:p>
      </w:tc>
    </w:tr>
  </w:tbl>
  <w:p w14:paraId="580BE904" w14:textId="77777777" w:rsidR="0095211E" w:rsidRPr="0095211E" w:rsidRDefault="0095211E" w:rsidP="00952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5211E" w14:paraId="3DD9ECB7" w14:textId="77777777" w:rsidTr="0095211E">
      <w:tc>
        <w:tcPr>
          <w:tcW w:w="4920" w:type="dxa"/>
          <w:shd w:val="clear" w:color="auto" w:fill="auto"/>
          <w:vAlign w:val="bottom"/>
        </w:tcPr>
        <w:p w14:paraId="340F4887" w14:textId="52FB9C3D" w:rsidR="0095211E" w:rsidRPr="0095211E" w:rsidRDefault="0095211E" w:rsidP="009521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00E1">
            <w:rPr>
              <w:b w:val="0"/>
              <w:color w:val="000000"/>
              <w:sz w:val="14"/>
            </w:rPr>
            <w:t>21-12059</w:t>
          </w:r>
          <w:r>
            <w:rPr>
              <w:b w:val="0"/>
              <w:color w:val="000000"/>
              <w:sz w:val="14"/>
            </w:rPr>
            <w:fldChar w:fldCharType="end"/>
          </w:r>
        </w:p>
      </w:tc>
      <w:tc>
        <w:tcPr>
          <w:tcW w:w="4920" w:type="dxa"/>
          <w:shd w:val="clear" w:color="auto" w:fill="auto"/>
          <w:vAlign w:val="bottom"/>
        </w:tcPr>
        <w:p w14:paraId="495E3311" w14:textId="77777777" w:rsidR="0095211E" w:rsidRPr="0095211E" w:rsidRDefault="0095211E" w:rsidP="0095211E">
          <w:pPr>
            <w:pStyle w:val="Footer"/>
            <w:jc w:val="right"/>
          </w:pPr>
          <w:r>
            <w:fldChar w:fldCharType="begin"/>
          </w:r>
          <w:r>
            <w:instrText xml:space="preserve"> PAGE  \* Arabic  \* MERGEFORMAT </w:instrText>
          </w:r>
          <w:r>
            <w:fldChar w:fldCharType="separate"/>
          </w:r>
          <w:r>
            <w:t>2</w:t>
          </w:r>
          <w:r>
            <w:fldChar w:fldCharType="end"/>
          </w:r>
          <w:r>
            <w:t>/</w:t>
          </w:r>
          <w:r w:rsidR="00C400E1">
            <w:fldChar w:fldCharType="begin"/>
          </w:r>
          <w:r w:rsidR="00C400E1">
            <w:instrText xml:space="preserve"> NUMPAGES  \* Arabic  \* MERGEFORMAT </w:instrText>
          </w:r>
          <w:r w:rsidR="00C400E1">
            <w:fldChar w:fldCharType="separate"/>
          </w:r>
          <w:r>
            <w:t>4</w:t>
          </w:r>
          <w:r w:rsidR="00C400E1">
            <w:fldChar w:fldCharType="end"/>
          </w:r>
        </w:p>
      </w:tc>
    </w:tr>
  </w:tbl>
  <w:p w14:paraId="6C5B04A4" w14:textId="77777777" w:rsidR="0095211E" w:rsidRPr="0095211E" w:rsidRDefault="0095211E" w:rsidP="00952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CDBBA" w14:textId="77777777" w:rsidR="0095211E" w:rsidRPr="0095211E" w:rsidRDefault="0095211E" w:rsidP="0095211E">
    <w:pPr>
      <w:pStyle w:val="Footer"/>
      <w:spacing w:line="120" w:lineRule="exact"/>
      <w:rPr>
        <w:b w:val="0"/>
        <w:sz w:val="10"/>
      </w:rPr>
    </w:pPr>
    <w:r>
      <w:rPr>
        <w:b w:val="0"/>
        <w:sz w:val="10"/>
      </w:rPr>
      <w:drawing>
        <wp:anchor distT="0" distB="0" distL="114300" distR="114300" simplePos="0" relativeHeight="251658240" behindDoc="0" locked="0" layoutInCell="1" allowOverlap="1" wp14:anchorId="0EB20036" wp14:editId="5DBECEF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5211E" w14:paraId="49CA6403" w14:textId="77777777" w:rsidTr="0095211E">
      <w:tc>
        <w:tcPr>
          <w:tcW w:w="3830" w:type="dxa"/>
          <w:shd w:val="clear" w:color="auto" w:fill="auto"/>
        </w:tcPr>
        <w:p w14:paraId="4B366269" w14:textId="549AE9A9" w:rsidR="0095211E" w:rsidRDefault="0095211E" w:rsidP="0095211E">
          <w:pPr>
            <w:pStyle w:val="ReleaseDate0"/>
          </w:pPr>
          <w:r>
            <w:t>21-12059 (S)    1</w:t>
          </w:r>
          <w:r w:rsidR="0013066F">
            <w:t>0</w:t>
          </w:r>
          <w:r>
            <w:t>0921    1</w:t>
          </w:r>
          <w:r w:rsidR="0013066F">
            <w:t>7</w:t>
          </w:r>
          <w:r>
            <w:t>0921</w:t>
          </w:r>
        </w:p>
        <w:p w14:paraId="006A28F2" w14:textId="77777777" w:rsidR="0095211E" w:rsidRPr="0095211E" w:rsidRDefault="0095211E" w:rsidP="009521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*2112059*</w:t>
          </w:r>
        </w:p>
      </w:tc>
      <w:tc>
        <w:tcPr>
          <w:tcW w:w="4920" w:type="dxa"/>
          <w:shd w:val="clear" w:color="auto" w:fill="auto"/>
        </w:tcPr>
        <w:p w14:paraId="03B17461" w14:textId="77777777" w:rsidR="0095211E" w:rsidRDefault="0095211E" w:rsidP="0095211E">
          <w:pPr>
            <w:pStyle w:val="Footer"/>
            <w:jc w:val="right"/>
            <w:rPr>
              <w:b w:val="0"/>
              <w:sz w:val="20"/>
            </w:rPr>
          </w:pPr>
          <w:r>
            <w:rPr>
              <w:b w:val="0"/>
              <w:sz w:val="20"/>
            </w:rPr>
            <w:drawing>
              <wp:inline distT="0" distB="0" distL="0" distR="0" wp14:anchorId="7C17A2AA" wp14:editId="31C83D0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46BA3F5" w14:textId="77777777" w:rsidR="0095211E" w:rsidRPr="0095211E" w:rsidRDefault="0095211E" w:rsidP="009521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33BB0" w14:textId="1FD6FD15" w:rsidR="00D01478" w:rsidRPr="001B053B" w:rsidRDefault="001B053B" w:rsidP="001B053B">
      <w:pPr>
        <w:pStyle w:val="Footer"/>
        <w:spacing w:after="80"/>
        <w:ind w:left="792"/>
        <w:rPr>
          <w:sz w:val="16"/>
        </w:rPr>
      </w:pPr>
      <w:r w:rsidRPr="001B053B">
        <w:rPr>
          <w:sz w:val="16"/>
        </w:rPr>
        <w:t>__________________</w:t>
      </w:r>
    </w:p>
  </w:footnote>
  <w:footnote w:type="continuationSeparator" w:id="0">
    <w:p w14:paraId="0A120246" w14:textId="47BD9F0A" w:rsidR="00D01478" w:rsidRPr="001B053B" w:rsidRDefault="001B053B" w:rsidP="001B053B">
      <w:pPr>
        <w:pStyle w:val="Footer"/>
        <w:spacing w:after="80"/>
        <w:ind w:left="792"/>
        <w:rPr>
          <w:sz w:val="16"/>
        </w:rPr>
      </w:pPr>
      <w:r w:rsidRPr="001B053B">
        <w:rPr>
          <w:sz w:val="16"/>
        </w:rPr>
        <w:t>__________________</w:t>
      </w:r>
    </w:p>
  </w:footnote>
  <w:footnote w:id="1">
    <w:p w14:paraId="493044BE" w14:textId="77777777" w:rsidR="001B053B" w:rsidRPr="00D9453E" w:rsidRDefault="001B053B" w:rsidP="001B053B">
      <w:pPr>
        <w:pStyle w:val="FootnoteText"/>
        <w:tabs>
          <w:tab w:val="clear" w:pos="418"/>
          <w:tab w:val="right" w:pos="1195"/>
          <w:tab w:val="left" w:pos="1267"/>
          <w:tab w:val="left" w:pos="1742"/>
          <w:tab w:val="left" w:pos="2218"/>
          <w:tab w:val="left" w:pos="2693"/>
        </w:tabs>
        <w:ind w:left="1267" w:right="1267" w:hanging="432"/>
        <w:rPr>
          <w:sz w:val="18"/>
        </w:rPr>
      </w:pPr>
      <w:r>
        <w:tab/>
        <w:t>*</w:t>
      </w:r>
      <w:r>
        <w:tab/>
        <w:t>Este documento se presentó fuera de plazo a fin de incluir información sobre los acontecimientos más recientes.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211E" w14:paraId="540C71B2" w14:textId="77777777" w:rsidTr="0095211E">
      <w:trPr>
        <w:trHeight w:hRule="exact" w:val="864"/>
      </w:trPr>
      <w:tc>
        <w:tcPr>
          <w:tcW w:w="4920" w:type="dxa"/>
          <w:shd w:val="clear" w:color="auto" w:fill="auto"/>
          <w:vAlign w:val="bottom"/>
        </w:tcPr>
        <w:p w14:paraId="44E8F269" w14:textId="60849A56" w:rsidR="0095211E" w:rsidRPr="0095211E" w:rsidRDefault="0095211E" w:rsidP="0095211E">
          <w:pPr>
            <w:pStyle w:val="Header"/>
            <w:spacing w:after="80"/>
            <w:rPr>
              <w:b/>
            </w:rPr>
          </w:pPr>
          <w:r>
            <w:rPr>
              <w:b/>
            </w:rPr>
            <w:fldChar w:fldCharType="begin"/>
          </w:r>
          <w:r>
            <w:rPr>
              <w:b/>
            </w:rPr>
            <w:instrText xml:space="preserve"> DOCVARIABLE "sss1" \* MERGEFORMAT </w:instrText>
          </w:r>
          <w:r>
            <w:rPr>
              <w:b/>
            </w:rPr>
            <w:fldChar w:fldCharType="separate"/>
          </w:r>
          <w:r w:rsidR="00C400E1">
            <w:rPr>
              <w:b/>
            </w:rPr>
            <w:t>CEDAW/C/80/1</w:t>
          </w:r>
          <w:r>
            <w:rPr>
              <w:b/>
            </w:rPr>
            <w:fldChar w:fldCharType="end"/>
          </w:r>
        </w:p>
      </w:tc>
      <w:tc>
        <w:tcPr>
          <w:tcW w:w="4920" w:type="dxa"/>
          <w:shd w:val="clear" w:color="auto" w:fill="auto"/>
          <w:vAlign w:val="bottom"/>
        </w:tcPr>
        <w:p w14:paraId="37A87139" w14:textId="77777777" w:rsidR="0095211E" w:rsidRDefault="0095211E" w:rsidP="0095211E">
          <w:pPr>
            <w:pStyle w:val="Header"/>
          </w:pPr>
        </w:p>
      </w:tc>
    </w:tr>
  </w:tbl>
  <w:p w14:paraId="7C729945" w14:textId="77777777" w:rsidR="0095211E" w:rsidRPr="0095211E" w:rsidRDefault="0095211E" w:rsidP="00952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211E" w14:paraId="087ED352" w14:textId="77777777" w:rsidTr="0095211E">
      <w:trPr>
        <w:trHeight w:hRule="exact" w:val="864"/>
      </w:trPr>
      <w:tc>
        <w:tcPr>
          <w:tcW w:w="4920" w:type="dxa"/>
          <w:shd w:val="clear" w:color="auto" w:fill="auto"/>
          <w:vAlign w:val="bottom"/>
        </w:tcPr>
        <w:p w14:paraId="601D73D0" w14:textId="77777777" w:rsidR="0095211E" w:rsidRDefault="0095211E" w:rsidP="0095211E">
          <w:pPr>
            <w:pStyle w:val="Header"/>
          </w:pPr>
        </w:p>
      </w:tc>
      <w:tc>
        <w:tcPr>
          <w:tcW w:w="4920" w:type="dxa"/>
          <w:shd w:val="clear" w:color="auto" w:fill="auto"/>
          <w:vAlign w:val="bottom"/>
        </w:tcPr>
        <w:p w14:paraId="64F0E49A" w14:textId="5D9EF840" w:rsidR="0095211E" w:rsidRPr="0095211E" w:rsidRDefault="0095211E" w:rsidP="0095211E">
          <w:pPr>
            <w:pStyle w:val="Header"/>
            <w:spacing w:after="80"/>
            <w:jc w:val="right"/>
            <w:rPr>
              <w:b/>
            </w:rPr>
          </w:pPr>
          <w:r>
            <w:rPr>
              <w:b/>
            </w:rPr>
            <w:fldChar w:fldCharType="begin"/>
          </w:r>
          <w:r>
            <w:rPr>
              <w:b/>
            </w:rPr>
            <w:instrText xml:space="preserve"> DOCVARIABLE "sss1" \* MERGEFORMAT </w:instrText>
          </w:r>
          <w:r>
            <w:rPr>
              <w:b/>
            </w:rPr>
            <w:fldChar w:fldCharType="separate"/>
          </w:r>
          <w:r w:rsidR="00C400E1">
            <w:rPr>
              <w:b/>
            </w:rPr>
            <w:t>CEDAW/C/80/1</w:t>
          </w:r>
          <w:r>
            <w:rPr>
              <w:b/>
            </w:rPr>
            <w:fldChar w:fldCharType="end"/>
          </w:r>
        </w:p>
      </w:tc>
    </w:tr>
  </w:tbl>
  <w:p w14:paraId="047DAF6F" w14:textId="77777777" w:rsidR="0095211E" w:rsidRPr="0095211E" w:rsidRDefault="0095211E" w:rsidP="00952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5211E" w14:paraId="30A34E9D" w14:textId="77777777" w:rsidTr="0095211E">
      <w:trPr>
        <w:gridAfter w:val="1"/>
        <w:wAfter w:w="15" w:type="dxa"/>
        <w:trHeight w:hRule="exact" w:val="864"/>
      </w:trPr>
      <w:tc>
        <w:tcPr>
          <w:tcW w:w="1267" w:type="dxa"/>
          <w:tcBorders>
            <w:bottom w:val="single" w:sz="4" w:space="0" w:color="auto"/>
          </w:tcBorders>
          <w:shd w:val="clear" w:color="auto" w:fill="auto"/>
          <w:vAlign w:val="bottom"/>
        </w:tcPr>
        <w:p w14:paraId="49B4BBF1" w14:textId="77777777" w:rsidR="0095211E" w:rsidRDefault="0095211E" w:rsidP="0095211E">
          <w:pPr>
            <w:pStyle w:val="Header"/>
            <w:spacing w:after="120"/>
          </w:pPr>
        </w:p>
      </w:tc>
      <w:tc>
        <w:tcPr>
          <w:tcW w:w="2059" w:type="dxa"/>
          <w:tcBorders>
            <w:bottom w:val="single" w:sz="4" w:space="0" w:color="auto"/>
          </w:tcBorders>
          <w:shd w:val="clear" w:color="auto" w:fill="auto"/>
          <w:vAlign w:val="bottom"/>
        </w:tcPr>
        <w:p w14:paraId="359AED6F" w14:textId="77777777" w:rsidR="0095211E" w:rsidRPr="0095211E" w:rsidRDefault="0095211E" w:rsidP="009521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3938FD9" w14:textId="77777777" w:rsidR="0095211E" w:rsidRDefault="0095211E" w:rsidP="0095211E">
          <w:pPr>
            <w:pStyle w:val="Header"/>
            <w:spacing w:after="120"/>
          </w:pPr>
        </w:p>
      </w:tc>
      <w:tc>
        <w:tcPr>
          <w:tcW w:w="6480" w:type="dxa"/>
          <w:gridSpan w:val="3"/>
          <w:tcBorders>
            <w:bottom w:val="single" w:sz="4" w:space="0" w:color="auto"/>
          </w:tcBorders>
          <w:shd w:val="clear" w:color="auto" w:fill="auto"/>
          <w:vAlign w:val="bottom"/>
        </w:tcPr>
        <w:p w14:paraId="1F02271D" w14:textId="77777777" w:rsidR="0095211E" w:rsidRPr="0095211E" w:rsidRDefault="0095211E" w:rsidP="0095211E">
          <w:pPr>
            <w:spacing w:after="80" w:line="240" w:lineRule="auto"/>
            <w:jc w:val="right"/>
            <w:rPr>
              <w:position w:val="-4"/>
            </w:rPr>
          </w:pPr>
          <w:r>
            <w:rPr>
              <w:position w:val="-4"/>
              <w:sz w:val="40"/>
            </w:rPr>
            <w:t>CEDAW</w:t>
          </w:r>
          <w:r>
            <w:rPr>
              <w:position w:val="-4"/>
            </w:rPr>
            <w:t>/C/80/1</w:t>
          </w:r>
        </w:p>
      </w:tc>
    </w:tr>
    <w:tr w:rsidR="0095211E" w:rsidRPr="0095211E" w14:paraId="405272C4" w14:textId="77777777" w:rsidTr="0095211E">
      <w:trPr>
        <w:trHeight w:hRule="exact" w:val="2880"/>
      </w:trPr>
      <w:tc>
        <w:tcPr>
          <w:tcW w:w="1267" w:type="dxa"/>
          <w:tcBorders>
            <w:top w:val="single" w:sz="4" w:space="0" w:color="auto"/>
            <w:bottom w:val="single" w:sz="12" w:space="0" w:color="auto"/>
          </w:tcBorders>
          <w:shd w:val="clear" w:color="auto" w:fill="auto"/>
        </w:tcPr>
        <w:p w14:paraId="040BB707" w14:textId="77777777" w:rsidR="0095211E" w:rsidRPr="0095211E" w:rsidRDefault="0095211E" w:rsidP="0095211E">
          <w:pPr>
            <w:pStyle w:val="Header"/>
            <w:spacing w:before="120"/>
            <w:jc w:val="center"/>
          </w:pPr>
          <w:r>
            <w:t xml:space="preserve"> </w:t>
          </w:r>
          <w:r>
            <w:drawing>
              <wp:inline distT="0" distB="0" distL="0" distR="0" wp14:anchorId="091F41C9" wp14:editId="0F2B64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7940CA" w14:textId="77777777" w:rsidR="0095211E" w:rsidRPr="0095211E" w:rsidRDefault="0095211E" w:rsidP="009521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6B75687" w14:textId="77777777" w:rsidR="0095211E" w:rsidRPr="001B053B" w:rsidRDefault="0095211E" w:rsidP="0095211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27F6E61" w14:textId="77777777" w:rsidR="0095211E" w:rsidRDefault="0095211E" w:rsidP="0095211E">
          <w:pPr>
            <w:pStyle w:val="Distribution"/>
            <w:spacing w:before="240"/>
          </w:pPr>
          <w:r>
            <w:t>Distr. general</w:t>
          </w:r>
        </w:p>
        <w:p w14:paraId="7DBA6A4F" w14:textId="77777777" w:rsidR="0095211E" w:rsidRDefault="0095211E" w:rsidP="0095211E">
          <w:pPr>
            <w:pStyle w:val="Publication"/>
          </w:pPr>
          <w:r>
            <w:t>31 de agosto de 2021</w:t>
          </w:r>
        </w:p>
        <w:p w14:paraId="738D4831" w14:textId="77777777" w:rsidR="0095211E" w:rsidRDefault="0095211E" w:rsidP="0095211E">
          <w:r>
            <w:t>Español</w:t>
          </w:r>
        </w:p>
        <w:p w14:paraId="0E17646F" w14:textId="77777777" w:rsidR="0095211E" w:rsidRDefault="0095211E" w:rsidP="0095211E">
          <w:pPr>
            <w:pStyle w:val="Original"/>
          </w:pPr>
          <w:r>
            <w:t>Original: inglés</w:t>
          </w:r>
        </w:p>
        <w:p w14:paraId="3274A7B4" w14:textId="34757D0F" w:rsidR="0095211E" w:rsidRPr="0095211E" w:rsidRDefault="001B053B" w:rsidP="0095211E">
          <w:r w:rsidRPr="001B053B">
            <w:t>Español, francés e inglés únicamente</w:t>
          </w:r>
        </w:p>
      </w:tc>
    </w:tr>
  </w:tbl>
  <w:p w14:paraId="3609A2E5" w14:textId="77777777" w:rsidR="0095211E" w:rsidRPr="001B053B" w:rsidRDefault="0095211E" w:rsidP="0095211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112059*"/>
    <w:docVar w:name="CreationDt" w:val="15/09/2021 2:58: PM"/>
    <w:docVar w:name="DocCategory" w:val="Doc"/>
    <w:docVar w:name="DocType" w:val="Final"/>
    <w:docVar w:name="DutyStation" w:val="New York"/>
    <w:docVar w:name="FooterJN" w:val="21-12059"/>
    <w:docVar w:name="jobn" w:val="21-12059 (S)"/>
    <w:docVar w:name="jobnDT" w:val="21-12059 (S)   150921"/>
    <w:docVar w:name="jobnDTDT" w:val="21-12059 (S)   150921   150921"/>
    <w:docVar w:name="JobNo" w:val="2112059S"/>
    <w:docVar w:name="JobNo2" w:val="21239572:58: PM"/>
    <w:docVar w:name="LocalDrive" w:val="0"/>
    <w:docVar w:name="OandT" w:val="MAO/MLR"/>
    <w:docVar w:name="Session1" w:val="80º período de sesiones_x000d_"/>
    <w:docVar w:name="sss1" w:val="CEDAW/C/80/1"/>
    <w:docVar w:name="sss2" w:val="-"/>
    <w:docVar w:name="Symbol1" w:val="CEDAW/C/80/1"/>
    <w:docVar w:name="Symbol2" w:val="-"/>
    <w:docVar w:name="Title1" w:val="_x0009__x0009_Programa provisional anotado*_x000d_"/>
    <w:docVar w:name="Title2" w:val="_x0009__x0009_Programa provisional_x000d_"/>
  </w:docVars>
  <w:rsids>
    <w:rsidRoot w:val="00D01478"/>
    <w:rsid w:val="00000E69"/>
    <w:rsid w:val="00002584"/>
    <w:rsid w:val="00006226"/>
    <w:rsid w:val="000525DE"/>
    <w:rsid w:val="000620CE"/>
    <w:rsid w:val="0006491F"/>
    <w:rsid w:val="00067B89"/>
    <w:rsid w:val="00071D43"/>
    <w:rsid w:val="00082144"/>
    <w:rsid w:val="00082A4B"/>
    <w:rsid w:val="000866BC"/>
    <w:rsid w:val="000D61D4"/>
    <w:rsid w:val="000E44C2"/>
    <w:rsid w:val="000F1F99"/>
    <w:rsid w:val="00101B18"/>
    <w:rsid w:val="00117EA0"/>
    <w:rsid w:val="00117FF6"/>
    <w:rsid w:val="00122A56"/>
    <w:rsid w:val="0013066F"/>
    <w:rsid w:val="00134FEE"/>
    <w:rsid w:val="00146C6A"/>
    <w:rsid w:val="00147570"/>
    <w:rsid w:val="00151388"/>
    <w:rsid w:val="00166A0D"/>
    <w:rsid w:val="001B053B"/>
    <w:rsid w:val="001D5969"/>
    <w:rsid w:val="001E4B50"/>
    <w:rsid w:val="001E6CC4"/>
    <w:rsid w:val="00216D79"/>
    <w:rsid w:val="00241B93"/>
    <w:rsid w:val="0024778B"/>
    <w:rsid w:val="002478A0"/>
    <w:rsid w:val="00272AF4"/>
    <w:rsid w:val="002929F7"/>
    <w:rsid w:val="00292BCA"/>
    <w:rsid w:val="002A4230"/>
    <w:rsid w:val="002A5E20"/>
    <w:rsid w:val="002B0A80"/>
    <w:rsid w:val="002D1584"/>
    <w:rsid w:val="0030285E"/>
    <w:rsid w:val="00304428"/>
    <w:rsid w:val="00356DCA"/>
    <w:rsid w:val="003655D1"/>
    <w:rsid w:val="00366D21"/>
    <w:rsid w:val="0039127C"/>
    <w:rsid w:val="003A675A"/>
    <w:rsid w:val="003B24AA"/>
    <w:rsid w:val="003C1B2E"/>
    <w:rsid w:val="003D096D"/>
    <w:rsid w:val="003F61E1"/>
    <w:rsid w:val="004012B2"/>
    <w:rsid w:val="004141A7"/>
    <w:rsid w:val="00415E1D"/>
    <w:rsid w:val="00431E47"/>
    <w:rsid w:val="00440C93"/>
    <w:rsid w:val="00480B84"/>
    <w:rsid w:val="00490A4B"/>
    <w:rsid w:val="00495C91"/>
    <w:rsid w:val="004B64F9"/>
    <w:rsid w:val="004C1A25"/>
    <w:rsid w:val="004F68D0"/>
    <w:rsid w:val="00501F79"/>
    <w:rsid w:val="00502B47"/>
    <w:rsid w:val="00515991"/>
    <w:rsid w:val="005225EC"/>
    <w:rsid w:val="00525097"/>
    <w:rsid w:val="005509B6"/>
    <w:rsid w:val="005C37F3"/>
    <w:rsid w:val="005F1F5F"/>
    <w:rsid w:val="005F7B4F"/>
    <w:rsid w:val="00622288"/>
    <w:rsid w:val="00632C10"/>
    <w:rsid w:val="00635283"/>
    <w:rsid w:val="00657C5A"/>
    <w:rsid w:val="006804B5"/>
    <w:rsid w:val="00690698"/>
    <w:rsid w:val="006C6275"/>
    <w:rsid w:val="006E4A4B"/>
    <w:rsid w:val="00703106"/>
    <w:rsid w:val="0073609E"/>
    <w:rsid w:val="007459AE"/>
    <w:rsid w:val="007526FF"/>
    <w:rsid w:val="007531A5"/>
    <w:rsid w:val="00753D8A"/>
    <w:rsid w:val="007602FA"/>
    <w:rsid w:val="00771C9E"/>
    <w:rsid w:val="00783685"/>
    <w:rsid w:val="007970B1"/>
    <w:rsid w:val="007A1280"/>
    <w:rsid w:val="007E4601"/>
    <w:rsid w:val="00807B29"/>
    <w:rsid w:val="0082045E"/>
    <w:rsid w:val="008222A3"/>
    <w:rsid w:val="00836E84"/>
    <w:rsid w:val="008373DB"/>
    <w:rsid w:val="00840664"/>
    <w:rsid w:val="00846C24"/>
    <w:rsid w:val="008B3FC7"/>
    <w:rsid w:val="008E5A9D"/>
    <w:rsid w:val="008F3462"/>
    <w:rsid w:val="0093420B"/>
    <w:rsid w:val="00935932"/>
    <w:rsid w:val="0095211E"/>
    <w:rsid w:val="009559A6"/>
    <w:rsid w:val="00991ECC"/>
    <w:rsid w:val="00993CB7"/>
    <w:rsid w:val="009A7DC1"/>
    <w:rsid w:val="009C5ADF"/>
    <w:rsid w:val="009D0EE3"/>
    <w:rsid w:val="009F041B"/>
    <w:rsid w:val="00A00C32"/>
    <w:rsid w:val="00A1038C"/>
    <w:rsid w:val="00A2494D"/>
    <w:rsid w:val="00A31A44"/>
    <w:rsid w:val="00A31C1D"/>
    <w:rsid w:val="00A536A1"/>
    <w:rsid w:val="00A810EA"/>
    <w:rsid w:val="00AB0B7D"/>
    <w:rsid w:val="00AC02D5"/>
    <w:rsid w:val="00AD5F2F"/>
    <w:rsid w:val="00AF4336"/>
    <w:rsid w:val="00B114E4"/>
    <w:rsid w:val="00B13F8E"/>
    <w:rsid w:val="00B167CB"/>
    <w:rsid w:val="00B3585D"/>
    <w:rsid w:val="00B41739"/>
    <w:rsid w:val="00B858D5"/>
    <w:rsid w:val="00BB462D"/>
    <w:rsid w:val="00BD113B"/>
    <w:rsid w:val="00C026EE"/>
    <w:rsid w:val="00C07FF6"/>
    <w:rsid w:val="00C32BC2"/>
    <w:rsid w:val="00C400E1"/>
    <w:rsid w:val="00C43505"/>
    <w:rsid w:val="00C5036A"/>
    <w:rsid w:val="00C86B51"/>
    <w:rsid w:val="00CA69CD"/>
    <w:rsid w:val="00CB06FB"/>
    <w:rsid w:val="00CB63C5"/>
    <w:rsid w:val="00D0035F"/>
    <w:rsid w:val="00D01478"/>
    <w:rsid w:val="00D1048A"/>
    <w:rsid w:val="00D3073B"/>
    <w:rsid w:val="00D30EED"/>
    <w:rsid w:val="00DB32F0"/>
    <w:rsid w:val="00DB66DE"/>
    <w:rsid w:val="00DC7881"/>
    <w:rsid w:val="00DD5701"/>
    <w:rsid w:val="00E117BC"/>
    <w:rsid w:val="00E15591"/>
    <w:rsid w:val="00E343A6"/>
    <w:rsid w:val="00E400AB"/>
    <w:rsid w:val="00E42ED8"/>
    <w:rsid w:val="00E443AC"/>
    <w:rsid w:val="00E47A1E"/>
    <w:rsid w:val="00E517AD"/>
    <w:rsid w:val="00E7105F"/>
    <w:rsid w:val="00E818DE"/>
    <w:rsid w:val="00ED471D"/>
    <w:rsid w:val="00ED66FF"/>
    <w:rsid w:val="00EE37EC"/>
    <w:rsid w:val="00EF2DFA"/>
    <w:rsid w:val="00F0704E"/>
    <w:rsid w:val="00F272D7"/>
    <w:rsid w:val="00F313F6"/>
    <w:rsid w:val="00F5012D"/>
    <w:rsid w:val="00F651E6"/>
    <w:rsid w:val="00F73093"/>
    <w:rsid w:val="00F873D4"/>
    <w:rsid w:val="00FA3D05"/>
    <w:rsid w:val="00FA5CC9"/>
    <w:rsid w:val="00FA6F65"/>
    <w:rsid w:val="00FB0A2C"/>
    <w:rsid w:val="00FC59F1"/>
    <w:rsid w:val="00FE1140"/>
    <w:rsid w:val="00FF44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9DA3DAF"/>
  <w15:chartTrackingRefBased/>
  <w15:docId w15:val="{3E862300-18C1-42CA-8CB0-06E148638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7C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167C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167C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167C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167C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167C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167C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167C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167C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167C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167C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167CB"/>
    <w:pPr>
      <w:spacing w:line="360" w:lineRule="exact"/>
    </w:pPr>
    <w:rPr>
      <w:spacing w:val="-3"/>
      <w:w w:val="99"/>
      <w:sz w:val="34"/>
    </w:rPr>
  </w:style>
  <w:style w:type="paragraph" w:customStyle="1" w:styleId="H23">
    <w:name w:val="_ H_2/3"/>
    <w:basedOn w:val="H1"/>
    <w:next w:val="SingleTxt"/>
    <w:qFormat/>
    <w:rsid w:val="00B167CB"/>
    <w:pPr>
      <w:spacing w:line="240" w:lineRule="exact"/>
      <w:outlineLvl w:val="1"/>
    </w:pPr>
    <w:rPr>
      <w:spacing w:val="2"/>
      <w:sz w:val="20"/>
    </w:rPr>
  </w:style>
  <w:style w:type="paragraph" w:customStyle="1" w:styleId="H4">
    <w:name w:val="_ H_4"/>
    <w:basedOn w:val="Normal"/>
    <w:next w:val="SingleTxt"/>
    <w:qFormat/>
    <w:rsid w:val="00B167CB"/>
    <w:pPr>
      <w:keepNext/>
      <w:keepLines/>
      <w:tabs>
        <w:tab w:val="right" w:pos="360"/>
      </w:tabs>
      <w:outlineLvl w:val="3"/>
    </w:pPr>
    <w:rPr>
      <w:i/>
      <w:spacing w:val="3"/>
      <w:kern w:val="14"/>
    </w:rPr>
  </w:style>
  <w:style w:type="paragraph" w:customStyle="1" w:styleId="H56">
    <w:name w:val="_ H_5/6"/>
    <w:basedOn w:val="Normal"/>
    <w:next w:val="Normal"/>
    <w:qFormat/>
    <w:rsid w:val="00B167CB"/>
    <w:pPr>
      <w:keepNext/>
      <w:keepLines/>
      <w:tabs>
        <w:tab w:val="right" w:pos="360"/>
      </w:tabs>
      <w:outlineLvl w:val="4"/>
    </w:pPr>
    <w:rPr>
      <w:kern w:val="14"/>
    </w:rPr>
  </w:style>
  <w:style w:type="paragraph" w:customStyle="1" w:styleId="DualTxt">
    <w:name w:val="__Dual Txt"/>
    <w:basedOn w:val="Normal"/>
    <w:qFormat/>
    <w:rsid w:val="00B167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167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167CB"/>
    <w:pPr>
      <w:spacing w:line="540" w:lineRule="exact"/>
    </w:pPr>
    <w:rPr>
      <w:spacing w:val="-8"/>
      <w:w w:val="96"/>
      <w:sz w:val="57"/>
    </w:rPr>
  </w:style>
  <w:style w:type="paragraph" w:customStyle="1" w:styleId="SS">
    <w:name w:val="__S_S"/>
    <w:basedOn w:val="HCh0"/>
    <w:next w:val="Normal"/>
    <w:qFormat/>
    <w:rsid w:val="00B167CB"/>
    <w:pPr>
      <w:ind w:left="1267" w:right="1267"/>
    </w:pPr>
  </w:style>
  <w:style w:type="paragraph" w:customStyle="1" w:styleId="SingleTxt">
    <w:name w:val="__Single Txt"/>
    <w:basedOn w:val="Normal"/>
    <w:link w:val="SingleTxtChar"/>
    <w:qFormat/>
    <w:rsid w:val="00B167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167C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167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167C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167CB"/>
    <w:rPr>
      <w:rFonts w:ascii="Tahoma" w:hAnsi="Tahoma" w:cs="Tahoma"/>
      <w:sz w:val="16"/>
      <w:szCs w:val="16"/>
    </w:rPr>
  </w:style>
  <w:style w:type="character" w:customStyle="1" w:styleId="BalloonTextChar">
    <w:name w:val="Balloon Text Char"/>
    <w:basedOn w:val="DefaultParagraphFont"/>
    <w:link w:val="BalloonText"/>
    <w:semiHidden/>
    <w:rsid w:val="00B167CB"/>
    <w:rPr>
      <w:rFonts w:ascii="Tahoma" w:eastAsiaTheme="minorHAnsi" w:hAnsi="Tahoma" w:cs="Tahoma"/>
      <w:spacing w:val="4"/>
      <w:w w:val="103"/>
      <w:sz w:val="16"/>
      <w:szCs w:val="16"/>
      <w:lang w:val="es-ES" w:eastAsia="en-US"/>
    </w:rPr>
  </w:style>
  <w:style w:type="paragraph" w:customStyle="1" w:styleId="Bullet1">
    <w:name w:val="Bullet 1"/>
    <w:basedOn w:val="Normal"/>
    <w:qFormat/>
    <w:rsid w:val="00B167CB"/>
    <w:pPr>
      <w:numPr>
        <w:numId w:val="1"/>
      </w:numPr>
      <w:spacing w:after="120"/>
      <w:ind w:right="1264"/>
      <w:jc w:val="both"/>
    </w:pPr>
  </w:style>
  <w:style w:type="paragraph" w:customStyle="1" w:styleId="Bullet2">
    <w:name w:val="Bullet 2"/>
    <w:basedOn w:val="Normal"/>
    <w:qFormat/>
    <w:rsid w:val="00B167CB"/>
    <w:pPr>
      <w:numPr>
        <w:numId w:val="2"/>
      </w:numPr>
      <w:spacing w:after="120"/>
      <w:ind w:right="1264"/>
      <w:jc w:val="both"/>
    </w:pPr>
  </w:style>
  <w:style w:type="paragraph" w:customStyle="1" w:styleId="Bullet3">
    <w:name w:val="Bullet 3"/>
    <w:basedOn w:val="SingleTxt"/>
    <w:qFormat/>
    <w:rsid w:val="00B167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167C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167C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167CB"/>
    <w:pPr>
      <w:spacing w:after="80"/>
    </w:pPr>
  </w:style>
  <w:style w:type="character" w:customStyle="1" w:styleId="EndnoteTextChar">
    <w:name w:val="Endnote Text Char"/>
    <w:basedOn w:val="DefaultParagraphFont"/>
    <w:link w:val="EndnoteText"/>
    <w:semiHidden/>
    <w:rsid w:val="00B167CB"/>
    <w:rPr>
      <w:rFonts w:ascii="Times New Roman" w:eastAsiaTheme="minorHAnsi" w:hAnsi="Times New Roman" w:cs="Times New Roman"/>
      <w:spacing w:val="5"/>
      <w:w w:val="104"/>
      <w:sz w:val="17"/>
      <w:lang w:val="es-ES" w:eastAsia="en-US"/>
    </w:rPr>
  </w:style>
  <w:style w:type="paragraph" w:styleId="Footer">
    <w:name w:val="footer"/>
    <w:link w:val="FooterChar"/>
    <w:qFormat/>
    <w:rsid w:val="00B167C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167CB"/>
    <w:rPr>
      <w:rFonts w:ascii="Times New Roman" w:eastAsiaTheme="minorHAnsi" w:hAnsi="Times New Roman" w:cs="Times New Roman"/>
      <w:b/>
      <w:noProof/>
      <w:sz w:val="17"/>
      <w:lang w:val="en-US" w:eastAsia="en-US"/>
    </w:rPr>
  </w:style>
  <w:style w:type="character" w:styleId="FootnoteReference">
    <w:name w:val="footnote reference"/>
    <w:semiHidden/>
    <w:rsid w:val="00B167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167C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167C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B167C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B167C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167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167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167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167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167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167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167C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167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167CB"/>
    <w:rPr>
      <w:rFonts w:ascii="Cambria" w:eastAsia="Times New Roman" w:hAnsi="Cambria" w:cs="Times New Roman"/>
      <w:i/>
      <w:iCs/>
      <w:spacing w:val="5"/>
      <w:w w:val="103"/>
      <w:sz w:val="20"/>
      <w:szCs w:val="20"/>
      <w:lang w:val="es-ES" w:eastAsia="en-US"/>
    </w:rPr>
  </w:style>
  <w:style w:type="character" w:styleId="LineNumber">
    <w:name w:val="line number"/>
    <w:qFormat/>
    <w:rsid w:val="00B167C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167CB"/>
    <w:pPr>
      <w:spacing w:line="240" w:lineRule="auto"/>
    </w:pPr>
  </w:style>
  <w:style w:type="paragraph" w:customStyle="1" w:styleId="Original">
    <w:name w:val="Original"/>
    <w:next w:val="Normal"/>
    <w:autoRedefine/>
    <w:qFormat/>
    <w:rsid w:val="00B167C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167C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167CB"/>
    <w:pPr>
      <w:tabs>
        <w:tab w:val="right" w:pos="9965"/>
      </w:tabs>
      <w:spacing w:line="210" w:lineRule="exact"/>
    </w:pPr>
    <w:rPr>
      <w:spacing w:val="5"/>
      <w:w w:val="104"/>
      <w:kern w:val="14"/>
      <w:sz w:val="17"/>
    </w:rPr>
  </w:style>
  <w:style w:type="paragraph" w:customStyle="1" w:styleId="SmallX">
    <w:name w:val="SmallX"/>
    <w:basedOn w:val="Small"/>
    <w:next w:val="Normal"/>
    <w:qFormat/>
    <w:rsid w:val="00B167C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167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167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167C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167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167CB"/>
    <w:pPr>
      <w:spacing w:line="300" w:lineRule="exact"/>
    </w:pPr>
    <w:rPr>
      <w:spacing w:val="-2"/>
      <w:sz w:val="28"/>
    </w:rPr>
  </w:style>
  <w:style w:type="paragraph" w:styleId="Caption">
    <w:name w:val="caption"/>
    <w:basedOn w:val="Normal"/>
    <w:next w:val="Normal"/>
    <w:uiPriority w:val="35"/>
    <w:semiHidden/>
    <w:unhideWhenUsed/>
    <w:rsid w:val="00B167CB"/>
    <w:pPr>
      <w:spacing w:line="240" w:lineRule="auto"/>
    </w:pPr>
    <w:rPr>
      <w:b/>
      <w:bCs/>
      <w:color w:val="4F81BD"/>
      <w:sz w:val="18"/>
      <w:szCs w:val="18"/>
    </w:rPr>
  </w:style>
  <w:style w:type="character" w:styleId="CommentReference">
    <w:name w:val="annotation reference"/>
    <w:semiHidden/>
    <w:rsid w:val="00B167CB"/>
    <w:rPr>
      <w:sz w:val="6"/>
    </w:rPr>
  </w:style>
  <w:style w:type="paragraph" w:customStyle="1" w:styleId="HdBanner">
    <w:name w:val="Hd Banner"/>
    <w:basedOn w:val="Normal"/>
    <w:next w:val="Normal"/>
    <w:qFormat/>
    <w:rsid w:val="00B167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167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167CB"/>
    <w:pPr>
      <w:spacing w:before="240"/>
    </w:pPr>
    <w:rPr>
      <w:b/>
      <w:spacing w:val="-2"/>
      <w:w w:val="100"/>
    </w:rPr>
  </w:style>
  <w:style w:type="paragraph" w:customStyle="1" w:styleId="HdChapterBdLg">
    <w:name w:val="Hd Chapter Bd Lg"/>
    <w:basedOn w:val="HdChapterBD"/>
    <w:next w:val="Normal"/>
    <w:qFormat/>
    <w:rsid w:val="00B167CB"/>
    <w:rPr>
      <w:spacing w:val="-3"/>
      <w:w w:val="99"/>
      <w:kern w:val="14"/>
      <w:sz w:val="34"/>
      <w:szCs w:val="34"/>
    </w:rPr>
  </w:style>
  <w:style w:type="paragraph" w:customStyle="1" w:styleId="JournalHeading1">
    <w:name w:val="Journal_Heading1"/>
    <w:basedOn w:val="Normal"/>
    <w:next w:val="Normal"/>
    <w:qFormat/>
    <w:rsid w:val="00B167CB"/>
    <w:pPr>
      <w:keepNext/>
      <w:spacing w:before="190" w:line="270" w:lineRule="exact"/>
    </w:pPr>
    <w:rPr>
      <w:b/>
      <w:kern w:val="14"/>
      <w:sz w:val="24"/>
    </w:rPr>
  </w:style>
  <w:style w:type="paragraph" w:customStyle="1" w:styleId="JournalHeading2">
    <w:name w:val="Journal_Heading2"/>
    <w:basedOn w:val="Normal"/>
    <w:next w:val="Normal"/>
    <w:qFormat/>
    <w:rsid w:val="00B167CB"/>
    <w:pPr>
      <w:keepNext/>
      <w:keepLines/>
      <w:spacing w:before="240"/>
      <w:outlineLvl w:val="1"/>
    </w:pPr>
    <w:rPr>
      <w:b/>
      <w:spacing w:val="2"/>
      <w:kern w:val="14"/>
    </w:rPr>
  </w:style>
  <w:style w:type="paragraph" w:customStyle="1" w:styleId="JournalHeading4">
    <w:name w:val="Journal_Heading4"/>
    <w:basedOn w:val="Normal"/>
    <w:next w:val="Normal"/>
    <w:qFormat/>
    <w:rsid w:val="00B167CB"/>
    <w:pPr>
      <w:keepNext/>
      <w:keepLines/>
      <w:spacing w:before="240"/>
      <w:outlineLvl w:val="3"/>
    </w:pPr>
    <w:rPr>
      <w:i/>
      <w:kern w:val="14"/>
    </w:rPr>
  </w:style>
  <w:style w:type="paragraph" w:customStyle="1" w:styleId="NormalBullet">
    <w:name w:val="Normal Bullet"/>
    <w:basedOn w:val="Normal"/>
    <w:next w:val="Normal"/>
    <w:qFormat/>
    <w:rsid w:val="00B167C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167CB"/>
    <w:pPr>
      <w:tabs>
        <w:tab w:val="left" w:leader="dot" w:pos="2218"/>
        <w:tab w:val="left" w:pos="2707"/>
        <w:tab w:val="right" w:leader="dot" w:pos="9835"/>
      </w:tabs>
    </w:pPr>
    <w:rPr>
      <w:kern w:val="14"/>
    </w:rPr>
  </w:style>
  <w:style w:type="paragraph" w:customStyle="1" w:styleId="ReleaseDate0">
    <w:name w:val="ReleaseDate"/>
    <w:next w:val="Footer"/>
    <w:autoRedefine/>
    <w:qFormat/>
    <w:rsid w:val="00B167C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167C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B167C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5211E"/>
    <w:pPr>
      <w:spacing w:line="240" w:lineRule="auto"/>
    </w:pPr>
    <w:rPr>
      <w:szCs w:val="20"/>
    </w:rPr>
  </w:style>
  <w:style w:type="character" w:customStyle="1" w:styleId="CommentTextChar">
    <w:name w:val="Comment Text Char"/>
    <w:basedOn w:val="DefaultParagraphFont"/>
    <w:link w:val="CommentText"/>
    <w:uiPriority w:val="99"/>
    <w:semiHidden/>
    <w:rsid w:val="009521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5211E"/>
    <w:rPr>
      <w:b/>
      <w:bCs/>
    </w:rPr>
  </w:style>
  <w:style w:type="character" w:customStyle="1" w:styleId="CommentSubjectChar">
    <w:name w:val="Comment Subject Char"/>
    <w:basedOn w:val="CommentTextChar"/>
    <w:link w:val="CommentSubject"/>
    <w:uiPriority w:val="99"/>
    <w:semiHidden/>
    <w:rsid w:val="0095211E"/>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B3585D"/>
    <w:rPr>
      <w:color w:val="605E5C"/>
      <w:shd w:val="clear" w:color="auto" w:fill="E1DFDD"/>
    </w:rPr>
  </w:style>
  <w:style w:type="paragraph" w:styleId="Revision">
    <w:name w:val="Revision"/>
    <w:hidden/>
    <w:uiPriority w:val="99"/>
    <w:semiHidden/>
    <w:rsid w:val="008E5A9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ECU/10" TargetMode="External"/><Relationship Id="rId26" Type="http://schemas.openxmlformats.org/officeDocument/2006/relationships/hyperlink" Target="https://undocs.org/es/CEDAW/C/ZAF/5" TargetMode="External"/><Relationship Id="rId39" Type="http://schemas.openxmlformats.org/officeDocument/2006/relationships/hyperlink" Target="https://undocs.org/es/CEDAW/C/SWE/QPR/10" TargetMode="External"/><Relationship Id="rId21" Type="http://schemas.openxmlformats.org/officeDocument/2006/relationships/hyperlink" Target="https://undocs.org/es/CEDAW/C/KGZ/5" TargetMode="External"/><Relationship Id="rId34" Type="http://schemas.openxmlformats.org/officeDocument/2006/relationships/hyperlink" Target="https://undocs.org/es/CEDAW/C/MDV/Q/6" TargetMode="External"/><Relationship Id="rId42" Type="http://schemas.openxmlformats.org/officeDocument/2006/relationships/hyperlink" Target="https://undocs.org/es/CEDAW/C/IDN/RQ/8" TargetMode="External"/><Relationship Id="rId47" Type="http://schemas.openxmlformats.org/officeDocument/2006/relationships/hyperlink" Target="https://undocs.org/es/CEDAW/C/ZAF/RQ/5" TargetMode="External"/><Relationship Id="rId50" Type="http://schemas.openxmlformats.org/officeDocument/2006/relationships/hyperlink" Target="https://undocs.org/es/CEDAW/C/81/1"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s/CEDAW/C/YEM/7-8" TargetMode="External"/><Relationship Id="rId11" Type="http://schemas.openxmlformats.org/officeDocument/2006/relationships/header" Target="header3.xml"/><Relationship Id="rId24" Type="http://schemas.openxmlformats.org/officeDocument/2006/relationships/hyperlink" Target="https://undocs.org/es/CEDAW/C/RUS/9" TargetMode="External"/><Relationship Id="rId32" Type="http://schemas.openxmlformats.org/officeDocument/2006/relationships/hyperlink" Target="https://undocs.org/es/CEDAW/C/IDN/Q/8" TargetMode="External"/><Relationship Id="rId37" Type="http://schemas.openxmlformats.org/officeDocument/2006/relationships/hyperlink" Target="https://undocs.org/es/CEDAW/C/ZAF/Q/5" TargetMode="External"/><Relationship Id="rId40" Type="http://schemas.openxmlformats.org/officeDocument/2006/relationships/hyperlink" Target="https://undocs.org/es/CEDAW/C/YEM/Q/7-8/Rev.1" TargetMode="External"/><Relationship Id="rId45" Type="http://schemas.openxmlformats.org/officeDocument/2006/relationships/hyperlink" Target="https://undocs.org/es/CEDAW/C/NIC/RQ/7-1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NIC/7-10" TargetMode="External"/><Relationship Id="rId28" Type="http://schemas.openxmlformats.org/officeDocument/2006/relationships/hyperlink" Target="https://undocs.org/es/CEDAW/C/SWE/10" TargetMode="External"/><Relationship Id="rId36" Type="http://schemas.openxmlformats.org/officeDocument/2006/relationships/hyperlink" Target="https://undocs.org/es/CEDAW/C/RUS/Q/9" TargetMode="External"/><Relationship Id="rId49" Type="http://schemas.openxmlformats.org/officeDocument/2006/relationships/hyperlink" Target="https://undocs.org/es/CEDAW/C/YEM/RQ/7-8" TargetMode="External"/><Relationship Id="rId10" Type="http://schemas.openxmlformats.org/officeDocument/2006/relationships/footer" Target="footer2.xml"/><Relationship Id="rId19" Type="http://schemas.openxmlformats.org/officeDocument/2006/relationships/hyperlink" Target="https://undocs.org/es/CEDAW/C/EGY/8-10" TargetMode="External"/><Relationship Id="rId31" Type="http://schemas.openxmlformats.org/officeDocument/2006/relationships/hyperlink" Target="https://undocs.org/es/CEDAW/C/EGY/Q/8-10" TargetMode="External"/><Relationship Id="rId44" Type="http://schemas.openxmlformats.org/officeDocument/2006/relationships/hyperlink" Target="https://undocs.org/es/CEDAW/C/MDV/RQ/6"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MDV/6" TargetMode="External"/><Relationship Id="rId27" Type="http://schemas.openxmlformats.org/officeDocument/2006/relationships/hyperlink" Target="https://undocs.org/es/CEDAW/C/SSD/1" TargetMode="External"/><Relationship Id="rId30" Type="http://schemas.openxmlformats.org/officeDocument/2006/relationships/hyperlink" Target="https://undocs.org/es/CEDAW/C/ECU/QPR/10" TargetMode="External"/><Relationship Id="rId35" Type="http://schemas.openxmlformats.org/officeDocument/2006/relationships/hyperlink" Target="https://undocs.org/es/CEDAW/C/NIC/Q/7-10" TargetMode="External"/><Relationship Id="rId43" Type="http://schemas.openxmlformats.org/officeDocument/2006/relationships/hyperlink" Target="https://undocs.org/es/CEDAW/C/KGZ/RQ/5" TargetMode="External"/><Relationship Id="rId48" Type="http://schemas.openxmlformats.org/officeDocument/2006/relationships/hyperlink" Target="https://undocs.org/es/CEDAW/C/SSD/RQ/1" TargetMode="External"/><Relationship Id="rId8" Type="http://schemas.openxmlformats.org/officeDocument/2006/relationships/header" Target="header2.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PSWG/80/1" TargetMode="External"/><Relationship Id="rId25" Type="http://schemas.openxmlformats.org/officeDocument/2006/relationships/hyperlink" Target="https://undocs.org/es/CEDAW/C/RUS/9/Corr.1" TargetMode="External"/><Relationship Id="rId33" Type="http://schemas.openxmlformats.org/officeDocument/2006/relationships/hyperlink" Target="https://undocs.org/es/CEDAW/C/KGZ/Q/5" TargetMode="External"/><Relationship Id="rId38" Type="http://schemas.openxmlformats.org/officeDocument/2006/relationships/hyperlink" Target="https://undocs.org/es/CEDAW/C/SSD/Q/1" TargetMode="External"/><Relationship Id="rId46" Type="http://schemas.openxmlformats.org/officeDocument/2006/relationships/hyperlink" Target="https://undocs.org/es/CEDAW/C/RUS/RQ/9" TargetMode="External"/><Relationship Id="rId20" Type="http://schemas.openxmlformats.org/officeDocument/2006/relationships/hyperlink" Target="https://undocs.org/es/CEDAW/C/IDN/8" TargetMode="External"/><Relationship Id="rId41" Type="http://schemas.openxmlformats.org/officeDocument/2006/relationships/hyperlink" Target="https://undocs.org/es/CEDAW/C/EGY/RQ/8-10"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2021-09-17T18:57:00Z</cp:lastPrinted>
  <dcterms:created xsi:type="dcterms:W3CDTF">2021-09-17T18:57:00Z</dcterms:created>
  <dcterms:modified xsi:type="dcterms:W3CDTF">2021-09-17T18:57:00Z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2112059</vt:lpwstr>
  </property>
  <property fmtid="{D5CDD505-2E9C-101B-9397-08002B2CF9AE}" pid="3" name="ODSRefJobNo">
    <vt:lpwstr>2123957</vt:lpwstr>
  </property>
  <property fmtid="{D5CDD505-2E9C-101B-9397-08002B2CF9AE}" pid="4" name="Symbol1">
    <vt:lpwstr>CEDAW/C/80/1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2112059.MLR.EDT</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MLR</vt:lpwstr>
  </property>
  <property fmtid="{D5CDD505-2E9C-101B-9397-08002B2CF9AE}" pid="12" name="Release Date">
    <vt:lpwstr>100921</vt:lpwstr>
  </property>
  <property fmtid="{D5CDD505-2E9C-101B-9397-08002B2CF9AE}" pid="13" name="Session1">
    <vt:lpwstr>80º período de sesiones_x000d_</vt:lpwstr>
  </property>
  <property fmtid="{D5CDD505-2E9C-101B-9397-08002B2CF9AE}" pid="14" name="Agenda1">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